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95951" w14:textId="235ADE77" w:rsidR="00A06119" w:rsidRPr="00327676" w:rsidRDefault="00A06119" w:rsidP="00327676">
      <w:pPr>
        <w:spacing w:after="0" w:line="240" w:lineRule="auto"/>
        <w:jc w:val="center"/>
        <w:rPr>
          <w:rFonts w:ascii="Times New Roman" w:hAnsi="Times New Roman" w:cs="Times New Roman"/>
          <w:b/>
          <w:sz w:val="24"/>
          <w:szCs w:val="24"/>
        </w:rPr>
      </w:pPr>
      <w:r w:rsidRPr="00327676">
        <w:rPr>
          <w:rFonts w:ascii="Times New Roman" w:hAnsi="Times New Roman" w:cs="Times New Roman"/>
          <w:b/>
          <w:sz w:val="24"/>
          <w:szCs w:val="24"/>
        </w:rPr>
        <w:t>Australian Government</w:t>
      </w:r>
    </w:p>
    <w:p w14:paraId="5FE42382" w14:textId="049C1687" w:rsidR="00A06119" w:rsidRPr="00327676" w:rsidRDefault="00A06119" w:rsidP="00327676">
      <w:pPr>
        <w:spacing w:after="0" w:line="240" w:lineRule="auto"/>
        <w:jc w:val="center"/>
        <w:rPr>
          <w:rFonts w:ascii="Times New Roman" w:hAnsi="Times New Roman" w:cs="Times New Roman"/>
          <w:b/>
          <w:sz w:val="24"/>
          <w:szCs w:val="24"/>
        </w:rPr>
      </w:pPr>
      <w:r w:rsidRPr="00327676">
        <w:rPr>
          <w:rFonts w:ascii="Times New Roman" w:hAnsi="Times New Roman" w:cs="Times New Roman"/>
          <w:b/>
          <w:sz w:val="24"/>
          <w:szCs w:val="24"/>
        </w:rPr>
        <w:t>Treasury</w:t>
      </w:r>
      <w:r w:rsidR="00FC61F3" w:rsidRPr="00327676">
        <w:rPr>
          <w:rFonts w:ascii="Times New Roman" w:hAnsi="Times New Roman" w:cs="Times New Roman"/>
          <w:b/>
          <w:sz w:val="24"/>
          <w:szCs w:val="24"/>
        </w:rPr>
        <w:t xml:space="preserve"> and Department of Employment </w:t>
      </w:r>
    </w:p>
    <w:p w14:paraId="4E331D13" w14:textId="77777777" w:rsidR="00A06119" w:rsidRPr="00327676" w:rsidRDefault="00A06119" w:rsidP="00327676">
      <w:pPr>
        <w:spacing w:after="0" w:line="240" w:lineRule="auto"/>
        <w:jc w:val="center"/>
        <w:rPr>
          <w:rFonts w:ascii="Times New Roman" w:hAnsi="Times New Roman" w:cs="Times New Roman"/>
          <w:b/>
          <w:sz w:val="24"/>
          <w:szCs w:val="24"/>
        </w:rPr>
      </w:pPr>
    </w:p>
    <w:p w14:paraId="09F07868" w14:textId="790321AD" w:rsidR="006E76C7" w:rsidRPr="00327676" w:rsidRDefault="00FC61F3" w:rsidP="00327676">
      <w:pPr>
        <w:spacing w:after="0" w:line="240" w:lineRule="auto"/>
        <w:jc w:val="center"/>
        <w:rPr>
          <w:rFonts w:ascii="Times New Roman" w:hAnsi="Times New Roman" w:cs="Times New Roman"/>
          <w:b/>
          <w:sz w:val="24"/>
          <w:szCs w:val="24"/>
        </w:rPr>
      </w:pPr>
      <w:r w:rsidRPr="00327676">
        <w:rPr>
          <w:rFonts w:ascii="Times New Roman" w:hAnsi="Times New Roman" w:cs="Times New Roman"/>
          <w:b/>
          <w:sz w:val="24"/>
          <w:szCs w:val="24"/>
        </w:rPr>
        <w:t>REFORMS TO ADDRESS CORPORATE MISUSE OF THE FAIR ENTITLEMENTS GUARANTEE SCHEME</w:t>
      </w:r>
    </w:p>
    <w:p w14:paraId="6D29D5FC" w14:textId="77777777" w:rsidR="00FC61F3" w:rsidRPr="00327676" w:rsidRDefault="00FC61F3" w:rsidP="00327676">
      <w:pPr>
        <w:spacing w:after="0" w:line="240" w:lineRule="auto"/>
        <w:jc w:val="center"/>
        <w:rPr>
          <w:rFonts w:ascii="Times New Roman" w:hAnsi="Times New Roman" w:cs="Times New Roman"/>
          <w:sz w:val="24"/>
          <w:szCs w:val="24"/>
        </w:rPr>
      </w:pPr>
    </w:p>
    <w:p w14:paraId="6947DDF5" w14:textId="49642C33" w:rsidR="00A06119" w:rsidRPr="00327676" w:rsidRDefault="00A06119" w:rsidP="00327676">
      <w:pPr>
        <w:spacing w:after="0" w:line="240" w:lineRule="auto"/>
        <w:jc w:val="center"/>
        <w:rPr>
          <w:rFonts w:ascii="Times New Roman" w:hAnsi="Times New Roman" w:cs="Times New Roman"/>
          <w:b/>
          <w:sz w:val="24"/>
          <w:szCs w:val="24"/>
        </w:rPr>
      </w:pPr>
      <w:r w:rsidRPr="00327676">
        <w:rPr>
          <w:rFonts w:ascii="Times New Roman" w:hAnsi="Times New Roman" w:cs="Times New Roman"/>
          <w:b/>
          <w:sz w:val="24"/>
          <w:szCs w:val="24"/>
        </w:rPr>
        <w:t>Submission by Professor Helen Anderson</w:t>
      </w:r>
      <w:r w:rsidR="00BD7D15" w:rsidRPr="00327676">
        <w:rPr>
          <w:rFonts w:ascii="Times New Roman" w:hAnsi="Times New Roman" w:cs="Times New Roman"/>
          <w:b/>
          <w:sz w:val="24"/>
          <w:szCs w:val="24"/>
        </w:rPr>
        <w:t xml:space="preserve">, </w:t>
      </w:r>
      <w:r w:rsidR="00DC3DEE">
        <w:rPr>
          <w:rFonts w:ascii="Times New Roman" w:hAnsi="Times New Roman" w:cs="Times New Roman"/>
          <w:b/>
          <w:sz w:val="24"/>
          <w:szCs w:val="24"/>
        </w:rPr>
        <w:t xml:space="preserve">Jasper Hedges and </w:t>
      </w:r>
      <w:r w:rsidRPr="00327676">
        <w:rPr>
          <w:rFonts w:ascii="Times New Roman" w:hAnsi="Times New Roman" w:cs="Times New Roman"/>
          <w:b/>
          <w:sz w:val="24"/>
          <w:szCs w:val="24"/>
        </w:rPr>
        <w:t>Professor Ian Ramsay, Melbourne Law School</w:t>
      </w:r>
      <w:r w:rsidR="00BD7D15" w:rsidRPr="00327676">
        <w:rPr>
          <w:rFonts w:ascii="Times New Roman" w:hAnsi="Times New Roman" w:cs="Times New Roman"/>
          <w:b/>
          <w:sz w:val="24"/>
          <w:szCs w:val="24"/>
        </w:rPr>
        <w:t>,</w:t>
      </w:r>
      <w:r w:rsidRPr="00327676">
        <w:rPr>
          <w:rFonts w:ascii="Times New Roman" w:hAnsi="Times New Roman" w:cs="Times New Roman"/>
          <w:b/>
          <w:sz w:val="24"/>
          <w:szCs w:val="24"/>
        </w:rPr>
        <w:t xml:space="preserve"> </w:t>
      </w:r>
      <w:r w:rsidR="0059095A">
        <w:rPr>
          <w:rFonts w:ascii="Times New Roman" w:hAnsi="Times New Roman" w:cs="Times New Roman"/>
          <w:b/>
          <w:sz w:val="24"/>
          <w:szCs w:val="24"/>
        </w:rPr>
        <w:t>the University of Melbourne.</w:t>
      </w:r>
    </w:p>
    <w:p w14:paraId="051AF858" w14:textId="77777777" w:rsidR="00A06119" w:rsidRPr="00327676" w:rsidRDefault="00A06119" w:rsidP="00327676">
      <w:pPr>
        <w:spacing w:after="0" w:line="240" w:lineRule="auto"/>
        <w:jc w:val="center"/>
        <w:rPr>
          <w:rFonts w:ascii="Times New Roman" w:hAnsi="Times New Roman" w:cs="Times New Roman"/>
          <w:b/>
          <w:sz w:val="24"/>
          <w:szCs w:val="24"/>
        </w:rPr>
      </w:pPr>
    </w:p>
    <w:p w14:paraId="76B5F080" w14:textId="33FC4D84" w:rsidR="00A06119" w:rsidRPr="00327676" w:rsidRDefault="005469D3" w:rsidP="00327676">
      <w:pPr>
        <w:pBdr>
          <w:bottom w:val="single" w:sz="6"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bookmarkStart w:id="0" w:name="_GoBack"/>
      <w:bookmarkEnd w:id="0"/>
      <w:r w:rsidR="00106BDB">
        <w:rPr>
          <w:rFonts w:ascii="Times New Roman" w:hAnsi="Times New Roman" w:cs="Times New Roman"/>
          <w:b/>
          <w:sz w:val="24"/>
          <w:szCs w:val="24"/>
        </w:rPr>
        <w:t xml:space="preserve"> June 2017</w:t>
      </w:r>
    </w:p>
    <w:p w14:paraId="16D7DEE7" w14:textId="77777777" w:rsidR="009A048A" w:rsidRPr="00327676" w:rsidRDefault="009A048A" w:rsidP="00327676">
      <w:pPr>
        <w:pBdr>
          <w:bottom w:val="single" w:sz="6" w:space="1" w:color="auto"/>
        </w:pBdr>
        <w:spacing w:after="0" w:line="240" w:lineRule="auto"/>
        <w:jc w:val="center"/>
        <w:rPr>
          <w:rFonts w:ascii="Times New Roman" w:hAnsi="Times New Roman" w:cs="Times New Roman"/>
          <w:b/>
          <w:sz w:val="24"/>
          <w:szCs w:val="24"/>
        </w:rPr>
      </w:pPr>
    </w:p>
    <w:p w14:paraId="3CD868F8" w14:textId="77777777" w:rsidR="00A06119" w:rsidRPr="00327676" w:rsidRDefault="00A06119" w:rsidP="00327676">
      <w:pPr>
        <w:spacing w:after="0" w:line="240" w:lineRule="auto"/>
        <w:jc w:val="center"/>
        <w:rPr>
          <w:rFonts w:ascii="Times New Roman" w:hAnsi="Times New Roman" w:cs="Times New Roman"/>
          <w:sz w:val="24"/>
          <w:szCs w:val="24"/>
        </w:rPr>
      </w:pPr>
    </w:p>
    <w:p w14:paraId="41E83460" w14:textId="77777777" w:rsidR="0024246E" w:rsidRPr="00327676" w:rsidRDefault="0024246E" w:rsidP="00327676">
      <w:pPr>
        <w:spacing w:after="0" w:line="240" w:lineRule="auto"/>
        <w:jc w:val="both"/>
        <w:rPr>
          <w:rFonts w:ascii="Times New Roman" w:hAnsi="Times New Roman" w:cs="Times New Roman"/>
          <w:sz w:val="24"/>
          <w:szCs w:val="24"/>
        </w:rPr>
      </w:pPr>
    </w:p>
    <w:p w14:paraId="042E2AFC" w14:textId="46FB426F" w:rsidR="0024246E" w:rsidRPr="00327676" w:rsidRDefault="0024246E" w:rsidP="00327676">
      <w:pPr>
        <w:spacing w:after="0" w:line="240" w:lineRule="auto"/>
        <w:jc w:val="both"/>
        <w:rPr>
          <w:rFonts w:ascii="Times New Roman" w:hAnsi="Times New Roman" w:cs="Times New Roman"/>
          <w:b/>
          <w:sz w:val="24"/>
          <w:szCs w:val="24"/>
        </w:rPr>
      </w:pPr>
      <w:r w:rsidRPr="00327676">
        <w:rPr>
          <w:rFonts w:ascii="Times New Roman" w:hAnsi="Times New Roman" w:cs="Times New Roman"/>
          <w:b/>
          <w:sz w:val="24"/>
          <w:szCs w:val="24"/>
        </w:rPr>
        <w:t>Introduction</w:t>
      </w:r>
    </w:p>
    <w:p w14:paraId="553FBF58" w14:textId="478B10CE" w:rsidR="006E76C7" w:rsidRPr="00327676" w:rsidRDefault="00A06119"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We thank Treasury</w:t>
      </w:r>
      <w:r w:rsidR="00086575" w:rsidRPr="00327676">
        <w:rPr>
          <w:rFonts w:ascii="Times New Roman" w:hAnsi="Times New Roman" w:cs="Times New Roman"/>
          <w:sz w:val="24"/>
          <w:szCs w:val="24"/>
        </w:rPr>
        <w:t xml:space="preserve"> and the Minister for Revenue and Financial Services</w:t>
      </w:r>
      <w:r w:rsidR="006E76C7" w:rsidRPr="00327676">
        <w:rPr>
          <w:rFonts w:ascii="Times New Roman" w:hAnsi="Times New Roman" w:cs="Times New Roman"/>
          <w:sz w:val="24"/>
          <w:szCs w:val="24"/>
        </w:rPr>
        <w:t xml:space="preserve"> </w:t>
      </w:r>
      <w:r w:rsidRPr="00327676">
        <w:rPr>
          <w:rFonts w:ascii="Times New Roman" w:hAnsi="Times New Roman" w:cs="Times New Roman"/>
          <w:sz w:val="24"/>
          <w:szCs w:val="24"/>
        </w:rPr>
        <w:t>for this opportunity to make a submission regarding</w:t>
      </w:r>
      <w:r w:rsidR="00FC61F3" w:rsidRPr="00327676">
        <w:rPr>
          <w:rFonts w:ascii="Times New Roman" w:hAnsi="Times New Roman" w:cs="Times New Roman"/>
          <w:sz w:val="24"/>
          <w:szCs w:val="24"/>
        </w:rPr>
        <w:t xml:space="preserve"> the Reforms To Address Corporate Misuse Of The Fair Entitlements Guarantee Scheme </w:t>
      </w:r>
      <w:r w:rsidR="002B37D1" w:rsidRPr="00327676">
        <w:rPr>
          <w:rFonts w:ascii="Times New Roman" w:hAnsi="Times New Roman" w:cs="Times New Roman"/>
          <w:sz w:val="24"/>
          <w:szCs w:val="24"/>
        </w:rPr>
        <w:t>Consultation</w:t>
      </w:r>
      <w:r w:rsidR="00FC61F3" w:rsidRPr="00327676">
        <w:rPr>
          <w:rFonts w:ascii="Times New Roman" w:hAnsi="Times New Roman" w:cs="Times New Roman"/>
          <w:sz w:val="24"/>
          <w:szCs w:val="24"/>
        </w:rPr>
        <w:t xml:space="preserve"> Paper. </w:t>
      </w:r>
      <w:r w:rsidRPr="00327676">
        <w:rPr>
          <w:rFonts w:ascii="Times New Roman" w:hAnsi="Times New Roman" w:cs="Times New Roman"/>
          <w:sz w:val="24"/>
          <w:szCs w:val="24"/>
        </w:rPr>
        <w:t>We are a group of academics currently undertaking an Australian Research Council-funded proje</w:t>
      </w:r>
      <w:r w:rsidR="001D3BD8" w:rsidRPr="00327676">
        <w:rPr>
          <w:rFonts w:ascii="Times New Roman" w:hAnsi="Times New Roman" w:cs="Times New Roman"/>
          <w:sz w:val="24"/>
          <w:szCs w:val="24"/>
        </w:rPr>
        <w:t xml:space="preserve">ct examining the regulation of illegal </w:t>
      </w:r>
      <w:r w:rsidRPr="00327676">
        <w:rPr>
          <w:rFonts w:ascii="Times New Roman" w:hAnsi="Times New Roman" w:cs="Times New Roman"/>
          <w:sz w:val="24"/>
          <w:szCs w:val="24"/>
        </w:rPr>
        <w:t xml:space="preserve">phoenix activity. Our aim is to devise ways in which this damaging behaviour can be most efficiently and effectively prevented and deterred, without damaging legitimate business activities to the detriment of the economy. </w:t>
      </w:r>
    </w:p>
    <w:p w14:paraId="099C773A" w14:textId="77777777" w:rsidR="006E76C7" w:rsidRPr="00327676" w:rsidRDefault="006E76C7" w:rsidP="00327676">
      <w:pPr>
        <w:spacing w:after="0" w:line="240" w:lineRule="auto"/>
        <w:jc w:val="both"/>
        <w:rPr>
          <w:rFonts w:ascii="Times New Roman" w:hAnsi="Times New Roman" w:cs="Times New Roman"/>
          <w:sz w:val="24"/>
          <w:szCs w:val="24"/>
        </w:rPr>
      </w:pPr>
    </w:p>
    <w:p w14:paraId="75EDDE13" w14:textId="7671602B" w:rsidR="00FB5DE2" w:rsidRPr="00327676" w:rsidRDefault="006E76C7"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As well as a series of scholarly and professional publications, w</w:t>
      </w:r>
      <w:r w:rsidR="00A06119" w:rsidRPr="00327676">
        <w:rPr>
          <w:rFonts w:ascii="Times New Roman" w:hAnsi="Times New Roman" w:cs="Times New Roman"/>
          <w:sz w:val="24"/>
          <w:szCs w:val="24"/>
        </w:rPr>
        <w:t xml:space="preserve">e have produced </w:t>
      </w:r>
      <w:r w:rsidRPr="00327676">
        <w:rPr>
          <w:rFonts w:ascii="Times New Roman" w:hAnsi="Times New Roman" w:cs="Times New Roman"/>
          <w:sz w:val="24"/>
          <w:szCs w:val="24"/>
        </w:rPr>
        <w:t>three</w:t>
      </w:r>
      <w:r w:rsidR="00A06119" w:rsidRPr="00327676">
        <w:rPr>
          <w:rFonts w:ascii="Times New Roman" w:hAnsi="Times New Roman" w:cs="Times New Roman"/>
          <w:sz w:val="24"/>
          <w:szCs w:val="24"/>
        </w:rPr>
        <w:t xml:space="preserve"> major reports</w:t>
      </w:r>
      <w:r w:rsidRPr="00327676">
        <w:rPr>
          <w:rFonts w:ascii="Times New Roman" w:hAnsi="Times New Roman" w:cs="Times New Roman"/>
          <w:sz w:val="24"/>
          <w:szCs w:val="24"/>
        </w:rPr>
        <w:t xml:space="preserve">: </w:t>
      </w:r>
      <w:r w:rsidR="00A06119" w:rsidRPr="00327676">
        <w:rPr>
          <w:rFonts w:ascii="Times New Roman" w:hAnsi="Times New Roman" w:cs="Times New Roman"/>
          <w:i/>
          <w:sz w:val="24"/>
          <w:szCs w:val="24"/>
        </w:rPr>
        <w:t xml:space="preserve">Defining and Profiling Phoenix Activity </w:t>
      </w:r>
      <w:r w:rsidRPr="00327676">
        <w:rPr>
          <w:rFonts w:ascii="Times New Roman" w:hAnsi="Times New Roman" w:cs="Times New Roman"/>
          <w:sz w:val="24"/>
          <w:szCs w:val="24"/>
        </w:rPr>
        <w:t xml:space="preserve">(December 2014); </w:t>
      </w:r>
      <w:r w:rsidR="00A06119" w:rsidRPr="00327676">
        <w:rPr>
          <w:rFonts w:ascii="Times New Roman" w:hAnsi="Times New Roman" w:cs="Times New Roman"/>
          <w:i/>
          <w:sz w:val="24"/>
          <w:szCs w:val="24"/>
        </w:rPr>
        <w:t>Quantifying Phoenix Activity: Incidence, Cost</w:t>
      </w:r>
      <w:r w:rsidR="003A37A3" w:rsidRPr="00327676">
        <w:rPr>
          <w:rFonts w:ascii="Times New Roman" w:hAnsi="Times New Roman" w:cs="Times New Roman"/>
          <w:i/>
          <w:sz w:val="24"/>
          <w:szCs w:val="24"/>
        </w:rPr>
        <w:t xml:space="preserve">, </w:t>
      </w:r>
      <w:r w:rsidR="00A06119" w:rsidRPr="00327676">
        <w:rPr>
          <w:rFonts w:ascii="Times New Roman" w:hAnsi="Times New Roman" w:cs="Times New Roman"/>
          <w:i/>
          <w:sz w:val="24"/>
          <w:szCs w:val="24"/>
        </w:rPr>
        <w:t>Enforcement</w:t>
      </w:r>
      <w:r w:rsidR="00A06119" w:rsidRPr="00327676">
        <w:rPr>
          <w:rFonts w:ascii="Times New Roman" w:hAnsi="Times New Roman" w:cs="Times New Roman"/>
          <w:sz w:val="24"/>
          <w:szCs w:val="24"/>
        </w:rPr>
        <w:t xml:space="preserve"> (October 2015),</w:t>
      </w:r>
      <w:r w:rsidRPr="00327676">
        <w:rPr>
          <w:rFonts w:ascii="Times New Roman" w:hAnsi="Times New Roman" w:cs="Times New Roman"/>
          <w:sz w:val="24"/>
          <w:szCs w:val="24"/>
        </w:rPr>
        <w:t xml:space="preserve"> and </w:t>
      </w:r>
      <w:r w:rsidRPr="00327676">
        <w:rPr>
          <w:rFonts w:ascii="Times New Roman" w:hAnsi="Times New Roman" w:cs="Times New Roman"/>
          <w:i/>
          <w:sz w:val="24"/>
          <w:szCs w:val="24"/>
        </w:rPr>
        <w:t>Phoenix Activity: Recommendations on Detection, Disruption and Enforcement</w:t>
      </w:r>
      <w:r w:rsidRPr="00327676">
        <w:rPr>
          <w:rFonts w:ascii="Times New Roman" w:hAnsi="Times New Roman" w:cs="Times New Roman"/>
          <w:sz w:val="24"/>
          <w:szCs w:val="24"/>
        </w:rPr>
        <w:t xml:space="preserve"> (February 2017). </w:t>
      </w:r>
      <w:r w:rsidR="00FB5DE2" w:rsidRPr="00327676">
        <w:rPr>
          <w:rFonts w:ascii="Times New Roman" w:hAnsi="Times New Roman" w:cs="Times New Roman"/>
          <w:sz w:val="24"/>
          <w:szCs w:val="24"/>
        </w:rPr>
        <w:t xml:space="preserve">Please click </w:t>
      </w:r>
      <w:hyperlink r:id="rId9" w:history="1">
        <w:r w:rsidR="00FB5DE2" w:rsidRPr="00327676">
          <w:rPr>
            <w:rStyle w:val="Hyperlink"/>
            <w:rFonts w:ascii="Times New Roman" w:hAnsi="Times New Roman"/>
            <w:sz w:val="24"/>
            <w:szCs w:val="24"/>
          </w:rPr>
          <w:t>here</w:t>
        </w:r>
      </w:hyperlink>
      <w:r w:rsidR="00FB5DE2" w:rsidRPr="00327676">
        <w:rPr>
          <w:rFonts w:ascii="Times New Roman" w:hAnsi="Times New Roman" w:cs="Times New Roman"/>
          <w:sz w:val="24"/>
          <w:szCs w:val="24"/>
        </w:rPr>
        <w:t xml:space="preserve"> to access these reports.</w:t>
      </w:r>
      <w:r w:rsidR="00FC61F3" w:rsidRPr="00327676">
        <w:rPr>
          <w:rFonts w:ascii="Times New Roman" w:hAnsi="Times New Roman" w:cs="Times New Roman"/>
          <w:sz w:val="24"/>
          <w:szCs w:val="24"/>
        </w:rPr>
        <w:t xml:space="preserve"> While not all exploitation of the Fair Entitlements Guarantee is through illegal phoenix activity, we base our recommendations on what we have learnt through our extensive research into this area.</w:t>
      </w:r>
    </w:p>
    <w:p w14:paraId="3C372B32" w14:textId="77777777" w:rsidR="00FC61F3" w:rsidRPr="00327676" w:rsidRDefault="00FC61F3" w:rsidP="00327676">
      <w:pPr>
        <w:spacing w:after="0" w:line="240" w:lineRule="auto"/>
        <w:jc w:val="both"/>
        <w:rPr>
          <w:rFonts w:ascii="Times New Roman" w:hAnsi="Times New Roman" w:cs="Times New Roman"/>
          <w:sz w:val="24"/>
          <w:szCs w:val="24"/>
        </w:rPr>
      </w:pPr>
    </w:p>
    <w:p w14:paraId="2B80FAC0" w14:textId="7C666BB3" w:rsidR="00FC61F3" w:rsidRPr="00327676" w:rsidRDefault="00FC61F3"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We applaud the government for its commitment to the Fair Entitlements Guarantee and for its desire to explore options to address corporate misuse of the program. We are very pleased to note that the government is looking at the wrongdoing of corporate controllers as a means of dealing with </w:t>
      </w:r>
      <w:r w:rsidR="00924B08" w:rsidRPr="00327676">
        <w:rPr>
          <w:rFonts w:ascii="Times New Roman" w:hAnsi="Times New Roman" w:cs="Times New Roman"/>
          <w:sz w:val="24"/>
          <w:szCs w:val="24"/>
        </w:rPr>
        <w:t xml:space="preserve">the </w:t>
      </w:r>
      <w:r w:rsidRPr="00327676">
        <w:rPr>
          <w:rFonts w:ascii="Times New Roman" w:hAnsi="Times New Roman" w:cs="Times New Roman"/>
          <w:sz w:val="24"/>
          <w:szCs w:val="24"/>
        </w:rPr>
        <w:t xml:space="preserve">FEG cost blowout, and is not penalising innocent workers through limiting their access to the program. </w:t>
      </w:r>
    </w:p>
    <w:p w14:paraId="2BB8FF7F" w14:textId="77777777" w:rsidR="000C4AF4" w:rsidRPr="00327676" w:rsidRDefault="000C4AF4" w:rsidP="00327676">
      <w:pPr>
        <w:spacing w:after="0" w:line="240" w:lineRule="auto"/>
        <w:jc w:val="both"/>
        <w:rPr>
          <w:rFonts w:ascii="Times New Roman" w:hAnsi="Times New Roman" w:cs="Times New Roman"/>
          <w:sz w:val="24"/>
          <w:szCs w:val="24"/>
        </w:rPr>
      </w:pPr>
    </w:p>
    <w:p w14:paraId="764FE881" w14:textId="678DC657" w:rsidR="006E76C7" w:rsidRPr="00327676" w:rsidRDefault="0024246E" w:rsidP="00327676">
      <w:pPr>
        <w:spacing w:after="0" w:line="240" w:lineRule="auto"/>
        <w:jc w:val="both"/>
        <w:rPr>
          <w:rFonts w:ascii="Times New Roman" w:hAnsi="Times New Roman" w:cs="Times New Roman"/>
          <w:b/>
          <w:sz w:val="24"/>
          <w:szCs w:val="24"/>
        </w:rPr>
      </w:pPr>
      <w:r w:rsidRPr="00327676">
        <w:rPr>
          <w:rFonts w:ascii="Times New Roman" w:hAnsi="Times New Roman" w:cs="Times New Roman"/>
          <w:b/>
          <w:sz w:val="24"/>
          <w:szCs w:val="24"/>
        </w:rPr>
        <w:t xml:space="preserve">Background </w:t>
      </w:r>
    </w:p>
    <w:p w14:paraId="729797F8" w14:textId="2303030A" w:rsidR="00A06119" w:rsidRPr="00327676" w:rsidRDefault="006E76C7"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The concept of phoenix activity broadly centres on the idea of </w:t>
      </w:r>
      <w:r w:rsidRPr="00327676">
        <w:rPr>
          <w:rFonts w:ascii="Times New Roman" w:hAnsi="Times New Roman" w:cs="Times New Roman"/>
          <w:color w:val="000000"/>
          <w:sz w:val="24"/>
          <w:szCs w:val="24"/>
        </w:rPr>
        <w:t>a corporate failure</w:t>
      </w:r>
      <w:r w:rsidR="00AB0FD3" w:rsidRPr="00327676">
        <w:rPr>
          <w:rFonts w:ascii="Times New Roman" w:hAnsi="Times New Roman" w:cs="Times New Roman"/>
          <w:color w:val="000000"/>
          <w:sz w:val="24"/>
          <w:szCs w:val="24"/>
        </w:rPr>
        <w:t xml:space="preserve"> (‘Oldco’)</w:t>
      </w:r>
      <w:r w:rsidRPr="00327676">
        <w:rPr>
          <w:rFonts w:ascii="Times New Roman" w:hAnsi="Times New Roman" w:cs="Times New Roman"/>
          <w:color w:val="000000"/>
          <w:sz w:val="24"/>
          <w:szCs w:val="24"/>
        </w:rPr>
        <w:t xml:space="preserve"> and a second company</w:t>
      </w:r>
      <w:r w:rsidR="00AB0FD3" w:rsidRPr="00327676">
        <w:rPr>
          <w:rFonts w:ascii="Times New Roman" w:hAnsi="Times New Roman" w:cs="Times New Roman"/>
          <w:color w:val="000000"/>
          <w:sz w:val="24"/>
          <w:szCs w:val="24"/>
        </w:rPr>
        <w:t xml:space="preserve"> (‘Newco’)</w:t>
      </w:r>
      <w:r w:rsidRPr="00327676">
        <w:rPr>
          <w:rFonts w:ascii="Times New Roman" w:hAnsi="Times New Roman" w:cs="Times New Roman"/>
          <w:color w:val="000000"/>
          <w:sz w:val="24"/>
          <w:szCs w:val="24"/>
        </w:rPr>
        <w:t xml:space="preserve">, often newly incorporated, </w:t>
      </w:r>
      <w:r w:rsidRPr="00327676">
        <w:rPr>
          <w:rFonts w:ascii="Times New Roman" w:hAnsi="Times New Roman" w:cs="Times New Roman"/>
          <w:sz w:val="24"/>
          <w:szCs w:val="24"/>
        </w:rPr>
        <w:t>arising from the ashes of its failed predecessor where the second company’s controllers and business are essentially the same. Phoenix activity can be legal as well as illegal. Legal phoenix activity covers situations where the previous controllers start another similar business, using a new company when their earlier company fails, usually in order to rescue its business. Illegal phoenix activity involves similar activities, but the intention is to exploit the corporate form to the detriment of unsecured creditors, including employees and tax authorities. The illegality here is generally as a result of a breach of directors’ duties in failing to act properly in respect of the failed company and its creditors.</w:t>
      </w:r>
    </w:p>
    <w:p w14:paraId="08675F4E" w14:textId="77777777" w:rsidR="004D278C" w:rsidRPr="00327676" w:rsidRDefault="004D278C" w:rsidP="00327676">
      <w:pPr>
        <w:spacing w:after="0" w:line="240" w:lineRule="auto"/>
        <w:jc w:val="both"/>
        <w:rPr>
          <w:rFonts w:ascii="Times New Roman" w:hAnsi="Times New Roman" w:cs="Times New Roman"/>
          <w:sz w:val="24"/>
          <w:szCs w:val="24"/>
        </w:rPr>
      </w:pPr>
    </w:p>
    <w:p w14:paraId="434EC2F4" w14:textId="77777777" w:rsidR="0024246E" w:rsidRPr="00327676" w:rsidRDefault="0024246E" w:rsidP="00327676">
      <w:pPr>
        <w:spacing w:after="0" w:line="240" w:lineRule="auto"/>
        <w:rPr>
          <w:rFonts w:ascii="Times New Roman" w:hAnsi="Times New Roman" w:cs="Times New Roman"/>
          <w:b/>
          <w:sz w:val="24"/>
          <w:szCs w:val="24"/>
        </w:rPr>
      </w:pPr>
      <w:r w:rsidRPr="00327676">
        <w:rPr>
          <w:rFonts w:ascii="Times New Roman" w:hAnsi="Times New Roman" w:cs="Times New Roman"/>
          <w:b/>
          <w:sz w:val="24"/>
          <w:szCs w:val="24"/>
        </w:rPr>
        <w:br w:type="page"/>
      </w:r>
    </w:p>
    <w:p w14:paraId="560226E6" w14:textId="2B6B0294" w:rsidR="00B47F46" w:rsidRPr="00327676" w:rsidRDefault="00FC61F3" w:rsidP="00327676">
      <w:pPr>
        <w:spacing w:after="0" w:line="240" w:lineRule="auto"/>
        <w:jc w:val="both"/>
        <w:rPr>
          <w:rFonts w:ascii="Times New Roman" w:hAnsi="Times New Roman" w:cs="Times New Roman"/>
          <w:b/>
          <w:sz w:val="24"/>
          <w:szCs w:val="24"/>
        </w:rPr>
      </w:pPr>
      <w:r w:rsidRPr="00327676">
        <w:rPr>
          <w:rFonts w:ascii="Times New Roman" w:hAnsi="Times New Roman" w:cs="Times New Roman"/>
          <w:b/>
          <w:sz w:val="24"/>
          <w:szCs w:val="24"/>
        </w:rPr>
        <w:lastRenderedPageBreak/>
        <w:t>Critical issues in understanding corporate misuse of the Fair Entitlements Guarantee</w:t>
      </w:r>
    </w:p>
    <w:p w14:paraId="312C262A" w14:textId="7FA46959" w:rsidR="00D815A7" w:rsidRPr="00327676" w:rsidRDefault="00FC61F3"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We strongly recommend that Treasury and the Department of Employment read our three reports, in particular our final recommendations report. This is a complex problem extending far beyond the exploitation of a government safety net scheme. </w:t>
      </w:r>
    </w:p>
    <w:p w14:paraId="563DB7A0" w14:textId="77777777" w:rsidR="00D815A7" w:rsidRPr="00327676" w:rsidRDefault="00D815A7" w:rsidP="00327676">
      <w:pPr>
        <w:spacing w:after="0" w:line="240" w:lineRule="auto"/>
        <w:jc w:val="both"/>
        <w:rPr>
          <w:rFonts w:ascii="Times New Roman" w:hAnsi="Times New Roman" w:cs="Times New Roman"/>
          <w:sz w:val="24"/>
          <w:szCs w:val="24"/>
        </w:rPr>
      </w:pPr>
    </w:p>
    <w:p w14:paraId="2E386F90" w14:textId="05C0F32D" w:rsidR="00FC61F3" w:rsidRPr="00327676" w:rsidRDefault="00FC61F3"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However, to summarise, it is vital to understand the following:</w:t>
      </w:r>
    </w:p>
    <w:p w14:paraId="604ED16F" w14:textId="3C9435B7" w:rsidR="00321853" w:rsidRDefault="00321853" w:rsidP="00327676">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increased reliance on FEG is not necessarily caused by an increase in moral hazard or ‘sharp practice’. A limited liability company can fail without any wrongdoing by its controllers.</w:t>
      </w:r>
    </w:p>
    <w:p w14:paraId="768AE1AD" w14:textId="7BCE65E8" w:rsidR="00321853" w:rsidRPr="00321853" w:rsidRDefault="00321853" w:rsidP="00321853">
      <w:pPr>
        <w:pStyle w:val="ListParagraph"/>
        <w:numPr>
          <w:ilvl w:val="0"/>
          <w:numId w:val="6"/>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There are already provisions of the </w:t>
      </w:r>
      <w:r w:rsidRPr="00327676">
        <w:rPr>
          <w:rFonts w:ascii="Times New Roman" w:hAnsi="Times New Roman" w:cs="Times New Roman"/>
          <w:i/>
          <w:sz w:val="24"/>
          <w:szCs w:val="24"/>
        </w:rPr>
        <w:t>Corporations Act</w:t>
      </w:r>
      <w:r w:rsidRPr="00327676">
        <w:rPr>
          <w:rFonts w:ascii="Times New Roman" w:hAnsi="Times New Roman" w:cs="Times New Roman"/>
          <w:sz w:val="24"/>
          <w:szCs w:val="24"/>
        </w:rPr>
        <w:t xml:space="preserve"> that target director and officer wrongdoing that leads to exploitation of FEG.</w:t>
      </w:r>
    </w:p>
    <w:p w14:paraId="38848757" w14:textId="3DED211B" w:rsidR="00321853" w:rsidRPr="00321853" w:rsidRDefault="00321853" w:rsidP="00321853">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Corporate wrongdoing cannot be detected without a proper investigation of what went wrong in each instance.</w:t>
      </w:r>
    </w:p>
    <w:p w14:paraId="22F6EB47" w14:textId="340EF95A" w:rsidR="003265E5" w:rsidRPr="00327676" w:rsidRDefault="003265E5" w:rsidP="00327676">
      <w:pPr>
        <w:pStyle w:val="ListParagraph"/>
        <w:numPr>
          <w:ilvl w:val="0"/>
          <w:numId w:val="6"/>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Enforcement depends upon:</w:t>
      </w:r>
    </w:p>
    <w:p w14:paraId="6C6AFC1A" w14:textId="3807FE65" w:rsidR="003265E5" w:rsidRPr="00327676" w:rsidRDefault="003265E5" w:rsidP="00327676">
      <w:pPr>
        <w:pStyle w:val="ListParagraph"/>
        <w:numPr>
          <w:ilvl w:val="1"/>
          <w:numId w:val="6"/>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The offence being detected by a regulator or external administrator, and </w:t>
      </w:r>
    </w:p>
    <w:p w14:paraId="544E20DB" w14:textId="7E27D332" w:rsidR="003265E5" w:rsidRPr="00327676" w:rsidRDefault="003265E5" w:rsidP="00327676">
      <w:pPr>
        <w:pStyle w:val="ListParagraph"/>
        <w:numPr>
          <w:ilvl w:val="1"/>
          <w:numId w:val="6"/>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A regulator or external administrator having the resources to bring action, and</w:t>
      </w:r>
    </w:p>
    <w:p w14:paraId="0342C868" w14:textId="5F1B23FF" w:rsidR="003265E5" w:rsidRPr="00327676" w:rsidRDefault="003265E5" w:rsidP="00327676">
      <w:pPr>
        <w:pStyle w:val="ListParagraph"/>
        <w:numPr>
          <w:ilvl w:val="1"/>
          <w:numId w:val="6"/>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A regulator or external administrator being willing to bring action.</w:t>
      </w:r>
    </w:p>
    <w:p w14:paraId="352302E1" w14:textId="77777777" w:rsidR="005F555B" w:rsidRPr="00327676" w:rsidRDefault="005F555B" w:rsidP="00327676">
      <w:pPr>
        <w:pStyle w:val="ListParagraph"/>
        <w:numPr>
          <w:ilvl w:val="0"/>
          <w:numId w:val="6"/>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The victims of corporate wrongdoing are far broader than employees and the government via support of FEG. </w:t>
      </w:r>
    </w:p>
    <w:p w14:paraId="71C6F2BD" w14:textId="1CC68DFB" w:rsidR="005F555B" w:rsidRPr="00327676" w:rsidRDefault="005F555B" w:rsidP="00327676">
      <w:pPr>
        <w:pStyle w:val="ListParagraph"/>
        <w:numPr>
          <w:ilvl w:val="1"/>
          <w:numId w:val="6"/>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Unsecured trade creditors suffer through non-payment of their debts, with no safety net scheme to avoid the consequences</w:t>
      </w:r>
      <w:r w:rsidR="0024246E" w:rsidRPr="00327676">
        <w:rPr>
          <w:rFonts w:ascii="Times New Roman" w:hAnsi="Times New Roman" w:cs="Times New Roman"/>
          <w:sz w:val="24"/>
          <w:szCs w:val="24"/>
        </w:rPr>
        <w:t>. This includes</w:t>
      </w:r>
      <w:r w:rsidRPr="00327676">
        <w:rPr>
          <w:rFonts w:ascii="Times New Roman" w:hAnsi="Times New Roman" w:cs="Times New Roman"/>
          <w:sz w:val="24"/>
          <w:szCs w:val="24"/>
        </w:rPr>
        <w:t xml:space="preserve"> their own insolvency</w:t>
      </w:r>
      <w:r w:rsidR="0024246E" w:rsidRPr="00327676">
        <w:rPr>
          <w:rFonts w:ascii="Times New Roman" w:hAnsi="Times New Roman" w:cs="Times New Roman"/>
          <w:sz w:val="24"/>
          <w:szCs w:val="24"/>
        </w:rPr>
        <w:t xml:space="preserve"> and the reliance of </w:t>
      </w:r>
      <w:r w:rsidR="0024246E" w:rsidRPr="00327676">
        <w:rPr>
          <w:rFonts w:ascii="Times New Roman" w:hAnsi="Times New Roman" w:cs="Times New Roman"/>
          <w:i/>
          <w:sz w:val="24"/>
          <w:szCs w:val="24"/>
        </w:rPr>
        <w:t xml:space="preserve">their </w:t>
      </w:r>
      <w:r w:rsidR="0024246E" w:rsidRPr="00327676">
        <w:rPr>
          <w:rFonts w:ascii="Times New Roman" w:hAnsi="Times New Roman" w:cs="Times New Roman"/>
          <w:sz w:val="24"/>
          <w:szCs w:val="24"/>
        </w:rPr>
        <w:t>employees on FEG</w:t>
      </w:r>
      <w:r w:rsidRPr="00327676">
        <w:rPr>
          <w:rFonts w:ascii="Times New Roman" w:hAnsi="Times New Roman" w:cs="Times New Roman"/>
          <w:sz w:val="24"/>
          <w:szCs w:val="24"/>
        </w:rPr>
        <w:t xml:space="preserve">. </w:t>
      </w:r>
    </w:p>
    <w:p w14:paraId="77F27E1F" w14:textId="0F61BAB1" w:rsidR="005F555B" w:rsidRPr="00327676" w:rsidRDefault="005F555B" w:rsidP="00327676">
      <w:pPr>
        <w:pStyle w:val="ListParagraph"/>
        <w:numPr>
          <w:ilvl w:val="1"/>
          <w:numId w:val="6"/>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Law abiding competitors lose business to their fraudulent counterparts and may themselves be tempted to abuse the corporate form.</w:t>
      </w:r>
    </w:p>
    <w:p w14:paraId="52E749D8" w14:textId="7B37884F" w:rsidR="005B2783" w:rsidRPr="00327676" w:rsidRDefault="005B2783" w:rsidP="00327676">
      <w:pPr>
        <w:pStyle w:val="ListParagraph"/>
        <w:numPr>
          <w:ilvl w:val="0"/>
          <w:numId w:val="6"/>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If the government deals with the abuse of the corporate form more broadly, it will have flow-on effects for all creditors, </w:t>
      </w:r>
      <w:r w:rsidRPr="00D64261">
        <w:rPr>
          <w:rFonts w:ascii="Times New Roman" w:hAnsi="Times New Roman" w:cs="Times New Roman"/>
          <w:sz w:val="24"/>
          <w:szCs w:val="24"/>
        </w:rPr>
        <w:t>including the Department of Employment</w:t>
      </w:r>
      <w:r w:rsidRPr="00327676">
        <w:rPr>
          <w:rFonts w:ascii="Times New Roman" w:hAnsi="Times New Roman" w:cs="Times New Roman"/>
          <w:sz w:val="24"/>
          <w:szCs w:val="24"/>
        </w:rPr>
        <w:t xml:space="preserve">. </w:t>
      </w:r>
    </w:p>
    <w:p w14:paraId="2DFFCB28" w14:textId="77777777" w:rsidR="005F555B" w:rsidRPr="00327676" w:rsidRDefault="005F555B" w:rsidP="00327676">
      <w:pPr>
        <w:spacing w:after="0" w:line="240" w:lineRule="auto"/>
        <w:jc w:val="both"/>
        <w:rPr>
          <w:rFonts w:ascii="Times New Roman" w:hAnsi="Times New Roman" w:cs="Times New Roman"/>
          <w:sz w:val="24"/>
          <w:szCs w:val="24"/>
        </w:rPr>
      </w:pPr>
    </w:p>
    <w:p w14:paraId="688E1BC7" w14:textId="2835453E" w:rsidR="005F555B" w:rsidRPr="00327676" w:rsidRDefault="005F555B"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Therefore, we advise that:</w:t>
      </w:r>
    </w:p>
    <w:p w14:paraId="51131C92" w14:textId="0F0E71A3" w:rsidR="005F555B" w:rsidRPr="00327676" w:rsidRDefault="005F555B" w:rsidP="00327676">
      <w:pPr>
        <w:pStyle w:val="ListParagraph"/>
        <w:numPr>
          <w:ilvl w:val="0"/>
          <w:numId w:val="7"/>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A small targeted reform of liability provisions will be ineffective unless the government tackles some of the wider systemic issues that allow abuse of the corporate form to happen.</w:t>
      </w:r>
    </w:p>
    <w:p w14:paraId="1028FA13" w14:textId="2D3A2403" w:rsidR="005F555B" w:rsidRPr="00327676" w:rsidRDefault="005F555B" w:rsidP="00327676">
      <w:pPr>
        <w:pStyle w:val="ListParagraph"/>
        <w:numPr>
          <w:ilvl w:val="0"/>
          <w:numId w:val="7"/>
        </w:num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The government and the economy is exposed to </w:t>
      </w:r>
      <w:r w:rsidR="009F4005" w:rsidRPr="00327676">
        <w:rPr>
          <w:rFonts w:ascii="Times New Roman" w:hAnsi="Times New Roman" w:cs="Times New Roman"/>
          <w:sz w:val="24"/>
          <w:szCs w:val="24"/>
        </w:rPr>
        <w:t>much</w:t>
      </w:r>
      <w:r w:rsidRPr="00327676">
        <w:rPr>
          <w:rFonts w:ascii="Times New Roman" w:hAnsi="Times New Roman" w:cs="Times New Roman"/>
          <w:sz w:val="24"/>
          <w:szCs w:val="24"/>
        </w:rPr>
        <w:t xml:space="preserve"> wider losses</w:t>
      </w:r>
      <w:r w:rsidR="009F4005" w:rsidRPr="00327676">
        <w:rPr>
          <w:rFonts w:ascii="Times New Roman" w:hAnsi="Times New Roman" w:cs="Times New Roman"/>
          <w:sz w:val="24"/>
          <w:szCs w:val="24"/>
        </w:rPr>
        <w:t xml:space="preserve"> than just FEG misuse,</w:t>
      </w:r>
      <w:r w:rsidRPr="00327676">
        <w:rPr>
          <w:rFonts w:ascii="Times New Roman" w:hAnsi="Times New Roman" w:cs="Times New Roman"/>
          <w:sz w:val="24"/>
          <w:szCs w:val="24"/>
        </w:rPr>
        <w:t xml:space="preserve"> through unremitted PAYG and superannuation</w:t>
      </w:r>
      <w:r w:rsidR="009F4005" w:rsidRPr="00327676">
        <w:rPr>
          <w:rFonts w:ascii="Times New Roman" w:hAnsi="Times New Roman" w:cs="Times New Roman"/>
          <w:sz w:val="24"/>
          <w:szCs w:val="24"/>
        </w:rPr>
        <w:t xml:space="preserve"> with</w:t>
      </w:r>
      <w:r w:rsidRPr="00327676">
        <w:rPr>
          <w:rFonts w:ascii="Times New Roman" w:hAnsi="Times New Roman" w:cs="Times New Roman"/>
          <w:sz w:val="24"/>
          <w:szCs w:val="24"/>
        </w:rPr>
        <w:t xml:space="preserve"> consequent over-reliance on the age pension. This justifies much more extensive reforms than the ones currently proposed. </w:t>
      </w:r>
    </w:p>
    <w:p w14:paraId="005F29CF" w14:textId="77777777" w:rsidR="005B2783" w:rsidRPr="00327676" w:rsidRDefault="005B2783" w:rsidP="00327676">
      <w:pPr>
        <w:spacing w:after="0" w:line="240" w:lineRule="auto"/>
        <w:jc w:val="both"/>
        <w:rPr>
          <w:rFonts w:ascii="Times New Roman" w:hAnsi="Times New Roman" w:cs="Times New Roman"/>
          <w:sz w:val="24"/>
          <w:szCs w:val="24"/>
        </w:rPr>
      </w:pPr>
    </w:p>
    <w:p w14:paraId="39DC1C3A" w14:textId="6ACCEE85" w:rsidR="005B2783" w:rsidRPr="00327676" w:rsidRDefault="005B2783"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Our submission now addresses, first, the options raised by the Consultation Paper and second, some suggestions to deal with abuse of the corporate form more broadly.</w:t>
      </w:r>
    </w:p>
    <w:p w14:paraId="186581A7" w14:textId="77777777" w:rsidR="005B2783" w:rsidRPr="00327676" w:rsidRDefault="005B2783" w:rsidP="00327676">
      <w:pPr>
        <w:spacing w:after="0" w:line="240" w:lineRule="auto"/>
        <w:jc w:val="both"/>
        <w:rPr>
          <w:rFonts w:ascii="Times New Roman" w:hAnsi="Times New Roman" w:cs="Times New Roman"/>
          <w:sz w:val="24"/>
          <w:szCs w:val="24"/>
        </w:rPr>
      </w:pPr>
    </w:p>
    <w:p w14:paraId="4DAECD55" w14:textId="77777777" w:rsidR="009F4005" w:rsidRPr="00327676" w:rsidRDefault="009F4005" w:rsidP="00327676">
      <w:pPr>
        <w:spacing w:after="0" w:line="240" w:lineRule="auto"/>
        <w:jc w:val="both"/>
        <w:rPr>
          <w:rFonts w:ascii="Times New Roman" w:hAnsi="Times New Roman" w:cs="Times New Roman"/>
          <w:sz w:val="24"/>
          <w:szCs w:val="24"/>
        </w:rPr>
      </w:pPr>
    </w:p>
    <w:p w14:paraId="54CC6FC1" w14:textId="77777777" w:rsidR="0024246E" w:rsidRPr="00327676" w:rsidRDefault="0024246E" w:rsidP="00327676">
      <w:pPr>
        <w:spacing w:after="0" w:line="240" w:lineRule="auto"/>
        <w:rPr>
          <w:rFonts w:ascii="Times New Roman" w:hAnsi="Times New Roman" w:cs="Times New Roman"/>
          <w:b/>
          <w:sz w:val="24"/>
          <w:szCs w:val="24"/>
        </w:rPr>
      </w:pPr>
      <w:r w:rsidRPr="00327676">
        <w:rPr>
          <w:rFonts w:ascii="Times New Roman" w:hAnsi="Times New Roman" w:cs="Times New Roman"/>
          <w:b/>
          <w:sz w:val="24"/>
          <w:szCs w:val="24"/>
        </w:rPr>
        <w:br w:type="page"/>
      </w:r>
    </w:p>
    <w:p w14:paraId="46081B42" w14:textId="0841865E" w:rsidR="009F4005" w:rsidRPr="00327676" w:rsidRDefault="009F4005" w:rsidP="00327676">
      <w:pPr>
        <w:spacing w:after="0" w:line="240" w:lineRule="auto"/>
        <w:jc w:val="both"/>
        <w:rPr>
          <w:rFonts w:ascii="Times New Roman" w:hAnsi="Times New Roman" w:cs="Times New Roman"/>
          <w:b/>
          <w:sz w:val="24"/>
          <w:szCs w:val="24"/>
        </w:rPr>
      </w:pPr>
      <w:r w:rsidRPr="00327676">
        <w:rPr>
          <w:rFonts w:ascii="Times New Roman" w:hAnsi="Times New Roman" w:cs="Times New Roman"/>
          <w:b/>
          <w:sz w:val="24"/>
          <w:szCs w:val="24"/>
        </w:rPr>
        <w:lastRenderedPageBreak/>
        <w:t>Consultation Paper Options</w:t>
      </w:r>
    </w:p>
    <w:p w14:paraId="551FAABF" w14:textId="77777777" w:rsidR="00FC61F3" w:rsidRPr="00327676" w:rsidRDefault="00FC61F3" w:rsidP="00327676">
      <w:pPr>
        <w:spacing w:after="0" w:line="240" w:lineRule="auto"/>
        <w:jc w:val="both"/>
        <w:rPr>
          <w:rFonts w:ascii="Times New Roman" w:hAnsi="Times New Roman" w:cs="Times New Roman"/>
          <w:sz w:val="24"/>
          <w:szCs w:val="24"/>
        </w:rPr>
      </w:pPr>
    </w:p>
    <w:p w14:paraId="11E29581" w14:textId="07732A8D" w:rsidR="001B072E" w:rsidRPr="00327676" w:rsidRDefault="00037B3D" w:rsidP="00106BDB">
      <w:pPr>
        <w:spacing w:after="0" w:line="240" w:lineRule="auto"/>
        <w:ind w:firstLine="720"/>
        <w:jc w:val="center"/>
        <w:rPr>
          <w:rFonts w:ascii="Times New Roman" w:hAnsi="Times New Roman" w:cs="Times New Roman"/>
          <w:b/>
          <w:i/>
          <w:sz w:val="24"/>
          <w:szCs w:val="24"/>
        </w:rPr>
      </w:pPr>
      <w:r w:rsidRPr="00327676">
        <w:rPr>
          <w:rFonts w:ascii="Times New Roman" w:hAnsi="Times New Roman" w:cs="Times New Roman"/>
          <w:b/>
          <w:sz w:val="24"/>
          <w:szCs w:val="24"/>
        </w:rPr>
        <w:t xml:space="preserve">REFORM </w:t>
      </w:r>
      <w:r w:rsidR="00D61D6C">
        <w:rPr>
          <w:rFonts w:ascii="Times New Roman" w:hAnsi="Times New Roman" w:cs="Times New Roman"/>
          <w:b/>
          <w:sz w:val="24"/>
          <w:szCs w:val="24"/>
        </w:rPr>
        <w:t>TO</w:t>
      </w:r>
      <w:r w:rsidRPr="00327676">
        <w:rPr>
          <w:rFonts w:ascii="Times New Roman" w:hAnsi="Times New Roman" w:cs="Times New Roman"/>
          <w:b/>
          <w:sz w:val="24"/>
          <w:szCs w:val="24"/>
        </w:rPr>
        <w:t xml:space="preserve"> PART 5.8A OF THE </w:t>
      </w:r>
      <w:r w:rsidRPr="00327676">
        <w:rPr>
          <w:rFonts w:ascii="Times New Roman" w:hAnsi="Times New Roman" w:cs="Times New Roman"/>
          <w:b/>
          <w:i/>
          <w:sz w:val="24"/>
          <w:szCs w:val="24"/>
        </w:rPr>
        <w:t>CORPORATIONS ACT</w:t>
      </w:r>
    </w:p>
    <w:p w14:paraId="4FBBC004" w14:textId="77777777" w:rsidR="00EA1828" w:rsidRPr="00327676" w:rsidRDefault="00EA1828"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There are three possible enforcement actions available for a breach of the directors’ duty to prevent insolvent trading:</w:t>
      </w:r>
      <w:r w:rsidRPr="00327676">
        <w:rPr>
          <w:rStyle w:val="FootnoteReference"/>
          <w:rFonts w:ascii="Times New Roman" w:hAnsi="Times New Roman" w:cs="Times New Roman"/>
          <w:sz w:val="24"/>
          <w:szCs w:val="24"/>
        </w:rPr>
        <w:footnoteReference w:id="1"/>
      </w:r>
      <w:r w:rsidRPr="00327676">
        <w:rPr>
          <w:rFonts w:ascii="Times New Roman" w:hAnsi="Times New Roman" w:cs="Times New Roman"/>
          <w:sz w:val="24"/>
          <w:szCs w:val="24"/>
        </w:rPr>
        <w:t xml:space="preserve"> a civil penalty application,</w:t>
      </w:r>
      <w:r w:rsidRPr="00327676">
        <w:rPr>
          <w:rStyle w:val="FootnoteReference"/>
          <w:rFonts w:ascii="Times New Roman" w:hAnsi="Times New Roman" w:cs="Times New Roman"/>
          <w:sz w:val="24"/>
          <w:szCs w:val="24"/>
        </w:rPr>
        <w:footnoteReference w:id="2"/>
      </w:r>
      <w:r w:rsidRPr="00327676">
        <w:rPr>
          <w:rFonts w:ascii="Times New Roman" w:hAnsi="Times New Roman" w:cs="Times New Roman"/>
          <w:sz w:val="24"/>
          <w:szCs w:val="24"/>
        </w:rPr>
        <w:t xml:space="preserve"> a criminal prosecution where the director acted dishonestly,</w:t>
      </w:r>
      <w:r w:rsidRPr="00327676">
        <w:rPr>
          <w:rStyle w:val="FootnoteReference"/>
          <w:rFonts w:ascii="Times New Roman" w:hAnsi="Times New Roman" w:cs="Times New Roman"/>
          <w:sz w:val="24"/>
          <w:szCs w:val="24"/>
        </w:rPr>
        <w:footnoteReference w:id="3"/>
      </w:r>
      <w:r w:rsidRPr="00327676">
        <w:rPr>
          <w:rFonts w:ascii="Times New Roman" w:hAnsi="Times New Roman" w:cs="Times New Roman"/>
          <w:sz w:val="24"/>
          <w:szCs w:val="24"/>
        </w:rPr>
        <w:t xml:space="preserve"> and a civil recovery action by the liquidator.</w:t>
      </w:r>
      <w:r w:rsidRPr="00327676">
        <w:rPr>
          <w:rStyle w:val="FootnoteReference"/>
          <w:rFonts w:ascii="Times New Roman" w:hAnsi="Times New Roman" w:cs="Times New Roman"/>
          <w:sz w:val="24"/>
          <w:szCs w:val="24"/>
        </w:rPr>
        <w:footnoteReference w:id="4"/>
      </w:r>
      <w:r w:rsidRPr="00327676">
        <w:rPr>
          <w:rFonts w:ascii="Times New Roman" w:hAnsi="Times New Roman" w:cs="Times New Roman"/>
          <w:sz w:val="24"/>
          <w:szCs w:val="24"/>
        </w:rPr>
        <w:t xml:space="preserve"> This pattern should be replicated in relation to s 596AB. To do so would require the insertion of a civil penalty version of the breach provision while keeping the criminal provision with the required intention element, as follows.</w:t>
      </w:r>
    </w:p>
    <w:p w14:paraId="70C2353D" w14:textId="77777777" w:rsidR="00EA1828" w:rsidRPr="00327676" w:rsidRDefault="00EA1828" w:rsidP="00327676">
      <w:pPr>
        <w:spacing w:after="0" w:line="240" w:lineRule="auto"/>
        <w:jc w:val="both"/>
        <w:rPr>
          <w:rFonts w:ascii="Times New Roman" w:hAnsi="Times New Roman" w:cs="Times New Roman"/>
          <w:sz w:val="24"/>
          <w:szCs w:val="24"/>
        </w:rPr>
      </w:pPr>
    </w:p>
    <w:p w14:paraId="55891854" w14:textId="35ED6DE2" w:rsidR="00C5074A" w:rsidRPr="00327676" w:rsidRDefault="00EA1828" w:rsidP="00AF617B">
      <w:pPr>
        <w:spacing w:after="0" w:line="240" w:lineRule="auto"/>
        <w:jc w:val="both"/>
        <w:rPr>
          <w:rFonts w:ascii="Times New Roman" w:eastAsiaTheme="majorEastAsia" w:hAnsi="Times New Roman" w:cs="Times New Roman"/>
          <w:sz w:val="24"/>
          <w:szCs w:val="24"/>
        </w:rPr>
      </w:pPr>
      <w:r w:rsidRPr="00327676">
        <w:rPr>
          <w:rFonts w:ascii="Times New Roman" w:hAnsi="Times New Roman" w:cs="Times New Roman"/>
          <w:sz w:val="24"/>
          <w:szCs w:val="24"/>
        </w:rPr>
        <w:t xml:space="preserve">Section </w:t>
      </w:r>
      <w:r w:rsidRPr="00327676">
        <w:rPr>
          <w:rFonts w:ascii="Times New Roman" w:eastAsiaTheme="majorEastAsia" w:hAnsi="Times New Roman" w:cs="Times New Roman"/>
          <w:sz w:val="24"/>
          <w:szCs w:val="24"/>
        </w:rPr>
        <w:t>596AB should provide:</w:t>
      </w:r>
    </w:p>
    <w:p w14:paraId="2D48F2EB" w14:textId="77777777" w:rsidR="00EA1828" w:rsidRPr="00C5074A" w:rsidRDefault="00EA1828" w:rsidP="00AF617B">
      <w:pPr>
        <w:pStyle w:val="subsection"/>
        <w:spacing w:before="0" w:beforeAutospacing="0" w:after="0" w:afterAutospacing="0"/>
        <w:ind w:left="1276" w:hanging="567"/>
        <w:jc w:val="both"/>
        <w:rPr>
          <w:sz w:val="22"/>
          <w:szCs w:val="22"/>
        </w:rPr>
      </w:pPr>
      <w:r w:rsidRPr="00C5074A">
        <w:rPr>
          <w:sz w:val="22"/>
          <w:szCs w:val="22"/>
        </w:rPr>
        <w:t xml:space="preserve">(1)  </w:t>
      </w:r>
      <w:r w:rsidRPr="00C5074A">
        <w:rPr>
          <w:sz w:val="22"/>
          <w:szCs w:val="22"/>
        </w:rPr>
        <w:tab/>
        <w:t xml:space="preserve">A person must not enter into a relevant agreement or a transaction with the intention of, or with intentions that include the intention of: </w:t>
      </w:r>
    </w:p>
    <w:p w14:paraId="629BF956" w14:textId="77777777" w:rsidR="00EA1828" w:rsidRPr="00C5074A" w:rsidRDefault="00EA1828" w:rsidP="00AF617B">
      <w:pPr>
        <w:pStyle w:val="paragraph"/>
        <w:spacing w:before="0" w:beforeAutospacing="0" w:after="0" w:afterAutospacing="0"/>
        <w:ind w:left="1843" w:hanging="425"/>
        <w:jc w:val="both"/>
        <w:rPr>
          <w:sz w:val="22"/>
          <w:szCs w:val="22"/>
        </w:rPr>
      </w:pPr>
      <w:bookmarkStart w:id="1" w:name="paragraph"/>
      <w:r w:rsidRPr="00C5074A">
        <w:rPr>
          <w:sz w:val="22"/>
          <w:szCs w:val="22"/>
        </w:rPr>
        <w:t xml:space="preserve">(a)  </w:t>
      </w:r>
      <w:r w:rsidRPr="00C5074A">
        <w:rPr>
          <w:sz w:val="22"/>
          <w:szCs w:val="22"/>
        </w:rPr>
        <w:tab/>
        <w:t xml:space="preserve">preventing the recovery of the entitlements of employees of a company; or </w:t>
      </w:r>
    </w:p>
    <w:bookmarkEnd w:id="1"/>
    <w:p w14:paraId="14B93B86" w14:textId="36EA0556" w:rsidR="00EA1828" w:rsidRPr="00C5074A" w:rsidRDefault="00EA1828" w:rsidP="00AF617B">
      <w:pPr>
        <w:pStyle w:val="paragraph"/>
        <w:spacing w:before="0" w:beforeAutospacing="0" w:after="0" w:afterAutospacing="0"/>
        <w:ind w:left="1843" w:hanging="425"/>
        <w:jc w:val="both"/>
        <w:rPr>
          <w:i/>
          <w:sz w:val="22"/>
          <w:szCs w:val="22"/>
        </w:rPr>
      </w:pPr>
      <w:r w:rsidRPr="00C5074A">
        <w:rPr>
          <w:sz w:val="22"/>
          <w:szCs w:val="22"/>
        </w:rPr>
        <w:t xml:space="preserve">(b)  </w:t>
      </w:r>
      <w:r w:rsidRPr="00C5074A">
        <w:rPr>
          <w:sz w:val="22"/>
          <w:szCs w:val="22"/>
        </w:rPr>
        <w:tab/>
        <w:t>significantly reducing the amount of the entitlements of employees of a company that can be recovered. (</w:t>
      </w:r>
      <w:r w:rsidRPr="00C5074A">
        <w:rPr>
          <w:i/>
          <w:sz w:val="22"/>
          <w:szCs w:val="22"/>
        </w:rPr>
        <w:t>current provision)</w:t>
      </w:r>
    </w:p>
    <w:p w14:paraId="212D5102" w14:textId="77777777" w:rsidR="00EA1828" w:rsidRPr="00C5074A" w:rsidRDefault="00EA1828" w:rsidP="00AF617B">
      <w:pPr>
        <w:spacing w:after="0" w:line="240" w:lineRule="auto"/>
        <w:jc w:val="both"/>
        <w:rPr>
          <w:rFonts w:ascii="Times New Roman" w:hAnsi="Times New Roman" w:cs="Times New Roman"/>
        </w:rPr>
      </w:pPr>
    </w:p>
    <w:p w14:paraId="62897E95" w14:textId="77777777" w:rsidR="00EA1828" w:rsidRPr="00C5074A" w:rsidRDefault="00EA1828" w:rsidP="00AF617B">
      <w:pPr>
        <w:pStyle w:val="subsection"/>
        <w:spacing w:before="0" w:beforeAutospacing="0" w:after="0" w:afterAutospacing="0"/>
        <w:ind w:left="1276" w:hanging="567"/>
        <w:jc w:val="both"/>
        <w:rPr>
          <w:rFonts w:eastAsiaTheme="majorEastAsia"/>
          <w:sz w:val="22"/>
          <w:szCs w:val="22"/>
        </w:rPr>
      </w:pPr>
      <w:r w:rsidRPr="00C5074A">
        <w:rPr>
          <w:rFonts w:eastAsiaTheme="majorEastAsia"/>
          <w:sz w:val="22"/>
          <w:szCs w:val="22"/>
        </w:rPr>
        <w:t>(1A)</w:t>
      </w:r>
      <w:r w:rsidRPr="00C5074A">
        <w:rPr>
          <w:rFonts w:eastAsiaTheme="majorEastAsia"/>
          <w:sz w:val="22"/>
          <w:szCs w:val="22"/>
        </w:rPr>
        <w:tab/>
        <w:t xml:space="preserve">A person must not enter into a relevant agreement or a transaction if a reasonable person would not have entered into the relevant agreement or the transaction unless they had the intention of, or intentions that include the intention of: </w:t>
      </w:r>
    </w:p>
    <w:p w14:paraId="4FCA178F" w14:textId="77777777" w:rsidR="00EA1828" w:rsidRPr="00C5074A" w:rsidRDefault="00EA1828" w:rsidP="00AF617B">
      <w:pPr>
        <w:pStyle w:val="subsection"/>
        <w:numPr>
          <w:ilvl w:val="0"/>
          <w:numId w:val="8"/>
        </w:numPr>
        <w:spacing w:before="0" w:beforeAutospacing="0" w:after="0" w:afterAutospacing="0"/>
        <w:ind w:left="1843" w:hanging="425"/>
        <w:jc w:val="both"/>
        <w:rPr>
          <w:rFonts w:eastAsiaTheme="majorEastAsia"/>
          <w:sz w:val="22"/>
          <w:szCs w:val="22"/>
        </w:rPr>
      </w:pPr>
      <w:r w:rsidRPr="00C5074A">
        <w:rPr>
          <w:sz w:val="22"/>
          <w:szCs w:val="22"/>
        </w:rPr>
        <w:t xml:space="preserve">preventing the recovery of the entitlements of employees of a company; or </w:t>
      </w:r>
    </w:p>
    <w:p w14:paraId="16F6A557" w14:textId="77777777" w:rsidR="00EA1828" w:rsidRPr="00C5074A" w:rsidRDefault="00EA1828" w:rsidP="00AF617B">
      <w:pPr>
        <w:pStyle w:val="subsection"/>
        <w:numPr>
          <w:ilvl w:val="0"/>
          <w:numId w:val="8"/>
        </w:numPr>
        <w:spacing w:before="0" w:beforeAutospacing="0" w:after="0" w:afterAutospacing="0"/>
        <w:ind w:left="1843" w:hanging="425"/>
        <w:jc w:val="both"/>
        <w:rPr>
          <w:sz w:val="22"/>
          <w:szCs w:val="22"/>
        </w:rPr>
      </w:pPr>
      <w:r w:rsidRPr="00C5074A">
        <w:rPr>
          <w:sz w:val="22"/>
          <w:szCs w:val="22"/>
        </w:rPr>
        <w:t>significantly reducing the amount of the entitlements of employees of a company that can be recovered.</w:t>
      </w:r>
    </w:p>
    <w:p w14:paraId="0F31ACA9" w14:textId="66E13D74" w:rsidR="00EA1828" w:rsidRPr="00C5074A" w:rsidRDefault="00EA1828" w:rsidP="00AF617B">
      <w:pPr>
        <w:pStyle w:val="subsection"/>
        <w:spacing w:before="0" w:beforeAutospacing="0" w:after="0" w:afterAutospacing="0"/>
        <w:ind w:left="1276" w:hanging="567"/>
        <w:jc w:val="both"/>
        <w:rPr>
          <w:sz w:val="22"/>
          <w:szCs w:val="22"/>
        </w:rPr>
      </w:pPr>
      <w:r w:rsidRPr="00C5074A">
        <w:rPr>
          <w:sz w:val="22"/>
          <w:szCs w:val="22"/>
        </w:rPr>
        <w:t>Note:</w:t>
      </w:r>
      <w:r w:rsidRPr="00C5074A">
        <w:rPr>
          <w:sz w:val="22"/>
          <w:szCs w:val="22"/>
        </w:rPr>
        <w:tab/>
      </w:r>
      <w:r w:rsidRPr="00C5074A">
        <w:rPr>
          <w:rFonts w:eastAsiaTheme="majorEastAsia"/>
          <w:sz w:val="22"/>
          <w:szCs w:val="22"/>
        </w:rPr>
        <w:t>This</w:t>
      </w:r>
      <w:r w:rsidRPr="00C5074A">
        <w:rPr>
          <w:sz w:val="22"/>
          <w:szCs w:val="22"/>
        </w:rPr>
        <w:t xml:space="preserve"> subsection is a civil penalty provision (see subsection 1317E(1)).</w:t>
      </w:r>
    </w:p>
    <w:p w14:paraId="20E2D498" w14:textId="77777777" w:rsidR="001B072E" w:rsidRPr="00327676" w:rsidRDefault="001B072E" w:rsidP="00327676">
      <w:pPr>
        <w:spacing w:after="0" w:line="240" w:lineRule="auto"/>
        <w:jc w:val="both"/>
        <w:rPr>
          <w:rFonts w:ascii="Times New Roman" w:hAnsi="Times New Roman" w:cs="Times New Roman"/>
          <w:sz w:val="24"/>
          <w:szCs w:val="24"/>
        </w:rPr>
      </w:pPr>
    </w:p>
    <w:p w14:paraId="4ADB725B" w14:textId="6A383E99" w:rsidR="00EA1828" w:rsidRPr="00327676" w:rsidRDefault="00EA1828"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This was the recommendation from our final report.</w:t>
      </w:r>
      <w:r w:rsidRPr="00327676">
        <w:rPr>
          <w:rStyle w:val="FootnoteReference"/>
          <w:rFonts w:ascii="Times New Roman" w:hAnsi="Times New Roman" w:cs="Times New Roman"/>
          <w:sz w:val="24"/>
          <w:szCs w:val="24"/>
        </w:rPr>
        <w:footnoteReference w:id="5"/>
      </w:r>
      <w:r w:rsidRPr="00327676">
        <w:rPr>
          <w:rFonts w:ascii="Times New Roman" w:hAnsi="Times New Roman" w:cs="Times New Roman"/>
          <w:sz w:val="24"/>
          <w:szCs w:val="24"/>
        </w:rPr>
        <w:t xml:space="preserve"> This is different to both Option 2A (what a reasonable person would have known or be expected to have known) and 2B (an objective </w:t>
      </w:r>
      <w:r w:rsidR="002B37D1" w:rsidRPr="00327676">
        <w:rPr>
          <w:rFonts w:ascii="Times New Roman" w:hAnsi="Times New Roman" w:cs="Times New Roman"/>
          <w:sz w:val="24"/>
          <w:szCs w:val="24"/>
        </w:rPr>
        <w:t>assessment</w:t>
      </w:r>
      <w:r w:rsidRPr="00327676">
        <w:rPr>
          <w:rFonts w:ascii="Times New Roman" w:hAnsi="Times New Roman" w:cs="Times New Roman"/>
          <w:sz w:val="24"/>
          <w:szCs w:val="24"/>
        </w:rPr>
        <w:t xml:space="preserve"> of the agreement or transaction).</w:t>
      </w:r>
    </w:p>
    <w:p w14:paraId="7C0F5B28" w14:textId="77777777" w:rsidR="00EA1828" w:rsidRPr="00327676" w:rsidRDefault="00EA1828" w:rsidP="00327676">
      <w:pPr>
        <w:spacing w:after="0" w:line="240" w:lineRule="auto"/>
        <w:jc w:val="both"/>
        <w:rPr>
          <w:rFonts w:ascii="Times New Roman" w:hAnsi="Times New Roman" w:cs="Times New Roman"/>
          <w:sz w:val="24"/>
          <w:szCs w:val="24"/>
        </w:rPr>
      </w:pPr>
    </w:p>
    <w:p w14:paraId="7D1E50E7" w14:textId="0AEFF7D3" w:rsidR="00EA1828" w:rsidRPr="00327676" w:rsidRDefault="00EA1828"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There is no draft section to comment upon, so </w:t>
      </w:r>
      <w:r w:rsidR="006B7841" w:rsidRPr="00327676">
        <w:rPr>
          <w:rFonts w:ascii="Times New Roman" w:hAnsi="Times New Roman" w:cs="Times New Roman"/>
          <w:sz w:val="24"/>
          <w:szCs w:val="24"/>
        </w:rPr>
        <w:t>we cannot</w:t>
      </w:r>
      <w:r w:rsidRPr="00327676">
        <w:rPr>
          <w:rFonts w:ascii="Times New Roman" w:hAnsi="Times New Roman" w:cs="Times New Roman"/>
          <w:sz w:val="24"/>
          <w:szCs w:val="24"/>
        </w:rPr>
        <w:t xml:space="preserve"> say whether our recommended section is superior to the Options in the paper. However, we note that s 588G, dealing with insolvent trading, has a ‘double reasonable’ test that might be worth exploring. It is as follows:</w:t>
      </w:r>
    </w:p>
    <w:p w14:paraId="2836A703" w14:textId="6811F5B9" w:rsidR="0024246E" w:rsidRPr="00C5074A" w:rsidRDefault="0024246E" w:rsidP="00AF617B">
      <w:pPr>
        <w:pStyle w:val="subsection"/>
        <w:spacing w:before="0" w:beforeAutospacing="0" w:after="0" w:afterAutospacing="0"/>
        <w:ind w:left="709"/>
        <w:jc w:val="both"/>
        <w:rPr>
          <w:i/>
          <w:sz w:val="22"/>
          <w:szCs w:val="22"/>
        </w:rPr>
      </w:pPr>
      <w:r w:rsidRPr="00C5074A">
        <w:rPr>
          <w:sz w:val="22"/>
          <w:szCs w:val="22"/>
        </w:rPr>
        <w:t>(</w:t>
      </w:r>
      <w:r w:rsidRPr="00C5074A">
        <w:rPr>
          <w:i/>
          <w:sz w:val="22"/>
          <w:szCs w:val="22"/>
        </w:rPr>
        <w:t>the circumstances in which the section applies)</w:t>
      </w:r>
    </w:p>
    <w:p w14:paraId="2C25D258" w14:textId="0CDD46EE" w:rsidR="006B7841" w:rsidRPr="00C5074A" w:rsidRDefault="006B7841" w:rsidP="00AF617B">
      <w:pPr>
        <w:pStyle w:val="subsection"/>
        <w:spacing w:before="0" w:beforeAutospacing="0" w:after="0" w:afterAutospacing="0"/>
        <w:ind w:left="1276" w:hanging="567"/>
        <w:jc w:val="both"/>
        <w:rPr>
          <w:sz w:val="22"/>
          <w:szCs w:val="22"/>
        </w:rPr>
      </w:pPr>
      <w:r w:rsidRPr="00C5074A">
        <w:rPr>
          <w:sz w:val="22"/>
          <w:szCs w:val="22"/>
        </w:rPr>
        <w:t xml:space="preserve">(1)  </w:t>
      </w:r>
      <w:r w:rsidR="00622265" w:rsidRPr="00C5074A">
        <w:rPr>
          <w:sz w:val="22"/>
          <w:szCs w:val="22"/>
        </w:rPr>
        <w:tab/>
      </w:r>
      <w:r w:rsidRPr="00C5074A">
        <w:rPr>
          <w:sz w:val="22"/>
          <w:szCs w:val="22"/>
        </w:rPr>
        <w:t xml:space="preserve">This section applies if: </w:t>
      </w:r>
    </w:p>
    <w:p w14:paraId="420336E3" w14:textId="624B767B"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 xml:space="preserve">(a)  </w:t>
      </w:r>
      <w:r w:rsidR="00622265" w:rsidRPr="00C5074A">
        <w:rPr>
          <w:sz w:val="22"/>
          <w:szCs w:val="22"/>
        </w:rPr>
        <w:tab/>
      </w:r>
      <w:r w:rsidRPr="00C5074A">
        <w:rPr>
          <w:sz w:val="22"/>
          <w:szCs w:val="22"/>
        </w:rPr>
        <w:t xml:space="preserve">a person is a </w:t>
      </w:r>
      <w:r w:rsidR="003508AA">
        <w:rPr>
          <w:sz w:val="22"/>
          <w:szCs w:val="22"/>
        </w:rPr>
        <w:t xml:space="preserve">director </w:t>
      </w:r>
      <w:r w:rsidRPr="00C5074A">
        <w:rPr>
          <w:sz w:val="22"/>
          <w:szCs w:val="22"/>
        </w:rPr>
        <w:t xml:space="preserve">of a company at the time when the company incurs a debt; and </w:t>
      </w:r>
    </w:p>
    <w:p w14:paraId="105D6FCB" w14:textId="040D24E1"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 xml:space="preserve">(b)  </w:t>
      </w:r>
      <w:r w:rsidR="00622265" w:rsidRPr="00C5074A">
        <w:rPr>
          <w:sz w:val="22"/>
          <w:szCs w:val="22"/>
        </w:rPr>
        <w:tab/>
      </w:r>
      <w:r w:rsidRPr="00C5074A">
        <w:rPr>
          <w:sz w:val="22"/>
          <w:szCs w:val="22"/>
        </w:rPr>
        <w:t xml:space="preserve">the company is insolvent at that time, or becomes insolvent by incurring that debt, or by incurring at that time debts including that debt; and </w:t>
      </w:r>
    </w:p>
    <w:p w14:paraId="6B96839A" w14:textId="074C7733"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 xml:space="preserve">(c)  </w:t>
      </w:r>
      <w:r w:rsidR="00622265" w:rsidRPr="00C5074A">
        <w:rPr>
          <w:sz w:val="22"/>
          <w:szCs w:val="22"/>
        </w:rPr>
        <w:tab/>
      </w:r>
      <w:r w:rsidRPr="00C5074A">
        <w:rPr>
          <w:sz w:val="22"/>
          <w:szCs w:val="22"/>
        </w:rPr>
        <w:t xml:space="preserve">at that time, there are </w:t>
      </w:r>
      <w:r w:rsidRPr="00C5074A">
        <w:rPr>
          <w:b/>
          <w:sz w:val="22"/>
          <w:szCs w:val="22"/>
        </w:rPr>
        <w:t>reasonable grounds for suspecting</w:t>
      </w:r>
      <w:r w:rsidRPr="00C5074A">
        <w:rPr>
          <w:sz w:val="22"/>
          <w:szCs w:val="22"/>
        </w:rPr>
        <w:t xml:space="preserve"> that the company is insolvent, or would so become insolvent, as the case may be; and </w:t>
      </w:r>
    </w:p>
    <w:p w14:paraId="0843A861" w14:textId="1B85A07E"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 xml:space="preserve">(d)  </w:t>
      </w:r>
      <w:r w:rsidR="00270C83" w:rsidRPr="00C5074A">
        <w:rPr>
          <w:sz w:val="22"/>
          <w:szCs w:val="22"/>
        </w:rPr>
        <w:tab/>
      </w:r>
      <w:r w:rsidRPr="00C5074A">
        <w:rPr>
          <w:sz w:val="22"/>
          <w:szCs w:val="22"/>
        </w:rPr>
        <w:t xml:space="preserve">that time is at or after the commencement of this Act. </w:t>
      </w:r>
    </w:p>
    <w:p w14:paraId="57A0D02F" w14:textId="77777777" w:rsidR="00EA1828" w:rsidRPr="00C5074A" w:rsidRDefault="00EA1828" w:rsidP="00AF617B">
      <w:pPr>
        <w:spacing w:after="0" w:line="240" w:lineRule="auto"/>
        <w:jc w:val="both"/>
        <w:rPr>
          <w:rFonts w:ascii="Times New Roman" w:hAnsi="Times New Roman" w:cs="Times New Roman"/>
        </w:rPr>
      </w:pPr>
    </w:p>
    <w:p w14:paraId="140CB9AA" w14:textId="4C094B68" w:rsidR="0024246E" w:rsidRPr="00C5074A" w:rsidRDefault="0024246E" w:rsidP="00AF617B">
      <w:pPr>
        <w:pStyle w:val="subsection"/>
        <w:spacing w:before="0" w:beforeAutospacing="0" w:after="0" w:afterAutospacing="0"/>
        <w:ind w:left="709"/>
        <w:jc w:val="both"/>
        <w:rPr>
          <w:i/>
          <w:sz w:val="22"/>
          <w:szCs w:val="22"/>
        </w:rPr>
      </w:pPr>
      <w:r w:rsidRPr="00C5074A">
        <w:rPr>
          <w:sz w:val="22"/>
          <w:szCs w:val="22"/>
        </w:rPr>
        <w:t>(</w:t>
      </w:r>
      <w:r w:rsidRPr="00C5074A">
        <w:rPr>
          <w:i/>
          <w:sz w:val="22"/>
          <w:szCs w:val="22"/>
        </w:rPr>
        <w:t>the actual imposition of liability)</w:t>
      </w:r>
    </w:p>
    <w:p w14:paraId="509F33C9" w14:textId="706AC7C1" w:rsidR="006B7841" w:rsidRPr="00C5074A" w:rsidRDefault="006B7841" w:rsidP="00AF617B">
      <w:pPr>
        <w:pStyle w:val="subsection"/>
        <w:spacing w:before="0" w:beforeAutospacing="0" w:after="0" w:afterAutospacing="0"/>
        <w:ind w:left="1276" w:hanging="567"/>
        <w:jc w:val="both"/>
        <w:rPr>
          <w:sz w:val="22"/>
          <w:szCs w:val="22"/>
        </w:rPr>
      </w:pPr>
      <w:r w:rsidRPr="00C5074A">
        <w:rPr>
          <w:sz w:val="22"/>
          <w:szCs w:val="22"/>
        </w:rPr>
        <w:lastRenderedPageBreak/>
        <w:t xml:space="preserve"> (2)  </w:t>
      </w:r>
      <w:r w:rsidR="00270C83" w:rsidRPr="00C5074A">
        <w:rPr>
          <w:sz w:val="22"/>
          <w:szCs w:val="22"/>
        </w:rPr>
        <w:tab/>
      </w:r>
      <w:r w:rsidRPr="00C5074A">
        <w:rPr>
          <w:sz w:val="22"/>
          <w:szCs w:val="22"/>
        </w:rPr>
        <w:t xml:space="preserve">By failing to prevent the company from incurring the debt, the person contravenes this section if: </w:t>
      </w:r>
    </w:p>
    <w:p w14:paraId="06929704" w14:textId="4B7E29FA"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 xml:space="preserve">(a)  </w:t>
      </w:r>
      <w:r w:rsidR="00270C83" w:rsidRPr="00C5074A">
        <w:rPr>
          <w:sz w:val="22"/>
          <w:szCs w:val="22"/>
        </w:rPr>
        <w:tab/>
      </w:r>
      <w:r w:rsidRPr="00C5074A">
        <w:rPr>
          <w:sz w:val="22"/>
          <w:szCs w:val="22"/>
        </w:rPr>
        <w:t>the person is aware at that time that there are such grounds for so suspecting;</w:t>
      </w:r>
      <w:r w:rsidRPr="00C5074A">
        <w:rPr>
          <w:b/>
          <w:sz w:val="22"/>
          <w:szCs w:val="22"/>
        </w:rPr>
        <w:t xml:space="preserve"> or</w:t>
      </w:r>
      <w:r w:rsidRPr="00C5074A">
        <w:rPr>
          <w:sz w:val="22"/>
          <w:szCs w:val="22"/>
        </w:rPr>
        <w:t xml:space="preserve"> </w:t>
      </w:r>
    </w:p>
    <w:p w14:paraId="40B824A2" w14:textId="421D4731"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(b) </w:t>
      </w:r>
      <w:r w:rsidRPr="00C5074A">
        <w:rPr>
          <w:b/>
          <w:sz w:val="22"/>
          <w:szCs w:val="22"/>
        </w:rPr>
        <w:t xml:space="preserve"> </w:t>
      </w:r>
      <w:r w:rsidR="00270C83" w:rsidRPr="00C5074A">
        <w:rPr>
          <w:b/>
          <w:sz w:val="22"/>
          <w:szCs w:val="22"/>
        </w:rPr>
        <w:tab/>
      </w:r>
      <w:r w:rsidRPr="00C5074A">
        <w:rPr>
          <w:b/>
          <w:sz w:val="22"/>
          <w:szCs w:val="22"/>
        </w:rPr>
        <w:t xml:space="preserve">a reasonable person in a like position in a company in the company's circumstances </w:t>
      </w:r>
      <w:r w:rsidRPr="00C5074A">
        <w:rPr>
          <w:sz w:val="22"/>
          <w:szCs w:val="22"/>
        </w:rPr>
        <w:t xml:space="preserve">would be so aware. </w:t>
      </w:r>
    </w:p>
    <w:p w14:paraId="3D0290D1" w14:textId="4F0C083C" w:rsidR="00EA1828" w:rsidRPr="00327676" w:rsidRDefault="00EA1828" w:rsidP="00327676">
      <w:pPr>
        <w:tabs>
          <w:tab w:val="left" w:pos="1980"/>
        </w:tabs>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ab/>
      </w:r>
    </w:p>
    <w:p w14:paraId="449BBF6E" w14:textId="671F4AD1" w:rsidR="006B7841" w:rsidRPr="00327676" w:rsidRDefault="006B7841"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As you would be aware, s 588G was amended in 2000, not only</w:t>
      </w:r>
      <w:r w:rsidR="0086527E">
        <w:rPr>
          <w:rFonts w:ascii="Times New Roman" w:hAnsi="Times New Roman" w:cs="Times New Roman"/>
          <w:sz w:val="24"/>
          <w:szCs w:val="24"/>
        </w:rPr>
        <w:t xml:space="preserve"> to</w:t>
      </w:r>
      <w:r w:rsidRPr="00327676">
        <w:rPr>
          <w:rFonts w:ascii="Times New Roman" w:hAnsi="Times New Roman" w:cs="Times New Roman"/>
          <w:sz w:val="24"/>
          <w:szCs w:val="24"/>
        </w:rPr>
        <w:t xml:space="preserve"> include Part 5.8A but also to amend Part 5.7B. This amendment added s 588G(1A) to s 588G, with the effect that an uncommercial transaction under s 588FB can be actioned as insolvent trading. Section 588FB provides:</w:t>
      </w:r>
    </w:p>
    <w:p w14:paraId="1AA4F8B3" w14:textId="784107CD" w:rsidR="006B7841" w:rsidRPr="00C5074A" w:rsidRDefault="006B7841" w:rsidP="00AF617B">
      <w:pPr>
        <w:pStyle w:val="subsection"/>
        <w:spacing w:before="0" w:beforeAutospacing="0" w:after="0" w:afterAutospacing="0"/>
        <w:ind w:left="1276" w:hanging="567"/>
        <w:jc w:val="both"/>
        <w:rPr>
          <w:sz w:val="22"/>
          <w:szCs w:val="22"/>
        </w:rPr>
      </w:pPr>
      <w:r w:rsidRPr="00C5074A">
        <w:rPr>
          <w:sz w:val="22"/>
          <w:szCs w:val="22"/>
        </w:rPr>
        <w:t xml:space="preserve"> (1)  </w:t>
      </w:r>
      <w:r w:rsidR="00E17575" w:rsidRPr="00C5074A">
        <w:rPr>
          <w:sz w:val="22"/>
          <w:szCs w:val="22"/>
        </w:rPr>
        <w:tab/>
      </w:r>
      <w:r w:rsidRPr="00C5074A">
        <w:rPr>
          <w:sz w:val="22"/>
          <w:szCs w:val="22"/>
        </w:rPr>
        <w:t xml:space="preserve">A transaction of a company is an uncommercial transaction of the company if, and only if, it may be expected that </w:t>
      </w:r>
      <w:r w:rsidRPr="00C5074A">
        <w:rPr>
          <w:b/>
          <w:sz w:val="22"/>
          <w:szCs w:val="22"/>
        </w:rPr>
        <w:t>a reasonable person in the company's circumstances would not have entered into the transaction</w:t>
      </w:r>
      <w:r w:rsidRPr="00C5074A">
        <w:rPr>
          <w:sz w:val="22"/>
          <w:szCs w:val="22"/>
        </w:rPr>
        <w:t xml:space="preserve">, having regard to: </w:t>
      </w:r>
    </w:p>
    <w:p w14:paraId="45E5AA0B" w14:textId="71D53DFA"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 xml:space="preserve">(a)  </w:t>
      </w:r>
      <w:r w:rsidR="00E17575" w:rsidRPr="00C5074A">
        <w:rPr>
          <w:sz w:val="22"/>
          <w:szCs w:val="22"/>
        </w:rPr>
        <w:tab/>
      </w:r>
      <w:r w:rsidRPr="00C5074A">
        <w:rPr>
          <w:sz w:val="22"/>
          <w:szCs w:val="22"/>
        </w:rPr>
        <w:t xml:space="preserve">the benefits (if any) to the company of entering into the transaction; and </w:t>
      </w:r>
    </w:p>
    <w:p w14:paraId="16B9389F" w14:textId="1CB79F6D"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 xml:space="preserve">(b)  </w:t>
      </w:r>
      <w:r w:rsidR="00E17575" w:rsidRPr="00C5074A">
        <w:rPr>
          <w:sz w:val="22"/>
          <w:szCs w:val="22"/>
        </w:rPr>
        <w:tab/>
      </w:r>
      <w:r w:rsidRPr="00C5074A">
        <w:rPr>
          <w:sz w:val="22"/>
          <w:szCs w:val="22"/>
        </w:rPr>
        <w:t xml:space="preserve">the detriment to the company of entering into the transaction; and </w:t>
      </w:r>
    </w:p>
    <w:p w14:paraId="5ABDF052" w14:textId="4B6BD8F6"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 xml:space="preserve">(c)  </w:t>
      </w:r>
      <w:r w:rsidR="00E17575" w:rsidRPr="00C5074A">
        <w:rPr>
          <w:sz w:val="22"/>
          <w:szCs w:val="22"/>
        </w:rPr>
        <w:tab/>
      </w:r>
      <w:r w:rsidRPr="00C5074A">
        <w:rPr>
          <w:sz w:val="22"/>
          <w:szCs w:val="22"/>
        </w:rPr>
        <w:t xml:space="preserve">the respective benefits to other parties to the transaction of entering into it; and </w:t>
      </w:r>
    </w:p>
    <w:p w14:paraId="43B95B59" w14:textId="036F3056" w:rsidR="006B7841" w:rsidRPr="00C5074A" w:rsidRDefault="006B7841" w:rsidP="00AF617B">
      <w:pPr>
        <w:pStyle w:val="paragraph"/>
        <w:spacing w:before="0" w:beforeAutospacing="0" w:after="0" w:afterAutospacing="0"/>
        <w:ind w:left="1843" w:hanging="425"/>
        <w:jc w:val="both"/>
        <w:rPr>
          <w:sz w:val="22"/>
          <w:szCs w:val="22"/>
        </w:rPr>
      </w:pPr>
      <w:r w:rsidRPr="00C5074A">
        <w:rPr>
          <w:sz w:val="22"/>
          <w:szCs w:val="22"/>
        </w:rPr>
        <w:t xml:space="preserve">(d)  </w:t>
      </w:r>
      <w:r w:rsidR="00E17575" w:rsidRPr="00C5074A">
        <w:rPr>
          <w:sz w:val="22"/>
          <w:szCs w:val="22"/>
        </w:rPr>
        <w:tab/>
      </w:r>
      <w:r w:rsidRPr="00C5074A">
        <w:rPr>
          <w:sz w:val="22"/>
          <w:szCs w:val="22"/>
        </w:rPr>
        <w:t xml:space="preserve">any other relevant matter. </w:t>
      </w:r>
    </w:p>
    <w:p w14:paraId="2972D105" w14:textId="77777777" w:rsidR="006B7841" w:rsidRPr="00327676" w:rsidRDefault="006B7841" w:rsidP="00327676">
      <w:pPr>
        <w:spacing w:after="0" w:line="240" w:lineRule="auto"/>
        <w:jc w:val="both"/>
        <w:rPr>
          <w:rFonts w:ascii="Times New Roman" w:hAnsi="Times New Roman" w:cs="Times New Roman"/>
          <w:sz w:val="24"/>
          <w:szCs w:val="24"/>
        </w:rPr>
      </w:pPr>
    </w:p>
    <w:p w14:paraId="44667A50" w14:textId="4E9FE072" w:rsidR="00EA1828" w:rsidRPr="00327676" w:rsidRDefault="006B7841"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This captures </w:t>
      </w:r>
      <w:r w:rsidR="005D5C89" w:rsidRPr="00327676">
        <w:rPr>
          <w:rFonts w:ascii="Times New Roman" w:hAnsi="Times New Roman" w:cs="Times New Roman"/>
          <w:sz w:val="24"/>
          <w:szCs w:val="24"/>
        </w:rPr>
        <w:t>at least some</w:t>
      </w:r>
      <w:r w:rsidRPr="00327676">
        <w:rPr>
          <w:rFonts w:ascii="Times New Roman" w:hAnsi="Times New Roman" w:cs="Times New Roman"/>
          <w:sz w:val="24"/>
          <w:szCs w:val="24"/>
        </w:rPr>
        <w:t xml:space="preserve"> of the ‘sharp practice’ which concerns Treasury and the Department of Employment. Inserting uncommercia</w:t>
      </w:r>
      <w:r w:rsidR="0024246E" w:rsidRPr="00327676">
        <w:rPr>
          <w:rFonts w:ascii="Times New Roman" w:hAnsi="Times New Roman" w:cs="Times New Roman"/>
          <w:sz w:val="24"/>
          <w:szCs w:val="24"/>
        </w:rPr>
        <w:t>l transactions into s 588G opened</w:t>
      </w:r>
      <w:r w:rsidRPr="00327676">
        <w:rPr>
          <w:rFonts w:ascii="Times New Roman" w:hAnsi="Times New Roman" w:cs="Times New Roman"/>
          <w:sz w:val="24"/>
          <w:szCs w:val="24"/>
        </w:rPr>
        <w:t xml:space="preserve"> up enforcement by ASIC, both criminally (via s 588G(3)) and via a civil penalty action (s 588G(2)</w:t>
      </w:r>
      <w:r w:rsidR="003365BF">
        <w:rPr>
          <w:rFonts w:ascii="Times New Roman" w:hAnsi="Times New Roman" w:cs="Times New Roman"/>
          <w:sz w:val="24"/>
          <w:szCs w:val="24"/>
        </w:rPr>
        <w:t>)</w:t>
      </w:r>
      <w:r w:rsidRPr="00327676">
        <w:rPr>
          <w:rFonts w:ascii="Times New Roman" w:hAnsi="Times New Roman" w:cs="Times New Roman"/>
          <w:sz w:val="24"/>
          <w:szCs w:val="24"/>
        </w:rPr>
        <w:t>.</w:t>
      </w:r>
      <w:r w:rsidR="0024246E" w:rsidRPr="00327676">
        <w:rPr>
          <w:rFonts w:ascii="Times New Roman" w:hAnsi="Times New Roman" w:cs="Times New Roman"/>
          <w:sz w:val="24"/>
          <w:szCs w:val="24"/>
        </w:rPr>
        <w:t xml:space="preserve"> However, we could find no evidence of this section being enforced.</w:t>
      </w:r>
      <w:r w:rsidR="00106BDB">
        <w:rPr>
          <w:rFonts w:ascii="Times New Roman" w:hAnsi="Times New Roman" w:cs="Times New Roman"/>
          <w:sz w:val="24"/>
          <w:szCs w:val="24"/>
        </w:rPr>
        <w:t xml:space="preserve"> </w:t>
      </w:r>
      <w:r w:rsidR="00106BDB" w:rsidRPr="00106BDB">
        <w:rPr>
          <w:rFonts w:ascii="Times New Roman" w:hAnsi="Times New Roman" w:cs="Times New Roman"/>
          <w:i/>
          <w:sz w:val="24"/>
          <w:szCs w:val="24"/>
        </w:rPr>
        <w:t>Needless to say, the law reform proposed by the FEG consultation paper will only be effective if the provision is enforced.</w:t>
      </w:r>
    </w:p>
    <w:p w14:paraId="07A03F27" w14:textId="77777777" w:rsidR="00EA1828" w:rsidRPr="00327676" w:rsidRDefault="00EA1828" w:rsidP="00327676">
      <w:pPr>
        <w:spacing w:after="0" w:line="240" w:lineRule="auto"/>
        <w:jc w:val="both"/>
        <w:rPr>
          <w:rFonts w:ascii="Times New Roman" w:hAnsi="Times New Roman" w:cs="Times New Roman"/>
          <w:sz w:val="24"/>
          <w:szCs w:val="24"/>
        </w:rPr>
      </w:pPr>
    </w:p>
    <w:p w14:paraId="76CA324C" w14:textId="15E53B50" w:rsidR="005D5C89" w:rsidRPr="00327676" w:rsidRDefault="005D5C89"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It should also be noted that the directors’ duties under Part 2D.1 of the </w:t>
      </w:r>
      <w:r w:rsidRPr="00327676">
        <w:rPr>
          <w:rFonts w:ascii="Times New Roman" w:hAnsi="Times New Roman" w:cs="Times New Roman"/>
          <w:i/>
          <w:sz w:val="24"/>
          <w:szCs w:val="24"/>
        </w:rPr>
        <w:t>Corporations Act</w:t>
      </w:r>
      <w:r w:rsidRPr="00327676">
        <w:rPr>
          <w:rFonts w:ascii="Times New Roman" w:hAnsi="Times New Roman" w:cs="Times New Roman"/>
          <w:sz w:val="24"/>
          <w:szCs w:val="24"/>
        </w:rPr>
        <w:t xml:space="preserve"> capture a very wide range of director conduct, both within the corporate failure context and outside of it. </w:t>
      </w:r>
      <w:r w:rsidR="00D92CC6" w:rsidRPr="00327676">
        <w:rPr>
          <w:rFonts w:ascii="Times New Roman" w:hAnsi="Times New Roman" w:cs="Times New Roman"/>
          <w:sz w:val="24"/>
          <w:szCs w:val="24"/>
        </w:rPr>
        <w:t xml:space="preserve">These </w:t>
      </w:r>
      <w:r w:rsidR="00733619">
        <w:rPr>
          <w:rFonts w:ascii="Times New Roman" w:hAnsi="Times New Roman" w:cs="Times New Roman"/>
          <w:sz w:val="24"/>
          <w:szCs w:val="24"/>
        </w:rPr>
        <w:t>may be</w:t>
      </w:r>
      <w:r w:rsidR="00D92CC6" w:rsidRPr="00327676">
        <w:rPr>
          <w:rFonts w:ascii="Times New Roman" w:hAnsi="Times New Roman" w:cs="Times New Roman"/>
          <w:sz w:val="24"/>
          <w:szCs w:val="24"/>
        </w:rPr>
        <w:t xml:space="preserve"> enforced under Part 9.4B as civil penalty breaches. </w:t>
      </w:r>
      <w:r w:rsidRPr="00327676">
        <w:rPr>
          <w:rFonts w:ascii="Times New Roman" w:hAnsi="Times New Roman" w:cs="Times New Roman"/>
          <w:sz w:val="24"/>
          <w:szCs w:val="24"/>
        </w:rPr>
        <w:t>For example, s 181 provides that</w:t>
      </w:r>
    </w:p>
    <w:p w14:paraId="6B2E98B0" w14:textId="55A5F2D9" w:rsidR="005D5C89" w:rsidRPr="00C5074A" w:rsidRDefault="005D5C89" w:rsidP="00AF617B">
      <w:pPr>
        <w:pStyle w:val="subsection"/>
        <w:spacing w:before="0" w:beforeAutospacing="0" w:after="0" w:afterAutospacing="0"/>
        <w:ind w:left="1276" w:hanging="567"/>
        <w:jc w:val="both"/>
        <w:rPr>
          <w:sz w:val="22"/>
          <w:szCs w:val="22"/>
        </w:rPr>
      </w:pPr>
      <w:r w:rsidRPr="00C5074A">
        <w:rPr>
          <w:sz w:val="22"/>
          <w:szCs w:val="22"/>
        </w:rPr>
        <w:t xml:space="preserve"> (1)  </w:t>
      </w:r>
      <w:r w:rsidR="00EA2A2B" w:rsidRPr="00C5074A">
        <w:rPr>
          <w:sz w:val="22"/>
          <w:szCs w:val="22"/>
        </w:rPr>
        <w:tab/>
      </w:r>
      <w:r w:rsidRPr="00C5074A">
        <w:rPr>
          <w:sz w:val="22"/>
          <w:szCs w:val="22"/>
        </w:rPr>
        <w:t xml:space="preserve">A director or other officer of a corporation must exercise their powers and discharge their duties: </w:t>
      </w:r>
    </w:p>
    <w:p w14:paraId="46988CCF" w14:textId="5A6242AD" w:rsidR="005D5C89" w:rsidRPr="00C5074A" w:rsidRDefault="005D5C89" w:rsidP="00AF617B">
      <w:pPr>
        <w:pStyle w:val="paragraph"/>
        <w:spacing w:before="0" w:beforeAutospacing="0" w:after="0" w:afterAutospacing="0"/>
        <w:ind w:left="1843" w:hanging="425"/>
        <w:jc w:val="both"/>
        <w:rPr>
          <w:sz w:val="22"/>
          <w:szCs w:val="22"/>
        </w:rPr>
      </w:pPr>
      <w:r w:rsidRPr="00C5074A">
        <w:rPr>
          <w:sz w:val="22"/>
          <w:szCs w:val="22"/>
        </w:rPr>
        <w:t xml:space="preserve">(a)  </w:t>
      </w:r>
      <w:r w:rsidR="00313ACA" w:rsidRPr="00C5074A">
        <w:rPr>
          <w:sz w:val="22"/>
          <w:szCs w:val="22"/>
        </w:rPr>
        <w:tab/>
      </w:r>
      <w:r w:rsidRPr="00C5074A">
        <w:rPr>
          <w:sz w:val="22"/>
          <w:szCs w:val="22"/>
        </w:rPr>
        <w:t xml:space="preserve">in good faith </w:t>
      </w:r>
      <w:r w:rsidRPr="00C5074A">
        <w:rPr>
          <w:b/>
          <w:sz w:val="22"/>
          <w:szCs w:val="22"/>
        </w:rPr>
        <w:t>in the best interests of the corporation</w:t>
      </w:r>
      <w:r w:rsidRPr="00C5074A">
        <w:rPr>
          <w:sz w:val="22"/>
          <w:szCs w:val="22"/>
        </w:rPr>
        <w:t xml:space="preserve">; and </w:t>
      </w:r>
    </w:p>
    <w:p w14:paraId="7557FF6C" w14:textId="06A4CA82" w:rsidR="005D5C89" w:rsidRPr="00C5074A" w:rsidRDefault="005D5C89" w:rsidP="00AF617B">
      <w:pPr>
        <w:pStyle w:val="paragraph"/>
        <w:spacing w:before="0" w:beforeAutospacing="0" w:after="0" w:afterAutospacing="0"/>
        <w:ind w:left="1843" w:hanging="425"/>
        <w:jc w:val="both"/>
        <w:rPr>
          <w:sz w:val="22"/>
          <w:szCs w:val="22"/>
        </w:rPr>
      </w:pPr>
      <w:r w:rsidRPr="00C5074A">
        <w:rPr>
          <w:sz w:val="22"/>
          <w:szCs w:val="22"/>
        </w:rPr>
        <w:t xml:space="preserve">(b)  </w:t>
      </w:r>
      <w:r w:rsidR="00313ACA" w:rsidRPr="00C5074A">
        <w:rPr>
          <w:sz w:val="22"/>
          <w:szCs w:val="22"/>
        </w:rPr>
        <w:tab/>
      </w:r>
      <w:r w:rsidRPr="00C5074A">
        <w:rPr>
          <w:b/>
          <w:sz w:val="22"/>
          <w:szCs w:val="22"/>
        </w:rPr>
        <w:t>for a proper purpose</w:t>
      </w:r>
      <w:r w:rsidRPr="00C5074A">
        <w:rPr>
          <w:sz w:val="22"/>
          <w:szCs w:val="22"/>
        </w:rPr>
        <w:t>.</w:t>
      </w:r>
    </w:p>
    <w:p w14:paraId="4DB34231" w14:textId="77777777" w:rsidR="005D5C89" w:rsidRPr="00327676" w:rsidRDefault="005D5C89" w:rsidP="00AF617B">
      <w:pPr>
        <w:spacing w:after="0" w:line="240" w:lineRule="auto"/>
        <w:jc w:val="both"/>
        <w:rPr>
          <w:rFonts w:ascii="Times New Roman" w:hAnsi="Times New Roman" w:cs="Times New Roman"/>
          <w:sz w:val="24"/>
          <w:szCs w:val="24"/>
        </w:rPr>
      </w:pPr>
    </w:p>
    <w:p w14:paraId="0A9E48B5" w14:textId="3895E51A" w:rsidR="005D5C89" w:rsidRPr="00327676" w:rsidRDefault="00D92CC6" w:rsidP="00AF617B">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Section 182 provides that:</w:t>
      </w:r>
    </w:p>
    <w:p w14:paraId="3CC55C10" w14:textId="7AF980AA" w:rsidR="00D92CC6" w:rsidRPr="00C5074A" w:rsidRDefault="00D92CC6" w:rsidP="00AF617B">
      <w:pPr>
        <w:pStyle w:val="subsection"/>
        <w:spacing w:before="0" w:beforeAutospacing="0" w:after="0" w:afterAutospacing="0"/>
        <w:ind w:left="1276" w:hanging="567"/>
        <w:jc w:val="both"/>
        <w:rPr>
          <w:sz w:val="22"/>
          <w:szCs w:val="22"/>
        </w:rPr>
      </w:pPr>
      <w:r w:rsidRPr="00C5074A">
        <w:rPr>
          <w:sz w:val="22"/>
          <w:szCs w:val="22"/>
        </w:rPr>
        <w:t xml:space="preserve"> (1)  </w:t>
      </w:r>
      <w:r w:rsidR="00313ACA" w:rsidRPr="00C5074A">
        <w:rPr>
          <w:sz w:val="22"/>
          <w:szCs w:val="22"/>
        </w:rPr>
        <w:tab/>
      </w:r>
      <w:r w:rsidRPr="00C5074A">
        <w:rPr>
          <w:sz w:val="22"/>
          <w:szCs w:val="22"/>
        </w:rPr>
        <w:t xml:space="preserve">A director, secretary, other officer or employee of a corporation must not </w:t>
      </w:r>
      <w:r w:rsidRPr="00C5074A">
        <w:rPr>
          <w:b/>
          <w:sz w:val="22"/>
          <w:szCs w:val="22"/>
        </w:rPr>
        <w:t>improperly use their position</w:t>
      </w:r>
      <w:r w:rsidRPr="00C5074A">
        <w:rPr>
          <w:sz w:val="22"/>
          <w:szCs w:val="22"/>
        </w:rPr>
        <w:t xml:space="preserve"> to: </w:t>
      </w:r>
    </w:p>
    <w:p w14:paraId="42F68DD3" w14:textId="50C9F6BD" w:rsidR="00D92CC6" w:rsidRPr="00C5074A" w:rsidRDefault="00D92CC6" w:rsidP="00AF617B">
      <w:pPr>
        <w:pStyle w:val="paragraph"/>
        <w:spacing w:before="0" w:beforeAutospacing="0" w:after="0" w:afterAutospacing="0"/>
        <w:ind w:left="1843" w:hanging="425"/>
        <w:jc w:val="both"/>
        <w:rPr>
          <w:sz w:val="22"/>
          <w:szCs w:val="22"/>
        </w:rPr>
      </w:pPr>
      <w:r w:rsidRPr="00C5074A">
        <w:rPr>
          <w:sz w:val="22"/>
          <w:szCs w:val="22"/>
        </w:rPr>
        <w:t xml:space="preserve">(a)  </w:t>
      </w:r>
      <w:r w:rsidR="00313ACA" w:rsidRPr="00C5074A">
        <w:rPr>
          <w:sz w:val="22"/>
          <w:szCs w:val="22"/>
        </w:rPr>
        <w:tab/>
      </w:r>
      <w:r w:rsidRPr="00C5074A">
        <w:rPr>
          <w:b/>
          <w:sz w:val="22"/>
          <w:szCs w:val="22"/>
        </w:rPr>
        <w:t>gain an advantage for themselves or someone else</w:t>
      </w:r>
      <w:r w:rsidRPr="00C5074A">
        <w:rPr>
          <w:sz w:val="22"/>
          <w:szCs w:val="22"/>
        </w:rPr>
        <w:t xml:space="preserve">; or </w:t>
      </w:r>
    </w:p>
    <w:p w14:paraId="6CF971F6" w14:textId="6F0B8999" w:rsidR="00D92CC6" w:rsidRPr="00C5074A" w:rsidRDefault="00D92CC6" w:rsidP="00AF617B">
      <w:pPr>
        <w:pStyle w:val="paragraph"/>
        <w:spacing w:before="0" w:beforeAutospacing="0" w:after="0" w:afterAutospacing="0"/>
        <w:ind w:left="1843" w:hanging="425"/>
        <w:jc w:val="both"/>
        <w:rPr>
          <w:sz w:val="22"/>
          <w:szCs w:val="22"/>
        </w:rPr>
      </w:pPr>
      <w:r w:rsidRPr="00C5074A">
        <w:rPr>
          <w:sz w:val="22"/>
          <w:szCs w:val="22"/>
        </w:rPr>
        <w:t xml:space="preserve">(b)  </w:t>
      </w:r>
      <w:r w:rsidR="00313ACA" w:rsidRPr="00C5074A">
        <w:rPr>
          <w:sz w:val="22"/>
          <w:szCs w:val="22"/>
        </w:rPr>
        <w:tab/>
      </w:r>
      <w:r w:rsidRPr="00C5074A">
        <w:rPr>
          <w:sz w:val="22"/>
          <w:szCs w:val="22"/>
        </w:rPr>
        <w:t>cause detriment to the corporation.</w:t>
      </w:r>
    </w:p>
    <w:p w14:paraId="0224BA6B" w14:textId="77777777" w:rsidR="005D5C89" w:rsidRPr="00327676" w:rsidRDefault="005D5C89" w:rsidP="00327676">
      <w:pPr>
        <w:spacing w:after="0" w:line="240" w:lineRule="auto"/>
        <w:jc w:val="both"/>
        <w:rPr>
          <w:rFonts w:ascii="Times New Roman" w:hAnsi="Times New Roman" w:cs="Times New Roman"/>
          <w:sz w:val="24"/>
          <w:szCs w:val="24"/>
        </w:rPr>
      </w:pPr>
    </w:p>
    <w:p w14:paraId="361E1C3B" w14:textId="42992966" w:rsidR="00D92CC6" w:rsidRPr="00327676" w:rsidRDefault="0024246E"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These</w:t>
      </w:r>
      <w:r w:rsidR="00D92CC6" w:rsidRPr="00327676">
        <w:rPr>
          <w:rFonts w:ascii="Times New Roman" w:hAnsi="Times New Roman" w:cs="Times New Roman"/>
          <w:sz w:val="24"/>
          <w:szCs w:val="24"/>
        </w:rPr>
        <w:t xml:space="preserve"> sections</w:t>
      </w:r>
      <w:r w:rsidRPr="00327676">
        <w:rPr>
          <w:rFonts w:ascii="Times New Roman" w:hAnsi="Times New Roman" w:cs="Times New Roman"/>
          <w:sz w:val="24"/>
          <w:szCs w:val="24"/>
        </w:rPr>
        <w:t xml:space="preserve"> undoubtedly</w:t>
      </w:r>
      <w:r w:rsidR="00D92CC6" w:rsidRPr="00327676">
        <w:rPr>
          <w:rFonts w:ascii="Times New Roman" w:hAnsi="Times New Roman" w:cs="Times New Roman"/>
          <w:sz w:val="24"/>
          <w:szCs w:val="24"/>
        </w:rPr>
        <w:t xml:space="preserve"> deal with the sorts of ‘sharp practice’ that crosses the line between </w:t>
      </w:r>
      <w:r w:rsidR="0040179B" w:rsidRPr="00327676">
        <w:rPr>
          <w:rFonts w:ascii="Times New Roman" w:hAnsi="Times New Roman" w:cs="Times New Roman"/>
          <w:sz w:val="24"/>
          <w:szCs w:val="24"/>
        </w:rPr>
        <w:t xml:space="preserve">the </w:t>
      </w:r>
      <w:r w:rsidR="00D92CC6" w:rsidRPr="00327676">
        <w:rPr>
          <w:rFonts w:ascii="Times New Roman" w:hAnsi="Times New Roman" w:cs="Times New Roman"/>
          <w:sz w:val="24"/>
          <w:szCs w:val="24"/>
        </w:rPr>
        <w:t xml:space="preserve">canny organisation of a company or group’s affairs and </w:t>
      </w:r>
      <w:r w:rsidRPr="00327676">
        <w:rPr>
          <w:rFonts w:ascii="Times New Roman" w:hAnsi="Times New Roman" w:cs="Times New Roman"/>
          <w:sz w:val="24"/>
          <w:szCs w:val="24"/>
        </w:rPr>
        <w:t xml:space="preserve">those </w:t>
      </w:r>
      <w:r w:rsidR="00D92CC6" w:rsidRPr="00327676">
        <w:rPr>
          <w:rFonts w:ascii="Times New Roman" w:hAnsi="Times New Roman" w:cs="Times New Roman"/>
          <w:sz w:val="24"/>
          <w:szCs w:val="24"/>
        </w:rPr>
        <w:t xml:space="preserve">deliberate arrangements to </w:t>
      </w:r>
      <w:r w:rsidR="00E53E9E">
        <w:rPr>
          <w:rFonts w:ascii="Times New Roman" w:hAnsi="Times New Roman" w:cs="Times New Roman"/>
          <w:sz w:val="24"/>
          <w:szCs w:val="24"/>
        </w:rPr>
        <w:t>avoid</w:t>
      </w:r>
      <w:r w:rsidR="001F1E51" w:rsidRPr="00327676">
        <w:rPr>
          <w:rFonts w:ascii="Times New Roman" w:hAnsi="Times New Roman" w:cs="Times New Roman"/>
          <w:sz w:val="24"/>
          <w:szCs w:val="24"/>
        </w:rPr>
        <w:t xml:space="preserve"> </w:t>
      </w:r>
      <w:r w:rsidR="00D92CC6" w:rsidRPr="00327676">
        <w:rPr>
          <w:rFonts w:ascii="Times New Roman" w:hAnsi="Times New Roman" w:cs="Times New Roman"/>
          <w:sz w:val="24"/>
          <w:szCs w:val="24"/>
        </w:rPr>
        <w:t>payment of</w:t>
      </w:r>
      <w:r w:rsidR="0040179B" w:rsidRPr="00327676">
        <w:rPr>
          <w:rFonts w:ascii="Times New Roman" w:hAnsi="Times New Roman" w:cs="Times New Roman"/>
          <w:sz w:val="24"/>
          <w:szCs w:val="24"/>
        </w:rPr>
        <w:t xml:space="preserve"> tax and employment related</w:t>
      </w:r>
      <w:r w:rsidR="00D92CC6" w:rsidRPr="00327676">
        <w:rPr>
          <w:rFonts w:ascii="Times New Roman" w:hAnsi="Times New Roman" w:cs="Times New Roman"/>
          <w:sz w:val="24"/>
          <w:szCs w:val="24"/>
        </w:rPr>
        <w:t xml:space="preserve"> </w:t>
      </w:r>
      <w:r w:rsidR="0040179B" w:rsidRPr="00327676">
        <w:rPr>
          <w:rFonts w:ascii="Times New Roman" w:hAnsi="Times New Roman" w:cs="Times New Roman"/>
          <w:sz w:val="24"/>
          <w:szCs w:val="24"/>
        </w:rPr>
        <w:t>obligations.</w:t>
      </w:r>
      <w:r w:rsidRPr="00327676">
        <w:rPr>
          <w:rFonts w:ascii="Times New Roman" w:hAnsi="Times New Roman" w:cs="Times New Roman"/>
          <w:sz w:val="24"/>
          <w:szCs w:val="24"/>
        </w:rPr>
        <w:t xml:space="preserve"> These directors’ duty provisions</w:t>
      </w:r>
      <w:r w:rsidR="00037B3D" w:rsidRPr="00327676">
        <w:rPr>
          <w:rFonts w:ascii="Times New Roman" w:hAnsi="Times New Roman" w:cs="Times New Roman"/>
          <w:sz w:val="24"/>
          <w:szCs w:val="24"/>
        </w:rPr>
        <w:t xml:space="preserve"> also cover the wider range of ‘schemes’ that Option 4’s suggestion (broader wording for the existing s 596AB) seeks to address.</w:t>
      </w:r>
    </w:p>
    <w:p w14:paraId="45E7DF9A" w14:textId="77777777" w:rsidR="00D92CC6" w:rsidRPr="00327676" w:rsidRDefault="00D92CC6" w:rsidP="00327676">
      <w:pPr>
        <w:spacing w:after="0" w:line="240" w:lineRule="auto"/>
        <w:jc w:val="both"/>
        <w:rPr>
          <w:rFonts w:ascii="Times New Roman" w:hAnsi="Times New Roman" w:cs="Times New Roman"/>
          <w:sz w:val="24"/>
          <w:szCs w:val="24"/>
        </w:rPr>
      </w:pPr>
    </w:p>
    <w:p w14:paraId="758824B8" w14:textId="05E55487" w:rsidR="00D92CC6" w:rsidRPr="00106BDB" w:rsidRDefault="00D92CC6"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Both of these sections have criminal equivalents – s 184(1) and s 184(2) respectively – where the conduct was reckless or intentionally dishonest. There are very few cases brought under either the civil penalty or criminal provisions. As an aside, both the criminal and civil penalty </w:t>
      </w:r>
      <w:r w:rsidRPr="00106BDB">
        <w:rPr>
          <w:rFonts w:ascii="Times New Roman" w:hAnsi="Times New Roman" w:cs="Times New Roman"/>
          <w:sz w:val="24"/>
          <w:szCs w:val="24"/>
        </w:rPr>
        <w:lastRenderedPageBreak/>
        <w:t>provisions allow for accessory liability,</w:t>
      </w:r>
      <w:r w:rsidRPr="00106BDB">
        <w:rPr>
          <w:rStyle w:val="FootnoteReference"/>
          <w:rFonts w:ascii="Times New Roman" w:hAnsi="Times New Roman" w:cs="Times New Roman"/>
          <w:sz w:val="24"/>
          <w:szCs w:val="24"/>
        </w:rPr>
        <w:footnoteReference w:id="6"/>
      </w:r>
      <w:r w:rsidRPr="00106BDB">
        <w:rPr>
          <w:rFonts w:ascii="Times New Roman" w:hAnsi="Times New Roman" w:cs="Times New Roman"/>
          <w:sz w:val="24"/>
          <w:szCs w:val="24"/>
        </w:rPr>
        <w:t xml:space="preserve"> which would capture improper advice from accountants, lawyers and pre</w:t>
      </w:r>
      <w:r w:rsidR="002B37D1" w:rsidRPr="00106BDB">
        <w:rPr>
          <w:rFonts w:ascii="Times New Roman" w:hAnsi="Times New Roman" w:cs="Times New Roman"/>
          <w:sz w:val="24"/>
          <w:szCs w:val="24"/>
        </w:rPr>
        <w:t>-</w:t>
      </w:r>
      <w:r w:rsidRPr="00106BDB">
        <w:rPr>
          <w:rFonts w:ascii="Times New Roman" w:hAnsi="Times New Roman" w:cs="Times New Roman"/>
          <w:sz w:val="24"/>
          <w:szCs w:val="24"/>
        </w:rPr>
        <w:t>insolvency advisors</w:t>
      </w:r>
      <w:r w:rsidR="0040179B" w:rsidRPr="00106BDB">
        <w:rPr>
          <w:rFonts w:ascii="Times New Roman" w:hAnsi="Times New Roman" w:cs="Times New Roman"/>
          <w:sz w:val="24"/>
          <w:szCs w:val="24"/>
        </w:rPr>
        <w:t xml:space="preserve"> involved in the directors’ contraventions</w:t>
      </w:r>
      <w:r w:rsidRPr="00106BDB">
        <w:rPr>
          <w:rFonts w:ascii="Times New Roman" w:hAnsi="Times New Roman" w:cs="Times New Roman"/>
          <w:sz w:val="24"/>
          <w:szCs w:val="24"/>
        </w:rPr>
        <w:t xml:space="preserve">. </w:t>
      </w:r>
    </w:p>
    <w:p w14:paraId="02F58FD3" w14:textId="77777777" w:rsidR="00D92CC6" w:rsidRPr="00106BDB" w:rsidRDefault="00D92CC6" w:rsidP="00327676">
      <w:pPr>
        <w:spacing w:after="0" w:line="240" w:lineRule="auto"/>
        <w:jc w:val="both"/>
        <w:rPr>
          <w:rFonts w:ascii="Times New Roman" w:hAnsi="Times New Roman" w:cs="Times New Roman"/>
          <w:sz w:val="24"/>
          <w:szCs w:val="24"/>
        </w:rPr>
      </w:pPr>
    </w:p>
    <w:p w14:paraId="11EF09C7" w14:textId="4D458088" w:rsidR="00037B3D" w:rsidRPr="00327676" w:rsidRDefault="00106BDB" w:rsidP="00327676">
      <w:pPr>
        <w:spacing w:after="0" w:line="240" w:lineRule="auto"/>
        <w:jc w:val="both"/>
        <w:rPr>
          <w:rFonts w:ascii="Times New Roman" w:hAnsi="Times New Roman" w:cs="Times New Roman"/>
          <w:sz w:val="24"/>
          <w:szCs w:val="24"/>
        </w:rPr>
      </w:pPr>
      <w:r w:rsidRPr="00106BDB">
        <w:rPr>
          <w:rFonts w:ascii="Times New Roman" w:hAnsi="Times New Roman" w:cs="Times New Roman"/>
          <w:sz w:val="24"/>
          <w:szCs w:val="24"/>
        </w:rPr>
        <w:t>Here, it is important to pause and ask: d</w:t>
      </w:r>
      <w:r w:rsidR="00D92CC6" w:rsidRPr="00106BDB">
        <w:rPr>
          <w:rFonts w:ascii="Times New Roman" w:hAnsi="Times New Roman" w:cs="Times New Roman"/>
          <w:sz w:val="24"/>
          <w:szCs w:val="24"/>
        </w:rPr>
        <w:t>o we need more legislative provisions, or more enforcement of existing ones?</w:t>
      </w:r>
      <w:r w:rsidR="00037B3D" w:rsidRPr="00106BDB">
        <w:rPr>
          <w:rFonts w:ascii="Times New Roman" w:hAnsi="Times New Roman" w:cs="Times New Roman"/>
          <w:sz w:val="24"/>
          <w:szCs w:val="24"/>
        </w:rPr>
        <w:t xml:space="preserve"> </w:t>
      </w:r>
    </w:p>
    <w:p w14:paraId="0D63281D" w14:textId="77777777" w:rsidR="00037B3D" w:rsidRPr="00327676" w:rsidRDefault="00037B3D" w:rsidP="00327676">
      <w:pPr>
        <w:spacing w:after="0" w:line="240" w:lineRule="auto"/>
        <w:jc w:val="both"/>
        <w:rPr>
          <w:rFonts w:ascii="Times New Roman" w:hAnsi="Times New Roman" w:cs="Times New Roman"/>
          <w:sz w:val="24"/>
          <w:szCs w:val="24"/>
        </w:rPr>
      </w:pPr>
    </w:p>
    <w:p w14:paraId="219B4821" w14:textId="22940E44" w:rsidR="00D92CC6" w:rsidRPr="00327676" w:rsidRDefault="00037B3D"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In this regard, we support Option 3 (Expand the parties who may initiate civil action) and agree that there is good justification for allowing the Department of Employment, Fair Work Ombudsman and the ATO to be able to bring action for </w:t>
      </w:r>
      <w:r w:rsidR="002B37D1" w:rsidRPr="00327676">
        <w:rPr>
          <w:rFonts w:ascii="Times New Roman" w:hAnsi="Times New Roman" w:cs="Times New Roman"/>
          <w:sz w:val="24"/>
          <w:szCs w:val="24"/>
        </w:rPr>
        <w:t>arrangements</w:t>
      </w:r>
      <w:r w:rsidRPr="00327676">
        <w:rPr>
          <w:rFonts w:ascii="Times New Roman" w:hAnsi="Times New Roman" w:cs="Times New Roman"/>
          <w:sz w:val="24"/>
          <w:szCs w:val="24"/>
        </w:rPr>
        <w:t xml:space="preserve"> that deprive employees of their entitlements. Obviously there would need to be careful coordination to ensure that 1) two regulators were not bringing the same action, or 2) that each regulator assumed another agency would do it. The second is the greater danger, given tight litigation budgets and the risk-</w:t>
      </w:r>
      <w:r w:rsidR="002B37D1" w:rsidRPr="00327676">
        <w:rPr>
          <w:rFonts w:ascii="Times New Roman" w:hAnsi="Times New Roman" w:cs="Times New Roman"/>
          <w:sz w:val="24"/>
          <w:szCs w:val="24"/>
        </w:rPr>
        <w:t>averse</w:t>
      </w:r>
      <w:r w:rsidRPr="00327676">
        <w:rPr>
          <w:rFonts w:ascii="Times New Roman" w:hAnsi="Times New Roman" w:cs="Times New Roman"/>
          <w:sz w:val="24"/>
          <w:szCs w:val="24"/>
        </w:rPr>
        <w:t xml:space="preserve"> nature of regulators.</w:t>
      </w:r>
    </w:p>
    <w:p w14:paraId="5077C0E3" w14:textId="77777777" w:rsidR="00037B3D" w:rsidRPr="00327676" w:rsidRDefault="00037B3D" w:rsidP="00327676">
      <w:pPr>
        <w:spacing w:after="0" w:line="240" w:lineRule="auto"/>
        <w:jc w:val="both"/>
        <w:rPr>
          <w:rFonts w:ascii="Times New Roman" w:hAnsi="Times New Roman" w:cs="Times New Roman"/>
          <w:sz w:val="24"/>
          <w:szCs w:val="24"/>
        </w:rPr>
      </w:pPr>
    </w:p>
    <w:p w14:paraId="1D2FB0BD" w14:textId="55C1A80F" w:rsidR="00037B3D" w:rsidRPr="00327676" w:rsidRDefault="00037B3D" w:rsidP="00106BDB">
      <w:pPr>
        <w:spacing w:after="0" w:line="240" w:lineRule="auto"/>
        <w:jc w:val="center"/>
        <w:rPr>
          <w:rFonts w:ascii="Times New Roman" w:hAnsi="Times New Roman" w:cs="Times New Roman"/>
          <w:sz w:val="24"/>
          <w:szCs w:val="24"/>
        </w:rPr>
      </w:pPr>
      <w:r w:rsidRPr="00327676">
        <w:rPr>
          <w:rFonts w:ascii="Times New Roman" w:hAnsi="Times New Roman" w:cs="Times New Roman"/>
          <w:b/>
          <w:sz w:val="24"/>
          <w:szCs w:val="24"/>
        </w:rPr>
        <w:t>PREVENTING ABUSE OF CORPORATE GROUP STRUCTURES</w:t>
      </w:r>
      <w:r w:rsidR="00517D74">
        <w:rPr>
          <w:rFonts w:ascii="Times New Roman" w:hAnsi="Times New Roman" w:cs="Times New Roman"/>
          <w:b/>
          <w:sz w:val="24"/>
          <w:szCs w:val="24"/>
        </w:rPr>
        <w:t xml:space="preserve"> TO AVOID PAYING EMPLOYEE ENTITLEMENTS</w:t>
      </w:r>
    </w:p>
    <w:p w14:paraId="010FFBA9" w14:textId="77777777" w:rsidR="00037B3D" w:rsidRPr="00327676" w:rsidRDefault="00037B3D" w:rsidP="00327676">
      <w:pPr>
        <w:spacing w:after="0" w:line="240" w:lineRule="auto"/>
        <w:jc w:val="both"/>
        <w:rPr>
          <w:rFonts w:ascii="Times New Roman" w:hAnsi="Times New Roman" w:cs="Times New Roman"/>
          <w:sz w:val="24"/>
          <w:szCs w:val="24"/>
        </w:rPr>
      </w:pPr>
    </w:p>
    <w:p w14:paraId="5D3641B5" w14:textId="4CFA3290" w:rsidR="00037B3D" w:rsidRPr="00327676" w:rsidRDefault="00106BDB" w:rsidP="00327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Many have</w:t>
      </w:r>
      <w:r w:rsidR="00037B3D" w:rsidRPr="00327676">
        <w:rPr>
          <w:rFonts w:ascii="Times New Roman" w:hAnsi="Times New Roman" w:cs="Times New Roman"/>
          <w:sz w:val="24"/>
          <w:szCs w:val="24"/>
        </w:rPr>
        <w:t xml:space="preserve"> called</w:t>
      </w:r>
      <w:r>
        <w:rPr>
          <w:rStyle w:val="FootnoteReference"/>
          <w:rFonts w:ascii="Times New Roman" w:hAnsi="Times New Roman" w:cs="Times New Roman"/>
          <w:sz w:val="24"/>
          <w:szCs w:val="24"/>
        </w:rPr>
        <w:footnoteReference w:id="7"/>
      </w:r>
      <w:r w:rsidR="00037B3D" w:rsidRPr="00327676">
        <w:rPr>
          <w:rFonts w:ascii="Times New Roman" w:hAnsi="Times New Roman" w:cs="Times New Roman"/>
          <w:sz w:val="24"/>
          <w:szCs w:val="24"/>
        </w:rPr>
        <w:t xml:space="preserve"> for a reconsideration of the present law which </w:t>
      </w:r>
      <w:r w:rsidR="0060718A" w:rsidRPr="00327676">
        <w:rPr>
          <w:rFonts w:ascii="Times New Roman" w:hAnsi="Times New Roman" w:cs="Times New Roman"/>
          <w:sz w:val="24"/>
          <w:szCs w:val="24"/>
        </w:rPr>
        <w:t xml:space="preserve">largely shields holding companies within corporate groups from the improper actions of </w:t>
      </w:r>
      <w:r w:rsidR="00924B08" w:rsidRPr="00327676">
        <w:rPr>
          <w:rFonts w:ascii="Times New Roman" w:hAnsi="Times New Roman" w:cs="Times New Roman"/>
          <w:sz w:val="24"/>
          <w:szCs w:val="24"/>
        </w:rPr>
        <w:t>their</w:t>
      </w:r>
      <w:r w:rsidR="0060718A" w:rsidRPr="00327676">
        <w:rPr>
          <w:rFonts w:ascii="Times New Roman" w:hAnsi="Times New Roman" w:cs="Times New Roman"/>
          <w:sz w:val="24"/>
          <w:szCs w:val="24"/>
        </w:rPr>
        <w:t xml:space="preserve"> subsidiaries</w:t>
      </w:r>
      <w:r w:rsidR="00924B08" w:rsidRPr="00327676">
        <w:rPr>
          <w:rFonts w:ascii="Times New Roman" w:hAnsi="Times New Roman" w:cs="Times New Roman"/>
          <w:sz w:val="24"/>
          <w:szCs w:val="24"/>
        </w:rPr>
        <w:t xml:space="preserve"> – improper actions</w:t>
      </w:r>
      <w:r w:rsidR="0060718A" w:rsidRPr="00327676">
        <w:rPr>
          <w:rFonts w:ascii="Times New Roman" w:hAnsi="Times New Roman" w:cs="Times New Roman"/>
          <w:sz w:val="24"/>
          <w:szCs w:val="24"/>
        </w:rPr>
        <w:t xml:space="preserve"> from which they undoubtedly benefit. </w:t>
      </w:r>
      <w:r w:rsidR="00A33ABB">
        <w:rPr>
          <w:rFonts w:ascii="Times New Roman" w:hAnsi="Times New Roman" w:cs="Times New Roman"/>
          <w:sz w:val="24"/>
          <w:szCs w:val="24"/>
        </w:rPr>
        <w:t>As the Consultation Paper acknowledges,</w:t>
      </w:r>
      <w:r w:rsidR="00A33ABB">
        <w:rPr>
          <w:rStyle w:val="FootnoteReference"/>
          <w:rFonts w:ascii="Times New Roman" w:hAnsi="Times New Roman" w:cs="Times New Roman"/>
          <w:sz w:val="24"/>
          <w:szCs w:val="24"/>
        </w:rPr>
        <w:footnoteReference w:id="8"/>
      </w:r>
      <w:r w:rsidR="00A33ABB">
        <w:rPr>
          <w:rFonts w:ascii="Times New Roman" w:hAnsi="Times New Roman" w:cs="Times New Roman"/>
          <w:sz w:val="24"/>
          <w:szCs w:val="24"/>
        </w:rPr>
        <w:t xml:space="preserve"> it is legitimate for businesses to be structured in such a way that different aspects are operated by different companies within a corporate group. It is the wrongdoing of the controllers of these companies, rather than the amount of reliance by employees of corporate groups upon FEG, that should prompt action. </w:t>
      </w:r>
      <w:r w:rsidR="0060718A" w:rsidRPr="00327676">
        <w:rPr>
          <w:rFonts w:ascii="Times New Roman" w:hAnsi="Times New Roman" w:cs="Times New Roman"/>
          <w:sz w:val="24"/>
          <w:szCs w:val="24"/>
        </w:rPr>
        <w:t>Certainly</w:t>
      </w:r>
      <w:r w:rsidR="00924B08" w:rsidRPr="00327676">
        <w:rPr>
          <w:rFonts w:ascii="Times New Roman" w:hAnsi="Times New Roman" w:cs="Times New Roman"/>
          <w:sz w:val="24"/>
          <w:szCs w:val="24"/>
        </w:rPr>
        <w:t>,</w:t>
      </w:r>
      <w:r w:rsidR="0060718A" w:rsidRPr="00327676">
        <w:rPr>
          <w:rFonts w:ascii="Times New Roman" w:hAnsi="Times New Roman" w:cs="Times New Roman"/>
          <w:sz w:val="24"/>
          <w:szCs w:val="24"/>
        </w:rPr>
        <w:t xml:space="preserve"> the consolidation laws from New Zealand and Ireland are worth a careful examination, but </w:t>
      </w:r>
      <w:r w:rsidR="0024246E" w:rsidRPr="00327676">
        <w:rPr>
          <w:rFonts w:ascii="Times New Roman" w:hAnsi="Times New Roman" w:cs="Times New Roman"/>
          <w:sz w:val="24"/>
          <w:szCs w:val="24"/>
        </w:rPr>
        <w:t xml:space="preserve">once </w:t>
      </w:r>
      <w:r w:rsidR="0060718A" w:rsidRPr="00327676">
        <w:rPr>
          <w:rFonts w:ascii="Times New Roman" w:hAnsi="Times New Roman" w:cs="Times New Roman"/>
          <w:sz w:val="24"/>
          <w:szCs w:val="24"/>
        </w:rPr>
        <w:t xml:space="preserve">again, new laws make no difference unless action is brought to enforce them. </w:t>
      </w:r>
    </w:p>
    <w:p w14:paraId="5DA33528" w14:textId="77777777" w:rsidR="0060718A" w:rsidRPr="00327676" w:rsidRDefault="0060718A" w:rsidP="00327676">
      <w:pPr>
        <w:spacing w:after="0" w:line="240" w:lineRule="auto"/>
        <w:jc w:val="both"/>
        <w:rPr>
          <w:rFonts w:ascii="Times New Roman" w:hAnsi="Times New Roman" w:cs="Times New Roman"/>
          <w:sz w:val="24"/>
          <w:szCs w:val="24"/>
        </w:rPr>
      </w:pPr>
    </w:p>
    <w:p w14:paraId="593B346B" w14:textId="57EE1EDD" w:rsidR="0060718A" w:rsidRPr="00327676" w:rsidRDefault="0060718A"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Treasury and the Department of Employment should be aware that there are other ‘multi-corporation’ arrangements to defeat payment of debts t</w:t>
      </w:r>
      <w:r w:rsidR="00924B08" w:rsidRPr="00327676">
        <w:rPr>
          <w:rFonts w:ascii="Times New Roman" w:hAnsi="Times New Roman" w:cs="Times New Roman"/>
          <w:sz w:val="24"/>
          <w:szCs w:val="24"/>
        </w:rPr>
        <w:t>hat are not within the typical corporate group</w:t>
      </w:r>
      <w:r w:rsidRPr="00327676">
        <w:rPr>
          <w:rFonts w:ascii="Times New Roman" w:hAnsi="Times New Roman" w:cs="Times New Roman"/>
          <w:sz w:val="24"/>
          <w:szCs w:val="24"/>
        </w:rPr>
        <w:t xml:space="preserve"> structure.</w:t>
      </w:r>
      <w:r w:rsidRPr="00327676">
        <w:rPr>
          <w:rStyle w:val="FootnoteReference"/>
          <w:rFonts w:ascii="Times New Roman" w:hAnsi="Times New Roman" w:cs="Times New Roman"/>
          <w:sz w:val="24"/>
          <w:szCs w:val="24"/>
        </w:rPr>
        <w:footnoteReference w:id="9"/>
      </w:r>
      <w:r w:rsidRPr="00327676">
        <w:rPr>
          <w:rFonts w:ascii="Times New Roman" w:hAnsi="Times New Roman" w:cs="Times New Roman"/>
          <w:sz w:val="24"/>
          <w:szCs w:val="24"/>
        </w:rPr>
        <w:t xml:space="preserve"> Controlling and controlled entities</w:t>
      </w:r>
      <w:r w:rsidRPr="00327676">
        <w:rPr>
          <w:rStyle w:val="FootnoteReference"/>
          <w:rFonts w:ascii="Times New Roman" w:hAnsi="Times New Roman" w:cs="Times New Roman"/>
          <w:sz w:val="24"/>
          <w:szCs w:val="24"/>
        </w:rPr>
        <w:footnoteReference w:id="10"/>
      </w:r>
      <w:r w:rsidRPr="00327676">
        <w:rPr>
          <w:rFonts w:ascii="Times New Roman" w:hAnsi="Times New Roman" w:cs="Times New Roman"/>
          <w:sz w:val="24"/>
          <w:szCs w:val="24"/>
        </w:rPr>
        <w:t xml:space="preserve"> must also be considered. In addition, the spate of recent abuses of employees of labour hire companies and of franchises shows that supply chains can perpetrate the same sorts of avoidance tactics that were once the domain of fraudulent corporate groups. </w:t>
      </w:r>
      <w:r w:rsidR="0024246E" w:rsidRPr="00327676">
        <w:rPr>
          <w:rFonts w:ascii="Times New Roman" w:hAnsi="Times New Roman" w:cs="Times New Roman"/>
          <w:sz w:val="24"/>
          <w:szCs w:val="24"/>
        </w:rPr>
        <w:t>A major supermarket chain may outsource trolley collection, for example, to a company that subcontracts it through a number of other entities.</w:t>
      </w:r>
      <w:r w:rsidR="0024246E" w:rsidRPr="00327676">
        <w:rPr>
          <w:rStyle w:val="FootnoteReference"/>
          <w:rFonts w:ascii="Times New Roman" w:hAnsi="Times New Roman" w:cs="Times New Roman"/>
          <w:sz w:val="24"/>
          <w:szCs w:val="24"/>
        </w:rPr>
        <w:footnoteReference w:id="11"/>
      </w:r>
      <w:r w:rsidR="0024246E" w:rsidRPr="00327676">
        <w:rPr>
          <w:rFonts w:ascii="Times New Roman" w:hAnsi="Times New Roman" w:cs="Times New Roman"/>
          <w:sz w:val="24"/>
          <w:szCs w:val="24"/>
        </w:rPr>
        <w:t xml:space="preserve"> The final employer company breaches workplace laws and is quickly placed into liquidation at the hint of regulator action.</w:t>
      </w:r>
    </w:p>
    <w:p w14:paraId="01E16F72" w14:textId="77777777" w:rsidR="0060718A" w:rsidRPr="00327676" w:rsidRDefault="0060718A" w:rsidP="00327676">
      <w:pPr>
        <w:spacing w:after="0" w:line="240" w:lineRule="auto"/>
        <w:jc w:val="both"/>
        <w:rPr>
          <w:rFonts w:ascii="Times New Roman" w:hAnsi="Times New Roman" w:cs="Times New Roman"/>
          <w:sz w:val="24"/>
          <w:szCs w:val="24"/>
        </w:rPr>
      </w:pPr>
    </w:p>
    <w:p w14:paraId="099C32C0" w14:textId="16977F45" w:rsidR="003E16AF" w:rsidRPr="00327676" w:rsidRDefault="0060718A"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Our recommendations report therefore took a different approach</w:t>
      </w:r>
      <w:r w:rsidR="00A33ABB">
        <w:rPr>
          <w:rFonts w:ascii="Times New Roman" w:hAnsi="Times New Roman" w:cs="Times New Roman"/>
          <w:sz w:val="24"/>
          <w:szCs w:val="24"/>
        </w:rPr>
        <w:t xml:space="preserve"> to the one adopted in New Zealand and Ireland</w:t>
      </w:r>
      <w:r w:rsidRPr="00327676">
        <w:rPr>
          <w:rFonts w:ascii="Times New Roman" w:hAnsi="Times New Roman" w:cs="Times New Roman"/>
          <w:sz w:val="24"/>
          <w:szCs w:val="24"/>
        </w:rPr>
        <w:t xml:space="preserve">. It moved away from the corporate structure and focused on the </w:t>
      </w:r>
      <w:r w:rsidR="002B37D1" w:rsidRPr="00327676">
        <w:rPr>
          <w:rFonts w:ascii="Times New Roman" w:hAnsi="Times New Roman" w:cs="Times New Roman"/>
          <w:sz w:val="24"/>
          <w:szCs w:val="24"/>
        </w:rPr>
        <w:t>recipient</w:t>
      </w:r>
      <w:r w:rsidR="00974877" w:rsidRPr="00327676">
        <w:rPr>
          <w:rFonts w:ascii="Times New Roman" w:hAnsi="Times New Roman" w:cs="Times New Roman"/>
          <w:sz w:val="24"/>
          <w:szCs w:val="24"/>
        </w:rPr>
        <w:t xml:space="preserve"> of the </w:t>
      </w:r>
      <w:r w:rsidRPr="00327676">
        <w:rPr>
          <w:rFonts w:ascii="Times New Roman" w:hAnsi="Times New Roman" w:cs="Times New Roman"/>
          <w:sz w:val="24"/>
          <w:szCs w:val="24"/>
        </w:rPr>
        <w:t>benefit</w:t>
      </w:r>
      <w:r w:rsidR="00974877" w:rsidRPr="00327676">
        <w:rPr>
          <w:rFonts w:ascii="Times New Roman" w:hAnsi="Times New Roman" w:cs="Times New Roman"/>
          <w:sz w:val="24"/>
          <w:szCs w:val="24"/>
        </w:rPr>
        <w:t xml:space="preserve">. The logic here is simple. If ‘crime doesn’t pay’, people won’t do it. </w:t>
      </w:r>
      <w:r w:rsidR="0024246E" w:rsidRPr="00327676">
        <w:rPr>
          <w:rFonts w:ascii="Times New Roman" w:hAnsi="Times New Roman" w:cs="Times New Roman"/>
          <w:sz w:val="24"/>
          <w:szCs w:val="24"/>
        </w:rPr>
        <w:t>The government should not focus on defining</w:t>
      </w:r>
      <w:r w:rsidR="00974877" w:rsidRPr="00327676">
        <w:rPr>
          <w:rFonts w:ascii="Times New Roman" w:hAnsi="Times New Roman" w:cs="Times New Roman"/>
          <w:sz w:val="24"/>
          <w:szCs w:val="24"/>
        </w:rPr>
        <w:t xml:space="preserve"> the relationship between the entities. Instead, ‘follow the money’ from the original wrongdoer’s actions to the eventual beneficiary. </w:t>
      </w:r>
      <w:r w:rsidR="003E16AF" w:rsidRPr="00327676">
        <w:rPr>
          <w:rFonts w:ascii="Times New Roman" w:hAnsi="Times New Roman" w:cs="Times New Roman"/>
          <w:sz w:val="24"/>
          <w:szCs w:val="24"/>
        </w:rPr>
        <w:lastRenderedPageBreak/>
        <w:t>Therefore, i</w:t>
      </w:r>
      <w:r w:rsidR="00974877" w:rsidRPr="00327676">
        <w:rPr>
          <w:rFonts w:ascii="Times New Roman" w:hAnsi="Times New Roman" w:cs="Times New Roman"/>
          <w:sz w:val="24"/>
          <w:szCs w:val="24"/>
        </w:rPr>
        <w:t xml:space="preserve">n our opinion, there needs to be a more targeted approach to removing the benefit of </w:t>
      </w:r>
      <w:r w:rsidR="00EE06A9">
        <w:rPr>
          <w:rFonts w:ascii="Times New Roman" w:hAnsi="Times New Roman" w:cs="Times New Roman"/>
          <w:sz w:val="24"/>
          <w:szCs w:val="24"/>
        </w:rPr>
        <w:t>illegal</w:t>
      </w:r>
      <w:r w:rsidR="00974877" w:rsidRPr="00327676">
        <w:rPr>
          <w:rFonts w:ascii="Times New Roman" w:hAnsi="Times New Roman" w:cs="Times New Roman"/>
          <w:sz w:val="24"/>
          <w:szCs w:val="24"/>
        </w:rPr>
        <w:t xml:space="preserve"> phoenix activity from </w:t>
      </w:r>
      <w:r w:rsidR="0024246E" w:rsidRPr="00327676">
        <w:rPr>
          <w:rFonts w:ascii="Times New Roman" w:hAnsi="Times New Roman" w:cs="Times New Roman"/>
          <w:sz w:val="24"/>
          <w:szCs w:val="24"/>
        </w:rPr>
        <w:t xml:space="preserve">a phoenix </w:t>
      </w:r>
      <w:r w:rsidR="00974877" w:rsidRPr="00327676">
        <w:rPr>
          <w:rFonts w:ascii="Times New Roman" w:hAnsi="Times New Roman" w:cs="Times New Roman"/>
          <w:sz w:val="24"/>
          <w:szCs w:val="24"/>
        </w:rPr>
        <w:t>Newco</w:t>
      </w:r>
      <w:r w:rsidR="0024246E" w:rsidRPr="00327676">
        <w:rPr>
          <w:rFonts w:ascii="Times New Roman" w:hAnsi="Times New Roman" w:cs="Times New Roman"/>
          <w:sz w:val="24"/>
          <w:szCs w:val="24"/>
        </w:rPr>
        <w:t xml:space="preserve"> or from an existing holding company or beneficiary of the wrongful action</w:t>
      </w:r>
      <w:r w:rsidR="00974877" w:rsidRPr="00327676">
        <w:rPr>
          <w:rFonts w:ascii="Times New Roman" w:hAnsi="Times New Roman" w:cs="Times New Roman"/>
          <w:sz w:val="24"/>
          <w:szCs w:val="24"/>
        </w:rPr>
        <w:t xml:space="preserve">. </w:t>
      </w:r>
    </w:p>
    <w:p w14:paraId="4A4269E8" w14:textId="77777777" w:rsidR="003E16AF" w:rsidRPr="00327676" w:rsidRDefault="003E16AF" w:rsidP="00327676">
      <w:pPr>
        <w:spacing w:after="0" w:line="240" w:lineRule="auto"/>
        <w:jc w:val="both"/>
        <w:rPr>
          <w:rFonts w:ascii="Times New Roman" w:hAnsi="Times New Roman" w:cs="Times New Roman"/>
          <w:sz w:val="24"/>
          <w:szCs w:val="24"/>
        </w:rPr>
      </w:pPr>
    </w:p>
    <w:p w14:paraId="6B7645FB" w14:textId="485399DC" w:rsidR="00974877" w:rsidRPr="00327676" w:rsidRDefault="0024246E"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At present, s</w:t>
      </w:r>
      <w:r w:rsidR="00974877" w:rsidRPr="00327676">
        <w:rPr>
          <w:rFonts w:ascii="Times New Roman" w:hAnsi="Times New Roman" w:cs="Times New Roman"/>
          <w:sz w:val="24"/>
          <w:szCs w:val="24"/>
        </w:rPr>
        <w:t xml:space="preserve"> 1317H(1) allows the court to order a person in contravention of a civil penalty provision to compensate the company for damage resulting from the contravention. Section 1317H(2) provides that ‘[i]n determining the damage suffered by the corporation or scheme for the purposes of making a compensation order, include profits made </w:t>
      </w:r>
      <w:r w:rsidR="00974877" w:rsidRPr="00327676">
        <w:rPr>
          <w:rFonts w:ascii="Times New Roman" w:hAnsi="Times New Roman" w:cs="Times New Roman"/>
          <w:i/>
          <w:sz w:val="24"/>
          <w:szCs w:val="24"/>
        </w:rPr>
        <w:t xml:space="preserve">by any person </w:t>
      </w:r>
      <w:r w:rsidR="00974877" w:rsidRPr="00327676">
        <w:rPr>
          <w:rFonts w:ascii="Times New Roman" w:hAnsi="Times New Roman" w:cs="Times New Roman"/>
          <w:sz w:val="24"/>
          <w:szCs w:val="24"/>
        </w:rPr>
        <w:t>resulting from the contravention or the offence.’</w:t>
      </w:r>
      <w:r w:rsidR="00974877" w:rsidRPr="00327676">
        <w:rPr>
          <w:rStyle w:val="FootnoteReference"/>
          <w:rFonts w:ascii="Times New Roman" w:hAnsi="Times New Roman" w:cs="Times New Roman"/>
          <w:sz w:val="24"/>
          <w:szCs w:val="24"/>
        </w:rPr>
        <w:footnoteReference w:id="12"/>
      </w:r>
      <w:r w:rsidR="00974877" w:rsidRPr="00327676">
        <w:rPr>
          <w:rFonts w:ascii="Times New Roman" w:hAnsi="Times New Roman" w:cs="Times New Roman"/>
          <w:sz w:val="24"/>
          <w:szCs w:val="24"/>
        </w:rPr>
        <w:t xml:space="preserve"> This sub-section has been interpreted by the courts to be a standalone ‘account of profits’ mechanism.</w:t>
      </w:r>
      <w:r w:rsidR="00974877" w:rsidRPr="00327676">
        <w:rPr>
          <w:rStyle w:val="FootnoteReference"/>
          <w:rFonts w:ascii="Times New Roman" w:hAnsi="Times New Roman" w:cs="Times New Roman"/>
          <w:sz w:val="24"/>
          <w:szCs w:val="24"/>
        </w:rPr>
        <w:footnoteReference w:id="13"/>
      </w:r>
      <w:r w:rsidR="00974877" w:rsidRPr="00327676">
        <w:rPr>
          <w:rFonts w:ascii="Times New Roman" w:hAnsi="Times New Roman" w:cs="Times New Roman"/>
          <w:sz w:val="24"/>
          <w:szCs w:val="24"/>
        </w:rPr>
        <w:t xml:space="preserve"> That is, it is not necessary to prove </w:t>
      </w:r>
      <w:r w:rsidR="00974877" w:rsidRPr="00327676">
        <w:rPr>
          <w:rFonts w:ascii="Times New Roman" w:hAnsi="Times New Roman" w:cs="Times New Roman"/>
          <w:i/>
          <w:sz w:val="24"/>
          <w:szCs w:val="24"/>
        </w:rPr>
        <w:t>any</w:t>
      </w:r>
      <w:r w:rsidR="00974877" w:rsidRPr="00327676">
        <w:rPr>
          <w:rFonts w:ascii="Times New Roman" w:hAnsi="Times New Roman" w:cs="Times New Roman"/>
          <w:sz w:val="24"/>
          <w:szCs w:val="24"/>
        </w:rPr>
        <w:t xml:space="preserve"> loss on the part of the corporation or scheme that has ‘suffered the damage’ in order to obtain a ‘compensation’ order under s 1317H; the ‘damage’ can be </w:t>
      </w:r>
      <w:r w:rsidR="00974877" w:rsidRPr="00327676">
        <w:rPr>
          <w:rFonts w:ascii="Times New Roman" w:hAnsi="Times New Roman" w:cs="Times New Roman"/>
          <w:i/>
          <w:sz w:val="24"/>
          <w:szCs w:val="24"/>
        </w:rPr>
        <w:t>entirely</w:t>
      </w:r>
      <w:r w:rsidR="00974877" w:rsidRPr="00327676">
        <w:rPr>
          <w:rFonts w:ascii="Times New Roman" w:hAnsi="Times New Roman" w:cs="Times New Roman"/>
          <w:sz w:val="24"/>
          <w:szCs w:val="24"/>
        </w:rPr>
        <w:t xml:space="preserve"> comprised of profits. So-called ‘compensation’ orders under s 1317H can therefore be compensation orders, account of profits orders, or a combination of both.</w:t>
      </w:r>
    </w:p>
    <w:p w14:paraId="3367AD6A" w14:textId="77777777" w:rsidR="00974877" w:rsidRPr="00327676" w:rsidRDefault="00974877" w:rsidP="00327676">
      <w:pPr>
        <w:spacing w:after="0" w:line="240" w:lineRule="auto"/>
        <w:jc w:val="both"/>
        <w:rPr>
          <w:rFonts w:ascii="Times New Roman" w:hAnsi="Times New Roman" w:cs="Times New Roman"/>
          <w:sz w:val="24"/>
          <w:szCs w:val="24"/>
        </w:rPr>
      </w:pPr>
    </w:p>
    <w:p w14:paraId="2B747F52" w14:textId="48EA2A31" w:rsidR="00974877" w:rsidRPr="00327676" w:rsidRDefault="00974877"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Section 1317H(2) would allow a court to order the direct</w:t>
      </w:r>
      <w:r w:rsidR="003E16AF" w:rsidRPr="00327676">
        <w:rPr>
          <w:rFonts w:ascii="Times New Roman" w:hAnsi="Times New Roman" w:cs="Times New Roman"/>
          <w:sz w:val="24"/>
          <w:szCs w:val="24"/>
        </w:rPr>
        <w:t>or in breach of duty to compensate their company</w:t>
      </w:r>
      <w:r w:rsidRPr="00327676">
        <w:rPr>
          <w:rFonts w:ascii="Times New Roman" w:hAnsi="Times New Roman" w:cs="Times New Roman"/>
          <w:sz w:val="24"/>
          <w:szCs w:val="24"/>
        </w:rPr>
        <w:t xml:space="preserve"> for the profits made by </w:t>
      </w:r>
      <w:r w:rsidR="003E16AF" w:rsidRPr="00327676">
        <w:rPr>
          <w:rFonts w:ascii="Times New Roman" w:hAnsi="Times New Roman" w:cs="Times New Roman"/>
          <w:sz w:val="24"/>
          <w:szCs w:val="24"/>
        </w:rPr>
        <w:t>another company</w:t>
      </w:r>
      <w:r w:rsidRPr="00327676">
        <w:rPr>
          <w:rFonts w:ascii="Times New Roman" w:hAnsi="Times New Roman" w:cs="Times New Roman"/>
          <w:sz w:val="24"/>
          <w:szCs w:val="24"/>
        </w:rPr>
        <w:t xml:space="preserve"> from an undervalued transaction. But what it does </w:t>
      </w:r>
      <w:r w:rsidRPr="00327676">
        <w:rPr>
          <w:rFonts w:ascii="Times New Roman" w:hAnsi="Times New Roman" w:cs="Times New Roman"/>
          <w:i/>
          <w:sz w:val="24"/>
          <w:szCs w:val="24"/>
        </w:rPr>
        <w:t>not do</w:t>
      </w:r>
      <w:r w:rsidRPr="00327676">
        <w:rPr>
          <w:rFonts w:ascii="Times New Roman" w:hAnsi="Times New Roman" w:cs="Times New Roman"/>
          <w:sz w:val="24"/>
          <w:szCs w:val="24"/>
        </w:rPr>
        <w:t xml:space="preserve"> is allow the court to order </w:t>
      </w:r>
      <w:r w:rsidR="003E16AF" w:rsidRPr="00327676">
        <w:rPr>
          <w:rFonts w:ascii="Times New Roman" w:hAnsi="Times New Roman" w:cs="Times New Roman"/>
          <w:sz w:val="24"/>
          <w:szCs w:val="24"/>
        </w:rPr>
        <w:t>the other company</w:t>
      </w:r>
      <w:r w:rsidRPr="00327676">
        <w:rPr>
          <w:rFonts w:ascii="Times New Roman" w:hAnsi="Times New Roman" w:cs="Times New Roman"/>
          <w:sz w:val="24"/>
          <w:szCs w:val="24"/>
        </w:rPr>
        <w:t xml:space="preserve"> – an entity not in breach of any law – to hand over its gains.</w:t>
      </w:r>
      <w:bookmarkStart w:id="2" w:name="Heading250"/>
      <w:bookmarkStart w:id="3" w:name="_Ref449530654"/>
      <w:bookmarkStart w:id="4" w:name="Heading251"/>
      <w:bookmarkEnd w:id="2"/>
      <w:bookmarkEnd w:id="3"/>
      <w:bookmarkEnd w:id="4"/>
      <w:r w:rsidRPr="00327676">
        <w:rPr>
          <w:rFonts w:ascii="Times New Roman" w:hAnsi="Times New Roman" w:cs="Times New Roman"/>
          <w:sz w:val="24"/>
          <w:szCs w:val="24"/>
        </w:rPr>
        <w:t xml:space="preserve"> Expanding the reach of s 1317H would both facilitate enforcement and provide important signalling benefits. Courts, and those tempted by illegal phoenix activity</w:t>
      </w:r>
      <w:r w:rsidR="003E16AF" w:rsidRPr="00327676">
        <w:rPr>
          <w:rFonts w:ascii="Times New Roman" w:hAnsi="Times New Roman" w:cs="Times New Roman"/>
          <w:sz w:val="24"/>
          <w:szCs w:val="24"/>
        </w:rPr>
        <w:t xml:space="preserve"> or any other sort of ‘sharp practice’</w:t>
      </w:r>
      <w:r w:rsidRPr="00327676">
        <w:rPr>
          <w:rFonts w:ascii="Times New Roman" w:hAnsi="Times New Roman" w:cs="Times New Roman"/>
          <w:sz w:val="24"/>
          <w:szCs w:val="24"/>
        </w:rPr>
        <w:t>, would have a clear indication from Parliament that the beneficiary of the breach of duty should be stripped of the gains it has made. This explicit statement overcomes the need for courts to ‘piece together’ the same o</w:t>
      </w:r>
      <w:r w:rsidR="003E16AF" w:rsidRPr="00327676">
        <w:rPr>
          <w:rFonts w:ascii="Times New Roman" w:hAnsi="Times New Roman" w:cs="Times New Roman"/>
          <w:sz w:val="24"/>
          <w:szCs w:val="24"/>
        </w:rPr>
        <w:t>utcome which is implicit in accessory liability</w:t>
      </w:r>
      <w:r w:rsidRPr="00327676">
        <w:rPr>
          <w:rFonts w:ascii="Times New Roman" w:hAnsi="Times New Roman" w:cs="Times New Roman"/>
          <w:sz w:val="24"/>
          <w:szCs w:val="24"/>
        </w:rPr>
        <w:t xml:space="preserve"> and </w:t>
      </w:r>
      <w:r w:rsidR="003E16AF" w:rsidRPr="00327676">
        <w:rPr>
          <w:rFonts w:ascii="Times New Roman" w:hAnsi="Times New Roman" w:cs="Times New Roman"/>
          <w:sz w:val="24"/>
          <w:szCs w:val="24"/>
        </w:rPr>
        <w:t>the compensation provision</w:t>
      </w:r>
      <w:r w:rsidRPr="00327676">
        <w:rPr>
          <w:rFonts w:ascii="Times New Roman" w:hAnsi="Times New Roman" w:cs="Times New Roman"/>
          <w:sz w:val="24"/>
          <w:szCs w:val="24"/>
        </w:rPr>
        <w:t xml:space="preserve">. </w:t>
      </w:r>
    </w:p>
    <w:p w14:paraId="2F452F07" w14:textId="77777777" w:rsidR="00974877" w:rsidRPr="00327676" w:rsidRDefault="00974877" w:rsidP="00327676">
      <w:pPr>
        <w:spacing w:after="0" w:line="240" w:lineRule="auto"/>
        <w:jc w:val="both"/>
        <w:rPr>
          <w:rFonts w:ascii="Times New Roman" w:hAnsi="Times New Roman" w:cs="Times New Roman"/>
          <w:sz w:val="24"/>
          <w:szCs w:val="24"/>
        </w:rPr>
      </w:pPr>
    </w:p>
    <w:p w14:paraId="0C29E8E7" w14:textId="7F9D3AB3" w:rsidR="00974877" w:rsidRPr="00327676" w:rsidRDefault="00974877"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We propose that s 1317H be amended as follows, to allow for orders to be made against </w:t>
      </w:r>
      <w:r w:rsidR="003E16AF" w:rsidRPr="00327676">
        <w:rPr>
          <w:rFonts w:ascii="Times New Roman" w:hAnsi="Times New Roman" w:cs="Times New Roman"/>
          <w:sz w:val="24"/>
          <w:szCs w:val="24"/>
        </w:rPr>
        <w:t>the other company</w:t>
      </w:r>
      <w:r w:rsidRPr="00327676">
        <w:rPr>
          <w:rFonts w:ascii="Times New Roman" w:hAnsi="Times New Roman" w:cs="Times New Roman"/>
          <w:sz w:val="24"/>
          <w:szCs w:val="24"/>
        </w:rPr>
        <w:t xml:space="preserve"> where </w:t>
      </w:r>
      <w:r w:rsidR="003E16AF" w:rsidRPr="00327676">
        <w:rPr>
          <w:rFonts w:ascii="Times New Roman" w:hAnsi="Times New Roman" w:cs="Times New Roman"/>
          <w:sz w:val="24"/>
          <w:szCs w:val="24"/>
        </w:rPr>
        <w:t>it</w:t>
      </w:r>
      <w:r w:rsidRPr="00327676">
        <w:rPr>
          <w:rFonts w:ascii="Times New Roman" w:hAnsi="Times New Roman" w:cs="Times New Roman"/>
          <w:sz w:val="24"/>
          <w:szCs w:val="24"/>
        </w:rPr>
        <w:t xml:space="preserve"> is ‘involved in the contravention’ (within the meaning of s 79 of the </w:t>
      </w:r>
      <w:r w:rsidRPr="00327676">
        <w:rPr>
          <w:rFonts w:ascii="Times New Roman" w:hAnsi="Times New Roman" w:cs="Times New Roman"/>
          <w:i/>
          <w:sz w:val="24"/>
          <w:szCs w:val="24"/>
        </w:rPr>
        <w:t>Corporations Act</w:t>
      </w:r>
      <w:r w:rsidRPr="00327676">
        <w:rPr>
          <w:rFonts w:ascii="Times New Roman" w:hAnsi="Times New Roman" w:cs="Times New Roman"/>
          <w:sz w:val="24"/>
          <w:szCs w:val="24"/>
        </w:rPr>
        <w:t xml:space="preserve">) or ‘controlled’ (within the meaning of s 50AA of the </w:t>
      </w:r>
      <w:r w:rsidRPr="00327676">
        <w:rPr>
          <w:rFonts w:ascii="Times New Roman" w:hAnsi="Times New Roman" w:cs="Times New Roman"/>
          <w:i/>
          <w:sz w:val="24"/>
          <w:szCs w:val="24"/>
        </w:rPr>
        <w:t>Corporations Act</w:t>
      </w:r>
      <w:r w:rsidRPr="00327676">
        <w:rPr>
          <w:rFonts w:ascii="Times New Roman" w:hAnsi="Times New Roman" w:cs="Times New Roman"/>
          <w:sz w:val="24"/>
          <w:szCs w:val="24"/>
        </w:rPr>
        <w:t>) by the director in breach.</w:t>
      </w:r>
    </w:p>
    <w:p w14:paraId="3ED892BA" w14:textId="77777777" w:rsidR="00974877" w:rsidRPr="00327676" w:rsidRDefault="00974877" w:rsidP="00327676">
      <w:pPr>
        <w:spacing w:after="0" w:line="240" w:lineRule="auto"/>
        <w:jc w:val="both"/>
        <w:rPr>
          <w:rFonts w:ascii="Times New Roman" w:hAnsi="Times New Roman" w:cs="Times New Roman"/>
          <w:sz w:val="24"/>
          <w:szCs w:val="24"/>
        </w:rPr>
      </w:pPr>
    </w:p>
    <w:p w14:paraId="1581B4E0" w14:textId="77777777" w:rsidR="00974877" w:rsidRPr="00C5074A" w:rsidRDefault="00974877" w:rsidP="00EC3CCB">
      <w:pPr>
        <w:spacing w:after="0" w:line="240" w:lineRule="auto"/>
        <w:ind w:left="284"/>
        <w:jc w:val="both"/>
        <w:rPr>
          <w:rFonts w:ascii="Times New Roman" w:hAnsi="Times New Roman" w:cs="Times New Roman"/>
          <w:b/>
          <w:lang w:eastAsia="en-AU"/>
        </w:rPr>
      </w:pPr>
      <w:r w:rsidRPr="00C5074A">
        <w:rPr>
          <w:rFonts w:ascii="Times New Roman" w:hAnsi="Times New Roman" w:cs="Times New Roman"/>
          <w:b/>
          <w:bCs/>
          <w:lang w:eastAsia="en-AU"/>
        </w:rPr>
        <w:t>Compensation orders—</w:t>
      </w:r>
      <w:r w:rsidRPr="00C5074A">
        <w:rPr>
          <w:rFonts w:ascii="Times New Roman" w:hAnsi="Times New Roman" w:cs="Times New Roman"/>
          <w:b/>
          <w:lang w:eastAsia="en-AU"/>
        </w:rPr>
        <w:t>corporation/scheme civil penalty provisions</w:t>
      </w:r>
    </w:p>
    <w:p w14:paraId="2C04BDE8" w14:textId="77777777" w:rsidR="00974877" w:rsidRPr="00C5074A" w:rsidRDefault="00974877" w:rsidP="00EC3CCB">
      <w:pPr>
        <w:spacing w:after="0" w:line="240" w:lineRule="auto"/>
        <w:jc w:val="both"/>
        <w:rPr>
          <w:rFonts w:ascii="Times New Roman" w:hAnsi="Times New Roman" w:cs="Times New Roman"/>
          <w:lang w:eastAsia="en-AU"/>
        </w:rPr>
      </w:pPr>
    </w:p>
    <w:p w14:paraId="7ACDE9AA" w14:textId="77777777" w:rsidR="003E16AF" w:rsidRPr="00C5074A" w:rsidRDefault="003E16AF" w:rsidP="00EC3CCB">
      <w:pPr>
        <w:spacing w:after="0" w:line="240" w:lineRule="auto"/>
        <w:ind w:left="284"/>
        <w:jc w:val="both"/>
        <w:rPr>
          <w:rFonts w:ascii="Times New Roman" w:hAnsi="Times New Roman" w:cs="Times New Roman"/>
          <w:i/>
          <w:lang w:eastAsia="en-AU"/>
        </w:rPr>
      </w:pPr>
      <w:r w:rsidRPr="00C5074A">
        <w:rPr>
          <w:rFonts w:ascii="Times New Roman" w:hAnsi="Times New Roman" w:cs="Times New Roman"/>
          <w:lang w:eastAsia="en-AU"/>
        </w:rPr>
        <w:t>(</w:t>
      </w:r>
      <w:r w:rsidRPr="00C5074A">
        <w:rPr>
          <w:rFonts w:ascii="Times New Roman" w:hAnsi="Times New Roman" w:cs="Times New Roman"/>
          <w:i/>
          <w:lang w:eastAsia="en-AU"/>
        </w:rPr>
        <w:t>current provision)</w:t>
      </w:r>
    </w:p>
    <w:p w14:paraId="4CF64087" w14:textId="488A113F" w:rsidR="00974877" w:rsidRPr="00C5074A" w:rsidRDefault="00974877" w:rsidP="00EC3CCB">
      <w:pPr>
        <w:spacing w:after="0" w:line="240" w:lineRule="auto"/>
        <w:ind w:left="284"/>
        <w:jc w:val="both"/>
        <w:rPr>
          <w:rFonts w:ascii="Times New Roman" w:hAnsi="Times New Roman" w:cs="Times New Roman"/>
          <w:i/>
          <w:lang w:eastAsia="en-AU"/>
        </w:rPr>
      </w:pPr>
      <w:r w:rsidRPr="00C5074A">
        <w:rPr>
          <w:rFonts w:ascii="Times New Roman" w:hAnsi="Times New Roman" w:cs="Times New Roman"/>
          <w:lang w:eastAsia="en-AU"/>
        </w:rPr>
        <w:t xml:space="preserve">Compensation for damage suffered </w:t>
      </w:r>
    </w:p>
    <w:p w14:paraId="1E164D51" w14:textId="77777777" w:rsidR="00974877" w:rsidRPr="00C5074A" w:rsidRDefault="00974877" w:rsidP="00EC3CCB">
      <w:pPr>
        <w:pStyle w:val="ListParagraph"/>
        <w:numPr>
          <w:ilvl w:val="0"/>
          <w:numId w:val="10"/>
        </w:numPr>
        <w:spacing w:after="0" w:line="240" w:lineRule="auto"/>
        <w:ind w:left="1276" w:hanging="567"/>
        <w:jc w:val="both"/>
        <w:rPr>
          <w:rFonts w:ascii="Times New Roman" w:hAnsi="Times New Roman" w:cs="Times New Roman"/>
          <w:lang w:eastAsia="en-AU"/>
        </w:rPr>
      </w:pPr>
      <w:r w:rsidRPr="00C5074A">
        <w:rPr>
          <w:rFonts w:ascii="Times New Roman" w:hAnsi="Times New Roman" w:cs="Times New Roman"/>
          <w:lang w:eastAsia="en-AU"/>
        </w:rPr>
        <w:t xml:space="preserve">A Court may order a person, including a corporation (the </w:t>
      </w:r>
      <w:r w:rsidRPr="00C5074A">
        <w:rPr>
          <w:rFonts w:ascii="Times New Roman" w:hAnsi="Times New Roman" w:cs="Times New Roman"/>
          <w:b/>
          <w:bCs/>
          <w:i/>
          <w:iCs/>
          <w:lang w:eastAsia="en-AU"/>
        </w:rPr>
        <w:t>liable person</w:t>
      </w:r>
      <w:r w:rsidRPr="00C5074A">
        <w:rPr>
          <w:rFonts w:ascii="Times New Roman" w:hAnsi="Times New Roman" w:cs="Times New Roman"/>
          <w:lang w:eastAsia="en-AU"/>
        </w:rPr>
        <w:t xml:space="preserve">) to compensate another person, including a corporation, or a registered scheme, for damage suffered by the other person or scheme if: </w:t>
      </w:r>
    </w:p>
    <w:p w14:paraId="58A0E0D6" w14:textId="77777777" w:rsidR="00974877" w:rsidRPr="00C5074A" w:rsidRDefault="00974877" w:rsidP="00EC3CCB">
      <w:pPr>
        <w:pStyle w:val="ListParagraph"/>
        <w:numPr>
          <w:ilvl w:val="0"/>
          <w:numId w:val="9"/>
        </w:numPr>
        <w:spacing w:after="0" w:line="240" w:lineRule="auto"/>
        <w:ind w:left="1843"/>
        <w:jc w:val="both"/>
        <w:rPr>
          <w:rFonts w:ascii="Times New Roman" w:hAnsi="Times New Roman" w:cs="Times New Roman"/>
          <w:lang w:eastAsia="en-AU"/>
        </w:rPr>
      </w:pPr>
      <w:r w:rsidRPr="00C5074A">
        <w:rPr>
          <w:rFonts w:ascii="Times New Roman" w:hAnsi="Times New Roman" w:cs="Times New Roman"/>
          <w:lang w:eastAsia="en-AU"/>
        </w:rPr>
        <w:t xml:space="preserve">the liable person has contravened a corporation/scheme civil penalty provision in relation to the other person or scheme; and </w:t>
      </w:r>
    </w:p>
    <w:p w14:paraId="2EDE455D" w14:textId="77777777" w:rsidR="00974877" w:rsidRPr="00C5074A" w:rsidRDefault="00974877" w:rsidP="00EC3CCB">
      <w:pPr>
        <w:pStyle w:val="ListParagraph"/>
        <w:numPr>
          <w:ilvl w:val="0"/>
          <w:numId w:val="9"/>
        </w:numPr>
        <w:spacing w:after="0" w:line="240" w:lineRule="auto"/>
        <w:ind w:left="1843"/>
        <w:jc w:val="both"/>
        <w:rPr>
          <w:rFonts w:ascii="Times New Roman" w:hAnsi="Times New Roman" w:cs="Times New Roman"/>
          <w:lang w:eastAsia="en-AU"/>
        </w:rPr>
      </w:pPr>
      <w:r w:rsidRPr="00C5074A">
        <w:rPr>
          <w:rFonts w:ascii="Times New Roman" w:hAnsi="Times New Roman" w:cs="Times New Roman"/>
          <w:lang w:eastAsia="en-AU"/>
        </w:rPr>
        <w:t xml:space="preserve">the damage resulted from the contravention. </w:t>
      </w:r>
    </w:p>
    <w:p w14:paraId="2017CF89" w14:textId="77777777" w:rsidR="00974877" w:rsidRPr="00C5074A" w:rsidRDefault="00974877" w:rsidP="00EC3CCB">
      <w:pPr>
        <w:spacing w:after="0" w:line="240" w:lineRule="auto"/>
        <w:ind w:left="284"/>
        <w:jc w:val="both"/>
        <w:rPr>
          <w:rFonts w:ascii="Times New Roman" w:hAnsi="Times New Roman" w:cs="Times New Roman"/>
          <w:lang w:eastAsia="en-AU"/>
        </w:rPr>
      </w:pPr>
      <w:r w:rsidRPr="00C5074A">
        <w:rPr>
          <w:rFonts w:ascii="Times New Roman" w:hAnsi="Times New Roman" w:cs="Times New Roman"/>
          <w:lang w:eastAsia="en-AU"/>
        </w:rPr>
        <w:t>The order must specify the amount of compensation, which may include, or be solely comprised of, profits pursuant to s 1317H(2).</w:t>
      </w:r>
    </w:p>
    <w:p w14:paraId="4C8190F0" w14:textId="77777777" w:rsidR="00974877" w:rsidRPr="00C5074A" w:rsidRDefault="00974877" w:rsidP="00EC3CCB">
      <w:pPr>
        <w:spacing w:after="0" w:line="240" w:lineRule="auto"/>
        <w:ind w:left="1276" w:hanging="992"/>
        <w:jc w:val="both"/>
        <w:rPr>
          <w:rFonts w:ascii="Times New Roman" w:hAnsi="Times New Roman" w:cs="Times New Roman"/>
          <w:lang w:eastAsia="en-AU"/>
        </w:rPr>
      </w:pPr>
      <w:r w:rsidRPr="00C5074A">
        <w:rPr>
          <w:rFonts w:ascii="Times New Roman" w:hAnsi="Times New Roman" w:cs="Times New Roman"/>
          <w:lang w:eastAsia="en-AU"/>
        </w:rPr>
        <w:t>Note: </w:t>
      </w:r>
      <w:r w:rsidRPr="00C5074A">
        <w:rPr>
          <w:rFonts w:ascii="Times New Roman" w:hAnsi="Times New Roman" w:cs="Times New Roman"/>
          <w:lang w:eastAsia="en-AU"/>
        </w:rPr>
        <w:tab/>
        <w:t xml:space="preserve">An order may be made under this subsection whether or not a declaration of contravention has been made under section 1317E. </w:t>
      </w:r>
    </w:p>
    <w:p w14:paraId="21A21CAF" w14:textId="77777777" w:rsidR="00974877" w:rsidRPr="00C5074A" w:rsidRDefault="00974877" w:rsidP="00EC3CCB">
      <w:pPr>
        <w:spacing w:after="0" w:line="240" w:lineRule="auto"/>
        <w:ind w:left="982" w:hanging="698"/>
        <w:jc w:val="both"/>
        <w:rPr>
          <w:rFonts w:ascii="Times New Roman" w:hAnsi="Times New Roman" w:cs="Times New Roman"/>
          <w:lang w:eastAsia="en-AU"/>
        </w:rPr>
      </w:pPr>
    </w:p>
    <w:p w14:paraId="73C48CB4" w14:textId="5A44B14C" w:rsidR="003E16AF" w:rsidRPr="00C5074A" w:rsidRDefault="003E16AF" w:rsidP="00EC3CCB">
      <w:pPr>
        <w:spacing w:after="0" w:line="240" w:lineRule="auto"/>
        <w:ind w:left="982" w:hanging="698"/>
        <w:jc w:val="both"/>
        <w:rPr>
          <w:rFonts w:ascii="Times New Roman" w:hAnsi="Times New Roman" w:cs="Times New Roman"/>
          <w:i/>
          <w:lang w:eastAsia="en-AU"/>
        </w:rPr>
      </w:pPr>
      <w:r w:rsidRPr="00C5074A">
        <w:rPr>
          <w:rFonts w:ascii="Times New Roman" w:hAnsi="Times New Roman" w:cs="Times New Roman"/>
          <w:i/>
          <w:lang w:eastAsia="en-AU"/>
        </w:rPr>
        <w:t>(first recommended provision)</w:t>
      </w:r>
    </w:p>
    <w:p w14:paraId="633322B7" w14:textId="77777777" w:rsidR="00974877" w:rsidRPr="00C5074A" w:rsidRDefault="00974877" w:rsidP="00EC3CCB">
      <w:pPr>
        <w:spacing w:after="0" w:line="240" w:lineRule="auto"/>
        <w:ind w:left="1276" w:hanging="567"/>
        <w:jc w:val="both"/>
        <w:rPr>
          <w:rFonts w:ascii="Times New Roman" w:hAnsi="Times New Roman" w:cs="Times New Roman"/>
          <w:lang w:eastAsia="en-AU"/>
        </w:rPr>
      </w:pPr>
      <w:r w:rsidRPr="00C5074A">
        <w:rPr>
          <w:rFonts w:ascii="Times New Roman" w:hAnsi="Times New Roman" w:cs="Times New Roman"/>
          <w:lang w:eastAsia="en-AU"/>
        </w:rPr>
        <w:lastRenderedPageBreak/>
        <w:t>(1A) </w:t>
      </w:r>
      <w:r w:rsidRPr="00C5074A">
        <w:rPr>
          <w:rFonts w:ascii="Times New Roman" w:hAnsi="Times New Roman" w:cs="Times New Roman"/>
          <w:lang w:eastAsia="en-AU"/>
        </w:rPr>
        <w:tab/>
        <w:t xml:space="preserve">A Court may order a person, including a corporation (the </w:t>
      </w:r>
      <w:r w:rsidRPr="00C5074A">
        <w:rPr>
          <w:rFonts w:ascii="Times New Roman" w:hAnsi="Times New Roman" w:cs="Times New Roman"/>
          <w:b/>
          <w:i/>
          <w:lang w:eastAsia="en-AU"/>
        </w:rPr>
        <w:t xml:space="preserve">involved </w:t>
      </w:r>
      <w:r w:rsidRPr="00C5074A">
        <w:rPr>
          <w:rFonts w:ascii="Times New Roman" w:hAnsi="Times New Roman" w:cs="Times New Roman"/>
          <w:b/>
          <w:bCs/>
          <w:i/>
          <w:iCs/>
          <w:lang w:eastAsia="en-AU"/>
        </w:rPr>
        <w:t>beneficiary person</w:t>
      </w:r>
      <w:r w:rsidRPr="00C5074A">
        <w:rPr>
          <w:rFonts w:ascii="Times New Roman" w:hAnsi="Times New Roman" w:cs="Times New Roman"/>
          <w:lang w:eastAsia="en-AU"/>
        </w:rPr>
        <w:t>) to compensate another person, including a corporation, or a registered scheme, for damage suffered by the other person or scheme if:</w:t>
      </w:r>
    </w:p>
    <w:p w14:paraId="3BC7A8B6" w14:textId="77777777" w:rsidR="00974877" w:rsidRPr="00C5074A" w:rsidRDefault="00974877" w:rsidP="00EC3CCB">
      <w:pPr>
        <w:pStyle w:val="ListParagraph"/>
        <w:numPr>
          <w:ilvl w:val="0"/>
          <w:numId w:val="13"/>
        </w:numPr>
        <w:spacing w:after="0" w:line="240" w:lineRule="auto"/>
        <w:ind w:left="1843"/>
        <w:jc w:val="both"/>
        <w:rPr>
          <w:rFonts w:ascii="Times New Roman" w:hAnsi="Times New Roman" w:cs="Times New Roman"/>
          <w:lang w:eastAsia="en-AU"/>
        </w:rPr>
      </w:pPr>
      <w:r w:rsidRPr="00C5074A">
        <w:rPr>
          <w:rFonts w:ascii="Times New Roman" w:hAnsi="Times New Roman" w:cs="Times New Roman"/>
          <w:lang w:eastAsia="en-AU"/>
        </w:rPr>
        <w:t xml:space="preserve">the liable person has contravened a corporation/scheme civil penalty provision in relation to the other person or scheme; and </w:t>
      </w:r>
    </w:p>
    <w:p w14:paraId="75A02CF9" w14:textId="77777777" w:rsidR="00974877" w:rsidRPr="00C5074A" w:rsidRDefault="00974877" w:rsidP="00EC3CCB">
      <w:pPr>
        <w:pStyle w:val="ListParagraph"/>
        <w:numPr>
          <w:ilvl w:val="0"/>
          <w:numId w:val="11"/>
        </w:numPr>
        <w:spacing w:after="0" w:line="240" w:lineRule="auto"/>
        <w:ind w:left="1843"/>
        <w:jc w:val="both"/>
        <w:rPr>
          <w:rFonts w:ascii="Times New Roman" w:hAnsi="Times New Roman" w:cs="Times New Roman"/>
          <w:lang w:eastAsia="en-AU"/>
        </w:rPr>
      </w:pPr>
      <w:r w:rsidRPr="00C5074A">
        <w:rPr>
          <w:rFonts w:ascii="Times New Roman" w:hAnsi="Times New Roman" w:cs="Times New Roman"/>
          <w:lang w:eastAsia="en-AU"/>
        </w:rPr>
        <w:t>the involved beneficiary person was involved in the contravention within the meaning of s 79 of this Act; and</w:t>
      </w:r>
    </w:p>
    <w:p w14:paraId="1CEA4B03" w14:textId="77777777" w:rsidR="00974877" w:rsidRPr="00C5074A" w:rsidRDefault="00974877" w:rsidP="00EC3CCB">
      <w:pPr>
        <w:pStyle w:val="ListParagraph"/>
        <w:numPr>
          <w:ilvl w:val="0"/>
          <w:numId w:val="11"/>
        </w:numPr>
        <w:spacing w:after="0" w:line="240" w:lineRule="auto"/>
        <w:ind w:left="1843"/>
        <w:jc w:val="both"/>
        <w:rPr>
          <w:rFonts w:ascii="Times New Roman" w:hAnsi="Times New Roman" w:cs="Times New Roman"/>
          <w:lang w:eastAsia="en-AU"/>
        </w:rPr>
      </w:pPr>
      <w:r w:rsidRPr="00C5074A">
        <w:rPr>
          <w:rFonts w:ascii="Times New Roman" w:hAnsi="Times New Roman" w:cs="Times New Roman"/>
          <w:lang w:eastAsia="en-AU"/>
        </w:rPr>
        <w:t xml:space="preserve">the damage resulted from the contravention. </w:t>
      </w:r>
    </w:p>
    <w:p w14:paraId="634C83FC" w14:textId="77777777" w:rsidR="00974877" w:rsidRPr="00C5074A" w:rsidRDefault="00974877" w:rsidP="00EC3CCB">
      <w:pPr>
        <w:spacing w:after="0" w:line="240" w:lineRule="auto"/>
        <w:ind w:left="284"/>
        <w:jc w:val="both"/>
        <w:rPr>
          <w:rFonts w:ascii="Times New Roman" w:hAnsi="Times New Roman" w:cs="Times New Roman"/>
          <w:lang w:eastAsia="en-AU"/>
        </w:rPr>
      </w:pPr>
      <w:r w:rsidRPr="00C5074A">
        <w:rPr>
          <w:rFonts w:ascii="Times New Roman" w:hAnsi="Times New Roman" w:cs="Times New Roman"/>
          <w:lang w:eastAsia="en-AU"/>
        </w:rPr>
        <w:t>The order must specify the amount of compensation, which may include, or be solely comprised of, profits pursuant to s 1317H(2).</w:t>
      </w:r>
    </w:p>
    <w:p w14:paraId="097048D8" w14:textId="77777777" w:rsidR="00974877" w:rsidRPr="00C5074A" w:rsidRDefault="00974877" w:rsidP="00EC3CCB">
      <w:pPr>
        <w:spacing w:after="0" w:line="240" w:lineRule="auto"/>
        <w:ind w:left="1276" w:hanging="992"/>
        <w:jc w:val="both"/>
        <w:rPr>
          <w:rFonts w:ascii="Times New Roman" w:hAnsi="Times New Roman" w:cs="Times New Roman"/>
          <w:lang w:eastAsia="en-AU"/>
        </w:rPr>
      </w:pPr>
      <w:r w:rsidRPr="00C5074A">
        <w:rPr>
          <w:rFonts w:ascii="Times New Roman" w:hAnsi="Times New Roman" w:cs="Times New Roman"/>
          <w:lang w:eastAsia="en-AU"/>
        </w:rPr>
        <w:t>Note: </w:t>
      </w:r>
      <w:r w:rsidRPr="00C5074A">
        <w:rPr>
          <w:rFonts w:ascii="Times New Roman" w:hAnsi="Times New Roman" w:cs="Times New Roman"/>
          <w:lang w:eastAsia="en-AU"/>
        </w:rPr>
        <w:tab/>
        <w:t xml:space="preserve">An order may be made under this subsection whether or not a declaration of contravention has been made under section 1317E. </w:t>
      </w:r>
    </w:p>
    <w:p w14:paraId="259E04A9" w14:textId="77777777" w:rsidR="003E16AF" w:rsidRPr="00C5074A" w:rsidRDefault="003E16AF" w:rsidP="00EC3CCB">
      <w:pPr>
        <w:spacing w:after="0" w:line="240" w:lineRule="auto"/>
        <w:ind w:left="1276" w:hanging="992"/>
        <w:jc w:val="both"/>
        <w:rPr>
          <w:rFonts w:ascii="Times New Roman" w:hAnsi="Times New Roman" w:cs="Times New Roman"/>
          <w:lang w:eastAsia="en-AU"/>
        </w:rPr>
      </w:pPr>
    </w:p>
    <w:p w14:paraId="33A74855" w14:textId="42774DD8" w:rsidR="00974877" w:rsidRPr="00C5074A" w:rsidRDefault="003E16AF" w:rsidP="00EC3CCB">
      <w:pPr>
        <w:spacing w:after="0" w:line="240" w:lineRule="auto"/>
        <w:ind w:left="982" w:hanging="698"/>
        <w:jc w:val="both"/>
        <w:rPr>
          <w:rFonts w:ascii="Times New Roman" w:hAnsi="Times New Roman" w:cs="Times New Roman"/>
          <w:lang w:eastAsia="en-AU"/>
        </w:rPr>
      </w:pPr>
      <w:r w:rsidRPr="00C5074A">
        <w:rPr>
          <w:rFonts w:ascii="Times New Roman" w:hAnsi="Times New Roman" w:cs="Times New Roman"/>
          <w:i/>
          <w:lang w:eastAsia="en-AU"/>
        </w:rPr>
        <w:t>(second recommended provision)</w:t>
      </w:r>
    </w:p>
    <w:p w14:paraId="338EB1C2" w14:textId="77777777" w:rsidR="00974877" w:rsidRPr="00C5074A" w:rsidRDefault="00974877" w:rsidP="00EC3CCB">
      <w:pPr>
        <w:spacing w:after="0" w:line="240" w:lineRule="auto"/>
        <w:ind w:left="1276" w:hanging="567"/>
        <w:jc w:val="both"/>
        <w:rPr>
          <w:rFonts w:ascii="Times New Roman" w:hAnsi="Times New Roman" w:cs="Times New Roman"/>
          <w:lang w:eastAsia="en-AU"/>
        </w:rPr>
      </w:pPr>
      <w:r w:rsidRPr="00C5074A">
        <w:rPr>
          <w:rFonts w:ascii="Times New Roman" w:hAnsi="Times New Roman" w:cs="Times New Roman"/>
          <w:lang w:eastAsia="en-AU"/>
        </w:rPr>
        <w:t>(1B) </w:t>
      </w:r>
      <w:r w:rsidRPr="00C5074A">
        <w:rPr>
          <w:rFonts w:ascii="Times New Roman" w:hAnsi="Times New Roman" w:cs="Times New Roman"/>
          <w:lang w:eastAsia="en-AU"/>
        </w:rPr>
        <w:tab/>
        <w:t xml:space="preserve">A Court may order a person, including a corporation (the </w:t>
      </w:r>
      <w:r w:rsidRPr="00C5074A">
        <w:rPr>
          <w:rFonts w:ascii="Times New Roman" w:hAnsi="Times New Roman" w:cs="Times New Roman"/>
          <w:b/>
          <w:i/>
          <w:lang w:eastAsia="en-AU"/>
        </w:rPr>
        <w:t xml:space="preserve">controlled </w:t>
      </w:r>
      <w:r w:rsidRPr="00C5074A">
        <w:rPr>
          <w:rFonts w:ascii="Times New Roman" w:hAnsi="Times New Roman" w:cs="Times New Roman"/>
          <w:b/>
          <w:bCs/>
          <w:i/>
          <w:iCs/>
          <w:lang w:eastAsia="en-AU"/>
        </w:rPr>
        <w:t>beneficiary person</w:t>
      </w:r>
      <w:r w:rsidRPr="00C5074A">
        <w:rPr>
          <w:rFonts w:ascii="Times New Roman" w:hAnsi="Times New Roman" w:cs="Times New Roman"/>
          <w:lang w:eastAsia="en-AU"/>
        </w:rPr>
        <w:t>) to compensate another person, including a corporation, or a registered scheme, for damage suffered by the other person or scheme if:</w:t>
      </w:r>
    </w:p>
    <w:p w14:paraId="044620E5" w14:textId="77777777" w:rsidR="00974877" w:rsidRPr="00C5074A" w:rsidRDefault="00974877" w:rsidP="00EC3CCB">
      <w:pPr>
        <w:pStyle w:val="ListParagraph"/>
        <w:numPr>
          <w:ilvl w:val="0"/>
          <w:numId w:val="12"/>
        </w:numPr>
        <w:spacing w:after="0" w:line="240" w:lineRule="auto"/>
        <w:ind w:left="1843"/>
        <w:jc w:val="both"/>
        <w:rPr>
          <w:rFonts w:ascii="Times New Roman" w:hAnsi="Times New Roman" w:cs="Times New Roman"/>
          <w:lang w:eastAsia="en-AU"/>
        </w:rPr>
      </w:pPr>
      <w:r w:rsidRPr="00C5074A">
        <w:rPr>
          <w:rFonts w:ascii="Times New Roman" w:hAnsi="Times New Roman" w:cs="Times New Roman"/>
          <w:lang w:eastAsia="en-AU"/>
        </w:rPr>
        <w:t xml:space="preserve">the liable person has contravened a corporation/scheme civil penalty provision in relation to the other person or scheme; and </w:t>
      </w:r>
    </w:p>
    <w:p w14:paraId="11689443" w14:textId="77777777" w:rsidR="00974877" w:rsidRPr="00C5074A" w:rsidRDefault="00974877" w:rsidP="00EC3CCB">
      <w:pPr>
        <w:pStyle w:val="ListParagraph"/>
        <w:numPr>
          <w:ilvl w:val="0"/>
          <w:numId w:val="12"/>
        </w:numPr>
        <w:spacing w:after="0" w:line="240" w:lineRule="auto"/>
        <w:ind w:left="1843"/>
        <w:jc w:val="both"/>
        <w:rPr>
          <w:rFonts w:ascii="Times New Roman" w:hAnsi="Times New Roman" w:cs="Times New Roman"/>
          <w:lang w:eastAsia="en-AU"/>
        </w:rPr>
      </w:pPr>
      <w:r w:rsidRPr="00C5074A">
        <w:rPr>
          <w:rFonts w:ascii="Times New Roman" w:hAnsi="Times New Roman" w:cs="Times New Roman"/>
          <w:lang w:eastAsia="en-AU"/>
        </w:rPr>
        <w:t>the damage resulted from the contravention; and</w:t>
      </w:r>
    </w:p>
    <w:p w14:paraId="740C821D" w14:textId="77777777" w:rsidR="00974877" w:rsidRPr="00C5074A" w:rsidRDefault="00974877" w:rsidP="00EC3CCB">
      <w:pPr>
        <w:pStyle w:val="ListParagraph"/>
        <w:numPr>
          <w:ilvl w:val="0"/>
          <w:numId w:val="12"/>
        </w:numPr>
        <w:spacing w:after="0" w:line="240" w:lineRule="auto"/>
        <w:ind w:left="1843"/>
        <w:jc w:val="both"/>
        <w:rPr>
          <w:rFonts w:ascii="Times New Roman" w:hAnsi="Times New Roman" w:cs="Times New Roman"/>
          <w:lang w:eastAsia="en-AU"/>
        </w:rPr>
      </w:pPr>
      <w:r w:rsidRPr="00C5074A">
        <w:rPr>
          <w:rFonts w:ascii="Times New Roman" w:hAnsi="Times New Roman" w:cs="Times New Roman"/>
          <w:lang w:eastAsia="en-AU"/>
        </w:rPr>
        <w:t>the liable person controls the controlled beneficiary person within the meaning of s 50AA of this Act; and</w:t>
      </w:r>
    </w:p>
    <w:p w14:paraId="1EE88015" w14:textId="77777777" w:rsidR="00974877" w:rsidRPr="00C5074A" w:rsidRDefault="00974877" w:rsidP="00EC3CCB">
      <w:pPr>
        <w:pStyle w:val="ListParagraph"/>
        <w:numPr>
          <w:ilvl w:val="0"/>
          <w:numId w:val="12"/>
        </w:numPr>
        <w:spacing w:after="0" w:line="240" w:lineRule="auto"/>
        <w:ind w:left="1843"/>
        <w:jc w:val="both"/>
        <w:rPr>
          <w:rFonts w:ascii="Times New Roman" w:hAnsi="Times New Roman" w:cs="Times New Roman"/>
          <w:i/>
          <w:iCs/>
          <w:lang w:eastAsia="en-AU"/>
        </w:rPr>
      </w:pPr>
      <w:r w:rsidRPr="00C5074A">
        <w:rPr>
          <w:rFonts w:ascii="Times New Roman" w:hAnsi="Times New Roman" w:cs="Times New Roman"/>
          <w:lang w:eastAsia="en-AU"/>
        </w:rPr>
        <w:t>the controlled beneficiary person possesses property as a result of the contravention; or</w:t>
      </w:r>
    </w:p>
    <w:p w14:paraId="58866E88" w14:textId="77777777" w:rsidR="00974877" w:rsidRPr="00C5074A" w:rsidRDefault="00974877" w:rsidP="00EC3CCB">
      <w:pPr>
        <w:pStyle w:val="ListParagraph"/>
        <w:numPr>
          <w:ilvl w:val="0"/>
          <w:numId w:val="12"/>
        </w:numPr>
        <w:spacing w:after="0" w:line="240" w:lineRule="auto"/>
        <w:ind w:left="1843"/>
        <w:jc w:val="both"/>
        <w:rPr>
          <w:rFonts w:ascii="Times New Roman" w:hAnsi="Times New Roman" w:cs="Times New Roman"/>
          <w:i/>
          <w:iCs/>
          <w:lang w:eastAsia="en-AU"/>
        </w:rPr>
      </w:pPr>
      <w:r w:rsidRPr="00C5074A">
        <w:rPr>
          <w:rFonts w:ascii="Times New Roman" w:hAnsi="Times New Roman" w:cs="Times New Roman"/>
          <w:lang w:eastAsia="en-AU"/>
        </w:rPr>
        <w:t>the controlled beneficiary person has made profits within the meaning of s 1317H(2) as a result of the contravention.</w:t>
      </w:r>
    </w:p>
    <w:p w14:paraId="5FF39166" w14:textId="77777777" w:rsidR="00924B08" w:rsidRPr="00C5074A" w:rsidRDefault="00924B08" w:rsidP="00EC3CCB">
      <w:pPr>
        <w:pStyle w:val="ListParagraph"/>
        <w:spacing w:after="0" w:line="240" w:lineRule="auto"/>
        <w:ind w:left="1843"/>
        <w:jc w:val="both"/>
        <w:rPr>
          <w:rFonts w:ascii="Times New Roman" w:hAnsi="Times New Roman" w:cs="Times New Roman"/>
          <w:i/>
          <w:iCs/>
          <w:lang w:eastAsia="en-AU"/>
        </w:rPr>
      </w:pPr>
    </w:p>
    <w:p w14:paraId="384B4D7E" w14:textId="77777777" w:rsidR="00974877" w:rsidRPr="00C5074A" w:rsidRDefault="00974877" w:rsidP="00EC3CCB">
      <w:pPr>
        <w:spacing w:after="0" w:line="240" w:lineRule="auto"/>
        <w:ind w:left="284"/>
        <w:jc w:val="both"/>
        <w:rPr>
          <w:rFonts w:ascii="Times New Roman" w:hAnsi="Times New Roman" w:cs="Times New Roman"/>
          <w:lang w:eastAsia="en-AU"/>
        </w:rPr>
      </w:pPr>
      <w:r w:rsidRPr="00C5074A">
        <w:rPr>
          <w:rFonts w:ascii="Times New Roman" w:hAnsi="Times New Roman" w:cs="Times New Roman"/>
          <w:lang w:eastAsia="en-AU"/>
        </w:rPr>
        <w:t>The order must specify the amount of compensation, which may include, or be solely comprised of, profits pursuant to s 1317H(2). The amount of compensation must not exceed the combined value of the property that the controlled beneficiary person possesses pursuant to s 1317H(1B)(d) and the profits that the controlled beneficiary person has made pursuant to s 1317H(2).</w:t>
      </w:r>
    </w:p>
    <w:p w14:paraId="3BE8BECE" w14:textId="77777777" w:rsidR="00974877" w:rsidRPr="00C5074A" w:rsidRDefault="00974877" w:rsidP="00EC3CCB">
      <w:pPr>
        <w:spacing w:after="0" w:line="240" w:lineRule="auto"/>
        <w:ind w:left="1276" w:hanging="992"/>
        <w:jc w:val="both"/>
        <w:rPr>
          <w:rFonts w:ascii="Times New Roman" w:hAnsi="Times New Roman" w:cs="Times New Roman"/>
          <w:lang w:eastAsia="en-AU"/>
        </w:rPr>
      </w:pPr>
      <w:r w:rsidRPr="00C5074A">
        <w:rPr>
          <w:rFonts w:ascii="Times New Roman" w:hAnsi="Times New Roman" w:cs="Times New Roman"/>
          <w:lang w:eastAsia="en-AU"/>
        </w:rPr>
        <w:t>Note: </w:t>
      </w:r>
      <w:r w:rsidRPr="00C5074A">
        <w:rPr>
          <w:rFonts w:ascii="Times New Roman" w:hAnsi="Times New Roman" w:cs="Times New Roman"/>
          <w:lang w:eastAsia="en-AU"/>
        </w:rPr>
        <w:tab/>
        <w:t xml:space="preserve">An order may be made under this subsection whether or not a declaration of contravention has been made under section 1317E. </w:t>
      </w:r>
    </w:p>
    <w:p w14:paraId="6AECAB1E" w14:textId="77777777" w:rsidR="00974877" w:rsidRPr="00C5074A" w:rsidRDefault="00974877" w:rsidP="00EC3CCB">
      <w:pPr>
        <w:spacing w:after="0" w:line="240" w:lineRule="auto"/>
        <w:jc w:val="both"/>
        <w:rPr>
          <w:rFonts w:ascii="Times New Roman" w:hAnsi="Times New Roman" w:cs="Times New Roman"/>
          <w:lang w:eastAsia="en-AU"/>
        </w:rPr>
      </w:pPr>
    </w:p>
    <w:p w14:paraId="146D8647" w14:textId="77777777" w:rsidR="00974877" w:rsidRPr="00C5074A" w:rsidRDefault="00974877" w:rsidP="00EC3CCB">
      <w:pPr>
        <w:spacing w:after="0" w:line="240" w:lineRule="auto"/>
        <w:ind w:left="284"/>
        <w:jc w:val="both"/>
        <w:rPr>
          <w:rFonts w:ascii="Times New Roman" w:hAnsi="Times New Roman" w:cs="Times New Roman"/>
          <w:lang w:eastAsia="en-AU"/>
        </w:rPr>
      </w:pPr>
      <w:r w:rsidRPr="00C5074A">
        <w:rPr>
          <w:rFonts w:ascii="Times New Roman" w:hAnsi="Times New Roman" w:cs="Times New Roman"/>
          <w:lang w:eastAsia="en-AU"/>
        </w:rPr>
        <w:t xml:space="preserve">Damage includes profits </w:t>
      </w:r>
    </w:p>
    <w:p w14:paraId="48C50651" w14:textId="77777777" w:rsidR="00974877" w:rsidRPr="00C5074A" w:rsidRDefault="00974877" w:rsidP="00EC3CCB">
      <w:pPr>
        <w:pStyle w:val="ListParagraph"/>
        <w:numPr>
          <w:ilvl w:val="0"/>
          <w:numId w:val="10"/>
        </w:numPr>
        <w:spacing w:after="0" w:line="240" w:lineRule="auto"/>
        <w:ind w:left="1276" w:hanging="567"/>
        <w:jc w:val="both"/>
        <w:rPr>
          <w:rFonts w:ascii="Times New Roman" w:hAnsi="Times New Roman" w:cs="Times New Roman"/>
          <w:lang w:eastAsia="en-AU"/>
        </w:rPr>
      </w:pPr>
      <w:r w:rsidRPr="00C5074A">
        <w:rPr>
          <w:rFonts w:ascii="Times New Roman" w:hAnsi="Times New Roman" w:cs="Times New Roman"/>
          <w:lang w:eastAsia="en-AU"/>
        </w:rPr>
        <w:t>In determining the damage suffered by a person or scheme for the purposes of making a compensation order, include profits made by any person resulting from the contravention. A compensation order may be solely comprised of such profits.</w:t>
      </w:r>
    </w:p>
    <w:p w14:paraId="499037ED" w14:textId="77777777" w:rsidR="00974877" w:rsidRPr="00C5074A" w:rsidRDefault="00974877" w:rsidP="00EC3CCB">
      <w:pPr>
        <w:pStyle w:val="ListParagraph"/>
        <w:spacing w:after="0" w:line="240" w:lineRule="auto"/>
        <w:ind w:left="1260"/>
        <w:jc w:val="both"/>
        <w:rPr>
          <w:rFonts w:ascii="Times New Roman" w:hAnsi="Times New Roman" w:cs="Times New Roman"/>
          <w:lang w:eastAsia="en-AU"/>
        </w:rPr>
      </w:pPr>
    </w:p>
    <w:p w14:paraId="3CBE6B85" w14:textId="77777777" w:rsidR="00974877" w:rsidRPr="00C5074A" w:rsidRDefault="00974877" w:rsidP="00EC3CCB">
      <w:pPr>
        <w:spacing w:after="0" w:line="240" w:lineRule="auto"/>
        <w:ind w:left="284"/>
        <w:jc w:val="both"/>
        <w:rPr>
          <w:rFonts w:ascii="Times New Roman" w:hAnsi="Times New Roman" w:cs="Times New Roman"/>
          <w:lang w:eastAsia="en-AU"/>
        </w:rPr>
      </w:pPr>
      <w:r w:rsidRPr="00C5074A">
        <w:rPr>
          <w:rFonts w:ascii="Times New Roman" w:hAnsi="Times New Roman" w:cs="Times New Roman"/>
          <w:lang w:eastAsia="en-AU"/>
        </w:rPr>
        <w:t xml:space="preserve">Damage to scheme includes diminution of value of scheme property </w:t>
      </w:r>
    </w:p>
    <w:p w14:paraId="702FA0C9" w14:textId="77777777" w:rsidR="00974877" w:rsidRPr="00C5074A" w:rsidRDefault="00974877" w:rsidP="00EC3CCB">
      <w:pPr>
        <w:pStyle w:val="ListParagraph"/>
        <w:numPr>
          <w:ilvl w:val="0"/>
          <w:numId w:val="10"/>
        </w:numPr>
        <w:spacing w:after="0" w:line="240" w:lineRule="auto"/>
        <w:ind w:left="1276" w:hanging="567"/>
        <w:jc w:val="both"/>
        <w:rPr>
          <w:rFonts w:ascii="Times New Roman" w:hAnsi="Times New Roman" w:cs="Times New Roman"/>
          <w:lang w:eastAsia="en-AU"/>
        </w:rPr>
      </w:pPr>
      <w:r w:rsidRPr="00C5074A">
        <w:rPr>
          <w:rFonts w:ascii="Times New Roman" w:hAnsi="Times New Roman" w:cs="Times New Roman"/>
          <w:lang w:eastAsia="en-AU"/>
        </w:rPr>
        <w:t xml:space="preserve">In determining the damage suffered by a registered scheme for the purposes of making a compensation order, include any diminution in the value of the property of the scheme. </w:t>
      </w:r>
    </w:p>
    <w:p w14:paraId="6E382631" w14:textId="77777777" w:rsidR="00974877" w:rsidRPr="00C5074A" w:rsidRDefault="00974877" w:rsidP="00EC3CCB">
      <w:pPr>
        <w:pStyle w:val="ListParagraph"/>
        <w:numPr>
          <w:ilvl w:val="0"/>
          <w:numId w:val="10"/>
        </w:numPr>
        <w:spacing w:after="0" w:line="240" w:lineRule="auto"/>
        <w:ind w:left="1276" w:hanging="567"/>
        <w:jc w:val="both"/>
        <w:rPr>
          <w:rFonts w:ascii="Times New Roman" w:hAnsi="Times New Roman" w:cs="Times New Roman"/>
          <w:lang w:eastAsia="en-AU"/>
        </w:rPr>
      </w:pPr>
      <w:r w:rsidRPr="00C5074A">
        <w:rPr>
          <w:rFonts w:ascii="Times New Roman" w:hAnsi="Times New Roman" w:cs="Times New Roman"/>
          <w:lang w:eastAsia="en-AU"/>
        </w:rPr>
        <w:t xml:space="preserve">If the responsible entity for a registered scheme is ordered to compensate the scheme, the responsible entity must transfer the amount of the compensation to the scheme property. If anyone else is ordered to compensate the scheme, the responsible entity may recover the compensation on behalf of the scheme. </w:t>
      </w:r>
    </w:p>
    <w:p w14:paraId="7B1E2AA5" w14:textId="77777777" w:rsidR="00974877" w:rsidRPr="00C5074A" w:rsidRDefault="00974877" w:rsidP="00EC3CCB">
      <w:pPr>
        <w:spacing w:after="0" w:line="240" w:lineRule="auto"/>
        <w:jc w:val="both"/>
        <w:rPr>
          <w:rFonts w:ascii="Times New Roman" w:hAnsi="Times New Roman" w:cs="Times New Roman"/>
          <w:lang w:eastAsia="en-AU"/>
        </w:rPr>
      </w:pPr>
    </w:p>
    <w:p w14:paraId="4F56FE17" w14:textId="77777777" w:rsidR="00974877" w:rsidRPr="00C5074A" w:rsidRDefault="00974877" w:rsidP="00EC3CCB">
      <w:pPr>
        <w:spacing w:after="0" w:line="240" w:lineRule="auto"/>
        <w:ind w:left="284"/>
        <w:jc w:val="both"/>
        <w:rPr>
          <w:rFonts w:ascii="Times New Roman" w:hAnsi="Times New Roman" w:cs="Times New Roman"/>
          <w:lang w:eastAsia="en-AU"/>
        </w:rPr>
      </w:pPr>
      <w:r w:rsidRPr="00C5074A">
        <w:rPr>
          <w:rFonts w:ascii="Times New Roman" w:hAnsi="Times New Roman" w:cs="Times New Roman"/>
          <w:lang w:eastAsia="en-AU"/>
        </w:rPr>
        <w:t>Recovery of damage</w:t>
      </w:r>
    </w:p>
    <w:p w14:paraId="575EA5D3" w14:textId="77777777" w:rsidR="00974877" w:rsidRPr="00327676" w:rsidRDefault="00974877" w:rsidP="00EC3CCB">
      <w:pPr>
        <w:pStyle w:val="ListParagraph"/>
        <w:numPr>
          <w:ilvl w:val="0"/>
          <w:numId w:val="10"/>
        </w:numPr>
        <w:spacing w:after="0" w:line="240" w:lineRule="auto"/>
        <w:ind w:left="1276" w:hanging="567"/>
        <w:jc w:val="both"/>
        <w:rPr>
          <w:rFonts w:ascii="Times New Roman" w:hAnsi="Times New Roman" w:cs="Times New Roman"/>
          <w:sz w:val="24"/>
          <w:szCs w:val="24"/>
          <w:lang w:eastAsia="en-AU"/>
        </w:rPr>
      </w:pPr>
      <w:r w:rsidRPr="00C5074A">
        <w:rPr>
          <w:rFonts w:ascii="Times New Roman" w:hAnsi="Times New Roman" w:cs="Times New Roman"/>
          <w:lang w:eastAsia="en-AU"/>
        </w:rPr>
        <w:t>A compensation order may be enforced as if it were a judgment of the Court.</w:t>
      </w:r>
      <w:r w:rsidRPr="00327676">
        <w:rPr>
          <w:rFonts w:ascii="Times New Roman" w:hAnsi="Times New Roman" w:cs="Times New Roman"/>
          <w:sz w:val="24"/>
          <w:szCs w:val="24"/>
          <w:lang w:eastAsia="en-AU"/>
        </w:rPr>
        <w:t xml:space="preserve"> </w:t>
      </w:r>
    </w:p>
    <w:p w14:paraId="650C77F3" w14:textId="77777777" w:rsidR="00974877" w:rsidRPr="00327676" w:rsidRDefault="00974877" w:rsidP="00327676">
      <w:pPr>
        <w:spacing w:after="0" w:line="240" w:lineRule="auto"/>
        <w:jc w:val="both"/>
        <w:rPr>
          <w:rFonts w:ascii="Times New Roman" w:hAnsi="Times New Roman" w:cs="Times New Roman"/>
          <w:sz w:val="24"/>
          <w:szCs w:val="24"/>
        </w:rPr>
      </w:pPr>
    </w:p>
    <w:p w14:paraId="6E061A6A" w14:textId="17CC8220" w:rsidR="00974877" w:rsidRPr="00327676" w:rsidRDefault="00974877"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The expanded s 1317H ensures that those engaging in illegal phoenix activity</w:t>
      </w:r>
      <w:r w:rsidR="00CA3F90" w:rsidRPr="00327676">
        <w:rPr>
          <w:rFonts w:ascii="Times New Roman" w:hAnsi="Times New Roman" w:cs="Times New Roman"/>
          <w:sz w:val="24"/>
          <w:szCs w:val="24"/>
        </w:rPr>
        <w:t xml:space="preserve"> or other abuse of the corporate form</w:t>
      </w:r>
      <w:r w:rsidRPr="00327676">
        <w:rPr>
          <w:rFonts w:ascii="Times New Roman" w:hAnsi="Times New Roman" w:cs="Times New Roman"/>
          <w:sz w:val="24"/>
          <w:szCs w:val="24"/>
        </w:rPr>
        <w:t xml:space="preserve"> are deprived of the benefits of their behaviour where those benefits are held by </w:t>
      </w:r>
      <w:r w:rsidR="00CA3F90" w:rsidRPr="00327676">
        <w:rPr>
          <w:rFonts w:ascii="Times New Roman" w:hAnsi="Times New Roman" w:cs="Times New Roman"/>
          <w:sz w:val="24"/>
          <w:szCs w:val="24"/>
        </w:rPr>
        <w:t>another company</w:t>
      </w:r>
      <w:r w:rsidRPr="00327676">
        <w:rPr>
          <w:rFonts w:ascii="Times New Roman" w:hAnsi="Times New Roman" w:cs="Times New Roman"/>
          <w:sz w:val="24"/>
          <w:szCs w:val="24"/>
        </w:rPr>
        <w:t xml:space="preserve">, and victims are compensated to the maximum extent possible. This </w:t>
      </w:r>
      <w:r w:rsidRPr="00327676">
        <w:rPr>
          <w:rFonts w:ascii="Times New Roman" w:hAnsi="Times New Roman" w:cs="Times New Roman"/>
          <w:sz w:val="24"/>
          <w:szCs w:val="24"/>
        </w:rPr>
        <w:lastRenderedPageBreak/>
        <w:t xml:space="preserve">is a critical amendment to directors’ duties enforcement, which currently does not provide any clear pathway for recovering the benefits of </w:t>
      </w:r>
      <w:r w:rsidR="00CA3F90" w:rsidRPr="00327676">
        <w:rPr>
          <w:rFonts w:ascii="Times New Roman" w:hAnsi="Times New Roman" w:cs="Times New Roman"/>
          <w:sz w:val="24"/>
          <w:szCs w:val="24"/>
        </w:rPr>
        <w:t>wrongdoing</w:t>
      </w:r>
      <w:r w:rsidRPr="00327676">
        <w:rPr>
          <w:rFonts w:ascii="Times New Roman" w:hAnsi="Times New Roman" w:cs="Times New Roman"/>
          <w:sz w:val="24"/>
          <w:szCs w:val="24"/>
        </w:rPr>
        <w:t xml:space="preserve"> except from the wrongdoers themselves.</w:t>
      </w:r>
    </w:p>
    <w:p w14:paraId="5BB99AB9" w14:textId="77777777" w:rsidR="0060718A" w:rsidRPr="00327676" w:rsidRDefault="0060718A" w:rsidP="00327676">
      <w:pPr>
        <w:spacing w:after="0" w:line="240" w:lineRule="auto"/>
        <w:jc w:val="both"/>
        <w:rPr>
          <w:rFonts w:ascii="Times New Roman" w:hAnsi="Times New Roman" w:cs="Times New Roman"/>
          <w:sz w:val="24"/>
          <w:szCs w:val="24"/>
        </w:rPr>
      </w:pPr>
    </w:p>
    <w:p w14:paraId="241FB017" w14:textId="73764A14" w:rsidR="00327676" w:rsidRDefault="006F0C46"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Where there are asset </w:t>
      </w:r>
      <w:r w:rsidR="002B37D1" w:rsidRPr="00327676">
        <w:rPr>
          <w:rFonts w:ascii="Times New Roman" w:hAnsi="Times New Roman" w:cs="Times New Roman"/>
          <w:sz w:val="24"/>
          <w:szCs w:val="24"/>
        </w:rPr>
        <w:t>transfers</w:t>
      </w:r>
      <w:r w:rsidRPr="00327676">
        <w:rPr>
          <w:rFonts w:ascii="Times New Roman" w:hAnsi="Times New Roman" w:cs="Times New Roman"/>
          <w:sz w:val="24"/>
          <w:szCs w:val="24"/>
        </w:rPr>
        <w:t xml:space="preserve"> between ‘related party’ companies, it is also worth looking at whether there should be </w:t>
      </w:r>
      <w:r w:rsidR="00327676" w:rsidRPr="00327676">
        <w:rPr>
          <w:rFonts w:ascii="Times New Roman" w:hAnsi="Times New Roman" w:cs="Times New Roman"/>
          <w:sz w:val="24"/>
          <w:szCs w:val="24"/>
        </w:rPr>
        <w:t xml:space="preserve">an </w:t>
      </w:r>
      <w:r w:rsidRPr="00327676">
        <w:rPr>
          <w:rFonts w:ascii="Times New Roman" w:hAnsi="Times New Roman" w:cs="Times New Roman"/>
          <w:b/>
          <w:sz w:val="24"/>
          <w:szCs w:val="24"/>
        </w:rPr>
        <w:t>independent valuation of assets</w:t>
      </w:r>
      <w:r w:rsidR="00327676" w:rsidRPr="00327676">
        <w:rPr>
          <w:rFonts w:ascii="Times New Roman" w:hAnsi="Times New Roman" w:cs="Times New Roman"/>
          <w:sz w:val="24"/>
          <w:szCs w:val="24"/>
        </w:rPr>
        <w:t xml:space="preserve">. </w:t>
      </w:r>
      <w:r w:rsidR="00327676">
        <w:rPr>
          <w:rFonts w:ascii="Times New Roman" w:hAnsi="Times New Roman" w:cs="Times New Roman"/>
          <w:sz w:val="24"/>
          <w:szCs w:val="24"/>
        </w:rPr>
        <w:t>We</w:t>
      </w:r>
      <w:r w:rsidR="00327676" w:rsidRPr="00327676">
        <w:rPr>
          <w:rFonts w:ascii="Times New Roman" w:hAnsi="Times New Roman" w:cs="Times New Roman"/>
          <w:sz w:val="24"/>
          <w:szCs w:val="24"/>
        </w:rPr>
        <w:t xml:space="preserve"> think that a rebuttable presumption has many advantages. In action by ASIC or the liquidator for breach of directors’ duty, there would be a rebuttable presumption that a related party transaction is not arm’s length. The presumption could be rebutted by an independent valuation or such other evidence as the court considers appropriate. It is then open to </w:t>
      </w:r>
      <w:r w:rsidR="00327676">
        <w:rPr>
          <w:rFonts w:ascii="Times New Roman" w:hAnsi="Times New Roman" w:cs="Times New Roman"/>
          <w:sz w:val="24"/>
          <w:szCs w:val="24"/>
        </w:rPr>
        <w:t>the company</w:t>
      </w:r>
      <w:r w:rsidR="00327676" w:rsidRPr="00327676">
        <w:rPr>
          <w:rFonts w:ascii="Times New Roman" w:hAnsi="Times New Roman" w:cs="Times New Roman"/>
          <w:sz w:val="24"/>
          <w:szCs w:val="24"/>
        </w:rPr>
        <w:t xml:space="preserve">’s directors to decide whether there is a risk of the transfer being challenged by an external administrator or ASIC and thus whether they should spend the time and money on an independent valuation. To avoid unfairly harsh operation, there would need to be limits on the time period over which the presumption would operate. Twelve months prior to insolvency seems reasonable. </w:t>
      </w:r>
    </w:p>
    <w:p w14:paraId="081F6CD2" w14:textId="77777777" w:rsidR="00106BDB" w:rsidRDefault="00106BDB" w:rsidP="00327676">
      <w:pPr>
        <w:spacing w:after="0" w:line="240" w:lineRule="auto"/>
        <w:jc w:val="both"/>
        <w:rPr>
          <w:rFonts w:ascii="Times New Roman" w:hAnsi="Times New Roman" w:cs="Times New Roman"/>
          <w:sz w:val="24"/>
          <w:szCs w:val="24"/>
        </w:rPr>
      </w:pPr>
    </w:p>
    <w:p w14:paraId="389E587B" w14:textId="75BFB856" w:rsidR="00106BDB" w:rsidRPr="00327676" w:rsidRDefault="00106BDB" w:rsidP="00327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suggestion is discussed more in our </w:t>
      </w:r>
      <w:hyperlink r:id="rId10" w:history="1">
        <w:r w:rsidR="009741B4" w:rsidRPr="00F95963">
          <w:rPr>
            <w:rStyle w:val="Hyperlink"/>
            <w:rFonts w:ascii="Times New Roman" w:hAnsi="Times New Roman"/>
            <w:sz w:val="24"/>
            <w:szCs w:val="24"/>
          </w:rPr>
          <w:t>final report</w:t>
        </w:r>
      </w:hyperlink>
      <w:r>
        <w:rPr>
          <w:rFonts w:ascii="Times New Roman" w:hAnsi="Times New Roman" w:cs="Times New Roman"/>
          <w:sz w:val="24"/>
          <w:szCs w:val="24"/>
        </w:rPr>
        <w:t>, at [2.4].</w:t>
      </w:r>
    </w:p>
    <w:p w14:paraId="6EB33719" w14:textId="77777777" w:rsidR="00327676" w:rsidRPr="00327676" w:rsidRDefault="00327676" w:rsidP="00327676">
      <w:pPr>
        <w:spacing w:after="0" w:line="240" w:lineRule="auto"/>
        <w:rPr>
          <w:rFonts w:ascii="Times New Roman" w:hAnsi="Times New Roman" w:cs="Times New Roman"/>
          <w:sz w:val="24"/>
          <w:szCs w:val="24"/>
        </w:rPr>
      </w:pPr>
    </w:p>
    <w:p w14:paraId="7A1E139A" w14:textId="1BA8C40B" w:rsidR="001352A5" w:rsidRPr="00327676" w:rsidRDefault="001352A5" w:rsidP="00327676">
      <w:pPr>
        <w:spacing w:after="0" w:line="240" w:lineRule="auto"/>
        <w:rPr>
          <w:rFonts w:ascii="Times New Roman" w:hAnsi="Times New Roman" w:cs="Times New Roman"/>
          <w:b/>
          <w:sz w:val="24"/>
          <w:szCs w:val="24"/>
        </w:rPr>
      </w:pPr>
    </w:p>
    <w:p w14:paraId="481513EB" w14:textId="0EF7344F" w:rsidR="00B730BC" w:rsidRPr="00327676" w:rsidRDefault="00B730BC" w:rsidP="00106BDB">
      <w:pPr>
        <w:spacing w:after="0" w:line="240" w:lineRule="auto"/>
        <w:jc w:val="center"/>
        <w:rPr>
          <w:rFonts w:ascii="Times New Roman" w:hAnsi="Times New Roman" w:cs="Times New Roman"/>
          <w:b/>
          <w:sz w:val="24"/>
          <w:szCs w:val="24"/>
        </w:rPr>
      </w:pPr>
      <w:r w:rsidRPr="00327676">
        <w:rPr>
          <w:rFonts w:ascii="Times New Roman" w:hAnsi="Times New Roman" w:cs="Times New Roman"/>
          <w:b/>
          <w:sz w:val="24"/>
          <w:szCs w:val="24"/>
        </w:rPr>
        <w:t>SANCTIONING DIRECTORS AND OFFICERS WITH A TRACK RECORD</w:t>
      </w:r>
      <w:r w:rsidR="00080516">
        <w:rPr>
          <w:rFonts w:ascii="Times New Roman" w:hAnsi="Times New Roman" w:cs="Times New Roman"/>
          <w:b/>
          <w:sz w:val="24"/>
          <w:szCs w:val="24"/>
        </w:rPr>
        <w:t xml:space="preserve"> OF INVOLVEMENT IN INSOLVENCIES WHERE FEG IS RELIED UPON</w:t>
      </w:r>
    </w:p>
    <w:p w14:paraId="6BA9F091" w14:textId="77777777" w:rsidR="00B730BC" w:rsidRPr="00327676" w:rsidRDefault="00B730BC" w:rsidP="00327676">
      <w:pPr>
        <w:spacing w:after="0" w:line="240" w:lineRule="auto"/>
        <w:jc w:val="both"/>
        <w:rPr>
          <w:rFonts w:ascii="Times New Roman" w:hAnsi="Times New Roman" w:cs="Times New Roman"/>
          <w:sz w:val="24"/>
          <w:szCs w:val="24"/>
        </w:rPr>
      </w:pPr>
    </w:p>
    <w:p w14:paraId="433FB218" w14:textId="35D70150" w:rsidR="00037B3D" w:rsidRPr="00327676" w:rsidRDefault="001352A5"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We agree that sanctioning directors with </w:t>
      </w:r>
      <w:r w:rsidR="00CA3F90" w:rsidRPr="00327676">
        <w:rPr>
          <w:rFonts w:ascii="Times New Roman" w:hAnsi="Times New Roman" w:cs="Times New Roman"/>
          <w:sz w:val="24"/>
          <w:szCs w:val="24"/>
        </w:rPr>
        <w:t xml:space="preserve">a </w:t>
      </w:r>
      <w:r w:rsidRPr="00327676">
        <w:rPr>
          <w:rFonts w:ascii="Times New Roman" w:hAnsi="Times New Roman" w:cs="Times New Roman"/>
          <w:sz w:val="24"/>
          <w:szCs w:val="24"/>
        </w:rPr>
        <w:t>proven track record of poor performance with companies – repeated insolvencies and poor behaviour during those insolvencies – is a useful strategy.</w:t>
      </w:r>
    </w:p>
    <w:p w14:paraId="38E35419" w14:textId="77777777" w:rsidR="001352A5" w:rsidRPr="00327676" w:rsidRDefault="001352A5" w:rsidP="00327676">
      <w:pPr>
        <w:spacing w:after="0" w:line="240" w:lineRule="auto"/>
        <w:jc w:val="both"/>
        <w:rPr>
          <w:rFonts w:ascii="Times New Roman" w:hAnsi="Times New Roman" w:cs="Times New Roman"/>
          <w:sz w:val="24"/>
          <w:szCs w:val="24"/>
        </w:rPr>
      </w:pPr>
    </w:p>
    <w:p w14:paraId="1F149C84" w14:textId="3557D4D6" w:rsidR="001352A5" w:rsidRPr="00327676" w:rsidRDefault="001352A5"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We have identified this type of behaviour as problematic phoenix activity and these individuals as ‘serial inept entrepreneurs’.</w:t>
      </w:r>
      <w:r w:rsidR="00CA3F90" w:rsidRPr="00327676">
        <w:rPr>
          <w:rStyle w:val="FootnoteReference"/>
          <w:rFonts w:ascii="Times New Roman" w:hAnsi="Times New Roman" w:cs="Times New Roman"/>
          <w:sz w:val="24"/>
          <w:szCs w:val="24"/>
        </w:rPr>
        <w:footnoteReference w:id="14"/>
      </w:r>
      <w:r w:rsidRPr="00327676">
        <w:rPr>
          <w:rFonts w:ascii="Times New Roman" w:hAnsi="Times New Roman" w:cs="Times New Roman"/>
          <w:sz w:val="24"/>
          <w:szCs w:val="24"/>
        </w:rPr>
        <w:t xml:space="preserve"> While we have consistently advocated for widening the regulators </w:t>
      </w:r>
      <w:r w:rsidR="005D64F0">
        <w:rPr>
          <w:rFonts w:ascii="Times New Roman" w:hAnsi="Times New Roman" w:cs="Times New Roman"/>
          <w:sz w:val="24"/>
          <w:szCs w:val="24"/>
        </w:rPr>
        <w:t>that</w:t>
      </w:r>
      <w:r w:rsidRPr="00327676">
        <w:rPr>
          <w:rFonts w:ascii="Times New Roman" w:hAnsi="Times New Roman" w:cs="Times New Roman"/>
          <w:sz w:val="24"/>
          <w:szCs w:val="24"/>
        </w:rPr>
        <w:t xml:space="preserve"> can seek disqualification,</w:t>
      </w:r>
      <w:r w:rsidR="00CA3F90" w:rsidRPr="00327676">
        <w:rPr>
          <w:rStyle w:val="FootnoteReference"/>
          <w:rFonts w:ascii="Times New Roman" w:hAnsi="Times New Roman" w:cs="Times New Roman"/>
          <w:sz w:val="24"/>
          <w:szCs w:val="24"/>
        </w:rPr>
        <w:footnoteReference w:id="15"/>
      </w:r>
      <w:r w:rsidRPr="00327676">
        <w:rPr>
          <w:rFonts w:ascii="Times New Roman" w:hAnsi="Times New Roman" w:cs="Times New Roman"/>
          <w:sz w:val="24"/>
          <w:szCs w:val="24"/>
        </w:rPr>
        <w:t xml:space="preserve"> we have gone further and recommended a ‘probationary’ system, called </w:t>
      </w:r>
      <w:r w:rsidR="00CA3F90" w:rsidRPr="00327676">
        <w:rPr>
          <w:rFonts w:ascii="Times New Roman" w:hAnsi="Times New Roman" w:cs="Times New Roman"/>
          <w:sz w:val="24"/>
          <w:szCs w:val="24"/>
        </w:rPr>
        <w:t>‘</w:t>
      </w:r>
      <w:r w:rsidRPr="00327676">
        <w:rPr>
          <w:rFonts w:ascii="Times New Roman" w:hAnsi="Times New Roman" w:cs="Times New Roman"/>
          <w:sz w:val="24"/>
          <w:szCs w:val="24"/>
        </w:rPr>
        <w:t>restricted directorship</w:t>
      </w:r>
      <w:r w:rsidR="00CA3F90" w:rsidRPr="00327676">
        <w:rPr>
          <w:rFonts w:ascii="Times New Roman" w:hAnsi="Times New Roman" w:cs="Times New Roman"/>
          <w:sz w:val="24"/>
          <w:szCs w:val="24"/>
        </w:rPr>
        <w:t>’</w:t>
      </w:r>
      <w:r w:rsidRPr="00327676">
        <w:rPr>
          <w:rFonts w:ascii="Times New Roman" w:hAnsi="Times New Roman" w:cs="Times New Roman"/>
          <w:sz w:val="24"/>
          <w:szCs w:val="24"/>
        </w:rPr>
        <w:t>, which would automatically be imposed on directors with multiple previous failures.</w:t>
      </w:r>
      <w:r w:rsidR="00CA3F90" w:rsidRPr="00327676">
        <w:rPr>
          <w:rStyle w:val="FootnoteReference"/>
          <w:rFonts w:ascii="Times New Roman" w:hAnsi="Times New Roman" w:cs="Times New Roman"/>
          <w:sz w:val="24"/>
          <w:szCs w:val="24"/>
        </w:rPr>
        <w:footnoteReference w:id="16"/>
      </w:r>
      <w:r w:rsidRPr="00327676">
        <w:rPr>
          <w:rFonts w:ascii="Times New Roman" w:hAnsi="Times New Roman" w:cs="Times New Roman"/>
          <w:sz w:val="24"/>
          <w:szCs w:val="24"/>
        </w:rPr>
        <w:t xml:space="preserve"> Such a system would avoid the need to prove the three elements set out in the Consultation Paper, ie, breach of the Act, multiple reliance on FEG, and limited return to FEG from the insolvency administration. However, our ‘restricted directorship’ would kick in at a higher number of insolvencies. </w:t>
      </w:r>
    </w:p>
    <w:p w14:paraId="4E57CCA9" w14:textId="77777777" w:rsidR="001352A5" w:rsidRPr="00327676" w:rsidRDefault="001352A5" w:rsidP="00327676">
      <w:pPr>
        <w:spacing w:after="0" w:line="240" w:lineRule="auto"/>
        <w:jc w:val="both"/>
        <w:rPr>
          <w:rFonts w:ascii="Times New Roman" w:hAnsi="Times New Roman" w:cs="Times New Roman"/>
          <w:sz w:val="24"/>
          <w:szCs w:val="24"/>
        </w:rPr>
      </w:pPr>
    </w:p>
    <w:p w14:paraId="49F5BEAF" w14:textId="3347D9F3" w:rsidR="001352A5" w:rsidRPr="00327676" w:rsidRDefault="001352A5"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The system suggested by the Consultation Paper has the advantage that the breaches of the Act – eg, a failure to provide books and records – and the other two requirements are easily knowable facts. There is no scope for interpretation, as there might be with a breach of the </w:t>
      </w:r>
      <w:r w:rsidRPr="00327676">
        <w:rPr>
          <w:rFonts w:ascii="Times New Roman" w:hAnsi="Times New Roman" w:cs="Times New Roman"/>
          <w:i/>
          <w:sz w:val="24"/>
          <w:szCs w:val="24"/>
        </w:rPr>
        <w:t>Corporations Act</w:t>
      </w:r>
      <w:r w:rsidRPr="00327676">
        <w:rPr>
          <w:rFonts w:ascii="Times New Roman" w:hAnsi="Times New Roman" w:cs="Times New Roman"/>
          <w:sz w:val="24"/>
          <w:szCs w:val="24"/>
        </w:rPr>
        <w:t xml:space="preserve"> involving wrongdoing.</w:t>
      </w:r>
      <w:r w:rsidR="00CA3F90" w:rsidRPr="00327676">
        <w:rPr>
          <w:rFonts w:ascii="Times New Roman" w:hAnsi="Times New Roman" w:cs="Times New Roman"/>
          <w:sz w:val="24"/>
          <w:szCs w:val="24"/>
        </w:rPr>
        <w:t xml:space="preserve"> This greatly simplifies enforcement. Placing enforcement in the hands of the Fair Work Ombudsman, </w:t>
      </w:r>
      <w:r w:rsidR="00AB1524" w:rsidRPr="00327676">
        <w:rPr>
          <w:rFonts w:ascii="Times New Roman" w:hAnsi="Times New Roman" w:cs="Times New Roman"/>
          <w:sz w:val="24"/>
          <w:szCs w:val="24"/>
        </w:rPr>
        <w:t>with a highly active litigation profile, is likely to result in frequent use of the provision.</w:t>
      </w:r>
    </w:p>
    <w:p w14:paraId="38DF87E5" w14:textId="77777777" w:rsidR="001352A5" w:rsidRPr="00327676" w:rsidRDefault="001352A5" w:rsidP="00327676">
      <w:pPr>
        <w:spacing w:after="0" w:line="240" w:lineRule="auto"/>
        <w:jc w:val="both"/>
        <w:rPr>
          <w:rFonts w:ascii="Times New Roman" w:hAnsi="Times New Roman" w:cs="Times New Roman"/>
          <w:sz w:val="24"/>
          <w:szCs w:val="24"/>
        </w:rPr>
      </w:pPr>
    </w:p>
    <w:p w14:paraId="726D264B" w14:textId="13DE61A6" w:rsidR="001352A5" w:rsidRPr="00327676" w:rsidRDefault="001352A5"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Therefore, we support the extension of the disqualification power to this FEG-related set of circumstances</w:t>
      </w:r>
      <w:r w:rsidR="00924B08" w:rsidRPr="00327676">
        <w:rPr>
          <w:rFonts w:ascii="Times New Roman" w:hAnsi="Times New Roman" w:cs="Times New Roman"/>
          <w:sz w:val="24"/>
          <w:szCs w:val="24"/>
        </w:rPr>
        <w:t xml:space="preserve"> (Option 6)</w:t>
      </w:r>
      <w:r w:rsidRPr="00327676">
        <w:rPr>
          <w:rFonts w:ascii="Times New Roman" w:hAnsi="Times New Roman" w:cs="Times New Roman"/>
          <w:sz w:val="24"/>
          <w:szCs w:val="24"/>
        </w:rPr>
        <w:t>.</w:t>
      </w:r>
    </w:p>
    <w:p w14:paraId="1149F7BE" w14:textId="77777777" w:rsidR="001352A5" w:rsidRPr="00327676" w:rsidRDefault="001352A5" w:rsidP="00327676">
      <w:pPr>
        <w:spacing w:after="0" w:line="240" w:lineRule="auto"/>
        <w:jc w:val="both"/>
        <w:rPr>
          <w:rFonts w:ascii="Times New Roman" w:hAnsi="Times New Roman" w:cs="Times New Roman"/>
          <w:sz w:val="24"/>
          <w:szCs w:val="24"/>
        </w:rPr>
      </w:pPr>
    </w:p>
    <w:p w14:paraId="29A36295" w14:textId="232BF888" w:rsidR="00EA1828" w:rsidRPr="00327676" w:rsidRDefault="001352A5"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lastRenderedPageBreak/>
        <w:t xml:space="preserve">In terms of extending </w:t>
      </w:r>
      <w:r w:rsidRPr="00327676">
        <w:rPr>
          <w:rFonts w:ascii="Times New Roman" w:hAnsi="Times New Roman" w:cs="Times New Roman"/>
          <w:i/>
          <w:sz w:val="24"/>
          <w:szCs w:val="24"/>
        </w:rPr>
        <w:t>automatic</w:t>
      </w:r>
      <w:r w:rsidRPr="00327676">
        <w:rPr>
          <w:rFonts w:ascii="Times New Roman" w:hAnsi="Times New Roman" w:cs="Times New Roman"/>
          <w:sz w:val="24"/>
          <w:szCs w:val="24"/>
        </w:rPr>
        <w:t xml:space="preserve"> disqualification to </w:t>
      </w:r>
      <w:r w:rsidRPr="00327676">
        <w:rPr>
          <w:rFonts w:ascii="Times New Roman" w:hAnsi="Times New Roman" w:cs="Times New Roman"/>
          <w:i/>
          <w:sz w:val="24"/>
          <w:szCs w:val="24"/>
        </w:rPr>
        <w:t>convictions</w:t>
      </w:r>
      <w:r w:rsidRPr="00327676">
        <w:rPr>
          <w:rFonts w:ascii="Times New Roman" w:hAnsi="Times New Roman" w:cs="Times New Roman"/>
          <w:sz w:val="24"/>
          <w:szCs w:val="24"/>
        </w:rPr>
        <w:t xml:space="preserve"> of company officers of employee entitlement related offences, this does not appear to </w:t>
      </w:r>
      <w:r w:rsidR="00924B08" w:rsidRPr="00327676">
        <w:rPr>
          <w:rFonts w:ascii="Times New Roman" w:hAnsi="Times New Roman" w:cs="Times New Roman"/>
          <w:sz w:val="24"/>
          <w:szCs w:val="24"/>
        </w:rPr>
        <w:t xml:space="preserve">cover </w:t>
      </w:r>
      <w:r w:rsidRPr="00327676">
        <w:rPr>
          <w:rFonts w:ascii="Times New Roman" w:hAnsi="Times New Roman" w:cs="Times New Roman"/>
          <w:sz w:val="24"/>
          <w:szCs w:val="24"/>
        </w:rPr>
        <w:t xml:space="preserve">accessory liability, pursuant to s 550 of the </w:t>
      </w:r>
      <w:r w:rsidRPr="00327676">
        <w:rPr>
          <w:rFonts w:ascii="Times New Roman" w:hAnsi="Times New Roman" w:cs="Times New Roman"/>
          <w:i/>
          <w:sz w:val="24"/>
          <w:szCs w:val="24"/>
        </w:rPr>
        <w:t>Fair Work Act</w:t>
      </w:r>
      <w:r w:rsidR="00924B08" w:rsidRPr="00327676">
        <w:rPr>
          <w:rFonts w:ascii="Times New Roman" w:hAnsi="Times New Roman" w:cs="Times New Roman"/>
          <w:sz w:val="24"/>
          <w:szCs w:val="24"/>
        </w:rPr>
        <w:t>,</w:t>
      </w:r>
      <w:r w:rsidRPr="00327676">
        <w:rPr>
          <w:rFonts w:ascii="Times New Roman" w:hAnsi="Times New Roman" w:cs="Times New Roman"/>
          <w:sz w:val="24"/>
          <w:szCs w:val="24"/>
        </w:rPr>
        <w:t xml:space="preserve"> for the employer company’s breach of s</w:t>
      </w:r>
      <w:r w:rsidR="00CD44EA">
        <w:rPr>
          <w:rFonts w:ascii="Times New Roman" w:hAnsi="Times New Roman" w:cs="Times New Roman"/>
          <w:sz w:val="24"/>
          <w:szCs w:val="24"/>
        </w:rPr>
        <w:t>s</w:t>
      </w:r>
      <w:r w:rsidRPr="00327676">
        <w:rPr>
          <w:rFonts w:ascii="Times New Roman" w:hAnsi="Times New Roman" w:cs="Times New Roman"/>
          <w:sz w:val="24"/>
          <w:szCs w:val="24"/>
        </w:rPr>
        <w:t xml:space="preserve"> 45 and 50 </w:t>
      </w:r>
      <w:r w:rsidR="00924B08" w:rsidRPr="00327676">
        <w:rPr>
          <w:rFonts w:ascii="Times New Roman" w:hAnsi="Times New Roman" w:cs="Times New Roman"/>
          <w:sz w:val="24"/>
          <w:szCs w:val="24"/>
        </w:rPr>
        <w:t xml:space="preserve">relating to </w:t>
      </w:r>
      <w:r w:rsidRPr="00327676">
        <w:rPr>
          <w:rFonts w:ascii="Times New Roman" w:hAnsi="Times New Roman" w:cs="Times New Roman"/>
          <w:sz w:val="24"/>
          <w:szCs w:val="24"/>
        </w:rPr>
        <w:t>non-payments and underpayments. These are civil remedy breaches, both by the company and the accessory. It is unclear what employee entitlement related offences are covered by the Consultation Paper’s question.</w:t>
      </w:r>
    </w:p>
    <w:p w14:paraId="58BA4404" w14:textId="77777777" w:rsidR="001352A5" w:rsidRPr="00327676" w:rsidRDefault="001352A5" w:rsidP="00327676">
      <w:pPr>
        <w:spacing w:after="0" w:line="240" w:lineRule="auto"/>
        <w:jc w:val="both"/>
        <w:rPr>
          <w:rFonts w:ascii="Times New Roman" w:hAnsi="Times New Roman" w:cs="Times New Roman"/>
          <w:sz w:val="24"/>
          <w:szCs w:val="24"/>
        </w:rPr>
      </w:pPr>
    </w:p>
    <w:p w14:paraId="668114B2" w14:textId="058CED6A" w:rsidR="00AB1524" w:rsidRPr="00327676" w:rsidRDefault="001352A5" w:rsidP="00327676">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We prefer a </w:t>
      </w:r>
      <w:r w:rsidRPr="00327676">
        <w:rPr>
          <w:rFonts w:ascii="Times New Roman" w:hAnsi="Times New Roman" w:cs="Times New Roman"/>
          <w:i/>
          <w:sz w:val="24"/>
          <w:szCs w:val="24"/>
        </w:rPr>
        <w:t>court-ordered</w:t>
      </w:r>
      <w:r w:rsidRPr="00327676">
        <w:rPr>
          <w:rFonts w:ascii="Times New Roman" w:hAnsi="Times New Roman" w:cs="Times New Roman"/>
          <w:sz w:val="24"/>
          <w:szCs w:val="24"/>
        </w:rPr>
        <w:t xml:space="preserve"> disqualification of an accessory to a civil remedy breach, whether that person is a director or advisor. As noted above, pursuant to the </w:t>
      </w:r>
      <w:r w:rsidRPr="00327676">
        <w:rPr>
          <w:rFonts w:ascii="Times New Roman" w:hAnsi="Times New Roman" w:cs="Times New Roman"/>
          <w:i/>
          <w:sz w:val="24"/>
          <w:szCs w:val="24"/>
        </w:rPr>
        <w:t>Corporations Act</w:t>
      </w:r>
      <w:r w:rsidRPr="00327676">
        <w:rPr>
          <w:rFonts w:ascii="Times New Roman" w:hAnsi="Times New Roman" w:cs="Times New Roman"/>
          <w:sz w:val="24"/>
          <w:szCs w:val="24"/>
        </w:rPr>
        <w:t>, civil penalty directors’ duty breaches under s</w:t>
      </w:r>
      <w:r w:rsidR="00DE3D25">
        <w:rPr>
          <w:rFonts w:ascii="Times New Roman" w:hAnsi="Times New Roman" w:cs="Times New Roman"/>
          <w:sz w:val="24"/>
          <w:szCs w:val="24"/>
        </w:rPr>
        <w:t>s</w:t>
      </w:r>
      <w:r w:rsidRPr="00327676">
        <w:rPr>
          <w:rFonts w:ascii="Times New Roman" w:hAnsi="Times New Roman" w:cs="Times New Roman"/>
          <w:sz w:val="24"/>
          <w:szCs w:val="24"/>
        </w:rPr>
        <w:t xml:space="preserve"> 181 and 182 allow for accessory liability, so this would be a consistent approach. </w:t>
      </w:r>
      <w:r w:rsidR="00924B08" w:rsidRPr="00327676">
        <w:rPr>
          <w:rFonts w:ascii="Times New Roman" w:hAnsi="Times New Roman" w:cs="Times New Roman"/>
          <w:sz w:val="24"/>
          <w:szCs w:val="24"/>
        </w:rPr>
        <w:t xml:space="preserve">We therefore recommend that the FWO be empowered to seek court-ordered disqualification against a person for a period the court considers appropriate where </w:t>
      </w:r>
    </w:p>
    <w:p w14:paraId="09E403E2" w14:textId="17B913AD" w:rsidR="00AB1524" w:rsidRPr="00327676" w:rsidRDefault="00924B08" w:rsidP="00B97E17">
      <w:pPr>
        <w:pStyle w:val="subsection"/>
        <w:spacing w:before="0" w:beforeAutospacing="0" w:after="0" w:afterAutospacing="0"/>
        <w:ind w:left="1276" w:hanging="567"/>
        <w:jc w:val="both"/>
      </w:pPr>
      <w:r w:rsidRPr="00327676">
        <w:t xml:space="preserve">(a) </w:t>
      </w:r>
      <w:r w:rsidR="00DE3D25">
        <w:tab/>
      </w:r>
      <w:r w:rsidRPr="00327676">
        <w:t xml:space="preserve">the court is satisfied that the person has contravened, has attempted to contravene or has been involved in a contravention of the Fair Work Act; and </w:t>
      </w:r>
    </w:p>
    <w:p w14:paraId="7CD03899" w14:textId="68B8D733" w:rsidR="001352A5" w:rsidRDefault="00924B08" w:rsidP="00B97E17">
      <w:pPr>
        <w:pStyle w:val="subsection"/>
        <w:spacing w:before="0" w:beforeAutospacing="0" w:after="0" w:afterAutospacing="0"/>
        <w:ind w:left="1276" w:hanging="567"/>
        <w:jc w:val="both"/>
      </w:pPr>
      <w:r w:rsidRPr="00327676">
        <w:t xml:space="preserve">(b) </w:t>
      </w:r>
      <w:r w:rsidR="00DE3D25">
        <w:tab/>
      </w:r>
      <w:r w:rsidRPr="00327676">
        <w:t>the court is satisfied that the disqualification is justified.</w:t>
      </w:r>
    </w:p>
    <w:p w14:paraId="1DDE63D2" w14:textId="77777777" w:rsidR="00106BDB" w:rsidRDefault="00106BDB" w:rsidP="00B97E17">
      <w:pPr>
        <w:pStyle w:val="subsection"/>
        <w:spacing w:before="0" w:beforeAutospacing="0" w:after="0" w:afterAutospacing="0"/>
        <w:ind w:left="1276" w:hanging="567"/>
        <w:jc w:val="both"/>
      </w:pPr>
    </w:p>
    <w:p w14:paraId="77A821A3" w14:textId="77777777" w:rsidR="00106BDB" w:rsidRDefault="00106BDB" w:rsidP="00B97E17">
      <w:pPr>
        <w:pStyle w:val="subsection"/>
        <w:spacing w:before="0" w:beforeAutospacing="0" w:after="0" w:afterAutospacing="0"/>
        <w:ind w:left="1276" w:hanging="567"/>
        <w:jc w:val="both"/>
      </w:pPr>
    </w:p>
    <w:p w14:paraId="446FF8E3" w14:textId="77777777" w:rsidR="00924B08" w:rsidRPr="00327676" w:rsidRDefault="00924B08" w:rsidP="00106BDB">
      <w:pPr>
        <w:spacing w:after="0" w:line="240" w:lineRule="auto"/>
        <w:ind w:firstLine="709"/>
        <w:jc w:val="center"/>
        <w:rPr>
          <w:rFonts w:ascii="Times New Roman" w:hAnsi="Times New Roman" w:cs="Times New Roman"/>
          <w:sz w:val="24"/>
          <w:szCs w:val="24"/>
        </w:rPr>
      </w:pPr>
      <w:r w:rsidRPr="00327676">
        <w:rPr>
          <w:rFonts w:ascii="Times New Roman" w:hAnsi="Times New Roman" w:cs="Times New Roman"/>
          <w:b/>
          <w:sz w:val="24"/>
          <w:szCs w:val="24"/>
        </w:rPr>
        <w:t>OTHER RELATED REFORMS PROPOSED IN THE CONSULTATION PAPER</w:t>
      </w:r>
    </w:p>
    <w:p w14:paraId="62567CAA" w14:textId="77777777" w:rsidR="00C4383F" w:rsidRDefault="00C4383F" w:rsidP="00B97E17">
      <w:pPr>
        <w:spacing w:after="0" w:line="240" w:lineRule="auto"/>
        <w:jc w:val="both"/>
        <w:rPr>
          <w:rFonts w:ascii="Times New Roman" w:hAnsi="Times New Roman" w:cs="Times New Roman"/>
          <w:sz w:val="24"/>
          <w:szCs w:val="24"/>
        </w:rPr>
      </w:pPr>
    </w:p>
    <w:p w14:paraId="3B60CEB1" w14:textId="0E941782" w:rsidR="00B730BC" w:rsidRDefault="00924B08" w:rsidP="00B97E17">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These reforms (Options 7 and 8) are not directly relevant to our research and we have formed no expert view of them. However, we are aware of the considerable consternation that both situations create for insolvency practitioners and we agree that th</w:t>
      </w:r>
      <w:r w:rsidR="00AB1524" w:rsidRPr="00327676">
        <w:rPr>
          <w:rFonts w:ascii="Times New Roman" w:hAnsi="Times New Roman" w:cs="Times New Roman"/>
          <w:sz w:val="24"/>
          <w:szCs w:val="24"/>
        </w:rPr>
        <w:t>ey</w:t>
      </w:r>
      <w:r w:rsidRPr="00327676">
        <w:rPr>
          <w:rFonts w:ascii="Times New Roman" w:hAnsi="Times New Roman" w:cs="Times New Roman"/>
          <w:sz w:val="24"/>
          <w:szCs w:val="24"/>
        </w:rPr>
        <w:t xml:space="preserve"> should be addressed. </w:t>
      </w:r>
    </w:p>
    <w:p w14:paraId="589A1D52" w14:textId="77777777" w:rsidR="00106BDB" w:rsidRPr="00327676" w:rsidRDefault="00106BDB" w:rsidP="00B97E17">
      <w:pPr>
        <w:spacing w:after="0" w:line="240" w:lineRule="auto"/>
        <w:jc w:val="both"/>
        <w:rPr>
          <w:rFonts w:ascii="Times New Roman" w:hAnsi="Times New Roman" w:cs="Times New Roman"/>
          <w:sz w:val="24"/>
          <w:szCs w:val="24"/>
        </w:rPr>
      </w:pPr>
    </w:p>
    <w:p w14:paraId="15AA322D" w14:textId="77777777" w:rsidR="00AB1524" w:rsidRPr="00327676" w:rsidRDefault="00AB1524" w:rsidP="00B97E17">
      <w:pPr>
        <w:spacing w:after="0" w:line="240" w:lineRule="auto"/>
        <w:jc w:val="both"/>
        <w:rPr>
          <w:rFonts w:ascii="Times New Roman" w:hAnsi="Times New Roman" w:cs="Times New Roman"/>
          <w:b/>
          <w:sz w:val="24"/>
          <w:szCs w:val="24"/>
        </w:rPr>
      </w:pPr>
    </w:p>
    <w:p w14:paraId="7C09B66E" w14:textId="2CD6577F" w:rsidR="00EA1828" w:rsidRPr="00327676" w:rsidRDefault="00C4383F" w:rsidP="00106BDB">
      <w:pPr>
        <w:spacing w:after="0" w:line="240" w:lineRule="auto"/>
        <w:ind w:firstLine="720"/>
        <w:jc w:val="center"/>
        <w:rPr>
          <w:rFonts w:ascii="Times New Roman" w:hAnsi="Times New Roman" w:cs="Times New Roman"/>
          <w:sz w:val="24"/>
          <w:szCs w:val="24"/>
        </w:rPr>
      </w:pPr>
      <w:r>
        <w:rPr>
          <w:rFonts w:ascii="Times New Roman" w:hAnsi="Times New Roman" w:cs="Times New Roman"/>
          <w:b/>
          <w:sz w:val="24"/>
          <w:szCs w:val="24"/>
        </w:rPr>
        <w:t>BROADER ISSUES</w:t>
      </w:r>
      <w:r w:rsidR="00A32B7A">
        <w:rPr>
          <w:rFonts w:ascii="Times New Roman" w:hAnsi="Times New Roman" w:cs="Times New Roman"/>
          <w:b/>
          <w:sz w:val="24"/>
          <w:szCs w:val="24"/>
        </w:rPr>
        <w:t xml:space="preserve"> RELATING TO PHOENIX ACTIVITY</w:t>
      </w:r>
    </w:p>
    <w:p w14:paraId="2FCFDC2E" w14:textId="77777777" w:rsidR="00EA1828" w:rsidRPr="00327676" w:rsidRDefault="00EA1828" w:rsidP="00B97E17">
      <w:pPr>
        <w:spacing w:after="0" w:line="240" w:lineRule="auto"/>
        <w:jc w:val="both"/>
        <w:rPr>
          <w:rFonts w:ascii="Times New Roman" w:hAnsi="Times New Roman" w:cs="Times New Roman"/>
          <w:sz w:val="24"/>
          <w:szCs w:val="24"/>
        </w:rPr>
      </w:pPr>
    </w:p>
    <w:p w14:paraId="69C71472" w14:textId="12B1E9FC" w:rsidR="00536D22" w:rsidRPr="00327676" w:rsidRDefault="00536D22" w:rsidP="00B97E17">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 xml:space="preserve">The government’s aim is to minimise reliance on the FEG, and it comes at this problem as though FEG reliance is the objective of the improper behaviour of directors. This is not necessarily the case. While </w:t>
      </w:r>
      <w:r w:rsidR="00D26BC9">
        <w:rPr>
          <w:rFonts w:ascii="Times New Roman" w:hAnsi="Times New Roman" w:cs="Times New Roman"/>
          <w:sz w:val="24"/>
          <w:szCs w:val="24"/>
        </w:rPr>
        <w:t xml:space="preserve">some </w:t>
      </w:r>
      <w:r w:rsidRPr="00327676">
        <w:rPr>
          <w:rFonts w:ascii="Times New Roman" w:hAnsi="Times New Roman" w:cs="Times New Roman"/>
          <w:sz w:val="24"/>
          <w:szCs w:val="24"/>
        </w:rPr>
        <w:t xml:space="preserve">directors might be more willing to engage in abuse of the corporate form because they know their employees will be ‘looked after’ by FEG, corporate law allows the director to walk away from the company and its debts </w:t>
      </w:r>
      <w:r w:rsidRPr="00327676">
        <w:rPr>
          <w:rFonts w:ascii="Times New Roman" w:hAnsi="Times New Roman" w:cs="Times New Roman"/>
          <w:i/>
          <w:sz w:val="24"/>
          <w:szCs w:val="24"/>
        </w:rPr>
        <w:t>whether FEG is there or not.</w:t>
      </w:r>
      <w:r w:rsidRPr="00327676">
        <w:rPr>
          <w:rFonts w:ascii="Times New Roman" w:hAnsi="Times New Roman" w:cs="Times New Roman"/>
          <w:sz w:val="24"/>
          <w:szCs w:val="24"/>
        </w:rPr>
        <w:t xml:space="preserve"> </w:t>
      </w:r>
    </w:p>
    <w:p w14:paraId="22355A4C" w14:textId="77777777" w:rsidR="00536D22" w:rsidRPr="00327676" w:rsidRDefault="00536D22" w:rsidP="00B97E17">
      <w:pPr>
        <w:spacing w:after="0" w:line="240" w:lineRule="auto"/>
        <w:jc w:val="both"/>
        <w:rPr>
          <w:rFonts w:ascii="Times New Roman" w:hAnsi="Times New Roman" w:cs="Times New Roman"/>
          <w:sz w:val="24"/>
          <w:szCs w:val="24"/>
        </w:rPr>
      </w:pPr>
    </w:p>
    <w:p w14:paraId="73D5DD2A" w14:textId="2B63C488" w:rsidR="00536D22" w:rsidRPr="00327676" w:rsidRDefault="00536D22" w:rsidP="00B97E17">
      <w:pPr>
        <w:spacing w:after="0" w:line="240" w:lineRule="auto"/>
        <w:jc w:val="both"/>
        <w:rPr>
          <w:rFonts w:ascii="Times New Roman" w:hAnsi="Times New Roman" w:cs="Times New Roman"/>
          <w:sz w:val="24"/>
          <w:szCs w:val="24"/>
        </w:rPr>
      </w:pPr>
      <w:r w:rsidRPr="00327676">
        <w:rPr>
          <w:rFonts w:ascii="Times New Roman" w:hAnsi="Times New Roman" w:cs="Times New Roman"/>
          <w:sz w:val="24"/>
          <w:szCs w:val="24"/>
        </w:rPr>
        <w:t>Therefore, it is important for Treasury and the Department of Employment to recognise that FEG itself might not be the</w:t>
      </w:r>
      <w:r w:rsidR="00391957" w:rsidRPr="00327676">
        <w:rPr>
          <w:rFonts w:ascii="Times New Roman" w:hAnsi="Times New Roman" w:cs="Times New Roman"/>
          <w:sz w:val="24"/>
          <w:szCs w:val="24"/>
        </w:rPr>
        <w:t xml:space="preserve"> (sole)</w:t>
      </w:r>
      <w:r w:rsidRPr="00327676">
        <w:rPr>
          <w:rFonts w:ascii="Times New Roman" w:hAnsi="Times New Roman" w:cs="Times New Roman"/>
          <w:sz w:val="24"/>
          <w:szCs w:val="24"/>
        </w:rPr>
        <w:t xml:space="preserve"> moral hazard. The temptation for directors is</w:t>
      </w:r>
      <w:r w:rsidR="00391957" w:rsidRPr="00327676">
        <w:rPr>
          <w:rFonts w:ascii="Times New Roman" w:hAnsi="Times New Roman" w:cs="Times New Roman"/>
          <w:sz w:val="24"/>
          <w:szCs w:val="24"/>
        </w:rPr>
        <w:t xml:space="preserve"> walking away from </w:t>
      </w:r>
      <w:r w:rsidR="00106BDB">
        <w:rPr>
          <w:rFonts w:ascii="Times New Roman" w:hAnsi="Times New Roman" w:cs="Times New Roman"/>
          <w:sz w:val="24"/>
          <w:szCs w:val="24"/>
        </w:rPr>
        <w:t xml:space="preserve">corporate </w:t>
      </w:r>
      <w:r w:rsidR="00391957" w:rsidRPr="00327676">
        <w:rPr>
          <w:rFonts w:ascii="Times New Roman" w:hAnsi="Times New Roman" w:cs="Times New Roman"/>
          <w:sz w:val="24"/>
          <w:szCs w:val="24"/>
        </w:rPr>
        <w:t>tax debts (federal and state), superannuation debts, unsecured trade creditor debts, court judgments, warranties, and fines to name a few. None of these are covered by FEG. We have been amazed and horrified at the vast array of circumstances evidencing illegal phoenix activity.</w:t>
      </w:r>
    </w:p>
    <w:p w14:paraId="5E6B3DC5" w14:textId="77777777" w:rsidR="00536D22" w:rsidRPr="00327676" w:rsidRDefault="00536D22" w:rsidP="00B97E17">
      <w:pPr>
        <w:spacing w:after="0" w:line="240" w:lineRule="auto"/>
        <w:jc w:val="both"/>
        <w:rPr>
          <w:rFonts w:ascii="Times New Roman" w:hAnsi="Times New Roman" w:cs="Times New Roman"/>
          <w:sz w:val="24"/>
          <w:szCs w:val="24"/>
        </w:rPr>
      </w:pPr>
    </w:p>
    <w:p w14:paraId="51CFF276" w14:textId="64700FCF" w:rsidR="006F1921" w:rsidRDefault="00F76C6F" w:rsidP="00D033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w:t>
      </w:r>
      <w:r w:rsidR="006F1921" w:rsidRPr="00B12A65">
        <w:rPr>
          <w:rFonts w:ascii="Times New Roman" w:hAnsi="Times New Roman" w:cs="Times New Roman"/>
          <w:sz w:val="24"/>
          <w:szCs w:val="24"/>
        </w:rPr>
        <w:t xml:space="preserve"> appears </w:t>
      </w:r>
      <w:r w:rsidR="008D59AC">
        <w:rPr>
          <w:rFonts w:ascii="Times New Roman" w:hAnsi="Times New Roman" w:cs="Times New Roman"/>
          <w:sz w:val="24"/>
          <w:szCs w:val="24"/>
        </w:rPr>
        <w:t xml:space="preserve">that this damaging behaviour is prevalent. </w:t>
      </w:r>
      <w:r w:rsidR="006F1921" w:rsidRPr="00B12A65">
        <w:rPr>
          <w:rFonts w:ascii="Times New Roman" w:hAnsi="Times New Roman" w:cs="Times New Roman"/>
          <w:sz w:val="24"/>
          <w:szCs w:val="24"/>
        </w:rPr>
        <w:t xml:space="preserve">PricewaterhouseCoopers has estimated that phoenix activity costs the Australian economy </w:t>
      </w:r>
      <w:hyperlink r:id="rId11" w:history="1">
        <w:r w:rsidR="006F1921" w:rsidRPr="00B12A65">
          <w:rPr>
            <w:rStyle w:val="Hyperlink"/>
            <w:rFonts w:ascii="Times New Roman" w:hAnsi="Times New Roman"/>
            <w:sz w:val="24"/>
            <w:szCs w:val="24"/>
          </w:rPr>
          <w:t>$1.78 to $3.19 billion per annum</w:t>
        </w:r>
      </w:hyperlink>
      <w:r w:rsidR="00B12A65" w:rsidRPr="00D03365">
        <w:rPr>
          <w:rFonts w:ascii="Times New Roman" w:hAnsi="Times New Roman" w:cs="Times New Roman"/>
          <w:sz w:val="24"/>
          <w:szCs w:val="24"/>
        </w:rPr>
        <w:t>, including up to $655 million in costs to employees</w:t>
      </w:r>
      <w:r w:rsidR="006F1921" w:rsidRPr="00B12A65">
        <w:rPr>
          <w:rFonts w:ascii="Times New Roman" w:hAnsi="Times New Roman" w:cs="Times New Roman"/>
          <w:sz w:val="24"/>
          <w:szCs w:val="24"/>
        </w:rPr>
        <w:t>.</w:t>
      </w:r>
      <w:r w:rsidR="00F35B03">
        <w:rPr>
          <w:rFonts w:ascii="Times New Roman" w:hAnsi="Times New Roman" w:cs="Times New Roman"/>
          <w:sz w:val="24"/>
          <w:szCs w:val="24"/>
        </w:rPr>
        <w:t xml:space="preserve"> A</w:t>
      </w:r>
      <w:r w:rsidR="006F1921" w:rsidRPr="00B12A65">
        <w:rPr>
          <w:rFonts w:ascii="Times New Roman" w:hAnsi="Times New Roman" w:cs="Times New Roman"/>
          <w:sz w:val="24"/>
          <w:szCs w:val="24"/>
        </w:rPr>
        <w:t xml:space="preserve">lthough precise quantification of </w:t>
      </w:r>
      <w:r w:rsidR="00EE06A9">
        <w:rPr>
          <w:rFonts w:ascii="Times New Roman" w:hAnsi="Times New Roman" w:cs="Times New Roman"/>
          <w:sz w:val="24"/>
          <w:szCs w:val="24"/>
        </w:rPr>
        <w:t>illegal</w:t>
      </w:r>
      <w:r w:rsidR="006F1921" w:rsidRPr="00B12A65">
        <w:rPr>
          <w:rFonts w:ascii="Times New Roman" w:hAnsi="Times New Roman" w:cs="Times New Roman"/>
          <w:sz w:val="24"/>
          <w:szCs w:val="24"/>
        </w:rPr>
        <w:t xml:space="preserve"> phoenix activity is not possible due to a lack of available data, it is nonetheless a significant problem that justifies the commitment of substantial government resources.</w:t>
      </w:r>
      <w:r w:rsidR="008D59AC">
        <w:rPr>
          <w:rStyle w:val="FootnoteReference"/>
          <w:rFonts w:ascii="Times New Roman" w:hAnsi="Times New Roman" w:cs="Times New Roman"/>
          <w:sz w:val="24"/>
          <w:szCs w:val="24"/>
        </w:rPr>
        <w:footnoteReference w:id="17"/>
      </w:r>
    </w:p>
    <w:p w14:paraId="5C694EAC" w14:textId="11F6E621" w:rsidR="00106BDB" w:rsidRDefault="008D59AC" w:rsidP="00106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br/>
      </w:r>
      <w:r w:rsidR="00106BDB">
        <w:rPr>
          <w:rFonts w:ascii="Times New Roman" w:hAnsi="Times New Roman" w:cs="Times New Roman"/>
          <w:sz w:val="24"/>
          <w:szCs w:val="24"/>
        </w:rPr>
        <w:t>A number of our recommendations have been adopted by the Australian Labor Party,</w:t>
      </w:r>
      <w:r w:rsidR="00106BDB" w:rsidRPr="009741B4">
        <w:rPr>
          <w:rStyle w:val="FootnoteReference"/>
          <w:rFonts w:ascii="Times New Roman" w:hAnsi="Times New Roman" w:cs="Times New Roman"/>
          <w:sz w:val="24"/>
          <w:szCs w:val="24"/>
        </w:rPr>
        <w:footnoteReference w:id="18"/>
      </w:r>
      <w:r w:rsidR="00106BDB" w:rsidRPr="009741B4">
        <w:rPr>
          <w:rStyle w:val="FootnoteReference"/>
        </w:rPr>
        <w:t xml:space="preserve"> </w:t>
      </w:r>
      <w:r w:rsidR="00106BDB">
        <w:rPr>
          <w:rFonts w:ascii="Times New Roman" w:hAnsi="Times New Roman" w:cs="Times New Roman"/>
          <w:sz w:val="24"/>
          <w:szCs w:val="24"/>
        </w:rPr>
        <w:t>including:</w:t>
      </w:r>
    </w:p>
    <w:p w14:paraId="5C793B69" w14:textId="68D0B500" w:rsidR="00695BED" w:rsidRPr="00106BDB" w:rsidRDefault="00106BDB" w:rsidP="00106BDB">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requiring</w:t>
      </w:r>
      <w:r w:rsidR="008D59AC" w:rsidRPr="00106BDB">
        <w:rPr>
          <w:rFonts w:ascii="Times New Roman" w:hAnsi="Times New Roman" w:cs="Times New Roman"/>
          <w:sz w:val="24"/>
          <w:szCs w:val="24"/>
        </w:rPr>
        <w:t xml:space="preserve"> all company directors to obtain a unique Director Identification Number </w:t>
      </w:r>
      <w:r>
        <w:rPr>
          <w:rFonts w:ascii="Times New Roman" w:hAnsi="Times New Roman" w:cs="Times New Roman"/>
          <w:sz w:val="24"/>
          <w:szCs w:val="24"/>
        </w:rPr>
        <w:t xml:space="preserve">(DIN) </w:t>
      </w:r>
      <w:r w:rsidR="008D59AC" w:rsidRPr="00106BDB">
        <w:rPr>
          <w:rFonts w:ascii="Times New Roman" w:hAnsi="Times New Roman" w:cs="Times New Roman"/>
          <w:sz w:val="24"/>
          <w:szCs w:val="24"/>
        </w:rPr>
        <w:t xml:space="preserve">with a </w:t>
      </w:r>
      <w:r>
        <w:rPr>
          <w:rFonts w:ascii="Times New Roman" w:hAnsi="Times New Roman" w:cs="Times New Roman"/>
          <w:sz w:val="24"/>
          <w:szCs w:val="24"/>
        </w:rPr>
        <w:t>100-point identification check;</w:t>
      </w:r>
    </w:p>
    <w:p w14:paraId="232EAE6A" w14:textId="29BCB118" w:rsidR="00695BED" w:rsidRDefault="00106BDB" w:rsidP="00D0336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increasing</w:t>
      </w:r>
      <w:r w:rsidR="008D59AC" w:rsidRPr="00D03365">
        <w:rPr>
          <w:rFonts w:ascii="Times New Roman" w:hAnsi="Times New Roman" w:cs="Times New Roman"/>
          <w:sz w:val="24"/>
          <w:szCs w:val="24"/>
        </w:rPr>
        <w:t xml:space="preserve"> penalties associated with phoenix activity</w:t>
      </w:r>
      <w:r>
        <w:rPr>
          <w:rFonts w:ascii="Times New Roman" w:hAnsi="Times New Roman" w:cs="Times New Roman"/>
          <w:sz w:val="24"/>
          <w:szCs w:val="24"/>
        </w:rPr>
        <w:t>;</w:t>
      </w:r>
    </w:p>
    <w:p w14:paraId="6E555F62" w14:textId="46E2B55E" w:rsidR="00695BED" w:rsidRDefault="00106BDB" w:rsidP="00D0336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introducing</w:t>
      </w:r>
      <w:r w:rsidR="008D59AC" w:rsidRPr="00D03365">
        <w:rPr>
          <w:rFonts w:ascii="Times New Roman" w:hAnsi="Times New Roman" w:cs="Times New Roman"/>
          <w:sz w:val="24"/>
          <w:szCs w:val="24"/>
        </w:rPr>
        <w:t xml:space="preserve"> an objective test for transactions depriving employees of their entitlements</w:t>
      </w:r>
      <w:r>
        <w:rPr>
          <w:rFonts w:ascii="Times New Roman" w:hAnsi="Times New Roman" w:cs="Times New Roman"/>
          <w:sz w:val="24"/>
          <w:szCs w:val="24"/>
        </w:rPr>
        <w:t>, as discussed earlier in this submission;</w:t>
      </w:r>
    </w:p>
    <w:p w14:paraId="21FE62E0" w14:textId="2824CD9C" w:rsidR="00695BED" w:rsidRDefault="00106BDB" w:rsidP="00D03365">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clarifying</w:t>
      </w:r>
      <w:r w:rsidR="008D59AC" w:rsidRPr="00D03365">
        <w:rPr>
          <w:rFonts w:ascii="Times New Roman" w:hAnsi="Times New Roman" w:cs="Times New Roman"/>
          <w:sz w:val="24"/>
          <w:szCs w:val="24"/>
        </w:rPr>
        <w:t xml:space="preserve"> the availability of compensation orders against accessories</w:t>
      </w:r>
      <w:r w:rsidR="009741B4">
        <w:rPr>
          <w:rFonts w:ascii="Times New Roman" w:hAnsi="Times New Roman" w:cs="Times New Roman"/>
          <w:sz w:val="24"/>
          <w:szCs w:val="24"/>
        </w:rPr>
        <w:t>.</w:t>
      </w:r>
    </w:p>
    <w:p w14:paraId="1C794A48" w14:textId="77777777" w:rsidR="00695BED" w:rsidRPr="00D03365" w:rsidRDefault="00695BED" w:rsidP="00D03365">
      <w:pPr>
        <w:pStyle w:val="ListParagraph"/>
        <w:spacing w:after="0" w:line="240" w:lineRule="auto"/>
        <w:ind w:left="780"/>
        <w:jc w:val="both"/>
        <w:rPr>
          <w:rFonts w:ascii="Times New Roman" w:hAnsi="Times New Roman" w:cs="Times New Roman"/>
          <w:sz w:val="24"/>
          <w:szCs w:val="24"/>
        </w:rPr>
      </w:pPr>
    </w:p>
    <w:p w14:paraId="4E6646B7" w14:textId="55EDF15D" w:rsidR="008E29D6" w:rsidRDefault="00AD7D32" w:rsidP="006F19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proposal to introduce a 100-point identity check </w:t>
      </w:r>
      <w:r w:rsidR="001E12CF">
        <w:rPr>
          <w:rFonts w:ascii="Times New Roman" w:hAnsi="Times New Roman" w:cs="Times New Roman"/>
          <w:sz w:val="24"/>
          <w:szCs w:val="24"/>
        </w:rPr>
        <w:t xml:space="preserve">and </w:t>
      </w:r>
      <w:r>
        <w:rPr>
          <w:rFonts w:ascii="Times New Roman" w:hAnsi="Times New Roman" w:cs="Times New Roman"/>
          <w:sz w:val="24"/>
          <w:szCs w:val="24"/>
        </w:rPr>
        <w:t>Director Identification Number</w:t>
      </w:r>
      <w:r w:rsidR="00695BED">
        <w:rPr>
          <w:rFonts w:ascii="Times New Roman" w:hAnsi="Times New Roman" w:cs="Times New Roman"/>
          <w:sz w:val="24"/>
          <w:szCs w:val="24"/>
        </w:rPr>
        <w:t xml:space="preserve"> </w:t>
      </w:r>
      <w:r>
        <w:rPr>
          <w:rFonts w:ascii="Times New Roman" w:hAnsi="Times New Roman" w:cs="Times New Roman"/>
          <w:sz w:val="24"/>
          <w:szCs w:val="24"/>
        </w:rPr>
        <w:t>is a</w:t>
      </w:r>
      <w:r w:rsidR="00AF4327">
        <w:rPr>
          <w:rFonts w:ascii="Times New Roman" w:hAnsi="Times New Roman" w:cs="Times New Roman"/>
          <w:sz w:val="24"/>
          <w:szCs w:val="24"/>
        </w:rPr>
        <w:t>n</w:t>
      </w:r>
      <w:r>
        <w:rPr>
          <w:rFonts w:ascii="Times New Roman" w:hAnsi="Times New Roman" w:cs="Times New Roman"/>
          <w:sz w:val="24"/>
          <w:szCs w:val="24"/>
        </w:rPr>
        <w:t xml:space="preserve"> urgently needed reform</w:t>
      </w:r>
      <w:r w:rsidR="009741B4">
        <w:rPr>
          <w:rFonts w:ascii="Times New Roman" w:hAnsi="Times New Roman" w:cs="Times New Roman"/>
          <w:sz w:val="24"/>
          <w:szCs w:val="24"/>
        </w:rPr>
        <w:t xml:space="preserve">. It will greatly enhance data gathering about directors and their failed companies by ASIC and this data can then be shared with other agencies with enforcement powers including the ATO and FWO. Importantly it will </w:t>
      </w:r>
      <w:r>
        <w:rPr>
          <w:rFonts w:ascii="Times New Roman" w:hAnsi="Times New Roman" w:cs="Times New Roman"/>
          <w:sz w:val="24"/>
          <w:szCs w:val="24"/>
        </w:rPr>
        <w:t>ensure that illegal phoenix operators cannot escape detection by creating false identities</w:t>
      </w:r>
      <w:r w:rsidR="00695BED">
        <w:rPr>
          <w:rFonts w:ascii="Times New Roman" w:hAnsi="Times New Roman" w:cs="Times New Roman"/>
          <w:sz w:val="24"/>
          <w:szCs w:val="24"/>
        </w:rPr>
        <w:t xml:space="preserve">. </w:t>
      </w:r>
      <w:r w:rsidR="00925921">
        <w:rPr>
          <w:rFonts w:ascii="Times New Roman" w:hAnsi="Times New Roman" w:cs="Times New Roman"/>
          <w:sz w:val="24"/>
          <w:szCs w:val="24"/>
        </w:rPr>
        <w:t>Our view is that t</w:t>
      </w:r>
      <w:r w:rsidR="00695BED">
        <w:rPr>
          <w:rFonts w:ascii="Times New Roman" w:hAnsi="Times New Roman" w:cs="Times New Roman"/>
          <w:sz w:val="24"/>
          <w:szCs w:val="24"/>
        </w:rPr>
        <w:t xml:space="preserve">his reform would </w:t>
      </w:r>
      <w:r w:rsidR="00FD6F26">
        <w:rPr>
          <w:rFonts w:ascii="Times New Roman" w:hAnsi="Times New Roman" w:cs="Times New Roman"/>
          <w:sz w:val="24"/>
          <w:szCs w:val="24"/>
        </w:rPr>
        <w:t>substantially</w:t>
      </w:r>
      <w:r w:rsidR="003866E0">
        <w:rPr>
          <w:rFonts w:ascii="Times New Roman" w:hAnsi="Times New Roman" w:cs="Times New Roman"/>
          <w:sz w:val="24"/>
          <w:szCs w:val="24"/>
        </w:rPr>
        <w:t xml:space="preserve"> reduce</w:t>
      </w:r>
      <w:r w:rsidR="00FD6F26">
        <w:rPr>
          <w:rFonts w:ascii="Times New Roman" w:hAnsi="Times New Roman" w:cs="Times New Roman"/>
          <w:sz w:val="24"/>
          <w:szCs w:val="24"/>
        </w:rPr>
        <w:t xml:space="preserve"> illegal</w:t>
      </w:r>
      <w:r>
        <w:rPr>
          <w:rFonts w:ascii="Times New Roman" w:hAnsi="Times New Roman" w:cs="Times New Roman"/>
          <w:sz w:val="24"/>
          <w:szCs w:val="24"/>
        </w:rPr>
        <w:t xml:space="preserve"> phoenix</w:t>
      </w:r>
      <w:r w:rsidR="00925921">
        <w:rPr>
          <w:rFonts w:ascii="Times New Roman" w:hAnsi="Times New Roman" w:cs="Times New Roman"/>
          <w:sz w:val="24"/>
          <w:szCs w:val="24"/>
        </w:rPr>
        <w:t xml:space="preserve"> activity and </w:t>
      </w:r>
      <w:r w:rsidR="00F14CF2">
        <w:rPr>
          <w:rFonts w:ascii="Times New Roman" w:hAnsi="Times New Roman" w:cs="Times New Roman"/>
          <w:sz w:val="24"/>
          <w:szCs w:val="24"/>
        </w:rPr>
        <w:t>inappropriate</w:t>
      </w:r>
      <w:r>
        <w:rPr>
          <w:rFonts w:ascii="Times New Roman" w:hAnsi="Times New Roman" w:cs="Times New Roman"/>
          <w:sz w:val="24"/>
          <w:szCs w:val="24"/>
        </w:rPr>
        <w:t xml:space="preserve"> reliance on </w:t>
      </w:r>
      <w:r w:rsidR="002216ED">
        <w:rPr>
          <w:rFonts w:ascii="Times New Roman" w:hAnsi="Times New Roman" w:cs="Times New Roman"/>
          <w:sz w:val="24"/>
          <w:szCs w:val="24"/>
        </w:rPr>
        <w:t xml:space="preserve">the </w:t>
      </w:r>
      <w:r>
        <w:rPr>
          <w:rFonts w:ascii="Times New Roman" w:hAnsi="Times New Roman" w:cs="Times New Roman"/>
          <w:sz w:val="24"/>
          <w:szCs w:val="24"/>
        </w:rPr>
        <w:t xml:space="preserve">FEG. </w:t>
      </w:r>
      <w:r w:rsidR="00695BED">
        <w:rPr>
          <w:rFonts w:ascii="Times New Roman" w:hAnsi="Times New Roman" w:cs="Times New Roman"/>
          <w:sz w:val="24"/>
          <w:szCs w:val="24"/>
        </w:rPr>
        <w:t>This proposal has been support</w:t>
      </w:r>
      <w:r w:rsidR="00B17466">
        <w:rPr>
          <w:rFonts w:ascii="Times New Roman" w:hAnsi="Times New Roman" w:cs="Times New Roman"/>
          <w:sz w:val="24"/>
          <w:szCs w:val="24"/>
        </w:rPr>
        <w:t xml:space="preserve">ed </w:t>
      </w:r>
      <w:r w:rsidR="009741B4">
        <w:rPr>
          <w:rFonts w:ascii="Times New Roman" w:hAnsi="Times New Roman" w:cs="Times New Roman"/>
          <w:sz w:val="24"/>
          <w:szCs w:val="24"/>
        </w:rPr>
        <w:t>widely</w:t>
      </w:r>
      <w:r w:rsidR="00695BED">
        <w:rPr>
          <w:rFonts w:ascii="Times New Roman" w:hAnsi="Times New Roman" w:cs="Times New Roman"/>
          <w:sz w:val="24"/>
          <w:szCs w:val="24"/>
        </w:rPr>
        <w:t>, including</w:t>
      </w:r>
      <w:r w:rsidR="009741B4">
        <w:rPr>
          <w:rFonts w:ascii="Times New Roman" w:hAnsi="Times New Roman" w:cs="Times New Roman"/>
          <w:sz w:val="24"/>
          <w:szCs w:val="24"/>
        </w:rPr>
        <w:t xml:space="preserve"> by</w:t>
      </w:r>
      <w:r w:rsidR="00695BED">
        <w:rPr>
          <w:rFonts w:ascii="Times New Roman" w:hAnsi="Times New Roman" w:cs="Times New Roman"/>
          <w:sz w:val="24"/>
          <w:szCs w:val="24"/>
        </w:rPr>
        <w:t>:</w:t>
      </w:r>
    </w:p>
    <w:p w14:paraId="66E9B2B5" w14:textId="77777777" w:rsidR="00AD7D32" w:rsidRPr="00B04327" w:rsidRDefault="00AD7D32" w:rsidP="00AD7D32">
      <w:pPr>
        <w:pStyle w:val="ListParagraph"/>
        <w:numPr>
          <w:ilvl w:val="0"/>
          <w:numId w:val="3"/>
        </w:numPr>
        <w:spacing w:after="0" w:line="240" w:lineRule="auto"/>
        <w:jc w:val="both"/>
        <w:rPr>
          <w:rFonts w:ascii="Times New Roman" w:hAnsi="Times New Roman" w:cs="Times New Roman"/>
          <w:sz w:val="24"/>
          <w:szCs w:val="24"/>
        </w:rPr>
      </w:pPr>
      <w:r w:rsidRPr="00B04327">
        <w:rPr>
          <w:rFonts w:ascii="Times New Roman" w:hAnsi="Times New Roman" w:cs="Times New Roman"/>
          <w:sz w:val="24"/>
          <w:szCs w:val="24"/>
        </w:rPr>
        <w:t>the Productivity Commission inquiry into business set-up, transfer and closure;</w:t>
      </w:r>
      <w:bookmarkStart w:id="5" w:name="_Ref482357842"/>
      <w:r w:rsidRPr="00B04327">
        <w:rPr>
          <w:rStyle w:val="FootnoteReference"/>
          <w:rFonts w:ascii="Times New Roman" w:hAnsi="Times New Roman" w:cs="Times New Roman"/>
          <w:sz w:val="24"/>
          <w:szCs w:val="24"/>
        </w:rPr>
        <w:footnoteReference w:id="19"/>
      </w:r>
      <w:bookmarkEnd w:id="5"/>
    </w:p>
    <w:p w14:paraId="2E79AD7C" w14:textId="77777777" w:rsidR="00AD7D32" w:rsidRDefault="00AD7D32" w:rsidP="00AD7D3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Productivity Commission inquiry into the workplace relations framework;</w:t>
      </w:r>
      <w:r>
        <w:rPr>
          <w:rStyle w:val="FootnoteReference"/>
          <w:rFonts w:ascii="Times New Roman" w:hAnsi="Times New Roman" w:cs="Times New Roman"/>
          <w:sz w:val="24"/>
          <w:szCs w:val="24"/>
        </w:rPr>
        <w:footnoteReference w:id="20"/>
      </w:r>
    </w:p>
    <w:p w14:paraId="0D013ED3" w14:textId="77777777" w:rsidR="00AD7D32" w:rsidRPr="00B04327" w:rsidRDefault="00AD7D32" w:rsidP="00AD7D32">
      <w:pPr>
        <w:pStyle w:val="ListParagraph"/>
        <w:numPr>
          <w:ilvl w:val="0"/>
          <w:numId w:val="3"/>
        </w:numPr>
        <w:spacing w:after="0" w:line="240" w:lineRule="auto"/>
        <w:jc w:val="both"/>
        <w:rPr>
          <w:rFonts w:ascii="Times New Roman" w:hAnsi="Times New Roman" w:cs="Times New Roman"/>
          <w:sz w:val="24"/>
          <w:szCs w:val="24"/>
        </w:rPr>
      </w:pPr>
      <w:r w:rsidRPr="00B04327">
        <w:rPr>
          <w:rFonts w:ascii="Times New Roman" w:hAnsi="Times New Roman" w:cs="Times New Roman"/>
          <w:sz w:val="24"/>
          <w:szCs w:val="24"/>
        </w:rPr>
        <w:t>the Senate Economics References Committee inquiry into insolvency in the Australian construction industry;</w:t>
      </w:r>
      <w:bookmarkStart w:id="6" w:name="_Ref482357805"/>
      <w:r w:rsidRPr="00B04327">
        <w:rPr>
          <w:rStyle w:val="FootnoteReference"/>
          <w:rFonts w:ascii="Times New Roman" w:hAnsi="Times New Roman" w:cs="Times New Roman"/>
          <w:sz w:val="24"/>
          <w:szCs w:val="24"/>
        </w:rPr>
        <w:footnoteReference w:id="21"/>
      </w:r>
      <w:bookmarkEnd w:id="6"/>
    </w:p>
    <w:p w14:paraId="03D3D0CA" w14:textId="77777777" w:rsidR="00AD7D32" w:rsidRPr="00B04327" w:rsidRDefault="00AD7D32" w:rsidP="00AD7D32">
      <w:pPr>
        <w:pStyle w:val="ListParagraph"/>
        <w:numPr>
          <w:ilvl w:val="0"/>
          <w:numId w:val="3"/>
        </w:numPr>
        <w:spacing w:after="0" w:line="240" w:lineRule="auto"/>
        <w:jc w:val="both"/>
        <w:rPr>
          <w:rFonts w:ascii="Times New Roman" w:hAnsi="Times New Roman" w:cs="Times New Roman"/>
          <w:sz w:val="24"/>
          <w:szCs w:val="24"/>
        </w:rPr>
      </w:pPr>
      <w:r w:rsidRPr="00B04327">
        <w:rPr>
          <w:rFonts w:ascii="Times New Roman" w:hAnsi="Times New Roman" w:cs="Times New Roman"/>
          <w:sz w:val="24"/>
          <w:szCs w:val="24"/>
        </w:rPr>
        <w:t>the Senate Economics References Committee inquiry into corporate tax avoidance;</w:t>
      </w:r>
      <w:r w:rsidRPr="00B04327">
        <w:rPr>
          <w:rStyle w:val="FootnoteReference"/>
          <w:rFonts w:ascii="Times New Roman" w:hAnsi="Times New Roman" w:cs="Times New Roman"/>
          <w:sz w:val="24"/>
          <w:szCs w:val="24"/>
        </w:rPr>
        <w:footnoteReference w:id="22"/>
      </w:r>
    </w:p>
    <w:p w14:paraId="6FFD8855" w14:textId="77777777" w:rsidR="00AD7D32" w:rsidRPr="00B04327" w:rsidRDefault="00AD7D32" w:rsidP="00AD7D32">
      <w:pPr>
        <w:pStyle w:val="ListParagraph"/>
        <w:numPr>
          <w:ilvl w:val="0"/>
          <w:numId w:val="3"/>
        </w:numPr>
        <w:spacing w:after="0" w:line="240" w:lineRule="auto"/>
        <w:jc w:val="both"/>
        <w:rPr>
          <w:rFonts w:ascii="Times New Roman" w:hAnsi="Times New Roman" w:cs="Times New Roman"/>
          <w:sz w:val="24"/>
          <w:szCs w:val="24"/>
        </w:rPr>
      </w:pPr>
      <w:r w:rsidRPr="00B04327">
        <w:rPr>
          <w:rFonts w:ascii="Times New Roman" w:hAnsi="Times New Roman" w:cs="Times New Roman"/>
          <w:sz w:val="24"/>
          <w:szCs w:val="24"/>
        </w:rPr>
        <w:t>the Senate Economics References Committee inquiry into superannuation guarantee non-payment;</w:t>
      </w:r>
      <w:r w:rsidRPr="00B04327">
        <w:rPr>
          <w:rStyle w:val="FootnoteReference"/>
          <w:rFonts w:ascii="Times New Roman" w:hAnsi="Times New Roman" w:cs="Times New Roman"/>
          <w:sz w:val="24"/>
          <w:szCs w:val="24"/>
        </w:rPr>
        <w:footnoteReference w:id="23"/>
      </w:r>
    </w:p>
    <w:p w14:paraId="6C64127F" w14:textId="2BB71132" w:rsidR="00AD7D32" w:rsidRPr="00B04327" w:rsidRDefault="00AD7D32" w:rsidP="00AD7D32">
      <w:pPr>
        <w:pStyle w:val="ListParagraph"/>
        <w:numPr>
          <w:ilvl w:val="0"/>
          <w:numId w:val="3"/>
        </w:numPr>
        <w:spacing w:after="0" w:line="240" w:lineRule="auto"/>
        <w:jc w:val="both"/>
        <w:rPr>
          <w:rFonts w:ascii="Times New Roman" w:hAnsi="Times New Roman" w:cs="Times New Roman"/>
          <w:sz w:val="24"/>
          <w:szCs w:val="24"/>
        </w:rPr>
      </w:pPr>
      <w:r w:rsidRPr="00B04327">
        <w:rPr>
          <w:rFonts w:ascii="Times New Roman" w:hAnsi="Times New Roman" w:cs="Times New Roman"/>
          <w:sz w:val="24"/>
          <w:szCs w:val="24"/>
        </w:rPr>
        <w:t>the Australian Restructuring, Insolvency and Turnaround Association (‘ARITA’);</w:t>
      </w:r>
      <w:r w:rsidRPr="00B04327">
        <w:rPr>
          <w:rStyle w:val="FootnoteReference"/>
          <w:rFonts w:ascii="Times New Roman" w:hAnsi="Times New Roman" w:cs="Times New Roman"/>
          <w:sz w:val="24"/>
          <w:szCs w:val="24"/>
        </w:rPr>
        <w:footnoteReference w:id="24"/>
      </w:r>
      <w:r w:rsidRPr="00B04327">
        <w:rPr>
          <w:rFonts w:ascii="Times New Roman" w:hAnsi="Times New Roman" w:cs="Times New Roman"/>
          <w:sz w:val="24"/>
          <w:szCs w:val="24"/>
        </w:rPr>
        <w:t xml:space="preserve"> </w:t>
      </w:r>
    </w:p>
    <w:p w14:paraId="56268873" w14:textId="119B148C" w:rsidR="00AD7D32" w:rsidRDefault="00AD7D32" w:rsidP="00AD7D32">
      <w:pPr>
        <w:pStyle w:val="ListParagraph"/>
        <w:numPr>
          <w:ilvl w:val="0"/>
          <w:numId w:val="3"/>
        </w:numPr>
        <w:spacing w:after="0" w:line="240" w:lineRule="auto"/>
        <w:jc w:val="both"/>
        <w:rPr>
          <w:rFonts w:ascii="Times New Roman" w:hAnsi="Times New Roman" w:cs="Times New Roman"/>
          <w:sz w:val="24"/>
          <w:szCs w:val="24"/>
        </w:rPr>
      </w:pPr>
      <w:r w:rsidRPr="00B04327">
        <w:rPr>
          <w:rFonts w:ascii="Times New Roman" w:hAnsi="Times New Roman" w:cs="Times New Roman"/>
          <w:sz w:val="24"/>
          <w:szCs w:val="24"/>
        </w:rPr>
        <w:t>Governance Institute of Australia (‘GIA’)</w:t>
      </w:r>
      <w:r>
        <w:rPr>
          <w:rFonts w:ascii="Times New Roman" w:hAnsi="Times New Roman" w:cs="Times New Roman"/>
          <w:sz w:val="24"/>
          <w:szCs w:val="24"/>
        </w:rPr>
        <w:t>;</w:t>
      </w:r>
      <w:r w:rsidRPr="00B04327">
        <w:rPr>
          <w:rStyle w:val="FootnoteReference"/>
          <w:rFonts w:ascii="Times New Roman" w:hAnsi="Times New Roman" w:cs="Times New Roman"/>
          <w:sz w:val="24"/>
          <w:szCs w:val="24"/>
        </w:rPr>
        <w:footnoteReference w:id="25"/>
      </w:r>
    </w:p>
    <w:p w14:paraId="05700153" w14:textId="29F86302" w:rsidR="00AD7D32" w:rsidRDefault="00814009" w:rsidP="00AD7D3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Australian Institute of Company Directors (‘AICD’);</w:t>
      </w:r>
      <w:r>
        <w:rPr>
          <w:rStyle w:val="FootnoteReference"/>
          <w:rFonts w:ascii="Times New Roman" w:hAnsi="Times New Roman" w:cs="Times New Roman"/>
          <w:sz w:val="24"/>
          <w:szCs w:val="24"/>
        </w:rPr>
        <w:footnoteReference w:id="26"/>
      </w:r>
    </w:p>
    <w:p w14:paraId="38FB1267" w14:textId="6B3E647B" w:rsidR="0022369F" w:rsidRDefault="0022369F" w:rsidP="00AD7D3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Australian Small Business and Family Enterprise Ombudsman;</w:t>
      </w:r>
      <w:r>
        <w:rPr>
          <w:rStyle w:val="FootnoteReference"/>
          <w:rFonts w:ascii="Times New Roman" w:hAnsi="Times New Roman" w:cs="Times New Roman"/>
          <w:sz w:val="24"/>
          <w:szCs w:val="24"/>
        </w:rPr>
        <w:footnoteReference w:id="27"/>
      </w:r>
    </w:p>
    <w:p w14:paraId="53A1A776" w14:textId="2A1EBDA0" w:rsidR="0022369F" w:rsidRDefault="0022369F" w:rsidP="00AD7D3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Australian Chamber of Commerce and Industry;</w:t>
      </w:r>
      <w:r>
        <w:rPr>
          <w:rStyle w:val="FootnoteReference"/>
          <w:rFonts w:ascii="Times New Roman" w:hAnsi="Times New Roman" w:cs="Times New Roman"/>
          <w:sz w:val="24"/>
          <w:szCs w:val="24"/>
        </w:rPr>
        <w:footnoteReference w:id="28"/>
      </w:r>
    </w:p>
    <w:p w14:paraId="785D66DB" w14:textId="6F45E165" w:rsidR="0022369F" w:rsidRDefault="0022369F" w:rsidP="00AD7D3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Builders Australia;</w:t>
      </w:r>
      <w:r>
        <w:rPr>
          <w:rStyle w:val="FootnoteReference"/>
          <w:rFonts w:ascii="Times New Roman" w:hAnsi="Times New Roman" w:cs="Times New Roman"/>
          <w:sz w:val="24"/>
          <w:szCs w:val="24"/>
        </w:rPr>
        <w:footnoteReference w:id="29"/>
      </w:r>
      <w:r w:rsidR="007418B2">
        <w:rPr>
          <w:rFonts w:ascii="Times New Roman" w:hAnsi="Times New Roman" w:cs="Times New Roman"/>
          <w:sz w:val="24"/>
          <w:szCs w:val="24"/>
        </w:rPr>
        <w:t xml:space="preserve"> </w:t>
      </w:r>
    </w:p>
    <w:p w14:paraId="385A573D" w14:textId="4D0BD26B" w:rsidR="0022369F" w:rsidRDefault="0022369F" w:rsidP="00AD7D3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Australian Council of Trade Unions;</w:t>
      </w:r>
      <w:r>
        <w:rPr>
          <w:rStyle w:val="FootnoteReference"/>
          <w:rFonts w:ascii="Times New Roman" w:hAnsi="Times New Roman" w:cs="Times New Roman"/>
          <w:sz w:val="24"/>
          <w:szCs w:val="24"/>
        </w:rPr>
        <w:footnoteReference w:id="30"/>
      </w:r>
      <w:r w:rsidR="007418B2">
        <w:rPr>
          <w:rFonts w:ascii="Times New Roman" w:hAnsi="Times New Roman" w:cs="Times New Roman"/>
          <w:sz w:val="24"/>
          <w:szCs w:val="24"/>
        </w:rPr>
        <w:t xml:space="preserve"> and</w:t>
      </w:r>
    </w:p>
    <w:p w14:paraId="59942691" w14:textId="0D64B376" w:rsidR="007418B2" w:rsidRDefault="007418B2" w:rsidP="00AD7D3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of Taxation, Chris Jordan AO.</w:t>
      </w:r>
      <w:r>
        <w:rPr>
          <w:rStyle w:val="FootnoteReference"/>
          <w:rFonts w:ascii="Times New Roman" w:hAnsi="Times New Roman" w:cs="Times New Roman"/>
          <w:sz w:val="24"/>
          <w:szCs w:val="24"/>
        </w:rPr>
        <w:footnoteReference w:id="31"/>
      </w:r>
    </w:p>
    <w:p w14:paraId="10135B73" w14:textId="124D2AAE" w:rsidR="00AD7D32" w:rsidRDefault="00AD7D32" w:rsidP="006F1921">
      <w:pPr>
        <w:spacing w:after="0" w:line="240" w:lineRule="auto"/>
        <w:jc w:val="both"/>
        <w:rPr>
          <w:rFonts w:ascii="Times New Roman" w:hAnsi="Times New Roman" w:cs="Times New Roman"/>
          <w:sz w:val="24"/>
          <w:szCs w:val="24"/>
        </w:rPr>
      </w:pPr>
    </w:p>
    <w:p w14:paraId="0ECD1F4F" w14:textId="3A1B76FB" w:rsidR="00463164" w:rsidRDefault="00463164" w:rsidP="00463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w:t>
      </w:r>
      <w:r w:rsidRPr="00327676">
        <w:rPr>
          <w:rFonts w:ascii="Times New Roman" w:hAnsi="Times New Roman" w:cs="Times New Roman"/>
          <w:sz w:val="24"/>
          <w:szCs w:val="24"/>
        </w:rPr>
        <w:t xml:space="preserve"> concluded that </w:t>
      </w:r>
      <w:r w:rsidR="00EE06A9">
        <w:rPr>
          <w:rFonts w:ascii="Times New Roman" w:hAnsi="Times New Roman" w:cs="Times New Roman"/>
          <w:sz w:val="24"/>
          <w:szCs w:val="24"/>
        </w:rPr>
        <w:t xml:space="preserve">illegal </w:t>
      </w:r>
      <w:r>
        <w:rPr>
          <w:rFonts w:ascii="Times New Roman" w:hAnsi="Times New Roman" w:cs="Times New Roman"/>
          <w:sz w:val="24"/>
          <w:szCs w:val="24"/>
        </w:rPr>
        <w:t xml:space="preserve">phoenix activity is prevalent because it is largely invisible, easy to carry out, and often very profitable. The recommendations in our </w:t>
      </w:r>
      <w:hyperlink r:id="rId12" w:history="1">
        <w:r w:rsidRPr="00F95963">
          <w:rPr>
            <w:rStyle w:val="Hyperlink"/>
            <w:rFonts w:ascii="Times New Roman" w:hAnsi="Times New Roman"/>
            <w:sz w:val="24"/>
            <w:szCs w:val="24"/>
          </w:rPr>
          <w:t>final report</w:t>
        </w:r>
      </w:hyperlink>
      <w:r>
        <w:rPr>
          <w:rFonts w:ascii="Times New Roman" w:hAnsi="Times New Roman" w:cs="Times New Roman"/>
          <w:sz w:val="24"/>
          <w:szCs w:val="24"/>
        </w:rPr>
        <w:t xml:space="preserve"> aim to counteract each of these drivers. The following is a brief summary of the recommendations, some of which have already been discussed in more detail above. For further information on each recommendation, please refer to the corresponding section of the </w:t>
      </w:r>
      <w:hyperlink r:id="rId13" w:history="1">
        <w:r w:rsidRPr="00161EA0">
          <w:rPr>
            <w:rStyle w:val="Hyperlink"/>
            <w:rFonts w:ascii="Times New Roman" w:hAnsi="Times New Roman"/>
            <w:sz w:val="24"/>
            <w:szCs w:val="24"/>
          </w:rPr>
          <w:t>full report</w:t>
        </w:r>
      </w:hyperlink>
      <w:r>
        <w:rPr>
          <w:rFonts w:ascii="Times New Roman" w:hAnsi="Times New Roman" w:cs="Times New Roman"/>
          <w:sz w:val="24"/>
          <w:szCs w:val="24"/>
        </w:rPr>
        <w:t>.</w:t>
      </w:r>
    </w:p>
    <w:p w14:paraId="0A72601F" w14:textId="5E1E4609" w:rsidR="00D61B71" w:rsidRDefault="00D61B71" w:rsidP="00D03365">
      <w:pPr>
        <w:spacing w:after="0" w:line="240" w:lineRule="auto"/>
        <w:jc w:val="both"/>
        <w:rPr>
          <w:rFonts w:ascii="Times New Roman" w:hAnsi="Times New Roman" w:cs="Times New Roman"/>
          <w:sz w:val="24"/>
          <w:szCs w:val="24"/>
        </w:rPr>
      </w:pPr>
    </w:p>
    <w:p w14:paraId="7158AA2D" w14:textId="650EF8F9" w:rsidR="008E29D6" w:rsidRDefault="008E29D6" w:rsidP="00D033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make phoenix activity more visible, we recommend that:</w:t>
      </w:r>
    </w:p>
    <w:p w14:paraId="7185790E" w14:textId="762B5B3A"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directors obtain password-protected director identification numbers (DINs) after proving their identity with 100 points of identification;</w:t>
      </w:r>
      <w:r w:rsidR="00BA0ABD">
        <w:rPr>
          <w:rFonts w:ascii="Times New Roman" w:hAnsi="Times New Roman" w:cs="Times New Roman"/>
          <w:sz w:val="24"/>
          <w:szCs w:val="24"/>
        </w:rPr>
        <w:t xml:space="preserve"> </w:t>
      </w:r>
    </w:p>
    <w:p w14:paraId="2881FFE7"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examine directors’ corporate histories when they incorporate new companies;</w:t>
      </w:r>
    </w:p>
    <w:p w14:paraId="1E431776"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and directors provide additional information to liquidators in relation to directors’ corporate histories and asset transfers by insolvent companies;</w:t>
      </w:r>
    </w:p>
    <w:p w14:paraId="0EE7DBD8"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penalties for directors failing to inform and assist liquidators be substantially increased;</w:t>
      </w:r>
    </w:p>
    <w:p w14:paraId="6FE99601"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liquidators provide specific phoenix-related information in statutory reports to regulators;</w:t>
      </w:r>
    </w:p>
    <w:p w14:paraId="6F2C8877"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improve the phoenix-related advice and complaint pages on their websites;</w:t>
      </w:r>
    </w:p>
    <w:p w14:paraId="1A7C30D9"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share information with each other more effectively;</w:t>
      </w:r>
    </w:p>
    <w:p w14:paraId="296AB2CD"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make information about companies and directors available to the public free-of-charge, subject to privacy considerations;</w:t>
      </w:r>
    </w:p>
    <w:p w14:paraId="7D5A1E43"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establish an online and free-of-charge register of restricted and disqualified directors;</w:t>
      </w:r>
    </w:p>
    <w:p w14:paraId="0547EE99"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superannuation funds and trade unions engage in information sharing;</w:t>
      </w:r>
    </w:p>
    <w:p w14:paraId="3399199B"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regulators provide information about corporate debts to credit reporting agencies; </w:t>
      </w:r>
    </w:p>
    <w:p w14:paraId="5E676EE9" w14:textId="77777777" w:rsidR="00161EA0" w:rsidRDefault="008E29D6" w:rsidP="00D03365">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improve their collection of statistical data about phoenix activity.</w:t>
      </w:r>
    </w:p>
    <w:p w14:paraId="3A70BBEE" w14:textId="77777777" w:rsidR="00161EA0" w:rsidRDefault="00161EA0" w:rsidP="00D03365">
      <w:pPr>
        <w:spacing w:after="0" w:line="240" w:lineRule="auto"/>
        <w:jc w:val="both"/>
        <w:rPr>
          <w:rFonts w:ascii="Times New Roman" w:hAnsi="Times New Roman" w:cs="Times New Roman"/>
          <w:sz w:val="24"/>
          <w:szCs w:val="24"/>
        </w:rPr>
      </w:pPr>
    </w:p>
    <w:p w14:paraId="7AF25308" w14:textId="4AB03B8C" w:rsidR="00161EA0" w:rsidRPr="00D03365" w:rsidRDefault="008E29D6" w:rsidP="00D03365">
      <w:pPr>
        <w:spacing w:after="0" w:line="240" w:lineRule="auto"/>
        <w:jc w:val="both"/>
        <w:rPr>
          <w:rFonts w:ascii="Times New Roman" w:hAnsi="Times New Roman" w:cs="Times New Roman"/>
          <w:sz w:val="24"/>
          <w:szCs w:val="24"/>
        </w:rPr>
      </w:pPr>
      <w:r w:rsidRPr="00D03365">
        <w:rPr>
          <w:rFonts w:ascii="Times New Roman" w:hAnsi="Times New Roman" w:cs="Times New Roman"/>
          <w:sz w:val="24"/>
          <w:szCs w:val="24"/>
        </w:rPr>
        <w:t xml:space="preserve">To make </w:t>
      </w:r>
      <w:r w:rsidR="00EE06A9">
        <w:rPr>
          <w:rFonts w:ascii="Times New Roman" w:hAnsi="Times New Roman" w:cs="Times New Roman"/>
          <w:sz w:val="24"/>
          <w:szCs w:val="24"/>
        </w:rPr>
        <w:t>illegal</w:t>
      </w:r>
      <w:r w:rsidRPr="00D03365">
        <w:rPr>
          <w:rFonts w:ascii="Times New Roman" w:hAnsi="Times New Roman" w:cs="Times New Roman"/>
          <w:sz w:val="24"/>
          <w:szCs w:val="24"/>
        </w:rPr>
        <w:t xml:space="preserve"> phoenix activity less easy to accomplish, we recommend that:</w:t>
      </w:r>
    </w:p>
    <w:p w14:paraId="27CC34B6"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directors that have been involved in five corporate failures within ten years be automatically subject to a ‘restriction’ period of five years, resulting in limits on concurrent directorships, increased reporting requirements and heightened surveillance;</w:t>
      </w:r>
    </w:p>
    <w:p w14:paraId="600EFDF6"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make better use of existing director disqualification powers;</w:t>
      </w:r>
    </w:p>
    <w:p w14:paraId="3A31AA06"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limit on administrative disqualification of directors be increased from 5 to 10 years;</w:t>
      </w:r>
    </w:p>
    <w:p w14:paraId="1E5471FD"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taxation and employment regulators be given the power to seek court-ordered disqualification of directors;</w:t>
      </w:r>
    </w:p>
    <w:p w14:paraId="28A5A72A"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penalties for managing companies whilst disqualified be increased substantially;</w:t>
      </w:r>
    </w:p>
    <w:p w14:paraId="760ACF32"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regulators check whether people who are applying to run businesses are subject to director restriction or disqualification;</w:t>
      </w:r>
    </w:p>
    <w:p w14:paraId="17BBA24F"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independent valuations of related party asset transfers be introduced;</w:t>
      </w:r>
    </w:p>
    <w:p w14:paraId="144E6EF8" w14:textId="77777777" w:rsidR="008E29D6" w:rsidRDefault="008E29D6" w:rsidP="008E29D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backdating of directorships be limited to three months; </w:t>
      </w:r>
    </w:p>
    <w:p w14:paraId="444C0758" w14:textId="77777777" w:rsidR="00161EA0" w:rsidRDefault="008E29D6" w:rsidP="00D03365">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taxation collection mechanisms be expanded so as to reduce the amount of corporate debt and employee entitlements that remain unpaid.</w:t>
      </w:r>
    </w:p>
    <w:p w14:paraId="3B6796C7" w14:textId="77777777" w:rsidR="00161EA0" w:rsidRDefault="00161EA0" w:rsidP="00D03365">
      <w:pPr>
        <w:spacing w:after="0" w:line="240" w:lineRule="auto"/>
        <w:jc w:val="both"/>
        <w:rPr>
          <w:rFonts w:ascii="Times New Roman" w:hAnsi="Times New Roman" w:cs="Times New Roman"/>
          <w:sz w:val="24"/>
          <w:szCs w:val="24"/>
        </w:rPr>
      </w:pPr>
    </w:p>
    <w:p w14:paraId="01FC75AE" w14:textId="65E944D2" w:rsidR="008E29D6" w:rsidRPr="00D03365" w:rsidRDefault="008E29D6" w:rsidP="00D03365">
      <w:pPr>
        <w:spacing w:after="0" w:line="240" w:lineRule="auto"/>
        <w:jc w:val="both"/>
        <w:rPr>
          <w:rFonts w:ascii="Times New Roman" w:hAnsi="Times New Roman" w:cs="Times New Roman"/>
          <w:sz w:val="24"/>
          <w:szCs w:val="24"/>
        </w:rPr>
      </w:pPr>
      <w:r w:rsidRPr="00D03365">
        <w:rPr>
          <w:rFonts w:ascii="Times New Roman" w:hAnsi="Times New Roman" w:cs="Times New Roman"/>
          <w:sz w:val="24"/>
          <w:szCs w:val="24"/>
        </w:rPr>
        <w:t xml:space="preserve">To counter the profit motive behind </w:t>
      </w:r>
      <w:r w:rsidR="00EE06A9">
        <w:rPr>
          <w:rFonts w:ascii="Times New Roman" w:hAnsi="Times New Roman" w:cs="Times New Roman"/>
          <w:sz w:val="24"/>
          <w:szCs w:val="24"/>
        </w:rPr>
        <w:t>illegal</w:t>
      </w:r>
      <w:r w:rsidRPr="00D03365">
        <w:rPr>
          <w:rFonts w:ascii="Times New Roman" w:hAnsi="Times New Roman" w:cs="Times New Roman"/>
          <w:sz w:val="24"/>
          <w:szCs w:val="24"/>
        </w:rPr>
        <w:t xml:space="preserve"> phoenix activity, we recommend that:</w:t>
      </w:r>
    </w:p>
    <w:p w14:paraId="4D3B5792" w14:textId="77777777" w:rsidR="008E29D6" w:rsidRDefault="008E29D6" w:rsidP="008E29D6">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liquidators be provided with additional funding to investigate, report and take action against director misconduct;</w:t>
      </w:r>
    </w:p>
    <w:p w14:paraId="789B6131" w14:textId="77777777" w:rsidR="008E29D6" w:rsidRDefault="008E29D6" w:rsidP="008E29D6">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regulators make better use of existing powers to take enforcement action;</w:t>
      </w:r>
    </w:p>
    <w:p w14:paraId="7BEC8DE2" w14:textId="77777777" w:rsidR="008E29D6" w:rsidRDefault="008E29D6" w:rsidP="008E29D6">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regulators improve public reporting of their enforcement activities to stimulate general deterrence;</w:t>
      </w:r>
    </w:p>
    <w:p w14:paraId="3D0C0552" w14:textId="77777777" w:rsidR="008E29D6" w:rsidRDefault="008E29D6" w:rsidP="008E29D6">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ineffective and unclear legislative provisions be amended;</w:t>
      </w:r>
    </w:p>
    <w:p w14:paraId="1134FC20" w14:textId="77777777" w:rsidR="008E29D6" w:rsidRDefault="008E29D6" w:rsidP="008E29D6">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 penalties for breaches of directors’ duties and employment laws be increased substantially;</w:t>
      </w:r>
    </w:p>
    <w:p w14:paraId="38B9093A" w14:textId="77777777" w:rsidR="008E29D6" w:rsidRDefault="008E29D6" w:rsidP="008E29D6">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regulators be given broader powers to seek compensation and disgorgement remedies to ensure that victims are compensated and wrongdoers are stripped of profits; </w:t>
      </w:r>
    </w:p>
    <w:p w14:paraId="2DA3D95A" w14:textId="08A30FC8" w:rsidR="008E29D6" w:rsidRDefault="008E29D6" w:rsidP="008E29D6">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regulators take stronger enforcement action against professional and unqualified advisors who facilitate </w:t>
      </w:r>
      <w:r w:rsidR="00EE06A9">
        <w:rPr>
          <w:rFonts w:ascii="Times New Roman" w:hAnsi="Times New Roman" w:cs="Times New Roman"/>
          <w:sz w:val="24"/>
          <w:szCs w:val="24"/>
        </w:rPr>
        <w:t>illegal</w:t>
      </w:r>
      <w:r>
        <w:rPr>
          <w:rFonts w:ascii="Times New Roman" w:hAnsi="Times New Roman" w:cs="Times New Roman"/>
          <w:sz w:val="24"/>
          <w:szCs w:val="24"/>
        </w:rPr>
        <w:t xml:space="preserve"> phoenix activity.</w:t>
      </w:r>
    </w:p>
    <w:p w14:paraId="6F6B4FE6" w14:textId="77777777" w:rsidR="00F35B03" w:rsidRPr="00B04327" w:rsidRDefault="00F35B03" w:rsidP="00F35B03">
      <w:pPr>
        <w:spacing w:after="0" w:line="240" w:lineRule="auto"/>
        <w:jc w:val="both"/>
        <w:rPr>
          <w:rFonts w:ascii="Times New Roman" w:hAnsi="Times New Roman" w:cs="Times New Roman"/>
          <w:sz w:val="24"/>
          <w:szCs w:val="24"/>
          <w:highlight w:val="yellow"/>
        </w:rPr>
      </w:pPr>
    </w:p>
    <w:p w14:paraId="02E5158E" w14:textId="77777777" w:rsidR="00F35B03" w:rsidRPr="00D03365" w:rsidRDefault="00F35B03" w:rsidP="00F35B03">
      <w:pPr>
        <w:spacing w:after="0" w:line="240" w:lineRule="auto"/>
        <w:jc w:val="both"/>
        <w:rPr>
          <w:rFonts w:ascii="Times New Roman" w:hAnsi="Times New Roman" w:cs="Times New Roman"/>
          <w:b/>
          <w:sz w:val="24"/>
          <w:szCs w:val="24"/>
        </w:rPr>
      </w:pPr>
      <w:r w:rsidRPr="00D03365">
        <w:rPr>
          <w:rFonts w:ascii="Times New Roman" w:hAnsi="Times New Roman" w:cs="Times New Roman"/>
          <w:b/>
          <w:sz w:val="24"/>
          <w:szCs w:val="24"/>
        </w:rPr>
        <w:t>Conclusion</w:t>
      </w:r>
    </w:p>
    <w:p w14:paraId="2978AAC0" w14:textId="7E2C848B" w:rsidR="00F35B03" w:rsidRPr="00B04327" w:rsidRDefault="005B4165" w:rsidP="00F35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submission has set out a number of recommendations aimed at reducing illegal phoenix activity and inappropriate reliance on FEG. </w:t>
      </w:r>
      <w:r w:rsidR="00F35B03" w:rsidRPr="00B04327">
        <w:rPr>
          <w:rFonts w:ascii="Times New Roman" w:hAnsi="Times New Roman" w:cs="Times New Roman"/>
          <w:sz w:val="24"/>
          <w:szCs w:val="24"/>
        </w:rPr>
        <w:t xml:space="preserve">We would be happy to assist Treasury further in relation </w:t>
      </w:r>
      <w:r w:rsidR="00F14CF2">
        <w:rPr>
          <w:rFonts w:ascii="Times New Roman" w:hAnsi="Times New Roman" w:cs="Times New Roman"/>
          <w:sz w:val="24"/>
          <w:szCs w:val="24"/>
        </w:rPr>
        <w:t xml:space="preserve">to any </w:t>
      </w:r>
      <w:r w:rsidR="007F1E55">
        <w:rPr>
          <w:rFonts w:ascii="Times New Roman" w:hAnsi="Times New Roman" w:cs="Times New Roman"/>
          <w:sz w:val="24"/>
          <w:szCs w:val="24"/>
        </w:rPr>
        <w:t>of these recommendations.</w:t>
      </w:r>
    </w:p>
    <w:p w14:paraId="6EAC24AB" w14:textId="2064D3D0" w:rsidR="00327676" w:rsidRPr="00327676" w:rsidRDefault="00327676" w:rsidP="00327676">
      <w:pPr>
        <w:spacing w:after="0" w:line="240" w:lineRule="auto"/>
        <w:jc w:val="both"/>
        <w:rPr>
          <w:rFonts w:ascii="Times New Roman" w:hAnsi="Times New Roman" w:cs="Times New Roman"/>
          <w:sz w:val="24"/>
          <w:szCs w:val="24"/>
        </w:rPr>
      </w:pPr>
    </w:p>
    <w:sectPr w:rsidR="00327676" w:rsidRPr="00327676">
      <w:footerReference w:type="defaul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73990" w15:done="0"/>
  <w15:commentEx w15:paraId="1F84B2DF" w15:done="0"/>
  <w15:commentEx w15:paraId="300616E3" w15:done="0"/>
  <w15:commentEx w15:paraId="6F09C256" w15:done="0"/>
  <w15:commentEx w15:paraId="3E67E01B" w15:done="0"/>
  <w15:commentEx w15:paraId="1260DA27" w15:done="0"/>
  <w15:commentEx w15:paraId="2942F6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DA59F" w14:textId="77777777" w:rsidR="00BE3207" w:rsidRDefault="00BE3207" w:rsidP="00D33D93">
      <w:pPr>
        <w:spacing w:after="0" w:line="240" w:lineRule="auto"/>
      </w:pPr>
      <w:r>
        <w:separator/>
      </w:r>
    </w:p>
  </w:endnote>
  <w:endnote w:type="continuationSeparator" w:id="0">
    <w:p w14:paraId="7A1C5A45" w14:textId="77777777" w:rsidR="00BE3207" w:rsidRDefault="00BE3207" w:rsidP="00D3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92898544"/>
      <w:docPartObj>
        <w:docPartGallery w:val="Page Numbers (Bottom of Page)"/>
        <w:docPartUnique/>
      </w:docPartObj>
    </w:sdtPr>
    <w:sdtEndPr>
      <w:rPr>
        <w:noProof/>
      </w:rPr>
    </w:sdtEndPr>
    <w:sdtContent>
      <w:p w14:paraId="1AF3B6DA" w14:textId="1D043F67" w:rsidR="00A00559" w:rsidRPr="00A00559" w:rsidRDefault="00A00559">
        <w:pPr>
          <w:pStyle w:val="Footer"/>
          <w:jc w:val="right"/>
          <w:rPr>
            <w:rFonts w:ascii="Times New Roman" w:hAnsi="Times New Roman" w:cs="Times New Roman"/>
          </w:rPr>
        </w:pPr>
        <w:r w:rsidRPr="00A00559">
          <w:rPr>
            <w:rFonts w:ascii="Times New Roman" w:hAnsi="Times New Roman" w:cs="Times New Roman"/>
          </w:rPr>
          <w:fldChar w:fldCharType="begin"/>
        </w:r>
        <w:r w:rsidRPr="00A00559">
          <w:rPr>
            <w:rFonts w:ascii="Times New Roman" w:hAnsi="Times New Roman" w:cs="Times New Roman"/>
          </w:rPr>
          <w:instrText xml:space="preserve"> PAGE   \* MERGEFORMAT </w:instrText>
        </w:r>
        <w:r w:rsidRPr="00A00559">
          <w:rPr>
            <w:rFonts w:ascii="Times New Roman" w:hAnsi="Times New Roman" w:cs="Times New Roman"/>
          </w:rPr>
          <w:fldChar w:fldCharType="separate"/>
        </w:r>
        <w:r w:rsidR="005469D3">
          <w:rPr>
            <w:rFonts w:ascii="Times New Roman" w:hAnsi="Times New Roman" w:cs="Times New Roman"/>
            <w:noProof/>
          </w:rPr>
          <w:t>1</w:t>
        </w:r>
        <w:r w:rsidRPr="00A00559">
          <w:rPr>
            <w:rFonts w:ascii="Times New Roman" w:hAnsi="Times New Roman" w:cs="Times New Roman"/>
            <w:noProof/>
          </w:rPr>
          <w:fldChar w:fldCharType="end"/>
        </w:r>
      </w:p>
    </w:sdtContent>
  </w:sdt>
  <w:p w14:paraId="17F3E5E5" w14:textId="77777777" w:rsidR="00A00559" w:rsidRPr="00A00559" w:rsidRDefault="00A00559">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A9540" w14:textId="77777777" w:rsidR="00BE3207" w:rsidRDefault="00BE3207" w:rsidP="00D33D93">
      <w:pPr>
        <w:spacing w:after="0" w:line="240" w:lineRule="auto"/>
      </w:pPr>
      <w:r>
        <w:separator/>
      </w:r>
    </w:p>
  </w:footnote>
  <w:footnote w:type="continuationSeparator" w:id="0">
    <w:p w14:paraId="38740060" w14:textId="77777777" w:rsidR="00BE3207" w:rsidRDefault="00BE3207" w:rsidP="00D33D93">
      <w:pPr>
        <w:spacing w:after="0" w:line="240" w:lineRule="auto"/>
      </w:pPr>
      <w:r>
        <w:continuationSeparator/>
      </w:r>
    </w:p>
  </w:footnote>
  <w:footnote w:id="1">
    <w:p w14:paraId="7FB98FC1" w14:textId="0E576213" w:rsidR="00EA1828" w:rsidRPr="00A244AB" w:rsidRDefault="00EA1828" w:rsidP="00A244AB">
      <w:pPr>
        <w:pStyle w:val="Footnotetxt"/>
        <w:tabs>
          <w:tab w:val="clear" w:pos="284"/>
          <w:tab w:val="left" w:pos="720"/>
        </w:tabs>
        <w:rPr>
          <w:sz w:val="20"/>
        </w:rPr>
      </w:pPr>
      <w:r w:rsidRPr="00A244AB">
        <w:rPr>
          <w:rStyle w:val="FootnoteReference"/>
          <w:rFonts w:eastAsiaTheme="majorEastAsia"/>
          <w:sz w:val="20"/>
        </w:rPr>
        <w:footnoteRef/>
      </w:r>
      <w:r w:rsidRPr="00A244AB">
        <w:rPr>
          <w:sz w:val="20"/>
        </w:rPr>
        <w:t xml:space="preserve"> </w:t>
      </w:r>
      <w:r w:rsidRPr="00A244AB">
        <w:rPr>
          <w:sz w:val="20"/>
        </w:rPr>
        <w:tab/>
      </w:r>
      <w:r w:rsidRPr="00A244AB">
        <w:rPr>
          <w:i/>
          <w:sz w:val="20"/>
        </w:rPr>
        <w:t>Corporations Act</w:t>
      </w:r>
      <w:r w:rsidR="00FB4A27" w:rsidRPr="00A244AB">
        <w:rPr>
          <w:i/>
          <w:sz w:val="20"/>
        </w:rPr>
        <w:t xml:space="preserve"> 2001 </w:t>
      </w:r>
      <w:r w:rsidR="00FB4A27" w:rsidRPr="00A244AB">
        <w:rPr>
          <w:sz w:val="20"/>
        </w:rPr>
        <w:t>(Cth) (‘</w:t>
      </w:r>
      <w:r w:rsidR="00FB4A27" w:rsidRPr="00A244AB">
        <w:rPr>
          <w:i/>
          <w:sz w:val="20"/>
        </w:rPr>
        <w:t>Corporations Act</w:t>
      </w:r>
      <w:r w:rsidR="00FB4A27" w:rsidRPr="00A244AB">
        <w:rPr>
          <w:sz w:val="20"/>
        </w:rPr>
        <w:t>’)</w:t>
      </w:r>
      <w:r w:rsidRPr="00A244AB">
        <w:rPr>
          <w:sz w:val="20"/>
        </w:rPr>
        <w:t xml:space="preserve"> s 588G. </w:t>
      </w:r>
    </w:p>
  </w:footnote>
  <w:footnote w:id="2">
    <w:p w14:paraId="0CCCE071" w14:textId="77777777" w:rsidR="00EA1828" w:rsidRPr="00A244AB" w:rsidRDefault="00EA1828" w:rsidP="00A244AB">
      <w:pPr>
        <w:pStyle w:val="Footnotetxt"/>
        <w:tabs>
          <w:tab w:val="clear" w:pos="284"/>
          <w:tab w:val="left" w:pos="720"/>
        </w:tabs>
        <w:rPr>
          <w:sz w:val="20"/>
        </w:rPr>
      </w:pPr>
      <w:r w:rsidRPr="00A244AB">
        <w:rPr>
          <w:rStyle w:val="FootnoteReference"/>
          <w:rFonts w:eastAsiaTheme="majorEastAsia"/>
          <w:sz w:val="20"/>
        </w:rPr>
        <w:footnoteRef/>
      </w:r>
      <w:r w:rsidRPr="00A244AB">
        <w:rPr>
          <w:sz w:val="20"/>
        </w:rPr>
        <w:t xml:space="preserve"> </w:t>
      </w:r>
      <w:r w:rsidRPr="00A244AB">
        <w:rPr>
          <w:sz w:val="20"/>
        </w:rPr>
        <w:tab/>
        <w:t xml:space="preserve">Ibid s 588G(2). </w:t>
      </w:r>
    </w:p>
  </w:footnote>
  <w:footnote w:id="3">
    <w:p w14:paraId="2ACB1629" w14:textId="77777777" w:rsidR="00EA1828" w:rsidRPr="00A244AB" w:rsidRDefault="00EA1828" w:rsidP="00A244AB">
      <w:pPr>
        <w:pStyle w:val="Footnotetxt"/>
        <w:tabs>
          <w:tab w:val="clear" w:pos="284"/>
          <w:tab w:val="left" w:pos="720"/>
        </w:tabs>
        <w:rPr>
          <w:sz w:val="20"/>
        </w:rPr>
      </w:pPr>
      <w:r w:rsidRPr="00A244AB">
        <w:rPr>
          <w:rStyle w:val="FootnoteReference"/>
          <w:rFonts w:eastAsiaTheme="majorEastAsia"/>
          <w:sz w:val="20"/>
        </w:rPr>
        <w:footnoteRef/>
      </w:r>
      <w:r w:rsidRPr="00A244AB">
        <w:rPr>
          <w:sz w:val="20"/>
        </w:rPr>
        <w:t xml:space="preserve"> </w:t>
      </w:r>
      <w:r w:rsidRPr="00A244AB">
        <w:rPr>
          <w:sz w:val="20"/>
        </w:rPr>
        <w:tab/>
        <w:t xml:space="preserve">Ibid s 588G(3). Note that the court, as a consequence of a criminal conviction, can also order the director to compensate the company: s 588K. </w:t>
      </w:r>
    </w:p>
  </w:footnote>
  <w:footnote w:id="4">
    <w:p w14:paraId="4C1DE4D5" w14:textId="77777777" w:rsidR="00EA1828" w:rsidRPr="00A244AB" w:rsidRDefault="00EA1828" w:rsidP="00A244AB">
      <w:pPr>
        <w:pStyle w:val="Footnotetxt"/>
        <w:tabs>
          <w:tab w:val="clear" w:pos="284"/>
          <w:tab w:val="left" w:pos="720"/>
        </w:tabs>
        <w:rPr>
          <w:sz w:val="20"/>
        </w:rPr>
      </w:pPr>
      <w:r w:rsidRPr="00A244AB">
        <w:rPr>
          <w:rStyle w:val="FootnoteReference"/>
          <w:rFonts w:eastAsiaTheme="majorEastAsia"/>
          <w:sz w:val="20"/>
        </w:rPr>
        <w:footnoteRef/>
      </w:r>
      <w:r w:rsidRPr="00A244AB">
        <w:rPr>
          <w:sz w:val="20"/>
        </w:rPr>
        <w:t xml:space="preserve"> </w:t>
      </w:r>
      <w:r w:rsidRPr="00A244AB">
        <w:rPr>
          <w:sz w:val="20"/>
        </w:rPr>
        <w:tab/>
        <w:t xml:space="preserve">Ibid s 588M. </w:t>
      </w:r>
    </w:p>
  </w:footnote>
  <w:footnote w:id="5">
    <w:p w14:paraId="24ADB782" w14:textId="571EA2A9" w:rsidR="00EA1828" w:rsidRPr="00A244AB" w:rsidRDefault="00EA1828"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0A1BD0" w:rsidRPr="00A244AB">
        <w:rPr>
          <w:rFonts w:ascii="Times New Roman" w:hAnsi="Times New Roman" w:cs="Times New Roman"/>
        </w:rPr>
        <w:tab/>
      </w:r>
      <w:r w:rsidR="00BF7284" w:rsidRPr="00A244AB">
        <w:rPr>
          <w:rFonts w:ascii="Times New Roman" w:hAnsi="Times New Roman" w:cs="Times New Roman"/>
        </w:rPr>
        <w:t xml:space="preserve">Helen Anderson, Ian Ramsay, Michelle Welsh and Jasper Hedges, ‘Phoenix Activity: Recommendations on Detection, Disruption and Enforcement’ (Research Report, Centre for Corporate Law and Securities Regulation, The University of Melbourne, February 2017) </w:t>
      </w:r>
      <w:r w:rsidRPr="00A244AB">
        <w:rPr>
          <w:rFonts w:ascii="Times New Roman" w:hAnsi="Times New Roman" w:cs="Times New Roman"/>
        </w:rPr>
        <w:t>[3.4.1]</w:t>
      </w:r>
      <w:r w:rsidR="00BF7284" w:rsidRPr="00A244AB">
        <w:rPr>
          <w:rFonts w:ascii="Times New Roman" w:hAnsi="Times New Roman" w:cs="Times New Roman"/>
        </w:rPr>
        <w:t>.</w:t>
      </w:r>
    </w:p>
  </w:footnote>
  <w:footnote w:id="6">
    <w:p w14:paraId="13D956A3" w14:textId="409B5741" w:rsidR="00D92CC6" w:rsidRPr="00A33ABB" w:rsidRDefault="00D92CC6" w:rsidP="00A244AB">
      <w:pPr>
        <w:pStyle w:val="FootnoteText"/>
        <w:ind w:left="284" w:hanging="284"/>
        <w:rPr>
          <w:rFonts w:ascii="Times New Roman" w:hAnsi="Times New Roman" w:cs="Times New Roman"/>
          <w:i/>
        </w:rPr>
      </w:pPr>
      <w:r w:rsidRPr="00A33ABB">
        <w:rPr>
          <w:rStyle w:val="FootnoteReference"/>
          <w:rFonts w:ascii="Times New Roman" w:hAnsi="Times New Roman" w:cs="Times New Roman"/>
        </w:rPr>
        <w:footnoteRef/>
      </w:r>
      <w:r w:rsidRPr="00A33ABB">
        <w:rPr>
          <w:rFonts w:ascii="Times New Roman" w:hAnsi="Times New Roman" w:cs="Times New Roman"/>
        </w:rPr>
        <w:t xml:space="preserve"> </w:t>
      </w:r>
      <w:r w:rsidR="00A02927" w:rsidRPr="00A33ABB">
        <w:rPr>
          <w:rFonts w:ascii="Times New Roman" w:hAnsi="Times New Roman" w:cs="Times New Roman"/>
        </w:rPr>
        <w:tab/>
      </w:r>
      <w:r w:rsidRPr="00A33ABB">
        <w:rPr>
          <w:rFonts w:ascii="Times New Roman" w:hAnsi="Times New Roman" w:cs="Times New Roman"/>
          <w:i/>
        </w:rPr>
        <w:t>Corporations Act</w:t>
      </w:r>
      <w:r w:rsidRPr="00A33ABB">
        <w:rPr>
          <w:rFonts w:ascii="Times New Roman" w:hAnsi="Times New Roman" w:cs="Times New Roman"/>
        </w:rPr>
        <w:t xml:space="preserve"> s</w:t>
      </w:r>
      <w:r w:rsidR="00A02927" w:rsidRPr="00A33ABB">
        <w:rPr>
          <w:rFonts w:ascii="Times New Roman" w:hAnsi="Times New Roman" w:cs="Times New Roman"/>
        </w:rPr>
        <w:t>s</w:t>
      </w:r>
      <w:r w:rsidRPr="00A33ABB">
        <w:rPr>
          <w:rFonts w:ascii="Times New Roman" w:hAnsi="Times New Roman" w:cs="Times New Roman"/>
        </w:rPr>
        <w:t xml:space="preserve"> 181(2)</w:t>
      </w:r>
      <w:r w:rsidR="00A02927" w:rsidRPr="00A33ABB">
        <w:rPr>
          <w:rFonts w:ascii="Times New Roman" w:hAnsi="Times New Roman" w:cs="Times New Roman"/>
        </w:rPr>
        <w:t xml:space="preserve">, </w:t>
      </w:r>
      <w:r w:rsidRPr="00A33ABB">
        <w:rPr>
          <w:rFonts w:ascii="Times New Roman" w:hAnsi="Times New Roman" w:cs="Times New Roman"/>
        </w:rPr>
        <w:t xml:space="preserve">182(2); criminal accessory liability is pursuant to </w:t>
      </w:r>
      <w:r w:rsidR="008824D1" w:rsidRPr="00A33ABB">
        <w:rPr>
          <w:rFonts w:ascii="Times New Roman" w:hAnsi="Times New Roman" w:cs="Times New Roman"/>
        </w:rPr>
        <w:t xml:space="preserve">the extensions of criminal responsibility in pt 2.4 of the </w:t>
      </w:r>
      <w:r w:rsidR="008824D1" w:rsidRPr="00A33ABB">
        <w:rPr>
          <w:rFonts w:ascii="Times New Roman" w:hAnsi="Times New Roman" w:cs="Times New Roman"/>
          <w:i/>
        </w:rPr>
        <w:t xml:space="preserve">Criminal Code Act 1995 </w:t>
      </w:r>
      <w:r w:rsidR="008824D1" w:rsidRPr="00A33ABB">
        <w:rPr>
          <w:rFonts w:ascii="Times New Roman" w:hAnsi="Times New Roman" w:cs="Times New Roman"/>
        </w:rPr>
        <w:t>(Cth) Schedule (‘</w:t>
      </w:r>
      <w:r w:rsidR="008824D1" w:rsidRPr="00A33ABB">
        <w:rPr>
          <w:rFonts w:ascii="Times New Roman" w:hAnsi="Times New Roman" w:cs="Times New Roman"/>
          <w:i/>
        </w:rPr>
        <w:t>Criminal Code</w:t>
      </w:r>
      <w:r w:rsidR="008824D1" w:rsidRPr="00A33ABB">
        <w:rPr>
          <w:rFonts w:ascii="Times New Roman" w:hAnsi="Times New Roman" w:cs="Times New Roman"/>
        </w:rPr>
        <w:t>’).</w:t>
      </w:r>
    </w:p>
  </w:footnote>
  <w:footnote w:id="7">
    <w:p w14:paraId="349519CA" w14:textId="4747A655" w:rsidR="00106BDB" w:rsidRPr="00A33ABB" w:rsidRDefault="00106BDB" w:rsidP="00106BDB">
      <w:pPr>
        <w:pStyle w:val="FootnoteText"/>
        <w:ind w:left="284" w:hanging="284"/>
        <w:rPr>
          <w:rFonts w:ascii="Times New Roman" w:hAnsi="Times New Roman" w:cs="Times New Roman"/>
          <w:lang w:val="en-GB"/>
        </w:rPr>
      </w:pPr>
      <w:r w:rsidRPr="00A33ABB">
        <w:rPr>
          <w:rStyle w:val="FootnoteReference"/>
          <w:rFonts w:ascii="Times New Roman" w:hAnsi="Times New Roman" w:cs="Times New Roman"/>
        </w:rPr>
        <w:footnoteRef/>
      </w:r>
      <w:r w:rsidRPr="00A33ABB">
        <w:rPr>
          <w:rFonts w:ascii="Times New Roman" w:hAnsi="Times New Roman" w:cs="Times New Roman"/>
        </w:rPr>
        <w:t xml:space="preserve"> </w:t>
      </w:r>
      <w:r w:rsidRPr="00A33ABB">
        <w:rPr>
          <w:rFonts w:ascii="Times New Roman" w:hAnsi="Times New Roman" w:cs="Times New Roman"/>
        </w:rPr>
        <w:tab/>
        <w:t xml:space="preserve">See for example,  Helen Anderson, ‘Piercing the Veil on Corporate Groups in Australia – the Case for Reform’, (2009) 33(2) </w:t>
      </w:r>
      <w:r w:rsidRPr="00A33ABB">
        <w:rPr>
          <w:rFonts w:ascii="Times New Roman" w:hAnsi="Times New Roman" w:cs="Times New Roman"/>
          <w:i/>
        </w:rPr>
        <w:t>Melbourne University Law Review</w:t>
      </w:r>
      <w:r w:rsidRPr="00A33ABB">
        <w:rPr>
          <w:rFonts w:ascii="Times New Roman" w:hAnsi="Times New Roman" w:cs="Times New Roman"/>
        </w:rPr>
        <w:t xml:space="preserve"> 333</w:t>
      </w:r>
      <w:r w:rsidR="00A33ABB" w:rsidRPr="00A33ABB">
        <w:rPr>
          <w:rFonts w:ascii="Times New Roman" w:hAnsi="Times New Roman" w:cs="Times New Roman"/>
        </w:rPr>
        <w:t xml:space="preserve"> and references cited therein</w:t>
      </w:r>
      <w:r w:rsidRPr="00A33ABB">
        <w:rPr>
          <w:rFonts w:ascii="Times New Roman" w:hAnsi="Times New Roman" w:cs="Times New Roman"/>
        </w:rPr>
        <w:t>.</w:t>
      </w:r>
    </w:p>
  </w:footnote>
  <w:footnote w:id="8">
    <w:p w14:paraId="0EB7E595" w14:textId="77777777" w:rsidR="00A33ABB" w:rsidRPr="00A33ABB" w:rsidRDefault="00A33ABB" w:rsidP="00A33ABB">
      <w:pPr>
        <w:pStyle w:val="FootnoteText"/>
        <w:ind w:left="284" w:hanging="284"/>
        <w:rPr>
          <w:rFonts w:ascii="Times New Roman" w:hAnsi="Times New Roman" w:cs="Times New Roman"/>
        </w:rPr>
      </w:pPr>
      <w:r w:rsidRPr="00A33ABB">
        <w:rPr>
          <w:rStyle w:val="FootnoteReference"/>
          <w:rFonts w:ascii="Times New Roman" w:hAnsi="Times New Roman" w:cs="Times New Roman"/>
        </w:rPr>
        <w:footnoteRef/>
      </w:r>
      <w:r w:rsidRPr="00A33ABB">
        <w:rPr>
          <w:rFonts w:ascii="Times New Roman" w:hAnsi="Times New Roman" w:cs="Times New Roman"/>
        </w:rPr>
        <w:t xml:space="preserve"> </w:t>
      </w:r>
      <w:r w:rsidRPr="00A33ABB">
        <w:rPr>
          <w:rFonts w:ascii="Times New Roman" w:hAnsi="Times New Roman" w:cs="Times New Roman"/>
        </w:rPr>
        <w:tab/>
        <w:t>Consultation Paper, 14.</w:t>
      </w:r>
    </w:p>
  </w:footnote>
  <w:footnote w:id="9">
    <w:p w14:paraId="17D0D15F" w14:textId="1C713A86" w:rsidR="0060718A" w:rsidRPr="00A33ABB" w:rsidRDefault="0060718A" w:rsidP="00A244AB">
      <w:pPr>
        <w:pStyle w:val="FootnoteText"/>
        <w:ind w:left="284" w:hanging="284"/>
        <w:rPr>
          <w:rFonts w:ascii="Times New Roman" w:hAnsi="Times New Roman" w:cs="Times New Roman"/>
        </w:rPr>
      </w:pPr>
      <w:r w:rsidRPr="00A33ABB">
        <w:rPr>
          <w:rStyle w:val="FootnoteReference"/>
          <w:rFonts w:ascii="Times New Roman" w:hAnsi="Times New Roman" w:cs="Times New Roman"/>
        </w:rPr>
        <w:footnoteRef/>
      </w:r>
      <w:r w:rsidRPr="00A33ABB">
        <w:rPr>
          <w:rFonts w:ascii="Times New Roman" w:hAnsi="Times New Roman" w:cs="Times New Roman"/>
        </w:rPr>
        <w:t xml:space="preserve"> </w:t>
      </w:r>
      <w:r w:rsidR="00A02927" w:rsidRPr="00A33ABB">
        <w:rPr>
          <w:rFonts w:ascii="Times New Roman" w:hAnsi="Times New Roman" w:cs="Times New Roman"/>
        </w:rPr>
        <w:tab/>
      </w:r>
      <w:r w:rsidRPr="00A33ABB">
        <w:rPr>
          <w:rFonts w:ascii="Times New Roman" w:hAnsi="Times New Roman" w:cs="Times New Roman"/>
          <w:i/>
        </w:rPr>
        <w:t xml:space="preserve">Corporations Act </w:t>
      </w:r>
      <w:r w:rsidRPr="00A33ABB">
        <w:rPr>
          <w:rFonts w:ascii="Times New Roman" w:hAnsi="Times New Roman" w:cs="Times New Roman"/>
        </w:rPr>
        <w:t>s</w:t>
      </w:r>
      <w:r w:rsidR="00B22B09" w:rsidRPr="00A33ABB">
        <w:rPr>
          <w:rFonts w:ascii="Times New Roman" w:hAnsi="Times New Roman" w:cs="Times New Roman"/>
        </w:rPr>
        <w:t>s</w:t>
      </w:r>
      <w:r w:rsidRPr="00A33ABB">
        <w:rPr>
          <w:rFonts w:ascii="Times New Roman" w:hAnsi="Times New Roman" w:cs="Times New Roman"/>
        </w:rPr>
        <w:t xml:space="preserve"> 46, 47</w:t>
      </w:r>
      <w:r w:rsidR="00B22B09" w:rsidRPr="00A33ABB">
        <w:rPr>
          <w:rFonts w:ascii="Times New Roman" w:hAnsi="Times New Roman" w:cs="Times New Roman"/>
        </w:rPr>
        <w:t>,</w:t>
      </w:r>
      <w:r w:rsidRPr="00A33ABB">
        <w:rPr>
          <w:rFonts w:ascii="Times New Roman" w:hAnsi="Times New Roman" w:cs="Times New Roman"/>
        </w:rPr>
        <w:t xml:space="preserve"> 50.</w:t>
      </w:r>
    </w:p>
  </w:footnote>
  <w:footnote w:id="10">
    <w:p w14:paraId="5DF05556" w14:textId="0B324ADB" w:rsidR="0060718A" w:rsidRPr="00106BDB" w:rsidRDefault="0060718A" w:rsidP="00A244AB">
      <w:pPr>
        <w:pStyle w:val="FootnoteText"/>
        <w:ind w:left="284" w:hanging="284"/>
        <w:rPr>
          <w:rFonts w:ascii="Times New Roman" w:hAnsi="Times New Roman" w:cs="Times New Roman"/>
        </w:rPr>
      </w:pPr>
      <w:r w:rsidRPr="00A33ABB">
        <w:rPr>
          <w:rStyle w:val="FootnoteReference"/>
          <w:rFonts w:ascii="Times New Roman" w:hAnsi="Times New Roman" w:cs="Times New Roman"/>
        </w:rPr>
        <w:footnoteRef/>
      </w:r>
      <w:r w:rsidRPr="00A33ABB">
        <w:rPr>
          <w:rFonts w:ascii="Times New Roman" w:hAnsi="Times New Roman" w:cs="Times New Roman"/>
        </w:rPr>
        <w:t xml:space="preserve"> </w:t>
      </w:r>
      <w:r w:rsidR="00A02927" w:rsidRPr="00A33ABB">
        <w:rPr>
          <w:rFonts w:ascii="Times New Roman" w:hAnsi="Times New Roman" w:cs="Times New Roman"/>
        </w:rPr>
        <w:tab/>
      </w:r>
      <w:r w:rsidRPr="00A33ABB">
        <w:rPr>
          <w:rFonts w:ascii="Times New Roman" w:hAnsi="Times New Roman" w:cs="Times New Roman"/>
          <w:i/>
        </w:rPr>
        <w:t xml:space="preserve">Corporations Act </w:t>
      </w:r>
      <w:r w:rsidRPr="00A33ABB">
        <w:rPr>
          <w:rFonts w:ascii="Times New Roman" w:hAnsi="Times New Roman" w:cs="Times New Roman"/>
        </w:rPr>
        <w:t>s</w:t>
      </w:r>
      <w:r w:rsidR="00B22B09" w:rsidRPr="00A33ABB">
        <w:rPr>
          <w:rFonts w:ascii="Times New Roman" w:hAnsi="Times New Roman" w:cs="Times New Roman"/>
        </w:rPr>
        <w:t xml:space="preserve"> </w:t>
      </w:r>
      <w:r w:rsidRPr="00A33ABB">
        <w:rPr>
          <w:rFonts w:ascii="Times New Roman" w:hAnsi="Times New Roman" w:cs="Times New Roman"/>
        </w:rPr>
        <w:t>50AA</w:t>
      </w:r>
      <w:r w:rsidR="00B22B09" w:rsidRPr="00A33ABB">
        <w:rPr>
          <w:rFonts w:ascii="Times New Roman" w:hAnsi="Times New Roman" w:cs="Times New Roman"/>
        </w:rPr>
        <w:t>.</w:t>
      </w:r>
    </w:p>
  </w:footnote>
  <w:footnote w:id="11">
    <w:p w14:paraId="5CA41E28" w14:textId="236E677C" w:rsidR="0024246E" w:rsidRPr="00A244AB" w:rsidRDefault="0024246E" w:rsidP="00A244AB">
      <w:pPr>
        <w:pStyle w:val="FootnoteText"/>
        <w:ind w:left="284" w:hanging="284"/>
        <w:rPr>
          <w:rFonts w:ascii="Times New Roman" w:hAnsi="Times New Roman" w:cs="Times New Roman"/>
          <w:lang w:val="en-GB"/>
        </w:rPr>
      </w:pPr>
      <w:r w:rsidRPr="00106BDB">
        <w:rPr>
          <w:rStyle w:val="FootnoteReference"/>
          <w:rFonts w:ascii="Times New Roman" w:hAnsi="Times New Roman" w:cs="Times New Roman"/>
        </w:rPr>
        <w:footnoteRef/>
      </w:r>
      <w:r w:rsidRPr="00106BDB">
        <w:rPr>
          <w:rFonts w:ascii="Times New Roman" w:hAnsi="Times New Roman" w:cs="Times New Roman"/>
        </w:rPr>
        <w:t xml:space="preserve"> </w:t>
      </w:r>
      <w:r w:rsidR="00A02927" w:rsidRPr="00106BDB">
        <w:rPr>
          <w:rFonts w:ascii="Times New Roman" w:hAnsi="Times New Roman" w:cs="Times New Roman"/>
        </w:rPr>
        <w:tab/>
      </w:r>
      <w:r w:rsidR="000655E4" w:rsidRPr="00106BDB">
        <w:rPr>
          <w:rFonts w:ascii="Times New Roman" w:hAnsi="Times New Roman" w:cs="Times New Roman"/>
          <w:i/>
        </w:rPr>
        <w:t xml:space="preserve">Fair Work Ombudsman v Al Hilfi </w:t>
      </w:r>
      <w:r w:rsidR="000655E4" w:rsidRPr="00106BDB">
        <w:rPr>
          <w:rFonts w:ascii="Times New Roman" w:hAnsi="Times New Roman" w:cs="Times New Roman"/>
        </w:rPr>
        <w:t xml:space="preserve">[2015] FCA 313; </w:t>
      </w:r>
      <w:r w:rsidR="000655E4" w:rsidRPr="00106BDB">
        <w:rPr>
          <w:rFonts w:ascii="Times New Roman" w:hAnsi="Times New Roman" w:cs="Times New Roman"/>
          <w:i/>
          <w:lang w:val="en-GB"/>
        </w:rPr>
        <w:t xml:space="preserve">Fair Work Ombudsman v Al Hilfi </w:t>
      </w:r>
      <w:r w:rsidR="000655E4" w:rsidRPr="00106BDB">
        <w:rPr>
          <w:rFonts w:ascii="Times New Roman" w:hAnsi="Times New Roman" w:cs="Times New Roman"/>
          <w:lang w:val="en-GB"/>
        </w:rPr>
        <w:t>[2016] FCA 193.</w:t>
      </w:r>
    </w:p>
  </w:footnote>
  <w:footnote w:id="12">
    <w:p w14:paraId="248D3BB4" w14:textId="4CD6E78B" w:rsidR="00974877" w:rsidRPr="00A244AB" w:rsidRDefault="00974877" w:rsidP="00A244AB">
      <w:pPr>
        <w:pStyle w:val="FootnoteText"/>
        <w:ind w:left="284" w:hanging="284"/>
        <w:jc w:val="both"/>
        <w:rPr>
          <w:rFonts w:ascii="Times New Roman" w:hAnsi="Times New Roman" w:cs="Times New Roman"/>
        </w:rPr>
      </w:pPr>
      <w:r w:rsidRPr="00A244AB">
        <w:rPr>
          <w:rStyle w:val="FootnoteReference"/>
          <w:rFonts w:ascii="Times New Roman" w:eastAsiaTheme="majorEastAsia" w:hAnsi="Times New Roman" w:cs="Times New Roman"/>
        </w:rPr>
        <w:footnoteRef/>
      </w:r>
      <w:r w:rsidRPr="00A244AB">
        <w:rPr>
          <w:rFonts w:ascii="Times New Roman" w:hAnsi="Times New Roman" w:cs="Times New Roman"/>
        </w:rPr>
        <w:t xml:space="preserve"> </w:t>
      </w:r>
      <w:r w:rsidR="0091618D" w:rsidRPr="00A244AB">
        <w:rPr>
          <w:rFonts w:ascii="Times New Roman" w:hAnsi="Times New Roman" w:cs="Times New Roman"/>
        </w:rPr>
        <w:tab/>
      </w:r>
      <w:r w:rsidRPr="00A244AB">
        <w:rPr>
          <w:rFonts w:ascii="Times New Roman" w:hAnsi="Times New Roman" w:cs="Times New Roman"/>
        </w:rPr>
        <w:t xml:space="preserve">Emphasis added. </w:t>
      </w:r>
    </w:p>
  </w:footnote>
  <w:footnote w:id="13">
    <w:p w14:paraId="59383232" w14:textId="3423C775" w:rsidR="00974877" w:rsidRPr="00A244AB" w:rsidRDefault="00974877" w:rsidP="00A244AB">
      <w:pPr>
        <w:pStyle w:val="FootnoteText"/>
        <w:ind w:left="284" w:hanging="284"/>
        <w:jc w:val="both"/>
        <w:rPr>
          <w:rFonts w:ascii="Times New Roman" w:hAnsi="Times New Roman" w:cs="Times New Roman"/>
        </w:rPr>
      </w:pPr>
      <w:r w:rsidRPr="00A244AB">
        <w:rPr>
          <w:rStyle w:val="FootnoteReference"/>
          <w:rFonts w:ascii="Times New Roman" w:eastAsiaTheme="majorEastAsia" w:hAnsi="Times New Roman" w:cs="Times New Roman"/>
        </w:rPr>
        <w:footnoteRef/>
      </w:r>
      <w:r w:rsidRPr="00A244AB">
        <w:rPr>
          <w:rFonts w:ascii="Times New Roman" w:hAnsi="Times New Roman" w:cs="Times New Roman"/>
        </w:rPr>
        <w:t xml:space="preserve"> </w:t>
      </w:r>
      <w:r w:rsidR="0091618D" w:rsidRPr="00A244AB">
        <w:rPr>
          <w:rFonts w:ascii="Times New Roman" w:hAnsi="Times New Roman" w:cs="Times New Roman"/>
        </w:rPr>
        <w:tab/>
      </w:r>
      <w:r w:rsidRPr="00A244AB">
        <w:rPr>
          <w:rFonts w:ascii="Times New Roman" w:hAnsi="Times New Roman" w:cs="Times New Roman"/>
        </w:rPr>
        <w:t xml:space="preserve">See </w:t>
      </w:r>
      <w:r w:rsidRPr="00A244AB">
        <w:rPr>
          <w:rFonts w:ascii="Times New Roman" w:hAnsi="Times New Roman" w:cs="Times New Roman"/>
          <w:i/>
        </w:rPr>
        <w:t xml:space="preserve">Grimaldi v Chameleon Mining NL (No 2) </w:t>
      </w:r>
      <w:r w:rsidRPr="00A244AB">
        <w:rPr>
          <w:rFonts w:ascii="Times New Roman" w:hAnsi="Times New Roman" w:cs="Times New Roman"/>
        </w:rPr>
        <w:t xml:space="preserve">(2012) 200 FCR 296, [620]–[631]; </w:t>
      </w:r>
      <w:r w:rsidRPr="00A244AB">
        <w:rPr>
          <w:rFonts w:ascii="Times New Roman" w:hAnsi="Times New Roman" w:cs="Times New Roman"/>
          <w:i/>
        </w:rPr>
        <w:t xml:space="preserve">V-Flow Pty Ltd v Holyoake Industries (Vic) Pty Limited </w:t>
      </w:r>
      <w:r w:rsidRPr="00A244AB">
        <w:rPr>
          <w:rFonts w:ascii="Times New Roman" w:hAnsi="Times New Roman" w:cs="Times New Roman"/>
        </w:rPr>
        <w:t xml:space="preserve">(2013) 296 ALR 418, [54]; R. P. Austin and I. M. Ramsay, </w:t>
      </w:r>
      <w:r w:rsidRPr="00A244AB">
        <w:rPr>
          <w:rFonts w:ascii="Times New Roman" w:hAnsi="Times New Roman" w:cs="Times New Roman"/>
          <w:i/>
          <w:iCs/>
        </w:rPr>
        <w:t xml:space="preserve">Ford, Austin and Ramsay’s Principles of Corporations Law </w:t>
      </w:r>
      <w:r w:rsidRPr="00A244AB">
        <w:rPr>
          <w:rFonts w:ascii="Times New Roman" w:hAnsi="Times New Roman" w:cs="Times New Roman"/>
        </w:rPr>
        <w:t xml:space="preserve">(Online edition, LexisNexis Butterworths, 2016) [3.400.12]. </w:t>
      </w:r>
    </w:p>
  </w:footnote>
  <w:footnote w:id="14">
    <w:p w14:paraId="6260C3C7" w14:textId="3656FFDF" w:rsidR="00CA3F90" w:rsidRPr="00A244AB" w:rsidRDefault="00CA3F90" w:rsidP="00A244AB">
      <w:pPr>
        <w:pStyle w:val="FootnoteText"/>
        <w:ind w:left="284" w:hanging="284"/>
        <w:rPr>
          <w:rFonts w:ascii="Times New Roman" w:hAnsi="Times New Roman" w:cs="Times New Roman"/>
          <w:lang w:val="en-GB"/>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55486A" w:rsidRPr="00A244AB">
        <w:rPr>
          <w:rFonts w:ascii="Times New Roman" w:hAnsi="Times New Roman" w:cs="Times New Roman"/>
        </w:rPr>
        <w:tab/>
        <w:t xml:space="preserve">Helen Anderson, Ian Ramsay, Michelle Welsh and Jasper Hedges, ‘Phoenix Activity: Recommendations on Detection, Disruption and Enforcement’ (Research Report, Centre for Corporate Law and Securities Regulation, The University of Melbourne, February 2017) </w:t>
      </w:r>
      <w:r w:rsidR="005D64F0" w:rsidRPr="00A244AB">
        <w:rPr>
          <w:rFonts w:ascii="Times New Roman" w:hAnsi="Times New Roman" w:cs="Times New Roman"/>
        </w:rPr>
        <w:t>ii, 1, 50, 57, 77, 80.</w:t>
      </w:r>
    </w:p>
  </w:footnote>
  <w:footnote w:id="15">
    <w:p w14:paraId="083EFD7B" w14:textId="1F651D02" w:rsidR="00CA3F90" w:rsidRPr="00A244AB" w:rsidRDefault="00CA3F90" w:rsidP="00A244AB">
      <w:pPr>
        <w:pStyle w:val="FootnoteText"/>
        <w:ind w:left="284" w:hanging="284"/>
        <w:rPr>
          <w:rFonts w:ascii="Times New Roman" w:hAnsi="Times New Roman" w:cs="Times New Roman"/>
          <w:lang w:val="en-GB"/>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5D64F0" w:rsidRPr="00A244AB">
        <w:rPr>
          <w:rFonts w:ascii="Times New Roman" w:hAnsi="Times New Roman" w:cs="Times New Roman"/>
        </w:rPr>
        <w:tab/>
        <w:t>Ibid [2.2.3].</w:t>
      </w:r>
    </w:p>
  </w:footnote>
  <w:footnote w:id="16">
    <w:p w14:paraId="401A45D4" w14:textId="119A8A0F" w:rsidR="00CA3F90" w:rsidRPr="00A244AB" w:rsidRDefault="00CA3F90" w:rsidP="00A244AB">
      <w:pPr>
        <w:pStyle w:val="FootnoteText"/>
        <w:ind w:left="284" w:hanging="284"/>
        <w:rPr>
          <w:rFonts w:ascii="Times New Roman" w:hAnsi="Times New Roman" w:cs="Times New Roman"/>
          <w:lang w:val="en-GB"/>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5D64F0" w:rsidRPr="00A244AB">
        <w:rPr>
          <w:rFonts w:ascii="Times New Roman" w:hAnsi="Times New Roman" w:cs="Times New Roman"/>
        </w:rPr>
        <w:tab/>
        <w:t>Ibid [2.1].</w:t>
      </w:r>
    </w:p>
  </w:footnote>
  <w:footnote w:id="17">
    <w:p w14:paraId="2FFABD81" w14:textId="44A5CE24" w:rsidR="008D59AC" w:rsidRPr="00D03365" w:rsidRDefault="008D59AC" w:rsidP="00D71D38">
      <w:pPr>
        <w:pStyle w:val="FootnoteText"/>
        <w:ind w:left="284" w:hanging="284"/>
        <w:jc w:val="both"/>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Pr="00A244AB">
        <w:rPr>
          <w:rFonts w:ascii="Times New Roman" w:hAnsi="Times New Roman" w:cs="Times New Roman"/>
        </w:rPr>
        <w:tab/>
        <w:t>Helen Anderson, Ann O’Connell, Ian Ramsay, Michelle Welsh and Hannah Withers, ‘Quantifying Phoenix Activity: Incidence, Cost, Enforcement’ (Research Report, Centre for Corporate Law and Securities Regulation, The University of Melbourne, October 2015) (‘</w:t>
      </w:r>
      <w:r w:rsidRPr="00A244AB">
        <w:rPr>
          <w:rFonts w:ascii="Times New Roman" w:hAnsi="Times New Roman" w:cs="Times New Roman"/>
          <w:i/>
        </w:rPr>
        <w:t>Quantifying Phoenix Activity Report</w:t>
      </w:r>
      <w:r w:rsidRPr="00A244AB">
        <w:rPr>
          <w:rFonts w:ascii="Times New Roman" w:hAnsi="Times New Roman" w:cs="Times New Roman"/>
        </w:rPr>
        <w:t xml:space="preserve">’). </w:t>
      </w:r>
    </w:p>
  </w:footnote>
  <w:footnote w:id="18">
    <w:p w14:paraId="0B88013F" w14:textId="77777777" w:rsidR="00106BDB" w:rsidRPr="00A244AB" w:rsidRDefault="00106BDB" w:rsidP="00106BD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Pr="00A244AB">
        <w:rPr>
          <w:rFonts w:ascii="Times New Roman" w:hAnsi="Times New Roman" w:cs="Times New Roman"/>
        </w:rPr>
        <w:tab/>
        <w:t>The Hon Andrew Leigh MP, Shadow Assistant Treasurer, ‘Exposing Dodgy Directors’ (Media Release, 24 May 2017) &lt;</w:t>
      </w:r>
      <w:hyperlink r:id="rId1" w:history="1">
        <w:r w:rsidRPr="00D03365">
          <w:rPr>
            <w:rFonts w:ascii="Times New Roman" w:hAnsi="Times New Roman" w:cs="Times New Roman"/>
          </w:rPr>
          <w:t>http://www.andrewleigh.com/exposing_dodgy_directors</w:t>
        </w:r>
      </w:hyperlink>
      <w:r w:rsidRPr="00A244AB">
        <w:rPr>
          <w:rFonts w:ascii="Times New Roman" w:hAnsi="Times New Roman" w:cs="Times New Roman"/>
        </w:rPr>
        <w:t>&gt;.</w:t>
      </w:r>
    </w:p>
  </w:footnote>
  <w:footnote w:id="19">
    <w:p w14:paraId="1F4D766D" w14:textId="5B7A3850" w:rsidR="00AD7D32" w:rsidRPr="00A244AB" w:rsidRDefault="00AD7D32"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 xml:space="preserve">Productivity Commission, </w:t>
      </w:r>
      <w:r w:rsidRPr="00A244AB">
        <w:rPr>
          <w:rFonts w:ascii="Times New Roman" w:hAnsi="Times New Roman" w:cs="Times New Roman"/>
          <w:i/>
        </w:rPr>
        <w:t>Business Set-up, Transfer and Closure</w:t>
      </w:r>
      <w:r w:rsidRPr="00A244AB">
        <w:rPr>
          <w:rFonts w:ascii="Times New Roman" w:hAnsi="Times New Roman" w:cs="Times New Roman"/>
        </w:rPr>
        <w:t>, Report No 75 (2015) 423 (‘</w:t>
      </w:r>
      <w:r w:rsidRPr="00A244AB">
        <w:rPr>
          <w:rFonts w:ascii="Times New Roman" w:hAnsi="Times New Roman" w:cs="Times New Roman"/>
          <w:i/>
        </w:rPr>
        <w:t>Business Set-up Report</w:t>
      </w:r>
      <w:r w:rsidRPr="00A244AB">
        <w:rPr>
          <w:rFonts w:ascii="Times New Roman" w:hAnsi="Times New Roman" w:cs="Times New Roman"/>
        </w:rPr>
        <w:t>’) recommendation 15.6 (‘</w:t>
      </w:r>
      <w:r w:rsidRPr="00A244AB">
        <w:rPr>
          <w:rFonts w:ascii="Times New Roman" w:hAnsi="Times New Roman" w:cs="Times New Roman"/>
          <w:i/>
        </w:rPr>
        <w:t>Business Set-up Report</w:t>
      </w:r>
      <w:r w:rsidRPr="00A244AB">
        <w:rPr>
          <w:rFonts w:ascii="Times New Roman" w:hAnsi="Times New Roman" w:cs="Times New Roman"/>
        </w:rPr>
        <w:t>’).</w:t>
      </w:r>
    </w:p>
  </w:footnote>
  <w:footnote w:id="20">
    <w:p w14:paraId="79C4F47B" w14:textId="61426EE5" w:rsidR="00AD7D32" w:rsidRPr="00A244AB" w:rsidRDefault="00AD7D32"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 xml:space="preserve">Productivity Commission, </w:t>
      </w:r>
      <w:r w:rsidRPr="00A244AB">
        <w:rPr>
          <w:rFonts w:ascii="Times New Roman" w:hAnsi="Times New Roman" w:cs="Times New Roman"/>
          <w:i/>
        </w:rPr>
        <w:t>Workplace Relations Framework</w:t>
      </w:r>
      <w:r w:rsidRPr="00A244AB">
        <w:rPr>
          <w:rFonts w:ascii="Times New Roman" w:hAnsi="Times New Roman" w:cs="Times New Roman"/>
        </w:rPr>
        <w:t>, Report No 76 (2015) vol 1, 48, vol 2, 915, 938.</w:t>
      </w:r>
    </w:p>
  </w:footnote>
  <w:footnote w:id="21">
    <w:p w14:paraId="13E41E6E" w14:textId="21CE3019" w:rsidR="00AD7D32" w:rsidRPr="00A244AB" w:rsidRDefault="00AD7D32"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 xml:space="preserve">Senate Economics References Committee, Parliament of Australia, </w:t>
      </w:r>
      <w:r w:rsidRPr="00A244AB">
        <w:rPr>
          <w:rFonts w:ascii="Times New Roman" w:hAnsi="Times New Roman" w:cs="Times New Roman"/>
          <w:i/>
        </w:rPr>
        <w:t>‘I just want to be paid’: Insolvency in the Australian Construction Industry</w:t>
      </w:r>
      <w:r w:rsidRPr="00A244AB">
        <w:rPr>
          <w:rFonts w:ascii="Times New Roman" w:hAnsi="Times New Roman" w:cs="Times New Roman"/>
        </w:rPr>
        <w:t xml:space="preserve"> (2015) recommendation 36 (‘</w:t>
      </w:r>
      <w:r w:rsidRPr="00A244AB">
        <w:rPr>
          <w:rFonts w:ascii="Times New Roman" w:hAnsi="Times New Roman" w:cs="Times New Roman"/>
          <w:i/>
        </w:rPr>
        <w:t>SERC Construction Insolvency Report</w:t>
      </w:r>
      <w:r w:rsidRPr="00A244AB">
        <w:rPr>
          <w:rFonts w:ascii="Times New Roman" w:hAnsi="Times New Roman" w:cs="Times New Roman"/>
        </w:rPr>
        <w:t>’).</w:t>
      </w:r>
    </w:p>
  </w:footnote>
  <w:footnote w:id="22">
    <w:p w14:paraId="31700C4C" w14:textId="6A0603C8" w:rsidR="00AD7D32" w:rsidRPr="00A244AB" w:rsidRDefault="00AD7D32" w:rsidP="00A244AB">
      <w:pPr>
        <w:pStyle w:val="FootnoteText"/>
        <w:ind w:left="284" w:hanging="284"/>
        <w:rPr>
          <w:rFonts w:ascii="Times New Roman" w:hAnsi="Times New Roman" w:cs="Times New Roman"/>
          <w:i/>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 xml:space="preserve">Senate Economics References Committee, Parliament of Australia, </w:t>
      </w:r>
      <w:r w:rsidRPr="00A244AB">
        <w:rPr>
          <w:rFonts w:ascii="Times New Roman" w:hAnsi="Times New Roman" w:cs="Times New Roman"/>
          <w:i/>
        </w:rPr>
        <w:t xml:space="preserve">Corporate Tax Avoidance – Part 1: You Cannot Tax What You Cannot See </w:t>
      </w:r>
      <w:r w:rsidRPr="00A244AB">
        <w:rPr>
          <w:rFonts w:ascii="Times New Roman" w:hAnsi="Times New Roman" w:cs="Times New Roman"/>
        </w:rPr>
        <w:t>(2015) recommendation 16.</w:t>
      </w:r>
    </w:p>
  </w:footnote>
  <w:footnote w:id="23">
    <w:p w14:paraId="32948B23" w14:textId="216F4E43" w:rsidR="00AD7D32" w:rsidRPr="00A244AB" w:rsidRDefault="00AD7D32"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 xml:space="preserve">Senate Economics References Committee, Parliament of Australia, </w:t>
      </w:r>
      <w:r w:rsidRPr="00A244AB">
        <w:rPr>
          <w:rFonts w:ascii="Times New Roman" w:hAnsi="Times New Roman" w:cs="Times New Roman"/>
          <w:i/>
        </w:rPr>
        <w:t>Superbad – Wage Theft and Non-Compliance of the Superannuation Guarantee</w:t>
      </w:r>
      <w:r w:rsidRPr="00A244AB">
        <w:rPr>
          <w:rFonts w:ascii="Times New Roman" w:hAnsi="Times New Roman" w:cs="Times New Roman"/>
        </w:rPr>
        <w:t xml:space="preserve"> (2017) recommendation 20.</w:t>
      </w:r>
    </w:p>
  </w:footnote>
  <w:footnote w:id="24">
    <w:p w14:paraId="07AA9B27" w14:textId="6EADDEB1" w:rsidR="00AD7D32" w:rsidRPr="00A244AB" w:rsidRDefault="00AD7D32"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 xml:space="preserve">Australian Restructuring Insolvency and Turnaround Association, </w:t>
      </w:r>
      <w:r w:rsidRPr="00A244AB">
        <w:rPr>
          <w:rFonts w:ascii="Times New Roman" w:hAnsi="Times New Roman" w:cs="Times New Roman"/>
          <w:i/>
        </w:rPr>
        <w:t>Policy Positions of the Australian Restructuring Insolvency and Turnaround Association</w:t>
      </w:r>
      <w:r w:rsidRPr="00A244AB">
        <w:rPr>
          <w:rFonts w:ascii="Times New Roman" w:hAnsi="Times New Roman" w:cs="Times New Roman"/>
        </w:rPr>
        <w:t xml:space="preserve"> (February 2015) policy 15-05.</w:t>
      </w:r>
    </w:p>
  </w:footnote>
  <w:footnote w:id="25">
    <w:p w14:paraId="370EEE0D" w14:textId="05A1E7CE" w:rsidR="00AD7D32" w:rsidRPr="00A244AB" w:rsidRDefault="00AD7D32"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Governance Institute of Australia, ‘Identification Numbers Will Make It Easier to Track Directors’ (Media Release, MR/2015/13, 10 July 2015).</w:t>
      </w:r>
    </w:p>
  </w:footnote>
  <w:footnote w:id="26">
    <w:p w14:paraId="2994B287" w14:textId="1C6D1AE1" w:rsidR="00814009" w:rsidRPr="00A244AB" w:rsidRDefault="00814009"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Senator Katy Gallagher, ‘Who Support’s Labor’s Plan for a Director Identification Number, to Crack Down on Phoenix Companies?’ (Media Release, 25 May 2017) &lt;http://www.katygallagher.net/who_supports_labor_s_plan_for_a_director_identification_number_to_crack_down_on_phoenix_companies&gt;.</w:t>
      </w:r>
    </w:p>
  </w:footnote>
  <w:footnote w:id="27">
    <w:p w14:paraId="3DCE4A8B" w14:textId="709C8762" w:rsidR="0022369F" w:rsidRPr="00A244AB" w:rsidRDefault="0022369F"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Ibid.</w:t>
      </w:r>
    </w:p>
  </w:footnote>
  <w:footnote w:id="28">
    <w:p w14:paraId="031BE26A" w14:textId="6E05725F" w:rsidR="0022369F" w:rsidRPr="00A244AB" w:rsidRDefault="0022369F"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Ibid.</w:t>
      </w:r>
    </w:p>
  </w:footnote>
  <w:footnote w:id="29">
    <w:p w14:paraId="6D7D8F2E" w14:textId="1DE82A99" w:rsidR="0022369F" w:rsidRPr="00A244AB" w:rsidRDefault="0022369F"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Ibid.</w:t>
      </w:r>
    </w:p>
  </w:footnote>
  <w:footnote w:id="30">
    <w:p w14:paraId="7D4EEA27" w14:textId="408D11A7" w:rsidR="0022369F" w:rsidRPr="00A244AB" w:rsidRDefault="0022369F"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Ibid.</w:t>
      </w:r>
    </w:p>
  </w:footnote>
  <w:footnote w:id="31">
    <w:p w14:paraId="6D86D3DC" w14:textId="1A63EEAF" w:rsidR="007418B2" w:rsidRPr="00A244AB" w:rsidRDefault="007418B2" w:rsidP="00A244AB">
      <w:pPr>
        <w:pStyle w:val="FootnoteText"/>
        <w:ind w:left="284" w:hanging="284"/>
        <w:rPr>
          <w:rFonts w:ascii="Times New Roman" w:hAnsi="Times New Roman" w:cs="Times New Roman"/>
        </w:rPr>
      </w:pPr>
      <w:r w:rsidRPr="00A244AB">
        <w:rPr>
          <w:rStyle w:val="FootnoteReference"/>
          <w:rFonts w:ascii="Times New Roman" w:hAnsi="Times New Roman" w:cs="Times New Roman"/>
        </w:rPr>
        <w:footnoteRef/>
      </w:r>
      <w:r w:rsidRPr="00A244AB">
        <w:rPr>
          <w:rFonts w:ascii="Times New Roman" w:hAnsi="Times New Roman" w:cs="Times New Roman"/>
        </w:rPr>
        <w:t xml:space="preserve"> </w:t>
      </w:r>
      <w:r w:rsidR="00A244AB" w:rsidRPr="00A244AB">
        <w:rPr>
          <w:rFonts w:ascii="Times New Roman" w:hAnsi="Times New Roman" w:cs="Times New Roman"/>
        </w:rPr>
        <w:tab/>
      </w:r>
      <w:r w:rsidRPr="00A244AB">
        <w:rPr>
          <w:rFonts w:ascii="Times New Roman" w:hAnsi="Times New Roman" w:cs="Times New Roman"/>
        </w:rPr>
        <w:t xml:space="preserve">Ben Butler, ‘Plutus Probe Prompts Call for Directors to Have ID Number’ (31 May 2017) </w:t>
      </w:r>
      <w:r w:rsidRPr="00A244AB">
        <w:rPr>
          <w:rFonts w:ascii="Times New Roman" w:hAnsi="Times New Roman" w:cs="Times New Roman"/>
          <w:i/>
        </w:rPr>
        <w:t>The Australian</w:t>
      </w:r>
      <w:r w:rsidRPr="00A244AB">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9E9"/>
    <w:multiLevelType w:val="hybridMultilevel"/>
    <w:tmpl w:val="90AA319C"/>
    <w:lvl w:ilvl="0" w:tplc="0682FF74">
      <w:start w:val="1"/>
      <w:numFmt w:val="lowerLetter"/>
      <w:lvlText w:val="(%1)"/>
      <w:lvlJc w:val="left"/>
      <w:pPr>
        <w:ind w:left="1650" w:hanging="390"/>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
    <w:nsid w:val="058F6345"/>
    <w:multiLevelType w:val="multilevel"/>
    <w:tmpl w:val="37645B8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713"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8AD04D8"/>
    <w:multiLevelType w:val="hybridMultilevel"/>
    <w:tmpl w:val="8F146406"/>
    <w:lvl w:ilvl="0" w:tplc="BC36D95A">
      <w:start w:val="1"/>
      <w:numFmt w:val="lowerLetter"/>
      <w:lvlText w:val="(%1)"/>
      <w:lvlJc w:val="left"/>
      <w:pPr>
        <w:ind w:left="1800" w:hanging="360"/>
      </w:pPr>
      <w:rPr>
        <w:rFonts w:ascii="Times New Roman" w:eastAsiaTheme="majorEastAsia"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113C5CD9"/>
    <w:multiLevelType w:val="hybridMultilevel"/>
    <w:tmpl w:val="41A48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1FF0547"/>
    <w:multiLevelType w:val="hybridMultilevel"/>
    <w:tmpl w:val="6324B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A326B2"/>
    <w:multiLevelType w:val="hybridMultilevel"/>
    <w:tmpl w:val="53A42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A925F5"/>
    <w:multiLevelType w:val="hybridMultilevel"/>
    <w:tmpl w:val="9F9255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207F6109"/>
    <w:multiLevelType w:val="hybridMultilevel"/>
    <w:tmpl w:val="C3B81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15F54E3"/>
    <w:multiLevelType w:val="hybridMultilevel"/>
    <w:tmpl w:val="AD94948A"/>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EC96435"/>
    <w:multiLevelType w:val="multilevel"/>
    <w:tmpl w:val="21A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FB6C20"/>
    <w:multiLevelType w:val="hybridMultilevel"/>
    <w:tmpl w:val="1F8463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D9F5C99"/>
    <w:multiLevelType w:val="hybridMultilevel"/>
    <w:tmpl w:val="90AA319C"/>
    <w:lvl w:ilvl="0" w:tplc="0682FF74">
      <w:start w:val="1"/>
      <w:numFmt w:val="lowerLetter"/>
      <w:lvlText w:val="(%1)"/>
      <w:lvlJc w:val="left"/>
      <w:pPr>
        <w:ind w:left="1650" w:hanging="390"/>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2">
    <w:nsid w:val="5EDA1D80"/>
    <w:multiLevelType w:val="hybridMultilevel"/>
    <w:tmpl w:val="0600B0B6"/>
    <w:lvl w:ilvl="0" w:tplc="485690DE">
      <w:start w:val="1"/>
      <w:numFmt w:val="decimal"/>
      <w:lvlText w:val="(%1)"/>
      <w:lvlJc w:val="left"/>
      <w:pPr>
        <w:ind w:left="1293" w:hanging="435"/>
      </w:pPr>
      <w:rPr>
        <w:rFonts w:hint="default"/>
      </w:rPr>
    </w:lvl>
    <w:lvl w:ilvl="1" w:tplc="0C090019" w:tentative="1">
      <w:start w:val="1"/>
      <w:numFmt w:val="lowerLetter"/>
      <w:lvlText w:val="%2."/>
      <w:lvlJc w:val="left"/>
      <w:pPr>
        <w:ind w:left="1938" w:hanging="360"/>
      </w:pPr>
    </w:lvl>
    <w:lvl w:ilvl="2" w:tplc="0C09001B" w:tentative="1">
      <w:start w:val="1"/>
      <w:numFmt w:val="lowerRoman"/>
      <w:lvlText w:val="%3."/>
      <w:lvlJc w:val="right"/>
      <w:pPr>
        <w:ind w:left="2658" w:hanging="180"/>
      </w:pPr>
    </w:lvl>
    <w:lvl w:ilvl="3" w:tplc="0C09000F" w:tentative="1">
      <w:start w:val="1"/>
      <w:numFmt w:val="decimal"/>
      <w:lvlText w:val="%4."/>
      <w:lvlJc w:val="left"/>
      <w:pPr>
        <w:ind w:left="3378" w:hanging="360"/>
      </w:pPr>
    </w:lvl>
    <w:lvl w:ilvl="4" w:tplc="0C090019" w:tentative="1">
      <w:start w:val="1"/>
      <w:numFmt w:val="lowerLetter"/>
      <w:lvlText w:val="%5."/>
      <w:lvlJc w:val="left"/>
      <w:pPr>
        <w:ind w:left="4098" w:hanging="360"/>
      </w:pPr>
    </w:lvl>
    <w:lvl w:ilvl="5" w:tplc="0C09001B" w:tentative="1">
      <w:start w:val="1"/>
      <w:numFmt w:val="lowerRoman"/>
      <w:lvlText w:val="%6."/>
      <w:lvlJc w:val="right"/>
      <w:pPr>
        <w:ind w:left="4818" w:hanging="180"/>
      </w:pPr>
    </w:lvl>
    <w:lvl w:ilvl="6" w:tplc="0C09000F" w:tentative="1">
      <w:start w:val="1"/>
      <w:numFmt w:val="decimal"/>
      <w:lvlText w:val="%7."/>
      <w:lvlJc w:val="left"/>
      <w:pPr>
        <w:ind w:left="5538" w:hanging="360"/>
      </w:pPr>
    </w:lvl>
    <w:lvl w:ilvl="7" w:tplc="0C090019" w:tentative="1">
      <w:start w:val="1"/>
      <w:numFmt w:val="lowerLetter"/>
      <w:lvlText w:val="%8."/>
      <w:lvlJc w:val="left"/>
      <w:pPr>
        <w:ind w:left="6258" w:hanging="360"/>
      </w:pPr>
    </w:lvl>
    <w:lvl w:ilvl="8" w:tplc="0C09001B" w:tentative="1">
      <w:start w:val="1"/>
      <w:numFmt w:val="lowerRoman"/>
      <w:lvlText w:val="%9."/>
      <w:lvlJc w:val="right"/>
      <w:pPr>
        <w:ind w:left="6978" w:hanging="180"/>
      </w:pPr>
    </w:lvl>
  </w:abstractNum>
  <w:abstractNum w:abstractNumId="13">
    <w:nsid w:val="663A047D"/>
    <w:multiLevelType w:val="hybridMultilevel"/>
    <w:tmpl w:val="D284C16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9972B5"/>
    <w:multiLevelType w:val="hybridMultilevel"/>
    <w:tmpl w:val="B1DCED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F085A1B"/>
    <w:multiLevelType w:val="hybridMultilevel"/>
    <w:tmpl w:val="01F6B1CC"/>
    <w:lvl w:ilvl="0" w:tplc="4A98404C">
      <w:start w:val="1"/>
      <w:numFmt w:val="lowerLetter"/>
      <w:lvlText w:val="(%1)"/>
      <w:lvlJc w:val="left"/>
      <w:pPr>
        <w:ind w:left="1650" w:hanging="390"/>
      </w:pPr>
      <w:rPr>
        <w:rFonts w:hint="default"/>
        <w:i w:val="0"/>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6">
    <w:nsid w:val="727F5090"/>
    <w:multiLevelType w:val="hybridMultilevel"/>
    <w:tmpl w:val="BFAE23F2"/>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75870BEA"/>
    <w:multiLevelType w:val="hybridMultilevel"/>
    <w:tmpl w:val="7F22C0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6AE3AD4"/>
    <w:multiLevelType w:val="hybridMultilevel"/>
    <w:tmpl w:val="A4BC38B4"/>
    <w:lvl w:ilvl="0" w:tplc="C2329948">
      <w:start w:val="1"/>
      <w:numFmt w:val="lowerLetter"/>
      <w:lvlText w:val="(%1)"/>
      <w:lvlJc w:val="left"/>
      <w:pPr>
        <w:ind w:left="1650" w:hanging="390"/>
      </w:pPr>
      <w:rPr>
        <w:rFonts w:hint="default"/>
        <w:i w:val="0"/>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9">
    <w:nsid w:val="7AE9201C"/>
    <w:multiLevelType w:val="hybridMultilevel"/>
    <w:tmpl w:val="271E1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6"/>
  </w:num>
  <w:num w:numId="4">
    <w:abstractNumId w:val="1"/>
  </w:num>
  <w:num w:numId="5">
    <w:abstractNumId w:val="4"/>
  </w:num>
  <w:num w:numId="6">
    <w:abstractNumId w:val="14"/>
  </w:num>
  <w:num w:numId="7">
    <w:abstractNumId w:val="1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18"/>
  </w:num>
  <w:num w:numId="12">
    <w:abstractNumId w:val="15"/>
  </w:num>
  <w:num w:numId="13">
    <w:abstractNumId w:val="11"/>
  </w:num>
  <w:num w:numId="14">
    <w:abstractNumId w:val="8"/>
  </w:num>
  <w:num w:numId="15">
    <w:abstractNumId w:val="16"/>
  </w:num>
  <w:num w:numId="16">
    <w:abstractNumId w:val="7"/>
  </w:num>
  <w:num w:numId="17">
    <w:abstractNumId w:val="5"/>
  </w:num>
  <w:num w:numId="18">
    <w:abstractNumId w:val="3"/>
  </w:num>
  <w:num w:numId="19">
    <w:abstractNumId w:val="9"/>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Ramsay">
    <w15:presenceInfo w15:providerId="AD" w15:userId="S-1-5-21-2078795561-4233005657-3261906462-14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119"/>
    <w:rsid w:val="00000D0C"/>
    <w:rsid w:val="00024ABD"/>
    <w:rsid w:val="00037B3D"/>
    <w:rsid w:val="00046684"/>
    <w:rsid w:val="00047004"/>
    <w:rsid w:val="000503C5"/>
    <w:rsid w:val="000649AB"/>
    <w:rsid w:val="000655E4"/>
    <w:rsid w:val="00071092"/>
    <w:rsid w:val="00080516"/>
    <w:rsid w:val="000830D8"/>
    <w:rsid w:val="000849C6"/>
    <w:rsid w:val="00086575"/>
    <w:rsid w:val="0009316E"/>
    <w:rsid w:val="000A1BD0"/>
    <w:rsid w:val="000A2066"/>
    <w:rsid w:val="000B2DC2"/>
    <w:rsid w:val="000B758B"/>
    <w:rsid w:val="000C431A"/>
    <w:rsid w:val="000C4AF4"/>
    <w:rsid w:val="000C5AFD"/>
    <w:rsid w:val="000D39B6"/>
    <w:rsid w:val="000D5782"/>
    <w:rsid w:val="000F3CB2"/>
    <w:rsid w:val="00106BDB"/>
    <w:rsid w:val="0011313D"/>
    <w:rsid w:val="00120B27"/>
    <w:rsid w:val="001276AA"/>
    <w:rsid w:val="001352A5"/>
    <w:rsid w:val="001353AB"/>
    <w:rsid w:val="0015157F"/>
    <w:rsid w:val="00153845"/>
    <w:rsid w:val="001544F4"/>
    <w:rsid w:val="00161B0B"/>
    <w:rsid w:val="00161EA0"/>
    <w:rsid w:val="001814E0"/>
    <w:rsid w:val="00186759"/>
    <w:rsid w:val="001959F7"/>
    <w:rsid w:val="001A7BB0"/>
    <w:rsid w:val="001B072E"/>
    <w:rsid w:val="001B2623"/>
    <w:rsid w:val="001B2B8D"/>
    <w:rsid w:val="001B4CCB"/>
    <w:rsid w:val="001C4248"/>
    <w:rsid w:val="001D3BD8"/>
    <w:rsid w:val="001D7870"/>
    <w:rsid w:val="001E12CF"/>
    <w:rsid w:val="001E2DAE"/>
    <w:rsid w:val="001E71B8"/>
    <w:rsid w:val="001F14A4"/>
    <w:rsid w:val="001F1E51"/>
    <w:rsid w:val="001F2AA2"/>
    <w:rsid w:val="001F47AA"/>
    <w:rsid w:val="001F61AB"/>
    <w:rsid w:val="00220B51"/>
    <w:rsid w:val="002216ED"/>
    <w:rsid w:val="0022369F"/>
    <w:rsid w:val="00224759"/>
    <w:rsid w:val="00235DAE"/>
    <w:rsid w:val="00240DDA"/>
    <w:rsid w:val="0024246E"/>
    <w:rsid w:val="002430D8"/>
    <w:rsid w:val="002511E0"/>
    <w:rsid w:val="0025458B"/>
    <w:rsid w:val="00261B4B"/>
    <w:rsid w:val="00265764"/>
    <w:rsid w:val="00270C83"/>
    <w:rsid w:val="00285317"/>
    <w:rsid w:val="00293FD3"/>
    <w:rsid w:val="00294B46"/>
    <w:rsid w:val="00295985"/>
    <w:rsid w:val="002979B7"/>
    <w:rsid w:val="00297FC3"/>
    <w:rsid w:val="002B37D1"/>
    <w:rsid w:val="002C0331"/>
    <w:rsid w:val="002C4A84"/>
    <w:rsid w:val="002D6673"/>
    <w:rsid w:val="002E3334"/>
    <w:rsid w:val="002E5BDE"/>
    <w:rsid w:val="002F7F06"/>
    <w:rsid w:val="00313ACA"/>
    <w:rsid w:val="00321853"/>
    <w:rsid w:val="003265E5"/>
    <w:rsid w:val="00327676"/>
    <w:rsid w:val="003334DE"/>
    <w:rsid w:val="003365BF"/>
    <w:rsid w:val="00341682"/>
    <w:rsid w:val="003508AA"/>
    <w:rsid w:val="00352FF9"/>
    <w:rsid w:val="0035659D"/>
    <w:rsid w:val="00372F4F"/>
    <w:rsid w:val="00374688"/>
    <w:rsid w:val="00375563"/>
    <w:rsid w:val="003830BF"/>
    <w:rsid w:val="003866E0"/>
    <w:rsid w:val="00391957"/>
    <w:rsid w:val="00396C45"/>
    <w:rsid w:val="003A37A3"/>
    <w:rsid w:val="003B14D0"/>
    <w:rsid w:val="003B636C"/>
    <w:rsid w:val="003C3268"/>
    <w:rsid w:val="003C751A"/>
    <w:rsid w:val="003D1663"/>
    <w:rsid w:val="003E16AF"/>
    <w:rsid w:val="003E792F"/>
    <w:rsid w:val="003F0A31"/>
    <w:rsid w:val="003F72B8"/>
    <w:rsid w:val="004006AE"/>
    <w:rsid w:val="0040179B"/>
    <w:rsid w:val="004109D1"/>
    <w:rsid w:val="004173E2"/>
    <w:rsid w:val="00420063"/>
    <w:rsid w:val="0042271E"/>
    <w:rsid w:val="00430E78"/>
    <w:rsid w:val="004310BF"/>
    <w:rsid w:val="004475C7"/>
    <w:rsid w:val="00452F2E"/>
    <w:rsid w:val="00462819"/>
    <w:rsid w:val="00463164"/>
    <w:rsid w:val="00477446"/>
    <w:rsid w:val="00487D7C"/>
    <w:rsid w:val="00490946"/>
    <w:rsid w:val="0049771E"/>
    <w:rsid w:val="004A7010"/>
    <w:rsid w:val="004B719C"/>
    <w:rsid w:val="004D278C"/>
    <w:rsid w:val="004D36ED"/>
    <w:rsid w:val="004D75D1"/>
    <w:rsid w:val="004E5147"/>
    <w:rsid w:val="004E5605"/>
    <w:rsid w:val="004E6849"/>
    <w:rsid w:val="004F19C2"/>
    <w:rsid w:val="004F27A8"/>
    <w:rsid w:val="004F3179"/>
    <w:rsid w:val="004F6249"/>
    <w:rsid w:val="00503B3C"/>
    <w:rsid w:val="0050589C"/>
    <w:rsid w:val="00512C61"/>
    <w:rsid w:val="00514023"/>
    <w:rsid w:val="00517D74"/>
    <w:rsid w:val="00523BAA"/>
    <w:rsid w:val="00527037"/>
    <w:rsid w:val="0053107B"/>
    <w:rsid w:val="00534E05"/>
    <w:rsid w:val="00536D22"/>
    <w:rsid w:val="005469D3"/>
    <w:rsid w:val="0055486A"/>
    <w:rsid w:val="00560703"/>
    <w:rsid w:val="00562281"/>
    <w:rsid w:val="00573CDE"/>
    <w:rsid w:val="00580EB7"/>
    <w:rsid w:val="0059095A"/>
    <w:rsid w:val="00590DAF"/>
    <w:rsid w:val="005A753C"/>
    <w:rsid w:val="005A76B5"/>
    <w:rsid w:val="005B2783"/>
    <w:rsid w:val="005B4165"/>
    <w:rsid w:val="005B64DD"/>
    <w:rsid w:val="005B70DB"/>
    <w:rsid w:val="005C0AAF"/>
    <w:rsid w:val="005D5C89"/>
    <w:rsid w:val="005D64F0"/>
    <w:rsid w:val="005F1272"/>
    <w:rsid w:val="005F2299"/>
    <w:rsid w:val="005F2729"/>
    <w:rsid w:val="005F555B"/>
    <w:rsid w:val="0060591F"/>
    <w:rsid w:val="0060718A"/>
    <w:rsid w:val="00622265"/>
    <w:rsid w:val="00625119"/>
    <w:rsid w:val="006261DB"/>
    <w:rsid w:val="00632D97"/>
    <w:rsid w:val="006371BF"/>
    <w:rsid w:val="00657B29"/>
    <w:rsid w:val="00662CA8"/>
    <w:rsid w:val="00683D0C"/>
    <w:rsid w:val="0068715C"/>
    <w:rsid w:val="006928A3"/>
    <w:rsid w:val="00695BED"/>
    <w:rsid w:val="006B58B3"/>
    <w:rsid w:val="006B7841"/>
    <w:rsid w:val="006C2CF7"/>
    <w:rsid w:val="006C49BE"/>
    <w:rsid w:val="006C6A3D"/>
    <w:rsid w:val="006E76C7"/>
    <w:rsid w:val="006F0C46"/>
    <w:rsid w:val="006F1921"/>
    <w:rsid w:val="006F3E89"/>
    <w:rsid w:val="006F7061"/>
    <w:rsid w:val="00710761"/>
    <w:rsid w:val="00711B52"/>
    <w:rsid w:val="00733619"/>
    <w:rsid w:val="007418B2"/>
    <w:rsid w:val="00742A9C"/>
    <w:rsid w:val="00761F9A"/>
    <w:rsid w:val="0077142E"/>
    <w:rsid w:val="0077241F"/>
    <w:rsid w:val="0077471C"/>
    <w:rsid w:val="00776C11"/>
    <w:rsid w:val="0078762A"/>
    <w:rsid w:val="007C7A70"/>
    <w:rsid w:val="007D077E"/>
    <w:rsid w:val="007E0BB7"/>
    <w:rsid w:val="007F1E55"/>
    <w:rsid w:val="00802374"/>
    <w:rsid w:val="00802D04"/>
    <w:rsid w:val="008033AD"/>
    <w:rsid w:val="00805AD7"/>
    <w:rsid w:val="00806357"/>
    <w:rsid w:val="00807958"/>
    <w:rsid w:val="008122B7"/>
    <w:rsid w:val="00814009"/>
    <w:rsid w:val="00815647"/>
    <w:rsid w:val="00822B39"/>
    <w:rsid w:val="00831045"/>
    <w:rsid w:val="00832CB4"/>
    <w:rsid w:val="008430B5"/>
    <w:rsid w:val="00844512"/>
    <w:rsid w:val="00846C62"/>
    <w:rsid w:val="008476F6"/>
    <w:rsid w:val="0085090A"/>
    <w:rsid w:val="00860B5F"/>
    <w:rsid w:val="0086527E"/>
    <w:rsid w:val="00874413"/>
    <w:rsid w:val="008824D1"/>
    <w:rsid w:val="0088343F"/>
    <w:rsid w:val="00897CD1"/>
    <w:rsid w:val="008A3256"/>
    <w:rsid w:val="008A62DB"/>
    <w:rsid w:val="008B4645"/>
    <w:rsid w:val="008B754B"/>
    <w:rsid w:val="008B7801"/>
    <w:rsid w:val="008D075A"/>
    <w:rsid w:val="008D59AC"/>
    <w:rsid w:val="008E07D8"/>
    <w:rsid w:val="008E178E"/>
    <w:rsid w:val="008E29D6"/>
    <w:rsid w:val="008E3D6E"/>
    <w:rsid w:val="008E6608"/>
    <w:rsid w:val="008E7D30"/>
    <w:rsid w:val="008F1DA2"/>
    <w:rsid w:val="00912FA7"/>
    <w:rsid w:val="00914739"/>
    <w:rsid w:val="0091618D"/>
    <w:rsid w:val="009172F9"/>
    <w:rsid w:val="00924B08"/>
    <w:rsid w:val="00925921"/>
    <w:rsid w:val="00927178"/>
    <w:rsid w:val="009335DD"/>
    <w:rsid w:val="00957F1C"/>
    <w:rsid w:val="009656C2"/>
    <w:rsid w:val="009741B4"/>
    <w:rsid w:val="00974877"/>
    <w:rsid w:val="0098252A"/>
    <w:rsid w:val="009838D1"/>
    <w:rsid w:val="00986643"/>
    <w:rsid w:val="00991F61"/>
    <w:rsid w:val="009A048A"/>
    <w:rsid w:val="009B140B"/>
    <w:rsid w:val="009B2231"/>
    <w:rsid w:val="009B348A"/>
    <w:rsid w:val="009B39C2"/>
    <w:rsid w:val="009C3C15"/>
    <w:rsid w:val="009C3D1C"/>
    <w:rsid w:val="009D2B26"/>
    <w:rsid w:val="009E0A09"/>
    <w:rsid w:val="009E0DE9"/>
    <w:rsid w:val="009E2660"/>
    <w:rsid w:val="009E2FE2"/>
    <w:rsid w:val="009F17B5"/>
    <w:rsid w:val="009F4005"/>
    <w:rsid w:val="009F49F4"/>
    <w:rsid w:val="00A00559"/>
    <w:rsid w:val="00A02927"/>
    <w:rsid w:val="00A02C6E"/>
    <w:rsid w:val="00A04940"/>
    <w:rsid w:val="00A054B1"/>
    <w:rsid w:val="00A06119"/>
    <w:rsid w:val="00A160CF"/>
    <w:rsid w:val="00A20E44"/>
    <w:rsid w:val="00A244AB"/>
    <w:rsid w:val="00A25699"/>
    <w:rsid w:val="00A31651"/>
    <w:rsid w:val="00A32B7A"/>
    <w:rsid w:val="00A33ABB"/>
    <w:rsid w:val="00A34148"/>
    <w:rsid w:val="00A35F14"/>
    <w:rsid w:val="00A816A8"/>
    <w:rsid w:val="00A8191A"/>
    <w:rsid w:val="00A93E82"/>
    <w:rsid w:val="00AA6940"/>
    <w:rsid w:val="00AB0FD3"/>
    <w:rsid w:val="00AB1524"/>
    <w:rsid w:val="00AB3434"/>
    <w:rsid w:val="00AB584A"/>
    <w:rsid w:val="00AD1ADD"/>
    <w:rsid w:val="00AD31D9"/>
    <w:rsid w:val="00AD4AF5"/>
    <w:rsid w:val="00AD59F8"/>
    <w:rsid w:val="00AD7D32"/>
    <w:rsid w:val="00AE0702"/>
    <w:rsid w:val="00AE2C1C"/>
    <w:rsid w:val="00AE2E0E"/>
    <w:rsid w:val="00AF06E8"/>
    <w:rsid w:val="00AF4327"/>
    <w:rsid w:val="00AF617B"/>
    <w:rsid w:val="00AF6C2D"/>
    <w:rsid w:val="00B04327"/>
    <w:rsid w:val="00B12821"/>
    <w:rsid w:val="00B12A65"/>
    <w:rsid w:val="00B12AB9"/>
    <w:rsid w:val="00B17466"/>
    <w:rsid w:val="00B17E00"/>
    <w:rsid w:val="00B21A06"/>
    <w:rsid w:val="00B224E8"/>
    <w:rsid w:val="00B22B09"/>
    <w:rsid w:val="00B45892"/>
    <w:rsid w:val="00B47F46"/>
    <w:rsid w:val="00B5016C"/>
    <w:rsid w:val="00B52FC6"/>
    <w:rsid w:val="00B730BC"/>
    <w:rsid w:val="00B753F1"/>
    <w:rsid w:val="00B768BA"/>
    <w:rsid w:val="00B803F9"/>
    <w:rsid w:val="00B8359C"/>
    <w:rsid w:val="00B908C1"/>
    <w:rsid w:val="00B97E17"/>
    <w:rsid w:val="00BA0ABD"/>
    <w:rsid w:val="00BA3144"/>
    <w:rsid w:val="00BA621A"/>
    <w:rsid w:val="00BC4E04"/>
    <w:rsid w:val="00BC77E5"/>
    <w:rsid w:val="00BC7D52"/>
    <w:rsid w:val="00BD7D15"/>
    <w:rsid w:val="00BE3207"/>
    <w:rsid w:val="00BE3861"/>
    <w:rsid w:val="00BF7284"/>
    <w:rsid w:val="00C0015C"/>
    <w:rsid w:val="00C11E6D"/>
    <w:rsid w:val="00C400AE"/>
    <w:rsid w:val="00C4383F"/>
    <w:rsid w:val="00C45736"/>
    <w:rsid w:val="00C4703E"/>
    <w:rsid w:val="00C5074A"/>
    <w:rsid w:val="00C511E9"/>
    <w:rsid w:val="00C6211F"/>
    <w:rsid w:val="00C84FC9"/>
    <w:rsid w:val="00C85BE2"/>
    <w:rsid w:val="00C97EE1"/>
    <w:rsid w:val="00CA1DF4"/>
    <w:rsid w:val="00CA233B"/>
    <w:rsid w:val="00CA3F90"/>
    <w:rsid w:val="00CC0BCB"/>
    <w:rsid w:val="00CC33F8"/>
    <w:rsid w:val="00CC4947"/>
    <w:rsid w:val="00CD44EA"/>
    <w:rsid w:val="00CD48B8"/>
    <w:rsid w:val="00CE5728"/>
    <w:rsid w:val="00CF0C59"/>
    <w:rsid w:val="00CF48D5"/>
    <w:rsid w:val="00D03365"/>
    <w:rsid w:val="00D0484E"/>
    <w:rsid w:val="00D1592C"/>
    <w:rsid w:val="00D15ED9"/>
    <w:rsid w:val="00D1611F"/>
    <w:rsid w:val="00D263F7"/>
    <w:rsid w:val="00D26BC9"/>
    <w:rsid w:val="00D305A7"/>
    <w:rsid w:val="00D31499"/>
    <w:rsid w:val="00D331B9"/>
    <w:rsid w:val="00D33D93"/>
    <w:rsid w:val="00D34FD9"/>
    <w:rsid w:val="00D35110"/>
    <w:rsid w:val="00D426D7"/>
    <w:rsid w:val="00D539B2"/>
    <w:rsid w:val="00D61B71"/>
    <w:rsid w:val="00D61D6C"/>
    <w:rsid w:val="00D64261"/>
    <w:rsid w:val="00D64766"/>
    <w:rsid w:val="00D66022"/>
    <w:rsid w:val="00D66DDD"/>
    <w:rsid w:val="00D71D38"/>
    <w:rsid w:val="00D71F79"/>
    <w:rsid w:val="00D72BBC"/>
    <w:rsid w:val="00D74103"/>
    <w:rsid w:val="00D7740F"/>
    <w:rsid w:val="00D815A7"/>
    <w:rsid w:val="00D92CC6"/>
    <w:rsid w:val="00D93082"/>
    <w:rsid w:val="00DA6C52"/>
    <w:rsid w:val="00DC3DEE"/>
    <w:rsid w:val="00DC52DE"/>
    <w:rsid w:val="00DE3D25"/>
    <w:rsid w:val="00DF0067"/>
    <w:rsid w:val="00DF1862"/>
    <w:rsid w:val="00DF27EE"/>
    <w:rsid w:val="00DF587D"/>
    <w:rsid w:val="00E01B6B"/>
    <w:rsid w:val="00E02454"/>
    <w:rsid w:val="00E061A5"/>
    <w:rsid w:val="00E07C52"/>
    <w:rsid w:val="00E1236D"/>
    <w:rsid w:val="00E17560"/>
    <w:rsid w:val="00E17575"/>
    <w:rsid w:val="00E209E8"/>
    <w:rsid w:val="00E328DE"/>
    <w:rsid w:val="00E3477E"/>
    <w:rsid w:val="00E4709E"/>
    <w:rsid w:val="00E5245E"/>
    <w:rsid w:val="00E53E9E"/>
    <w:rsid w:val="00E7478F"/>
    <w:rsid w:val="00EA1828"/>
    <w:rsid w:val="00EA2A2B"/>
    <w:rsid w:val="00EB04EF"/>
    <w:rsid w:val="00EC0937"/>
    <w:rsid w:val="00EC3CCB"/>
    <w:rsid w:val="00EC706D"/>
    <w:rsid w:val="00ED2922"/>
    <w:rsid w:val="00ED2F28"/>
    <w:rsid w:val="00ED72F3"/>
    <w:rsid w:val="00EE06A9"/>
    <w:rsid w:val="00EE0DEE"/>
    <w:rsid w:val="00EE2697"/>
    <w:rsid w:val="00EE3E7C"/>
    <w:rsid w:val="00F03A98"/>
    <w:rsid w:val="00F06070"/>
    <w:rsid w:val="00F12BDD"/>
    <w:rsid w:val="00F14CF2"/>
    <w:rsid w:val="00F35B03"/>
    <w:rsid w:val="00F415D5"/>
    <w:rsid w:val="00F47CA4"/>
    <w:rsid w:val="00F50578"/>
    <w:rsid w:val="00F63FCA"/>
    <w:rsid w:val="00F73BE3"/>
    <w:rsid w:val="00F76C6F"/>
    <w:rsid w:val="00F95963"/>
    <w:rsid w:val="00F9750E"/>
    <w:rsid w:val="00F979BD"/>
    <w:rsid w:val="00FA5193"/>
    <w:rsid w:val="00FB3242"/>
    <w:rsid w:val="00FB4A27"/>
    <w:rsid w:val="00FB5DE2"/>
    <w:rsid w:val="00FC61F3"/>
    <w:rsid w:val="00FD4786"/>
    <w:rsid w:val="00FD6F26"/>
    <w:rsid w:val="00FF2DD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19"/>
  </w:style>
  <w:style w:type="paragraph" w:styleId="Heading1">
    <w:name w:val="heading 1"/>
    <w:basedOn w:val="Normal"/>
    <w:next w:val="Normal"/>
    <w:link w:val="Heading1Char"/>
    <w:uiPriority w:val="9"/>
    <w:qFormat/>
    <w:rsid w:val="004173E2"/>
    <w:pPr>
      <w:keepNext/>
      <w:keepLines/>
      <w:numPr>
        <w:numId w:val="4"/>
      </w:numPr>
      <w:pBdr>
        <w:top w:val="single" w:sz="4" w:space="1" w:color="auto"/>
        <w:left w:val="single" w:sz="4" w:space="4" w:color="auto"/>
        <w:bottom w:val="single" w:sz="4" w:space="1" w:color="auto"/>
        <w:right w:val="single" w:sz="4" w:space="4" w:color="auto"/>
      </w:pBdr>
      <w:shd w:val="clear" w:color="auto" w:fill="244061" w:themeFill="accent1" w:themeFillShade="80"/>
      <w:spacing w:before="240" w:after="0" w:line="259" w:lineRule="auto"/>
      <w:outlineLvl w:val="0"/>
    </w:pPr>
    <w:rPr>
      <w:rFonts w:ascii="Times New Roman" w:eastAsiaTheme="majorEastAsia" w:hAnsi="Times New Roman" w:cstheme="majorBidi"/>
      <w:color w:val="FFFFFF" w:themeColor="background1"/>
      <w:sz w:val="24"/>
      <w:szCs w:val="32"/>
    </w:rPr>
  </w:style>
  <w:style w:type="paragraph" w:styleId="Heading2">
    <w:name w:val="heading 2"/>
    <w:basedOn w:val="Normal"/>
    <w:next w:val="Normal"/>
    <w:link w:val="Heading2Char"/>
    <w:uiPriority w:val="9"/>
    <w:unhideWhenUsed/>
    <w:qFormat/>
    <w:rsid w:val="004173E2"/>
    <w:pPr>
      <w:keepNext/>
      <w:keepLines/>
      <w:numPr>
        <w:ilvl w:val="1"/>
        <w:numId w:val="4"/>
      </w:numPr>
      <w:pBdr>
        <w:top w:val="single" w:sz="4" w:space="1" w:color="auto"/>
        <w:left w:val="single" w:sz="4" w:space="4" w:color="auto"/>
        <w:bottom w:val="single" w:sz="4" w:space="1" w:color="auto"/>
        <w:right w:val="single" w:sz="4" w:space="4" w:color="auto"/>
      </w:pBdr>
      <w:shd w:val="clear" w:color="auto" w:fill="95B3D7" w:themeFill="accent1" w:themeFillTint="99"/>
      <w:spacing w:before="40" w:after="0" w:line="259"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4173E2"/>
    <w:pPr>
      <w:keepNext/>
      <w:keepLines/>
      <w:numPr>
        <w:ilvl w:val="2"/>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0" w:line="259" w:lineRule="auto"/>
      <w:ind w:left="720"/>
      <w:outlineLvl w:val="2"/>
    </w:pPr>
    <w:rPr>
      <w:rFonts w:ascii="Times New Roman" w:eastAsiaTheme="majorEastAsia" w:hAnsi="Times New Roman" w:cstheme="majorBidi"/>
      <w:color w:val="000000" w:themeColor="text1"/>
      <w:sz w:val="24"/>
      <w:szCs w:val="24"/>
    </w:rPr>
  </w:style>
  <w:style w:type="paragraph" w:styleId="Heading4">
    <w:name w:val="heading 4"/>
    <w:basedOn w:val="Normal"/>
    <w:next w:val="Normal"/>
    <w:link w:val="Heading4Char"/>
    <w:uiPriority w:val="9"/>
    <w:unhideWhenUsed/>
    <w:qFormat/>
    <w:rsid w:val="004173E2"/>
    <w:pPr>
      <w:keepNext/>
      <w:keepLines/>
      <w:numPr>
        <w:ilvl w:val="3"/>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0" w:line="259" w:lineRule="auto"/>
      <w:outlineLvl w:val="3"/>
    </w:pPr>
    <w:rPr>
      <w:rFonts w:ascii="Times New Roman" w:eastAsiaTheme="majorEastAsia" w:hAnsi="Times New Roman" w:cstheme="majorBidi"/>
      <w:iCs/>
      <w:color w:val="000000" w:themeColor="text1"/>
      <w:sz w:val="24"/>
    </w:rPr>
  </w:style>
  <w:style w:type="paragraph" w:styleId="Heading5">
    <w:name w:val="heading 5"/>
    <w:basedOn w:val="Normal"/>
    <w:next w:val="Normal"/>
    <w:link w:val="Heading5Char"/>
    <w:uiPriority w:val="9"/>
    <w:unhideWhenUsed/>
    <w:qFormat/>
    <w:rsid w:val="004173E2"/>
    <w:pPr>
      <w:keepNext/>
      <w:keepLines/>
      <w:numPr>
        <w:ilvl w:val="4"/>
        <w:numId w:val="4"/>
      </w:numPr>
      <w:pBdr>
        <w:top w:val="single" w:sz="4" w:space="1" w:color="auto"/>
        <w:left w:val="single" w:sz="4" w:space="4" w:color="auto"/>
        <w:bottom w:val="single" w:sz="4" w:space="1" w:color="auto"/>
        <w:right w:val="single" w:sz="4" w:space="4" w:color="auto"/>
      </w:pBdr>
      <w:shd w:val="clear" w:color="auto" w:fill="FFFFFF" w:themeFill="background1"/>
      <w:spacing w:before="40" w:after="0" w:line="259" w:lineRule="auto"/>
      <w:outlineLvl w:val="4"/>
    </w:pPr>
    <w:rPr>
      <w:rFonts w:ascii="Times New Roman" w:eastAsiaTheme="majorEastAsia" w:hAnsi="Times New Roman" w:cstheme="majorBidi"/>
    </w:rPr>
  </w:style>
  <w:style w:type="paragraph" w:styleId="Heading6">
    <w:name w:val="heading 6"/>
    <w:basedOn w:val="Normal"/>
    <w:next w:val="Normal"/>
    <w:link w:val="Heading6Char"/>
    <w:uiPriority w:val="9"/>
    <w:semiHidden/>
    <w:unhideWhenUsed/>
    <w:qFormat/>
    <w:rsid w:val="004173E2"/>
    <w:pPr>
      <w:keepNext/>
      <w:keepLines/>
      <w:numPr>
        <w:ilvl w:val="5"/>
        <w:numId w:val="4"/>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73E2"/>
    <w:pPr>
      <w:keepNext/>
      <w:keepLines/>
      <w:numPr>
        <w:ilvl w:val="6"/>
        <w:numId w:val="4"/>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73E2"/>
    <w:pPr>
      <w:keepNext/>
      <w:keepLines/>
      <w:numPr>
        <w:ilvl w:val="7"/>
        <w:numId w:val="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73E2"/>
    <w:pPr>
      <w:keepNext/>
      <w:keepLines/>
      <w:numPr>
        <w:ilvl w:val="8"/>
        <w:numId w:val="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6119"/>
    <w:rPr>
      <w:rFonts w:cs="Times New Roman"/>
      <w:color w:val="0000FF"/>
      <w:u w:val="single"/>
    </w:rPr>
  </w:style>
  <w:style w:type="paragraph" w:styleId="FootnoteText">
    <w:name w:val="footnote text"/>
    <w:aliases w:val="LJ Footnote Text,FN"/>
    <w:basedOn w:val="Normal"/>
    <w:link w:val="FootnoteTextChar"/>
    <w:uiPriority w:val="99"/>
    <w:unhideWhenUsed/>
    <w:qFormat/>
    <w:rsid w:val="00D33D93"/>
    <w:pPr>
      <w:spacing w:after="0" w:line="240" w:lineRule="auto"/>
    </w:pPr>
    <w:rPr>
      <w:sz w:val="20"/>
      <w:szCs w:val="20"/>
    </w:rPr>
  </w:style>
  <w:style w:type="character" w:customStyle="1" w:styleId="FootnoteTextChar">
    <w:name w:val="Footnote Text Char"/>
    <w:aliases w:val="LJ Footnote Text Char,FN Char"/>
    <w:basedOn w:val="DefaultParagraphFont"/>
    <w:link w:val="FootnoteText"/>
    <w:uiPriority w:val="99"/>
    <w:rsid w:val="00D33D93"/>
    <w:rPr>
      <w:sz w:val="20"/>
      <w:szCs w:val="20"/>
    </w:rPr>
  </w:style>
  <w:style w:type="character" w:styleId="FootnoteReference">
    <w:name w:val="footnote reference"/>
    <w:aliases w:val="footnote ref,NO,Footnotes refss,Footnote,16 Point,Superscript 6 Point"/>
    <w:basedOn w:val="DefaultParagraphFont"/>
    <w:uiPriority w:val="99"/>
    <w:unhideWhenUsed/>
    <w:qFormat/>
    <w:rsid w:val="00D33D93"/>
    <w:rPr>
      <w:vertAlign w:val="superscript"/>
    </w:rPr>
  </w:style>
  <w:style w:type="paragraph" w:styleId="ListParagraph">
    <w:name w:val="List Paragraph"/>
    <w:basedOn w:val="Normal"/>
    <w:uiPriority w:val="34"/>
    <w:qFormat/>
    <w:rsid w:val="00294B46"/>
    <w:pPr>
      <w:ind w:left="720"/>
      <w:contextualSpacing/>
    </w:pPr>
  </w:style>
  <w:style w:type="character" w:styleId="CommentReference">
    <w:name w:val="annotation reference"/>
    <w:basedOn w:val="DefaultParagraphFont"/>
    <w:uiPriority w:val="99"/>
    <w:semiHidden/>
    <w:unhideWhenUsed/>
    <w:rsid w:val="00120B27"/>
    <w:rPr>
      <w:sz w:val="16"/>
      <w:szCs w:val="16"/>
    </w:rPr>
  </w:style>
  <w:style w:type="paragraph" w:styleId="CommentText">
    <w:name w:val="annotation text"/>
    <w:basedOn w:val="Normal"/>
    <w:link w:val="CommentTextChar"/>
    <w:uiPriority w:val="99"/>
    <w:semiHidden/>
    <w:unhideWhenUsed/>
    <w:rsid w:val="00120B27"/>
    <w:pPr>
      <w:spacing w:line="240" w:lineRule="auto"/>
    </w:pPr>
    <w:rPr>
      <w:sz w:val="20"/>
      <w:szCs w:val="20"/>
    </w:rPr>
  </w:style>
  <w:style w:type="character" w:customStyle="1" w:styleId="CommentTextChar">
    <w:name w:val="Comment Text Char"/>
    <w:basedOn w:val="DefaultParagraphFont"/>
    <w:link w:val="CommentText"/>
    <w:uiPriority w:val="99"/>
    <w:semiHidden/>
    <w:rsid w:val="00120B27"/>
    <w:rPr>
      <w:sz w:val="20"/>
      <w:szCs w:val="20"/>
    </w:rPr>
  </w:style>
  <w:style w:type="paragraph" w:styleId="CommentSubject">
    <w:name w:val="annotation subject"/>
    <w:basedOn w:val="CommentText"/>
    <w:next w:val="CommentText"/>
    <w:link w:val="CommentSubjectChar"/>
    <w:uiPriority w:val="99"/>
    <w:semiHidden/>
    <w:unhideWhenUsed/>
    <w:rsid w:val="00120B27"/>
    <w:rPr>
      <w:b/>
      <w:bCs/>
    </w:rPr>
  </w:style>
  <w:style w:type="character" w:customStyle="1" w:styleId="CommentSubjectChar">
    <w:name w:val="Comment Subject Char"/>
    <w:basedOn w:val="CommentTextChar"/>
    <w:link w:val="CommentSubject"/>
    <w:uiPriority w:val="99"/>
    <w:semiHidden/>
    <w:rsid w:val="00120B27"/>
    <w:rPr>
      <w:b/>
      <w:bCs/>
      <w:sz w:val="20"/>
      <w:szCs w:val="20"/>
    </w:rPr>
  </w:style>
  <w:style w:type="paragraph" w:styleId="BalloonText">
    <w:name w:val="Balloon Text"/>
    <w:basedOn w:val="Normal"/>
    <w:link w:val="BalloonTextChar"/>
    <w:uiPriority w:val="99"/>
    <w:semiHidden/>
    <w:unhideWhenUsed/>
    <w:rsid w:val="0012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B27"/>
    <w:rPr>
      <w:rFonts w:ascii="Segoe UI" w:hAnsi="Segoe UI" w:cs="Segoe UI"/>
      <w:sz w:val="18"/>
      <w:szCs w:val="18"/>
    </w:rPr>
  </w:style>
  <w:style w:type="paragraph" w:styleId="Revision">
    <w:name w:val="Revision"/>
    <w:hidden/>
    <w:uiPriority w:val="99"/>
    <w:semiHidden/>
    <w:rsid w:val="00CD48B8"/>
    <w:pPr>
      <w:spacing w:after="0" w:line="240" w:lineRule="auto"/>
    </w:pPr>
  </w:style>
  <w:style w:type="character" w:styleId="FollowedHyperlink">
    <w:name w:val="FollowedHyperlink"/>
    <w:basedOn w:val="DefaultParagraphFont"/>
    <w:uiPriority w:val="99"/>
    <w:semiHidden/>
    <w:unhideWhenUsed/>
    <w:rsid w:val="00FB5DE2"/>
    <w:rPr>
      <w:color w:val="800080" w:themeColor="followedHyperlink"/>
      <w:u w:val="single"/>
    </w:rPr>
  </w:style>
  <w:style w:type="paragraph" w:customStyle="1" w:styleId="Footnotetxt">
    <w:name w:val="Footnote txt"/>
    <w:basedOn w:val="FootnoteText"/>
    <w:uiPriority w:val="99"/>
    <w:qFormat/>
    <w:rsid w:val="00487D7C"/>
    <w:pPr>
      <w:tabs>
        <w:tab w:val="left" w:pos="284"/>
      </w:tabs>
      <w:ind w:left="284" w:hanging="284"/>
      <w:jc w:val="both"/>
    </w:pPr>
    <w:rPr>
      <w:rFonts w:ascii="Times New Roman" w:eastAsia="Times New Roman" w:hAnsi="Times New Roman" w:cs="Times New Roman"/>
      <w:sz w:val="16"/>
      <w:lang w:eastAsia="en-AU"/>
    </w:rPr>
  </w:style>
  <w:style w:type="table" w:styleId="TableGrid">
    <w:name w:val="Table Grid"/>
    <w:basedOn w:val="TableNormal"/>
    <w:uiPriority w:val="39"/>
    <w:rsid w:val="0048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3E2"/>
    <w:rPr>
      <w:rFonts w:ascii="Times New Roman" w:eastAsiaTheme="majorEastAsia" w:hAnsi="Times New Roman" w:cstheme="majorBidi"/>
      <w:color w:val="FFFFFF" w:themeColor="background1"/>
      <w:sz w:val="24"/>
      <w:szCs w:val="32"/>
      <w:shd w:val="clear" w:color="auto" w:fill="244061" w:themeFill="accent1" w:themeFillShade="80"/>
    </w:rPr>
  </w:style>
  <w:style w:type="character" w:customStyle="1" w:styleId="Heading2Char">
    <w:name w:val="Heading 2 Char"/>
    <w:basedOn w:val="DefaultParagraphFont"/>
    <w:link w:val="Heading2"/>
    <w:uiPriority w:val="9"/>
    <w:rsid w:val="004173E2"/>
    <w:rPr>
      <w:rFonts w:ascii="Times New Roman" w:eastAsiaTheme="majorEastAsia" w:hAnsi="Times New Roman" w:cstheme="majorBidi"/>
      <w:sz w:val="24"/>
      <w:szCs w:val="26"/>
      <w:shd w:val="clear" w:color="auto" w:fill="95B3D7" w:themeFill="accent1" w:themeFillTint="99"/>
    </w:rPr>
  </w:style>
  <w:style w:type="character" w:customStyle="1" w:styleId="Heading3Char">
    <w:name w:val="Heading 3 Char"/>
    <w:basedOn w:val="DefaultParagraphFont"/>
    <w:link w:val="Heading3"/>
    <w:uiPriority w:val="9"/>
    <w:rsid w:val="004173E2"/>
    <w:rPr>
      <w:rFonts w:ascii="Times New Roman" w:eastAsiaTheme="majorEastAsia" w:hAnsi="Times New Roman" w:cstheme="majorBidi"/>
      <w:color w:val="000000" w:themeColor="text1"/>
      <w:sz w:val="24"/>
      <w:szCs w:val="24"/>
      <w:shd w:val="clear" w:color="auto" w:fill="D9D9D9" w:themeFill="background1" w:themeFillShade="D9"/>
    </w:rPr>
  </w:style>
  <w:style w:type="character" w:customStyle="1" w:styleId="Heading4Char">
    <w:name w:val="Heading 4 Char"/>
    <w:basedOn w:val="DefaultParagraphFont"/>
    <w:link w:val="Heading4"/>
    <w:uiPriority w:val="9"/>
    <w:rsid w:val="004173E2"/>
    <w:rPr>
      <w:rFonts w:ascii="Times New Roman" w:eastAsiaTheme="majorEastAsia" w:hAnsi="Times New Roman" w:cstheme="majorBidi"/>
      <w:iCs/>
      <w:color w:val="000000" w:themeColor="text1"/>
      <w:sz w:val="24"/>
      <w:shd w:val="clear" w:color="auto" w:fill="F2F2F2" w:themeFill="background1" w:themeFillShade="F2"/>
    </w:rPr>
  </w:style>
  <w:style w:type="character" w:customStyle="1" w:styleId="Heading5Char">
    <w:name w:val="Heading 5 Char"/>
    <w:basedOn w:val="DefaultParagraphFont"/>
    <w:link w:val="Heading5"/>
    <w:uiPriority w:val="9"/>
    <w:rsid w:val="004173E2"/>
    <w:rPr>
      <w:rFonts w:ascii="Times New Roman" w:eastAsiaTheme="majorEastAsia" w:hAnsi="Times New Roman" w:cstheme="majorBidi"/>
      <w:shd w:val="clear" w:color="auto" w:fill="FFFFFF" w:themeFill="background1"/>
    </w:rPr>
  </w:style>
  <w:style w:type="character" w:customStyle="1" w:styleId="Heading6Char">
    <w:name w:val="Heading 6 Char"/>
    <w:basedOn w:val="DefaultParagraphFont"/>
    <w:link w:val="Heading6"/>
    <w:uiPriority w:val="9"/>
    <w:semiHidden/>
    <w:rsid w:val="004173E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73E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73E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00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559"/>
  </w:style>
  <w:style w:type="paragraph" w:styleId="Footer">
    <w:name w:val="footer"/>
    <w:basedOn w:val="Normal"/>
    <w:link w:val="FooterChar"/>
    <w:uiPriority w:val="99"/>
    <w:unhideWhenUsed/>
    <w:rsid w:val="00A00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59"/>
  </w:style>
  <w:style w:type="paragraph" w:customStyle="1" w:styleId="subsection">
    <w:name w:val="subsection"/>
    <w:basedOn w:val="Normal"/>
    <w:rsid w:val="00EA1828"/>
    <w:pPr>
      <w:spacing w:before="100" w:beforeAutospacing="1" w:after="100" w:afterAutospacing="1" w:line="240" w:lineRule="auto"/>
    </w:pPr>
    <w:rPr>
      <w:rFonts w:ascii="Times New Roman" w:eastAsia="Times New Roman" w:hAnsi="Times New Roman" w:cs="Times New Roman"/>
      <w:sz w:val="24"/>
      <w:szCs w:val="24"/>
      <w:lang w:eastAsia="en-AU" w:bidi="th-TH"/>
    </w:rPr>
  </w:style>
  <w:style w:type="paragraph" w:customStyle="1" w:styleId="paragraph">
    <w:name w:val="paragraph"/>
    <w:basedOn w:val="Normal"/>
    <w:rsid w:val="00EA1828"/>
    <w:pPr>
      <w:spacing w:before="100" w:beforeAutospacing="1" w:after="100" w:afterAutospacing="1" w:line="240" w:lineRule="auto"/>
    </w:pPr>
    <w:rPr>
      <w:rFonts w:ascii="Times New Roman" w:eastAsia="Times New Roman" w:hAnsi="Times New Roman" w:cs="Times New Roman"/>
      <w:sz w:val="24"/>
      <w:szCs w:val="24"/>
      <w:lang w:eastAsia="en-AU" w:bidi="th-TH"/>
    </w:rPr>
  </w:style>
  <w:style w:type="character" w:customStyle="1" w:styleId="apple-converted-space">
    <w:name w:val="apple-converted-space"/>
    <w:basedOn w:val="DefaultParagraphFont"/>
    <w:rsid w:val="008D5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19"/>
  </w:style>
  <w:style w:type="paragraph" w:styleId="Heading1">
    <w:name w:val="heading 1"/>
    <w:basedOn w:val="Normal"/>
    <w:next w:val="Normal"/>
    <w:link w:val="Heading1Char"/>
    <w:uiPriority w:val="9"/>
    <w:qFormat/>
    <w:rsid w:val="004173E2"/>
    <w:pPr>
      <w:keepNext/>
      <w:keepLines/>
      <w:numPr>
        <w:numId w:val="4"/>
      </w:numPr>
      <w:pBdr>
        <w:top w:val="single" w:sz="4" w:space="1" w:color="auto"/>
        <w:left w:val="single" w:sz="4" w:space="4" w:color="auto"/>
        <w:bottom w:val="single" w:sz="4" w:space="1" w:color="auto"/>
        <w:right w:val="single" w:sz="4" w:space="4" w:color="auto"/>
      </w:pBdr>
      <w:shd w:val="clear" w:color="auto" w:fill="244061" w:themeFill="accent1" w:themeFillShade="80"/>
      <w:spacing w:before="240" w:after="0" w:line="259" w:lineRule="auto"/>
      <w:outlineLvl w:val="0"/>
    </w:pPr>
    <w:rPr>
      <w:rFonts w:ascii="Times New Roman" w:eastAsiaTheme="majorEastAsia" w:hAnsi="Times New Roman" w:cstheme="majorBidi"/>
      <w:color w:val="FFFFFF" w:themeColor="background1"/>
      <w:sz w:val="24"/>
      <w:szCs w:val="32"/>
    </w:rPr>
  </w:style>
  <w:style w:type="paragraph" w:styleId="Heading2">
    <w:name w:val="heading 2"/>
    <w:basedOn w:val="Normal"/>
    <w:next w:val="Normal"/>
    <w:link w:val="Heading2Char"/>
    <w:uiPriority w:val="9"/>
    <w:unhideWhenUsed/>
    <w:qFormat/>
    <w:rsid w:val="004173E2"/>
    <w:pPr>
      <w:keepNext/>
      <w:keepLines/>
      <w:numPr>
        <w:ilvl w:val="1"/>
        <w:numId w:val="4"/>
      </w:numPr>
      <w:pBdr>
        <w:top w:val="single" w:sz="4" w:space="1" w:color="auto"/>
        <w:left w:val="single" w:sz="4" w:space="4" w:color="auto"/>
        <w:bottom w:val="single" w:sz="4" w:space="1" w:color="auto"/>
        <w:right w:val="single" w:sz="4" w:space="4" w:color="auto"/>
      </w:pBdr>
      <w:shd w:val="clear" w:color="auto" w:fill="95B3D7" w:themeFill="accent1" w:themeFillTint="99"/>
      <w:spacing w:before="40" w:after="0" w:line="259"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4173E2"/>
    <w:pPr>
      <w:keepNext/>
      <w:keepLines/>
      <w:numPr>
        <w:ilvl w:val="2"/>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0" w:line="259" w:lineRule="auto"/>
      <w:ind w:left="720"/>
      <w:outlineLvl w:val="2"/>
    </w:pPr>
    <w:rPr>
      <w:rFonts w:ascii="Times New Roman" w:eastAsiaTheme="majorEastAsia" w:hAnsi="Times New Roman" w:cstheme="majorBidi"/>
      <w:color w:val="000000" w:themeColor="text1"/>
      <w:sz w:val="24"/>
      <w:szCs w:val="24"/>
    </w:rPr>
  </w:style>
  <w:style w:type="paragraph" w:styleId="Heading4">
    <w:name w:val="heading 4"/>
    <w:basedOn w:val="Normal"/>
    <w:next w:val="Normal"/>
    <w:link w:val="Heading4Char"/>
    <w:uiPriority w:val="9"/>
    <w:unhideWhenUsed/>
    <w:qFormat/>
    <w:rsid w:val="004173E2"/>
    <w:pPr>
      <w:keepNext/>
      <w:keepLines/>
      <w:numPr>
        <w:ilvl w:val="3"/>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0" w:line="259" w:lineRule="auto"/>
      <w:outlineLvl w:val="3"/>
    </w:pPr>
    <w:rPr>
      <w:rFonts w:ascii="Times New Roman" w:eastAsiaTheme="majorEastAsia" w:hAnsi="Times New Roman" w:cstheme="majorBidi"/>
      <w:iCs/>
      <w:color w:val="000000" w:themeColor="text1"/>
      <w:sz w:val="24"/>
    </w:rPr>
  </w:style>
  <w:style w:type="paragraph" w:styleId="Heading5">
    <w:name w:val="heading 5"/>
    <w:basedOn w:val="Normal"/>
    <w:next w:val="Normal"/>
    <w:link w:val="Heading5Char"/>
    <w:uiPriority w:val="9"/>
    <w:unhideWhenUsed/>
    <w:qFormat/>
    <w:rsid w:val="004173E2"/>
    <w:pPr>
      <w:keepNext/>
      <w:keepLines/>
      <w:numPr>
        <w:ilvl w:val="4"/>
        <w:numId w:val="4"/>
      </w:numPr>
      <w:pBdr>
        <w:top w:val="single" w:sz="4" w:space="1" w:color="auto"/>
        <w:left w:val="single" w:sz="4" w:space="4" w:color="auto"/>
        <w:bottom w:val="single" w:sz="4" w:space="1" w:color="auto"/>
        <w:right w:val="single" w:sz="4" w:space="4" w:color="auto"/>
      </w:pBdr>
      <w:shd w:val="clear" w:color="auto" w:fill="FFFFFF" w:themeFill="background1"/>
      <w:spacing w:before="40" w:after="0" w:line="259" w:lineRule="auto"/>
      <w:outlineLvl w:val="4"/>
    </w:pPr>
    <w:rPr>
      <w:rFonts w:ascii="Times New Roman" w:eastAsiaTheme="majorEastAsia" w:hAnsi="Times New Roman" w:cstheme="majorBidi"/>
    </w:rPr>
  </w:style>
  <w:style w:type="paragraph" w:styleId="Heading6">
    <w:name w:val="heading 6"/>
    <w:basedOn w:val="Normal"/>
    <w:next w:val="Normal"/>
    <w:link w:val="Heading6Char"/>
    <w:uiPriority w:val="9"/>
    <w:semiHidden/>
    <w:unhideWhenUsed/>
    <w:qFormat/>
    <w:rsid w:val="004173E2"/>
    <w:pPr>
      <w:keepNext/>
      <w:keepLines/>
      <w:numPr>
        <w:ilvl w:val="5"/>
        <w:numId w:val="4"/>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73E2"/>
    <w:pPr>
      <w:keepNext/>
      <w:keepLines/>
      <w:numPr>
        <w:ilvl w:val="6"/>
        <w:numId w:val="4"/>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73E2"/>
    <w:pPr>
      <w:keepNext/>
      <w:keepLines/>
      <w:numPr>
        <w:ilvl w:val="7"/>
        <w:numId w:val="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73E2"/>
    <w:pPr>
      <w:keepNext/>
      <w:keepLines/>
      <w:numPr>
        <w:ilvl w:val="8"/>
        <w:numId w:val="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6119"/>
    <w:rPr>
      <w:rFonts w:cs="Times New Roman"/>
      <w:color w:val="0000FF"/>
      <w:u w:val="single"/>
    </w:rPr>
  </w:style>
  <w:style w:type="paragraph" w:styleId="FootnoteText">
    <w:name w:val="footnote text"/>
    <w:aliases w:val="LJ Footnote Text,FN"/>
    <w:basedOn w:val="Normal"/>
    <w:link w:val="FootnoteTextChar"/>
    <w:uiPriority w:val="99"/>
    <w:unhideWhenUsed/>
    <w:qFormat/>
    <w:rsid w:val="00D33D93"/>
    <w:pPr>
      <w:spacing w:after="0" w:line="240" w:lineRule="auto"/>
    </w:pPr>
    <w:rPr>
      <w:sz w:val="20"/>
      <w:szCs w:val="20"/>
    </w:rPr>
  </w:style>
  <w:style w:type="character" w:customStyle="1" w:styleId="FootnoteTextChar">
    <w:name w:val="Footnote Text Char"/>
    <w:aliases w:val="LJ Footnote Text Char,FN Char"/>
    <w:basedOn w:val="DefaultParagraphFont"/>
    <w:link w:val="FootnoteText"/>
    <w:uiPriority w:val="99"/>
    <w:rsid w:val="00D33D93"/>
    <w:rPr>
      <w:sz w:val="20"/>
      <w:szCs w:val="20"/>
    </w:rPr>
  </w:style>
  <w:style w:type="character" w:styleId="FootnoteReference">
    <w:name w:val="footnote reference"/>
    <w:aliases w:val="footnote ref,NO,Footnotes refss,Footnote,16 Point,Superscript 6 Point"/>
    <w:basedOn w:val="DefaultParagraphFont"/>
    <w:uiPriority w:val="99"/>
    <w:unhideWhenUsed/>
    <w:qFormat/>
    <w:rsid w:val="00D33D93"/>
    <w:rPr>
      <w:vertAlign w:val="superscript"/>
    </w:rPr>
  </w:style>
  <w:style w:type="paragraph" w:styleId="ListParagraph">
    <w:name w:val="List Paragraph"/>
    <w:basedOn w:val="Normal"/>
    <w:uiPriority w:val="34"/>
    <w:qFormat/>
    <w:rsid w:val="00294B46"/>
    <w:pPr>
      <w:ind w:left="720"/>
      <w:contextualSpacing/>
    </w:pPr>
  </w:style>
  <w:style w:type="character" w:styleId="CommentReference">
    <w:name w:val="annotation reference"/>
    <w:basedOn w:val="DefaultParagraphFont"/>
    <w:uiPriority w:val="99"/>
    <w:semiHidden/>
    <w:unhideWhenUsed/>
    <w:rsid w:val="00120B27"/>
    <w:rPr>
      <w:sz w:val="16"/>
      <w:szCs w:val="16"/>
    </w:rPr>
  </w:style>
  <w:style w:type="paragraph" w:styleId="CommentText">
    <w:name w:val="annotation text"/>
    <w:basedOn w:val="Normal"/>
    <w:link w:val="CommentTextChar"/>
    <w:uiPriority w:val="99"/>
    <w:semiHidden/>
    <w:unhideWhenUsed/>
    <w:rsid w:val="00120B27"/>
    <w:pPr>
      <w:spacing w:line="240" w:lineRule="auto"/>
    </w:pPr>
    <w:rPr>
      <w:sz w:val="20"/>
      <w:szCs w:val="20"/>
    </w:rPr>
  </w:style>
  <w:style w:type="character" w:customStyle="1" w:styleId="CommentTextChar">
    <w:name w:val="Comment Text Char"/>
    <w:basedOn w:val="DefaultParagraphFont"/>
    <w:link w:val="CommentText"/>
    <w:uiPriority w:val="99"/>
    <w:semiHidden/>
    <w:rsid w:val="00120B27"/>
    <w:rPr>
      <w:sz w:val="20"/>
      <w:szCs w:val="20"/>
    </w:rPr>
  </w:style>
  <w:style w:type="paragraph" w:styleId="CommentSubject">
    <w:name w:val="annotation subject"/>
    <w:basedOn w:val="CommentText"/>
    <w:next w:val="CommentText"/>
    <w:link w:val="CommentSubjectChar"/>
    <w:uiPriority w:val="99"/>
    <w:semiHidden/>
    <w:unhideWhenUsed/>
    <w:rsid w:val="00120B27"/>
    <w:rPr>
      <w:b/>
      <w:bCs/>
    </w:rPr>
  </w:style>
  <w:style w:type="character" w:customStyle="1" w:styleId="CommentSubjectChar">
    <w:name w:val="Comment Subject Char"/>
    <w:basedOn w:val="CommentTextChar"/>
    <w:link w:val="CommentSubject"/>
    <w:uiPriority w:val="99"/>
    <w:semiHidden/>
    <w:rsid w:val="00120B27"/>
    <w:rPr>
      <w:b/>
      <w:bCs/>
      <w:sz w:val="20"/>
      <w:szCs w:val="20"/>
    </w:rPr>
  </w:style>
  <w:style w:type="paragraph" w:styleId="BalloonText">
    <w:name w:val="Balloon Text"/>
    <w:basedOn w:val="Normal"/>
    <w:link w:val="BalloonTextChar"/>
    <w:uiPriority w:val="99"/>
    <w:semiHidden/>
    <w:unhideWhenUsed/>
    <w:rsid w:val="0012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B27"/>
    <w:rPr>
      <w:rFonts w:ascii="Segoe UI" w:hAnsi="Segoe UI" w:cs="Segoe UI"/>
      <w:sz w:val="18"/>
      <w:szCs w:val="18"/>
    </w:rPr>
  </w:style>
  <w:style w:type="paragraph" w:styleId="Revision">
    <w:name w:val="Revision"/>
    <w:hidden/>
    <w:uiPriority w:val="99"/>
    <w:semiHidden/>
    <w:rsid w:val="00CD48B8"/>
    <w:pPr>
      <w:spacing w:after="0" w:line="240" w:lineRule="auto"/>
    </w:pPr>
  </w:style>
  <w:style w:type="character" w:styleId="FollowedHyperlink">
    <w:name w:val="FollowedHyperlink"/>
    <w:basedOn w:val="DefaultParagraphFont"/>
    <w:uiPriority w:val="99"/>
    <w:semiHidden/>
    <w:unhideWhenUsed/>
    <w:rsid w:val="00FB5DE2"/>
    <w:rPr>
      <w:color w:val="800080" w:themeColor="followedHyperlink"/>
      <w:u w:val="single"/>
    </w:rPr>
  </w:style>
  <w:style w:type="paragraph" w:customStyle="1" w:styleId="Footnotetxt">
    <w:name w:val="Footnote txt"/>
    <w:basedOn w:val="FootnoteText"/>
    <w:uiPriority w:val="99"/>
    <w:qFormat/>
    <w:rsid w:val="00487D7C"/>
    <w:pPr>
      <w:tabs>
        <w:tab w:val="left" w:pos="284"/>
      </w:tabs>
      <w:ind w:left="284" w:hanging="284"/>
      <w:jc w:val="both"/>
    </w:pPr>
    <w:rPr>
      <w:rFonts w:ascii="Times New Roman" w:eastAsia="Times New Roman" w:hAnsi="Times New Roman" w:cs="Times New Roman"/>
      <w:sz w:val="16"/>
      <w:lang w:eastAsia="en-AU"/>
    </w:rPr>
  </w:style>
  <w:style w:type="table" w:styleId="TableGrid">
    <w:name w:val="Table Grid"/>
    <w:basedOn w:val="TableNormal"/>
    <w:uiPriority w:val="39"/>
    <w:rsid w:val="0048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3E2"/>
    <w:rPr>
      <w:rFonts w:ascii="Times New Roman" w:eastAsiaTheme="majorEastAsia" w:hAnsi="Times New Roman" w:cstheme="majorBidi"/>
      <w:color w:val="FFFFFF" w:themeColor="background1"/>
      <w:sz w:val="24"/>
      <w:szCs w:val="32"/>
      <w:shd w:val="clear" w:color="auto" w:fill="244061" w:themeFill="accent1" w:themeFillShade="80"/>
    </w:rPr>
  </w:style>
  <w:style w:type="character" w:customStyle="1" w:styleId="Heading2Char">
    <w:name w:val="Heading 2 Char"/>
    <w:basedOn w:val="DefaultParagraphFont"/>
    <w:link w:val="Heading2"/>
    <w:uiPriority w:val="9"/>
    <w:rsid w:val="004173E2"/>
    <w:rPr>
      <w:rFonts w:ascii="Times New Roman" w:eastAsiaTheme="majorEastAsia" w:hAnsi="Times New Roman" w:cstheme="majorBidi"/>
      <w:sz w:val="24"/>
      <w:szCs w:val="26"/>
      <w:shd w:val="clear" w:color="auto" w:fill="95B3D7" w:themeFill="accent1" w:themeFillTint="99"/>
    </w:rPr>
  </w:style>
  <w:style w:type="character" w:customStyle="1" w:styleId="Heading3Char">
    <w:name w:val="Heading 3 Char"/>
    <w:basedOn w:val="DefaultParagraphFont"/>
    <w:link w:val="Heading3"/>
    <w:uiPriority w:val="9"/>
    <w:rsid w:val="004173E2"/>
    <w:rPr>
      <w:rFonts w:ascii="Times New Roman" w:eastAsiaTheme="majorEastAsia" w:hAnsi="Times New Roman" w:cstheme="majorBidi"/>
      <w:color w:val="000000" w:themeColor="text1"/>
      <w:sz w:val="24"/>
      <w:szCs w:val="24"/>
      <w:shd w:val="clear" w:color="auto" w:fill="D9D9D9" w:themeFill="background1" w:themeFillShade="D9"/>
    </w:rPr>
  </w:style>
  <w:style w:type="character" w:customStyle="1" w:styleId="Heading4Char">
    <w:name w:val="Heading 4 Char"/>
    <w:basedOn w:val="DefaultParagraphFont"/>
    <w:link w:val="Heading4"/>
    <w:uiPriority w:val="9"/>
    <w:rsid w:val="004173E2"/>
    <w:rPr>
      <w:rFonts w:ascii="Times New Roman" w:eastAsiaTheme="majorEastAsia" w:hAnsi="Times New Roman" w:cstheme="majorBidi"/>
      <w:iCs/>
      <w:color w:val="000000" w:themeColor="text1"/>
      <w:sz w:val="24"/>
      <w:shd w:val="clear" w:color="auto" w:fill="F2F2F2" w:themeFill="background1" w:themeFillShade="F2"/>
    </w:rPr>
  </w:style>
  <w:style w:type="character" w:customStyle="1" w:styleId="Heading5Char">
    <w:name w:val="Heading 5 Char"/>
    <w:basedOn w:val="DefaultParagraphFont"/>
    <w:link w:val="Heading5"/>
    <w:uiPriority w:val="9"/>
    <w:rsid w:val="004173E2"/>
    <w:rPr>
      <w:rFonts w:ascii="Times New Roman" w:eastAsiaTheme="majorEastAsia" w:hAnsi="Times New Roman" w:cstheme="majorBidi"/>
      <w:shd w:val="clear" w:color="auto" w:fill="FFFFFF" w:themeFill="background1"/>
    </w:rPr>
  </w:style>
  <w:style w:type="character" w:customStyle="1" w:styleId="Heading6Char">
    <w:name w:val="Heading 6 Char"/>
    <w:basedOn w:val="DefaultParagraphFont"/>
    <w:link w:val="Heading6"/>
    <w:uiPriority w:val="9"/>
    <w:semiHidden/>
    <w:rsid w:val="004173E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73E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73E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00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559"/>
  </w:style>
  <w:style w:type="paragraph" w:styleId="Footer">
    <w:name w:val="footer"/>
    <w:basedOn w:val="Normal"/>
    <w:link w:val="FooterChar"/>
    <w:uiPriority w:val="99"/>
    <w:unhideWhenUsed/>
    <w:rsid w:val="00A00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59"/>
  </w:style>
  <w:style w:type="paragraph" w:customStyle="1" w:styleId="subsection">
    <w:name w:val="subsection"/>
    <w:basedOn w:val="Normal"/>
    <w:rsid w:val="00EA1828"/>
    <w:pPr>
      <w:spacing w:before="100" w:beforeAutospacing="1" w:after="100" w:afterAutospacing="1" w:line="240" w:lineRule="auto"/>
    </w:pPr>
    <w:rPr>
      <w:rFonts w:ascii="Times New Roman" w:eastAsia="Times New Roman" w:hAnsi="Times New Roman" w:cs="Times New Roman"/>
      <w:sz w:val="24"/>
      <w:szCs w:val="24"/>
      <w:lang w:eastAsia="en-AU" w:bidi="th-TH"/>
    </w:rPr>
  </w:style>
  <w:style w:type="paragraph" w:customStyle="1" w:styleId="paragraph">
    <w:name w:val="paragraph"/>
    <w:basedOn w:val="Normal"/>
    <w:rsid w:val="00EA1828"/>
    <w:pPr>
      <w:spacing w:before="100" w:beforeAutospacing="1" w:after="100" w:afterAutospacing="1" w:line="240" w:lineRule="auto"/>
    </w:pPr>
    <w:rPr>
      <w:rFonts w:ascii="Times New Roman" w:eastAsia="Times New Roman" w:hAnsi="Times New Roman" w:cs="Times New Roman"/>
      <w:sz w:val="24"/>
      <w:szCs w:val="24"/>
      <w:lang w:eastAsia="en-AU" w:bidi="th-TH"/>
    </w:rPr>
  </w:style>
  <w:style w:type="character" w:customStyle="1" w:styleId="apple-converted-space">
    <w:name w:val="apple-converted-space"/>
    <w:basedOn w:val="DefaultParagraphFont"/>
    <w:rsid w:val="008D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258787">
      <w:bodyDiv w:val="1"/>
      <w:marLeft w:val="0"/>
      <w:marRight w:val="0"/>
      <w:marTop w:val="0"/>
      <w:marBottom w:val="0"/>
      <w:divBdr>
        <w:top w:val="none" w:sz="0" w:space="0" w:color="auto"/>
        <w:left w:val="none" w:sz="0" w:space="0" w:color="auto"/>
        <w:bottom w:val="none" w:sz="0" w:space="0" w:color="auto"/>
        <w:right w:val="none" w:sz="0" w:space="0" w:color="auto"/>
      </w:divBdr>
    </w:div>
    <w:div w:id="622810194">
      <w:bodyDiv w:val="1"/>
      <w:marLeft w:val="0"/>
      <w:marRight w:val="0"/>
      <w:marTop w:val="0"/>
      <w:marBottom w:val="0"/>
      <w:divBdr>
        <w:top w:val="none" w:sz="0" w:space="0" w:color="auto"/>
        <w:left w:val="none" w:sz="0" w:space="0" w:color="auto"/>
        <w:bottom w:val="none" w:sz="0" w:space="0" w:color="auto"/>
        <w:right w:val="none" w:sz="0" w:space="0" w:color="auto"/>
      </w:divBdr>
    </w:div>
    <w:div w:id="727530433">
      <w:bodyDiv w:val="1"/>
      <w:marLeft w:val="0"/>
      <w:marRight w:val="0"/>
      <w:marTop w:val="0"/>
      <w:marBottom w:val="0"/>
      <w:divBdr>
        <w:top w:val="none" w:sz="0" w:space="0" w:color="auto"/>
        <w:left w:val="none" w:sz="0" w:space="0" w:color="auto"/>
        <w:bottom w:val="none" w:sz="0" w:space="0" w:color="auto"/>
        <w:right w:val="none" w:sz="0" w:space="0" w:color="auto"/>
      </w:divBdr>
    </w:div>
    <w:div w:id="817307198">
      <w:bodyDiv w:val="1"/>
      <w:marLeft w:val="0"/>
      <w:marRight w:val="0"/>
      <w:marTop w:val="0"/>
      <w:marBottom w:val="0"/>
      <w:divBdr>
        <w:top w:val="none" w:sz="0" w:space="0" w:color="auto"/>
        <w:left w:val="none" w:sz="0" w:space="0" w:color="auto"/>
        <w:bottom w:val="none" w:sz="0" w:space="0" w:color="auto"/>
        <w:right w:val="none" w:sz="0" w:space="0" w:color="auto"/>
      </w:divBdr>
    </w:div>
    <w:div w:id="1192301848">
      <w:bodyDiv w:val="1"/>
      <w:marLeft w:val="0"/>
      <w:marRight w:val="0"/>
      <w:marTop w:val="0"/>
      <w:marBottom w:val="0"/>
      <w:divBdr>
        <w:top w:val="none" w:sz="0" w:space="0" w:color="auto"/>
        <w:left w:val="none" w:sz="0" w:space="0" w:color="auto"/>
        <w:bottom w:val="none" w:sz="0" w:space="0" w:color="auto"/>
        <w:right w:val="none" w:sz="0" w:space="0" w:color="auto"/>
      </w:divBdr>
    </w:div>
    <w:div w:id="1800757569">
      <w:bodyDiv w:val="1"/>
      <w:marLeft w:val="0"/>
      <w:marRight w:val="0"/>
      <w:marTop w:val="0"/>
      <w:marBottom w:val="0"/>
      <w:divBdr>
        <w:top w:val="none" w:sz="0" w:space="0" w:color="auto"/>
        <w:left w:val="none" w:sz="0" w:space="0" w:color="auto"/>
        <w:bottom w:val="none" w:sz="0" w:space="0" w:color="auto"/>
        <w:right w:val="none" w:sz="0" w:space="0" w:color="auto"/>
      </w:divBdr>
    </w:div>
    <w:div w:id="19468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aw.unimelb.edu.au/__data/assets/pdf_file/0020/2274131/Phoenix-Activity-Recommendations-on-Detection-Disruption-and-Enforcement.pdf"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law.unimelb.edu.au/__data/assets/pdf_file/0020/2274131/Phoenix-Activity-Recommendations-on-Detection-Disruption-and-Enforcement.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lhedges/Downloads/Phoenix-activity-report-sizing-the-problem-and-matching-solutions%20(7).pdf" TargetMode="External"/><Relationship Id="rId24" Type="http://schemas.openxmlformats.org/officeDocument/2006/relationships/customXml" Target="../customXml/item7.xml"/><Relationship Id="rId5" Type="http://schemas.openxmlformats.org/officeDocument/2006/relationships/settings" Target="settings.xml"/><Relationship Id="rId15" Type="http://schemas.openxmlformats.org/officeDocument/2006/relationships/fontTable" Target="fontTable.xml"/><Relationship Id="rId23" Type="http://schemas.openxmlformats.org/officeDocument/2006/relationships/customXml" Target="../customXml/item6.xml"/><Relationship Id="rId10" Type="http://schemas.openxmlformats.org/officeDocument/2006/relationships/hyperlink" Target="http://law.unimelb.edu.au/__data/assets/pdf_file/0020/2274131/Phoenix-Activity-Recommendations-on-Detection-Disruption-and-Enforcement.pdf"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law.unimelb.edu.au/centres/cclsr/research/major-research-projects/regulating-fraudulent-phoenix-activity" TargetMode="External"/><Relationship Id="rId14" Type="http://schemas.openxmlformats.org/officeDocument/2006/relationships/footer" Target="footer1.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www.andrewleigh.com/exposing_dodgy_dir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171" ma:contentTypeDescription=" " ma:contentTypeScope="" ma:versionID="412a1119644f3a9476de2eac4014642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2017MG-90-18151</_dlc_DocId>
    <TaxCatchAll xmlns="d4dd4adf-ddb3-46a3-8d7c-fab3fb2a6bc7">
      <Value>2</Value>
    </TaxCatchAll>
    <_dlc_DocIdUrl xmlns="d4dd4adf-ddb3-46a3-8d7c-fab3fb2a6bc7">
      <Url>http://tweb/sites/mg/fsd/_layouts/15/DocIdRedir.aspx?ID=2017MG-90-18151</Url>
      <Description>2017MG-90-18151</Description>
    </_dlc_DocIdUrl>
    <IconOverlay xmlns="http://schemas.microsoft.com/sharepoint/v4" xsi:nil="true"/>
  </documentManagement>
</p:properties>
</file>

<file path=customXml/itemProps1.xml><?xml version="1.0" encoding="utf-8"?>
<ds:datastoreItem xmlns:ds="http://schemas.openxmlformats.org/officeDocument/2006/customXml" ds:itemID="{8E39F866-BFD0-4A5E-BEC6-174676DF14CB}">
  <ds:schemaRefs>
    <ds:schemaRef ds:uri="http://schemas.openxmlformats.org/officeDocument/2006/bibliography"/>
  </ds:schemaRefs>
</ds:datastoreItem>
</file>

<file path=customXml/itemProps2.xml><?xml version="1.0" encoding="utf-8"?>
<ds:datastoreItem xmlns:ds="http://schemas.openxmlformats.org/officeDocument/2006/customXml" ds:itemID="{6B527EBE-89A0-4BB2-A787-E7DB3753411A}"/>
</file>

<file path=customXml/itemProps3.xml><?xml version="1.0" encoding="utf-8"?>
<ds:datastoreItem xmlns:ds="http://schemas.openxmlformats.org/officeDocument/2006/customXml" ds:itemID="{0F7AA7B8-935C-4494-AE53-AF9699052271}"/>
</file>

<file path=customXml/itemProps4.xml><?xml version="1.0" encoding="utf-8"?>
<ds:datastoreItem xmlns:ds="http://schemas.openxmlformats.org/officeDocument/2006/customXml" ds:itemID="{D088A4EB-3D98-4AAC-9FEC-28924FB0BC52}"/>
</file>

<file path=customXml/itemProps5.xml><?xml version="1.0" encoding="utf-8"?>
<ds:datastoreItem xmlns:ds="http://schemas.openxmlformats.org/officeDocument/2006/customXml" ds:itemID="{73577020-F71D-4CB3-A05B-1A19A48DF427}"/>
</file>

<file path=customXml/itemProps6.xml><?xml version="1.0" encoding="utf-8"?>
<ds:datastoreItem xmlns:ds="http://schemas.openxmlformats.org/officeDocument/2006/customXml" ds:itemID="{D50E4E17-E18E-45E1-B607-28EBF34016AE}"/>
</file>

<file path=customXml/itemProps7.xml><?xml version="1.0" encoding="utf-8"?>
<ds:datastoreItem xmlns:ds="http://schemas.openxmlformats.org/officeDocument/2006/customXml" ds:itemID="{3D213426-2158-45A8-9719-2B2FB1293EF2}"/>
</file>

<file path=docProps/app.xml><?xml version="1.0" encoding="utf-8"?>
<Properties xmlns="http://schemas.openxmlformats.org/officeDocument/2006/extended-properties" xmlns:vt="http://schemas.openxmlformats.org/officeDocument/2006/docPropsVTypes">
  <Template>Normal.dotm</Template>
  <TotalTime>22</TotalTime>
  <Pages>12</Pages>
  <Words>4776</Words>
  <Characters>27225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31938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Lesley Anderson</dc:creator>
  <cp:lastModifiedBy>Helen Lesley Anderson</cp:lastModifiedBy>
  <cp:revision>8</cp:revision>
  <cp:lastPrinted>2017-06-07T00:10:00Z</cp:lastPrinted>
  <dcterms:created xsi:type="dcterms:W3CDTF">2017-06-06T23:56:00Z</dcterms:created>
  <dcterms:modified xsi:type="dcterms:W3CDTF">2017-06-07T00:20:00Z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0x010100E95D40E5DFEA714B90E88DB5CE07A6B500935D0CF8835BE447895972B43AB8EC93</vt:lpwstr>
  </property>
  <property fmtid="{D5CDD505-2E9C-101B-9397-08002B2CF9AE}" pid="3" name="TSYRecordClass">
    <vt:lpwstr>2;#TSY RA-9081 - Retain as national archives|bbf0bcde-1687-4ff2-bc57-f31b5d545d4b</vt:lpwstr>
  </property>
  <property fmtid="{D5CDD505-2E9C-101B-9397-08002B2CF9AE}" pid="4" name="_dlc_DocIdItemGuid">
    <vt:lpwstr>4272b250-21d9-469b-a753-375448d45ee1</vt:lpwstr>
  </property>
</Properties>
</file>