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8439F" w14:textId="77777777" w:rsidR="00836082" w:rsidRDefault="00836082" w:rsidP="0056559F">
      <w:pPr>
        <w:pStyle w:val="CoverTitleSub"/>
        <w:rPr>
          <w:rFonts w:cs="Calibri"/>
          <w:color w:val="auto"/>
          <w:szCs w:val="36"/>
        </w:rPr>
      </w:pPr>
    </w:p>
    <w:p w14:paraId="32CA0D42" w14:textId="77777777" w:rsidR="0056559F" w:rsidRPr="006D0240" w:rsidRDefault="0056559F" w:rsidP="0056559F">
      <w:pPr>
        <w:pStyle w:val="CoverTitleSub"/>
        <w:rPr>
          <w:rFonts w:cs="Calibri"/>
          <w:color w:val="auto"/>
          <w:szCs w:val="36"/>
        </w:rPr>
      </w:pPr>
      <w:r>
        <w:rPr>
          <w:rFonts w:cs="Calibri"/>
          <w:noProof/>
          <w:color w:val="auto"/>
          <w:szCs w:val="36"/>
        </w:rPr>
        <w:drawing>
          <wp:inline distT="0" distB="0" distL="0" distR="0" wp14:anchorId="06692159" wp14:editId="0A3100E4">
            <wp:extent cx="2023654" cy="1016169"/>
            <wp:effectExtent l="0" t="0" r="0" b="0"/>
            <wp:docPr id="1" name="Picture 1" descr="Australian Goverment Coat of Arms" title="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124" cy="1013894"/>
                    </a:xfrm>
                    <a:prstGeom prst="rect">
                      <a:avLst/>
                    </a:prstGeom>
                  </pic:spPr>
                </pic:pic>
              </a:graphicData>
            </a:graphic>
          </wp:inline>
        </w:drawing>
      </w:r>
    </w:p>
    <w:p w14:paraId="0C6B79F7" w14:textId="60344622" w:rsidR="0056559F" w:rsidRPr="0090524A" w:rsidRDefault="00AA7794" w:rsidP="0056559F">
      <w:pPr>
        <w:pStyle w:val="CoverTitleMain"/>
        <w:shd w:val="clear" w:color="auto" w:fill="FFFFFF" w:themeFill="background1"/>
        <w:spacing w:before="2760" w:after="240"/>
        <w:rPr>
          <w:rFonts w:ascii="Garamond" w:hAnsi="Garamond"/>
        </w:rPr>
      </w:pPr>
      <w:r>
        <w:rPr>
          <w:rFonts w:ascii="Garamond" w:hAnsi="Garamond"/>
        </w:rPr>
        <w:t>Petroleum Resource Rent Tax Review</w:t>
      </w:r>
    </w:p>
    <w:p w14:paraId="1232BC2B" w14:textId="3D004CD4" w:rsidR="0056559F" w:rsidRPr="0090524A" w:rsidRDefault="00AA7794" w:rsidP="0056559F">
      <w:pPr>
        <w:pStyle w:val="CoverTitleSub"/>
        <w:pBdr>
          <w:top w:val="single" w:sz="24" w:space="4" w:color="342E82"/>
        </w:pBdr>
        <w:spacing w:before="480"/>
        <w:rPr>
          <w:rFonts w:ascii="Garamond" w:hAnsi="Garamond"/>
        </w:rPr>
      </w:pPr>
      <w:r>
        <w:rPr>
          <w:rFonts w:ascii="Garamond" w:hAnsi="Garamond"/>
        </w:rPr>
        <w:t>Final Report</w:t>
      </w:r>
      <w:r w:rsidR="0056559F" w:rsidRPr="0090524A">
        <w:rPr>
          <w:rFonts w:ascii="Garamond" w:hAnsi="Garamond"/>
        </w:rPr>
        <w:br/>
      </w:r>
      <w:r w:rsidR="00CE3D6C">
        <w:rPr>
          <w:rFonts w:ascii="Garamond" w:hAnsi="Garamond"/>
          <w:szCs w:val="28"/>
        </w:rPr>
        <w:t>13</w:t>
      </w:r>
      <w:r>
        <w:rPr>
          <w:rFonts w:ascii="Garamond" w:hAnsi="Garamond"/>
          <w:szCs w:val="28"/>
        </w:rPr>
        <w:t xml:space="preserve"> April 2017</w:t>
      </w:r>
    </w:p>
    <w:p w14:paraId="1E346696" w14:textId="0C810645" w:rsidR="0056559F" w:rsidRDefault="005A3734">
      <w:pPr>
        <w:spacing w:after="0" w:line="240" w:lineRule="auto"/>
        <w:jc w:val="left"/>
      </w:pPr>
      <w:r>
        <w:br w:type="page"/>
      </w:r>
    </w:p>
    <w:p w14:paraId="44D985B6" w14:textId="77777777" w:rsidR="005A3734" w:rsidRDefault="005A3734" w:rsidP="005A3734">
      <w:r w:rsidRPr="003214DC">
        <w:lastRenderedPageBreak/>
        <w:t>© Commonwealth of Australia 2016</w:t>
      </w:r>
    </w:p>
    <w:p w14:paraId="67EB76E0" w14:textId="4AE1AC6F" w:rsidR="005A3734" w:rsidRPr="00464A16" w:rsidRDefault="005A3734" w:rsidP="005A3734">
      <w:r w:rsidRPr="003B6676">
        <w:t>ISBN</w:t>
      </w:r>
      <w:r w:rsidRPr="00464A16">
        <w:t xml:space="preserve"> </w:t>
      </w:r>
      <w:r w:rsidR="003B6676" w:rsidRPr="003B6676">
        <w:t>978-1-925504-41-5</w:t>
      </w:r>
    </w:p>
    <w:p w14:paraId="4F3C4E75" w14:textId="77777777" w:rsidR="005A3734" w:rsidRPr="00086F82" w:rsidRDefault="005A3734" w:rsidP="005A3734">
      <w:pPr>
        <w:tabs>
          <w:tab w:val="left" w:pos="1650"/>
        </w:tabs>
        <w:spacing w:before="100" w:beforeAutospacing="1" w:after="100" w:afterAutospacing="1"/>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5"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t xml:space="preserve">. </w:t>
      </w:r>
      <w:r w:rsidRPr="002F1BC2">
        <w:t>The full licence terms are available from</w:t>
      </w:r>
      <w:r w:rsidRPr="00476F09">
        <w:rPr>
          <w:rStyle w:val="A5"/>
          <w:rFonts w:cstheme="minorHAnsi"/>
          <w:sz w:val="24"/>
          <w:szCs w:val="24"/>
        </w:rPr>
        <w:t xml:space="preserve"> </w:t>
      </w:r>
      <w:hyperlink r:id="rId16"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579ACB99" w14:textId="77777777" w:rsidR="005A3734" w:rsidRDefault="005A3734" w:rsidP="005A3734">
      <w:pPr>
        <w:pStyle w:val="ChartGraphic"/>
        <w:jc w:val="left"/>
      </w:pPr>
      <w:r w:rsidRPr="00E56DFB">
        <w:rPr>
          <w:noProof/>
        </w:rPr>
        <w:drawing>
          <wp:inline distT="0" distB="0" distL="0" distR="0" wp14:anchorId="4AA33583" wp14:editId="7248D11B">
            <wp:extent cx="809625" cy="285750"/>
            <wp:effectExtent l="19050" t="0" r="9525" b="0"/>
            <wp:docPr id="12"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8819867" w14:textId="77777777" w:rsidR="005A3734" w:rsidRPr="006627B4" w:rsidRDefault="005A3734" w:rsidP="005A3734">
      <w:pPr>
        <w:tabs>
          <w:tab w:val="left" w:pos="1650"/>
        </w:tabs>
        <w:spacing w:before="100" w:beforeAutospacing="1" w:after="100" w:afterAutospacing="1"/>
      </w:pPr>
      <w:r w:rsidRPr="006627B4">
        <w:t>Use of Treasury material under a</w:t>
      </w:r>
      <w:r w:rsidRPr="00476F09">
        <w:rPr>
          <w:rFonts w:cstheme="minorHAnsi"/>
          <w:sz w:val="24"/>
          <w:szCs w:val="24"/>
        </w:rPr>
        <w:t xml:space="preserve"> </w:t>
      </w:r>
      <w:hyperlink r:id="rId18"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4EC08FDE" w14:textId="05F870B6" w:rsidR="005A3734" w:rsidRPr="004C4D87" w:rsidRDefault="005A3734" w:rsidP="005A3734">
      <w:pPr>
        <w:pStyle w:val="Copyrightheading"/>
      </w:pPr>
      <w:r w:rsidRPr="004C4D87">
        <w:t xml:space="preserve">Treasury material used </w:t>
      </w:r>
      <w:r w:rsidR="005D6F39">
        <w:t>‘</w:t>
      </w:r>
      <w:r w:rsidRPr="004C4D87">
        <w:t>as supplied</w:t>
      </w:r>
      <w:r w:rsidR="005D6F39">
        <w:t>’</w:t>
      </w:r>
    </w:p>
    <w:p w14:paraId="4C5C196E" w14:textId="77777777" w:rsidR="005A3734" w:rsidRPr="00476F09" w:rsidRDefault="005A3734" w:rsidP="005A3734">
      <w:pPr>
        <w:spacing w:after="12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4486C61" w14:textId="77777777" w:rsidR="005A3734" w:rsidRPr="00A13A11" w:rsidRDefault="005A3734" w:rsidP="005A3734">
      <w:pPr>
        <w:ind w:firstLine="720"/>
      </w:pPr>
      <w:r w:rsidRPr="00783402">
        <w:rPr>
          <w:i/>
        </w:rPr>
        <w:t>Source: The Australian Government the Treasury</w:t>
      </w:r>
    </w:p>
    <w:p w14:paraId="6972696D" w14:textId="77777777" w:rsidR="005A3734" w:rsidRPr="004C4D87" w:rsidRDefault="005A3734" w:rsidP="005A3734">
      <w:pPr>
        <w:pStyle w:val="Copyrightheading"/>
      </w:pPr>
      <w:r w:rsidRPr="004C4D87">
        <w:t>Derivative material</w:t>
      </w:r>
    </w:p>
    <w:p w14:paraId="65437088" w14:textId="77777777" w:rsidR="005A3734" w:rsidRPr="006627B4" w:rsidRDefault="005A3734" w:rsidP="005A3734">
      <w:pPr>
        <w:spacing w:after="120"/>
      </w:pPr>
      <w:r w:rsidRPr="006627B4">
        <w:t xml:space="preserve">If you have modified or transformed Treasury material, or derived new material from those of the Treasury in any way, then Treasury prefers the following attribution: </w:t>
      </w:r>
    </w:p>
    <w:p w14:paraId="67410DDC" w14:textId="77777777" w:rsidR="005A3734" w:rsidRPr="006627B4" w:rsidRDefault="005A3734" w:rsidP="005A3734">
      <w:pPr>
        <w:ind w:firstLine="720"/>
      </w:pPr>
      <w:r w:rsidRPr="00783402">
        <w:rPr>
          <w:i/>
        </w:rPr>
        <w:t>Based on The Australian Government the Treasury data</w:t>
      </w:r>
      <w:r w:rsidRPr="006627B4">
        <w:t xml:space="preserve"> </w:t>
      </w:r>
    </w:p>
    <w:p w14:paraId="45BDA5CF" w14:textId="77777777" w:rsidR="005A3734" w:rsidRPr="006627B4" w:rsidRDefault="005A3734" w:rsidP="005A3734">
      <w:pPr>
        <w:pStyle w:val="Copyrightheading"/>
      </w:pPr>
      <w:r w:rsidRPr="006627B4">
        <w:t>Use of the Coat of Arms</w:t>
      </w:r>
    </w:p>
    <w:p w14:paraId="178EDDD4" w14:textId="101A6385" w:rsidR="005A3734" w:rsidRPr="006627B4" w:rsidRDefault="005A3734" w:rsidP="005A3734">
      <w:r w:rsidRPr="006627B4">
        <w:t>The terms under which the Coat of Arms can be used are set out on the It</w:t>
      </w:r>
      <w:r w:rsidR="005D6F39">
        <w:t>’</w:t>
      </w:r>
      <w:r w:rsidRPr="006627B4">
        <w:t xml:space="preserve">s an Honour website (see </w:t>
      </w:r>
      <w:hyperlink r:id="rId19" w:history="1">
        <w:r w:rsidRPr="006627B4">
          <w:t>www.itsanhonour.gov.au</w:t>
        </w:r>
      </w:hyperlink>
      <w:r w:rsidRPr="006627B4">
        <w:t>)</w:t>
      </w:r>
      <w:r>
        <w:t>.</w:t>
      </w:r>
    </w:p>
    <w:p w14:paraId="5EE0C982" w14:textId="77777777" w:rsidR="005A3734" w:rsidRPr="006627B4" w:rsidRDefault="005A3734" w:rsidP="005A3734">
      <w:pPr>
        <w:pStyle w:val="Copyrightheading"/>
      </w:pPr>
      <w:r>
        <w:t>Other u</w:t>
      </w:r>
      <w:r w:rsidRPr="006627B4">
        <w:t>ses</w:t>
      </w:r>
    </w:p>
    <w:p w14:paraId="709F629B" w14:textId="77777777" w:rsidR="005A3734" w:rsidRPr="006627B4" w:rsidRDefault="005A3734" w:rsidP="005A3734">
      <w:pPr>
        <w:spacing w:after="120"/>
      </w:pPr>
      <w:r>
        <w:t>E</w:t>
      </w:r>
      <w:r w:rsidRPr="006627B4">
        <w:t>nquiries regarding this licence and any other use of this document are welcome at:</w:t>
      </w:r>
    </w:p>
    <w:p w14:paraId="2D96C11B" w14:textId="77777777" w:rsidR="005A3734" w:rsidRPr="006627B4" w:rsidRDefault="005A3734" w:rsidP="005A3734">
      <w:pPr>
        <w:spacing w:after="0"/>
        <w:ind w:left="720"/>
      </w:pPr>
      <w:r w:rsidRPr="006627B4">
        <w:t>Manager</w:t>
      </w:r>
    </w:p>
    <w:p w14:paraId="0B7AF8C3" w14:textId="77777777" w:rsidR="005A3734" w:rsidRPr="006627B4" w:rsidRDefault="005A3734" w:rsidP="005A3734">
      <w:pPr>
        <w:spacing w:after="0"/>
        <w:ind w:left="720"/>
      </w:pPr>
      <w:r w:rsidRPr="006627B4">
        <w:t xml:space="preserve">Communications </w:t>
      </w:r>
    </w:p>
    <w:p w14:paraId="07A5FD0D" w14:textId="77777777" w:rsidR="005A3734" w:rsidRPr="006627B4" w:rsidRDefault="005A3734" w:rsidP="005A3734">
      <w:pPr>
        <w:spacing w:after="0"/>
        <w:ind w:left="720"/>
      </w:pPr>
      <w:r w:rsidRPr="006627B4">
        <w:t>The Treasury</w:t>
      </w:r>
    </w:p>
    <w:p w14:paraId="05E995A5" w14:textId="77777777" w:rsidR="005A3734" w:rsidRPr="006627B4" w:rsidRDefault="005A3734" w:rsidP="005A3734">
      <w:pPr>
        <w:spacing w:after="0"/>
        <w:ind w:left="720"/>
      </w:pPr>
      <w:r w:rsidRPr="006627B4">
        <w:t>Langton Crescent</w:t>
      </w:r>
      <w:r>
        <w:t>,</w:t>
      </w:r>
      <w:r w:rsidRPr="006627B4">
        <w:t xml:space="preserve"> Parkes ACT 2600</w:t>
      </w:r>
    </w:p>
    <w:p w14:paraId="6D1E9E13" w14:textId="77777777" w:rsidR="005A3734" w:rsidRPr="002F1BC2" w:rsidRDefault="005A3734" w:rsidP="005A3734">
      <w:pPr>
        <w:spacing w:after="0"/>
        <w:ind w:left="720"/>
        <w:rPr>
          <w:rStyle w:val="Hyperlink"/>
        </w:rPr>
      </w:pPr>
      <w:r w:rsidRPr="006627B4">
        <w:t xml:space="preserve">Email: </w:t>
      </w:r>
      <w:hyperlink r:id="rId20" w:history="1">
        <w:r w:rsidRPr="00573329">
          <w:rPr>
            <w:rStyle w:val="Hyperlink"/>
          </w:rPr>
          <w:t>medialiaison@treasury.gov.au</w:t>
        </w:r>
      </w:hyperlink>
      <w:r w:rsidRPr="002F1BC2">
        <w:rPr>
          <w:rStyle w:val="Hyperlink"/>
        </w:rPr>
        <w:t xml:space="preserve"> </w:t>
      </w:r>
    </w:p>
    <w:p w14:paraId="5D5B1707" w14:textId="0B02D545" w:rsidR="005A3734" w:rsidRDefault="005A3734">
      <w:pPr>
        <w:spacing w:after="0" w:line="240" w:lineRule="auto"/>
        <w:jc w:val="left"/>
      </w:pPr>
      <w:r>
        <w:br w:type="page"/>
      </w:r>
    </w:p>
    <w:p w14:paraId="32E50FA9" w14:textId="5BF5C9B3" w:rsidR="009377E9" w:rsidRPr="009377E9" w:rsidRDefault="009377E9" w:rsidP="009377E9">
      <w:pPr>
        <w:jc w:val="left"/>
        <w:rPr>
          <w:lang w:val="en"/>
        </w:rPr>
      </w:pPr>
      <w:r w:rsidRPr="009377E9">
        <w:rPr>
          <w:lang w:val="en"/>
        </w:rPr>
        <w:lastRenderedPageBreak/>
        <w:t>The Hon Scott Morrison MP</w:t>
      </w:r>
      <w:r w:rsidR="00F93111">
        <w:rPr>
          <w:lang w:val="en"/>
        </w:rPr>
        <w:t xml:space="preserve">  </w:t>
      </w:r>
      <w:r w:rsidR="00F93111">
        <w:rPr>
          <w:lang w:val="en"/>
        </w:rPr>
        <w:tab/>
      </w:r>
      <w:r w:rsidR="00F93111">
        <w:rPr>
          <w:lang w:val="en"/>
        </w:rPr>
        <w:tab/>
      </w:r>
      <w:r w:rsidR="00F93111">
        <w:rPr>
          <w:lang w:val="en"/>
        </w:rPr>
        <w:tab/>
      </w:r>
      <w:r w:rsidR="00F93111">
        <w:rPr>
          <w:lang w:val="en"/>
        </w:rPr>
        <w:tab/>
      </w:r>
      <w:r w:rsidR="00F93111">
        <w:rPr>
          <w:lang w:val="en"/>
        </w:rPr>
        <w:tab/>
      </w:r>
      <w:r w:rsidR="00F93111">
        <w:rPr>
          <w:lang w:val="en"/>
        </w:rPr>
        <w:tab/>
      </w:r>
      <w:r w:rsidR="002E1B63">
        <w:rPr>
          <w:lang w:val="en"/>
        </w:rPr>
        <w:t xml:space="preserve">                       </w:t>
      </w:r>
      <w:r w:rsidR="00BD1F76">
        <w:rPr>
          <w:lang w:val="en"/>
        </w:rPr>
        <w:t>13</w:t>
      </w:r>
      <w:r w:rsidR="002E1B63">
        <w:rPr>
          <w:lang w:val="en"/>
        </w:rPr>
        <w:t xml:space="preserve"> </w:t>
      </w:r>
      <w:r w:rsidR="00F93111">
        <w:rPr>
          <w:lang w:val="en"/>
        </w:rPr>
        <w:t>April 2017</w:t>
      </w:r>
      <w:r w:rsidRPr="009377E9">
        <w:rPr>
          <w:lang w:val="en"/>
        </w:rPr>
        <w:br/>
        <w:t>Treasurer</w:t>
      </w:r>
      <w:r w:rsidRPr="009377E9">
        <w:rPr>
          <w:lang w:val="en"/>
        </w:rPr>
        <w:br/>
        <w:t>Parliament House</w:t>
      </w:r>
      <w:r w:rsidRPr="009377E9">
        <w:rPr>
          <w:lang w:val="en"/>
        </w:rPr>
        <w:br/>
        <w:t>CANBERRA ACT 2600</w:t>
      </w:r>
    </w:p>
    <w:p w14:paraId="18968BEE" w14:textId="77777777" w:rsidR="009377E9" w:rsidRPr="009377E9" w:rsidRDefault="009377E9" w:rsidP="00904AFA">
      <w:pPr>
        <w:spacing w:after="120" w:line="240" w:lineRule="auto"/>
        <w:rPr>
          <w:lang w:val="en"/>
        </w:rPr>
      </w:pPr>
      <w:r w:rsidRPr="009377E9">
        <w:rPr>
          <w:lang w:val="en"/>
        </w:rPr>
        <w:t>Dear Treasurer</w:t>
      </w:r>
    </w:p>
    <w:p w14:paraId="6282F284" w14:textId="1B55429D" w:rsidR="009377E9" w:rsidRPr="009377E9" w:rsidRDefault="009377E9" w:rsidP="00904AFA">
      <w:pPr>
        <w:spacing w:after="120" w:line="240" w:lineRule="auto"/>
        <w:rPr>
          <w:lang w:val="en"/>
        </w:rPr>
      </w:pPr>
      <w:r w:rsidRPr="009377E9">
        <w:rPr>
          <w:b/>
          <w:lang w:val="en"/>
        </w:rPr>
        <w:t>Petroleum Resource Rent Tax Review Final Report</w:t>
      </w:r>
    </w:p>
    <w:p w14:paraId="549E8F9D" w14:textId="4DB18AFC" w:rsidR="009377E9" w:rsidRPr="00D729C3" w:rsidRDefault="009377E9" w:rsidP="00904AFA">
      <w:pPr>
        <w:spacing w:after="120" w:line="240" w:lineRule="auto"/>
        <w:rPr>
          <w:lang w:val="en"/>
        </w:rPr>
      </w:pPr>
      <w:r w:rsidRPr="00680061">
        <w:rPr>
          <w:lang w:val="en"/>
        </w:rPr>
        <w:t>In accordance with the Terms of Reference, I</w:t>
      </w:r>
      <w:r w:rsidRPr="00620D83">
        <w:rPr>
          <w:lang w:val="en"/>
        </w:rPr>
        <w:t xml:space="preserve"> </w:t>
      </w:r>
      <w:r w:rsidRPr="00D729C3">
        <w:rPr>
          <w:lang w:val="en"/>
        </w:rPr>
        <w:t>am pleased to present the Final Report of the Petroleum Resource Rent Tax Review.</w:t>
      </w:r>
    </w:p>
    <w:p w14:paraId="04FA8D21" w14:textId="77777777" w:rsidR="00520A38" w:rsidRPr="00D729C3" w:rsidRDefault="009377E9" w:rsidP="00904AFA">
      <w:pPr>
        <w:spacing w:after="120" w:line="240" w:lineRule="auto"/>
        <w:rPr>
          <w:lang w:val="en"/>
        </w:rPr>
      </w:pPr>
      <w:r w:rsidRPr="00D729C3">
        <w:rPr>
          <w:lang w:val="en"/>
        </w:rPr>
        <w:t>The Report provides an assessment of the design and operation of the PRRT, crude oil excise and associated Commonwealth royalties that apply to the onshore and offshore oil and gas industry</w:t>
      </w:r>
      <w:r w:rsidR="00520A38" w:rsidRPr="00D729C3">
        <w:rPr>
          <w:lang w:val="en"/>
        </w:rPr>
        <w:t xml:space="preserve">. </w:t>
      </w:r>
    </w:p>
    <w:p w14:paraId="228813E5" w14:textId="77777777" w:rsidR="00431897" w:rsidRPr="00F96678" w:rsidRDefault="00431897" w:rsidP="00904AFA">
      <w:pPr>
        <w:spacing w:after="120" w:line="240" w:lineRule="auto"/>
      </w:pPr>
      <w:r w:rsidRPr="00F96678">
        <w:t>The overall assessment is that while the PRRT remains the preferred way to achieve a fair return to the community for the extraction of petroleum resources without discouraging investment, changes should be made to PRRT arrangements to make them more compatible with the developments that have taken place in the Australian oil and gas industry.</w:t>
      </w:r>
    </w:p>
    <w:p w14:paraId="2AF64512" w14:textId="4B2080D4" w:rsidR="00520A38" w:rsidRPr="00D729C3" w:rsidRDefault="00520A38" w:rsidP="00904AFA">
      <w:pPr>
        <w:spacing w:after="120" w:line="240" w:lineRule="auto"/>
        <w:rPr>
          <w:lang w:val="en"/>
        </w:rPr>
      </w:pPr>
      <w:r w:rsidRPr="00D729C3">
        <w:rPr>
          <w:lang w:val="en"/>
        </w:rPr>
        <w:t xml:space="preserve">In considering the extent and timing of any changes to the PRRT, </w:t>
      </w:r>
      <w:r w:rsidR="006E10FF">
        <w:rPr>
          <w:lang w:val="en"/>
        </w:rPr>
        <w:t xml:space="preserve">however, </w:t>
      </w:r>
      <w:r w:rsidRPr="00D729C3">
        <w:rPr>
          <w:lang w:val="en"/>
        </w:rPr>
        <w:t>allowance has to be made for the very large recent investment in the Australian petroleum sector on the basis of long</w:t>
      </w:r>
      <w:r w:rsidR="005D6F39">
        <w:rPr>
          <w:lang w:val="en"/>
        </w:rPr>
        <w:noBreakHyphen/>
      </w:r>
      <w:r w:rsidRPr="00D729C3">
        <w:rPr>
          <w:lang w:val="en"/>
        </w:rPr>
        <w:t xml:space="preserve">standing taxation arrangements. </w:t>
      </w:r>
      <w:r w:rsidR="00431897">
        <w:rPr>
          <w:lang w:val="en"/>
        </w:rPr>
        <w:t>The overall stability of the PRRT has contributed to this large investment. Given the range of uncertainties involved in large, long</w:t>
      </w:r>
      <w:r w:rsidR="005D6F39">
        <w:rPr>
          <w:lang w:val="en"/>
        </w:rPr>
        <w:noBreakHyphen/>
      </w:r>
      <w:r w:rsidR="00431897">
        <w:rPr>
          <w:lang w:val="en"/>
        </w:rPr>
        <w:t>term petroleum investments, s</w:t>
      </w:r>
      <w:r w:rsidR="006E10FF">
        <w:rPr>
          <w:lang w:val="en"/>
        </w:rPr>
        <w:t>tability in fiscal settings is an important factor influencing a country</w:t>
      </w:r>
      <w:r w:rsidR="005D6F39">
        <w:rPr>
          <w:lang w:val="en"/>
        </w:rPr>
        <w:t>’</w:t>
      </w:r>
      <w:r w:rsidR="006E10FF">
        <w:rPr>
          <w:lang w:val="en"/>
        </w:rPr>
        <w:t xml:space="preserve">s investment </w:t>
      </w:r>
      <w:r w:rsidR="007E471F">
        <w:rPr>
          <w:lang w:val="en"/>
        </w:rPr>
        <w:t>attractiveness. Moreover any substantial change to the PRRT should be the outcome of a considered, comprehensive and consultative process.</w:t>
      </w:r>
      <w:r w:rsidR="00F91503">
        <w:rPr>
          <w:lang w:val="en"/>
        </w:rPr>
        <w:t xml:space="preserve"> </w:t>
      </w:r>
    </w:p>
    <w:p w14:paraId="3654784C" w14:textId="12FE5EB4" w:rsidR="00520A38" w:rsidRPr="00D729C3" w:rsidRDefault="00431897" w:rsidP="00904AFA">
      <w:pPr>
        <w:spacing w:after="120" w:line="240" w:lineRule="auto"/>
        <w:rPr>
          <w:lang w:val="en"/>
        </w:rPr>
      </w:pPr>
      <w:r>
        <w:rPr>
          <w:lang w:val="en"/>
        </w:rPr>
        <w:t>Consequently, t</w:t>
      </w:r>
      <w:r w:rsidR="009377E9" w:rsidRPr="00D729C3">
        <w:rPr>
          <w:lang w:val="en"/>
        </w:rPr>
        <w:t>he Report</w:t>
      </w:r>
      <w:r w:rsidR="005D6F39">
        <w:rPr>
          <w:lang w:val="en"/>
        </w:rPr>
        <w:t>’</w:t>
      </w:r>
      <w:r w:rsidR="006E10FF">
        <w:rPr>
          <w:lang w:val="en"/>
        </w:rPr>
        <w:t>s</w:t>
      </w:r>
      <w:r w:rsidR="009377E9" w:rsidRPr="00D729C3">
        <w:rPr>
          <w:lang w:val="en"/>
        </w:rPr>
        <w:t xml:space="preserve"> recommendations </w:t>
      </w:r>
      <w:r w:rsidR="00295DB7">
        <w:rPr>
          <w:lang w:val="en"/>
        </w:rPr>
        <w:t xml:space="preserve">are </w:t>
      </w:r>
      <w:r w:rsidR="00520A38" w:rsidRPr="00D729C3">
        <w:rPr>
          <w:lang w:val="en"/>
        </w:rPr>
        <w:t xml:space="preserve">in </w:t>
      </w:r>
      <w:r w:rsidR="007E471F">
        <w:rPr>
          <w:lang w:val="en"/>
        </w:rPr>
        <w:t>two parts. First, a process to update the design of the PRRT with resulting changes only applying to new projects (as defined in the PRRT legislation)</w:t>
      </w:r>
      <w:r w:rsidR="00571D96">
        <w:rPr>
          <w:lang w:val="en"/>
        </w:rPr>
        <w:t xml:space="preserve"> from a date to be specified</w:t>
      </w:r>
      <w:r w:rsidR="007E471F">
        <w:rPr>
          <w:lang w:val="en"/>
        </w:rPr>
        <w:t xml:space="preserve">. Second, changes to improve the integrity, efficiency and administration of the PRRT that </w:t>
      </w:r>
      <w:r w:rsidR="00EB64EB">
        <w:rPr>
          <w:lang w:val="en"/>
        </w:rPr>
        <w:t>should</w:t>
      </w:r>
      <w:r w:rsidR="007E471F">
        <w:rPr>
          <w:lang w:val="en"/>
        </w:rPr>
        <w:t xml:space="preserve"> apply to existing and new PRRT projects.</w:t>
      </w:r>
      <w:r w:rsidR="00520A38" w:rsidRPr="00D729C3">
        <w:rPr>
          <w:lang w:val="en"/>
        </w:rPr>
        <w:t xml:space="preserve"> </w:t>
      </w:r>
    </w:p>
    <w:p w14:paraId="3F0188E8" w14:textId="71146BD2" w:rsidR="009377E9" w:rsidRPr="00D729C3" w:rsidRDefault="009377E9" w:rsidP="00904AFA">
      <w:pPr>
        <w:spacing w:after="120" w:line="240" w:lineRule="auto"/>
        <w:rPr>
          <w:lang w:val="en"/>
        </w:rPr>
      </w:pPr>
      <w:r w:rsidRPr="00D729C3">
        <w:rPr>
          <w:lang w:val="en"/>
        </w:rPr>
        <w:t xml:space="preserve">There has been </w:t>
      </w:r>
      <w:r w:rsidRPr="00D729C3">
        <w:rPr>
          <w:szCs w:val="24"/>
          <w:lang w:val="en"/>
        </w:rPr>
        <w:t>wide</w:t>
      </w:r>
      <w:r w:rsidR="00EB64EB">
        <w:rPr>
          <w:szCs w:val="24"/>
          <w:lang w:val="en"/>
        </w:rPr>
        <w:t>spread</w:t>
      </w:r>
      <w:r w:rsidR="00EB64EB">
        <w:rPr>
          <w:lang w:val="en"/>
        </w:rPr>
        <w:t xml:space="preserve"> </w:t>
      </w:r>
      <w:r w:rsidRPr="00D729C3">
        <w:rPr>
          <w:lang w:val="en"/>
        </w:rPr>
        <w:t xml:space="preserve">industry and public interest in the review. </w:t>
      </w:r>
      <w:r w:rsidR="00295DB7">
        <w:rPr>
          <w:lang w:val="en"/>
        </w:rPr>
        <w:t>O</w:t>
      </w:r>
      <w:r w:rsidRPr="00D729C3">
        <w:rPr>
          <w:lang w:val="en"/>
        </w:rPr>
        <w:t xml:space="preserve">ver </w:t>
      </w:r>
      <w:r w:rsidR="00E50F1E" w:rsidRPr="00D729C3">
        <w:rPr>
          <w:lang w:val="en"/>
        </w:rPr>
        <w:t>75</w:t>
      </w:r>
      <w:r w:rsidR="00E50F1E">
        <w:rPr>
          <w:lang w:val="en"/>
        </w:rPr>
        <w:t> </w:t>
      </w:r>
      <w:r w:rsidRPr="00D729C3">
        <w:rPr>
          <w:lang w:val="en"/>
        </w:rPr>
        <w:t xml:space="preserve">submissions </w:t>
      </w:r>
      <w:r w:rsidR="00295DB7">
        <w:rPr>
          <w:lang w:val="en"/>
        </w:rPr>
        <w:t xml:space="preserve">were received </w:t>
      </w:r>
      <w:r w:rsidRPr="00D729C3">
        <w:rPr>
          <w:lang w:val="en"/>
        </w:rPr>
        <w:t xml:space="preserve">and </w:t>
      </w:r>
      <w:r w:rsidR="00295DB7">
        <w:rPr>
          <w:lang w:val="en"/>
        </w:rPr>
        <w:t xml:space="preserve">the </w:t>
      </w:r>
      <w:r w:rsidR="007E471F">
        <w:rPr>
          <w:lang w:val="en"/>
        </w:rPr>
        <w:t xml:space="preserve">review </w:t>
      </w:r>
      <w:r w:rsidR="007E471F" w:rsidRPr="00D729C3">
        <w:rPr>
          <w:lang w:val="en"/>
        </w:rPr>
        <w:t>met</w:t>
      </w:r>
      <w:r w:rsidR="00520A38" w:rsidRPr="00D729C3">
        <w:rPr>
          <w:lang w:val="en"/>
        </w:rPr>
        <w:t xml:space="preserve"> with </w:t>
      </w:r>
      <w:r w:rsidR="00295DB7">
        <w:rPr>
          <w:lang w:val="en"/>
        </w:rPr>
        <w:t xml:space="preserve">a cross section of interested parties, including </w:t>
      </w:r>
      <w:r w:rsidR="007E471F">
        <w:rPr>
          <w:lang w:val="en"/>
        </w:rPr>
        <w:t xml:space="preserve">from </w:t>
      </w:r>
      <w:r w:rsidR="007E471F" w:rsidRPr="00D729C3">
        <w:rPr>
          <w:lang w:val="en"/>
        </w:rPr>
        <w:t>oil</w:t>
      </w:r>
      <w:r w:rsidR="00520A38" w:rsidRPr="00D729C3">
        <w:rPr>
          <w:lang w:val="en"/>
        </w:rPr>
        <w:t xml:space="preserve"> and gas companies</w:t>
      </w:r>
      <w:r w:rsidRPr="00D729C3">
        <w:rPr>
          <w:lang w:val="en"/>
        </w:rPr>
        <w:t xml:space="preserve">, </w:t>
      </w:r>
      <w:r w:rsidR="00520A38" w:rsidRPr="00D729C3">
        <w:rPr>
          <w:lang w:val="en"/>
        </w:rPr>
        <w:t>non</w:t>
      </w:r>
      <w:r w:rsidR="005D6F39">
        <w:rPr>
          <w:lang w:val="en"/>
        </w:rPr>
        <w:noBreakHyphen/>
      </w:r>
      <w:r w:rsidR="00520A38" w:rsidRPr="00D729C3">
        <w:rPr>
          <w:lang w:val="en"/>
        </w:rPr>
        <w:t xml:space="preserve">government organisations, community groups, resource tax experts, </w:t>
      </w:r>
      <w:r w:rsidR="00431897">
        <w:rPr>
          <w:lang w:val="en"/>
        </w:rPr>
        <w:t xml:space="preserve">and </w:t>
      </w:r>
      <w:r w:rsidR="00520A38" w:rsidRPr="00D729C3">
        <w:rPr>
          <w:lang w:val="en"/>
        </w:rPr>
        <w:t>academics</w:t>
      </w:r>
      <w:r w:rsidR="00431897">
        <w:rPr>
          <w:lang w:val="en"/>
        </w:rPr>
        <w:t>.</w:t>
      </w:r>
    </w:p>
    <w:p w14:paraId="1EA02AB2" w14:textId="2DE0F349" w:rsidR="00A61E04" w:rsidRDefault="00295DB7" w:rsidP="00904AFA">
      <w:pPr>
        <w:spacing w:after="120" w:line="240" w:lineRule="auto"/>
        <w:rPr>
          <w:lang w:val="en"/>
        </w:rPr>
      </w:pPr>
      <w:r>
        <w:rPr>
          <w:lang w:val="en"/>
        </w:rPr>
        <w:t>I would like to thank the m</w:t>
      </w:r>
      <w:r w:rsidR="009377E9" w:rsidRPr="00D729C3">
        <w:rPr>
          <w:lang w:val="en"/>
        </w:rPr>
        <w:t xml:space="preserve">any individuals and organisations </w:t>
      </w:r>
      <w:r>
        <w:rPr>
          <w:lang w:val="en"/>
        </w:rPr>
        <w:t>that</w:t>
      </w:r>
      <w:r w:rsidR="009377E9" w:rsidRPr="00D729C3">
        <w:rPr>
          <w:lang w:val="en"/>
        </w:rPr>
        <w:t xml:space="preserve"> </w:t>
      </w:r>
      <w:r w:rsidR="00520A38" w:rsidRPr="00D729C3">
        <w:rPr>
          <w:lang w:val="en"/>
        </w:rPr>
        <w:t>g</w:t>
      </w:r>
      <w:r>
        <w:rPr>
          <w:lang w:val="en"/>
        </w:rPr>
        <w:t>ave</w:t>
      </w:r>
      <w:r w:rsidR="00520A38" w:rsidRPr="00D729C3">
        <w:rPr>
          <w:lang w:val="en"/>
        </w:rPr>
        <w:t xml:space="preserve"> </w:t>
      </w:r>
      <w:r w:rsidR="009377E9" w:rsidRPr="00D729C3">
        <w:rPr>
          <w:lang w:val="en"/>
        </w:rPr>
        <w:t xml:space="preserve">considerable time and resources to assist the </w:t>
      </w:r>
      <w:r>
        <w:rPr>
          <w:lang w:val="en"/>
        </w:rPr>
        <w:t>review</w:t>
      </w:r>
      <w:r w:rsidR="00EB64EB">
        <w:rPr>
          <w:lang w:val="en"/>
        </w:rPr>
        <w:t>; i</w:t>
      </w:r>
      <w:r w:rsidR="009377E9" w:rsidRPr="00D729C3">
        <w:rPr>
          <w:lang w:val="en"/>
        </w:rPr>
        <w:t>n particular,</w:t>
      </w:r>
      <w:r w:rsidR="007E471F" w:rsidRPr="00D729C3">
        <w:rPr>
          <w:lang w:val="en"/>
        </w:rPr>
        <w:t xml:space="preserve"> the</w:t>
      </w:r>
      <w:r w:rsidR="009377E9" w:rsidRPr="00D729C3">
        <w:rPr>
          <w:lang w:val="en"/>
        </w:rPr>
        <w:t xml:space="preserve"> Department of the Treasury, the Department of Industry, Innovation and Science and the Australian Taxation Office</w:t>
      </w:r>
      <w:r w:rsidR="003E630E">
        <w:rPr>
          <w:lang w:val="en"/>
        </w:rPr>
        <w:t xml:space="preserve"> for their assistance.</w:t>
      </w:r>
    </w:p>
    <w:p w14:paraId="38EE043F" w14:textId="37CBF46C" w:rsidR="009377E9" w:rsidRPr="00D729C3" w:rsidRDefault="009377E9" w:rsidP="00904AFA">
      <w:pPr>
        <w:spacing w:after="120" w:line="240" w:lineRule="auto"/>
        <w:rPr>
          <w:lang w:val="en"/>
        </w:rPr>
      </w:pPr>
      <w:r w:rsidRPr="00D729C3">
        <w:rPr>
          <w:lang w:val="en"/>
        </w:rPr>
        <w:t xml:space="preserve">Finally, I wish to acknowledge </w:t>
      </w:r>
      <w:r w:rsidR="003E630E">
        <w:rPr>
          <w:lang w:val="en"/>
        </w:rPr>
        <w:t xml:space="preserve">and </w:t>
      </w:r>
      <w:r w:rsidR="007E471F">
        <w:rPr>
          <w:lang w:val="en"/>
        </w:rPr>
        <w:t xml:space="preserve">thank </w:t>
      </w:r>
      <w:r w:rsidR="00EB64EB">
        <w:rPr>
          <w:lang w:val="en"/>
        </w:rPr>
        <w:t xml:space="preserve">the </w:t>
      </w:r>
      <w:r w:rsidRPr="00D729C3">
        <w:rPr>
          <w:lang w:val="en"/>
        </w:rPr>
        <w:t xml:space="preserve">members of the </w:t>
      </w:r>
      <w:r w:rsidR="003E630E">
        <w:rPr>
          <w:lang w:val="en"/>
        </w:rPr>
        <w:t>review s</w:t>
      </w:r>
      <w:r w:rsidRPr="00D729C3">
        <w:rPr>
          <w:lang w:val="en"/>
        </w:rPr>
        <w:t>ecretariat</w:t>
      </w:r>
      <w:r w:rsidR="003E630E">
        <w:rPr>
          <w:lang w:val="en"/>
        </w:rPr>
        <w:t xml:space="preserve"> for their excellent support.</w:t>
      </w:r>
    </w:p>
    <w:p w14:paraId="1E25C82B" w14:textId="77777777" w:rsidR="00904AFA" w:rsidRDefault="009377E9" w:rsidP="00904AFA">
      <w:pPr>
        <w:spacing w:after="120" w:line="240" w:lineRule="auto"/>
        <w:jc w:val="left"/>
        <w:rPr>
          <w:lang w:val="en"/>
        </w:rPr>
      </w:pPr>
      <w:r w:rsidRPr="00D729C3">
        <w:rPr>
          <w:lang w:val="en"/>
        </w:rPr>
        <w:t>Yours sincerely</w:t>
      </w:r>
    </w:p>
    <w:p w14:paraId="19EED235" w14:textId="68E6688E" w:rsidR="00904AFA" w:rsidRDefault="00904AFA" w:rsidP="00904AFA">
      <w:pPr>
        <w:spacing w:after="120"/>
        <w:jc w:val="left"/>
        <w:rPr>
          <w:noProof/>
        </w:rPr>
      </w:pPr>
    </w:p>
    <w:p w14:paraId="6A460C7D" w14:textId="77777777" w:rsidR="00C46B37" w:rsidRDefault="00C46B37" w:rsidP="00904AFA">
      <w:pPr>
        <w:spacing w:after="120"/>
        <w:jc w:val="left"/>
        <w:rPr>
          <w:lang w:val="en"/>
        </w:rPr>
      </w:pPr>
      <w:bookmarkStart w:id="0" w:name="_GoBack"/>
      <w:bookmarkEnd w:id="0"/>
    </w:p>
    <w:p w14:paraId="670EB173" w14:textId="03AA7521" w:rsidR="00904AFA" w:rsidRDefault="00904AFA" w:rsidP="00904AFA">
      <w:pPr>
        <w:spacing w:after="120"/>
        <w:jc w:val="left"/>
        <w:rPr>
          <w:lang w:val="en"/>
        </w:rPr>
      </w:pPr>
    </w:p>
    <w:p w14:paraId="13DD579A" w14:textId="273617C4" w:rsidR="005A3734" w:rsidRDefault="00520A38" w:rsidP="00520A38">
      <w:pPr>
        <w:jc w:val="left"/>
      </w:pPr>
      <w:r>
        <w:rPr>
          <w:lang w:val="en"/>
        </w:rPr>
        <w:t>Mi</w:t>
      </w:r>
      <w:r w:rsidR="003E630E">
        <w:rPr>
          <w:lang w:val="en"/>
        </w:rPr>
        <w:t>ke</w:t>
      </w:r>
      <w:r>
        <w:rPr>
          <w:lang w:val="en"/>
        </w:rPr>
        <w:t xml:space="preserve"> Callaghan </w:t>
      </w:r>
      <w:r w:rsidR="009377E9" w:rsidRPr="009377E9">
        <w:rPr>
          <w:lang w:val="en"/>
        </w:rPr>
        <w:br/>
      </w:r>
    </w:p>
    <w:p w14:paraId="64031DDF" w14:textId="77777777" w:rsidR="000A7BCF" w:rsidRDefault="000A7BCF">
      <w:pPr>
        <w:sectPr w:rsidR="000A7BCF" w:rsidSect="0056559F">
          <w:headerReference w:type="even" r:id="rId21"/>
          <w:footerReference w:type="even" r:id="rId22"/>
          <w:footerReference w:type="default" r:id="rId23"/>
          <w:footerReference w:type="first" r:id="rId24"/>
          <w:pgSz w:w="11906" w:h="16838" w:code="9"/>
          <w:pgMar w:top="1418" w:right="1418" w:bottom="1418" w:left="1418" w:header="709" w:footer="709" w:gutter="0"/>
          <w:cols w:space="708"/>
          <w:titlePg/>
          <w:docGrid w:linePitch="360"/>
        </w:sectPr>
      </w:pPr>
    </w:p>
    <w:p w14:paraId="206C817F" w14:textId="77777777" w:rsidR="0056559F" w:rsidRDefault="0056559F" w:rsidP="00813AC3">
      <w:pPr>
        <w:pStyle w:val="ContentsHeading"/>
      </w:pPr>
      <w:r>
        <w:lastRenderedPageBreak/>
        <w:t>Contents</w:t>
      </w:r>
    </w:p>
    <w:p w14:paraId="03C06C12" w14:textId="77777777" w:rsidR="00F70FB8" w:rsidRDefault="0056559F">
      <w:pPr>
        <w:pStyle w:val="TOC1"/>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479770589" w:history="1">
        <w:r w:rsidR="00F70FB8" w:rsidRPr="00637863">
          <w:rPr>
            <w:rStyle w:val="Hyperlink"/>
            <w:noProof/>
          </w:rPr>
          <w:t>Table of Abbreviations</w:t>
        </w:r>
        <w:r w:rsidR="00F70FB8">
          <w:rPr>
            <w:noProof/>
            <w:webHidden/>
          </w:rPr>
          <w:tab/>
        </w:r>
        <w:r w:rsidR="00F70FB8">
          <w:rPr>
            <w:noProof/>
            <w:webHidden/>
          </w:rPr>
          <w:fldChar w:fldCharType="begin"/>
        </w:r>
        <w:r w:rsidR="00F70FB8">
          <w:rPr>
            <w:noProof/>
            <w:webHidden/>
          </w:rPr>
          <w:instrText xml:space="preserve"> PAGEREF _Toc479770589 \h </w:instrText>
        </w:r>
        <w:r w:rsidR="00F70FB8">
          <w:rPr>
            <w:noProof/>
            <w:webHidden/>
          </w:rPr>
        </w:r>
        <w:r w:rsidR="00F70FB8">
          <w:rPr>
            <w:noProof/>
            <w:webHidden/>
          </w:rPr>
          <w:fldChar w:fldCharType="separate"/>
        </w:r>
        <w:r w:rsidR="00836082">
          <w:rPr>
            <w:noProof/>
            <w:webHidden/>
          </w:rPr>
          <w:t>1</w:t>
        </w:r>
        <w:r w:rsidR="00F70FB8">
          <w:rPr>
            <w:noProof/>
            <w:webHidden/>
          </w:rPr>
          <w:fldChar w:fldCharType="end"/>
        </w:r>
      </w:hyperlink>
    </w:p>
    <w:p w14:paraId="07FE9595" w14:textId="77777777" w:rsidR="00F70FB8" w:rsidRDefault="00C46B37">
      <w:pPr>
        <w:pStyle w:val="TOC1"/>
        <w:rPr>
          <w:rFonts w:asciiTheme="minorHAnsi" w:eastAsiaTheme="minorEastAsia" w:hAnsiTheme="minorHAnsi" w:cstheme="minorBidi"/>
          <w:b w:val="0"/>
          <w:noProof/>
          <w:color w:val="auto"/>
          <w:sz w:val="22"/>
        </w:rPr>
      </w:pPr>
      <w:hyperlink w:anchor="_Toc479770590" w:history="1">
        <w:r w:rsidR="00F70FB8" w:rsidRPr="00637863">
          <w:rPr>
            <w:rStyle w:val="Hyperlink"/>
            <w:noProof/>
          </w:rPr>
          <w:t>Petroleum Resource Rent Tax Review</w:t>
        </w:r>
        <w:r w:rsidR="00F70FB8">
          <w:rPr>
            <w:noProof/>
            <w:webHidden/>
          </w:rPr>
          <w:tab/>
        </w:r>
        <w:r w:rsidR="00F70FB8">
          <w:rPr>
            <w:noProof/>
            <w:webHidden/>
          </w:rPr>
          <w:fldChar w:fldCharType="begin"/>
        </w:r>
        <w:r w:rsidR="00F70FB8">
          <w:rPr>
            <w:noProof/>
            <w:webHidden/>
          </w:rPr>
          <w:instrText xml:space="preserve"> PAGEREF _Toc479770590 \h </w:instrText>
        </w:r>
        <w:r w:rsidR="00F70FB8">
          <w:rPr>
            <w:noProof/>
            <w:webHidden/>
          </w:rPr>
        </w:r>
        <w:r w:rsidR="00F70FB8">
          <w:rPr>
            <w:noProof/>
            <w:webHidden/>
          </w:rPr>
          <w:fldChar w:fldCharType="separate"/>
        </w:r>
        <w:r w:rsidR="00836082">
          <w:rPr>
            <w:noProof/>
            <w:webHidden/>
          </w:rPr>
          <w:t>2</w:t>
        </w:r>
        <w:r w:rsidR="00F70FB8">
          <w:rPr>
            <w:noProof/>
            <w:webHidden/>
          </w:rPr>
          <w:fldChar w:fldCharType="end"/>
        </w:r>
      </w:hyperlink>
    </w:p>
    <w:p w14:paraId="4CBD1A98" w14:textId="77777777" w:rsidR="00F70FB8" w:rsidRDefault="00C46B37">
      <w:pPr>
        <w:pStyle w:val="TOC2"/>
        <w:rPr>
          <w:rFonts w:asciiTheme="minorHAnsi" w:eastAsiaTheme="minorEastAsia" w:hAnsiTheme="minorHAnsi" w:cstheme="minorBidi"/>
          <w:noProof/>
          <w:color w:val="auto"/>
          <w:szCs w:val="22"/>
        </w:rPr>
      </w:pPr>
      <w:hyperlink w:anchor="_Toc479770591" w:history="1">
        <w:r w:rsidR="00F70FB8" w:rsidRPr="00637863">
          <w:rPr>
            <w:rStyle w:val="Hyperlink"/>
            <w:noProof/>
          </w:rPr>
          <w:t>Purpose of the Review</w:t>
        </w:r>
        <w:r w:rsidR="00F70FB8">
          <w:rPr>
            <w:noProof/>
            <w:webHidden/>
          </w:rPr>
          <w:tab/>
        </w:r>
        <w:r w:rsidR="00F70FB8">
          <w:rPr>
            <w:noProof/>
            <w:webHidden/>
          </w:rPr>
          <w:fldChar w:fldCharType="begin"/>
        </w:r>
        <w:r w:rsidR="00F70FB8">
          <w:rPr>
            <w:noProof/>
            <w:webHidden/>
          </w:rPr>
          <w:instrText xml:space="preserve"> PAGEREF _Toc479770591 \h </w:instrText>
        </w:r>
        <w:r w:rsidR="00F70FB8">
          <w:rPr>
            <w:noProof/>
            <w:webHidden/>
          </w:rPr>
        </w:r>
        <w:r w:rsidR="00F70FB8">
          <w:rPr>
            <w:noProof/>
            <w:webHidden/>
          </w:rPr>
          <w:fldChar w:fldCharType="separate"/>
        </w:r>
        <w:r w:rsidR="00836082">
          <w:rPr>
            <w:noProof/>
            <w:webHidden/>
          </w:rPr>
          <w:t>2</w:t>
        </w:r>
        <w:r w:rsidR="00F70FB8">
          <w:rPr>
            <w:noProof/>
            <w:webHidden/>
          </w:rPr>
          <w:fldChar w:fldCharType="end"/>
        </w:r>
      </w:hyperlink>
    </w:p>
    <w:p w14:paraId="0DB20C2B" w14:textId="77777777" w:rsidR="00F70FB8" w:rsidRDefault="00C46B37">
      <w:pPr>
        <w:pStyle w:val="TOC2"/>
        <w:rPr>
          <w:rFonts w:asciiTheme="minorHAnsi" w:eastAsiaTheme="minorEastAsia" w:hAnsiTheme="minorHAnsi" w:cstheme="minorBidi"/>
          <w:noProof/>
          <w:color w:val="auto"/>
          <w:szCs w:val="22"/>
        </w:rPr>
      </w:pPr>
      <w:hyperlink w:anchor="_Toc479770592" w:history="1">
        <w:r w:rsidR="00F70FB8" w:rsidRPr="00637863">
          <w:rPr>
            <w:rStyle w:val="Hyperlink"/>
            <w:noProof/>
          </w:rPr>
          <w:t>Terms of Reference</w:t>
        </w:r>
        <w:r w:rsidR="00F70FB8">
          <w:rPr>
            <w:noProof/>
            <w:webHidden/>
          </w:rPr>
          <w:tab/>
        </w:r>
        <w:r w:rsidR="00F70FB8">
          <w:rPr>
            <w:noProof/>
            <w:webHidden/>
          </w:rPr>
          <w:fldChar w:fldCharType="begin"/>
        </w:r>
        <w:r w:rsidR="00F70FB8">
          <w:rPr>
            <w:noProof/>
            <w:webHidden/>
          </w:rPr>
          <w:instrText xml:space="preserve"> PAGEREF _Toc479770592 \h </w:instrText>
        </w:r>
        <w:r w:rsidR="00F70FB8">
          <w:rPr>
            <w:noProof/>
            <w:webHidden/>
          </w:rPr>
        </w:r>
        <w:r w:rsidR="00F70FB8">
          <w:rPr>
            <w:noProof/>
            <w:webHidden/>
          </w:rPr>
          <w:fldChar w:fldCharType="separate"/>
        </w:r>
        <w:r w:rsidR="00836082">
          <w:rPr>
            <w:noProof/>
            <w:webHidden/>
          </w:rPr>
          <w:t>2</w:t>
        </w:r>
        <w:r w:rsidR="00F70FB8">
          <w:rPr>
            <w:noProof/>
            <w:webHidden/>
          </w:rPr>
          <w:fldChar w:fldCharType="end"/>
        </w:r>
      </w:hyperlink>
    </w:p>
    <w:p w14:paraId="02898406" w14:textId="77777777" w:rsidR="00F70FB8" w:rsidRDefault="00C46B37">
      <w:pPr>
        <w:pStyle w:val="TOC2"/>
        <w:rPr>
          <w:rFonts w:asciiTheme="minorHAnsi" w:eastAsiaTheme="minorEastAsia" w:hAnsiTheme="minorHAnsi" w:cstheme="minorBidi"/>
          <w:noProof/>
          <w:color w:val="auto"/>
          <w:szCs w:val="22"/>
        </w:rPr>
      </w:pPr>
      <w:hyperlink w:anchor="_Toc479770593" w:history="1">
        <w:r w:rsidR="00F70FB8" w:rsidRPr="00637863">
          <w:rPr>
            <w:rStyle w:val="Hyperlink"/>
            <w:noProof/>
          </w:rPr>
          <w:t>Review Process</w:t>
        </w:r>
        <w:r w:rsidR="00F70FB8">
          <w:rPr>
            <w:noProof/>
            <w:webHidden/>
          </w:rPr>
          <w:tab/>
        </w:r>
        <w:r w:rsidR="00F70FB8">
          <w:rPr>
            <w:noProof/>
            <w:webHidden/>
          </w:rPr>
          <w:fldChar w:fldCharType="begin"/>
        </w:r>
        <w:r w:rsidR="00F70FB8">
          <w:rPr>
            <w:noProof/>
            <w:webHidden/>
          </w:rPr>
          <w:instrText xml:space="preserve"> PAGEREF _Toc479770593 \h </w:instrText>
        </w:r>
        <w:r w:rsidR="00F70FB8">
          <w:rPr>
            <w:noProof/>
            <w:webHidden/>
          </w:rPr>
        </w:r>
        <w:r w:rsidR="00F70FB8">
          <w:rPr>
            <w:noProof/>
            <w:webHidden/>
          </w:rPr>
          <w:fldChar w:fldCharType="separate"/>
        </w:r>
        <w:r w:rsidR="00836082">
          <w:rPr>
            <w:noProof/>
            <w:webHidden/>
          </w:rPr>
          <w:t>2</w:t>
        </w:r>
        <w:r w:rsidR="00F70FB8">
          <w:rPr>
            <w:noProof/>
            <w:webHidden/>
          </w:rPr>
          <w:fldChar w:fldCharType="end"/>
        </w:r>
      </w:hyperlink>
    </w:p>
    <w:p w14:paraId="709A88B5" w14:textId="77777777" w:rsidR="00F70FB8" w:rsidRDefault="00C46B37">
      <w:pPr>
        <w:pStyle w:val="TOC1"/>
        <w:rPr>
          <w:rFonts w:asciiTheme="minorHAnsi" w:eastAsiaTheme="minorEastAsia" w:hAnsiTheme="minorHAnsi" w:cstheme="minorBidi"/>
          <w:b w:val="0"/>
          <w:noProof/>
          <w:color w:val="auto"/>
          <w:sz w:val="22"/>
        </w:rPr>
      </w:pPr>
      <w:hyperlink w:anchor="_Toc479770594" w:history="1">
        <w:r w:rsidR="00F70FB8" w:rsidRPr="00637863">
          <w:rPr>
            <w:rStyle w:val="Hyperlink"/>
            <w:noProof/>
          </w:rPr>
          <w:t>Overview, Conclusions and Recommendations</w:t>
        </w:r>
        <w:r w:rsidR="00F70FB8">
          <w:rPr>
            <w:noProof/>
            <w:webHidden/>
          </w:rPr>
          <w:tab/>
        </w:r>
        <w:r w:rsidR="00F70FB8">
          <w:rPr>
            <w:noProof/>
            <w:webHidden/>
          </w:rPr>
          <w:fldChar w:fldCharType="begin"/>
        </w:r>
        <w:r w:rsidR="00F70FB8">
          <w:rPr>
            <w:noProof/>
            <w:webHidden/>
          </w:rPr>
          <w:instrText xml:space="preserve"> PAGEREF _Toc479770594 \h </w:instrText>
        </w:r>
        <w:r w:rsidR="00F70FB8">
          <w:rPr>
            <w:noProof/>
            <w:webHidden/>
          </w:rPr>
        </w:r>
        <w:r w:rsidR="00F70FB8">
          <w:rPr>
            <w:noProof/>
            <w:webHidden/>
          </w:rPr>
          <w:fldChar w:fldCharType="separate"/>
        </w:r>
        <w:r w:rsidR="00836082">
          <w:rPr>
            <w:noProof/>
            <w:webHidden/>
          </w:rPr>
          <w:t>4</w:t>
        </w:r>
        <w:r w:rsidR="00F70FB8">
          <w:rPr>
            <w:noProof/>
            <w:webHidden/>
          </w:rPr>
          <w:fldChar w:fldCharType="end"/>
        </w:r>
      </w:hyperlink>
    </w:p>
    <w:p w14:paraId="737B803D" w14:textId="77777777" w:rsidR="00F70FB8" w:rsidRDefault="00C46B37">
      <w:pPr>
        <w:pStyle w:val="TOC2"/>
        <w:rPr>
          <w:rFonts w:asciiTheme="minorHAnsi" w:eastAsiaTheme="minorEastAsia" w:hAnsiTheme="minorHAnsi" w:cstheme="minorBidi"/>
          <w:noProof/>
          <w:color w:val="auto"/>
          <w:szCs w:val="22"/>
        </w:rPr>
      </w:pPr>
      <w:hyperlink w:anchor="_Toc479770595" w:history="1">
        <w:r w:rsidR="00F70FB8" w:rsidRPr="00637863">
          <w:rPr>
            <w:rStyle w:val="Hyperlink"/>
            <w:noProof/>
          </w:rPr>
          <w:t>The Task</w:t>
        </w:r>
        <w:r w:rsidR="00F70FB8">
          <w:rPr>
            <w:noProof/>
            <w:webHidden/>
          </w:rPr>
          <w:tab/>
        </w:r>
        <w:r w:rsidR="00F70FB8">
          <w:rPr>
            <w:noProof/>
            <w:webHidden/>
          </w:rPr>
          <w:fldChar w:fldCharType="begin"/>
        </w:r>
        <w:r w:rsidR="00F70FB8">
          <w:rPr>
            <w:noProof/>
            <w:webHidden/>
          </w:rPr>
          <w:instrText xml:space="preserve"> PAGEREF _Toc479770595 \h </w:instrText>
        </w:r>
        <w:r w:rsidR="00F70FB8">
          <w:rPr>
            <w:noProof/>
            <w:webHidden/>
          </w:rPr>
        </w:r>
        <w:r w:rsidR="00F70FB8">
          <w:rPr>
            <w:noProof/>
            <w:webHidden/>
          </w:rPr>
          <w:fldChar w:fldCharType="separate"/>
        </w:r>
        <w:r w:rsidR="00836082">
          <w:rPr>
            <w:noProof/>
            <w:webHidden/>
          </w:rPr>
          <w:t>4</w:t>
        </w:r>
        <w:r w:rsidR="00F70FB8">
          <w:rPr>
            <w:noProof/>
            <w:webHidden/>
          </w:rPr>
          <w:fldChar w:fldCharType="end"/>
        </w:r>
      </w:hyperlink>
    </w:p>
    <w:p w14:paraId="63F397EC" w14:textId="77777777" w:rsidR="00F70FB8" w:rsidRDefault="00C46B37">
      <w:pPr>
        <w:pStyle w:val="TOC2"/>
        <w:rPr>
          <w:rFonts w:asciiTheme="minorHAnsi" w:eastAsiaTheme="minorEastAsia" w:hAnsiTheme="minorHAnsi" w:cstheme="minorBidi"/>
          <w:noProof/>
          <w:color w:val="auto"/>
          <w:szCs w:val="22"/>
        </w:rPr>
      </w:pPr>
      <w:hyperlink w:anchor="_Toc479770596" w:history="1">
        <w:r w:rsidR="00F70FB8" w:rsidRPr="00637863">
          <w:rPr>
            <w:rStyle w:val="Hyperlink"/>
            <w:noProof/>
          </w:rPr>
          <w:t>Summary of Issues Raised</w:t>
        </w:r>
        <w:r w:rsidR="00F70FB8">
          <w:rPr>
            <w:noProof/>
            <w:webHidden/>
          </w:rPr>
          <w:tab/>
        </w:r>
        <w:r w:rsidR="00F70FB8">
          <w:rPr>
            <w:noProof/>
            <w:webHidden/>
          </w:rPr>
          <w:fldChar w:fldCharType="begin"/>
        </w:r>
        <w:r w:rsidR="00F70FB8">
          <w:rPr>
            <w:noProof/>
            <w:webHidden/>
          </w:rPr>
          <w:instrText xml:space="preserve"> PAGEREF _Toc479770596 \h </w:instrText>
        </w:r>
        <w:r w:rsidR="00F70FB8">
          <w:rPr>
            <w:noProof/>
            <w:webHidden/>
          </w:rPr>
        </w:r>
        <w:r w:rsidR="00F70FB8">
          <w:rPr>
            <w:noProof/>
            <w:webHidden/>
          </w:rPr>
          <w:fldChar w:fldCharType="separate"/>
        </w:r>
        <w:r w:rsidR="00836082">
          <w:rPr>
            <w:noProof/>
            <w:webHidden/>
          </w:rPr>
          <w:t>4</w:t>
        </w:r>
        <w:r w:rsidR="00F70FB8">
          <w:rPr>
            <w:noProof/>
            <w:webHidden/>
          </w:rPr>
          <w:fldChar w:fldCharType="end"/>
        </w:r>
      </w:hyperlink>
    </w:p>
    <w:p w14:paraId="13182B01" w14:textId="77777777" w:rsidR="00F70FB8" w:rsidRDefault="00C46B37">
      <w:pPr>
        <w:pStyle w:val="TOC3"/>
        <w:rPr>
          <w:rFonts w:asciiTheme="minorHAnsi" w:eastAsiaTheme="minorEastAsia" w:hAnsiTheme="minorHAnsi" w:cstheme="minorBidi"/>
          <w:noProof/>
          <w:color w:val="auto"/>
          <w:szCs w:val="22"/>
        </w:rPr>
      </w:pPr>
      <w:hyperlink w:anchor="_Toc479770597" w:history="1">
        <w:r w:rsidR="00F70FB8" w:rsidRPr="00637863">
          <w:rPr>
            <w:rStyle w:val="Hyperlink"/>
            <w:noProof/>
          </w:rPr>
          <w:t>What is an equitable return to the Australian community?</w:t>
        </w:r>
        <w:r w:rsidR="00F70FB8">
          <w:rPr>
            <w:noProof/>
            <w:webHidden/>
          </w:rPr>
          <w:tab/>
        </w:r>
        <w:r w:rsidR="00F70FB8">
          <w:rPr>
            <w:noProof/>
            <w:webHidden/>
          </w:rPr>
          <w:fldChar w:fldCharType="begin"/>
        </w:r>
        <w:r w:rsidR="00F70FB8">
          <w:rPr>
            <w:noProof/>
            <w:webHidden/>
          </w:rPr>
          <w:instrText xml:space="preserve"> PAGEREF _Toc479770597 \h </w:instrText>
        </w:r>
        <w:r w:rsidR="00F70FB8">
          <w:rPr>
            <w:noProof/>
            <w:webHidden/>
          </w:rPr>
        </w:r>
        <w:r w:rsidR="00F70FB8">
          <w:rPr>
            <w:noProof/>
            <w:webHidden/>
          </w:rPr>
          <w:fldChar w:fldCharType="separate"/>
        </w:r>
        <w:r w:rsidR="00836082">
          <w:rPr>
            <w:noProof/>
            <w:webHidden/>
          </w:rPr>
          <w:t>4</w:t>
        </w:r>
        <w:r w:rsidR="00F70FB8">
          <w:rPr>
            <w:noProof/>
            <w:webHidden/>
          </w:rPr>
          <w:fldChar w:fldCharType="end"/>
        </w:r>
      </w:hyperlink>
    </w:p>
    <w:p w14:paraId="213678EB" w14:textId="77777777" w:rsidR="00F70FB8" w:rsidRDefault="00C46B37">
      <w:pPr>
        <w:pStyle w:val="TOC3"/>
        <w:rPr>
          <w:rFonts w:asciiTheme="minorHAnsi" w:eastAsiaTheme="minorEastAsia" w:hAnsiTheme="minorHAnsi" w:cstheme="minorBidi"/>
          <w:noProof/>
          <w:color w:val="auto"/>
          <w:szCs w:val="22"/>
        </w:rPr>
      </w:pPr>
      <w:hyperlink w:anchor="_Toc479770598" w:history="1">
        <w:r w:rsidR="00F70FB8" w:rsidRPr="00637863">
          <w:rPr>
            <w:rStyle w:val="Hyperlink"/>
            <w:noProof/>
          </w:rPr>
          <w:t>What constitutes ‘without discouraging investment’?</w:t>
        </w:r>
        <w:r w:rsidR="00F70FB8">
          <w:rPr>
            <w:noProof/>
            <w:webHidden/>
          </w:rPr>
          <w:tab/>
        </w:r>
        <w:r w:rsidR="00F70FB8">
          <w:rPr>
            <w:noProof/>
            <w:webHidden/>
          </w:rPr>
          <w:fldChar w:fldCharType="begin"/>
        </w:r>
        <w:r w:rsidR="00F70FB8">
          <w:rPr>
            <w:noProof/>
            <w:webHidden/>
          </w:rPr>
          <w:instrText xml:space="preserve"> PAGEREF _Toc479770598 \h </w:instrText>
        </w:r>
        <w:r w:rsidR="00F70FB8">
          <w:rPr>
            <w:noProof/>
            <w:webHidden/>
          </w:rPr>
        </w:r>
        <w:r w:rsidR="00F70FB8">
          <w:rPr>
            <w:noProof/>
            <w:webHidden/>
          </w:rPr>
          <w:fldChar w:fldCharType="separate"/>
        </w:r>
        <w:r w:rsidR="00836082">
          <w:rPr>
            <w:noProof/>
            <w:webHidden/>
          </w:rPr>
          <w:t>5</w:t>
        </w:r>
        <w:r w:rsidR="00F70FB8">
          <w:rPr>
            <w:noProof/>
            <w:webHidden/>
          </w:rPr>
          <w:fldChar w:fldCharType="end"/>
        </w:r>
      </w:hyperlink>
    </w:p>
    <w:p w14:paraId="41C981A6" w14:textId="77777777" w:rsidR="00F70FB8" w:rsidRDefault="00C46B37">
      <w:pPr>
        <w:pStyle w:val="TOC3"/>
        <w:rPr>
          <w:rFonts w:asciiTheme="minorHAnsi" w:eastAsiaTheme="minorEastAsia" w:hAnsiTheme="minorHAnsi" w:cstheme="minorBidi"/>
          <w:noProof/>
          <w:color w:val="auto"/>
          <w:szCs w:val="22"/>
        </w:rPr>
      </w:pPr>
      <w:hyperlink w:anchor="_Toc479770599" w:history="1">
        <w:r w:rsidR="00F70FB8" w:rsidRPr="00637863">
          <w:rPr>
            <w:rStyle w:val="Hyperlink"/>
            <w:noProof/>
          </w:rPr>
          <w:t>Rising costs and falling prices</w:t>
        </w:r>
        <w:r w:rsidR="00F70FB8">
          <w:rPr>
            <w:noProof/>
            <w:webHidden/>
          </w:rPr>
          <w:tab/>
        </w:r>
        <w:r w:rsidR="00F70FB8">
          <w:rPr>
            <w:noProof/>
            <w:webHidden/>
          </w:rPr>
          <w:fldChar w:fldCharType="begin"/>
        </w:r>
        <w:r w:rsidR="00F70FB8">
          <w:rPr>
            <w:noProof/>
            <w:webHidden/>
          </w:rPr>
          <w:instrText xml:space="preserve"> PAGEREF _Toc479770599 \h </w:instrText>
        </w:r>
        <w:r w:rsidR="00F70FB8">
          <w:rPr>
            <w:noProof/>
            <w:webHidden/>
          </w:rPr>
        </w:r>
        <w:r w:rsidR="00F70FB8">
          <w:rPr>
            <w:noProof/>
            <w:webHidden/>
          </w:rPr>
          <w:fldChar w:fldCharType="separate"/>
        </w:r>
        <w:r w:rsidR="00836082">
          <w:rPr>
            <w:noProof/>
            <w:webHidden/>
          </w:rPr>
          <w:t>5</w:t>
        </w:r>
        <w:r w:rsidR="00F70FB8">
          <w:rPr>
            <w:noProof/>
            <w:webHidden/>
          </w:rPr>
          <w:fldChar w:fldCharType="end"/>
        </w:r>
      </w:hyperlink>
    </w:p>
    <w:p w14:paraId="6A7F9292" w14:textId="77777777" w:rsidR="00F70FB8" w:rsidRDefault="00C46B37">
      <w:pPr>
        <w:pStyle w:val="TOC3"/>
        <w:rPr>
          <w:rFonts w:asciiTheme="minorHAnsi" w:eastAsiaTheme="minorEastAsia" w:hAnsiTheme="minorHAnsi" w:cstheme="minorBidi"/>
          <w:noProof/>
          <w:color w:val="auto"/>
          <w:szCs w:val="22"/>
        </w:rPr>
      </w:pPr>
      <w:hyperlink w:anchor="_Toc479770600" w:history="1">
        <w:r w:rsidR="00F70FB8" w:rsidRPr="00637863">
          <w:rPr>
            <w:rStyle w:val="Hyperlink"/>
            <w:noProof/>
          </w:rPr>
          <w:t>Tax and the competitiveness of Australian petroleum projects</w:t>
        </w:r>
        <w:r w:rsidR="00F70FB8">
          <w:rPr>
            <w:noProof/>
            <w:webHidden/>
          </w:rPr>
          <w:tab/>
        </w:r>
        <w:r w:rsidR="00F70FB8">
          <w:rPr>
            <w:noProof/>
            <w:webHidden/>
          </w:rPr>
          <w:fldChar w:fldCharType="begin"/>
        </w:r>
        <w:r w:rsidR="00F70FB8">
          <w:rPr>
            <w:noProof/>
            <w:webHidden/>
          </w:rPr>
          <w:instrText xml:space="preserve"> PAGEREF _Toc479770600 \h </w:instrText>
        </w:r>
        <w:r w:rsidR="00F70FB8">
          <w:rPr>
            <w:noProof/>
            <w:webHidden/>
          </w:rPr>
        </w:r>
        <w:r w:rsidR="00F70FB8">
          <w:rPr>
            <w:noProof/>
            <w:webHidden/>
          </w:rPr>
          <w:fldChar w:fldCharType="separate"/>
        </w:r>
        <w:r w:rsidR="00836082">
          <w:rPr>
            <w:noProof/>
            <w:webHidden/>
          </w:rPr>
          <w:t>5</w:t>
        </w:r>
        <w:r w:rsidR="00F70FB8">
          <w:rPr>
            <w:noProof/>
            <w:webHidden/>
          </w:rPr>
          <w:fldChar w:fldCharType="end"/>
        </w:r>
      </w:hyperlink>
    </w:p>
    <w:p w14:paraId="3B26E001" w14:textId="77777777" w:rsidR="00F70FB8" w:rsidRDefault="00C46B37">
      <w:pPr>
        <w:pStyle w:val="TOC3"/>
        <w:rPr>
          <w:rFonts w:asciiTheme="minorHAnsi" w:eastAsiaTheme="minorEastAsia" w:hAnsiTheme="minorHAnsi" w:cstheme="minorBidi"/>
          <w:noProof/>
          <w:color w:val="auto"/>
          <w:szCs w:val="22"/>
        </w:rPr>
      </w:pPr>
      <w:hyperlink w:anchor="_Toc479770601" w:history="1">
        <w:r w:rsidR="00F70FB8" w:rsidRPr="00637863">
          <w:rPr>
            <w:rStyle w:val="Hyperlink"/>
            <w:noProof/>
          </w:rPr>
          <w:t>Design of the PRRT</w:t>
        </w:r>
        <w:r w:rsidR="00F70FB8">
          <w:rPr>
            <w:noProof/>
            <w:webHidden/>
          </w:rPr>
          <w:tab/>
        </w:r>
        <w:r w:rsidR="00F70FB8">
          <w:rPr>
            <w:noProof/>
            <w:webHidden/>
          </w:rPr>
          <w:fldChar w:fldCharType="begin"/>
        </w:r>
        <w:r w:rsidR="00F70FB8">
          <w:rPr>
            <w:noProof/>
            <w:webHidden/>
          </w:rPr>
          <w:instrText xml:space="preserve"> PAGEREF _Toc479770601 \h </w:instrText>
        </w:r>
        <w:r w:rsidR="00F70FB8">
          <w:rPr>
            <w:noProof/>
            <w:webHidden/>
          </w:rPr>
        </w:r>
        <w:r w:rsidR="00F70FB8">
          <w:rPr>
            <w:noProof/>
            <w:webHidden/>
          </w:rPr>
          <w:fldChar w:fldCharType="separate"/>
        </w:r>
        <w:r w:rsidR="00836082">
          <w:rPr>
            <w:noProof/>
            <w:webHidden/>
          </w:rPr>
          <w:t>6</w:t>
        </w:r>
        <w:r w:rsidR="00F70FB8">
          <w:rPr>
            <w:noProof/>
            <w:webHidden/>
          </w:rPr>
          <w:fldChar w:fldCharType="end"/>
        </w:r>
      </w:hyperlink>
    </w:p>
    <w:p w14:paraId="5D6C4E98" w14:textId="77777777" w:rsidR="00F70FB8" w:rsidRDefault="00C46B37">
      <w:pPr>
        <w:pStyle w:val="TOC3"/>
        <w:rPr>
          <w:rFonts w:asciiTheme="minorHAnsi" w:eastAsiaTheme="minorEastAsia" w:hAnsiTheme="minorHAnsi" w:cstheme="minorBidi"/>
          <w:noProof/>
          <w:color w:val="auto"/>
          <w:szCs w:val="22"/>
        </w:rPr>
      </w:pPr>
      <w:hyperlink w:anchor="_Toc479770602" w:history="1">
        <w:r w:rsidR="00F70FB8" w:rsidRPr="00637863">
          <w:rPr>
            <w:rStyle w:val="Hyperlink"/>
            <w:noProof/>
          </w:rPr>
          <w:t>The PRRT rate</w:t>
        </w:r>
        <w:r w:rsidR="00F70FB8">
          <w:rPr>
            <w:noProof/>
            <w:webHidden/>
          </w:rPr>
          <w:tab/>
        </w:r>
        <w:r w:rsidR="00F70FB8">
          <w:rPr>
            <w:noProof/>
            <w:webHidden/>
          </w:rPr>
          <w:fldChar w:fldCharType="begin"/>
        </w:r>
        <w:r w:rsidR="00F70FB8">
          <w:rPr>
            <w:noProof/>
            <w:webHidden/>
          </w:rPr>
          <w:instrText xml:space="preserve"> PAGEREF _Toc479770602 \h </w:instrText>
        </w:r>
        <w:r w:rsidR="00F70FB8">
          <w:rPr>
            <w:noProof/>
            <w:webHidden/>
          </w:rPr>
        </w:r>
        <w:r w:rsidR="00F70FB8">
          <w:rPr>
            <w:noProof/>
            <w:webHidden/>
          </w:rPr>
          <w:fldChar w:fldCharType="separate"/>
        </w:r>
        <w:r w:rsidR="00836082">
          <w:rPr>
            <w:noProof/>
            <w:webHidden/>
          </w:rPr>
          <w:t>6</w:t>
        </w:r>
        <w:r w:rsidR="00F70FB8">
          <w:rPr>
            <w:noProof/>
            <w:webHidden/>
          </w:rPr>
          <w:fldChar w:fldCharType="end"/>
        </w:r>
      </w:hyperlink>
    </w:p>
    <w:p w14:paraId="1F0FFAF5" w14:textId="77777777" w:rsidR="00F70FB8" w:rsidRDefault="00C46B37">
      <w:pPr>
        <w:pStyle w:val="TOC3"/>
        <w:rPr>
          <w:rFonts w:asciiTheme="minorHAnsi" w:eastAsiaTheme="minorEastAsia" w:hAnsiTheme="minorHAnsi" w:cstheme="minorBidi"/>
          <w:noProof/>
          <w:color w:val="auto"/>
          <w:szCs w:val="22"/>
        </w:rPr>
      </w:pPr>
      <w:hyperlink w:anchor="_Toc479770603" w:history="1">
        <w:r w:rsidR="00F70FB8" w:rsidRPr="00637863">
          <w:rPr>
            <w:rStyle w:val="Hyperlink"/>
            <w:noProof/>
          </w:rPr>
          <w:t>Uplift rate for deductions</w:t>
        </w:r>
        <w:r w:rsidR="00F70FB8">
          <w:rPr>
            <w:noProof/>
            <w:webHidden/>
          </w:rPr>
          <w:tab/>
        </w:r>
        <w:r w:rsidR="00F70FB8">
          <w:rPr>
            <w:noProof/>
            <w:webHidden/>
          </w:rPr>
          <w:fldChar w:fldCharType="begin"/>
        </w:r>
        <w:r w:rsidR="00F70FB8">
          <w:rPr>
            <w:noProof/>
            <w:webHidden/>
          </w:rPr>
          <w:instrText xml:space="preserve"> PAGEREF _Toc479770603 \h </w:instrText>
        </w:r>
        <w:r w:rsidR="00F70FB8">
          <w:rPr>
            <w:noProof/>
            <w:webHidden/>
          </w:rPr>
        </w:r>
        <w:r w:rsidR="00F70FB8">
          <w:rPr>
            <w:noProof/>
            <w:webHidden/>
          </w:rPr>
          <w:fldChar w:fldCharType="separate"/>
        </w:r>
        <w:r w:rsidR="00836082">
          <w:rPr>
            <w:noProof/>
            <w:webHidden/>
          </w:rPr>
          <w:t>7</w:t>
        </w:r>
        <w:r w:rsidR="00F70FB8">
          <w:rPr>
            <w:noProof/>
            <w:webHidden/>
          </w:rPr>
          <w:fldChar w:fldCharType="end"/>
        </w:r>
      </w:hyperlink>
    </w:p>
    <w:p w14:paraId="431B4565" w14:textId="77777777" w:rsidR="00F70FB8" w:rsidRDefault="00C46B37">
      <w:pPr>
        <w:pStyle w:val="TOC3"/>
        <w:rPr>
          <w:rFonts w:asciiTheme="minorHAnsi" w:eastAsiaTheme="minorEastAsia" w:hAnsiTheme="minorHAnsi" w:cstheme="minorBidi"/>
          <w:noProof/>
          <w:color w:val="auto"/>
          <w:szCs w:val="22"/>
        </w:rPr>
      </w:pPr>
      <w:hyperlink w:anchor="_Toc479770604" w:history="1">
        <w:r w:rsidR="00F70FB8" w:rsidRPr="00637863">
          <w:rPr>
            <w:rStyle w:val="Hyperlink"/>
            <w:noProof/>
          </w:rPr>
          <w:t>PRRT designed for oil but now LNG dominates</w:t>
        </w:r>
        <w:r w:rsidR="00F70FB8">
          <w:rPr>
            <w:noProof/>
            <w:webHidden/>
          </w:rPr>
          <w:tab/>
        </w:r>
        <w:r w:rsidR="00F70FB8">
          <w:rPr>
            <w:noProof/>
            <w:webHidden/>
          </w:rPr>
          <w:fldChar w:fldCharType="begin"/>
        </w:r>
        <w:r w:rsidR="00F70FB8">
          <w:rPr>
            <w:noProof/>
            <w:webHidden/>
          </w:rPr>
          <w:instrText xml:space="preserve"> PAGEREF _Toc479770604 \h </w:instrText>
        </w:r>
        <w:r w:rsidR="00F70FB8">
          <w:rPr>
            <w:noProof/>
            <w:webHidden/>
          </w:rPr>
        </w:r>
        <w:r w:rsidR="00F70FB8">
          <w:rPr>
            <w:noProof/>
            <w:webHidden/>
          </w:rPr>
          <w:fldChar w:fldCharType="separate"/>
        </w:r>
        <w:r w:rsidR="00836082">
          <w:rPr>
            <w:noProof/>
            <w:webHidden/>
          </w:rPr>
          <w:t>8</w:t>
        </w:r>
        <w:r w:rsidR="00F70FB8">
          <w:rPr>
            <w:noProof/>
            <w:webHidden/>
          </w:rPr>
          <w:fldChar w:fldCharType="end"/>
        </w:r>
      </w:hyperlink>
    </w:p>
    <w:p w14:paraId="08421CF8" w14:textId="77777777" w:rsidR="00F70FB8" w:rsidRDefault="00C46B37">
      <w:pPr>
        <w:pStyle w:val="TOC3"/>
        <w:rPr>
          <w:rFonts w:asciiTheme="minorHAnsi" w:eastAsiaTheme="minorEastAsia" w:hAnsiTheme="minorHAnsi" w:cstheme="minorBidi"/>
          <w:noProof/>
          <w:color w:val="auto"/>
          <w:szCs w:val="22"/>
        </w:rPr>
      </w:pPr>
      <w:hyperlink w:anchor="_Toc479770605" w:history="1">
        <w:r w:rsidR="00F70FB8" w:rsidRPr="00637863">
          <w:rPr>
            <w:rStyle w:val="Hyperlink"/>
            <w:noProof/>
          </w:rPr>
          <w:t>Gas Transfer Pricing</w:t>
        </w:r>
        <w:r w:rsidR="00F70FB8">
          <w:rPr>
            <w:noProof/>
            <w:webHidden/>
          </w:rPr>
          <w:tab/>
        </w:r>
        <w:r w:rsidR="00F70FB8">
          <w:rPr>
            <w:noProof/>
            <w:webHidden/>
          </w:rPr>
          <w:fldChar w:fldCharType="begin"/>
        </w:r>
        <w:r w:rsidR="00F70FB8">
          <w:rPr>
            <w:noProof/>
            <w:webHidden/>
          </w:rPr>
          <w:instrText xml:space="preserve"> PAGEREF _Toc479770605 \h </w:instrText>
        </w:r>
        <w:r w:rsidR="00F70FB8">
          <w:rPr>
            <w:noProof/>
            <w:webHidden/>
          </w:rPr>
        </w:r>
        <w:r w:rsidR="00F70FB8">
          <w:rPr>
            <w:noProof/>
            <w:webHidden/>
          </w:rPr>
          <w:fldChar w:fldCharType="separate"/>
        </w:r>
        <w:r w:rsidR="00836082">
          <w:rPr>
            <w:noProof/>
            <w:webHidden/>
          </w:rPr>
          <w:t>8</w:t>
        </w:r>
        <w:r w:rsidR="00F70FB8">
          <w:rPr>
            <w:noProof/>
            <w:webHidden/>
          </w:rPr>
          <w:fldChar w:fldCharType="end"/>
        </w:r>
      </w:hyperlink>
    </w:p>
    <w:p w14:paraId="6B5E116F" w14:textId="77777777" w:rsidR="00F70FB8" w:rsidRDefault="00C46B37">
      <w:pPr>
        <w:pStyle w:val="TOC3"/>
        <w:rPr>
          <w:rFonts w:asciiTheme="minorHAnsi" w:eastAsiaTheme="minorEastAsia" w:hAnsiTheme="minorHAnsi" w:cstheme="minorBidi"/>
          <w:noProof/>
          <w:color w:val="auto"/>
          <w:szCs w:val="22"/>
        </w:rPr>
      </w:pPr>
      <w:hyperlink w:anchor="_Toc479770606" w:history="1">
        <w:r w:rsidR="00F70FB8" w:rsidRPr="00637863">
          <w:rPr>
            <w:rStyle w:val="Hyperlink"/>
            <w:noProof/>
          </w:rPr>
          <w:t>Starting Base</w:t>
        </w:r>
        <w:r w:rsidR="00F70FB8">
          <w:rPr>
            <w:noProof/>
            <w:webHidden/>
          </w:rPr>
          <w:tab/>
        </w:r>
        <w:r w:rsidR="00F70FB8">
          <w:rPr>
            <w:noProof/>
            <w:webHidden/>
          </w:rPr>
          <w:fldChar w:fldCharType="begin"/>
        </w:r>
        <w:r w:rsidR="00F70FB8">
          <w:rPr>
            <w:noProof/>
            <w:webHidden/>
          </w:rPr>
          <w:instrText xml:space="preserve"> PAGEREF _Toc479770606 \h </w:instrText>
        </w:r>
        <w:r w:rsidR="00F70FB8">
          <w:rPr>
            <w:noProof/>
            <w:webHidden/>
          </w:rPr>
        </w:r>
        <w:r w:rsidR="00F70FB8">
          <w:rPr>
            <w:noProof/>
            <w:webHidden/>
          </w:rPr>
          <w:fldChar w:fldCharType="separate"/>
        </w:r>
        <w:r w:rsidR="00836082">
          <w:rPr>
            <w:noProof/>
            <w:webHidden/>
          </w:rPr>
          <w:t>8</w:t>
        </w:r>
        <w:r w:rsidR="00F70FB8">
          <w:rPr>
            <w:noProof/>
            <w:webHidden/>
          </w:rPr>
          <w:fldChar w:fldCharType="end"/>
        </w:r>
      </w:hyperlink>
    </w:p>
    <w:p w14:paraId="12CFCA23" w14:textId="77777777" w:rsidR="00F70FB8" w:rsidRDefault="00C46B37">
      <w:pPr>
        <w:pStyle w:val="TOC3"/>
        <w:rPr>
          <w:rFonts w:asciiTheme="minorHAnsi" w:eastAsiaTheme="minorEastAsia" w:hAnsiTheme="minorHAnsi" w:cstheme="minorBidi"/>
          <w:noProof/>
          <w:color w:val="auto"/>
          <w:szCs w:val="22"/>
        </w:rPr>
      </w:pPr>
      <w:hyperlink w:anchor="_Toc479770607" w:history="1">
        <w:r w:rsidR="00F70FB8" w:rsidRPr="00637863">
          <w:rPr>
            <w:rStyle w:val="Hyperlink"/>
            <w:noProof/>
          </w:rPr>
          <w:t>Closing down arrangements</w:t>
        </w:r>
        <w:r w:rsidR="00F70FB8">
          <w:rPr>
            <w:noProof/>
            <w:webHidden/>
          </w:rPr>
          <w:tab/>
        </w:r>
        <w:r w:rsidR="00F70FB8">
          <w:rPr>
            <w:noProof/>
            <w:webHidden/>
          </w:rPr>
          <w:fldChar w:fldCharType="begin"/>
        </w:r>
        <w:r w:rsidR="00F70FB8">
          <w:rPr>
            <w:noProof/>
            <w:webHidden/>
          </w:rPr>
          <w:instrText xml:space="preserve"> PAGEREF _Toc479770607 \h </w:instrText>
        </w:r>
        <w:r w:rsidR="00F70FB8">
          <w:rPr>
            <w:noProof/>
            <w:webHidden/>
          </w:rPr>
        </w:r>
        <w:r w:rsidR="00F70FB8">
          <w:rPr>
            <w:noProof/>
            <w:webHidden/>
          </w:rPr>
          <w:fldChar w:fldCharType="separate"/>
        </w:r>
        <w:r w:rsidR="00836082">
          <w:rPr>
            <w:noProof/>
            <w:webHidden/>
          </w:rPr>
          <w:t>9</w:t>
        </w:r>
        <w:r w:rsidR="00F70FB8">
          <w:rPr>
            <w:noProof/>
            <w:webHidden/>
          </w:rPr>
          <w:fldChar w:fldCharType="end"/>
        </w:r>
      </w:hyperlink>
    </w:p>
    <w:p w14:paraId="488A491A" w14:textId="77777777" w:rsidR="00F70FB8" w:rsidRDefault="00C46B37">
      <w:pPr>
        <w:pStyle w:val="TOC3"/>
        <w:rPr>
          <w:rFonts w:asciiTheme="minorHAnsi" w:eastAsiaTheme="minorEastAsia" w:hAnsiTheme="minorHAnsi" w:cstheme="minorBidi"/>
          <w:noProof/>
          <w:color w:val="auto"/>
          <w:szCs w:val="22"/>
        </w:rPr>
      </w:pPr>
      <w:hyperlink w:anchor="_Toc479770608" w:history="1">
        <w:r w:rsidR="00F70FB8" w:rsidRPr="00637863">
          <w:rPr>
            <w:rStyle w:val="Hyperlink"/>
            <w:noProof/>
          </w:rPr>
          <w:t>Administration of PRRT</w:t>
        </w:r>
        <w:r w:rsidR="00F70FB8">
          <w:rPr>
            <w:noProof/>
            <w:webHidden/>
          </w:rPr>
          <w:tab/>
        </w:r>
        <w:r w:rsidR="00F70FB8">
          <w:rPr>
            <w:noProof/>
            <w:webHidden/>
          </w:rPr>
          <w:fldChar w:fldCharType="begin"/>
        </w:r>
        <w:r w:rsidR="00F70FB8">
          <w:rPr>
            <w:noProof/>
            <w:webHidden/>
          </w:rPr>
          <w:instrText xml:space="preserve"> PAGEREF _Toc479770608 \h </w:instrText>
        </w:r>
        <w:r w:rsidR="00F70FB8">
          <w:rPr>
            <w:noProof/>
            <w:webHidden/>
          </w:rPr>
        </w:r>
        <w:r w:rsidR="00F70FB8">
          <w:rPr>
            <w:noProof/>
            <w:webHidden/>
          </w:rPr>
          <w:fldChar w:fldCharType="separate"/>
        </w:r>
        <w:r w:rsidR="00836082">
          <w:rPr>
            <w:noProof/>
            <w:webHidden/>
          </w:rPr>
          <w:t>9</w:t>
        </w:r>
        <w:r w:rsidR="00F70FB8">
          <w:rPr>
            <w:noProof/>
            <w:webHidden/>
          </w:rPr>
          <w:fldChar w:fldCharType="end"/>
        </w:r>
      </w:hyperlink>
    </w:p>
    <w:p w14:paraId="7C23409C" w14:textId="77777777" w:rsidR="00F70FB8" w:rsidRDefault="00C46B37">
      <w:pPr>
        <w:pStyle w:val="TOC3"/>
        <w:rPr>
          <w:rFonts w:asciiTheme="minorHAnsi" w:eastAsiaTheme="minorEastAsia" w:hAnsiTheme="minorHAnsi" w:cstheme="minorBidi"/>
          <w:noProof/>
          <w:color w:val="auto"/>
          <w:szCs w:val="22"/>
        </w:rPr>
      </w:pPr>
      <w:hyperlink w:anchor="_Toc479770609" w:history="1">
        <w:r w:rsidR="00F70FB8" w:rsidRPr="00637863">
          <w:rPr>
            <w:rStyle w:val="Hyperlink"/>
            <w:noProof/>
          </w:rPr>
          <w:t>Royalties</w:t>
        </w:r>
        <w:r w:rsidR="00F70FB8">
          <w:rPr>
            <w:noProof/>
            <w:webHidden/>
          </w:rPr>
          <w:tab/>
        </w:r>
        <w:r w:rsidR="00F70FB8">
          <w:rPr>
            <w:noProof/>
            <w:webHidden/>
          </w:rPr>
          <w:fldChar w:fldCharType="begin"/>
        </w:r>
        <w:r w:rsidR="00F70FB8">
          <w:rPr>
            <w:noProof/>
            <w:webHidden/>
          </w:rPr>
          <w:instrText xml:space="preserve"> PAGEREF _Toc479770609 \h </w:instrText>
        </w:r>
        <w:r w:rsidR="00F70FB8">
          <w:rPr>
            <w:noProof/>
            <w:webHidden/>
          </w:rPr>
        </w:r>
        <w:r w:rsidR="00F70FB8">
          <w:rPr>
            <w:noProof/>
            <w:webHidden/>
          </w:rPr>
          <w:fldChar w:fldCharType="separate"/>
        </w:r>
        <w:r w:rsidR="00836082">
          <w:rPr>
            <w:noProof/>
            <w:webHidden/>
          </w:rPr>
          <w:t>9</w:t>
        </w:r>
        <w:r w:rsidR="00F70FB8">
          <w:rPr>
            <w:noProof/>
            <w:webHidden/>
          </w:rPr>
          <w:fldChar w:fldCharType="end"/>
        </w:r>
      </w:hyperlink>
    </w:p>
    <w:p w14:paraId="6F729C87" w14:textId="77777777" w:rsidR="00F70FB8" w:rsidRDefault="00C46B37">
      <w:pPr>
        <w:pStyle w:val="TOC3"/>
        <w:rPr>
          <w:rFonts w:asciiTheme="minorHAnsi" w:eastAsiaTheme="minorEastAsia" w:hAnsiTheme="minorHAnsi" w:cstheme="minorBidi"/>
          <w:noProof/>
          <w:color w:val="auto"/>
          <w:szCs w:val="22"/>
        </w:rPr>
      </w:pPr>
      <w:hyperlink w:anchor="_Toc479770610" w:history="1">
        <w:r w:rsidR="00F70FB8" w:rsidRPr="00637863">
          <w:rPr>
            <w:rStyle w:val="Hyperlink"/>
            <w:noProof/>
          </w:rPr>
          <w:t>Excises</w:t>
        </w:r>
        <w:r w:rsidR="00F70FB8">
          <w:rPr>
            <w:noProof/>
            <w:webHidden/>
          </w:rPr>
          <w:tab/>
        </w:r>
        <w:r w:rsidR="00F70FB8">
          <w:rPr>
            <w:noProof/>
            <w:webHidden/>
          </w:rPr>
          <w:fldChar w:fldCharType="begin"/>
        </w:r>
        <w:r w:rsidR="00F70FB8">
          <w:rPr>
            <w:noProof/>
            <w:webHidden/>
          </w:rPr>
          <w:instrText xml:space="preserve"> PAGEREF _Toc479770610 \h </w:instrText>
        </w:r>
        <w:r w:rsidR="00F70FB8">
          <w:rPr>
            <w:noProof/>
            <w:webHidden/>
          </w:rPr>
        </w:r>
        <w:r w:rsidR="00F70FB8">
          <w:rPr>
            <w:noProof/>
            <w:webHidden/>
          </w:rPr>
          <w:fldChar w:fldCharType="separate"/>
        </w:r>
        <w:r w:rsidR="00836082">
          <w:rPr>
            <w:noProof/>
            <w:webHidden/>
          </w:rPr>
          <w:t>10</w:t>
        </w:r>
        <w:r w:rsidR="00F70FB8">
          <w:rPr>
            <w:noProof/>
            <w:webHidden/>
          </w:rPr>
          <w:fldChar w:fldCharType="end"/>
        </w:r>
      </w:hyperlink>
    </w:p>
    <w:p w14:paraId="1AEBCAA0" w14:textId="77777777" w:rsidR="00F70FB8" w:rsidRDefault="00C46B37">
      <w:pPr>
        <w:pStyle w:val="TOC2"/>
        <w:rPr>
          <w:rFonts w:asciiTheme="minorHAnsi" w:eastAsiaTheme="minorEastAsia" w:hAnsiTheme="minorHAnsi" w:cstheme="minorBidi"/>
          <w:noProof/>
          <w:color w:val="auto"/>
          <w:szCs w:val="22"/>
        </w:rPr>
      </w:pPr>
      <w:hyperlink w:anchor="_Toc479770611" w:history="1">
        <w:r w:rsidR="00F70FB8" w:rsidRPr="00637863">
          <w:rPr>
            <w:rStyle w:val="Hyperlink"/>
            <w:noProof/>
          </w:rPr>
          <w:t>Conclusions</w:t>
        </w:r>
        <w:r w:rsidR="00F70FB8">
          <w:rPr>
            <w:noProof/>
            <w:webHidden/>
          </w:rPr>
          <w:tab/>
        </w:r>
        <w:r w:rsidR="00F70FB8">
          <w:rPr>
            <w:noProof/>
            <w:webHidden/>
          </w:rPr>
          <w:fldChar w:fldCharType="begin"/>
        </w:r>
        <w:r w:rsidR="00F70FB8">
          <w:rPr>
            <w:noProof/>
            <w:webHidden/>
          </w:rPr>
          <w:instrText xml:space="preserve"> PAGEREF _Toc479770611 \h </w:instrText>
        </w:r>
        <w:r w:rsidR="00F70FB8">
          <w:rPr>
            <w:noProof/>
            <w:webHidden/>
          </w:rPr>
        </w:r>
        <w:r w:rsidR="00F70FB8">
          <w:rPr>
            <w:noProof/>
            <w:webHidden/>
          </w:rPr>
          <w:fldChar w:fldCharType="separate"/>
        </w:r>
        <w:r w:rsidR="00836082">
          <w:rPr>
            <w:noProof/>
            <w:webHidden/>
          </w:rPr>
          <w:t>10</w:t>
        </w:r>
        <w:r w:rsidR="00F70FB8">
          <w:rPr>
            <w:noProof/>
            <w:webHidden/>
          </w:rPr>
          <w:fldChar w:fldCharType="end"/>
        </w:r>
      </w:hyperlink>
    </w:p>
    <w:p w14:paraId="62C91F09" w14:textId="77777777" w:rsidR="00F70FB8" w:rsidRDefault="00C46B37">
      <w:pPr>
        <w:pStyle w:val="TOC2"/>
        <w:rPr>
          <w:rFonts w:asciiTheme="minorHAnsi" w:eastAsiaTheme="minorEastAsia" w:hAnsiTheme="minorHAnsi" w:cstheme="minorBidi"/>
          <w:noProof/>
          <w:color w:val="auto"/>
          <w:szCs w:val="22"/>
        </w:rPr>
      </w:pPr>
      <w:hyperlink w:anchor="_Toc479770612" w:history="1">
        <w:r w:rsidR="00F70FB8" w:rsidRPr="00637863">
          <w:rPr>
            <w:rStyle w:val="Hyperlink"/>
            <w:noProof/>
          </w:rPr>
          <w:t>Recommendations</w:t>
        </w:r>
        <w:r w:rsidR="00F70FB8">
          <w:rPr>
            <w:noProof/>
            <w:webHidden/>
          </w:rPr>
          <w:tab/>
        </w:r>
        <w:r w:rsidR="00F70FB8">
          <w:rPr>
            <w:noProof/>
            <w:webHidden/>
          </w:rPr>
          <w:fldChar w:fldCharType="begin"/>
        </w:r>
        <w:r w:rsidR="00F70FB8">
          <w:rPr>
            <w:noProof/>
            <w:webHidden/>
          </w:rPr>
          <w:instrText xml:space="preserve"> PAGEREF _Toc479770612 \h </w:instrText>
        </w:r>
        <w:r w:rsidR="00F70FB8">
          <w:rPr>
            <w:noProof/>
            <w:webHidden/>
          </w:rPr>
        </w:r>
        <w:r w:rsidR="00F70FB8">
          <w:rPr>
            <w:noProof/>
            <w:webHidden/>
          </w:rPr>
          <w:fldChar w:fldCharType="separate"/>
        </w:r>
        <w:r w:rsidR="00836082">
          <w:rPr>
            <w:noProof/>
            <w:webHidden/>
          </w:rPr>
          <w:t>13</w:t>
        </w:r>
        <w:r w:rsidR="00F70FB8">
          <w:rPr>
            <w:noProof/>
            <w:webHidden/>
          </w:rPr>
          <w:fldChar w:fldCharType="end"/>
        </w:r>
      </w:hyperlink>
    </w:p>
    <w:p w14:paraId="58B87DFA" w14:textId="77777777" w:rsidR="00F70FB8" w:rsidRDefault="00C46B37">
      <w:pPr>
        <w:pStyle w:val="TOC3"/>
        <w:rPr>
          <w:rFonts w:asciiTheme="minorHAnsi" w:eastAsiaTheme="minorEastAsia" w:hAnsiTheme="minorHAnsi" w:cstheme="minorBidi"/>
          <w:noProof/>
          <w:color w:val="auto"/>
          <w:szCs w:val="22"/>
        </w:rPr>
      </w:pPr>
      <w:hyperlink w:anchor="_Toc479770613" w:history="1">
        <w:r w:rsidR="00F70FB8" w:rsidRPr="00637863">
          <w:rPr>
            <w:rStyle w:val="Hyperlink"/>
            <w:noProof/>
          </w:rPr>
          <w:t>Part A. Recommended changes to apply to new PRRT projects</w:t>
        </w:r>
        <w:r w:rsidR="00F70FB8">
          <w:rPr>
            <w:noProof/>
            <w:webHidden/>
          </w:rPr>
          <w:tab/>
        </w:r>
        <w:r w:rsidR="00F70FB8">
          <w:rPr>
            <w:noProof/>
            <w:webHidden/>
          </w:rPr>
          <w:fldChar w:fldCharType="begin"/>
        </w:r>
        <w:r w:rsidR="00F70FB8">
          <w:rPr>
            <w:noProof/>
            <w:webHidden/>
          </w:rPr>
          <w:instrText xml:space="preserve"> PAGEREF _Toc479770613 \h </w:instrText>
        </w:r>
        <w:r w:rsidR="00F70FB8">
          <w:rPr>
            <w:noProof/>
            <w:webHidden/>
          </w:rPr>
        </w:r>
        <w:r w:rsidR="00F70FB8">
          <w:rPr>
            <w:noProof/>
            <w:webHidden/>
          </w:rPr>
          <w:fldChar w:fldCharType="separate"/>
        </w:r>
        <w:r w:rsidR="00836082">
          <w:rPr>
            <w:noProof/>
            <w:webHidden/>
          </w:rPr>
          <w:t>14</w:t>
        </w:r>
        <w:r w:rsidR="00F70FB8">
          <w:rPr>
            <w:noProof/>
            <w:webHidden/>
          </w:rPr>
          <w:fldChar w:fldCharType="end"/>
        </w:r>
      </w:hyperlink>
    </w:p>
    <w:p w14:paraId="38C5B444" w14:textId="77777777" w:rsidR="00F70FB8" w:rsidRDefault="00C46B37">
      <w:pPr>
        <w:pStyle w:val="TOC3"/>
        <w:rPr>
          <w:rFonts w:asciiTheme="minorHAnsi" w:eastAsiaTheme="minorEastAsia" w:hAnsiTheme="minorHAnsi" w:cstheme="minorBidi"/>
          <w:noProof/>
          <w:color w:val="auto"/>
          <w:szCs w:val="22"/>
        </w:rPr>
      </w:pPr>
      <w:hyperlink w:anchor="_Toc479770614" w:history="1">
        <w:r w:rsidR="00F70FB8" w:rsidRPr="00637863">
          <w:rPr>
            <w:rStyle w:val="Hyperlink"/>
            <w:noProof/>
          </w:rPr>
          <w:t>Part B. Recommended changes to apply to existing and new PRRT projects</w:t>
        </w:r>
        <w:r w:rsidR="00F70FB8">
          <w:rPr>
            <w:noProof/>
            <w:webHidden/>
          </w:rPr>
          <w:tab/>
        </w:r>
        <w:r w:rsidR="00F70FB8">
          <w:rPr>
            <w:noProof/>
            <w:webHidden/>
          </w:rPr>
          <w:fldChar w:fldCharType="begin"/>
        </w:r>
        <w:r w:rsidR="00F70FB8">
          <w:rPr>
            <w:noProof/>
            <w:webHidden/>
          </w:rPr>
          <w:instrText xml:space="preserve"> PAGEREF _Toc479770614 \h </w:instrText>
        </w:r>
        <w:r w:rsidR="00F70FB8">
          <w:rPr>
            <w:noProof/>
            <w:webHidden/>
          </w:rPr>
        </w:r>
        <w:r w:rsidR="00F70FB8">
          <w:rPr>
            <w:noProof/>
            <w:webHidden/>
          </w:rPr>
          <w:fldChar w:fldCharType="separate"/>
        </w:r>
        <w:r w:rsidR="00836082">
          <w:rPr>
            <w:noProof/>
            <w:webHidden/>
          </w:rPr>
          <w:t>14</w:t>
        </w:r>
        <w:r w:rsidR="00F70FB8">
          <w:rPr>
            <w:noProof/>
            <w:webHidden/>
          </w:rPr>
          <w:fldChar w:fldCharType="end"/>
        </w:r>
      </w:hyperlink>
    </w:p>
    <w:p w14:paraId="13A16362"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615" w:history="1">
        <w:r w:rsidR="00F70FB8" w:rsidRPr="00637863">
          <w:rPr>
            <w:rStyle w:val="Hyperlink"/>
            <w:noProof/>
          </w:rPr>
          <w:t>1.</w:t>
        </w:r>
        <w:r w:rsidR="00F70FB8">
          <w:rPr>
            <w:rFonts w:asciiTheme="minorHAnsi" w:eastAsiaTheme="minorEastAsia" w:hAnsiTheme="minorHAnsi" w:cstheme="minorBidi"/>
            <w:b w:val="0"/>
            <w:noProof/>
            <w:color w:val="auto"/>
            <w:sz w:val="22"/>
          </w:rPr>
          <w:tab/>
        </w:r>
        <w:r w:rsidR="00F70FB8" w:rsidRPr="00637863">
          <w:rPr>
            <w:rStyle w:val="Hyperlink"/>
            <w:noProof/>
          </w:rPr>
          <w:t>Australia’s Oil And Gas Industry</w:t>
        </w:r>
        <w:r w:rsidR="00F70FB8">
          <w:rPr>
            <w:noProof/>
            <w:webHidden/>
          </w:rPr>
          <w:tab/>
        </w:r>
        <w:r w:rsidR="00F70FB8">
          <w:rPr>
            <w:noProof/>
            <w:webHidden/>
          </w:rPr>
          <w:fldChar w:fldCharType="begin"/>
        </w:r>
        <w:r w:rsidR="00F70FB8">
          <w:rPr>
            <w:noProof/>
            <w:webHidden/>
          </w:rPr>
          <w:instrText xml:space="preserve"> PAGEREF _Toc479770615 \h </w:instrText>
        </w:r>
        <w:r w:rsidR="00F70FB8">
          <w:rPr>
            <w:noProof/>
            <w:webHidden/>
          </w:rPr>
        </w:r>
        <w:r w:rsidR="00F70FB8">
          <w:rPr>
            <w:noProof/>
            <w:webHidden/>
          </w:rPr>
          <w:fldChar w:fldCharType="separate"/>
        </w:r>
        <w:r w:rsidR="00836082">
          <w:rPr>
            <w:noProof/>
            <w:webHidden/>
          </w:rPr>
          <w:t>17</w:t>
        </w:r>
        <w:r w:rsidR="00F70FB8">
          <w:rPr>
            <w:noProof/>
            <w:webHidden/>
          </w:rPr>
          <w:fldChar w:fldCharType="end"/>
        </w:r>
      </w:hyperlink>
    </w:p>
    <w:p w14:paraId="316E4F70"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16" w:history="1">
        <w:r w:rsidR="00F70FB8" w:rsidRPr="00637863">
          <w:rPr>
            <w:rStyle w:val="Hyperlink"/>
            <w:noProof/>
          </w:rPr>
          <w:t>1.1</w:t>
        </w:r>
        <w:r w:rsidR="00F70FB8">
          <w:rPr>
            <w:rFonts w:asciiTheme="minorHAnsi" w:eastAsiaTheme="minorEastAsia" w:hAnsiTheme="minorHAnsi" w:cstheme="minorBidi"/>
            <w:noProof/>
            <w:color w:val="auto"/>
            <w:szCs w:val="22"/>
          </w:rPr>
          <w:tab/>
        </w:r>
        <w:r w:rsidR="00F70FB8" w:rsidRPr="00637863">
          <w:rPr>
            <w:rStyle w:val="Hyperlink"/>
            <w:noProof/>
          </w:rPr>
          <w:t>Overview of Australia’s Oil and Gas Industry</w:t>
        </w:r>
        <w:r w:rsidR="00F70FB8">
          <w:rPr>
            <w:noProof/>
            <w:webHidden/>
          </w:rPr>
          <w:tab/>
        </w:r>
        <w:r w:rsidR="00F70FB8">
          <w:rPr>
            <w:noProof/>
            <w:webHidden/>
          </w:rPr>
          <w:fldChar w:fldCharType="begin"/>
        </w:r>
        <w:r w:rsidR="00F70FB8">
          <w:rPr>
            <w:noProof/>
            <w:webHidden/>
          </w:rPr>
          <w:instrText xml:space="preserve"> PAGEREF _Toc479770616 \h </w:instrText>
        </w:r>
        <w:r w:rsidR="00F70FB8">
          <w:rPr>
            <w:noProof/>
            <w:webHidden/>
          </w:rPr>
        </w:r>
        <w:r w:rsidR="00F70FB8">
          <w:rPr>
            <w:noProof/>
            <w:webHidden/>
          </w:rPr>
          <w:fldChar w:fldCharType="separate"/>
        </w:r>
        <w:r w:rsidR="00836082">
          <w:rPr>
            <w:noProof/>
            <w:webHidden/>
          </w:rPr>
          <w:t>17</w:t>
        </w:r>
        <w:r w:rsidR="00F70FB8">
          <w:rPr>
            <w:noProof/>
            <w:webHidden/>
          </w:rPr>
          <w:fldChar w:fldCharType="end"/>
        </w:r>
      </w:hyperlink>
    </w:p>
    <w:p w14:paraId="6FEA554D"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17" w:history="1">
        <w:r w:rsidR="00F70FB8" w:rsidRPr="00637863">
          <w:rPr>
            <w:rStyle w:val="Hyperlink"/>
            <w:noProof/>
          </w:rPr>
          <w:t>1.1.1</w:t>
        </w:r>
        <w:r w:rsidR="00F70FB8">
          <w:rPr>
            <w:rFonts w:asciiTheme="minorHAnsi" w:eastAsiaTheme="minorEastAsia" w:hAnsiTheme="minorHAnsi" w:cstheme="minorBidi"/>
            <w:noProof/>
            <w:color w:val="auto"/>
            <w:szCs w:val="22"/>
          </w:rPr>
          <w:tab/>
        </w:r>
        <w:r w:rsidR="00F70FB8" w:rsidRPr="00637863">
          <w:rPr>
            <w:rStyle w:val="Hyperlink"/>
            <w:noProof/>
          </w:rPr>
          <w:t>Crude oil</w:t>
        </w:r>
        <w:r w:rsidR="00F70FB8">
          <w:rPr>
            <w:noProof/>
            <w:webHidden/>
          </w:rPr>
          <w:tab/>
        </w:r>
        <w:r w:rsidR="00F70FB8">
          <w:rPr>
            <w:noProof/>
            <w:webHidden/>
          </w:rPr>
          <w:fldChar w:fldCharType="begin"/>
        </w:r>
        <w:r w:rsidR="00F70FB8">
          <w:rPr>
            <w:noProof/>
            <w:webHidden/>
          </w:rPr>
          <w:instrText xml:space="preserve"> PAGEREF _Toc479770617 \h </w:instrText>
        </w:r>
        <w:r w:rsidR="00F70FB8">
          <w:rPr>
            <w:noProof/>
            <w:webHidden/>
          </w:rPr>
        </w:r>
        <w:r w:rsidR="00F70FB8">
          <w:rPr>
            <w:noProof/>
            <w:webHidden/>
          </w:rPr>
          <w:fldChar w:fldCharType="separate"/>
        </w:r>
        <w:r w:rsidR="00836082">
          <w:rPr>
            <w:noProof/>
            <w:webHidden/>
          </w:rPr>
          <w:t>17</w:t>
        </w:r>
        <w:r w:rsidR="00F70FB8">
          <w:rPr>
            <w:noProof/>
            <w:webHidden/>
          </w:rPr>
          <w:fldChar w:fldCharType="end"/>
        </w:r>
      </w:hyperlink>
    </w:p>
    <w:p w14:paraId="0BD74E1B"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18" w:history="1">
        <w:r w:rsidR="00F70FB8" w:rsidRPr="00637863">
          <w:rPr>
            <w:rStyle w:val="Hyperlink"/>
            <w:noProof/>
          </w:rPr>
          <w:t>1.1.2</w:t>
        </w:r>
        <w:r w:rsidR="00F70FB8">
          <w:rPr>
            <w:rFonts w:asciiTheme="minorHAnsi" w:eastAsiaTheme="minorEastAsia" w:hAnsiTheme="minorHAnsi" w:cstheme="minorBidi"/>
            <w:noProof/>
            <w:color w:val="auto"/>
            <w:szCs w:val="22"/>
          </w:rPr>
          <w:tab/>
        </w:r>
        <w:r w:rsidR="00F70FB8" w:rsidRPr="00637863">
          <w:rPr>
            <w:rStyle w:val="Hyperlink"/>
            <w:noProof/>
          </w:rPr>
          <w:t>Natural gas</w:t>
        </w:r>
        <w:r w:rsidR="00F70FB8">
          <w:rPr>
            <w:noProof/>
            <w:webHidden/>
          </w:rPr>
          <w:tab/>
        </w:r>
        <w:r w:rsidR="00F70FB8">
          <w:rPr>
            <w:noProof/>
            <w:webHidden/>
          </w:rPr>
          <w:fldChar w:fldCharType="begin"/>
        </w:r>
        <w:r w:rsidR="00F70FB8">
          <w:rPr>
            <w:noProof/>
            <w:webHidden/>
          </w:rPr>
          <w:instrText xml:space="preserve"> PAGEREF _Toc479770618 \h </w:instrText>
        </w:r>
        <w:r w:rsidR="00F70FB8">
          <w:rPr>
            <w:noProof/>
            <w:webHidden/>
          </w:rPr>
        </w:r>
        <w:r w:rsidR="00F70FB8">
          <w:rPr>
            <w:noProof/>
            <w:webHidden/>
          </w:rPr>
          <w:fldChar w:fldCharType="separate"/>
        </w:r>
        <w:r w:rsidR="00836082">
          <w:rPr>
            <w:noProof/>
            <w:webHidden/>
          </w:rPr>
          <w:t>17</w:t>
        </w:r>
        <w:r w:rsidR="00F70FB8">
          <w:rPr>
            <w:noProof/>
            <w:webHidden/>
          </w:rPr>
          <w:fldChar w:fldCharType="end"/>
        </w:r>
      </w:hyperlink>
    </w:p>
    <w:p w14:paraId="5DDC2145"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19" w:history="1">
        <w:r w:rsidR="00F70FB8" w:rsidRPr="00637863">
          <w:rPr>
            <w:rStyle w:val="Hyperlink"/>
            <w:noProof/>
          </w:rPr>
          <w:t>1.2</w:t>
        </w:r>
        <w:r w:rsidR="00F70FB8">
          <w:rPr>
            <w:rFonts w:asciiTheme="minorHAnsi" w:eastAsiaTheme="minorEastAsia" w:hAnsiTheme="minorHAnsi" w:cstheme="minorBidi"/>
            <w:noProof/>
            <w:color w:val="auto"/>
            <w:szCs w:val="22"/>
          </w:rPr>
          <w:tab/>
        </w:r>
        <w:r w:rsidR="00F70FB8" w:rsidRPr="00637863">
          <w:rPr>
            <w:rStyle w:val="Hyperlink"/>
            <w:noProof/>
          </w:rPr>
          <w:t>Growth of Australia’s Oil and Gas Industry</w:t>
        </w:r>
        <w:r w:rsidR="00F70FB8">
          <w:rPr>
            <w:noProof/>
            <w:webHidden/>
          </w:rPr>
          <w:tab/>
        </w:r>
        <w:r w:rsidR="00F70FB8">
          <w:rPr>
            <w:noProof/>
            <w:webHidden/>
          </w:rPr>
          <w:fldChar w:fldCharType="begin"/>
        </w:r>
        <w:r w:rsidR="00F70FB8">
          <w:rPr>
            <w:noProof/>
            <w:webHidden/>
          </w:rPr>
          <w:instrText xml:space="preserve"> PAGEREF _Toc479770619 \h </w:instrText>
        </w:r>
        <w:r w:rsidR="00F70FB8">
          <w:rPr>
            <w:noProof/>
            <w:webHidden/>
          </w:rPr>
        </w:r>
        <w:r w:rsidR="00F70FB8">
          <w:rPr>
            <w:noProof/>
            <w:webHidden/>
          </w:rPr>
          <w:fldChar w:fldCharType="separate"/>
        </w:r>
        <w:r w:rsidR="00836082">
          <w:rPr>
            <w:noProof/>
            <w:webHidden/>
          </w:rPr>
          <w:t>18</w:t>
        </w:r>
        <w:r w:rsidR="00F70FB8">
          <w:rPr>
            <w:noProof/>
            <w:webHidden/>
          </w:rPr>
          <w:fldChar w:fldCharType="end"/>
        </w:r>
      </w:hyperlink>
    </w:p>
    <w:p w14:paraId="60F54E7F"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0" w:history="1">
        <w:r w:rsidR="00F70FB8" w:rsidRPr="00637863">
          <w:rPr>
            <w:rStyle w:val="Hyperlink"/>
            <w:noProof/>
          </w:rPr>
          <w:t>1.2.1</w:t>
        </w:r>
        <w:r w:rsidR="00F70FB8">
          <w:rPr>
            <w:rFonts w:asciiTheme="minorHAnsi" w:eastAsiaTheme="minorEastAsia" w:hAnsiTheme="minorHAnsi" w:cstheme="minorBidi"/>
            <w:noProof/>
            <w:color w:val="auto"/>
            <w:szCs w:val="22"/>
          </w:rPr>
          <w:tab/>
        </w:r>
        <w:r w:rsidR="00F70FB8" w:rsidRPr="00637863">
          <w:rPr>
            <w:rStyle w:val="Hyperlink"/>
            <w:noProof/>
          </w:rPr>
          <w:t>Development of Australia’s oil and gas industry</w:t>
        </w:r>
        <w:r w:rsidR="00F70FB8">
          <w:rPr>
            <w:noProof/>
            <w:webHidden/>
          </w:rPr>
          <w:tab/>
        </w:r>
        <w:r w:rsidR="00F70FB8">
          <w:rPr>
            <w:noProof/>
            <w:webHidden/>
          </w:rPr>
          <w:fldChar w:fldCharType="begin"/>
        </w:r>
        <w:r w:rsidR="00F70FB8">
          <w:rPr>
            <w:noProof/>
            <w:webHidden/>
          </w:rPr>
          <w:instrText xml:space="preserve"> PAGEREF _Toc479770620 \h </w:instrText>
        </w:r>
        <w:r w:rsidR="00F70FB8">
          <w:rPr>
            <w:noProof/>
            <w:webHidden/>
          </w:rPr>
        </w:r>
        <w:r w:rsidR="00F70FB8">
          <w:rPr>
            <w:noProof/>
            <w:webHidden/>
          </w:rPr>
          <w:fldChar w:fldCharType="separate"/>
        </w:r>
        <w:r w:rsidR="00836082">
          <w:rPr>
            <w:noProof/>
            <w:webHidden/>
          </w:rPr>
          <w:t>18</w:t>
        </w:r>
        <w:r w:rsidR="00F70FB8">
          <w:rPr>
            <w:noProof/>
            <w:webHidden/>
          </w:rPr>
          <w:fldChar w:fldCharType="end"/>
        </w:r>
      </w:hyperlink>
    </w:p>
    <w:p w14:paraId="3DD156B2"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1" w:history="1">
        <w:r w:rsidR="00F70FB8" w:rsidRPr="00637863">
          <w:rPr>
            <w:rStyle w:val="Hyperlink"/>
            <w:noProof/>
          </w:rPr>
          <w:t>1.2.2</w:t>
        </w:r>
        <w:r w:rsidR="00F70FB8">
          <w:rPr>
            <w:rFonts w:asciiTheme="minorHAnsi" w:eastAsiaTheme="minorEastAsia" w:hAnsiTheme="minorHAnsi" w:cstheme="minorBidi"/>
            <w:noProof/>
            <w:color w:val="auto"/>
            <w:szCs w:val="22"/>
          </w:rPr>
          <w:tab/>
        </w:r>
        <w:r w:rsidR="00F70FB8" w:rsidRPr="00637863">
          <w:rPr>
            <w:rStyle w:val="Hyperlink"/>
            <w:noProof/>
          </w:rPr>
          <w:t>LNG investment boom</w:t>
        </w:r>
        <w:r w:rsidR="00F70FB8">
          <w:rPr>
            <w:noProof/>
            <w:webHidden/>
          </w:rPr>
          <w:tab/>
        </w:r>
        <w:r w:rsidR="00F70FB8">
          <w:rPr>
            <w:noProof/>
            <w:webHidden/>
          </w:rPr>
          <w:fldChar w:fldCharType="begin"/>
        </w:r>
        <w:r w:rsidR="00F70FB8">
          <w:rPr>
            <w:noProof/>
            <w:webHidden/>
          </w:rPr>
          <w:instrText xml:space="preserve"> PAGEREF _Toc479770621 \h </w:instrText>
        </w:r>
        <w:r w:rsidR="00F70FB8">
          <w:rPr>
            <w:noProof/>
            <w:webHidden/>
          </w:rPr>
        </w:r>
        <w:r w:rsidR="00F70FB8">
          <w:rPr>
            <w:noProof/>
            <w:webHidden/>
          </w:rPr>
          <w:fldChar w:fldCharType="separate"/>
        </w:r>
        <w:r w:rsidR="00836082">
          <w:rPr>
            <w:noProof/>
            <w:webHidden/>
          </w:rPr>
          <w:t>20</w:t>
        </w:r>
        <w:r w:rsidR="00F70FB8">
          <w:rPr>
            <w:noProof/>
            <w:webHidden/>
          </w:rPr>
          <w:fldChar w:fldCharType="end"/>
        </w:r>
      </w:hyperlink>
    </w:p>
    <w:p w14:paraId="22F7CE78"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22" w:history="1">
        <w:r w:rsidR="00F70FB8" w:rsidRPr="00637863">
          <w:rPr>
            <w:rStyle w:val="Hyperlink"/>
            <w:noProof/>
          </w:rPr>
          <w:t>1.3</w:t>
        </w:r>
        <w:r w:rsidR="00F70FB8">
          <w:rPr>
            <w:rFonts w:asciiTheme="minorHAnsi" w:eastAsiaTheme="minorEastAsia" w:hAnsiTheme="minorHAnsi" w:cstheme="minorBidi"/>
            <w:noProof/>
            <w:color w:val="auto"/>
            <w:szCs w:val="22"/>
          </w:rPr>
          <w:tab/>
        </w:r>
        <w:r w:rsidR="00F70FB8" w:rsidRPr="00637863">
          <w:rPr>
            <w:rStyle w:val="Hyperlink"/>
            <w:noProof/>
          </w:rPr>
          <w:t>Major Oil and Gas Projects in Australia</w:t>
        </w:r>
        <w:r w:rsidR="00F70FB8">
          <w:rPr>
            <w:noProof/>
            <w:webHidden/>
          </w:rPr>
          <w:tab/>
        </w:r>
        <w:r w:rsidR="00F70FB8">
          <w:rPr>
            <w:noProof/>
            <w:webHidden/>
          </w:rPr>
          <w:fldChar w:fldCharType="begin"/>
        </w:r>
        <w:r w:rsidR="00F70FB8">
          <w:rPr>
            <w:noProof/>
            <w:webHidden/>
          </w:rPr>
          <w:instrText xml:space="preserve"> PAGEREF _Toc479770622 \h </w:instrText>
        </w:r>
        <w:r w:rsidR="00F70FB8">
          <w:rPr>
            <w:noProof/>
            <w:webHidden/>
          </w:rPr>
        </w:r>
        <w:r w:rsidR="00F70FB8">
          <w:rPr>
            <w:noProof/>
            <w:webHidden/>
          </w:rPr>
          <w:fldChar w:fldCharType="separate"/>
        </w:r>
        <w:r w:rsidR="00836082">
          <w:rPr>
            <w:noProof/>
            <w:webHidden/>
          </w:rPr>
          <w:t>22</w:t>
        </w:r>
        <w:r w:rsidR="00F70FB8">
          <w:rPr>
            <w:noProof/>
            <w:webHidden/>
          </w:rPr>
          <w:fldChar w:fldCharType="end"/>
        </w:r>
      </w:hyperlink>
    </w:p>
    <w:p w14:paraId="17B8A956"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3" w:history="1">
        <w:r w:rsidR="00F70FB8" w:rsidRPr="00637863">
          <w:rPr>
            <w:rStyle w:val="Hyperlink"/>
            <w:noProof/>
          </w:rPr>
          <w:t>1.3.1</w:t>
        </w:r>
        <w:r w:rsidR="00F70FB8">
          <w:rPr>
            <w:rFonts w:asciiTheme="minorHAnsi" w:eastAsiaTheme="minorEastAsia" w:hAnsiTheme="minorHAnsi" w:cstheme="minorBidi"/>
            <w:noProof/>
            <w:color w:val="auto"/>
            <w:szCs w:val="22"/>
          </w:rPr>
          <w:tab/>
        </w:r>
        <w:r w:rsidR="00F70FB8" w:rsidRPr="00637863">
          <w:rPr>
            <w:rStyle w:val="Hyperlink"/>
            <w:noProof/>
          </w:rPr>
          <w:t>Industry and investment benefits</w:t>
        </w:r>
        <w:r w:rsidR="00F70FB8">
          <w:rPr>
            <w:noProof/>
            <w:webHidden/>
          </w:rPr>
          <w:tab/>
        </w:r>
        <w:r w:rsidR="00F70FB8">
          <w:rPr>
            <w:noProof/>
            <w:webHidden/>
          </w:rPr>
          <w:fldChar w:fldCharType="begin"/>
        </w:r>
        <w:r w:rsidR="00F70FB8">
          <w:rPr>
            <w:noProof/>
            <w:webHidden/>
          </w:rPr>
          <w:instrText xml:space="preserve"> PAGEREF _Toc479770623 \h </w:instrText>
        </w:r>
        <w:r w:rsidR="00F70FB8">
          <w:rPr>
            <w:noProof/>
            <w:webHidden/>
          </w:rPr>
        </w:r>
        <w:r w:rsidR="00F70FB8">
          <w:rPr>
            <w:noProof/>
            <w:webHidden/>
          </w:rPr>
          <w:fldChar w:fldCharType="separate"/>
        </w:r>
        <w:r w:rsidR="00836082">
          <w:rPr>
            <w:noProof/>
            <w:webHidden/>
          </w:rPr>
          <w:t>22</w:t>
        </w:r>
        <w:r w:rsidR="00F70FB8">
          <w:rPr>
            <w:noProof/>
            <w:webHidden/>
          </w:rPr>
          <w:fldChar w:fldCharType="end"/>
        </w:r>
      </w:hyperlink>
    </w:p>
    <w:p w14:paraId="2245169F"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4" w:history="1">
        <w:r w:rsidR="00F70FB8" w:rsidRPr="00637863">
          <w:rPr>
            <w:rStyle w:val="Hyperlink"/>
            <w:noProof/>
          </w:rPr>
          <w:t>1.3.2</w:t>
        </w:r>
        <w:r w:rsidR="00F70FB8">
          <w:rPr>
            <w:rFonts w:asciiTheme="minorHAnsi" w:eastAsiaTheme="minorEastAsia" w:hAnsiTheme="minorHAnsi" w:cstheme="minorBidi"/>
            <w:noProof/>
            <w:color w:val="auto"/>
            <w:szCs w:val="22"/>
          </w:rPr>
          <w:tab/>
        </w:r>
        <w:r w:rsidR="00F70FB8" w:rsidRPr="00637863">
          <w:rPr>
            <w:rStyle w:val="Hyperlink"/>
            <w:noProof/>
          </w:rPr>
          <w:t>Project development challenges</w:t>
        </w:r>
        <w:r w:rsidR="00F70FB8">
          <w:rPr>
            <w:noProof/>
            <w:webHidden/>
          </w:rPr>
          <w:tab/>
        </w:r>
        <w:r w:rsidR="00F70FB8">
          <w:rPr>
            <w:noProof/>
            <w:webHidden/>
          </w:rPr>
          <w:fldChar w:fldCharType="begin"/>
        </w:r>
        <w:r w:rsidR="00F70FB8">
          <w:rPr>
            <w:noProof/>
            <w:webHidden/>
          </w:rPr>
          <w:instrText xml:space="preserve"> PAGEREF _Toc479770624 \h </w:instrText>
        </w:r>
        <w:r w:rsidR="00F70FB8">
          <w:rPr>
            <w:noProof/>
            <w:webHidden/>
          </w:rPr>
        </w:r>
        <w:r w:rsidR="00F70FB8">
          <w:rPr>
            <w:noProof/>
            <w:webHidden/>
          </w:rPr>
          <w:fldChar w:fldCharType="separate"/>
        </w:r>
        <w:r w:rsidR="00836082">
          <w:rPr>
            <w:noProof/>
            <w:webHidden/>
          </w:rPr>
          <w:t>23</w:t>
        </w:r>
        <w:r w:rsidR="00F70FB8">
          <w:rPr>
            <w:noProof/>
            <w:webHidden/>
          </w:rPr>
          <w:fldChar w:fldCharType="end"/>
        </w:r>
      </w:hyperlink>
    </w:p>
    <w:p w14:paraId="4F818516"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25" w:history="1">
        <w:r w:rsidR="00F70FB8" w:rsidRPr="00637863">
          <w:rPr>
            <w:rStyle w:val="Hyperlink"/>
            <w:noProof/>
          </w:rPr>
          <w:t>1.4</w:t>
        </w:r>
        <w:r w:rsidR="00F70FB8">
          <w:rPr>
            <w:rFonts w:asciiTheme="minorHAnsi" w:eastAsiaTheme="minorEastAsia" w:hAnsiTheme="minorHAnsi" w:cstheme="minorBidi"/>
            <w:noProof/>
            <w:color w:val="auto"/>
            <w:szCs w:val="22"/>
          </w:rPr>
          <w:tab/>
        </w:r>
        <w:r w:rsidR="00F70FB8" w:rsidRPr="00637863">
          <w:rPr>
            <w:rStyle w:val="Hyperlink"/>
            <w:noProof/>
          </w:rPr>
          <w:t>Outlook for the Oil and Gas Industry</w:t>
        </w:r>
        <w:r w:rsidR="00F70FB8">
          <w:rPr>
            <w:noProof/>
            <w:webHidden/>
          </w:rPr>
          <w:tab/>
        </w:r>
        <w:r w:rsidR="00F70FB8">
          <w:rPr>
            <w:noProof/>
            <w:webHidden/>
          </w:rPr>
          <w:fldChar w:fldCharType="begin"/>
        </w:r>
        <w:r w:rsidR="00F70FB8">
          <w:rPr>
            <w:noProof/>
            <w:webHidden/>
          </w:rPr>
          <w:instrText xml:space="preserve"> PAGEREF _Toc479770625 \h </w:instrText>
        </w:r>
        <w:r w:rsidR="00F70FB8">
          <w:rPr>
            <w:noProof/>
            <w:webHidden/>
          </w:rPr>
        </w:r>
        <w:r w:rsidR="00F70FB8">
          <w:rPr>
            <w:noProof/>
            <w:webHidden/>
          </w:rPr>
          <w:fldChar w:fldCharType="separate"/>
        </w:r>
        <w:r w:rsidR="00836082">
          <w:rPr>
            <w:noProof/>
            <w:webHidden/>
          </w:rPr>
          <w:t>24</w:t>
        </w:r>
        <w:r w:rsidR="00F70FB8">
          <w:rPr>
            <w:noProof/>
            <w:webHidden/>
          </w:rPr>
          <w:fldChar w:fldCharType="end"/>
        </w:r>
      </w:hyperlink>
    </w:p>
    <w:p w14:paraId="36DB8717"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6" w:history="1">
        <w:r w:rsidR="00F70FB8" w:rsidRPr="00637863">
          <w:rPr>
            <w:rStyle w:val="Hyperlink"/>
            <w:noProof/>
          </w:rPr>
          <w:t>1.4.1</w:t>
        </w:r>
        <w:r w:rsidR="00F70FB8">
          <w:rPr>
            <w:rFonts w:asciiTheme="minorHAnsi" w:eastAsiaTheme="minorEastAsia" w:hAnsiTheme="minorHAnsi" w:cstheme="minorBidi"/>
            <w:noProof/>
            <w:color w:val="auto"/>
            <w:szCs w:val="22"/>
          </w:rPr>
          <w:tab/>
        </w:r>
        <w:r w:rsidR="00F70FB8" w:rsidRPr="00637863">
          <w:rPr>
            <w:rStyle w:val="Hyperlink"/>
            <w:noProof/>
          </w:rPr>
          <w:t>Oil and gas prices</w:t>
        </w:r>
        <w:r w:rsidR="00F70FB8">
          <w:rPr>
            <w:noProof/>
            <w:webHidden/>
          </w:rPr>
          <w:tab/>
        </w:r>
        <w:r w:rsidR="00F70FB8">
          <w:rPr>
            <w:noProof/>
            <w:webHidden/>
          </w:rPr>
          <w:fldChar w:fldCharType="begin"/>
        </w:r>
        <w:r w:rsidR="00F70FB8">
          <w:rPr>
            <w:noProof/>
            <w:webHidden/>
          </w:rPr>
          <w:instrText xml:space="preserve"> PAGEREF _Toc479770626 \h </w:instrText>
        </w:r>
        <w:r w:rsidR="00F70FB8">
          <w:rPr>
            <w:noProof/>
            <w:webHidden/>
          </w:rPr>
        </w:r>
        <w:r w:rsidR="00F70FB8">
          <w:rPr>
            <w:noProof/>
            <w:webHidden/>
          </w:rPr>
          <w:fldChar w:fldCharType="separate"/>
        </w:r>
        <w:r w:rsidR="00836082">
          <w:rPr>
            <w:noProof/>
            <w:webHidden/>
          </w:rPr>
          <w:t>24</w:t>
        </w:r>
        <w:r w:rsidR="00F70FB8">
          <w:rPr>
            <w:noProof/>
            <w:webHidden/>
          </w:rPr>
          <w:fldChar w:fldCharType="end"/>
        </w:r>
      </w:hyperlink>
    </w:p>
    <w:p w14:paraId="1EDA5EFD"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7" w:history="1">
        <w:r w:rsidR="00F70FB8" w:rsidRPr="00637863">
          <w:rPr>
            <w:rStyle w:val="Hyperlink"/>
            <w:noProof/>
          </w:rPr>
          <w:t>1.4.2</w:t>
        </w:r>
        <w:r w:rsidR="00F70FB8">
          <w:rPr>
            <w:rFonts w:asciiTheme="minorHAnsi" w:eastAsiaTheme="minorEastAsia" w:hAnsiTheme="minorHAnsi" w:cstheme="minorBidi"/>
            <w:noProof/>
            <w:color w:val="auto"/>
            <w:szCs w:val="22"/>
          </w:rPr>
          <w:tab/>
        </w:r>
        <w:r w:rsidR="00F70FB8" w:rsidRPr="00637863">
          <w:rPr>
            <w:rStyle w:val="Hyperlink"/>
            <w:noProof/>
          </w:rPr>
          <w:t>LNG market structure and pricing</w:t>
        </w:r>
        <w:r w:rsidR="00F70FB8">
          <w:rPr>
            <w:noProof/>
            <w:webHidden/>
          </w:rPr>
          <w:tab/>
        </w:r>
        <w:r w:rsidR="00F70FB8">
          <w:rPr>
            <w:noProof/>
            <w:webHidden/>
          </w:rPr>
          <w:fldChar w:fldCharType="begin"/>
        </w:r>
        <w:r w:rsidR="00F70FB8">
          <w:rPr>
            <w:noProof/>
            <w:webHidden/>
          </w:rPr>
          <w:instrText xml:space="preserve"> PAGEREF _Toc479770627 \h </w:instrText>
        </w:r>
        <w:r w:rsidR="00F70FB8">
          <w:rPr>
            <w:noProof/>
            <w:webHidden/>
          </w:rPr>
        </w:r>
        <w:r w:rsidR="00F70FB8">
          <w:rPr>
            <w:noProof/>
            <w:webHidden/>
          </w:rPr>
          <w:fldChar w:fldCharType="separate"/>
        </w:r>
        <w:r w:rsidR="00836082">
          <w:rPr>
            <w:noProof/>
            <w:webHidden/>
          </w:rPr>
          <w:t>24</w:t>
        </w:r>
        <w:r w:rsidR="00F70FB8">
          <w:rPr>
            <w:noProof/>
            <w:webHidden/>
          </w:rPr>
          <w:fldChar w:fldCharType="end"/>
        </w:r>
      </w:hyperlink>
    </w:p>
    <w:p w14:paraId="3A7ADD63"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28" w:history="1">
        <w:r w:rsidR="00F70FB8" w:rsidRPr="00637863">
          <w:rPr>
            <w:rStyle w:val="Hyperlink"/>
            <w:noProof/>
          </w:rPr>
          <w:t>1.4.3</w:t>
        </w:r>
        <w:r w:rsidR="00F70FB8">
          <w:rPr>
            <w:rFonts w:asciiTheme="minorHAnsi" w:eastAsiaTheme="minorEastAsia" w:hAnsiTheme="minorHAnsi" w:cstheme="minorBidi"/>
            <w:noProof/>
            <w:color w:val="auto"/>
            <w:szCs w:val="22"/>
          </w:rPr>
          <w:tab/>
        </w:r>
        <w:r w:rsidR="00F70FB8" w:rsidRPr="00637863">
          <w:rPr>
            <w:rStyle w:val="Hyperlink"/>
            <w:noProof/>
          </w:rPr>
          <w:t>Falling prices and Australia’s LNG industry</w:t>
        </w:r>
        <w:r w:rsidR="00F70FB8">
          <w:rPr>
            <w:noProof/>
            <w:webHidden/>
          </w:rPr>
          <w:tab/>
        </w:r>
        <w:r w:rsidR="00F70FB8">
          <w:rPr>
            <w:noProof/>
            <w:webHidden/>
          </w:rPr>
          <w:fldChar w:fldCharType="begin"/>
        </w:r>
        <w:r w:rsidR="00F70FB8">
          <w:rPr>
            <w:noProof/>
            <w:webHidden/>
          </w:rPr>
          <w:instrText xml:space="preserve"> PAGEREF _Toc479770628 \h </w:instrText>
        </w:r>
        <w:r w:rsidR="00F70FB8">
          <w:rPr>
            <w:noProof/>
            <w:webHidden/>
          </w:rPr>
        </w:r>
        <w:r w:rsidR="00F70FB8">
          <w:rPr>
            <w:noProof/>
            <w:webHidden/>
          </w:rPr>
          <w:fldChar w:fldCharType="separate"/>
        </w:r>
        <w:r w:rsidR="00836082">
          <w:rPr>
            <w:noProof/>
            <w:webHidden/>
          </w:rPr>
          <w:t>25</w:t>
        </w:r>
        <w:r w:rsidR="00F70FB8">
          <w:rPr>
            <w:noProof/>
            <w:webHidden/>
          </w:rPr>
          <w:fldChar w:fldCharType="end"/>
        </w:r>
      </w:hyperlink>
    </w:p>
    <w:p w14:paraId="168BF1C3"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29" w:history="1">
        <w:r w:rsidR="00F70FB8" w:rsidRPr="00637863">
          <w:rPr>
            <w:rStyle w:val="Hyperlink"/>
            <w:noProof/>
          </w:rPr>
          <w:t>1.5</w:t>
        </w:r>
        <w:r w:rsidR="00F70FB8">
          <w:rPr>
            <w:rFonts w:asciiTheme="minorHAnsi" w:eastAsiaTheme="minorEastAsia" w:hAnsiTheme="minorHAnsi" w:cstheme="minorBidi"/>
            <w:noProof/>
            <w:color w:val="auto"/>
            <w:szCs w:val="22"/>
          </w:rPr>
          <w:tab/>
        </w:r>
        <w:r w:rsidR="00F70FB8" w:rsidRPr="00637863">
          <w:rPr>
            <w:rStyle w:val="Hyperlink"/>
            <w:noProof/>
          </w:rPr>
          <w:t>Determinants of Oil and Gas Exploration and Development in Australia</w:t>
        </w:r>
        <w:r w:rsidR="00F70FB8">
          <w:rPr>
            <w:noProof/>
            <w:webHidden/>
          </w:rPr>
          <w:tab/>
        </w:r>
        <w:r w:rsidR="00F70FB8">
          <w:rPr>
            <w:noProof/>
            <w:webHidden/>
          </w:rPr>
          <w:fldChar w:fldCharType="begin"/>
        </w:r>
        <w:r w:rsidR="00F70FB8">
          <w:rPr>
            <w:noProof/>
            <w:webHidden/>
          </w:rPr>
          <w:instrText xml:space="preserve"> PAGEREF _Toc479770629 \h </w:instrText>
        </w:r>
        <w:r w:rsidR="00F70FB8">
          <w:rPr>
            <w:noProof/>
            <w:webHidden/>
          </w:rPr>
        </w:r>
        <w:r w:rsidR="00F70FB8">
          <w:rPr>
            <w:noProof/>
            <w:webHidden/>
          </w:rPr>
          <w:fldChar w:fldCharType="separate"/>
        </w:r>
        <w:r w:rsidR="00836082">
          <w:rPr>
            <w:noProof/>
            <w:webHidden/>
          </w:rPr>
          <w:t>26</w:t>
        </w:r>
        <w:r w:rsidR="00F70FB8">
          <w:rPr>
            <w:noProof/>
            <w:webHidden/>
          </w:rPr>
          <w:fldChar w:fldCharType="end"/>
        </w:r>
      </w:hyperlink>
    </w:p>
    <w:p w14:paraId="11C694AB"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30" w:history="1">
        <w:r w:rsidR="00F70FB8" w:rsidRPr="00637863">
          <w:rPr>
            <w:rStyle w:val="Hyperlink"/>
            <w:noProof/>
          </w:rPr>
          <w:t>1.5.1</w:t>
        </w:r>
        <w:r w:rsidR="00F70FB8">
          <w:rPr>
            <w:rFonts w:asciiTheme="minorHAnsi" w:eastAsiaTheme="minorEastAsia" w:hAnsiTheme="minorHAnsi" w:cstheme="minorBidi"/>
            <w:noProof/>
            <w:color w:val="auto"/>
            <w:szCs w:val="22"/>
          </w:rPr>
          <w:tab/>
        </w:r>
        <w:r w:rsidR="00F70FB8" w:rsidRPr="00637863">
          <w:rPr>
            <w:rStyle w:val="Hyperlink"/>
            <w:noProof/>
          </w:rPr>
          <w:t>Exploration influences</w:t>
        </w:r>
        <w:r w:rsidR="00F70FB8">
          <w:rPr>
            <w:noProof/>
            <w:webHidden/>
          </w:rPr>
          <w:tab/>
        </w:r>
        <w:r w:rsidR="00F70FB8">
          <w:rPr>
            <w:noProof/>
            <w:webHidden/>
          </w:rPr>
          <w:fldChar w:fldCharType="begin"/>
        </w:r>
        <w:r w:rsidR="00F70FB8">
          <w:rPr>
            <w:noProof/>
            <w:webHidden/>
          </w:rPr>
          <w:instrText xml:space="preserve"> PAGEREF _Toc479770630 \h </w:instrText>
        </w:r>
        <w:r w:rsidR="00F70FB8">
          <w:rPr>
            <w:noProof/>
            <w:webHidden/>
          </w:rPr>
        </w:r>
        <w:r w:rsidR="00F70FB8">
          <w:rPr>
            <w:noProof/>
            <w:webHidden/>
          </w:rPr>
          <w:fldChar w:fldCharType="separate"/>
        </w:r>
        <w:r w:rsidR="00836082">
          <w:rPr>
            <w:noProof/>
            <w:webHidden/>
          </w:rPr>
          <w:t>26</w:t>
        </w:r>
        <w:r w:rsidR="00F70FB8">
          <w:rPr>
            <w:noProof/>
            <w:webHidden/>
          </w:rPr>
          <w:fldChar w:fldCharType="end"/>
        </w:r>
      </w:hyperlink>
    </w:p>
    <w:p w14:paraId="0A421AE6"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31" w:history="1">
        <w:r w:rsidR="00F70FB8" w:rsidRPr="00637863">
          <w:rPr>
            <w:rStyle w:val="Hyperlink"/>
            <w:noProof/>
          </w:rPr>
          <w:t>1.5.2</w:t>
        </w:r>
        <w:r w:rsidR="00F70FB8">
          <w:rPr>
            <w:rFonts w:asciiTheme="minorHAnsi" w:eastAsiaTheme="minorEastAsia" w:hAnsiTheme="minorHAnsi" w:cstheme="minorBidi"/>
            <w:noProof/>
            <w:color w:val="auto"/>
            <w:szCs w:val="22"/>
          </w:rPr>
          <w:tab/>
        </w:r>
        <w:r w:rsidR="00F70FB8" w:rsidRPr="00637863">
          <w:rPr>
            <w:rStyle w:val="Hyperlink"/>
            <w:noProof/>
          </w:rPr>
          <w:t>Determinants and costs of development</w:t>
        </w:r>
        <w:r w:rsidR="00F70FB8">
          <w:rPr>
            <w:noProof/>
            <w:webHidden/>
          </w:rPr>
          <w:tab/>
        </w:r>
        <w:r w:rsidR="00F70FB8">
          <w:rPr>
            <w:noProof/>
            <w:webHidden/>
          </w:rPr>
          <w:fldChar w:fldCharType="begin"/>
        </w:r>
        <w:r w:rsidR="00F70FB8">
          <w:rPr>
            <w:noProof/>
            <w:webHidden/>
          </w:rPr>
          <w:instrText xml:space="preserve"> PAGEREF _Toc479770631 \h </w:instrText>
        </w:r>
        <w:r w:rsidR="00F70FB8">
          <w:rPr>
            <w:noProof/>
            <w:webHidden/>
          </w:rPr>
        </w:r>
        <w:r w:rsidR="00F70FB8">
          <w:rPr>
            <w:noProof/>
            <w:webHidden/>
          </w:rPr>
          <w:fldChar w:fldCharType="separate"/>
        </w:r>
        <w:r w:rsidR="00836082">
          <w:rPr>
            <w:noProof/>
            <w:webHidden/>
          </w:rPr>
          <w:t>28</w:t>
        </w:r>
        <w:r w:rsidR="00F70FB8">
          <w:rPr>
            <w:noProof/>
            <w:webHidden/>
          </w:rPr>
          <w:fldChar w:fldCharType="end"/>
        </w:r>
      </w:hyperlink>
    </w:p>
    <w:p w14:paraId="250E949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32" w:history="1">
        <w:r w:rsidR="00F70FB8" w:rsidRPr="00637863">
          <w:rPr>
            <w:rStyle w:val="Hyperlink"/>
            <w:noProof/>
          </w:rPr>
          <w:t>1.5.3</w:t>
        </w:r>
        <w:r w:rsidR="00F70FB8">
          <w:rPr>
            <w:rFonts w:asciiTheme="minorHAnsi" w:eastAsiaTheme="minorEastAsia" w:hAnsiTheme="minorHAnsi" w:cstheme="minorBidi"/>
            <w:noProof/>
            <w:color w:val="auto"/>
            <w:szCs w:val="22"/>
          </w:rPr>
          <w:tab/>
        </w:r>
        <w:r w:rsidR="00F70FB8" w:rsidRPr="00637863">
          <w:rPr>
            <w:rStyle w:val="Hyperlink"/>
            <w:noProof/>
          </w:rPr>
          <w:t>Fiscal risks</w:t>
        </w:r>
        <w:r w:rsidR="00F70FB8">
          <w:rPr>
            <w:noProof/>
            <w:webHidden/>
          </w:rPr>
          <w:tab/>
        </w:r>
        <w:r w:rsidR="00F70FB8">
          <w:rPr>
            <w:noProof/>
            <w:webHidden/>
          </w:rPr>
          <w:fldChar w:fldCharType="begin"/>
        </w:r>
        <w:r w:rsidR="00F70FB8">
          <w:rPr>
            <w:noProof/>
            <w:webHidden/>
          </w:rPr>
          <w:instrText xml:space="preserve"> PAGEREF _Toc479770632 \h </w:instrText>
        </w:r>
        <w:r w:rsidR="00F70FB8">
          <w:rPr>
            <w:noProof/>
            <w:webHidden/>
          </w:rPr>
        </w:r>
        <w:r w:rsidR="00F70FB8">
          <w:rPr>
            <w:noProof/>
            <w:webHidden/>
          </w:rPr>
          <w:fldChar w:fldCharType="separate"/>
        </w:r>
        <w:r w:rsidR="00836082">
          <w:rPr>
            <w:noProof/>
            <w:webHidden/>
          </w:rPr>
          <w:t>30</w:t>
        </w:r>
        <w:r w:rsidR="00F70FB8">
          <w:rPr>
            <w:noProof/>
            <w:webHidden/>
          </w:rPr>
          <w:fldChar w:fldCharType="end"/>
        </w:r>
      </w:hyperlink>
    </w:p>
    <w:p w14:paraId="3B663C31"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633" w:history="1">
        <w:r w:rsidR="00F70FB8" w:rsidRPr="00637863">
          <w:rPr>
            <w:rStyle w:val="Hyperlink"/>
            <w:noProof/>
          </w:rPr>
          <w:t>2.</w:t>
        </w:r>
        <w:r w:rsidR="00F70FB8">
          <w:rPr>
            <w:rFonts w:asciiTheme="minorHAnsi" w:eastAsiaTheme="minorEastAsia" w:hAnsiTheme="minorHAnsi" w:cstheme="minorBidi"/>
            <w:b w:val="0"/>
            <w:noProof/>
            <w:color w:val="auto"/>
            <w:sz w:val="22"/>
          </w:rPr>
          <w:tab/>
        </w:r>
        <w:r w:rsidR="00F70FB8" w:rsidRPr="00637863">
          <w:rPr>
            <w:rStyle w:val="Hyperlink"/>
            <w:noProof/>
          </w:rPr>
          <w:t>Taxing Australia’s Oil and Gas Industry</w:t>
        </w:r>
        <w:r w:rsidR="00F70FB8">
          <w:rPr>
            <w:noProof/>
            <w:webHidden/>
          </w:rPr>
          <w:tab/>
        </w:r>
        <w:r w:rsidR="00F70FB8">
          <w:rPr>
            <w:noProof/>
            <w:webHidden/>
          </w:rPr>
          <w:fldChar w:fldCharType="begin"/>
        </w:r>
        <w:r w:rsidR="00F70FB8">
          <w:rPr>
            <w:noProof/>
            <w:webHidden/>
          </w:rPr>
          <w:instrText xml:space="preserve"> PAGEREF _Toc479770633 \h </w:instrText>
        </w:r>
        <w:r w:rsidR="00F70FB8">
          <w:rPr>
            <w:noProof/>
            <w:webHidden/>
          </w:rPr>
        </w:r>
        <w:r w:rsidR="00F70FB8">
          <w:rPr>
            <w:noProof/>
            <w:webHidden/>
          </w:rPr>
          <w:fldChar w:fldCharType="separate"/>
        </w:r>
        <w:r w:rsidR="00836082">
          <w:rPr>
            <w:noProof/>
            <w:webHidden/>
          </w:rPr>
          <w:t>33</w:t>
        </w:r>
        <w:r w:rsidR="00F70FB8">
          <w:rPr>
            <w:noProof/>
            <w:webHidden/>
          </w:rPr>
          <w:fldChar w:fldCharType="end"/>
        </w:r>
      </w:hyperlink>
    </w:p>
    <w:p w14:paraId="5C200282"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34" w:history="1">
        <w:r w:rsidR="00F70FB8" w:rsidRPr="00637863">
          <w:rPr>
            <w:rStyle w:val="Hyperlink"/>
            <w:noProof/>
          </w:rPr>
          <w:t>2.1</w:t>
        </w:r>
        <w:r w:rsidR="00F70FB8">
          <w:rPr>
            <w:rFonts w:asciiTheme="minorHAnsi" w:eastAsiaTheme="minorEastAsia" w:hAnsiTheme="minorHAnsi" w:cstheme="minorBidi"/>
            <w:noProof/>
            <w:color w:val="auto"/>
            <w:szCs w:val="22"/>
          </w:rPr>
          <w:tab/>
        </w:r>
        <w:r w:rsidR="00F70FB8" w:rsidRPr="00637863">
          <w:rPr>
            <w:rStyle w:val="Hyperlink"/>
            <w:noProof/>
          </w:rPr>
          <w:t>Overview of Resource Taxation</w:t>
        </w:r>
        <w:r w:rsidR="00F70FB8">
          <w:rPr>
            <w:noProof/>
            <w:webHidden/>
          </w:rPr>
          <w:tab/>
        </w:r>
        <w:r w:rsidR="00F70FB8">
          <w:rPr>
            <w:noProof/>
            <w:webHidden/>
          </w:rPr>
          <w:fldChar w:fldCharType="begin"/>
        </w:r>
        <w:r w:rsidR="00F70FB8">
          <w:rPr>
            <w:noProof/>
            <w:webHidden/>
          </w:rPr>
          <w:instrText xml:space="preserve"> PAGEREF _Toc479770634 \h </w:instrText>
        </w:r>
        <w:r w:rsidR="00F70FB8">
          <w:rPr>
            <w:noProof/>
            <w:webHidden/>
          </w:rPr>
        </w:r>
        <w:r w:rsidR="00F70FB8">
          <w:rPr>
            <w:noProof/>
            <w:webHidden/>
          </w:rPr>
          <w:fldChar w:fldCharType="separate"/>
        </w:r>
        <w:r w:rsidR="00836082">
          <w:rPr>
            <w:noProof/>
            <w:webHidden/>
          </w:rPr>
          <w:t>33</w:t>
        </w:r>
        <w:r w:rsidR="00F70FB8">
          <w:rPr>
            <w:noProof/>
            <w:webHidden/>
          </w:rPr>
          <w:fldChar w:fldCharType="end"/>
        </w:r>
      </w:hyperlink>
    </w:p>
    <w:p w14:paraId="530D25D8"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35" w:history="1">
        <w:r w:rsidR="00F70FB8" w:rsidRPr="00637863">
          <w:rPr>
            <w:rStyle w:val="Hyperlink"/>
            <w:noProof/>
          </w:rPr>
          <w:t>2.1.1</w:t>
        </w:r>
        <w:r w:rsidR="00F70FB8">
          <w:rPr>
            <w:rFonts w:asciiTheme="minorHAnsi" w:eastAsiaTheme="minorEastAsia" w:hAnsiTheme="minorHAnsi" w:cstheme="minorBidi"/>
            <w:noProof/>
            <w:color w:val="auto"/>
            <w:szCs w:val="22"/>
          </w:rPr>
          <w:tab/>
        </w:r>
        <w:r w:rsidR="00F70FB8" w:rsidRPr="00637863">
          <w:rPr>
            <w:rStyle w:val="Hyperlink"/>
            <w:noProof/>
          </w:rPr>
          <w:t>Types of resource taxes</w:t>
        </w:r>
        <w:r w:rsidR="00F70FB8">
          <w:rPr>
            <w:noProof/>
            <w:webHidden/>
          </w:rPr>
          <w:tab/>
        </w:r>
        <w:r w:rsidR="00F70FB8">
          <w:rPr>
            <w:noProof/>
            <w:webHidden/>
          </w:rPr>
          <w:fldChar w:fldCharType="begin"/>
        </w:r>
        <w:r w:rsidR="00F70FB8">
          <w:rPr>
            <w:noProof/>
            <w:webHidden/>
          </w:rPr>
          <w:instrText xml:space="preserve"> PAGEREF _Toc479770635 \h </w:instrText>
        </w:r>
        <w:r w:rsidR="00F70FB8">
          <w:rPr>
            <w:noProof/>
            <w:webHidden/>
          </w:rPr>
        </w:r>
        <w:r w:rsidR="00F70FB8">
          <w:rPr>
            <w:noProof/>
            <w:webHidden/>
          </w:rPr>
          <w:fldChar w:fldCharType="separate"/>
        </w:r>
        <w:r w:rsidR="00836082">
          <w:rPr>
            <w:noProof/>
            <w:webHidden/>
          </w:rPr>
          <w:t>33</w:t>
        </w:r>
        <w:r w:rsidR="00F70FB8">
          <w:rPr>
            <w:noProof/>
            <w:webHidden/>
          </w:rPr>
          <w:fldChar w:fldCharType="end"/>
        </w:r>
      </w:hyperlink>
    </w:p>
    <w:p w14:paraId="3A71A989"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36" w:history="1">
        <w:r w:rsidR="00F70FB8" w:rsidRPr="00637863">
          <w:rPr>
            <w:rStyle w:val="Hyperlink"/>
            <w:noProof/>
          </w:rPr>
          <w:t>2.2</w:t>
        </w:r>
        <w:r w:rsidR="00F70FB8">
          <w:rPr>
            <w:rFonts w:asciiTheme="minorHAnsi" w:eastAsiaTheme="minorEastAsia" w:hAnsiTheme="minorHAnsi" w:cstheme="minorBidi"/>
            <w:noProof/>
            <w:color w:val="auto"/>
            <w:szCs w:val="22"/>
          </w:rPr>
          <w:tab/>
        </w:r>
        <w:r w:rsidR="00F70FB8" w:rsidRPr="00637863">
          <w:rPr>
            <w:rStyle w:val="Hyperlink"/>
            <w:noProof/>
          </w:rPr>
          <w:t>Resource Charging Arrangements in Australia</w:t>
        </w:r>
        <w:r w:rsidR="00F70FB8">
          <w:rPr>
            <w:noProof/>
            <w:webHidden/>
          </w:rPr>
          <w:tab/>
        </w:r>
        <w:r w:rsidR="00F70FB8">
          <w:rPr>
            <w:noProof/>
            <w:webHidden/>
          </w:rPr>
          <w:fldChar w:fldCharType="begin"/>
        </w:r>
        <w:r w:rsidR="00F70FB8">
          <w:rPr>
            <w:noProof/>
            <w:webHidden/>
          </w:rPr>
          <w:instrText xml:space="preserve"> PAGEREF _Toc479770636 \h </w:instrText>
        </w:r>
        <w:r w:rsidR="00F70FB8">
          <w:rPr>
            <w:noProof/>
            <w:webHidden/>
          </w:rPr>
        </w:r>
        <w:r w:rsidR="00F70FB8">
          <w:rPr>
            <w:noProof/>
            <w:webHidden/>
          </w:rPr>
          <w:fldChar w:fldCharType="separate"/>
        </w:r>
        <w:r w:rsidR="00836082">
          <w:rPr>
            <w:noProof/>
            <w:webHidden/>
          </w:rPr>
          <w:t>36</w:t>
        </w:r>
        <w:r w:rsidR="00F70FB8">
          <w:rPr>
            <w:noProof/>
            <w:webHidden/>
          </w:rPr>
          <w:fldChar w:fldCharType="end"/>
        </w:r>
      </w:hyperlink>
    </w:p>
    <w:p w14:paraId="3581ACFC"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37" w:history="1">
        <w:r w:rsidR="00F70FB8" w:rsidRPr="00637863">
          <w:rPr>
            <w:rStyle w:val="Hyperlink"/>
            <w:noProof/>
          </w:rPr>
          <w:t>2.3</w:t>
        </w:r>
        <w:r w:rsidR="00F70FB8">
          <w:rPr>
            <w:rFonts w:asciiTheme="minorHAnsi" w:eastAsiaTheme="minorEastAsia" w:hAnsiTheme="minorHAnsi" w:cstheme="minorBidi"/>
            <w:noProof/>
            <w:color w:val="auto"/>
            <w:szCs w:val="22"/>
          </w:rPr>
          <w:tab/>
        </w:r>
        <w:r w:rsidR="00F70FB8" w:rsidRPr="00637863">
          <w:rPr>
            <w:rStyle w:val="Hyperlink"/>
            <w:noProof/>
          </w:rPr>
          <w:t>Revenue From Resource Charging Arrangements</w:t>
        </w:r>
        <w:r w:rsidR="00F70FB8">
          <w:rPr>
            <w:noProof/>
            <w:webHidden/>
          </w:rPr>
          <w:tab/>
        </w:r>
        <w:r w:rsidR="00F70FB8">
          <w:rPr>
            <w:noProof/>
            <w:webHidden/>
          </w:rPr>
          <w:fldChar w:fldCharType="begin"/>
        </w:r>
        <w:r w:rsidR="00F70FB8">
          <w:rPr>
            <w:noProof/>
            <w:webHidden/>
          </w:rPr>
          <w:instrText xml:space="preserve"> PAGEREF _Toc479770637 \h </w:instrText>
        </w:r>
        <w:r w:rsidR="00F70FB8">
          <w:rPr>
            <w:noProof/>
            <w:webHidden/>
          </w:rPr>
        </w:r>
        <w:r w:rsidR="00F70FB8">
          <w:rPr>
            <w:noProof/>
            <w:webHidden/>
          </w:rPr>
          <w:fldChar w:fldCharType="separate"/>
        </w:r>
        <w:r w:rsidR="00836082">
          <w:rPr>
            <w:noProof/>
            <w:webHidden/>
          </w:rPr>
          <w:t>38</w:t>
        </w:r>
        <w:r w:rsidR="00F70FB8">
          <w:rPr>
            <w:noProof/>
            <w:webHidden/>
          </w:rPr>
          <w:fldChar w:fldCharType="end"/>
        </w:r>
      </w:hyperlink>
    </w:p>
    <w:p w14:paraId="4AD60C93"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38" w:history="1">
        <w:r w:rsidR="00F70FB8" w:rsidRPr="00637863">
          <w:rPr>
            <w:rStyle w:val="Hyperlink"/>
            <w:noProof/>
          </w:rPr>
          <w:t>2.3.1</w:t>
        </w:r>
        <w:r w:rsidR="00F70FB8">
          <w:rPr>
            <w:rFonts w:asciiTheme="minorHAnsi" w:eastAsiaTheme="minorEastAsia" w:hAnsiTheme="minorHAnsi" w:cstheme="minorBidi"/>
            <w:noProof/>
            <w:color w:val="auto"/>
            <w:szCs w:val="22"/>
          </w:rPr>
          <w:tab/>
        </w:r>
        <w:r w:rsidR="00F70FB8" w:rsidRPr="00637863">
          <w:rPr>
            <w:rStyle w:val="Hyperlink"/>
            <w:noProof/>
          </w:rPr>
          <w:t>Historic Commonwealth resource revenue</w:t>
        </w:r>
        <w:r w:rsidR="00F70FB8">
          <w:rPr>
            <w:noProof/>
            <w:webHidden/>
          </w:rPr>
          <w:tab/>
        </w:r>
        <w:r w:rsidR="00F70FB8">
          <w:rPr>
            <w:noProof/>
            <w:webHidden/>
          </w:rPr>
          <w:fldChar w:fldCharType="begin"/>
        </w:r>
        <w:r w:rsidR="00F70FB8">
          <w:rPr>
            <w:noProof/>
            <w:webHidden/>
          </w:rPr>
          <w:instrText xml:space="preserve"> PAGEREF _Toc479770638 \h </w:instrText>
        </w:r>
        <w:r w:rsidR="00F70FB8">
          <w:rPr>
            <w:noProof/>
            <w:webHidden/>
          </w:rPr>
        </w:r>
        <w:r w:rsidR="00F70FB8">
          <w:rPr>
            <w:noProof/>
            <w:webHidden/>
          </w:rPr>
          <w:fldChar w:fldCharType="separate"/>
        </w:r>
        <w:r w:rsidR="00836082">
          <w:rPr>
            <w:noProof/>
            <w:webHidden/>
          </w:rPr>
          <w:t>38</w:t>
        </w:r>
        <w:r w:rsidR="00F70FB8">
          <w:rPr>
            <w:noProof/>
            <w:webHidden/>
          </w:rPr>
          <w:fldChar w:fldCharType="end"/>
        </w:r>
      </w:hyperlink>
    </w:p>
    <w:p w14:paraId="10AD32C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39" w:history="1">
        <w:r w:rsidR="00F70FB8" w:rsidRPr="00637863">
          <w:rPr>
            <w:rStyle w:val="Hyperlink"/>
            <w:noProof/>
          </w:rPr>
          <w:t>2.3.2</w:t>
        </w:r>
        <w:r w:rsidR="00F70FB8">
          <w:rPr>
            <w:rFonts w:asciiTheme="minorHAnsi" w:eastAsiaTheme="minorEastAsia" w:hAnsiTheme="minorHAnsi" w:cstheme="minorBidi"/>
            <w:noProof/>
            <w:color w:val="auto"/>
            <w:szCs w:val="22"/>
          </w:rPr>
          <w:tab/>
        </w:r>
        <w:r w:rsidR="00F70FB8" w:rsidRPr="00637863">
          <w:rPr>
            <w:rStyle w:val="Hyperlink"/>
            <w:noProof/>
          </w:rPr>
          <w:t>State royalties</w:t>
        </w:r>
        <w:r w:rsidR="00F70FB8">
          <w:rPr>
            <w:noProof/>
            <w:webHidden/>
          </w:rPr>
          <w:tab/>
        </w:r>
        <w:r w:rsidR="00F70FB8">
          <w:rPr>
            <w:noProof/>
            <w:webHidden/>
          </w:rPr>
          <w:fldChar w:fldCharType="begin"/>
        </w:r>
        <w:r w:rsidR="00F70FB8">
          <w:rPr>
            <w:noProof/>
            <w:webHidden/>
          </w:rPr>
          <w:instrText xml:space="preserve"> PAGEREF _Toc479770639 \h </w:instrText>
        </w:r>
        <w:r w:rsidR="00F70FB8">
          <w:rPr>
            <w:noProof/>
            <w:webHidden/>
          </w:rPr>
        </w:r>
        <w:r w:rsidR="00F70FB8">
          <w:rPr>
            <w:noProof/>
            <w:webHidden/>
          </w:rPr>
          <w:fldChar w:fldCharType="separate"/>
        </w:r>
        <w:r w:rsidR="00836082">
          <w:rPr>
            <w:noProof/>
            <w:webHidden/>
          </w:rPr>
          <w:t>40</w:t>
        </w:r>
        <w:r w:rsidR="00F70FB8">
          <w:rPr>
            <w:noProof/>
            <w:webHidden/>
          </w:rPr>
          <w:fldChar w:fldCharType="end"/>
        </w:r>
      </w:hyperlink>
    </w:p>
    <w:p w14:paraId="5F80D74D"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40" w:history="1">
        <w:r w:rsidR="00F70FB8" w:rsidRPr="00637863">
          <w:rPr>
            <w:rStyle w:val="Hyperlink"/>
            <w:noProof/>
          </w:rPr>
          <w:t>2.3.3</w:t>
        </w:r>
        <w:r w:rsidR="00F70FB8">
          <w:rPr>
            <w:rFonts w:asciiTheme="minorHAnsi" w:eastAsiaTheme="minorEastAsia" w:hAnsiTheme="minorHAnsi" w:cstheme="minorBidi"/>
            <w:noProof/>
            <w:color w:val="auto"/>
            <w:szCs w:val="22"/>
          </w:rPr>
          <w:tab/>
        </w:r>
        <w:r w:rsidR="00F70FB8" w:rsidRPr="00637863">
          <w:rPr>
            <w:rStyle w:val="Hyperlink"/>
            <w:noProof/>
          </w:rPr>
          <w:t>Company tax revenue</w:t>
        </w:r>
        <w:r w:rsidR="00F70FB8">
          <w:rPr>
            <w:noProof/>
            <w:webHidden/>
          </w:rPr>
          <w:tab/>
        </w:r>
        <w:r w:rsidR="00F70FB8">
          <w:rPr>
            <w:noProof/>
            <w:webHidden/>
          </w:rPr>
          <w:fldChar w:fldCharType="begin"/>
        </w:r>
        <w:r w:rsidR="00F70FB8">
          <w:rPr>
            <w:noProof/>
            <w:webHidden/>
          </w:rPr>
          <w:instrText xml:space="preserve"> PAGEREF _Toc479770640 \h </w:instrText>
        </w:r>
        <w:r w:rsidR="00F70FB8">
          <w:rPr>
            <w:noProof/>
            <w:webHidden/>
          </w:rPr>
        </w:r>
        <w:r w:rsidR="00F70FB8">
          <w:rPr>
            <w:noProof/>
            <w:webHidden/>
          </w:rPr>
          <w:fldChar w:fldCharType="separate"/>
        </w:r>
        <w:r w:rsidR="00836082">
          <w:rPr>
            <w:noProof/>
            <w:webHidden/>
          </w:rPr>
          <w:t>41</w:t>
        </w:r>
        <w:r w:rsidR="00F70FB8">
          <w:rPr>
            <w:noProof/>
            <w:webHidden/>
          </w:rPr>
          <w:fldChar w:fldCharType="end"/>
        </w:r>
      </w:hyperlink>
    </w:p>
    <w:p w14:paraId="6CD07FDC"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41" w:history="1">
        <w:r w:rsidR="00F70FB8" w:rsidRPr="00637863">
          <w:rPr>
            <w:rStyle w:val="Hyperlink"/>
            <w:noProof/>
          </w:rPr>
          <w:t>2.3.4</w:t>
        </w:r>
        <w:r w:rsidR="00F70FB8">
          <w:rPr>
            <w:rFonts w:asciiTheme="minorHAnsi" w:eastAsiaTheme="minorEastAsia" w:hAnsiTheme="minorHAnsi" w:cstheme="minorBidi"/>
            <w:noProof/>
            <w:color w:val="auto"/>
            <w:szCs w:val="22"/>
          </w:rPr>
          <w:tab/>
        </w:r>
        <w:r w:rsidR="00F70FB8" w:rsidRPr="00637863">
          <w:rPr>
            <w:rStyle w:val="Hyperlink"/>
            <w:noProof/>
          </w:rPr>
          <w:t>Modelling future PRRT revenue</w:t>
        </w:r>
        <w:r w:rsidR="00F70FB8">
          <w:rPr>
            <w:noProof/>
            <w:webHidden/>
          </w:rPr>
          <w:tab/>
        </w:r>
        <w:r w:rsidR="00F70FB8">
          <w:rPr>
            <w:noProof/>
            <w:webHidden/>
          </w:rPr>
          <w:fldChar w:fldCharType="begin"/>
        </w:r>
        <w:r w:rsidR="00F70FB8">
          <w:rPr>
            <w:noProof/>
            <w:webHidden/>
          </w:rPr>
          <w:instrText xml:space="preserve"> PAGEREF _Toc479770641 \h </w:instrText>
        </w:r>
        <w:r w:rsidR="00F70FB8">
          <w:rPr>
            <w:noProof/>
            <w:webHidden/>
          </w:rPr>
        </w:r>
        <w:r w:rsidR="00F70FB8">
          <w:rPr>
            <w:noProof/>
            <w:webHidden/>
          </w:rPr>
          <w:fldChar w:fldCharType="separate"/>
        </w:r>
        <w:r w:rsidR="00836082">
          <w:rPr>
            <w:noProof/>
            <w:webHidden/>
          </w:rPr>
          <w:t>42</w:t>
        </w:r>
        <w:r w:rsidR="00F70FB8">
          <w:rPr>
            <w:noProof/>
            <w:webHidden/>
          </w:rPr>
          <w:fldChar w:fldCharType="end"/>
        </w:r>
      </w:hyperlink>
    </w:p>
    <w:p w14:paraId="15C6016D"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42" w:history="1">
        <w:r w:rsidR="00F70FB8" w:rsidRPr="00637863">
          <w:rPr>
            <w:rStyle w:val="Hyperlink"/>
            <w:noProof/>
          </w:rPr>
          <w:t>2.4</w:t>
        </w:r>
        <w:r w:rsidR="00F70FB8">
          <w:rPr>
            <w:rFonts w:asciiTheme="minorHAnsi" w:eastAsiaTheme="minorEastAsia" w:hAnsiTheme="minorHAnsi" w:cstheme="minorBidi"/>
            <w:noProof/>
            <w:color w:val="auto"/>
            <w:szCs w:val="22"/>
          </w:rPr>
          <w:tab/>
        </w:r>
        <w:r w:rsidR="00F70FB8" w:rsidRPr="00637863">
          <w:rPr>
            <w:rStyle w:val="Hyperlink"/>
            <w:noProof/>
          </w:rPr>
          <w:t>Resource Taxation in Other Countries</w:t>
        </w:r>
        <w:r w:rsidR="00F70FB8">
          <w:rPr>
            <w:noProof/>
            <w:webHidden/>
          </w:rPr>
          <w:tab/>
        </w:r>
        <w:r w:rsidR="00F70FB8">
          <w:rPr>
            <w:noProof/>
            <w:webHidden/>
          </w:rPr>
          <w:fldChar w:fldCharType="begin"/>
        </w:r>
        <w:r w:rsidR="00F70FB8">
          <w:rPr>
            <w:noProof/>
            <w:webHidden/>
          </w:rPr>
          <w:instrText xml:space="preserve"> PAGEREF _Toc479770642 \h </w:instrText>
        </w:r>
        <w:r w:rsidR="00F70FB8">
          <w:rPr>
            <w:noProof/>
            <w:webHidden/>
          </w:rPr>
        </w:r>
        <w:r w:rsidR="00F70FB8">
          <w:rPr>
            <w:noProof/>
            <w:webHidden/>
          </w:rPr>
          <w:fldChar w:fldCharType="separate"/>
        </w:r>
        <w:r w:rsidR="00836082">
          <w:rPr>
            <w:noProof/>
            <w:webHidden/>
          </w:rPr>
          <w:t>49</w:t>
        </w:r>
        <w:r w:rsidR="00F70FB8">
          <w:rPr>
            <w:noProof/>
            <w:webHidden/>
          </w:rPr>
          <w:fldChar w:fldCharType="end"/>
        </w:r>
      </w:hyperlink>
    </w:p>
    <w:p w14:paraId="683178A7"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43" w:history="1">
        <w:r w:rsidR="00F70FB8" w:rsidRPr="00637863">
          <w:rPr>
            <w:rStyle w:val="Hyperlink"/>
            <w:noProof/>
          </w:rPr>
          <w:t>2.5</w:t>
        </w:r>
        <w:r w:rsidR="00F70FB8">
          <w:rPr>
            <w:rFonts w:asciiTheme="minorHAnsi" w:eastAsiaTheme="minorEastAsia" w:hAnsiTheme="minorHAnsi" w:cstheme="minorBidi"/>
            <w:noProof/>
            <w:color w:val="auto"/>
            <w:szCs w:val="22"/>
          </w:rPr>
          <w:tab/>
        </w:r>
        <w:r w:rsidR="00F70FB8" w:rsidRPr="00637863">
          <w:rPr>
            <w:rStyle w:val="Hyperlink"/>
            <w:noProof/>
          </w:rPr>
          <w:t>Comparing Australian LNG Revenue With Qatar</w:t>
        </w:r>
        <w:r w:rsidR="00F70FB8">
          <w:rPr>
            <w:noProof/>
            <w:webHidden/>
          </w:rPr>
          <w:tab/>
        </w:r>
        <w:r w:rsidR="00F70FB8">
          <w:rPr>
            <w:noProof/>
            <w:webHidden/>
          </w:rPr>
          <w:fldChar w:fldCharType="begin"/>
        </w:r>
        <w:r w:rsidR="00F70FB8">
          <w:rPr>
            <w:noProof/>
            <w:webHidden/>
          </w:rPr>
          <w:instrText xml:space="preserve"> PAGEREF _Toc479770643 \h </w:instrText>
        </w:r>
        <w:r w:rsidR="00F70FB8">
          <w:rPr>
            <w:noProof/>
            <w:webHidden/>
          </w:rPr>
        </w:r>
        <w:r w:rsidR="00F70FB8">
          <w:rPr>
            <w:noProof/>
            <w:webHidden/>
          </w:rPr>
          <w:fldChar w:fldCharType="separate"/>
        </w:r>
        <w:r w:rsidR="00836082">
          <w:rPr>
            <w:noProof/>
            <w:webHidden/>
          </w:rPr>
          <w:t>56</w:t>
        </w:r>
        <w:r w:rsidR="00F70FB8">
          <w:rPr>
            <w:noProof/>
            <w:webHidden/>
          </w:rPr>
          <w:fldChar w:fldCharType="end"/>
        </w:r>
      </w:hyperlink>
    </w:p>
    <w:p w14:paraId="4CEE9880"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644" w:history="1">
        <w:r w:rsidR="00F70FB8" w:rsidRPr="00637863">
          <w:rPr>
            <w:rStyle w:val="Hyperlink"/>
            <w:noProof/>
          </w:rPr>
          <w:t>3.</w:t>
        </w:r>
        <w:r w:rsidR="00F70FB8">
          <w:rPr>
            <w:rFonts w:asciiTheme="minorHAnsi" w:eastAsiaTheme="minorEastAsia" w:hAnsiTheme="minorHAnsi" w:cstheme="minorBidi"/>
            <w:b w:val="0"/>
            <w:noProof/>
            <w:color w:val="auto"/>
            <w:sz w:val="22"/>
          </w:rPr>
          <w:tab/>
        </w:r>
        <w:r w:rsidR="00F70FB8" w:rsidRPr="00637863">
          <w:rPr>
            <w:rStyle w:val="Hyperlink"/>
            <w:noProof/>
          </w:rPr>
          <w:t>The Petroleum Resource Rent Tax</w:t>
        </w:r>
        <w:r w:rsidR="00F70FB8">
          <w:rPr>
            <w:noProof/>
            <w:webHidden/>
          </w:rPr>
          <w:tab/>
        </w:r>
        <w:r w:rsidR="00F70FB8">
          <w:rPr>
            <w:noProof/>
            <w:webHidden/>
          </w:rPr>
          <w:fldChar w:fldCharType="begin"/>
        </w:r>
        <w:r w:rsidR="00F70FB8">
          <w:rPr>
            <w:noProof/>
            <w:webHidden/>
          </w:rPr>
          <w:instrText xml:space="preserve"> PAGEREF _Toc479770644 \h </w:instrText>
        </w:r>
        <w:r w:rsidR="00F70FB8">
          <w:rPr>
            <w:noProof/>
            <w:webHidden/>
          </w:rPr>
        </w:r>
        <w:r w:rsidR="00F70FB8">
          <w:rPr>
            <w:noProof/>
            <w:webHidden/>
          </w:rPr>
          <w:fldChar w:fldCharType="separate"/>
        </w:r>
        <w:r w:rsidR="00836082">
          <w:rPr>
            <w:noProof/>
            <w:webHidden/>
          </w:rPr>
          <w:t>60</w:t>
        </w:r>
        <w:r w:rsidR="00F70FB8">
          <w:rPr>
            <w:noProof/>
            <w:webHidden/>
          </w:rPr>
          <w:fldChar w:fldCharType="end"/>
        </w:r>
      </w:hyperlink>
    </w:p>
    <w:p w14:paraId="785D4DAC"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45" w:history="1">
        <w:r w:rsidR="00F70FB8" w:rsidRPr="00637863">
          <w:rPr>
            <w:rStyle w:val="Hyperlink"/>
            <w:noProof/>
          </w:rPr>
          <w:t>3.1</w:t>
        </w:r>
        <w:r w:rsidR="00F70FB8">
          <w:rPr>
            <w:rFonts w:asciiTheme="minorHAnsi" w:eastAsiaTheme="minorEastAsia" w:hAnsiTheme="minorHAnsi" w:cstheme="minorBidi"/>
            <w:noProof/>
            <w:color w:val="auto"/>
            <w:szCs w:val="22"/>
          </w:rPr>
          <w:tab/>
        </w:r>
        <w:r w:rsidR="00F70FB8" w:rsidRPr="00637863">
          <w:rPr>
            <w:rStyle w:val="Hyperlink"/>
            <w:noProof/>
          </w:rPr>
          <w:t>Overview of the PRRT</w:t>
        </w:r>
        <w:r w:rsidR="00F70FB8">
          <w:rPr>
            <w:noProof/>
            <w:webHidden/>
          </w:rPr>
          <w:tab/>
        </w:r>
        <w:r w:rsidR="00F70FB8">
          <w:rPr>
            <w:noProof/>
            <w:webHidden/>
          </w:rPr>
          <w:fldChar w:fldCharType="begin"/>
        </w:r>
        <w:r w:rsidR="00F70FB8">
          <w:rPr>
            <w:noProof/>
            <w:webHidden/>
          </w:rPr>
          <w:instrText xml:space="preserve"> PAGEREF _Toc479770645 \h </w:instrText>
        </w:r>
        <w:r w:rsidR="00F70FB8">
          <w:rPr>
            <w:noProof/>
            <w:webHidden/>
          </w:rPr>
        </w:r>
        <w:r w:rsidR="00F70FB8">
          <w:rPr>
            <w:noProof/>
            <w:webHidden/>
          </w:rPr>
          <w:fldChar w:fldCharType="separate"/>
        </w:r>
        <w:r w:rsidR="00836082">
          <w:rPr>
            <w:noProof/>
            <w:webHidden/>
          </w:rPr>
          <w:t>60</w:t>
        </w:r>
        <w:r w:rsidR="00F70FB8">
          <w:rPr>
            <w:noProof/>
            <w:webHidden/>
          </w:rPr>
          <w:fldChar w:fldCharType="end"/>
        </w:r>
      </w:hyperlink>
    </w:p>
    <w:p w14:paraId="2E79C442"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46" w:history="1">
        <w:r w:rsidR="00F70FB8" w:rsidRPr="00637863">
          <w:rPr>
            <w:rStyle w:val="Hyperlink"/>
            <w:noProof/>
          </w:rPr>
          <w:t>3.2</w:t>
        </w:r>
        <w:r w:rsidR="00F70FB8">
          <w:rPr>
            <w:rFonts w:asciiTheme="minorHAnsi" w:eastAsiaTheme="minorEastAsia" w:hAnsiTheme="minorHAnsi" w:cstheme="minorBidi"/>
            <w:noProof/>
            <w:color w:val="auto"/>
            <w:szCs w:val="22"/>
          </w:rPr>
          <w:tab/>
        </w:r>
        <w:r w:rsidR="00F70FB8" w:rsidRPr="00637863">
          <w:rPr>
            <w:rStyle w:val="Hyperlink"/>
            <w:noProof/>
          </w:rPr>
          <w:t>Historical Changes to the PRRT</w:t>
        </w:r>
        <w:r w:rsidR="00F70FB8">
          <w:rPr>
            <w:noProof/>
            <w:webHidden/>
          </w:rPr>
          <w:tab/>
        </w:r>
        <w:r w:rsidR="00F70FB8">
          <w:rPr>
            <w:noProof/>
            <w:webHidden/>
          </w:rPr>
          <w:fldChar w:fldCharType="begin"/>
        </w:r>
        <w:r w:rsidR="00F70FB8">
          <w:rPr>
            <w:noProof/>
            <w:webHidden/>
          </w:rPr>
          <w:instrText xml:space="preserve"> PAGEREF _Toc479770646 \h </w:instrText>
        </w:r>
        <w:r w:rsidR="00F70FB8">
          <w:rPr>
            <w:noProof/>
            <w:webHidden/>
          </w:rPr>
        </w:r>
        <w:r w:rsidR="00F70FB8">
          <w:rPr>
            <w:noProof/>
            <w:webHidden/>
          </w:rPr>
          <w:fldChar w:fldCharType="separate"/>
        </w:r>
        <w:r w:rsidR="00836082">
          <w:rPr>
            <w:noProof/>
            <w:webHidden/>
          </w:rPr>
          <w:t>61</w:t>
        </w:r>
        <w:r w:rsidR="00F70FB8">
          <w:rPr>
            <w:noProof/>
            <w:webHidden/>
          </w:rPr>
          <w:fldChar w:fldCharType="end"/>
        </w:r>
      </w:hyperlink>
    </w:p>
    <w:p w14:paraId="106AECB9"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47" w:history="1">
        <w:r w:rsidR="00F70FB8" w:rsidRPr="00637863">
          <w:rPr>
            <w:rStyle w:val="Hyperlink"/>
            <w:noProof/>
          </w:rPr>
          <w:t>3.2.1</w:t>
        </w:r>
        <w:r w:rsidR="00F70FB8">
          <w:rPr>
            <w:rFonts w:asciiTheme="minorHAnsi" w:eastAsiaTheme="minorEastAsia" w:hAnsiTheme="minorHAnsi" w:cstheme="minorBidi"/>
            <w:noProof/>
            <w:color w:val="auto"/>
            <w:szCs w:val="22"/>
          </w:rPr>
          <w:tab/>
        </w:r>
        <w:r w:rsidR="00F70FB8" w:rsidRPr="00637863">
          <w:rPr>
            <w:rStyle w:val="Hyperlink"/>
            <w:noProof/>
          </w:rPr>
          <w:t>Expansion of the PRRT regime</w:t>
        </w:r>
        <w:r w:rsidR="00F70FB8">
          <w:rPr>
            <w:noProof/>
            <w:webHidden/>
          </w:rPr>
          <w:tab/>
        </w:r>
        <w:r w:rsidR="00F70FB8">
          <w:rPr>
            <w:noProof/>
            <w:webHidden/>
          </w:rPr>
          <w:fldChar w:fldCharType="begin"/>
        </w:r>
        <w:r w:rsidR="00F70FB8">
          <w:rPr>
            <w:noProof/>
            <w:webHidden/>
          </w:rPr>
          <w:instrText xml:space="preserve"> PAGEREF _Toc479770647 \h </w:instrText>
        </w:r>
        <w:r w:rsidR="00F70FB8">
          <w:rPr>
            <w:noProof/>
            <w:webHidden/>
          </w:rPr>
        </w:r>
        <w:r w:rsidR="00F70FB8">
          <w:rPr>
            <w:noProof/>
            <w:webHidden/>
          </w:rPr>
          <w:fldChar w:fldCharType="separate"/>
        </w:r>
        <w:r w:rsidR="00836082">
          <w:rPr>
            <w:noProof/>
            <w:webHidden/>
          </w:rPr>
          <w:t>61</w:t>
        </w:r>
        <w:r w:rsidR="00F70FB8">
          <w:rPr>
            <w:noProof/>
            <w:webHidden/>
          </w:rPr>
          <w:fldChar w:fldCharType="end"/>
        </w:r>
      </w:hyperlink>
    </w:p>
    <w:p w14:paraId="71083964"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48" w:history="1">
        <w:r w:rsidR="00F70FB8" w:rsidRPr="00637863">
          <w:rPr>
            <w:rStyle w:val="Hyperlink"/>
            <w:noProof/>
          </w:rPr>
          <w:t>3.2.2</w:t>
        </w:r>
        <w:r w:rsidR="00F70FB8">
          <w:rPr>
            <w:rFonts w:asciiTheme="minorHAnsi" w:eastAsiaTheme="minorEastAsia" w:hAnsiTheme="minorHAnsi" w:cstheme="minorBidi"/>
            <w:noProof/>
            <w:color w:val="auto"/>
            <w:szCs w:val="22"/>
          </w:rPr>
          <w:tab/>
        </w:r>
        <w:r w:rsidR="00F70FB8" w:rsidRPr="00637863">
          <w:rPr>
            <w:rStyle w:val="Hyperlink"/>
            <w:noProof/>
          </w:rPr>
          <w:t>Incentives for exploration</w:t>
        </w:r>
        <w:r w:rsidR="00F70FB8">
          <w:rPr>
            <w:noProof/>
            <w:webHidden/>
          </w:rPr>
          <w:tab/>
        </w:r>
        <w:r w:rsidR="00F70FB8">
          <w:rPr>
            <w:noProof/>
            <w:webHidden/>
          </w:rPr>
          <w:fldChar w:fldCharType="begin"/>
        </w:r>
        <w:r w:rsidR="00F70FB8">
          <w:rPr>
            <w:noProof/>
            <w:webHidden/>
          </w:rPr>
          <w:instrText xml:space="preserve"> PAGEREF _Toc479770648 \h </w:instrText>
        </w:r>
        <w:r w:rsidR="00F70FB8">
          <w:rPr>
            <w:noProof/>
            <w:webHidden/>
          </w:rPr>
        </w:r>
        <w:r w:rsidR="00F70FB8">
          <w:rPr>
            <w:noProof/>
            <w:webHidden/>
          </w:rPr>
          <w:fldChar w:fldCharType="separate"/>
        </w:r>
        <w:r w:rsidR="00836082">
          <w:rPr>
            <w:noProof/>
            <w:webHidden/>
          </w:rPr>
          <w:t>62</w:t>
        </w:r>
        <w:r w:rsidR="00F70FB8">
          <w:rPr>
            <w:noProof/>
            <w:webHidden/>
          </w:rPr>
          <w:fldChar w:fldCharType="end"/>
        </w:r>
      </w:hyperlink>
    </w:p>
    <w:p w14:paraId="638E9668"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649" w:history="1">
        <w:r w:rsidR="00F70FB8" w:rsidRPr="00637863">
          <w:rPr>
            <w:rStyle w:val="Hyperlink"/>
            <w:noProof/>
          </w:rPr>
          <w:t>4.</w:t>
        </w:r>
        <w:r w:rsidR="00F70FB8">
          <w:rPr>
            <w:rFonts w:asciiTheme="minorHAnsi" w:eastAsiaTheme="minorEastAsia" w:hAnsiTheme="minorHAnsi" w:cstheme="minorBidi"/>
            <w:b w:val="0"/>
            <w:noProof/>
            <w:color w:val="auto"/>
            <w:sz w:val="22"/>
          </w:rPr>
          <w:tab/>
        </w:r>
        <w:r w:rsidR="00F70FB8" w:rsidRPr="00637863">
          <w:rPr>
            <w:rStyle w:val="Hyperlink"/>
            <w:noProof/>
          </w:rPr>
          <w:t>Assessment of PRRT Design</w:t>
        </w:r>
        <w:r w:rsidR="00F70FB8">
          <w:rPr>
            <w:noProof/>
            <w:webHidden/>
          </w:rPr>
          <w:tab/>
        </w:r>
        <w:r w:rsidR="00F70FB8">
          <w:rPr>
            <w:noProof/>
            <w:webHidden/>
          </w:rPr>
          <w:fldChar w:fldCharType="begin"/>
        </w:r>
        <w:r w:rsidR="00F70FB8">
          <w:rPr>
            <w:noProof/>
            <w:webHidden/>
          </w:rPr>
          <w:instrText xml:space="preserve"> PAGEREF _Toc479770649 \h </w:instrText>
        </w:r>
        <w:r w:rsidR="00F70FB8">
          <w:rPr>
            <w:noProof/>
            <w:webHidden/>
          </w:rPr>
        </w:r>
        <w:r w:rsidR="00F70FB8">
          <w:rPr>
            <w:noProof/>
            <w:webHidden/>
          </w:rPr>
          <w:fldChar w:fldCharType="separate"/>
        </w:r>
        <w:r w:rsidR="00836082">
          <w:rPr>
            <w:noProof/>
            <w:webHidden/>
          </w:rPr>
          <w:t>63</w:t>
        </w:r>
        <w:r w:rsidR="00F70FB8">
          <w:rPr>
            <w:noProof/>
            <w:webHidden/>
          </w:rPr>
          <w:fldChar w:fldCharType="end"/>
        </w:r>
      </w:hyperlink>
    </w:p>
    <w:p w14:paraId="702CEEF7"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50" w:history="1">
        <w:r w:rsidR="00F70FB8" w:rsidRPr="00637863">
          <w:rPr>
            <w:rStyle w:val="Hyperlink"/>
            <w:noProof/>
          </w:rPr>
          <w:t>4.1</w:t>
        </w:r>
        <w:r w:rsidR="00F70FB8">
          <w:rPr>
            <w:rFonts w:asciiTheme="minorHAnsi" w:eastAsiaTheme="minorEastAsia" w:hAnsiTheme="minorHAnsi" w:cstheme="minorBidi"/>
            <w:noProof/>
            <w:color w:val="auto"/>
            <w:szCs w:val="22"/>
          </w:rPr>
          <w:tab/>
        </w:r>
        <w:r w:rsidR="00F70FB8" w:rsidRPr="00637863">
          <w:rPr>
            <w:rStyle w:val="Hyperlink"/>
            <w:noProof/>
          </w:rPr>
          <w:t>The PRRT Rate</w:t>
        </w:r>
        <w:r w:rsidR="00F70FB8">
          <w:rPr>
            <w:noProof/>
            <w:webHidden/>
          </w:rPr>
          <w:tab/>
        </w:r>
        <w:r w:rsidR="00F70FB8">
          <w:rPr>
            <w:noProof/>
            <w:webHidden/>
          </w:rPr>
          <w:fldChar w:fldCharType="begin"/>
        </w:r>
        <w:r w:rsidR="00F70FB8">
          <w:rPr>
            <w:noProof/>
            <w:webHidden/>
          </w:rPr>
          <w:instrText xml:space="preserve"> PAGEREF _Toc479770650 \h </w:instrText>
        </w:r>
        <w:r w:rsidR="00F70FB8">
          <w:rPr>
            <w:noProof/>
            <w:webHidden/>
          </w:rPr>
        </w:r>
        <w:r w:rsidR="00F70FB8">
          <w:rPr>
            <w:noProof/>
            <w:webHidden/>
          </w:rPr>
          <w:fldChar w:fldCharType="separate"/>
        </w:r>
        <w:r w:rsidR="00836082">
          <w:rPr>
            <w:noProof/>
            <w:webHidden/>
          </w:rPr>
          <w:t>63</w:t>
        </w:r>
        <w:r w:rsidR="00F70FB8">
          <w:rPr>
            <w:noProof/>
            <w:webHidden/>
          </w:rPr>
          <w:fldChar w:fldCharType="end"/>
        </w:r>
      </w:hyperlink>
    </w:p>
    <w:p w14:paraId="06D87C1C"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51" w:history="1">
        <w:r w:rsidR="00F70FB8" w:rsidRPr="00637863">
          <w:rPr>
            <w:rStyle w:val="Hyperlink"/>
            <w:noProof/>
          </w:rPr>
          <w:t>4.2</w:t>
        </w:r>
        <w:r w:rsidR="00F70FB8">
          <w:rPr>
            <w:rFonts w:asciiTheme="minorHAnsi" w:eastAsiaTheme="minorEastAsia" w:hAnsiTheme="minorHAnsi" w:cstheme="minorBidi"/>
            <w:noProof/>
            <w:color w:val="auto"/>
            <w:szCs w:val="22"/>
          </w:rPr>
          <w:tab/>
        </w:r>
        <w:r w:rsidR="00F70FB8" w:rsidRPr="00637863">
          <w:rPr>
            <w:rStyle w:val="Hyperlink"/>
            <w:noProof/>
          </w:rPr>
          <w:t>Uplift Rates</w:t>
        </w:r>
        <w:r w:rsidR="00F70FB8">
          <w:rPr>
            <w:noProof/>
            <w:webHidden/>
          </w:rPr>
          <w:tab/>
        </w:r>
        <w:r w:rsidR="00F70FB8">
          <w:rPr>
            <w:noProof/>
            <w:webHidden/>
          </w:rPr>
          <w:fldChar w:fldCharType="begin"/>
        </w:r>
        <w:r w:rsidR="00F70FB8">
          <w:rPr>
            <w:noProof/>
            <w:webHidden/>
          </w:rPr>
          <w:instrText xml:space="preserve"> PAGEREF _Toc479770651 \h </w:instrText>
        </w:r>
        <w:r w:rsidR="00F70FB8">
          <w:rPr>
            <w:noProof/>
            <w:webHidden/>
          </w:rPr>
        </w:r>
        <w:r w:rsidR="00F70FB8">
          <w:rPr>
            <w:noProof/>
            <w:webHidden/>
          </w:rPr>
          <w:fldChar w:fldCharType="separate"/>
        </w:r>
        <w:r w:rsidR="00836082">
          <w:rPr>
            <w:noProof/>
            <w:webHidden/>
          </w:rPr>
          <w:t>64</w:t>
        </w:r>
        <w:r w:rsidR="00F70FB8">
          <w:rPr>
            <w:noProof/>
            <w:webHidden/>
          </w:rPr>
          <w:fldChar w:fldCharType="end"/>
        </w:r>
      </w:hyperlink>
    </w:p>
    <w:p w14:paraId="3A1DF3BF"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52" w:history="1">
        <w:r w:rsidR="00F70FB8" w:rsidRPr="00637863">
          <w:rPr>
            <w:rStyle w:val="Hyperlink"/>
            <w:noProof/>
          </w:rPr>
          <w:t>4.2.1</w:t>
        </w:r>
        <w:r w:rsidR="00F70FB8">
          <w:rPr>
            <w:rFonts w:asciiTheme="minorHAnsi" w:eastAsiaTheme="minorEastAsia" w:hAnsiTheme="minorHAnsi" w:cstheme="minorBidi"/>
            <w:noProof/>
            <w:color w:val="auto"/>
            <w:szCs w:val="22"/>
          </w:rPr>
          <w:tab/>
        </w:r>
        <w:r w:rsidR="00F70FB8" w:rsidRPr="00637863">
          <w:rPr>
            <w:rStyle w:val="Hyperlink"/>
            <w:noProof/>
          </w:rPr>
          <w:t>Basis of Initial Uniform Uplift Rate</w:t>
        </w:r>
        <w:r w:rsidR="00F70FB8">
          <w:rPr>
            <w:noProof/>
            <w:webHidden/>
          </w:rPr>
          <w:tab/>
        </w:r>
        <w:r w:rsidR="00F70FB8">
          <w:rPr>
            <w:noProof/>
            <w:webHidden/>
          </w:rPr>
          <w:fldChar w:fldCharType="begin"/>
        </w:r>
        <w:r w:rsidR="00F70FB8">
          <w:rPr>
            <w:noProof/>
            <w:webHidden/>
          </w:rPr>
          <w:instrText xml:space="preserve"> PAGEREF _Toc479770652 \h </w:instrText>
        </w:r>
        <w:r w:rsidR="00F70FB8">
          <w:rPr>
            <w:noProof/>
            <w:webHidden/>
          </w:rPr>
        </w:r>
        <w:r w:rsidR="00F70FB8">
          <w:rPr>
            <w:noProof/>
            <w:webHidden/>
          </w:rPr>
          <w:fldChar w:fldCharType="separate"/>
        </w:r>
        <w:r w:rsidR="00836082">
          <w:rPr>
            <w:noProof/>
            <w:webHidden/>
          </w:rPr>
          <w:t>66</w:t>
        </w:r>
        <w:r w:rsidR="00F70FB8">
          <w:rPr>
            <w:noProof/>
            <w:webHidden/>
          </w:rPr>
          <w:fldChar w:fldCharType="end"/>
        </w:r>
      </w:hyperlink>
    </w:p>
    <w:p w14:paraId="2A1CBB5B"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53" w:history="1">
        <w:r w:rsidR="00F70FB8" w:rsidRPr="00637863">
          <w:rPr>
            <w:rStyle w:val="Hyperlink"/>
            <w:noProof/>
          </w:rPr>
          <w:t>4.2.2</w:t>
        </w:r>
        <w:r w:rsidR="00F70FB8">
          <w:rPr>
            <w:rFonts w:asciiTheme="minorHAnsi" w:eastAsiaTheme="minorEastAsia" w:hAnsiTheme="minorHAnsi" w:cstheme="minorBidi"/>
            <w:noProof/>
            <w:color w:val="auto"/>
            <w:szCs w:val="22"/>
          </w:rPr>
          <w:tab/>
        </w:r>
        <w:r w:rsidR="00F70FB8" w:rsidRPr="00637863">
          <w:rPr>
            <w:rStyle w:val="Hyperlink"/>
            <w:noProof/>
          </w:rPr>
          <w:t>Transferability for exploration costs and reduced uplift</w:t>
        </w:r>
        <w:r w:rsidR="00F70FB8">
          <w:rPr>
            <w:noProof/>
            <w:webHidden/>
          </w:rPr>
          <w:tab/>
        </w:r>
        <w:r w:rsidR="00F70FB8">
          <w:rPr>
            <w:noProof/>
            <w:webHidden/>
          </w:rPr>
          <w:fldChar w:fldCharType="begin"/>
        </w:r>
        <w:r w:rsidR="00F70FB8">
          <w:rPr>
            <w:noProof/>
            <w:webHidden/>
          </w:rPr>
          <w:instrText xml:space="preserve"> PAGEREF _Toc479770653 \h </w:instrText>
        </w:r>
        <w:r w:rsidR="00F70FB8">
          <w:rPr>
            <w:noProof/>
            <w:webHidden/>
          </w:rPr>
        </w:r>
        <w:r w:rsidR="00F70FB8">
          <w:rPr>
            <w:noProof/>
            <w:webHidden/>
          </w:rPr>
          <w:fldChar w:fldCharType="separate"/>
        </w:r>
        <w:r w:rsidR="00836082">
          <w:rPr>
            <w:noProof/>
            <w:webHidden/>
          </w:rPr>
          <w:t>67</w:t>
        </w:r>
        <w:r w:rsidR="00F70FB8">
          <w:rPr>
            <w:noProof/>
            <w:webHidden/>
          </w:rPr>
          <w:fldChar w:fldCharType="end"/>
        </w:r>
      </w:hyperlink>
    </w:p>
    <w:p w14:paraId="2B4C6B26"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54" w:history="1">
        <w:r w:rsidR="00F70FB8" w:rsidRPr="00637863">
          <w:rPr>
            <w:rStyle w:val="Hyperlink"/>
            <w:noProof/>
          </w:rPr>
          <w:t>4.2.3</w:t>
        </w:r>
        <w:r w:rsidR="00F70FB8">
          <w:rPr>
            <w:rFonts w:asciiTheme="minorHAnsi" w:eastAsiaTheme="minorEastAsia" w:hAnsiTheme="minorHAnsi" w:cstheme="minorBidi"/>
            <w:noProof/>
            <w:color w:val="auto"/>
            <w:szCs w:val="22"/>
          </w:rPr>
          <w:tab/>
        </w:r>
        <w:r w:rsidR="00F70FB8" w:rsidRPr="00637863">
          <w:rPr>
            <w:rStyle w:val="Hyperlink"/>
            <w:noProof/>
          </w:rPr>
          <w:t>Petroleum industry view of uplift rates</w:t>
        </w:r>
        <w:r w:rsidR="00F70FB8">
          <w:rPr>
            <w:noProof/>
            <w:webHidden/>
          </w:rPr>
          <w:tab/>
        </w:r>
        <w:r w:rsidR="00F70FB8">
          <w:rPr>
            <w:noProof/>
            <w:webHidden/>
          </w:rPr>
          <w:fldChar w:fldCharType="begin"/>
        </w:r>
        <w:r w:rsidR="00F70FB8">
          <w:rPr>
            <w:noProof/>
            <w:webHidden/>
          </w:rPr>
          <w:instrText xml:space="preserve"> PAGEREF _Toc479770654 \h </w:instrText>
        </w:r>
        <w:r w:rsidR="00F70FB8">
          <w:rPr>
            <w:noProof/>
            <w:webHidden/>
          </w:rPr>
        </w:r>
        <w:r w:rsidR="00F70FB8">
          <w:rPr>
            <w:noProof/>
            <w:webHidden/>
          </w:rPr>
          <w:fldChar w:fldCharType="separate"/>
        </w:r>
        <w:r w:rsidR="00836082">
          <w:rPr>
            <w:noProof/>
            <w:webHidden/>
          </w:rPr>
          <w:t>71</w:t>
        </w:r>
        <w:r w:rsidR="00F70FB8">
          <w:rPr>
            <w:noProof/>
            <w:webHidden/>
          </w:rPr>
          <w:fldChar w:fldCharType="end"/>
        </w:r>
      </w:hyperlink>
    </w:p>
    <w:p w14:paraId="2DB76985"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55" w:history="1">
        <w:r w:rsidR="00F70FB8" w:rsidRPr="00637863">
          <w:rPr>
            <w:rStyle w:val="Hyperlink"/>
            <w:noProof/>
          </w:rPr>
          <w:t>4.2.4</w:t>
        </w:r>
        <w:r w:rsidR="00F70FB8">
          <w:rPr>
            <w:rFonts w:asciiTheme="minorHAnsi" w:eastAsiaTheme="minorEastAsia" w:hAnsiTheme="minorHAnsi" w:cstheme="minorBidi"/>
            <w:noProof/>
            <w:color w:val="auto"/>
            <w:szCs w:val="22"/>
          </w:rPr>
          <w:tab/>
        </w:r>
        <w:r w:rsidR="00F70FB8" w:rsidRPr="00637863">
          <w:rPr>
            <w:rStyle w:val="Hyperlink"/>
            <w:noProof/>
          </w:rPr>
          <w:t>Project risk versus risk of losing deductions</w:t>
        </w:r>
        <w:r w:rsidR="00F70FB8">
          <w:rPr>
            <w:noProof/>
            <w:webHidden/>
          </w:rPr>
          <w:tab/>
        </w:r>
        <w:r w:rsidR="00F70FB8">
          <w:rPr>
            <w:noProof/>
            <w:webHidden/>
          </w:rPr>
          <w:fldChar w:fldCharType="begin"/>
        </w:r>
        <w:r w:rsidR="00F70FB8">
          <w:rPr>
            <w:noProof/>
            <w:webHidden/>
          </w:rPr>
          <w:instrText xml:space="preserve"> PAGEREF _Toc479770655 \h </w:instrText>
        </w:r>
        <w:r w:rsidR="00F70FB8">
          <w:rPr>
            <w:noProof/>
            <w:webHidden/>
          </w:rPr>
        </w:r>
        <w:r w:rsidR="00F70FB8">
          <w:rPr>
            <w:noProof/>
            <w:webHidden/>
          </w:rPr>
          <w:fldChar w:fldCharType="separate"/>
        </w:r>
        <w:r w:rsidR="00836082">
          <w:rPr>
            <w:noProof/>
            <w:webHidden/>
          </w:rPr>
          <w:t>71</w:t>
        </w:r>
        <w:r w:rsidR="00F70FB8">
          <w:rPr>
            <w:noProof/>
            <w:webHidden/>
          </w:rPr>
          <w:fldChar w:fldCharType="end"/>
        </w:r>
      </w:hyperlink>
    </w:p>
    <w:p w14:paraId="7057EF8D"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56" w:history="1">
        <w:r w:rsidR="00F70FB8" w:rsidRPr="00637863">
          <w:rPr>
            <w:rStyle w:val="Hyperlink"/>
            <w:noProof/>
          </w:rPr>
          <w:t>4.2.5</w:t>
        </w:r>
        <w:r w:rsidR="00F70FB8">
          <w:rPr>
            <w:rFonts w:asciiTheme="minorHAnsi" w:eastAsiaTheme="minorEastAsia" w:hAnsiTheme="minorHAnsi" w:cstheme="minorBidi"/>
            <w:noProof/>
            <w:color w:val="auto"/>
            <w:szCs w:val="22"/>
          </w:rPr>
          <w:tab/>
        </w:r>
        <w:r w:rsidR="00F70FB8" w:rsidRPr="00637863">
          <w:rPr>
            <w:rStyle w:val="Hyperlink"/>
            <w:noProof/>
          </w:rPr>
          <w:t>Tax neutrality objectives</w:t>
        </w:r>
        <w:r w:rsidR="00F70FB8">
          <w:rPr>
            <w:noProof/>
            <w:webHidden/>
          </w:rPr>
          <w:tab/>
        </w:r>
        <w:r w:rsidR="00F70FB8">
          <w:rPr>
            <w:noProof/>
            <w:webHidden/>
          </w:rPr>
          <w:fldChar w:fldCharType="begin"/>
        </w:r>
        <w:r w:rsidR="00F70FB8">
          <w:rPr>
            <w:noProof/>
            <w:webHidden/>
          </w:rPr>
          <w:instrText xml:space="preserve"> PAGEREF _Toc479770656 \h </w:instrText>
        </w:r>
        <w:r w:rsidR="00F70FB8">
          <w:rPr>
            <w:noProof/>
            <w:webHidden/>
          </w:rPr>
        </w:r>
        <w:r w:rsidR="00F70FB8">
          <w:rPr>
            <w:noProof/>
            <w:webHidden/>
          </w:rPr>
          <w:fldChar w:fldCharType="separate"/>
        </w:r>
        <w:r w:rsidR="00836082">
          <w:rPr>
            <w:noProof/>
            <w:webHidden/>
          </w:rPr>
          <w:t>72</w:t>
        </w:r>
        <w:r w:rsidR="00F70FB8">
          <w:rPr>
            <w:noProof/>
            <w:webHidden/>
          </w:rPr>
          <w:fldChar w:fldCharType="end"/>
        </w:r>
      </w:hyperlink>
    </w:p>
    <w:p w14:paraId="788DE510"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57" w:history="1">
        <w:r w:rsidR="00F70FB8" w:rsidRPr="00637863">
          <w:rPr>
            <w:rStyle w:val="Hyperlink"/>
            <w:noProof/>
          </w:rPr>
          <w:t>4.3</w:t>
        </w:r>
        <w:r w:rsidR="00F70FB8">
          <w:rPr>
            <w:rFonts w:asciiTheme="minorHAnsi" w:eastAsiaTheme="minorEastAsia" w:hAnsiTheme="minorHAnsi" w:cstheme="minorBidi"/>
            <w:noProof/>
            <w:color w:val="auto"/>
            <w:szCs w:val="22"/>
          </w:rPr>
          <w:tab/>
        </w:r>
        <w:r w:rsidR="00F70FB8" w:rsidRPr="00637863">
          <w:rPr>
            <w:rStyle w:val="Hyperlink"/>
            <w:noProof/>
          </w:rPr>
          <w:t>Transferability of Exploration Expenditure Deductions</w:t>
        </w:r>
        <w:r w:rsidR="00F70FB8">
          <w:rPr>
            <w:noProof/>
            <w:webHidden/>
          </w:rPr>
          <w:tab/>
        </w:r>
        <w:r w:rsidR="00F70FB8">
          <w:rPr>
            <w:noProof/>
            <w:webHidden/>
          </w:rPr>
          <w:fldChar w:fldCharType="begin"/>
        </w:r>
        <w:r w:rsidR="00F70FB8">
          <w:rPr>
            <w:noProof/>
            <w:webHidden/>
          </w:rPr>
          <w:instrText xml:space="preserve"> PAGEREF _Toc479770657 \h </w:instrText>
        </w:r>
        <w:r w:rsidR="00F70FB8">
          <w:rPr>
            <w:noProof/>
            <w:webHidden/>
          </w:rPr>
        </w:r>
        <w:r w:rsidR="00F70FB8">
          <w:rPr>
            <w:noProof/>
            <w:webHidden/>
          </w:rPr>
          <w:fldChar w:fldCharType="separate"/>
        </w:r>
        <w:r w:rsidR="00836082">
          <w:rPr>
            <w:noProof/>
            <w:webHidden/>
          </w:rPr>
          <w:t>73</w:t>
        </w:r>
        <w:r w:rsidR="00F70FB8">
          <w:rPr>
            <w:noProof/>
            <w:webHidden/>
          </w:rPr>
          <w:fldChar w:fldCharType="end"/>
        </w:r>
      </w:hyperlink>
    </w:p>
    <w:p w14:paraId="769985C7"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58" w:history="1">
        <w:r w:rsidR="00F70FB8" w:rsidRPr="00637863">
          <w:rPr>
            <w:rStyle w:val="Hyperlink"/>
            <w:noProof/>
          </w:rPr>
          <w:t>4.4</w:t>
        </w:r>
        <w:r w:rsidR="00F70FB8">
          <w:rPr>
            <w:rFonts w:asciiTheme="minorHAnsi" w:eastAsiaTheme="minorEastAsia" w:hAnsiTheme="minorHAnsi" w:cstheme="minorBidi"/>
            <w:noProof/>
            <w:color w:val="auto"/>
            <w:szCs w:val="22"/>
          </w:rPr>
          <w:tab/>
        </w:r>
        <w:r w:rsidR="00F70FB8" w:rsidRPr="00637863">
          <w:rPr>
            <w:rStyle w:val="Hyperlink"/>
            <w:noProof/>
          </w:rPr>
          <w:t>Ordering of Deductions</w:t>
        </w:r>
        <w:r w:rsidR="00F70FB8">
          <w:rPr>
            <w:noProof/>
            <w:webHidden/>
          </w:rPr>
          <w:tab/>
        </w:r>
        <w:r w:rsidR="00F70FB8">
          <w:rPr>
            <w:noProof/>
            <w:webHidden/>
          </w:rPr>
          <w:fldChar w:fldCharType="begin"/>
        </w:r>
        <w:r w:rsidR="00F70FB8">
          <w:rPr>
            <w:noProof/>
            <w:webHidden/>
          </w:rPr>
          <w:instrText xml:space="preserve"> PAGEREF _Toc479770658 \h </w:instrText>
        </w:r>
        <w:r w:rsidR="00F70FB8">
          <w:rPr>
            <w:noProof/>
            <w:webHidden/>
          </w:rPr>
        </w:r>
        <w:r w:rsidR="00F70FB8">
          <w:rPr>
            <w:noProof/>
            <w:webHidden/>
          </w:rPr>
          <w:fldChar w:fldCharType="separate"/>
        </w:r>
        <w:r w:rsidR="00836082">
          <w:rPr>
            <w:noProof/>
            <w:webHidden/>
          </w:rPr>
          <w:t>76</w:t>
        </w:r>
        <w:r w:rsidR="00F70FB8">
          <w:rPr>
            <w:noProof/>
            <w:webHidden/>
          </w:rPr>
          <w:fldChar w:fldCharType="end"/>
        </w:r>
      </w:hyperlink>
    </w:p>
    <w:p w14:paraId="7AAE23F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59" w:history="1">
        <w:r w:rsidR="00F70FB8" w:rsidRPr="00637863">
          <w:rPr>
            <w:rStyle w:val="Hyperlink"/>
            <w:noProof/>
          </w:rPr>
          <w:t>4.4.1</w:t>
        </w:r>
        <w:r w:rsidR="00F70FB8">
          <w:rPr>
            <w:rFonts w:asciiTheme="minorHAnsi" w:eastAsiaTheme="minorEastAsia" w:hAnsiTheme="minorHAnsi" w:cstheme="minorBidi"/>
            <w:noProof/>
            <w:color w:val="auto"/>
            <w:szCs w:val="22"/>
          </w:rPr>
          <w:tab/>
        </w:r>
        <w:r w:rsidR="00F70FB8" w:rsidRPr="00637863">
          <w:rPr>
            <w:rStyle w:val="Hyperlink"/>
            <w:noProof/>
          </w:rPr>
          <w:t>Further changes to the ordering of deductions</w:t>
        </w:r>
        <w:r w:rsidR="00F70FB8">
          <w:rPr>
            <w:noProof/>
            <w:webHidden/>
          </w:rPr>
          <w:tab/>
        </w:r>
        <w:r w:rsidR="00F70FB8">
          <w:rPr>
            <w:noProof/>
            <w:webHidden/>
          </w:rPr>
          <w:fldChar w:fldCharType="begin"/>
        </w:r>
        <w:r w:rsidR="00F70FB8">
          <w:rPr>
            <w:noProof/>
            <w:webHidden/>
          </w:rPr>
          <w:instrText xml:space="preserve"> PAGEREF _Toc479770659 \h </w:instrText>
        </w:r>
        <w:r w:rsidR="00F70FB8">
          <w:rPr>
            <w:noProof/>
            <w:webHidden/>
          </w:rPr>
        </w:r>
        <w:r w:rsidR="00F70FB8">
          <w:rPr>
            <w:noProof/>
            <w:webHidden/>
          </w:rPr>
          <w:fldChar w:fldCharType="separate"/>
        </w:r>
        <w:r w:rsidR="00836082">
          <w:rPr>
            <w:noProof/>
            <w:webHidden/>
          </w:rPr>
          <w:t>76</w:t>
        </w:r>
        <w:r w:rsidR="00F70FB8">
          <w:rPr>
            <w:noProof/>
            <w:webHidden/>
          </w:rPr>
          <w:fldChar w:fldCharType="end"/>
        </w:r>
      </w:hyperlink>
    </w:p>
    <w:p w14:paraId="05A5D01D"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60" w:history="1">
        <w:r w:rsidR="00F70FB8" w:rsidRPr="00637863">
          <w:rPr>
            <w:rStyle w:val="Hyperlink"/>
            <w:noProof/>
          </w:rPr>
          <w:t>4.4.2</w:t>
        </w:r>
        <w:r w:rsidR="00F70FB8">
          <w:rPr>
            <w:rFonts w:asciiTheme="minorHAnsi" w:eastAsiaTheme="minorEastAsia" w:hAnsiTheme="minorHAnsi" w:cstheme="minorBidi"/>
            <w:noProof/>
            <w:color w:val="auto"/>
            <w:szCs w:val="22"/>
          </w:rPr>
          <w:tab/>
        </w:r>
        <w:r w:rsidR="00F70FB8" w:rsidRPr="00637863">
          <w:rPr>
            <w:rStyle w:val="Hyperlink"/>
            <w:noProof/>
          </w:rPr>
          <w:t>Possible changes to ordering arrangements</w:t>
        </w:r>
        <w:r w:rsidR="00F70FB8">
          <w:rPr>
            <w:noProof/>
            <w:webHidden/>
          </w:rPr>
          <w:tab/>
        </w:r>
        <w:r w:rsidR="00F70FB8">
          <w:rPr>
            <w:noProof/>
            <w:webHidden/>
          </w:rPr>
          <w:fldChar w:fldCharType="begin"/>
        </w:r>
        <w:r w:rsidR="00F70FB8">
          <w:rPr>
            <w:noProof/>
            <w:webHidden/>
          </w:rPr>
          <w:instrText xml:space="preserve"> PAGEREF _Toc479770660 \h </w:instrText>
        </w:r>
        <w:r w:rsidR="00F70FB8">
          <w:rPr>
            <w:noProof/>
            <w:webHidden/>
          </w:rPr>
        </w:r>
        <w:r w:rsidR="00F70FB8">
          <w:rPr>
            <w:noProof/>
            <w:webHidden/>
          </w:rPr>
          <w:fldChar w:fldCharType="separate"/>
        </w:r>
        <w:r w:rsidR="00836082">
          <w:rPr>
            <w:noProof/>
            <w:webHidden/>
          </w:rPr>
          <w:t>78</w:t>
        </w:r>
        <w:r w:rsidR="00F70FB8">
          <w:rPr>
            <w:noProof/>
            <w:webHidden/>
          </w:rPr>
          <w:fldChar w:fldCharType="end"/>
        </w:r>
      </w:hyperlink>
    </w:p>
    <w:p w14:paraId="452D89E1"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61" w:history="1">
        <w:r w:rsidR="00F70FB8" w:rsidRPr="00637863">
          <w:rPr>
            <w:rStyle w:val="Hyperlink"/>
            <w:noProof/>
          </w:rPr>
          <w:t>4.5</w:t>
        </w:r>
        <w:r w:rsidR="00F70FB8">
          <w:rPr>
            <w:rFonts w:asciiTheme="minorHAnsi" w:eastAsiaTheme="minorEastAsia" w:hAnsiTheme="minorHAnsi" w:cstheme="minorBidi"/>
            <w:noProof/>
            <w:color w:val="auto"/>
            <w:szCs w:val="22"/>
          </w:rPr>
          <w:tab/>
        </w:r>
        <w:r w:rsidR="00F70FB8" w:rsidRPr="00637863">
          <w:rPr>
            <w:rStyle w:val="Hyperlink"/>
            <w:noProof/>
          </w:rPr>
          <w:t>Stockpile of Deductible Expenditure</w:t>
        </w:r>
        <w:r w:rsidR="00F70FB8">
          <w:rPr>
            <w:noProof/>
            <w:webHidden/>
          </w:rPr>
          <w:tab/>
        </w:r>
        <w:r w:rsidR="00F70FB8">
          <w:rPr>
            <w:noProof/>
            <w:webHidden/>
          </w:rPr>
          <w:fldChar w:fldCharType="begin"/>
        </w:r>
        <w:r w:rsidR="00F70FB8">
          <w:rPr>
            <w:noProof/>
            <w:webHidden/>
          </w:rPr>
          <w:instrText xml:space="preserve"> PAGEREF _Toc479770661 \h </w:instrText>
        </w:r>
        <w:r w:rsidR="00F70FB8">
          <w:rPr>
            <w:noProof/>
            <w:webHidden/>
          </w:rPr>
        </w:r>
        <w:r w:rsidR="00F70FB8">
          <w:rPr>
            <w:noProof/>
            <w:webHidden/>
          </w:rPr>
          <w:fldChar w:fldCharType="separate"/>
        </w:r>
        <w:r w:rsidR="00836082">
          <w:rPr>
            <w:noProof/>
            <w:webHidden/>
          </w:rPr>
          <w:t>80</w:t>
        </w:r>
        <w:r w:rsidR="00F70FB8">
          <w:rPr>
            <w:noProof/>
            <w:webHidden/>
          </w:rPr>
          <w:fldChar w:fldCharType="end"/>
        </w:r>
      </w:hyperlink>
    </w:p>
    <w:p w14:paraId="7F0F500E"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62" w:history="1">
        <w:r w:rsidR="00F70FB8" w:rsidRPr="00637863">
          <w:rPr>
            <w:rStyle w:val="Hyperlink"/>
            <w:noProof/>
          </w:rPr>
          <w:t>4.6</w:t>
        </w:r>
        <w:r w:rsidR="00F70FB8">
          <w:rPr>
            <w:rFonts w:asciiTheme="minorHAnsi" w:eastAsiaTheme="minorEastAsia" w:hAnsiTheme="minorHAnsi" w:cstheme="minorBidi"/>
            <w:noProof/>
            <w:color w:val="auto"/>
            <w:szCs w:val="22"/>
          </w:rPr>
          <w:tab/>
        </w:r>
        <w:r w:rsidR="00F70FB8" w:rsidRPr="00637863">
          <w:rPr>
            <w:rStyle w:val="Hyperlink"/>
            <w:noProof/>
          </w:rPr>
          <w:t>Resource Tax Expenditure</w:t>
        </w:r>
        <w:r w:rsidR="00F70FB8">
          <w:rPr>
            <w:noProof/>
            <w:webHidden/>
          </w:rPr>
          <w:tab/>
        </w:r>
        <w:r w:rsidR="00F70FB8">
          <w:rPr>
            <w:noProof/>
            <w:webHidden/>
          </w:rPr>
          <w:fldChar w:fldCharType="begin"/>
        </w:r>
        <w:r w:rsidR="00F70FB8">
          <w:rPr>
            <w:noProof/>
            <w:webHidden/>
          </w:rPr>
          <w:instrText xml:space="preserve"> PAGEREF _Toc479770662 \h </w:instrText>
        </w:r>
        <w:r w:rsidR="00F70FB8">
          <w:rPr>
            <w:noProof/>
            <w:webHidden/>
          </w:rPr>
        </w:r>
        <w:r w:rsidR="00F70FB8">
          <w:rPr>
            <w:noProof/>
            <w:webHidden/>
          </w:rPr>
          <w:fldChar w:fldCharType="separate"/>
        </w:r>
        <w:r w:rsidR="00836082">
          <w:rPr>
            <w:noProof/>
            <w:webHidden/>
          </w:rPr>
          <w:t>81</w:t>
        </w:r>
        <w:r w:rsidR="00F70FB8">
          <w:rPr>
            <w:noProof/>
            <w:webHidden/>
          </w:rPr>
          <w:fldChar w:fldCharType="end"/>
        </w:r>
      </w:hyperlink>
    </w:p>
    <w:p w14:paraId="097F28B1"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63" w:history="1">
        <w:r w:rsidR="00F70FB8" w:rsidRPr="00637863">
          <w:rPr>
            <w:rStyle w:val="Hyperlink"/>
            <w:noProof/>
          </w:rPr>
          <w:t>4.7</w:t>
        </w:r>
        <w:r w:rsidR="00F70FB8">
          <w:rPr>
            <w:rFonts w:asciiTheme="minorHAnsi" w:eastAsiaTheme="minorEastAsia" w:hAnsiTheme="minorHAnsi" w:cstheme="minorBidi"/>
            <w:noProof/>
            <w:color w:val="auto"/>
            <w:szCs w:val="22"/>
          </w:rPr>
          <w:tab/>
        </w:r>
        <w:r w:rsidR="00F70FB8" w:rsidRPr="00637863">
          <w:rPr>
            <w:rStyle w:val="Hyperlink"/>
            <w:noProof/>
          </w:rPr>
          <w:t>Transitioning Arrangements for 2012 PRRT Extension</w:t>
        </w:r>
        <w:r w:rsidR="00F70FB8">
          <w:rPr>
            <w:noProof/>
            <w:webHidden/>
          </w:rPr>
          <w:tab/>
        </w:r>
        <w:r w:rsidR="00F70FB8">
          <w:rPr>
            <w:noProof/>
            <w:webHidden/>
          </w:rPr>
          <w:fldChar w:fldCharType="begin"/>
        </w:r>
        <w:r w:rsidR="00F70FB8">
          <w:rPr>
            <w:noProof/>
            <w:webHidden/>
          </w:rPr>
          <w:instrText xml:space="preserve"> PAGEREF _Toc479770663 \h </w:instrText>
        </w:r>
        <w:r w:rsidR="00F70FB8">
          <w:rPr>
            <w:noProof/>
            <w:webHidden/>
          </w:rPr>
        </w:r>
        <w:r w:rsidR="00F70FB8">
          <w:rPr>
            <w:noProof/>
            <w:webHidden/>
          </w:rPr>
          <w:fldChar w:fldCharType="separate"/>
        </w:r>
        <w:r w:rsidR="00836082">
          <w:rPr>
            <w:noProof/>
            <w:webHidden/>
          </w:rPr>
          <w:t>82</w:t>
        </w:r>
        <w:r w:rsidR="00F70FB8">
          <w:rPr>
            <w:noProof/>
            <w:webHidden/>
          </w:rPr>
          <w:fldChar w:fldCharType="end"/>
        </w:r>
      </w:hyperlink>
    </w:p>
    <w:p w14:paraId="6E48CEA9"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64" w:history="1">
        <w:r w:rsidR="00F70FB8" w:rsidRPr="00637863">
          <w:rPr>
            <w:rStyle w:val="Hyperlink"/>
            <w:noProof/>
          </w:rPr>
          <w:t>4.7.1</w:t>
        </w:r>
        <w:r w:rsidR="00F70FB8">
          <w:rPr>
            <w:rFonts w:asciiTheme="minorHAnsi" w:eastAsiaTheme="minorEastAsia" w:hAnsiTheme="minorHAnsi" w:cstheme="minorBidi"/>
            <w:noProof/>
            <w:color w:val="auto"/>
            <w:szCs w:val="22"/>
          </w:rPr>
          <w:tab/>
        </w:r>
        <w:r w:rsidR="00F70FB8" w:rsidRPr="00637863">
          <w:rPr>
            <w:rStyle w:val="Hyperlink"/>
            <w:noProof/>
          </w:rPr>
          <w:t>The starting base as a deferred tax asset</w:t>
        </w:r>
        <w:r w:rsidR="00F70FB8">
          <w:rPr>
            <w:noProof/>
            <w:webHidden/>
          </w:rPr>
          <w:tab/>
        </w:r>
        <w:r w:rsidR="00F70FB8">
          <w:rPr>
            <w:noProof/>
            <w:webHidden/>
          </w:rPr>
          <w:fldChar w:fldCharType="begin"/>
        </w:r>
        <w:r w:rsidR="00F70FB8">
          <w:rPr>
            <w:noProof/>
            <w:webHidden/>
          </w:rPr>
          <w:instrText xml:space="preserve"> PAGEREF _Toc479770664 \h </w:instrText>
        </w:r>
        <w:r w:rsidR="00F70FB8">
          <w:rPr>
            <w:noProof/>
            <w:webHidden/>
          </w:rPr>
        </w:r>
        <w:r w:rsidR="00F70FB8">
          <w:rPr>
            <w:noProof/>
            <w:webHidden/>
          </w:rPr>
          <w:fldChar w:fldCharType="separate"/>
        </w:r>
        <w:r w:rsidR="00836082">
          <w:rPr>
            <w:noProof/>
            <w:webHidden/>
          </w:rPr>
          <w:t>82</w:t>
        </w:r>
        <w:r w:rsidR="00F70FB8">
          <w:rPr>
            <w:noProof/>
            <w:webHidden/>
          </w:rPr>
          <w:fldChar w:fldCharType="end"/>
        </w:r>
      </w:hyperlink>
    </w:p>
    <w:p w14:paraId="7A2D2AB8"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65" w:history="1">
        <w:r w:rsidR="00F70FB8" w:rsidRPr="00637863">
          <w:rPr>
            <w:rStyle w:val="Hyperlink"/>
            <w:noProof/>
          </w:rPr>
          <w:t>4.7.2</w:t>
        </w:r>
        <w:r w:rsidR="00F70FB8">
          <w:rPr>
            <w:rFonts w:asciiTheme="minorHAnsi" w:eastAsiaTheme="minorEastAsia" w:hAnsiTheme="minorHAnsi" w:cstheme="minorBidi"/>
            <w:noProof/>
            <w:color w:val="auto"/>
            <w:szCs w:val="22"/>
          </w:rPr>
          <w:tab/>
        </w:r>
        <w:r w:rsidR="00F70FB8" w:rsidRPr="00637863">
          <w:rPr>
            <w:rStyle w:val="Hyperlink"/>
            <w:noProof/>
          </w:rPr>
          <w:t>Combining projects</w:t>
        </w:r>
        <w:r w:rsidR="00F70FB8">
          <w:rPr>
            <w:noProof/>
            <w:webHidden/>
          </w:rPr>
          <w:tab/>
        </w:r>
        <w:r w:rsidR="00F70FB8">
          <w:rPr>
            <w:noProof/>
            <w:webHidden/>
          </w:rPr>
          <w:fldChar w:fldCharType="begin"/>
        </w:r>
        <w:r w:rsidR="00F70FB8">
          <w:rPr>
            <w:noProof/>
            <w:webHidden/>
          </w:rPr>
          <w:instrText xml:space="preserve"> PAGEREF _Toc479770665 \h </w:instrText>
        </w:r>
        <w:r w:rsidR="00F70FB8">
          <w:rPr>
            <w:noProof/>
            <w:webHidden/>
          </w:rPr>
        </w:r>
        <w:r w:rsidR="00F70FB8">
          <w:rPr>
            <w:noProof/>
            <w:webHidden/>
          </w:rPr>
          <w:fldChar w:fldCharType="separate"/>
        </w:r>
        <w:r w:rsidR="00836082">
          <w:rPr>
            <w:noProof/>
            <w:webHidden/>
          </w:rPr>
          <w:t>85</w:t>
        </w:r>
        <w:r w:rsidR="00F70FB8">
          <w:rPr>
            <w:noProof/>
            <w:webHidden/>
          </w:rPr>
          <w:fldChar w:fldCharType="end"/>
        </w:r>
      </w:hyperlink>
    </w:p>
    <w:p w14:paraId="31CCC251"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66" w:history="1">
        <w:r w:rsidR="00F70FB8" w:rsidRPr="00637863">
          <w:rPr>
            <w:rStyle w:val="Hyperlink"/>
            <w:noProof/>
          </w:rPr>
          <w:t>4.8</w:t>
        </w:r>
        <w:r w:rsidR="00F70FB8">
          <w:rPr>
            <w:rFonts w:asciiTheme="minorHAnsi" w:eastAsiaTheme="minorEastAsia" w:hAnsiTheme="minorHAnsi" w:cstheme="minorBidi"/>
            <w:noProof/>
            <w:color w:val="auto"/>
            <w:szCs w:val="22"/>
          </w:rPr>
          <w:tab/>
        </w:r>
        <w:r w:rsidR="00F70FB8" w:rsidRPr="00637863">
          <w:rPr>
            <w:rStyle w:val="Hyperlink"/>
            <w:noProof/>
          </w:rPr>
          <w:t>Closing Down Expenditure</w:t>
        </w:r>
        <w:r w:rsidR="00F70FB8">
          <w:rPr>
            <w:noProof/>
            <w:webHidden/>
          </w:rPr>
          <w:tab/>
        </w:r>
        <w:r w:rsidR="00F70FB8">
          <w:rPr>
            <w:noProof/>
            <w:webHidden/>
          </w:rPr>
          <w:fldChar w:fldCharType="begin"/>
        </w:r>
        <w:r w:rsidR="00F70FB8">
          <w:rPr>
            <w:noProof/>
            <w:webHidden/>
          </w:rPr>
          <w:instrText xml:space="preserve"> PAGEREF _Toc479770666 \h </w:instrText>
        </w:r>
        <w:r w:rsidR="00F70FB8">
          <w:rPr>
            <w:noProof/>
            <w:webHidden/>
          </w:rPr>
        </w:r>
        <w:r w:rsidR="00F70FB8">
          <w:rPr>
            <w:noProof/>
            <w:webHidden/>
          </w:rPr>
          <w:fldChar w:fldCharType="separate"/>
        </w:r>
        <w:r w:rsidR="00836082">
          <w:rPr>
            <w:noProof/>
            <w:webHidden/>
          </w:rPr>
          <w:t>85</w:t>
        </w:r>
        <w:r w:rsidR="00F70FB8">
          <w:rPr>
            <w:noProof/>
            <w:webHidden/>
          </w:rPr>
          <w:fldChar w:fldCharType="end"/>
        </w:r>
      </w:hyperlink>
    </w:p>
    <w:p w14:paraId="17475F7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67" w:history="1">
        <w:r w:rsidR="00F70FB8" w:rsidRPr="00637863">
          <w:rPr>
            <w:rStyle w:val="Hyperlink"/>
            <w:noProof/>
            <w:lang w:val="en"/>
          </w:rPr>
          <w:t>4.8.1</w:t>
        </w:r>
        <w:r w:rsidR="00F70FB8">
          <w:rPr>
            <w:rFonts w:asciiTheme="minorHAnsi" w:eastAsiaTheme="minorEastAsia" w:hAnsiTheme="minorHAnsi" w:cstheme="minorBidi"/>
            <w:noProof/>
            <w:color w:val="auto"/>
            <w:szCs w:val="22"/>
          </w:rPr>
          <w:tab/>
        </w:r>
        <w:r w:rsidR="00F70FB8" w:rsidRPr="00637863">
          <w:rPr>
            <w:rStyle w:val="Hyperlink"/>
            <w:noProof/>
            <w:lang w:val="en"/>
          </w:rPr>
          <w:t>Opposition to the PRRT closing down credit</w:t>
        </w:r>
        <w:r w:rsidR="00F70FB8">
          <w:rPr>
            <w:noProof/>
            <w:webHidden/>
          </w:rPr>
          <w:tab/>
        </w:r>
        <w:r w:rsidR="00F70FB8">
          <w:rPr>
            <w:noProof/>
            <w:webHidden/>
          </w:rPr>
          <w:fldChar w:fldCharType="begin"/>
        </w:r>
        <w:r w:rsidR="00F70FB8">
          <w:rPr>
            <w:noProof/>
            <w:webHidden/>
          </w:rPr>
          <w:instrText xml:space="preserve"> PAGEREF _Toc479770667 \h </w:instrText>
        </w:r>
        <w:r w:rsidR="00F70FB8">
          <w:rPr>
            <w:noProof/>
            <w:webHidden/>
          </w:rPr>
        </w:r>
        <w:r w:rsidR="00F70FB8">
          <w:rPr>
            <w:noProof/>
            <w:webHidden/>
          </w:rPr>
          <w:fldChar w:fldCharType="separate"/>
        </w:r>
        <w:r w:rsidR="00836082">
          <w:rPr>
            <w:noProof/>
            <w:webHidden/>
          </w:rPr>
          <w:t>86</w:t>
        </w:r>
        <w:r w:rsidR="00F70FB8">
          <w:rPr>
            <w:noProof/>
            <w:webHidden/>
          </w:rPr>
          <w:fldChar w:fldCharType="end"/>
        </w:r>
      </w:hyperlink>
    </w:p>
    <w:p w14:paraId="2825268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68" w:history="1">
        <w:r w:rsidR="00F70FB8" w:rsidRPr="00637863">
          <w:rPr>
            <w:rStyle w:val="Hyperlink"/>
            <w:noProof/>
          </w:rPr>
          <w:t>4.8.2</w:t>
        </w:r>
        <w:r w:rsidR="00F70FB8">
          <w:rPr>
            <w:rFonts w:asciiTheme="minorHAnsi" w:eastAsiaTheme="minorEastAsia" w:hAnsiTheme="minorHAnsi" w:cstheme="minorBidi"/>
            <w:noProof/>
            <w:color w:val="auto"/>
            <w:szCs w:val="22"/>
          </w:rPr>
          <w:tab/>
        </w:r>
        <w:r w:rsidR="00F70FB8" w:rsidRPr="00637863">
          <w:rPr>
            <w:rStyle w:val="Hyperlink"/>
            <w:noProof/>
          </w:rPr>
          <w:t>Guidance on project decommissioning</w:t>
        </w:r>
        <w:r w:rsidR="00F70FB8">
          <w:rPr>
            <w:noProof/>
            <w:webHidden/>
          </w:rPr>
          <w:tab/>
        </w:r>
        <w:r w:rsidR="00F70FB8">
          <w:rPr>
            <w:noProof/>
            <w:webHidden/>
          </w:rPr>
          <w:fldChar w:fldCharType="begin"/>
        </w:r>
        <w:r w:rsidR="00F70FB8">
          <w:rPr>
            <w:noProof/>
            <w:webHidden/>
          </w:rPr>
          <w:instrText xml:space="preserve"> PAGEREF _Toc479770668 \h </w:instrText>
        </w:r>
        <w:r w:rsidR="00F70FB8">
          <w:rPr>
            <w:noProof/>
            <w:webHidden/>
          </w:rPr>
        </w:r>
        <w:r w:rsidR="00F70FB8">
          <w:rPr>
            <w:noProof/>
            <w:webHidden/>
          </w:rPr>
          <w:fldChar w:fldCharType="separate"/>
        </w:r>
        <w:r w:rsidR="00836082">
          <w:rPr>
            <w:noProof/>
            <w:webHidden/>
          </w:rPr>
          <w:t>86</w:t>
        </w:r>
        <w:r w:rsidR="00F70FB8">
          <w:rPr>
            <w:noProof/>
            <w:webHidden/>
          </w:rPr>
          <w:fldChar w:fldCharType="end"/>
        </w:r>
      </w:hyperlink>
    </w:p>
    <w:p w14:paraId="3442DC09"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69" w:history="1">
        <w:r w:rsidR="00F70FB8" w:rsidRPr="00637863">
          <w:rPr>
            <w:rStyle w:val="Hyperlink"/>
            <w:noProof/>
            <w:lang w:val="en"/>
          </w:rPr>
          <w:t>4.8.3</w:t>
        </w:r>
        <w:r w:rsidR="00F70FB8">
          <w:rPr>
            <w:rFonts w:asciiTheme="minorHAnsi" w:eastAsiaTheme="minorEastAsia" w:hAnsiTheme="minorHAnsi" w:cstheme="minorBidi"/>
            <w:noProof/>
            <w:color w:val="auto"/>
            <w:szCs w:val="22"/>
          </w:rPr>
          <w:tab/>
        </w:r>
        <w:r w:rsidR="00F70FB8" w:rsidRPr="00637863">
          <w:rPr>
            <w:rStyle w:val="Hyperlink"/>
            <w:noProof/>
            <w:lang w:val="en"/>
          </w:rPr>
          <w:t>Partial closing down costs</w:t>
        </w:r>
        <w:r w:rsidR="00F70FB8">
          <w:rPr>
            <w:noProof/>
            <w:webHidden/>
          </w:rPr>
          <w:tab/>
        </w:r>
        <w:r w:rsidR="00F70FB8">
          <w:rPr>
            <w:noProof/>
            <w:webHidden/>
          </w:rPr>
          <w:fldChar w:fldCharType="begin"/>
        </w:r>
        <w:r w:rsidR="00F70FB8">
          <w:rPr>
            <w:noProof/>
            <w:webHidden/>
          </w:rPr>
          <w:instrText xml:space="preserve"> PAGEREF _Toc479770669 \h </w:instrText>
        </w:r>
        <w:r w:rsidR="00F70FB8">
          <w:rPr>
            <w:noProof/>
            <w:webHidden/>
          </w:rPr>
        </w:r>
        <w:r w:rsidR="00F70FB8">
          <w:rPr>
            <w:noProof/>
            <w:webHidden/>
          </w:rPr>
          <w:fldChar w:fldCharType="separate"/>
        </w:r>
        <w:r w:rsidR="00836082">
          <w:rPr>
            <w:noProof/>
            <w:webHidden/>
          </w:rPr>
          <w:t>87</w:t>
        </w:r>
        <w:r w:rsidR="00F70FB8">
          <w:rPr>
            <w:noProof/>
            <w:webHidden/>
          </w:rPr>
          <w:fldChar w:fldCharType="end"/>
        </w:r>
      </w:hyperlink>
    </w:p>
    <w:p w14:paraId="04000F74"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70" w:history="1">
        <w:r w:rsidR="00F70FB8" w:rsidRPr="00637863">
          <w:rPr>
            <w:rStyle w:val="Hyperlink"/>
            <w:noProof/>
          </w:rPr>
          <w:t>4.9</w:t>
        </w:r>
        <w:r w:rsidR="00F70FB8">
          <w:rPr>
            <w:rFonts w:asciiTheme="minorHAnsi" w:eastAsiaTheme="minorEastAsia" w:hAnsiTheme="minorHAnsi" w:cstheme="minorBidi"/>
            <w:noProof/>
            <w:color w:val="auto"/>
            <w:szCs w:val="22"/>
          </w:rPr>
          <w:tab/>
        </w:r>
        <w:r w:rsidR="00F70FB8" w:rsidRPr="00637863">
          <w:rPr>
            <w:rStyle w:val="Hyperlink"/>
            <w:noProof/>
          </w:rPr>
          <w:t>Gas Transfer Pricing</w:t>
        </w:r>
        <w:r w:rsidR="00F70FB8">
          <w:rPr>
            <w:noProof/>
            <w:webHidden/>
          </w:rPr>
          <w:tab/>
        </w:r>
        <w:r w:rsidR="00F70FB8">
          <w:rPr>
            <w:noProof/>
            <w:webHidden/>
          </w:rPr>
          <w:fldChar w:fldCharType="begin"/>
        </w:r>
        <w:r w:rsidR="00F70FB8">
          <w:rPr>
            <w:noProof/>
            <w:webHidden/>
          </w:rPr>
          <w:instrText xml:space="preserve"> PAGEREF _Toc479770670 \h </w:instrText>
        </w:r>
        <w:r w:rsidR="00F70FB8">
          <w:rPr>
            <w:noProof/>
            <w:webHidden/>
          </w:rPr>
        </w:r>
        <w:r w:rsidR="00F70FB8">
          <w:rPr>
            <w:noProof/>
            <w:webHidden/>
          </w:rPr>
          <w:fldChar w:fldCharType="separate"/>
        </w:r>
        <w:r w:rsidR="00836082">
          <w:rPr>
            <w:noProof/>
            <w:webHidden/>
          </w:rPr>
          <w:t>88</w:t>
        </w:r>
        <w:r w:rsidR="00F70FB8">
          <w:rPr>
            <w:noProof/>
            <w:webHidden/>
          </w:rPr>
          <w:fldChar w:fldCharType="end"/>
        </w:r>
      </w:hyperlink>
    </w:p>
    <w:p w14:paraId="115D81E0"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1" w:history="1">
        <w:r w:rsidR="00F70FB8" w:rsidRPr="00637863">
          <w:rPr>
            <w:rStyle w:val="Hyperlink"/>
            <w:noProof/>
          </w:rPr>
          <w:t>4.9.1</w:t>
        </w:r>
        <w:r w:rsidR="00F70FB8">
          <w:rPr>
            <w:rFonts w:asciiTheme="minorHAnsi" w:eastAsiaTheme="minorEastAsia" w:hAnsiTheme="minorHAnsi" w:cstheme="minorBidi"/>
            <w:noProof/>
            <w:color w:val="auto"/>
            <w:szCs w:val="22"/>
          </w:rPr>
          <w:tab/>
        </w:r>
        <w:r w:rsidR="00F70FB8" w:rsidRPr="00637863">
          <w:rPr>
            <w:rStyle w:val="Hyperlink"/>
            <w:noProof/>
          </w:rPr>
          <w:t>Issues raised on gas transfer pricing</w:t>
        </w:r>
        <w:r w:rsidR="00F70FB8">
          <w:rPr>
            <w:noProof/>
            <w:webHidden/>
          </w:rPr>
          <w:tab/>
        </w:r>
        <w:r w:rsidR="00F70FB8">
          <w:rPr>
            <w:noProof/>
            <w:webHidden/>
          </w:rPr>
          <w:fldChar w:fldCharType="begin"/>
        </w:r>
        <w:r w:rsidR="00F70FB8">
          <w:rPr>
            <w:noProof/>
            <w:webHidden/>
          </w:rPr>
          <w:instrText xml:space="preserve"> PAGEREF _Toc479770671 \h </w:instrText>
        </w:r>
        <w:r w:rsidR="00F70FB8">
          <w:rPr>
            <w:noProof/>
            <w:webHidden/>
          </w:rPr>
        </w:r>
        <w:r w:rsidR="00F70FB8">
          <w:rPr>
            <w:noProof/>
            <w:webHidden/>
          </w:rPr>
          <w:fldChar w:fldCharType="separate"/>
        </w:r>
        <w:r w:rsidR="00836082">
          <w:rPr>
            <w:noProof/>
            <w:webHidden/>
          </w:rPr>
          <w:t>89</w:t>
        </w:r>
        <w:r w:rsidR="00F70FB8">
          <w:rPr>
            <w:noProof/>
            <w:webHidden/>
          </w:rPr>
          <w:fldChar w:fldCharType="end"/>
        </w:r>
      </w:hyperlink>
    </w:p>
    <w:p w14:paraId="4B4C32B6"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2" w:history="1">
        <w:r w:rsidR="00F70FB8" w:rsidRPr="00637863">
          <w:rPr>
            <w:rStyle w:val="Hyperlink"/>
            <w:noProof/>
          </w:rPr>
          <w:t>4.9.2</w:t>
        </w:r>
        <w:r w:rsidR="00F70FB8">
          <w:rPr>
            <w:rFonts w:asciiTheme="minorHAnsi" w:eastAsiaTheme="minorEastAsia" w:hAnsiTheme="minorHAnsi" w:cstheme="minorBidi"/>
            <w:noProof/>
            <w:color w:val="auto"/>
            <w:szCs w:val="22"/>
          </w:rPr>
          <w:tab/>
        </w:r>
        <w:r w:rsidR="00F70FB8" w:rsidRPr="00637863">
          <w:rPr>
            <w:rStyle w:val="Hyperlink"/>
            <w:noProof/>
          </w:rPr>
          <w:t>Preferred approach to arm’s length pricing</w:t>
        </w:r>
        <w:r w:rsidR="00F70FB8">
          <w:rPr>
            <w:noProof/>
            <w:webHidden/>
          </w:rPr>
          <w:tab/>
        </w:r>
        <w:r w:rsidR="00F70FB8">
          <w:rPr>
            <w:noProof/>
            <w:webHidden/>
          </w:rPr>
          <w:fldChar w:fldCharType="begin"/>
        </w:r>
        <w:r w:rsidR="00F70FB8">
          <w:rPr>
            <w:noProof/>
            <w:webHidden/>
          </w:rPr>
          <w:instrText xml:space="preserve"> PAGEREF _Toc479770672 \h </w:instrText>
        </w:r>
        <w:r w:rsidR="00F70FB8">
          <w:rPr>
            <w:noProof/>
            <w:webHidden/>
          </w:rPr>
        </w:r>
        <w:r w:rsidR="00F70FB8">
          <w:rPr>
            <w:noProof/>
            <w:webHidden/>
          </w:rPr>
          <w:fldChar w:fldCharType="separate"/>
        </w:r>
        <w:r w:rsidR="00836082">
          <w:rPr>
            <w:noProof/>
            <w:webHidden/>
          </w:rPr>
          <w:t>90</w:t>
        </w:r>
        <w:r w:rsidR="00F70FB8">
          <w:rPr>
            <w:noProof/>
            <w:webHidden/>
          </w:rPr>
          <w:fldChar w:fldCharType="end"/>
        </w:r>
      </w:hyperlink>
    </w:p>
    <w:p w14:paraId="45423CC5"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3" w:history="1">
        <w:r w:rsidR="00F70FB8" w:rsidRPr="00637863">
          <w:rPr>
            <w:rStyle w:val="Hyperlink"/>
            <w:noProof/>
          </w:rPr>
          <w:t>4.9.3</w:t>
        </w:r>
        <w:r w:rsidR="00F70FB8">
          <w:rPr>
            <w:rFonts w:asciiTheme="minorHAnsi" w:eastAsiaTheme="minorEastAsia" w:hAnsiTheme="minorHAnsi" w:cstheme="minorBidi"/>
            <w:noProof/>
            <w:color w:val="auto"/>
            <w:szCs w:val="22"/>
          </w:rPr>
          <w:tab/>
        </w:r>
        <w:r w:rsidR="00F70FB8" w:rsidRPr="00637863">
          <w:rPr>
            <w:rStyle w:val="Hyperlink"/>
            <w:noProof/>
          </w:rPr>
          <w:t>Effect of the RPM</w:t>
        </w:r>
        <w:r w:rsidR="00F70FB8">
          <w:rPr>
            <w:noProof/>
            <w:webHidden/>
          </w:rPr>
          <w:tab/>
        </w:r>
        <w:r w:rsidR="00F70FB8">
          <w:rPr>
            <w:noProof/>
            <w:webHidden/>
          </w:rPr>
          <w:fldChar w:fldCharType="begin"/>
        </w:r>
        <w:r w:rsidR="00F70FB8">
          <w:rPr>
            <w:noProof/>
            <w:webHidden/>
          </w:rPr>
          <w:instrText xml:space="preserve"> PAGEREF _Toc479770673 \h </w:instrText>
        </w:r>
        <w:r w:rsidR="00F70FB8">
          <w:rPr>
            <w:noProof/>
            <w:webHidden/>
          </w:rPr>
        </w:r>
        <w:r w:rsidR="00F70FB8">
          <w:rPr>
            <w:noProof/>
            <w:webHidden/>
          </w:rPr>
          <w:fldChar w:fldCharType="separate"/>
        </w:r>
        <w:r w:rsidR="00836082">
          <w:rPr>
            <w:noProof/>
            <w:webHidden/>
          </w:rPr>
          <w:t>91</w:t>
        </w:r>
        <w:r w:rsidR="00F70FB8">
          <w:rPr>
            <w:noProof/>
            <w:webHidden/>
          </w:rPr>
          <w:fldChar w:fldCharType="end"/>
        </w:r>
      </w:hyperlink>
    </w:p>
    <w:p w14:paraId="1922247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4" w:history="1">
        <w:r w:rsidR="00F70FB8" w:rsidRPr="00637863">
          <w:rPr>
            <w:rStyle w:val="Hyperlink"/>
            <w:noProof/>
          </w:rPr>
          <w:t>4.9.4</w:t>
        </w:r>
        <w:r w:rsidR="00F70FB8">
          <w:rPr>
            <w:rFonts w:asciiTheme="minorHAnsi" w:eastAsiaTheme="minorEastAsia" w:hAnsiTheme="minorHAnsi" w:cstheme="minorBidi"/>
            <w:noProof/>
            <w:color w:val="auto"/>
            <w:szCs w:val="22"/>
          </w:rPr>
          <w:tab/>
        </w:r>
        <w:r w:rsidR="00F70FB8" w:rsidRPr="00637863">
          <w:rPr>
            <w:rStyle w:val="Hyperlink"/>
            <w:noProof/>
          </w:rPr>
          <w:t>Issues with RPM framework</w:t>
        </w:r>
        <w:r w:rsidR="00F70FB8">
          <w:rPr>
            <w:noProof/>
            <w:webHidden/>
          </w:rPr>
          <w:tab/>
        </w:r>
        <w:r w:rsidR="00F70FB8">
          <w:rPr>
            <w:noProof/>
            <w:webHidden/>
          </w:rPr>
          <w:fldChar w:fldCharType="begin"/>
        </w:r>
        <w:r w:rsidR="00F70FB8">
          <w:rPr>
            <w:noProof/>
            <w:webHidden/>
          </w:rPr>
          <w:instrText xml:space="preserve"> PAGEREF _Toc479770674 \h </w:instrText>
        </w:r>
        <w:r w:rsidR="00F70FB8">
          <w:rPr>
            <w:noProof/>
            <w:webHidden/>
          </w:rPr>
        </w:r>
        <w:r w:rsidR="00F70FB8">
          <w:rPr>
            <w:noProof/>
            <w:webHidden/>
          </w:rPr>
          <w:fldChar w:fldCharType="separate"/>
        </w:r>
        <w:r w:rsidR="00836082">
          <w:rPr>
            <w:noProof/>
            <w:webHidden/>
          </w:rPr>
          <w:t>92</w:t>
        </w:r>
        <w:r w:rsidR="00F70FB8">
          <w:rPr>
            <w:noProof/>
            <w:webHidden/>
          </w:rPr>
          <w:fldChar w:fldCharType="end"/>
        </w:r>
      </w:hyperlink>
    </w:p>
    <w:p w14:paraId="4DDCB27B"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5" w:history="1">
        <w:r w:rsidR="00F70FB8" w:rsidRPr="00637863">
          <w:rPr>
            <w:rStyle w:val="Hyperlink"/>
            <w:noProof/>
          </w:rPr>
          <w:t>4.9.5</w:t>
        </w:r>
        <w:r w:rsidR="00F70FB8">
          <w:rPr>
            <w:rFonts w:asciiTheme="minorHAnsi" w:eastAsiaTheme="minorEastAsia" w:hAnsiTheme="minorHAnsi" w:cstheme="minorBidi"/>
            <w:noProof/>
            <w:color w:val="auto"/>
            <w:szCs w:val="22"/>
          </w:rPr>
          <w:tab/>
        </w:r>
        <w:r w:rsidR="00F70FB8" w:rsidRPr="00637863">
          <w:rPr>
            <w:rStyle w:val="Hyperlink"/>
            <w:noProof/>
          </w:rPr>
          <w:t>Issues with RPM calculations</w:t>
        </w:r>
        <w:r w:rsidR="00F70FB8">
          <w:rPr>
            <w:noProof/>
            <w:webHidden/>
          </w:rPr>
          <w:tab/>
        </w:r>
        <w:r w:rsidR="00F70FB8">
          <w:rPr>
            <w:noProof/>
            <w:webHidden/>
          </w:rPr>
          <w:fldChar w:fldCharType="begin"/>
        </w:r>
        <w:r w:rsidR="00F70FB8">
          <w:rPr>
            <w:noProof/>
            <w:webHidden/>
          </w:rPr>
          <w:instrText xml:space="preserve"> PAGEREF _Toc479770675 \h </w:instrText>
        </w:r>
        <w:r w:rsidR="00F70FB8">
          <w:rPr>
            <w:noProof/>
            <w:webHidden/>
          </w:rPr>
        </w:r>
        <w:r w:rsidR="00F70FB8">
          <w:rPr>
            <w:noProof/>
            <w:webHidden/>
          </w:rPr>
          <w:fldChar w:fldCharType="separate"/>
        </w:r>
        <w:r w:rsidR="00836082">
          <w:rPr>
            <w:noProof/>
            <w:webHidden/>
          </w:rPr>
          <w:t>93</w:t>
        </w:r>
        <w:r w:rsidR="00F70FB8">
          <w:rPr>
            <w:noProof/>
            <w:webHidden/>
          </w:rPr>
          <w:fldChar w:fldCharType="end"/>
        </w:r>
      </w:hyperlink>
    </w:p>
    <w:p w14:paraId="26B7F1B3"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6" w:history="1">
        <w:r w:rsidR="00F70FB8" w:rsidRPr="00637863">
          <w:rPr>
            <w:rStyle w:val="Hyperlink"/>
            <w:noProof/>
          </w:rPr>
          <w:t>4.9.6</w:t>
        </w:r>
        <w:r w:rsidR="00F70FB8">
          <w:rPr>
            <w:rFonts w:asciiTheme="minorHAnsi" w:eastAsiaTheme="minorEastAsia" w:hAnsiTheme="minorHAnsi" w:cstheme="minorBidi"/>
            <w:noProof/>
            <w:color w:val="auto"/>
            <w:szCs w:val="22"/>
          </w:rPr>
          <w:tab/>
        </w:r>
        <w:r w:rsidR="00F70FB8" w:rsidRPr="00637863">
          <w:rPr>
            <w:rStyle w:val="Hyperlink"/>
            <w:noProof/>
          </w:rPr>
          <w:t>Gas Transfer Pricing and FLNG</w:t>
        </w:r>
        <w:r w:rsidR="00F70FB8">
          <w:rPr>
            <w:noProof/>
            <w:webHidden/>
          </w:rPr>
          <w:tab/>
        </w:r>
        <w:r w:rsidR="00F70FB8">
          <w:rPr>
            <w:noProof/>
            <w:webHidden/>
          </w:rPr>
          <w:fldChar w:fldCharType="begin"/>
        </w:r>
        <w:r w:rsidR="00F70FB8">
          <w:rPr>
            <w:noProof/>
            <w:webHidden/>
          </w:rPr>
          <w:instrText xml:space="preserve"> PAGEREF _Toc479770676 \h </w:instrText>
        </w:r>
        <w:r w:rsidR="00F70FB8">
          <w:rPr>
            <w:noProof/>
            <w:webHidden/>
          </w:rPr>
        </w:r>
        <w:r w:rsidR="00F70FB8">
          <w:rPr>
            <w:noProof/>
            <w:webHidden/>
          </w:rPr>
          <w:fldChar w:fldCharType="separate"/>
        </w:r>
        <w:r w:rsidR="00836082">
          <w:rPr>
            <w:noProof/>
            <w:webHidden/>
          </w:rPr>
          <w:t>94</w:t>
        </w:r>
        <w:r w:rsidR="00F70FB8">
          <w:rPr>
            <w:noProof/>
            <w:webHidden/>
          </w:rPr>
          <w:fldChar w:fldCharType="end"/>
        </w:r>
      </w:hyperlink>
    </w:p>
    <w:p w14:paraId="79C031C5"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77" w:history="1">
        <w:r w:rsidR="00F70FB8" w:rsidRPr="00637863">
          <w:rPr>
            <w:rStyle w:val="Hyperlink"/>
            <w:noProof/>
          </w:rPr>
          <w:t>4.10</w:t>
        </w:r>
        <w:r w:rsidR="00F70FB8">
          <w:rPr>
            <w:rFonts w:asciiTheme="minorHAnsi" w:eastAsiaTheme="minorEastAsia" w:hAnsiTheme="minorHAnsi" w:cstheme="minorBidi"/>
            <w:noProof/>
            <w:color w:val="auto"/>
            <w:szCs w:val="22"/>
          </w:rPr>
          <w:tab/>
        </w:r>
        <w:r w:rsidR="00F70FB8" w:rsidRPr="00637863">
          <w:rPr>
            <w:rStyle w:val="Hyperlink"/>
            <w:noProof/>
          </w:rPr>
          <w:t>PRRT and Investment in Marginal Projects</w:t>
        </w:r>
        <w:r w:rsidR="00F70FB8">
          <w:rPr>
            <w:noProof/>
            <w:webHidden/>
          </w:rPr>
          <w:tab/>
        </w:r>
        <w:r w:rsidR="00F70FB8">
          <w:rPr>
            <w:noProof/>
            <w:webHidden/>
          </w:rPr>
          <w:fldChar w:fldCharType="begin"/>
        </w:r>
        <w:r w:rsidR="00F70FB8">
          <w:rPr>
            <w:noProof/>
            <w:webHidden/>
          </w:rPr>
          <w:instrText xml:space="preserve"> PAGEREF _Toc479770677 \h </w:instrText>
        </w:r>
        <w:r w:rsidR="00F70FB8">
          <w:rPr>
            <w:noProof/>
            <w:webHidden/>
          </w:rPr>
        </w:r>
        <w:r w:rsidR="00F70FB8">
          <w:rPr>
            <w:noProof/>
            <w:webHidden/>
          </w:rPr>
          <w:fldChar w:fldCharType="separate"/>
        </w:r>
        <w:r w:rsidR="00836082">
          <w:rPr>
            <w:noProof/>
            <w:webHidden/>
          </w:rPr>
          <w:t>95</w:t>
        </w:r>
        <w:r w:rsidR="00F70FB8">
          <w:rPr>
            <w:noProof/>
            <w:webHidden/>
          </w:rPr>
          <w:fldChar w:fldCharType="end"/>
        </w:r>
      </w:hyperlink>
    </w:p>
    <w:p w14:paraId="5D425949"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78" w:history="1">
        <w:r w:rsidR="00F70FB8" w:rsidRPr="00637863">
          <w:rPr>
            <w:rStyle w:val="Hyperlink"/>
            <w:noProof/>
          </w:rPr>
          <w:t>4.11</w:t>
        </w:r>
        <w:r w:rsidR="00F70FB8">
          <w:rPr>
            <w:rFonts w:asciiTheme="minorHAnsi" w:eastAsiaTheme="minorEastAsia" w:hAnsiTheme="minorHAnsi" w:cstheme="minorBidi"/>
            <w:noProof/>
            <w:color w:val="auto"/>
            <w:szCs w:val="22"/>
          </w:rPr>
          <w:tab/>
        </w:r>
        <w:r w:rsidR="00F70FB8" w:rsidRPr="00637863">
          <w:rPr>
            <w:rStyle w:val="Hyperlink"/>
            <w:noProof/>
          </w:rPr>
          <w:t>Robustness of PRRT Administration</w:t>
        </w:r>
        <w:r w:rsidR="00F70FB8">
          <w:rPr>
            <w:noProof/>
            <w:webHidden/>
          </w:rPr>
          <w:tab/>
        </w:r>
        <w:r w:rsidR="00F70FB8">
          <w:rPr>
            <w:noProof/>
            <w:webHidden/>
          </w:rPr>
          <w:fldChar w:fldCharType="begin"/>
        </w:r>
        <w:r w:rsidR="00F70FB8">
          <w:rPr>
            <w:noProof/>
            <w:webHidden/>
          </w:rPr>
          <w:instrText xml:space="preserve"> PAGEREF _Toc479770678 \h </w:instrText>
        </w:r>
        <w:r w:rsidR="00F70FB8">
          <w:rPr>
            <w:noProof/>
            <w:webHidden/>
          </w:rPr>
        </w:r>
        <w:r w:rsidR="00F70FB8">
          <w:rPr>
            <w:noProof/>
            <w:webHidden/>
          </w:rPr>
          <w:fldChar w:fldCharType="separate"/>
        </w:r>
        <w:r w:rsidR="00836082">
          <w:rPr>
            <w:noProof/>
            <w:webHidden/>
          </w:rPr>
          <w:t>97</w:t>
        </w:r>
        <w:r w:rsidR="00F70FB8">
          <w:rPr>
            <w:noProof/>
            <w:webHidden/>
          </w:rPr>
          <w:fldChar w:fldCharType="end"/>
        </w:r>
      </w:hyperlink>
    </w:p>
    <w:p w14:paraId="556835FC"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79" w:history="1">
        <w:r w:rsidR="00F70FB8" w:rsidRPr="00637863">
          <w:rPr>
            <w:rStyle w:val="Hyperlink"/>
            <w:noProof/>
          </w:rPr>
          <w:t>4.11.1</w:t>
        </w:r>
        <w:r w:rsidR="00F70FB8">
          <w:rPr>
            <w:rFonts w:asciiTheme="minorHAnsi" w:eastAsiaTheme="minorEastAsia" w:hAnsiTheme="minorHAnsi" w:cstheme="minorBidi"/>
            <w:noProof/>
            <w:color w:val="auto"/>
            <w:szCs w:val="22"/>
          </w:rPr>
          <w:tab/>
        </w:r>
        <w:r w:rsidR="00F70FB8" w:rsidRPr="00637863">
          <w:rPr>
            <w:rStyle w:val="Hyperlink"/>
            <w:noProof/>
          </w:rPr>
          <w:t>Self</w:t>
        </w:r>
        <w:r w:rsidR="00F70FB8" w:rsidRPr="00637863">
          <w:rPr>
            <w:rStyle w:val="Hyperlink"/>
            <w:noProof/>
          </w:rPr>
          <w:noBreakHyphen/>
          <w:t>assessment and compliance</w:t>
        </w:r>
        <w:r w:rsidR="00F70FB8">
          <w:rPr>
            <w:noProof/>
            <w:webHidden/>
          </w:rPr>
          <w:tab/>
        </w:r>
        <w:r w:rsidR="00F70FB8">
          <w:rPr>
            <w:noProof/>
            <w:webHidden/>
          </w:rPr>
          <w:fldChar w:fldCharType="begin"/>
        </w:r>
        <w:r w:rsidR="00F70FB8">
          <w:rPr>
            <w:noProof/>
            <w:webHidden/>
          </w:rPr>
          <w:instrText xml:space="preserve"> PAGEREF _Toc479770679 \h </w:instrText>
        </w:r>
        <w:r w:rsidR="00F70FB8">
          <w:rPr>
            <w:noProof/>
            <w:webHidden/>
          </w:rPr>
        </w:r>
        <w:r w:rsidR="00F70FB8">
          <w:rPr>
            <w:noProof/>
            <w:webHidden/>
          </w:rPr>
          <w:fldChar w:fldCharType="separate"/>
        </w:r>
        <w:r w:rsidR="00836082">
          <w:rPr>
            <w:noProof/>
            <w:webHidden/>
          </w:rPr>
          <w:t>97</w:t>
        </w:r>
        <w:r w:rsidR="00F70FB8">
          <w:rPr>
            <w:noProof/>
            <w:webHidden/>
          </w:rPr>
          <w:fldChar w:fldCharType="end"/>
        </w:r>
      </w:hyperlink>
    </w:p>
    <w:p w14:paraId="19EBF70A"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80" w:history="1">
        <w:r w:rsidR="00F70FB8" w:rsidRPr="00637863">
          <w:rPr>
            <w:rStyle w:val="Hyperlink"/>
            <w:noProof/>
          </w:rPr>
          <w:t>4.11.2</w:t>
        </w:r>
        <w:r w:rsidR="00F70FB8">
          <w:rPr>
            <w:rFonts w:asciiTheme="minorHAnsi" w:eastAsiaTheme="minorEastAsia" w:hAnsiTheme="minorHAnsi" w:cstheme="minorBidi"/>
            <w:noProof/>
            <w:color w:val="auto"/>
            <w:szCs w:val="22"/>
          </w:rPr>
          <w:tab/>
        </w:r>
        <w:r w:rsidR="00F70FB8" w:rsidRPr="00637863">
          <w:rPr>
            <w:rStyle w:val="Hyperlink"/>
            <w:noProof/>
          </w:rPr>
          <w:t>Uncertainty in the law</w:t>
        </w:r>
        <w:r w:rsidR="00F70FB8">
          <w:rPr>
            <w:noProof/>
            <w:webHidden/>
          </w:rPr>
          <w:tab/>
        </w:r>
        <w:r w:rsidR="00F70FB8">
          <w:rPr>
            <w:noProof/>
            <w:webHidden/>
          </w:rPr>
          <w:fldChar w:fldCharType="begin"/>
        </w:r>
        <w:r w:rsidR="00F70FB8">
          <w:rPr>
            <w:noProof/>
            <w:webHidden/>
          </w:rPr>
          <w:instrText xml:space="preserve"> PAGEREF _Toc479770680 \h </w:instrText>
        </w:r>
        <w:r w:rsidR="00F70FB8">
          <w:rPr>
            <w:noProof/>
            <w:webHidden/>
          </w:rPr>
        </w:r>
        <w:r w:rsidR="00F70FB8">
          <w:rPr>
            <w:noProof/>
            <w:webHidden/>
          </w:rPr>
          <w:fldChar w:fldCharType="separate"/>
        </w:r>
        <w:r w:rsidR="00836082">
          <w:rPr>
            <w:noProof/>
            <w:webHidden/>
          </w:rPr>
          <w:t>99</w:t>
        </w:r>
        <w:r w:rsidR="00F70FB8">
          <w:rPr>
            <w:noProof/>
            <w:webHidden/>
          </w:rPr>
          <w:fldChar w:fldCharType="end"/>
        </w:r>
      </w:hyperlink>
    </w:p>
    <w:p w14:paraId="0C710318"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81" w:history="1">
        <w:r w:rsidR="00F70FB8" w:rsidRPr="00637863">
          <w:rPr>
            <w:rStyle w:val="Hyperlink"/>
            <w:noProof/>
          </w:rPr>
          <w:t>4.11.3</w:t>
        </w:r>
        <w:r w:rsidR="00F70FB8">
          <w:rPr>
            <w:rFonts w:asciiTheme="minorHAnsi" w:eastAsiaTheme="minorEastAsia" w:hAnsiTheme="minorHAnsi" w:cstheme="minorBidi"/>
            <w:noProof/>
            <w:color w:val="auto"/>
            <w:szCs w:val="22"/>
          </w:rPr>
          <w:tab/>
        </w:r>
        <w:r w:rsidR="00F70FB8" w:rsidRPr="00637863">
          <w:rPr>
            <w:rStyle w:val="Hyperlink"/>
            <w:noProof/>
          </w:rPr>
          <w:t>Modernising PRRT administration</w:t>
        </w:r>
        <w:r w:rsidR="00F70FB8">
          <w:rPr>
            <w:noProof/>
            <w:webHidden/>
          </w:rPr>
          <w:tab/>
        </w:r>
        <w:r w:rsidR="00F70FB8">
          <w:rPr>
            <w:noProof/>
            <w:webHidden/>
          </w:rPr>
          <w:fldChar w:fldCharType="begin"/>
        </w:r>
        <w:r w:rsidR="00F70FB8">
          <w:rPr>
            <w:noProof/>
            <w:webHidden/>
          </w:rPr>
          <w:instrText xml:space="preserve"> PAGEREF _Toc479770681 \h </w:instrText>
        </w:r>
        <w:r w:rsidR="00F70FB8">
          <w:rPr>
            <w:noProof/>
            <w:webHidden/>
          </w:rPr>
        </w:r>
        <w:r w:rsidR="00F70FB8">
          <w:rPr>
            <w:noProof/>
            <w:webHidden/>
          </w:rPr>
          <w:fldChar w:fldCharType="separate"/>
        </w:r>
        <w:r w:rsidR="00836082">
          <w:rPr>
            <w:noProof/>
            <w:webHidden/>
          </w:rPr>
          <w:t>100</w:t>
        </w:r>
        <w:r w:rsidR="00F70FB8">
          <w:rPr>
            <w:noProof/>
            <w:webHidden/>
          </w:rPr>
          <w:fldChar w:fldCharType="end"/>
        </w:r>
      </w:hyperlink>
    </w:p>
    <w:p w14:paraId="669055A1"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682" w:history="1">
        <w:r w:rsidR="00F70FB8" w:rsidRPr="00637863">
          <w:rPr>
            <w:rStyle w:val="Hyperlink"/>
            <w:noProof/>
          </w:rPr>
          <w:t>5.</w:t>
        </w:r>
        <w:r w:rsidR="00F70FB8">
          <w:rPr>
            <w:rFonts w:asciiTheme="minorHAnsi" w:eastAsiaTheme="minorEastAsia" w:hAnsiTheme="minorHAnsi" w:cstheme="minorBidi"/>
            <w:b w:val="0"/>
            <w:noProof/>
            <w:color w:val="auto"/>
            <w:sz w:val="22"/>
          </w:rPr>
          <w:tab/>
        </w:r>
        <w:r w:rsidR="00F70FB8" w:rsidRPr="00637863">
          <w:rPr>
            <w:rStyle w:val="Hyperlink"/>
            <w:noProof/>
          </w:rPr>
          <w:t>Crude Oil Excise</w:t>
        </w:r>
        <w:r w:rsidR="00F70FB8">
          <w:rPr>
            <w:noProof/>
            <w:webHidden/>
          </w:rPr>
          <w:tab/>
        </w:r>
        <w:r w:rsidR="00F70FB8">
          <w:rPr>
            <w:noProof/>
            <w:webHidden/>
          </w:rPr>
          <w:fldChar w:fldCharType="begin"/>
        </w:r>
        <w:r w:rsidR="00F70FB8">
          <w:rPr>
            <w:noProof/>
            <w:webHidden/>
          </w:rPr>
          <w:instrText xml:space="preserve"> PAGEREF _Toc479770682 \h </w:instrText>
        </w:r>
        <w:r w:rsidR="00F70FB8">
          <w:rPr>
            <w:noProof/>
            <w:webHidden/>
          </w:rPr>
        </w:r>
        <w:r w:rsidR="00F70FB8">
          <w:rPr>
            <w:noProof/>
            <w:webHidden/>
          </w:rPr>
          <w:fldChar w:fldCharType="separate"/>
        </w:r>
        <w:r w:rsidR="00836082">
          <w:rPr>
            <w:noProof/>
            <w:webHidden/>
          </w:rPr>
          <w:t>103</w:t>
        </w:r>
        <w:r w:rsidR="00F70FB8">
          <w:rPr>
            <w:noProof/>
            <w:webHidden/>
          </w:rPr>
          <w:fldChar w:fldCharType="end"/>
        </w:r>
      </w:hyperlink>
    </w:p>
    <w:p w14:paraId="4A31FE3E"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83" w:history="1">
        <w:r w:rsidR="00F70FB8" w:rsidRPr="00637863">
          <w:rPr>
            <w:rStyle w:val="Hyperlink"/>
            <w:noProof/>
          </w:rPr>
          <w:t>5.1</w:t>
        </w:r>
        <w:r w:rsidR="00F70FB8">
          <w:rPr>
            <w:rFonts w:asciiTheme="minorHAnsi" w:eastAsiaTheme="minorEastAsia" w:hAnsiTheme="minorHAnsi" w:cstheme="minorBidi"/>
            <w:noProof/>
            <w:color w:val="auto"/>
            <w:szCs w:val="22"/>
          </w:rPr>
          <w:tab/>
        </w:r>
        <w:r w:rsidR="00F70FB8" w:rsidRPr="00637863">
          <w:rPr>
            <w:rStyle w:val="Hyperlink"/>
            <w:noProof/>
          </w:rPr>
          <w:t>Overview of Crude Oil Excise</w:t>
        </w:r>
        <w:r w:rsidR="00F70FB8">
          <w:rPr>
            <w:noProof/>
            <w:webHidden/>
          </w:rPr>
          <w:tab/>
        </w:r>
        <w:r w:rsidR="00F70FB8">
          <w:rPr>
            <w:noProof/>
            <w:webHidden/>
          </w:rPr>
          <w:fldChar w:fldCharType="begin"/>
        </w:r>
        <w:r w:rsidR="00F70FB8">
          <w:rPr>
            <w:noProof/>
            <w:webHidden/>
          </w:rPr>
          <w:instrText xml:space="preserve"> PAGEREF _Toc479770683 \h </w:instrText>
        </w:r>
        <w:r w:rsidR="00F70FB8">
          <w:rPr>
            <w:noProof/>
            <w:webHidden/>
          </w:rPr>
        </w:r>
        <w:r w:rsidR="00F70FB8">
          <w:rPr>
            <w:noProof/>
            <w:webHidden/>
          </w:rPr>
          <w:fldChar w:fldCharType="separate"/>
        </w:r>
        <w:r w:rsidR="00836082">
          <w:rPr>
            <w:noProof/>
            <w:webHidden/>
          </w:rPr>
          <w:t>103</w:t>
        </w:r>
        <w:r w:rsidR="00F70FB8">
          <w:rPr>
            <w:noProof/>
            <w:webHidden/>
          </w:rPr>
          <w:fldChar w:fldCharType="end"/>
        </w:r>
      </w:hyperlink>
    </w:p>
    <w:p w14:paraId="7AF37AEB"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84" w:history="1">
        <w:r w:rsidR="00F70FB8" w:rsidRPr="00637863">
          <w:rPr>
            <w:rStyle w:val="Hyperlink"/>
            <w:noProof/>
          </w:rPr>
          <w:t>5.2</w:t>
        </w:r>
        <w:r w:rsidR="00F70FB8">
          <w:rPr>
            <w:rFonts w:asciiTheme="minorHAnsi" w:eastAsiaTheme="minorEastAsia" w:hAnsiTheme="minorHAnsi" w:cstheme="minorBidi"/>
            <w:noProof/>
            <w:color w:val="auto"/>
            <w:szCs w:val="22"/>
          </w:rPr>
          <w:tab/>
        </w:r>
        <w:r w:rsidR="00F70FB8" w:rsidRPr="00637863">
          <w:rPr>
            <w:rStyle w:val="Hyperlink"/>
            <w:noProof/>
          </w:rPr>
          <w:t>Operation of Crude Oil Excise</w:t>
        </w:r>
        <w:r w:rsidR="00F70FB8">
          <w:rPr>
            <w:noProof/>
            <w:webHidden/>
          </w:rPr>
          <w:tab/>
        </w:r>
        <w:r w:rsidR="00F70FB8">
          <w:rPr>
            <w:noProof/>
            <w:webHidden/>
          </w:rPr>
          <w:fldChar w:fldCharType="begin"/>
        </w:r>
        <w:r w:rsidR="00F70FB8">
          <w:rPr>
            <w:noProof/>
            <w:webHidden/>
          </w:rPr>
          <w:instrText xml:space="preserve"> PAGEREF _Toc479770684 \h </w:instrText>
        </w:r>
        <w:r w:rsidR="00F70FB8">
          <w:rPr>
            <w:noProof/>
            <w:webHidden/>
          </w:rPr>
        </w:r>
        <w:r w:rsidR="00F70FB8">
          <w:rPr>
            <w:noProof/>
            <w:webHidden/>
          </w:rPr>
          <w:fldChar w:fldCharType="separate"/>
        </w:r>
        <w:r w:rsidR="00836082">
          <w:rPr>
            <w:noProof/>
            <w:webHidden/>
          </w:rPr>
          <w:t>103</w:t>
        </w:r>
        <w:r w:rsidR="00F70FB8">
          <w:rPr>
            <w:noProof/>
            <w:webHidden/>
          </w:rPr>
          <w:fldChar w:fldCharType="end"/>
        </w:r>
      </w:hyperlink>
    </w:p>
    <w:p w14:paraId="69BF86E0"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85" w:history="1">
        <w:r w:rsidR="00F70FB8" w:rsidRPr="00637863">
          <w:rPr>
            <w:rStyle w:val="Hyperlink"/>
            <w:noProof/>
          </w:rPr>
          <w:t>5.3</w:t>
        </w:r>
        <w:r w:rsidR="00F70FB8">
          <w:rPr>
            <w:rFonts w:asciiTheme="minorHAnsi" w:eastAsiaTheme="minorEastAsia" w:hAnsiTheme="minorHAnsi" w:cstheme="minorBidi"/>
            <w:noProof/>
            <w:color w:val="auto"/>
            <w:szCs w:val="22"/>
          </w:rPr>
          <w:tab/>
        </w:r>
        <w:r w:rsidR="00F70FB8" w:rsidRPr="00637863">
          <w:rPr>
            <w:rStyle w:val="Hyperlink"/>
            <w:noProof/>
          </w:rPr>
          <w:t>Historical Changes to Crude Oil Excise</w:t>
        </w:r>
        <w:r w:rsidR="00F70FB8">
          <w:rPr>
            <w:noProof/>
            <w:webHidden/>
          </w:rPr>
          <w:tab/>
        </w:r>
        <w:r w:rsidR="00F70FB8">
          <w:rPr>
            <w:noProof/>
            <w:webHidden/>
          </w:rPr>
          <w:fldChar w:fldCharType="begin"/>
        </w:r>
        <w:r w:rsidR="00F70FB8">
          <w:rPr>
            <w:noProof/>
            <w:webHidden/>
          </w:rPr>
          <w:instrText xml:space="preserve"> PAGEREF _Toc479770685 \h </w:instrText>
        </w:r>
        <w:r w:rsidR="00F70FB8">
          <w:rPr>
            <w:noProof/>
            <w:webHidden/>
          </w:rPr>
        </w:r>
        <w:r w:rsidR="00F70FB8">
          <w:rPr>
            <w:noProof/>
            <w:webHidden/>
          </w:rPr>
          <w:fldChar w:fldCharType="separate"/>
        </w:r>
        <w:r w:rsidR="00836082">
          <w:rPr>
            <w:noProof/>
            <w:webHidden/>
          </w:rPr>
          <w:t>105</w:t>
        </w:r>
        <w:r w:rsidR="00F70FB8">
          <w:rPr>
            <w:noProof/>
            <w:webHidden/>
          </w:rPr>
          <w:fldChar w:fldCharType="end"/>
        </w:r>
      </w:hyperlink>
    </w:p>
    <w:p w14:paraId="73A622CD"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86" w:history="1">
        <w:r w:rsidR="00F70FB8" w:rsidRPr="00637863">
          <w:rPr>
            <w:rStyle w:val="Hyperlink"/>
            <w:noProof/>
          </w:rPr>
          <w:t>5.4</w:t>
        </w:r>
        <w:r w:rsidR="00F70FB8">
          <w:rPr>
            <w:rFonts w:asciiTheme="minorHAnsi" w:eastAsiaTheme="minorEastAsia" w:hAnsiTheme="minorHAnsi" w:cstheme="minorBidi"/>
            <w:noProof/>
            <w:color w:val="auto"/>
            <w:szCs w:val="22"/>
          </w:rPr>
          <w:tab/>
        </w:r>
        <w:r w:rsidR="00F70FB8" w:rsidRPr="00637863">
          <w:rPr>
            <w:rStyle w:val="Hyperlink"/>
            <w:noProof/>
          </w:rPr>
          <w:t>Administration of Excise</w:t>
        </w:r>
        <w:r w:rsidR="00F70FB8">
          <w:rPr>
            <w:noProof/>
            <w:webHidden/>
          </w:rPr>
          <w:tab/>
        </w:r>
        <w:r w:rsidR="00F70FB8">
          <w:rPr>
            <w:noProof/>
            <w:webHidden/>
          </w:rPr>
          <w:fldChar w:fldCharType="begin"/>
        </w:r>
        <w:r w:rsidR="00F70FB8">
          <w:rPr>
            <w:noProof/>
            <w:webHidden/>
          </w:rPr>
          <w:instrText xml:space="preserve"> PAGEREF _Toc479770686 \h </w:instrText>
        </w:r>
        <w:r w:rsidR="00F70FB8">
          <w:rPr>
            <w:noProof/>
            <w:webHidden/>
          </w:rPr>
        </w:r>
        <w:r w:rsidR="00F70FB8">
          <w:rPr>
            <w:noProof/>
            <w:webHidden/>
          </w:rPr>
          <w:fldChar w:fldCharType="separate"/>
        </w:r>
        <w:r w:rsidR="00836082">
          <w:rPr>
            <w:noProof/>
            <w:webHidden/>
          </w:rPr>
          <w:t>107</w:t>
        </w:r>
        <w:r w:rsidR="00F70FB8">
          <w:rPr>
            <w:noProof/>
            <w:webHidden/>
          </w:rPr>
          <w:fldChar w:fldCharType="end"/>
        </w:r>
      </w:hyperlink>
    </w:p>
    <w:p w14:paraId="47921419"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87" w:history="1">
        <w:r w:rsidR="00F70FB8" w:rsidRPr="00637863">
          <w:rPr>
            <w:rStyle w:val="Hyperlink"/>
            <w:noProof/>
          </w:rPr>
          <w:t>5.4.1</w:t>
        </w:r>
        <w:r w:rsidR="00F70FB8">
          <w:rPr>
            <w:rFonts w:asciiTheme="minorHAnsi" w:eastAsiaTheme="minorEastAsia" w:hAnsiTheme="minorHAnsi" w:cstheme="minorBidi"/>
            <w:noProof/>
            <w:color w:val="auto"/>
            <w:szCs w:val="22"/>
          </w:rPr>
          <w:tab/>
        </w:r>
        <w:r w:rsidR="00F70FB8" w:rsidRPr="00637863">
          <w:rPr>
            <w:rStyle w:val="Hyperlink"/>
            <w:noProof/>
          </w:rPr>
          <w:t>Administration differences between onshore and offshore</w:t>
        </w:r>
        <w:r w:rsidR="00F70FB8">
          <w:rPr>
            <w:noProof/>
            <w:webHidden/>
          </w:rPr>
          <w:tab/>
        </w:r>
        <w:r w:rsidR="00F70FB8">
          <w:rPr>
            <w:noProof/>
            <w:webHidden/>
          </w:rPr>
          <w:fldChar w:fldCharType="begin"/>
        </w:r>
        <w:r w:rsidR="00F70FB8">
          <w:rPr>
            <w:noProof/>
            <w:webHidden/>
          </w:rPr>
          <w:instrText xml:space="preserve"> PAGEREF _Toc479770687 \h </w:instrText>
        </w:r>
        <w:r w:rsidR="00F70FB8">
          <w:rPr>
            <w:noProof/>
            <w:webHidden/>
          </w:rPr>
        </w:r>
        <w:r w:rsidR="00F70FB8">
          <w:rPr>
            <w:noProof/>
            <w:webHidden/>
          </w:rPr>
          <w:fldChar w:fldCharType="separate"/>
        </w:r>
        <w:r w:rsidR="00836082">
          <w:rPr>
            <w:noProof/>
            <w:webHidden/>
          </w:rPr>
          <w:t>108</w:t>
        </w:r>
        <w:r w:rsidR="00F70FB8">
          <w:rPr>
            <w:noProof/>
            <w:webHidden/>
          </w:rPr>
          <w:fldChar w:fldCharType="end"/>
        </w:r>
      </w:hyperlink>
    </w:p>
    <w:p w14:paraId="4A19E610"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88" w:history="1">
        <w:r w:rsidR="00F70FB8" w:rsidRPr="00637863">
          <w:rPr>
            <w:rStyle w:val="Hyperlink"/>
            <w:noProof/>
          </w:rPr>
          <w:t>5.5</w:t>
        </w:r>
        <w:r w:rsidR="00F70FB8">
          <w:rPr>
            <w:rFonts w:asciiTheme="minorHAnsi" w:eastAsiaTheme="minorEastAsia" w:hAnsiTheme="minorHAnsi" w:cstheme="minorBidi"/>
            <w:noProof/>
            <w:color w:val="auto"/>
            <w:szCs w:val="22"/>
          </w:rPr>
          <w:tab/>
        </w:r>
        <w:r w:rsidR="00F70FB8" w:rsidRPr="00637863">
          <w:rPr>
            <w:rStyle w:val="Hyperlink"/>
            <w:noProof/>
          </w:rPr>
          <w:t>Commentary on Crude Oil Excise</w:t>
        </w:r>
        <w:r w:rsidR="00F70FB8">
          <w:rPr>
            <w:noProof/>
            <w:webHidden/>
          </w:rPr>
          <w:tab/>
        </w:r>
        <w:r w:rsidR="00F70FB8">
          <w:rPr>
            <w:noProof/>
            <w:webHidden/>
          </w:rPr>
          <w:fldChar w:fldCharType="begin"/>
        </w:r>
        <w:r w:rsidR="00F70FB8">
          <w:rPr>
            <w:noProof/>
            <w:webHidden/>
          </w:rPr>
          <w:instrText xml:space="preserve"> PAGEREF _Toc479770688 \h </w:instrText>
        </w:r>
        <w:r w:rsidR="00F70FB8">
          <w:rPr>
            <w:noProof/>
            <w:webHidden/>
          </w:rPr>
        </w:r>
        <w:r w:rsidR="00F70FB8">
          <w:rPr>
            <w:noProof/>
            <w:webHidden/>
          </w:rPr>
          <w:fldChar w:fldCharType="separate"/>
        </w:r>
        <w:r w:rsidR="00836082">
          <w:rPr>
            <w:noProof/>
            <w:webHidden/>
          </w:rPr>
          <w:t>109</w:t>
        </w:r>
        <w:r w:rsidR="00F70FB8">
          <w:rPr>
            <w:noProof/>
            <w:webHidden/>
          </w:rPr>
          <w:fldChar w:fldCharType="end"/>
        </w:r>
      </w:hyperlink>
    </w:p>
    <w:p w14:paraId="5E9BCBA0"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689" w:history="1">
        <w:r w:rsidR="00F70FB8" w:rsidRPr="00637863">
          <w:rPr>
            <w:rStyle w:val="Hyperlink"/>
            <w:noProof/>
          </w:rPr>
          <w:t>6.</w:t>
        </w:r>
        <w:r w:rsidR="00F70FB8">
          <w:rPr>
            <w:rFonts w:asciiTheme="minorHAnsi" w:eastAsiaTheme="minorEastAsia" w:hAnsiTheme="minorHAnsi" w:cstheme="minorBidi"/>
            <w:b w:val="0"/>
            <w:noProof/>
            <w:color w:val="auto"/>
            <w:sz w:val="22"/>
          </w:rPr>
          <w:tab/>
        </w:r>
        <w:r w:rsidR="00F70FB8" w:rsidRPr="00637863">
          <w:rPr>
            <w:rStyle w:val="Hyperlink"/>
            <w:noProof/>
          </w:rPr>
          <w:t>Other Revenue Including Royalties</w:t>
        </w:r>
        <w:r w:rsidR="00F70FB8">
          <w:rPr>
            <w:noProof/>
            <w:webHidden/>
          </w:rPr>
          <w:tab/>
        </w:r>
        <w:r w:rsidR="00F70FB8">
          <w:rPr>
            <w:noProof/>
            <w:webHidden/>
          </w:rPr>
          <w:fldChar w:fldCharType="begin"/>
        </w:r>
        <w:r w:rsidR="00F70FB8">
          <w:rPr>
            <w:noProof/>
            <w:webHidden/>
          </w:rPr>
          <w:instrText xml:space="preserve"> PAGEREF _Toc479770689 \h </w:instrText>
        </w:r>
        <w:r w:rsidR="00F70FB8">
          <w:rPr>
            <w:noProof/>
            <w:webHidden/>
          </w:rPr>
        </w:r>
        <w:r w:rsidR="00F70FB8">
          <w:rPr>
            <w:noProof/>
            <w:webHidden/>
          </w:rPr>
          <w:fldChar w:fldCharType="separate"/>
        </w:r>
        <w:r w:rsidR="00836082">
          <w:rPr>
            <w:noProof/>
            <w:webHidden/>
          </w:rPr>
          <w:t>111</w:t>
        </w:r>
        <w:r w:rsidR="00F70FB8">
          <w:rPr>
            <w:noProof/>
            <w:webHidden/>
          </w:rPr>
          <w:fldChar w:fldCharType="end"/>
        </w:r>
      </w:hyperlink>
    </w:p>
    <w:p w14:paraId="19DFB4D6"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90" w:history="1">
        <w:r w:rsidR="00F70FB8" w:rsidRPr="00637863">
          <w:rPr>
            <w:rStyle w:val="Hyperlink"/>
            <w:noProof/>
          </w:rPr>
          <w:t>6.1</w:t>
        </w:r>
        <w:r w:rsidR="00F70FB8">
          <w:rPr>
            <w:rFonts w:asciiTheme="minorHAnsi" w:eastAsiaTheme="minorEastAsia" w:hAnsiTheme="minorHAnsi" w:cstheme="minorBidi"/>
            <w:noProof/>
            <w:color w:val="auto"/>
            <w:szCs w:val="22"/>
          </w:rPr>
          <w:tab/>
        </w:r>
        <w:r w:rsidR="00F70FB8" w:rsidRPr="00637863">
          <w:rPr>
            <w:rStyle w:val="Hyperlink"/>
            <w:noProof/>
          </w:rPr>
          <w:t>Commonwealth Royalties — North West Shelf Project</w:t>
        </w:r>
        <w:r w:rsidR="00F70FB8">
          <w:rPr>
            <w:noProof/>
            <w:webHidden/>
          </w:rPr>
          <w:tab/>
        </w:r>
        <w:r w:rsidR="00F70FB8">
          <w:rPr>
            <w:noProof/>
            <w:webHidden/>
          </w:rPr>
          <w:fldChar w:fldCharType="begin"/>
        </w:r>
        <w:r w:rsidR="00F70FB8">
          <w:rPr>
            <w:noProof/>
            <w:webHidden/>
          </w:rPr>
          <w:instrText xml:space="preserve"> PAGEREF _Toc479770690 \h </w:instrText>
        </w:r>
        <w:r w:rsidR="00F70FB8">
          <w:rPr>
            <w:noProof/>
            <w:webHidden/>
          </w:rPr>
        </w:r>
        <w:r w:rsidR="00F70FB8">
          <w:rPr>
            <w:noProof/>
            <w:webHidden/>
          </w:rPr>
          <w:fldChar w:fldCharType="separate"/>
        </w:r>
        <w:r w:rsidR="00836082">
          <w:rPr>
            <w:noProof/>
            <w:webHidden/>
          </w:rPr>
          <w:t>111</w:t>
        </w:r>
        <w:r w:rsidR="00F70FB8">
          <w:rPr>
            <w:noProof/>
            <w:webHidden/>
          </w:rPr>
          <w:fldChar w:fldCharType="end"/>
        </w:r>
      </w:hyperlink>
    </w:p>
    <w:p w14:paraId="362924F3"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91" w:history="1">
        <w:r w:rsidR="00F70FB8" w:rsidRPr="00637863">
          <w:rPr>
            <w:rStyle w:val="Hyperlink"/>
            <w:noProof/>
          </w:rPr>
          <w:t>6.1.1</w:t>
        </w:r>
        <w:r w:rsidR="00F70FB8">
          <w:rPr>
            <w:rFonts w:asciiTheme="minorHAnsi" w:eastAsiaTheme="minorEastAsia" w:hAnsiTheme="minorHAnsi" w:cstheme="minorBidi"/>
            <w:noProof/>
            <w:color w:val="auto"/>
            <w:szCs w:val="22"/>
          </w:rPr>
          <w:tab/>
        </w:r>
        <w:r w:rsidR="00F70FB8" w:rsidRPr="00637863">
          <w:rPr>
            <w:rStyle w:val="Hyperlink"/>
            <w:noProof/>
          </w:rPr>
          <w:t>North West Shelf royalty administration</w:t>
        </w:r>
        <w:r w:rsidR="00F70FB8">
          <w:rPr>
            <w:noProof/>
            <w:webHidden/>
          </w:rPr>
          <w:tab/>
        </w:r>
        <w:r w:rsidR="00F70FB8">
          <w:rPr>
            <w:noProof/>
            <w:webHidden/>
          </w:rPr>
          <w:fldChar w:fldCharType="begin"/>
        </w:r>
        <w:r w:rsidR="00F70FB8">
          <w:rPr>
            <w:noProof/>
            <w:webHidden/>
          </w:rPr>
          <w:instrText xml:space="preserve"> PAGEREF _Toc479770691 \h </w:instrText>
        </w:r>
        <w:r w:rsidR="00F70FB8">
          <w:rPr>
            <w:noProof/>
            <w:webHidden/>
          </w:rPr>
        </w:r>
        <w:r w:rsidR="00F70FB8">
          <w:rPr>
            <w:noProof/>
            <w:webHidden/>
          </w:rPr>
          <w:fldChar w:fldCharType="separate"/>
        </w:r>
        <w:r w:rsidR="00836082">
          <w:rPr>
            <w:noProof/>
            <w:webHidden/>
          </w:rPr>
          <w:t>111</w:t>
        </w:r>
        <w:r w:rsidR="00F70FB8">
          <w:rPr>
            <w:noProof/>
            <w:webHidden/>
          </w:rPr>
          <w:fldChar w:fldCharType="end"/>
        </w:r>
      </w:hyperlink>
    </w:p>
    <w:p w14:paraId="637B4263"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92" w:history="1">
        <w:r w:rsidR="00F70FB8" w:rsidRPr="00637863">
          <w:rPr>
            <w:rStyle w:val="Hyperlink"/>
            <w:noProof/>
          </w:rPr>
          <w:t>6.1.2</w:t>
        </w:r>
        <w:r w:rsidR="00F70FB8">
          <w:rPr>
            <w:rFonts w:asciiTheme="minorHAnsi" w:eastAsiaTheme="minorEastAsia" w:hAnsiTheme="minorHAnsi" w:cstheme="minorBidi"/>
            <w:noProof/>
            <w:color w:val="auto"/>
            <w:szCs w:val="22"/>
          </w:rPr>
          <w:tab/>
        </w:r>
        <w:r w:rsidR="00F70FB8" w:rsidRPr="00637863">
          <w:rPr>
            <w:rStyle w:val="Hyperlink"/>
            <w:noProof/>
          </w:rPr>
          <w:t>Commentary on North West Shelf royalties</w:t>
        </w:r>
        <w:r w:rsidR="00F70FB8">
          <w:rPr>
            <w:noProof/>
            <w:webHidden/>
          </w:rPr>
          <w:tab/>
        </w:r>
        <w:r w:rsidR="00F70FB8">
          <w:rPr>
            <w:noProof/>
            <w:webHidden/>
          </w:rPr>
          <w:fldChar w:fldCharType="begin"/>
        </w:r>
        <w:r w:rsidR="00F70FB8">
          <w:rPr>
            <w:noProof/>
            <w:webHidden/>
          </w:rPr>
          <w:instrText xml:space="preserve"> PAGEREF _Toc479770692 \h </w:instrText>
        </w:r>
        <w:r w:rsidR="00F70FB8">
          <w:rPr>
            <w:noProof/>
            <w:webHidden/>
          </w:rPr>
        </w:r>
        <w:r w:rsidR="00F70FB8">
          <w:rPr>
            <w:noProof/>
            <w:webHidden/>
          </w:rPr>
          <w:fldChar w:fldCharType="separate"/>
        </w:r>
        <w:r w:rsidR="00836082">
          <w:rPr>
            <w:noProof/>
            <w:webHidden/>
          </w:rPr>
          <w:t>113</w:t>
        </w:r>
        <w:r w:rsidR="00F70FB8">
          <w:rPr>
            <w:noProof/>
            <w:webHidden/>
          </w:rPr>
          <w:fldChar w:fldCharType="end"/>
        </w:r>
      </w:hyperlink>
    </w:p>
    <w:p w14:paraId="0AAEAE14"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93" w:history="1">
        <w:r w:rsidR="00F70FB8" w:rsidRPr="00637863">
          <w:rPr>
            <w:rStyle w:val="Hyperlink"/>
            <w:noProof/>
          </w:rPr>
          <w:t xml:space="preserve">6.2 </w:t>
        </w:r>
        <w:r w:rsidR="00F70FB8">
          <w:rPr>
            <w:rFonts w:asciiTheme="minorHAnsi" w:eastAsiaTheme="minorEastAsia" w:hAnsiTheme="minorHAnsi" w:cstheme="minorBidi"/>
            <w:noProof/>
            <w:color w:val="auto"/>
            <w:szCs w:val="22"/>
          </w:rPr>
          <w:tab/>
        </w:r>
        <w:r w:rsidR="00F70FB8" w:rsidRPr="00637863">
          <w:rPr>
            <w:rStyle w:val="Hyperlink"/>
            <w:noProof/>
          </w:rPr>
          <w:t>Resource Rent Royalty</w:t>
        </w:r>
        <w:r w:rsidR="00F70FB8">
          <w:rPr>
            <w:noProof/>
            <w:webHidden/>
          </w:rPr>
          <w:tab/>
        </w:r>
        <w:r w:rsidR="00F70FB8">
          <w:rPr>
            <w:noProof/>
            <w:webHidden/>
          </w:rPr>
          <w:fldChar w:fldCharType="begin"/>
        </w:r>
        <w:r w:rsidR="00F70FB8">
          <w:rPr>
            <w:noProof/>
            <w:webHidden/>
          </w:rPr>
          <w:instrText xml:space="preserve"> PAGEREF _Toc479770693 \h </w:instrText>
        </w:r>
        <w:r w:rsidR="00F70FB8">
          <w:rPr>
            <w:noProof/>
            <w:webHidden/>
          </w:rPr>
        </w:r>
        <w:r w:rsidR="00F70FB8">
          <w:rPr>
            <w:noProof/>
            <w:webHidden/>
          </w:rPr>
          <w:fldChar w:fldCharType="separate"/>
        </w:r>
        <w:r w:rsidR="00836082">
          <w:rPr>
            <w:noProof/>
            <w:webHidden/>
          </w:rPr>
          <w:t>113</w:t>
        </w:r>
        <w:r w:rsidR="00F70FB8">
          <w:rPr>
            <w:noProof/>
            <w:webHidden/>
          </w:rPr>
          <w:fldChar w:fldCharType="end"/>
        </w:r>
      </w:hyperlink>
    </w:p>
    <w:p w14:paraId="6A58EE22"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94" w:history="1">
        <w:r w:rsidR="00F70FB8" w:rsidRPr="00637863">
          <w:rPr>
            <w:rStyle w:val="Hyperlink"/>
            <w:noProof/>
          </w:rPr>
          <w:t>6.3</w:t>
        </w:r>
        <w:r w:rsidR="00F70FB8">
          <w:rPr>
            <w:rFonts w:asciiTheme="minorHAnsi" w:eastAsiaTheme="minorEastAsia" w:hAnsiTheme="minorHAnsi" w:cstheme="minorBidi"/>
            <w:noProof/>
            <w:color w:val="auto"/>
            <w:szCs w:val="22"/>
          </w:rPr>
          <w:tab/>
        </w:r>
        <w:r w:rsidR="00F70FB8" w:rsidRPr="00637863">
          <w:rPr>
            <w:rStyle w:val="Hyperlink"/>
            <w:noProof/>
          </w:rPr>
          <w:t>State Royalties</w:t>
        </w:r>
        <w:r w:rsidR="00F70FB8">
          <w:rPr>
            <w:noProof/>
            <w:webHidden/>
          </w:rPr>
          <w:tab/>
        </w:r>
        <w:r w:rsidR="00F70FB8">
          <w:rPr>
            <w:noProof/>
            <w:webHidden/>
          </w:rPr>
          <w:fldChar w:fldCharType="begin"/>
        </w:r>
        <w:r w:rsidR="00F70FB8">
          <w:rPr>
            <w:noProof/>
            <w:webHidden/>
          </w:rPr>
          <w:instrText xml:space="preserve"> PAGEREF _Toc479770694 \h </w:instrText>
        </w:r>
        <w:r w:rsidR="00F70FB8">
          <w:rPr>
            <w:noProof/>
            <w:webHidden/>
          </w:rPr>
        </w:r>
        <w:r w:rsidR="00F70FB8">
          <w:rPr>
            <w:noProof/>
            <w:webHidden/>
          </w:rPr>
          <w:fldChar w:fldCharType="separate"/>
        </w:r>
        <w:r w:rsidR="00836082">
          <w:rPr>
            <w:noProof/>
            <w:webHidden/>
          </w:rPr>
          <w:t>114</w:t>
        </w:r>
        <w:r w:rsidR="00F70FB8">
          <w:rPr>
            <w:noProof/>
            <w:webHidden/>
          </w:rPr>
          <w:fldChar w:fldCharType="end"/>
        </w:r>
      </w:hyperlink>
    </w:p>
    <w:p w14:paraId="70B48962"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95" w:history="1">
        <w:r w:rsidR="00F70FB8" w:rsidRPr="00637863">
          <w:rPr>
            <w:rStyle w:val="Hyperlink"/>
            <w:noProof/>
          </w:rPr>
          <w:t>6.4</w:t>
        </w:r>
        <w:r w:rsidR="00F70FB8">
          <w:rPr>
            <w:rFonts w:asciiTheme="minorHAnsi" w:eastAsiaTheme="minorEastAsia" w:hAnsiTheme="minorHAnsi" w:cstheme="minorBidi"/>
            <w:noProof/>
            <w:color w:val="auto"/>
            <w:szCs w:val="22"/>
          </w:rPr>
          <w:tab/>
        </w:r>
        <w:r w:rsidR="00F70FB8" w:rsidRPr="00637863">
          <w:rPr>
            <w:rStyle w:val="Hyperlink"/>
            <w:noProof/>
          </w:rPr>
          <w:t>Other Revenues — Joint Petroleum Development Area</w:t>
        </w:r>
        <w:r w:rsidR="00F70FB8">
          <w:rPr>
            <w:noProof/>
            <w:webHidden/>
          </w:rPr>
          <w:tab/>
        </w:r>
        <w:r w:rsidR="00F70FB8">
          <w:rPr>
            <w:noProof/>
            <w:webHidden/>
          </w:rPr>
          <w:fldChar w:fldCharType="begin"/>
        </w:r>
        <w:r w:rsidR="00F70FB8">
          <w:rPr>
            <w:noProof/>
            <w:webHidden/>
          </w:rPr>
          <w:instrText xml:space="preserve"> PAGEREF _Toc479770695 \h </w:instrText>
        </w:r>
        <w:r w:rsidR="00F70FB8">
          <w:rPr>
            <w:noProof/>
            <w:webHidden/>
          </w:rPr>
        </w:r>
        <w:r w:rsidR="00F70FB8">
          <w:rPr>
            <w:noProof/>
            <w:webHidden/>
          </w:rPr>
          <w:fldChar w:fldCharType="separate"/>
        </w:r>
        <w:r w:rsidR="00836082">
          <w:rPr>
            <w:noProof/>
            <w:webHidden/>
          </w:rPr>
          <w:t>114</w:t>
        </w:r>
        <w:r w:rsidR="00F70FB8">
          <w:rPr>
            <w:noProof/>
            <w:webHidden/>
          </w:rPr>
          <w:fldChar w:fldCharType="end"/>
        </w:r>
      </w:hyperlink>
    </w:p>
    <w:p w14:paraId="5907582E"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696" w:history="1">
        <w:r w:rsidR="00F70FB8" w:rsidRPr="00637863">
          <w:rPr>
            <w:rStyle w:val="Hyperlink"/>
            <w:noProof/>
          </w:rPr>
          <w:t>6.5</w:t>
        </w:r>
        <w:r w:rsidR="00F70FB8">
          <w:rPr>
            <w:rFonts w:asciiTheme="minorHAnsi" w:eastAsiaTheme="minorEastAsia" w:hAnsiTheme="minorHAnsi" w:cstheme="minorBidi"/>
            <w:noProof/>
            <w:color w:val="auto"/>
            <w:szCs w:val="22"/>
          </w:rPr>
          <w:tab/>
        </w:r>
        <w:r w:rsidR="00F70FB8" w:rsidRPr="00637863">
          <w:rPr>
            <w:rStyle w:val="Hyperlink"/>
            <w:noProof/>
          </w:rPr>
          <w:t>Applying a Royalty to Offshore Petroleum</w:t>
        </w:r>
        <w:r w:rsidR="00F70FB8">
          <w:rPr>
            <w:noProof/>
            <w:webHidden/>
          </w:rPr>
          <w:tab/>
        </w:r>
        <w:r w:rsidR="00F70FB8">
          <w:rPr>
            <w:noProof/>
            <w:webHidden/>
          </w:rPr>
          <w:fldChar w:fldCharType="begin"/>
        </w:r>
        <w:r w:rsidR="00F70FB8">
          <w:rPr>
            <w:noProof/>
            <w:webHidden/>
          </w:rPr>
          <w:instrText xml:space="preserve"> PAGEREF _Toc479770696 \h </w:instrText>
        </w:r>
        <w:r w:rsidR="00F70FB8">
          <w:rPr>
            <w:noProof/>
            <w:webHidden/>
          </w:rPr>
        </w:r>
        <w:r w:rsidR="00F70FB8">
          <w:rPr>
            <w:noProof/>
            <w:webHidden/>
          </w:rPr>
          <w:fldChar w:fldCharType="separate"/>
        </w:r>
        <w:r w:rsidR="00836082">
          <w:rPr>
            <w:noProof/>
            <w:webHidden/>
          </w:rPr>
          <w:t>114</w:t>
        </w:r>
        <w:r w:rsidR="00F70FB8">
          <w:rPr>
            <w:noProof/>
            <w:webHidden/>
          </w:rPr>
          <w:fldChar w:fldCharType="end"/>
        </w:r>
      </w:hyperlink>
    </w:p>
    <w:p w14:paraId="09CEC5FD"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97" w:history="1">
        <w:r w:rsidR="00F70FB8" w:rsidRPr="00637863">
          <w:rPr>
            <w:rStyle w:val="Hyperlink"/>
            <w:noProof/>
          </w:rPr>
          <w:t>6.5.1</w:t>
        </w:r>
        <w:r w:rsidR="00F70FB8">
          <w:rPr>
            <w:rFonts w:asciiTheme="minorHAnsi" w:eastAsiaTheme="minorEastAsia" w:hAnsiTheme="minorHAnsi" w:cstheme="minorBidi"/>
            <w:noProof/>
            <w:color w:val="auto"/>
            <w:szCs w:val="22"/>
          </w:rPr>
          <w:tab/>
        </w:r>
        <w:r w:rsidR="00F70FB8" w:rsidRPr="00637863">
          <w:rPr>
            <w:rStyle w:val="Hyperlink"/>
            <w:noProof/>
          </w:rPr>
          <w:t>Impact of a new offshore royalty</w:t>
        </w:r>
        <w:r w:rsidR="00F70FB8">
          <w:rPr>
            <w:noProof/>
            <w:webHidden/>
          </w:rPr>
          <w:tab/>
        </w:r>
        <w:r w:rsidR="00F70FB8">
          <w:rPr>
            <w:noProof/>
            <w:webHidden/>
          </w:rPr>
          <w:fldChar w:fldCharType="begin"/>
        </w:r>
        <w:r w:rsidR="00F70FB8">
          <w:rPr>
            <w:noProof/>
            <w:webHidden/>
          </w:rPr>
          <w:instrText xml:space="preserve"> PAGEREF _Toc479770697 \h </w:instrText>
        </w:r>
        <w:r w:rsidR="00F70FB8">
          <w:rPr>
            <w:noProof/>
            <w:webHidden/>
          </w:rPr>
        </w:r>
        <w:r w:rsidR="00F70FB8">
          <w:rPr>
            <w:noProof/>
            <w:webHidden/>
          </w:rPr>
          <w:fldChar w:fldCharType="separate"/>
        </w:r>
        <w:r w:rsidR="00836082">
          <w:rPr>
            <w:noProof/>
            <w:webHidden/>
          </w:rPr>
          <w:t>116</w:t>
        </w:r>
        <w:r w:rsidR="00F70FB8">
          <w:rPr>
            <w:noProof/>
            <w:webHidden/>
          </w:rPr>
          <w:fldChar w:fldCharType="end"/>
        </w:r>
      </w:hyperlink>
    </w:p>
    <w:p w14:paraId="5C8E3640"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98" w:history="1">
        <w:r w:rsidR="00F70FB8" w:rsidRPr="00637863">
          <w:rPr>
            <w:rStyle w:val="Hyperlink"/>
            <w:noProof/>
          </w:rPr>
          <w:t>6.5.2</w:t>
        </w:r>
        <w:r w:rsidR="00F70FB8">
          <w:rPr>
            <w:rFonts w:asciiTheme="minorHAnsi" w:eastAsiaTheme="minorEastAsia" w:hAnsiTheme="minorHAnsi" w:cstheme="minorBidi"/>
            <w:noProof/>
            <w:color w:val="auto"/>
            <w:szCs w:val="22"/>
          </w:rPr>
          <w:tab/>
        </w:r>
        <w:r w:rsidR="00F70FB8" w:rsidRPr="00637863">
          <w:rPr>
            <w:rStyle w:val="Hyperlink"/>
            <w:noProof/>
          </w:rPr>
          <w:t>Capping yearly deductions</w:t>
        </w:r>
        <w:r w:rsidR="00F70FB8">
          <w:rPr>
            <w:noProof/>
            <w:webHidden/>
          </w:rPr>
          <w:tab/>
        </w:r>
        <w:r w:rsidR="00F70FB8">
          <w:rPr>
            <w:noProof/>
            <w:webHidden/>
          </w:rPr>
          <w:fldChar w:fldCharType="begin"/>
        </w:r>
        <w:r w:rsidR="00F70FB8">
          <w:rPr>
            <w:noProof/>
            <w:webHidden/>
          </w:rPr>
          <w:instrText xml:space="preserve"> PAGEREF _Toc479770698 \h </w:instrText>
        </w:r>
        <w:r w:rsidR="00F70FB8">
          <w:rPr>
            <w:noProof/>
            <w:webHidden/>
          </w:rPr>
        </w:r>
        <w:r w:rsidR="00F70FB8">
          <w:rPr>
            <w:noProof/>
            <w:webHidden/>
          </w:rPr>
          <w:fldChar w:fldCharType="separate"/>
        </w:r>
        <w:r w:rsidR="00836082">
          <w:rPr>
            <w:noProof/>
            <w:webHidden/>
          </w:rPr>
          <w:t>118</w:t>
        </w:r>
        <w:r w:rsidR="00F70FB8">
          <w:rPr>
            <w:noProof/>
            <w:webHidden/>
          </w:rPr>
          <w:fldChar w:fldCharType="end"/>
        </w:r>
      </w:hyperlink>
    </w:p>
    <w:p w14:paraId="56C4300E"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699" w:history="1">
        <w:r w:rsidR="00F70FB8" w:rsidRPr="00637863">
          <w:rPr>
            <w:rStyle w:val="Hyperlink"/>
            <w:noProof/>
          </w:rPr>
          <w:t>6.5.3</w:t>
        </w:r>
        <w:r w:rsidR="00F70FB8">
          <w:rPr>
            <w:rFonts w:asciiTheme="minorHAnsi" w:eastAsiaTheme="minorEastAsia" w:hAnsiTheme="minorHAnsi" w:cstheme="minorBidi"/>
            <w:noProof/>
            <w:color w:val="auto"/>
            <w:szCs w:val="22"/>
          </w:rPr>
          <w:tab/>
        </w:r>
        <w:r w:rsidR="00F70FB8" w:rsidRPr="00637863">
          <w:rPr>
            <w:rStyle w:val="Hyperlink"/>
            <w:noProof/>
          </w:rPr>
          <w:t>Impact of a delayed offshore royalty</w:t>
        </w:r>
        <w:r w:rsidR="00F70FB8">
          <w:rPr>
            <w:noProof/>
            <w:webHidden/>
          </w:rPr>
          <w:tab/>
        </w:r>
        <w:r w:rsidR="00F70FB8">
          <w:rPr>
            <w:noProof/>
            <w:webHidden/>
          </w:rPr>
          <w:fldChar w:fldCharType="begin"/>
        </w:r>
        <w:r w:rsidR="00F70FB8">
          <w:rPr>
            <w:noProof/>
            <w:webHidden/>
          </w:rPr>
          <w:instrText xml:space="preserve"> PAGEREF _Toc479770699 \h </w:instrText>
        </w:r>
        <w:r w:rsidR="00F70FB8">
          <w:rPr>
            <w:noProof/>
            <w:webHidden/>
          </w:rPr>
        </w:r>
        <w:r w:rsidR="00F70FB8">
          <w:rPr>
            <w:noProof/>
            <w:webHidden/>
          </w:rPr>
          <w:fldChar w:fldCharType="separate"/>
        </w:r>
        <w:r w:rsidR="00836082">
          <w:rPr>
            <w:noProof/>
            <w:webHidden/>
          </w:rPr>
          <w:t>119</w:t>
        </w:r>
        <w:r w:rsidR="00F70FB8">
          <w:rPr>
            <w:noProof/>
            <w:webHidden/>
          </w:rPr>
          <w:fldChar w:fldCharType="end"/>
        </w:r>
      </w:hyperlink>
    </w:p>
    <w:p w14:paraId="3F747E20"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00" w:history="1">
        <w:r w:rsidR="00F70FB8" w:rsidRPr="00637863">
          <w:rPr>
            <w:rStyle w:val="Hyperlink"/>
            <w:noProof/>
          </w:rPr>
          <w:t>6.5.4</w:t>
        </w:r>
        <w:r w:rsidR="00F70FB8">
          <w:rPr>
            <w:rFonts w:asciiTheme="minorHAnsi" w:eastAsiaTheme="minorEastAsia" w:hAnsiTheme="minorHAnsi" w:cstheme="minorBidi"/>
            <w:noProof/>
            <w:color w:val="auto"/>
            <w:szCs w:val="22"/>
          </w:rPr>
          <w:tab/>
        </w:r>
        <w:r w:rsidR="00F70FB8" w:rsidRPr="00637863">
          <w:rPr>
            <w:rStyle w:val="Hyperlink"/>
            <w:noProof/>
          </w:rPr>
          <w:t>Overlapping coverage of PRRT, royalties and excise</w:t>
        </w:r>
        <w:r w:rsidR="00F70FB8">
          <w:rPr>
            <w:noProof/>
            <w:webHidden/>
          </w:rPr>
          <w:tab/>
        </w:r>
        <w:r w:rsidR="00F70FB8">
          <w:rPr>
            <w:noProof/>
            <w:webHidden/>
          </w:rPr>
          <w:fldChar w:fldCharType="begin"/>
        </w:r>
        <w:r w:rsidR="00F70FB8">
          <w:rPr>
            <w:noProof/>
            <w:webHidden/>
          </w:rPr>
          <w:instrText xml:space="preserve"> PAGEREF _Toc479770700 \h </w:instrText>
        </w:r>
        <w:r w:rsidR="00F70FB8">
          <w:rPr>
            <w:noProof/>
            <w:webHidden/>
          </w:rPr>
        </w:r>
        <w:r w:rsidR="00F70FB8">
          <w:rPr>
            <w:noProof/>
            <w:webHidden/>
          </w:rPr>
          <w:fldChar w:fldCharType="separate"/>
        </w:r>
        <w:r w:rsidR="00836082">
          <w:rPr>
            <w:noProof/>
            <w:webHidden/>
          </w:rPr>
          <w:t>120</w:t>
        </w:r>
        <w:r w:rsidR="00F70FB8">
          <w:rPr>
            <w:noProof/>
            <w:webHidden/>
          </w:rPr>
          <w:fldChar w:fldCharType="end"/>
        </w:r>
      </w:hyperlink>
    </w:p>
    <w:p w14:paraId="731760D2"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01" w:history="1">
        <w:r w:rsidR="00F70FB8" w:rsidRPr="00637863">
          <w:rPr>
            <w:rStyle w:val="Hyperlink"/>
            <w:noProof/>
          </w:rPr>
          <w:t>6.5.5</w:t>
        </w:r>
        <w:r w:rsidR="00F70FB8">
          <w:rPr>
            <w:rFonts w:asciiTheme="minorHAnsi" w:eastAsiaTheme="minorEastAsia" w:hAnsiTheme="minorHAnsi" w:cstheme="minorBidi"/>
            <w:noProof/>
            <w:color w:val="auto"/>
            <w:szCs w:val="22"/>
          </w:rPr>
          <w:tab/>
        </w:r>
        <w:r w:rsidR="00F70FB8" w:rsidRPr="00637863">
          <w:rPr>
            <w:rStyle w:val="Hyperlink"/>
            <w:noProof/>
          </w:rPr>
          <w:t>Royalties for regions</w:t>
        </w:r>
        <w:r w:rsidR="00F70FB8">
          <w:rPr>
            <w:noProof/>
            <w:webHidden/>
          </w:rPr>
          <w:tab/>
        </w:r>
        <w:r w:rsidR="00F70FB8">
          <w:rPr>
            <w:noProof/>
            <w:webHidden/>
          </w:rPr>
          <w:fldChar w:fldCharType="begin"/>
        </w:r>
        <w:r w:rsidR="00F70FB8">
          <w:rPr>
            <w:noProof/>
            <w:webHidden/>
          </w:rPr>
          <w:instrText xml:space="preserve"> PAGEREF _Toc479770701 \h </w:instrText>
        </w:r>
        <w:r w:rsidR="00F70FB8">
          <w:rPr>
            <w:noProof/>
            <w:webHidden/>
          </w:rPr>
        </w:r>
        <w:r w:rsidR="00F70FB8">
          <w:rPr>
            <w:noProof/>
            <w:webHidden/>
          </w:rPr>
          <w:fldChar w:fldCharType="separate"/>
        </w:r>
        <w:r w:rsidR="00836082">
          <w:rPr>
            <w:noProof/>
            <w:webHidden/>
          </w:rPr>
          <w:t>121</w:t>
        </w:r>
        <w:r w:rsidR="00F70FB8">
          <w:rPr>
            <w:noProof/>
            <w:webHidden/>
          </w:rPr>
          <w:fldChar w:fldCharType="end"/>
        </w:r>
      </w:hyperlink>
    </w:p>
    <w:p w14:paraId="62EA5844" w14:textId="77777777" w:rsidR="00F70FB8" w:rsidRDefault="00C46B37">
      <w:pPr>
        <w:pStyle w:val="TOC1"/>
        <w:tabs>
          <w:tab w:val="left" w:pos="880"/>
        </w:tabs>
        <w:rPr>
          <w:rFonts w:asciiTheme="minorHAnsi" w:eastAsiaTheme="minorEastAsia" w:hAnsiTheme="minorHAnsi" w:cstheme="minorBidi"/>
          <w:b w:val="0"/>
          <w:noProof/>
          <w:color w:val="auto"/>
          <w:sz w:val="22"/>
        </w:rPr>
      </w:pPr>
      <w:hyperlink w:anchor="_Toc479770702" w:history="1">
        <w:r w:rsidR="00F70FB8" w:rsidRPr="00637863">
          <w:rPr>
            <w:rStyle w:val="Hyperlink"/>
            <w:noProof/>
          </w:rPr>
          <w:t>7.</w:t>
        </w:r>
        <w:r w:rsidR="00F70FB8">
          <w:rPr>
            <w:rFonts w:asciiTheme="minorHAnsi" w:eastAsiaTheme="minorEastAsia" w:hAnsiTheme="minorHAnsi" w:cstheme="minorBidi"/>
            <w:b w:val="0"/>
            <w:noProof/>
            <w:color w:val="auto"/>
            <w:sz w:val="22"/>
          </w:rPr>
          <w:tab/>
        </w:r>
        <w:r w:rsidR="00F70FB8" w:rsidRPr="00637863">
          <w:rPr>
            <w:rStyle w:val="Hyperlink"/>
            <w:noProof/>
          </w:rPr>
          <w:t>Other Issues</w:t>
        </w:r>
        <w:r w:rsidR="00F70FB8">
          <w:rPr>
            <w:noProof/>
            <w:webHidden/>
          </w:rPr>
          <w:tab/>
        </w:r>
        <w:r w:rsidR="00F70FB8">
          <w:rPr>
            <w:noProof/>
            <w:webHidden/>
          </w:rPr>
          <w:fldChar w:fldCharType="begin"/>
        </w:r>
        <w:r w:rsidR="00F70FB8">
          <w:rPr>
            <w:noProof/>
            <w:webHidden/>
          </w:rPr>
          <w:instrText xml:space="preserve"> PAGEREF _Toc479770702 \h </w:instrText>
        </w:r>
        <w:r w:rsidR="00F70FB8">
          <w:rPr>
            <w:noProof/>
            <w:webHidden/>
          </w:rPr>
        </w:r>
        <w:r w:rsidR="00F70FB8">
          <w:rPr>
            <w:noProof/>
            <w:webHidden/>
          </w:rPr>
          <w:fldChar w:fldCharType="separate"/>
        </w:r>
        <w:r w:rsidR="00836082">
          <w:rPr>
            <w:noProof/>
            <w:webHidden/>
          </w:rPr>
          <w:t>123</w:t>
        </w:r>
        <w:r w:rsidR="00F70FB8">
          <w:rPr>
            <w:noProof/>
            <w:webHidden/>
          </w:rPr>
          <w:fldChar w:fldCharType="end"/>
        </w:r>
      </w:hyperlink>
    </w:p>
    <w:p w14:paraId="53490BD5"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03" w:history="1">
        <w:r w:rsidR="00F70FB8" w:rsidRPr="00637863">
          <w:rPr>
            <w:rStyle w:val="Hyperlink"/>
            <w:noProof/>
          </w:rPr>
          <w:t>7.1</w:t>
        </w:r>
        <w:r w:rsidR="00F70FB8">
          <w:rPr>
            <w:rFonts w:asciiTheme="minorHAnsi" w:eastAsiaTheme="minorEastAsia" w:hAnsiTheme="minorHAnsi" w:cstheme="minorBidi"/>
            <w:noProof/>
            <w:color w:val="auto"/>
            <w:szCs w:val="22"/>
          </w:rPr>
          <w:tab/>
        </w:r>
        <w:r w:rsidR="00F70FB8" w:rsidRPr="00637863">
          <w:rPr>
            <w:rStyle w:val="Hyperlink"/>
            <w:noProof/>
          </w:rPr>
          <w:t>Government Involvement</w:t>
        </w:r>
        <w:r w:rsidR="00F70FB8">
          <w:rPr>
            <w:noProof/>
            <w:webHidden/>
          </w:rPr>
          <w:tab/>
        </w:r>
        <w:r w:rsidR="00F70FB8">
          <w:rPr>
            <w:noProof/>
            <w:webHidden/>
          </w:rPr>
          <w:fldChar w:fldCharType="begin"/>
        </w:r>
        <w:r w:rsidR="00F70FB8">
          <w:rPr>
            <w:noProof/>
            <w:webHidden/>
          </w:rPr>
          <w:instrText xml:space="preserve"> PAGEREF _Toc479770703 \h </w:instrText>
        </w:r>
        <w:r w:rsidR="00F70FB8">
          <w:rPr>
            <w:noProof/>
            <w:webHidden/>
          </w:rPr>
        </w:r>
        <w:r w:rsidR="00F70FB8">
          <w:rPr>
            <w:noProof/>
            <w:webHidden/>
          </w:rPr>
          <w:fldChar w:fldCharType="separate"/>
        </w:r>
        <w:r w:rsidR="00836082">
          <w:rPr>
            <w:noProof/>
            <w:webHidden/>
          </w:rPr>
          <w:t>123</w:t>
        </w:r>
        <w:r w:rsidR="00F70FB8">
          <w:rPr>
            <w:noProof/>
            <w:webHidden/>
          </w:rPr>
          <w:fldChar w:fldCharType="end"/>
        </w:r>
      </w:hyperlink>
    </w:p>
    <w:p w14:paraId="3457D022"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04" w:history="1">
        <w:r w:rsidR="00F70FB8" w:rsidRPr="00637863">
          <w:rPr>
            <w:rStyle w:val="Hyperlink"/>
            <w:noProof/>
          </w:rPr>
          <w:t>7.2</w:t>
        </w:r>
        <w:r w:rsidR="00F70FB8">
          <w:rPr>
            <w:rFonts w:asciiTheme="minorHAnsi" w:eastAsiaTheme="minorEastAsia" w:hAnsiTheme="minorHAnsi" w:cstheme="minorBidi"/>
            <w:noProof/>
            <w:color w:val="auto"/>
            <w:szCs w:val="22"/>
          </w:rPr>
          <w:tab/>
        </w:r>
        <w:r w:rsidR="00F70FB8" w:rsidRPr="00637863">
          <w:rPr>
            <w:rStyle w:val="Hyperlink"/>
            <w:noProof/>
          </w:rPr>
          <w:t>Environmental Concerns</w:t>
        </w:r>
        <w:r w:rsidR="00F70FB8">
          <w:rPr>
            <w:noProof/>
            <w:webHidden/>
          </w:rPr>
          <w:tab/>
        </w:r>
        <w:r w:rsidR="00F70FB8">
          <w:rPr>
            <w:noProof/>
            <w:webHidden/>
          </w:rPr>
          <w:fldChar w:fldCharType="begin"/>
        </w:r>
        <w:r w:rsidR="00F70FB8">
          <w:rPr>
            <w:noProof/>
            <w:webHidden/>
          </w:rPr>
          <w:instrText xml:space="preserve"> PAGEREF _Toc479770704 \h </w:instrText>
        </w:r>
        <w:r w:rsidR="00F70FB8">
          <w:rPr>
            <w:noProof/>
            <w:webHidden/>
          </w:rPr>
        </w:r>
        <w:r w:rsidR="00F70FB8">
          <w:rPr>
            <w:noProof/>
            <w:webHidden/>
          </w:rPr>
          <w:fldChar w:fldCharType="separate"/>
        </w:r>
        <w:r w:rsidR="00836082">
          <w:rPr>
            <w:noProof/>
            <w:webHidden/>
          </w:rPr>
          <w:t>123</w:t>
        </w:r>
        <w:r w:rsidR="00F70FB8">
          <w:rPr>
            <w:noProof/>
            <w:webHidden/>
          </w:rPr>
          <w:fldChar w:fldCharType="end"/>
        </w:r>
      </w:hyperlink>
    </w:p>
    <w:p w14:paraId="27D87574"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05" w:history="1">
        <w:r w:rsidR="00F70FB8" w:rsidRPr="00637863">
          <w:rPr>
            <w:rStyle w:val="Hyperlink"/>
            <w:noProof/>
          </w:rPr>
          <w:t>7.3</w:t>
        </w:r>
        <w:r w:rsidR="00F70FB8">
          <w:rPr>
            <w:rFonts w:asciiTheme="minorHAnsi" w:eastAsiaTheme="minorEastAsia" w:hAnsiTheme="minorHAnsi" w:cstheme="minorBidi"/>
            <w:noProof/>
            <w:color w:val="auto"/>
            <w:szCs w:val="22"/>
          </w:rPr>
          <w:tab/>
        </w:r>
        <w:r w:rsidR="00F70FB8" w:rsidRPr="00637863">
          <w:rPr>
            <w:rStyle w:val="Hyperlink"/>
            <w:noProof/>
          </w:rPr>
          <w:t>Profit Shifting</w:t>
        </w:r>
        <w:r w:rsidR="00F70FB8">
          <w:rPr>
            <w:noProof/>
            <w:webHidden/>
          </w:rPr>
          <w:tab/>
        </w:r>
        <w:r w:rsidR="00F70FB8">
          <w:rPr>
            <w:noProof/>
            <w:webHidden/>
          </w:rPr>
          <w:fldChar w:fldCharType="begin"/>
        </w:r>
        <w:r w:rsidR="00F70FB8">
          <w:rPr>
            <w:noProof/>
            <w:webHidden/>
          </w:rPr>
          <w:instrText xml:space="preserve"> PAGEREF _Toc479770705 \h </w:instrText>
        </w:r>
        <w:r w:rsidR="00F70FB8">
          <w:rPr>
            <w:noProof/>
            <w:webHidden/>
          </w:rPr>
        </w:r>
        <w:r w:rsidR="00F70FB8">
          <w:rPr>
            <w:noProof/>
            <w:webHidden/>
          </w:rPr>
          <w:fldChar w:fldCharType="separate"/>
        </w:r>
        <w:r w:rsidR="00836082">
          <w:rPr>
            <w:noProof/>
            <w:webHidden/>
          </w:rPr>
          <w:t>124</w:t>
        </w:r>
        <w:r w:rsidR="00F70FB8">
          <w:rPr>
            <w:noProof/>
            <w:webHidden/>
          </w:rPr>
          <w:fldChar w:fldCharType="end"/>
        </w:r>
      </w:hyperlink>
    </w:p>
    <w:p w14:paraId="361EB975" w14:textId="77777777" w:rsidR="00F70FB8" w:rsidRDefault="00C46B37">
      <w:pPr>
        <w:pStyle w:val="TOC1"/>
        <w:rPr>
          <w:rFonts w:asciiTheme="minorHAnsi" w:eastAsiaTheme="minorEastAsia" w:hAnsiTheme="minorHAnsi" w:cstheme="minorBidi"/>
          <w:b w:val="0"/>
          <w:noProof/>
          <w:color w:val="auto"/>
          <w:sz w:val="22"/>
        </w:rPr>
      </w:pPr>
      <w:hyperlink w:anchor="_Toc479770706" w:history="1">
        <w:r w:rsidR="00F70FB8" w:rsidRPr="00637863">
          <w:rPr>
            <w:rStyle w:val="Hyperlink"/>
            <w:noProof/>
          </w:rPr>
          <w:t>Bibliography</w:t>
        </w:r>
        <w:r w:rsidR="00F70FB8">
          <w:rPr>
            <w:noProof/>
            <w:webHidden/>
          </w:rPr>
          <w:tab/>
        </w:r>
        <w:r w:rsidR="00F70FB8">
          <w:rPr>
            <w:noProof/>
            <w:webHidden/>
          </w:rPr>
          <w:fldChar w:fldCharType="begin"/>
        </w:r>
        <w:r w:rsidR="00F70FB8">
          <w:rPr>
            <w:noProof/>
            <w:webHidden/>
          </w:rPr>
          <w:instrText xml:space="preserve"> PAGEREF _Toc479770706 \h </w:instrText>
        </w:r>
        <w:r w:rsidR="00F70FB8">
          <w:rPr>
            <w:noProof/>
            <w:webHidden/>
          </w:rPr>
        </w:r>
        <w:r w:rsidR="00F70FB8">
          <w:rPr>
            <w:noProof/>
            <w:webHidden/>
          </w:rPr>
          <w:fldChar w:fldCharType="separate"/>
        </w:r>
        <w:r w:rsidR="00836082">
          <w:rPr>
            <w:noProof/>
            <w:webHidden/>
          </w:rPr>
          <w:t>125</w:t>
        </w:r>
        <w:r w:rsidR="00F70FB8">
          <w:rPr>
            <w:noProof/>
            <w:webHidden/>
          </w:rPr>
          <w:fldChar w:fldCharType="end"/>
        </w:r>
      </w:hyperlink>
    </w:p>
    <w:p w14:paraId="53BDA0EF" w14:textId="77777777" w:rsidR="00F70FB8" w:rsidRDefault="00C46B37">
      <w:pPr>
        <w:pStyle w:val="TOC1"/>
        <w:rPr>
          <w:rFonts w:asciiTheme="minorHAnsi" w:eastAsiaTheme="minorEastAsia" w:hAnsiTheme="minorHAnsi" w:cstheme="minorBidi"/>
          <w:b w:val="0"/>
          <w:noProof/>
          <w:color w:val="auto"/>
          <w:sz w:val="22"/>
        </w:rPr>
      </w:pPr>
      <w:hyperlink w:anchor="_Toc479770707" w:history="1">
        <w:r w:rsidR="00F70FB8" w:rsidRPr="00637863">
          <w:rPr>
            <w:rStyle w:val="Hyperlink"/>
            <w:noProof/>
          </w:rPr>
          <w:t>Appendix A — Australia’s Major Oil and Gas Projects</w:t>
        </w:r>
        <w:r w:rsidR="00F70FB8">
          <w:rPr>
            <w:noProof/>
            <w:webHidden/>
          </w:rPr>
          <w:tab/>
        </w:r>
        <w:r w:rsidR="00F70FB8">
          <w:rPr>
            <w:noProof/>
            <w:webHidden/>
          </w:rPr>
          <w:fldChar w:fldCharType="begin"/>
        </w:r>
        <w:r w:rsidR="00F70FB8">
          <w:rPr>
            <w:noProof/>
            <w:webHidden/>
          </w:rPr>
          <w:instrText xml:space="preserve"> PAGEREF _Toc479770707 \h </w:instrText>
        </w:r>
        <w:r w:rsidR="00F70FB8">
          <w:rPr>
            <w:noProof/>
            <w:webHidden/>
          </w:rPr>
        </w:r>
        <w:r w:rsidR="00F70FB8">
          <w:rPr>
            <w:noProof/>
            <w:webHidden/>
          </w:rPr>
          <w:fldChar w:fldCharType="separate"/>
        </w:r>
        <w:r w:rsidR="00836082">
          <w:rPr>
            <w:noProof/>
            <w:webHidden/>
          </w:rPr>
          <w:t>129</w:t>
        </w:r>
        <w:r w:rsidR="00F70FB8">
          <w:rPr>
            <w:noProof/>
            <w:webHidden/>
          </w:rPr>
          <w:fldChar w:fldCharType="end"/>
        </w:r>
      </w:hyperlink>
    </w:p>
    <w:p w14:paraId="4CAD4BE4" w14:textId="77777777" w:rsidR="00F70FB8" w:rsidRDefault="00F70FB8">
      <w:pPr>
        <w:spacing w:after="0" w:line="240" w:lineRule="auto"/>
        <w:jc w:val="left"/>
        <w:rPr>
          <w:rStyle w:val="Hyperlink"/>
          <w:rFonts w:ascii="Century Gothic" w:hAnsi="Century Gothic"/>
          <w:b/>
          <w:noProof/>
          <w:sz w:val="24"/>
          <w:szCs w:val="22"/>
        </w:rPr>
      </w:pPr>
      <w:r>
        <w:rPr>
          <w:rStyle w:val="Hyperlink"/>
          <w:noProof/>
        </w:rPr>
        <w:br w:type="page"/>
      </w:r>
    </w:p>
    <w:p w14:paraId="2CD3CC17" w14:textId="745A70FB" w:rsidR="00F70FB8" w:rsidRDefault="00C46B37">
      <w:pPr>
        <w:pStyle w:val="TOC1"/>
        <w:rPr>
          <w:rFonts w:asciiTheme="minorHAnsi" w:eastAsiaTheme="minorEastAsia" w:hAnsiTheme="minorHAnsi" w:cstheme="minorBidi"/>
          <w:b w:val="0"/>
          <w:noProof/>
          <w:color w:val="auto"/>
          <w:sz w:val="22"/>
        </w:rPr>
      </w:pPr>
      <w:hyperlink w:anchor="_Toc479770708" w:history="1">
        <w:r w:rsidR="00F70FB8" w:rsidRPr="00637863">
          <w:rPr>
            <w:rStyle w:val="Hyperlink"/>
            <w:noProof/>
          </w:rPr>
          <w:t>Appendix B — Operation and Administration of the PRRT</w:t>
        </w:r>
        <w:r w:rsidR="00F70FB8">
          <w:rPr>
            <w:noProof/>
            <w:webHidden/>
          </w:rPr>
          <w:tab/>
        </w:r>
        <w:r w:rsidR="00F70FB8">
          <w:rPr>
            <w:noProof/>
            <w:webHidden/>
          </w:rPr>
          <w:fldChar w:fldCharType="begin"/>
        </w:r>
        <w:r w:rsidR="00F70FB8">
          <w:rPr>
            <w:noProof/>
            <w:webHidden/>
          </w:rPr>
          <w:instrText xml:space="preserve"> PAGEREF _Toc479770708 \h </w:instrText>
        </w:r>
        <w:r w:rsidR="00F70FB8">
          <w:rPr>
            <w:noProof/>
            <w:webHidden/>
          </w:rPr>
        </w:r>
        <w:r w:rsidR="00F70FB8">
          <w:rPr>
            <w:noProof/>
            <w:webHidden/>
          </w:rPr>
          <w:fldChar w:fldCharType="separate"/>
        </w:r>
        <w:r w:rsidR="00836082">
          <w:rPr>
            <w:noProof/>
            <w:webHidden/>
          </w:rPr>
          <w:t>131</w:t>
        </w:r>
        <w:r w:rsidR="00F70FB8">
          <w:rPr>
            <w:noProof/>
            <w:webHidden/>
          </w:rPr>
          <w:fldChar w:fldCharType="end"/>
        </w:r>
      </w:hyperlink>
    </w:p>
    <w:p w14:paraId="54494AF9"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09" w:history="1">
        <w:r w:rsidR="00F70FB8" w:rsidRPr="00637863">
          <w:rPr>
            <w:rStyle w:val="Hyperlink"/>
            <w:noProof/>
          </w:rPr>
          <w:t>B.1</w:t>
        </w:r>
        <w:r w:rsidR="00F70FB8">
          <w:rPr>
            <w:rFonts w:asciiTheme="minorHAnsi" w:eastAsiaTheme="minorEastAsia" w:hAnsiTheme="minorHAnsi" w:cstheme="minorBidi"/>
            <w:noProof/>
            <w:color w:val="auto"/>
            <w:szCs w:val="22"/>
          </w:rPr>
          <w:tab/>
        </w:r>
        <w:r w:rsidR="00F70FB8" w:rsidRPr="00637863">
          <w:rPr>
            <w:rStyle w:val="Hyperlink"/>
            <w:noProof/>
          </w:rPr>
          <w:t>Operation of the PRRT</w:t>
        </w:r>
        <w:r w:rsidR="00F70FB8">
          <w:rPr>
            <w:noProof/>
            <w:webHidden/>
          </w:rPr>
          <w:tab/>
        </w:r>
        <w:r w:rsidR="00F70FB8">
          <w:rPr>
            <w:noProof/>
            <w:webHidden/>
          </w:rPr>
          <w:fldChar w:fldCharType="begin"/>
        </w:r>
        <w:r w:rsidR="00F70FB8">
          <w:rPr>
            <w:noProof/>
            <w:webHidden/>
          </w:rPr>
          <w:instrText xml:space="preserve"> PAGEREF _Toc479770709 \h </w:instrText>
        </w:r>
        <w:r w:rsidR="00F70FB8">
          <w:rPr>
            <w:noProof/>
            <w:webHidden/>
          </w:rPr>
        </w:r>
        <w:r w:rsidR="00F70FB8">
          <w:rPr>
            <w:noProof/>
            <w:webHidden/>
          </w:rPr>
          <w:fldChar w:fldCharType="separate"/>
        </w:r>
        <w:r w:rsidR="00836082">
          <w:rPr>
            <w:noProof/>
            <w:webHidden/>
          </w:rPr>
          <w:t>131</w:t>
        </w:r>
        <w:r w:rsidR="00F70FB8">
          <w:rPr>
            <w:noProof/>
            <w:webHidden/>
          </w:rPr>
          <w:fldChar w:fldCharType="end"/>
        </w:r>
      </w:hyperlink>
    </w:p>
    <w:p w14:paraId="1ACE0A47"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0" w:history="1">
        <w:r w:rsidR="00F70FB8" w:rsidRPr="00637863">
          <w:rPr>
            <w:rStyle w:val="Hyperlink"/>
            <w:noProof/>
          </w:rPr>
          <w:t>B.1.1</w:t>
        </w:r>
        <w:r w:rsidR="00F70FB8">
          <w:rPr>
            <w:rFonts w:asciiTheme="minorHAnsi" w:eastAsiaTheme="minorEastAsia" w:hAnsiTheme="minorHAnsi" w:cstheme="minorBidi"/>
            <w:noProof/>
            <w:color w:val="auto"/>
            <w:szCs w:val="22"/>
          </w:rPr>
          <w:tab/>
        </w:r>
        <w:r w:rsidR="00F70FB8" w:rsidRPr="00637863">
          <w:rPr>
            <w:rStyle w:val="Hyperlink"/>
            <w:noProof/>
          </w:rPr>
          <w:t>The PRRT rate</w:t>
        </w:r>
        <w:r w:rsidR="00F70FB8">
          <w:rPr>
            <w:noProof/>
            <w:webHidden/>
          </w:rPr>
          <w:tab/>
        </w:r>
        <w:r w:rsidR="00F70FB8">
          <w:rPr>
            <w:noProof/>
            <w:webHidden/>
          </w:rPr>
          <w:fldChar w:fldCharType="begin"/>
        </w:r>
        <w:r w:rsidR="00F70FB8">
          <w:rPr>
            <w:noProof/>
            <w:webHidden/>
          </w:rPr>
          <w:instrText xml:space="preserve"> PAGEREF _Toc479770710 \h </w:instrText>
        </w:r>
        <w:r w:rsidR="00F70FB8">
          <w:rPr>
            <w:noProof/>
            <w:webHidden/>
          </w:rPr>
        </w:r>
        <w:r w:rsidR="00F70FB8">
          <w:rPr>
            <w:noProof/>
            <w:webHidden/>
          </w:rPr>
          <w:fldChar w:fldCharType="separate"/>
        </w:r>
        <w:r w:rsidR="00836082">
          <w:rPr>
            <w:noProof/>
            <w:webHidden/>
          </w:rPr>
          <w:t>132</w:t>
        </w:r>
        <w:r w:rsidR="00F70FB8">
          <w:rPr>
            <w:noProof/>
            <w:webHidden/>
          </w:rPr>
          <w:fldChar w:fldCharType="end"/>
        </w:r>
      </w:hyperlink>
    </w:p>
    <w:p w14:paraId="6D6CF4C5"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1" w:history="1">
        <w:r w:rsidR="00F70FB8" w:rsidRPr="00637863">
          <w:rPr>
            <w:rStyle w:val="Hyperlink"/>
            <w:noProof/>
          </w:rPr>
          <w:t>B.1.2</w:t>
        </w:r>
        <w:r w:rsidR="00F70FB8">
          <w:rPr>
            <w:rFonts w:asciiTheme="minorHAnsi" w:eastAsiaTheme="minorEastAsia" w:hAnsiTheme="minorHAnsi" w:cstheme="minorBidi"/>
            <w:noProof/>
            <w:color w:val="auto"/>
            <w:szCs w:val="22"/>
          </w:rPr>
          <w:tab/>
        </w:r>
        <w:r w:rsidR="00F70FB8" w:rsidRPr="00637863">
          <w:rPr>
            <w:rStyle w:val="Hyperlink"/>
            <w:noProof/>
          </w:rPr>
          <w:t>Assessable petroleum receipts</w:t>
        </w:r>
        <w:r w:rsidR="00F70FB8">
          <w:rPr>
            <w:noProof/>
            <w:webHidden/>
          </w:rPr>
          <w:tab/>
        </w:r>
        <w:r w:rsidR="00F70FB8">
          <w:rPr>
            <w:noProof/>
            <w:webHidden/>
          </w:rPr>
          <w:fldChar w:fldCharType="begin"/>
        </w:r>
        <w:r w:rsidR="00F70FB8">
          <w:rPr>
            <w:noProof/>
            <w:webHidden/>
          </w:rPr>
          <w:instrText xml:space="preserve"> PAGEREF _Toc479770711 \h </w:instrText>
        </w:r>
        <w:r w:rsidR="00F70FB8">
          <w:rPr>
            <w:noProof/>
            <w:webHidden/>
          </w:rPr>
        </w:r>
        <w:r w:rsidR="00F70FB8">
          <w:rPr>
            <w:noProof/>
            <w:webHidden/>
          </w:rPr>
          <w:fldChar w:fldCharType="separate"/>
        </w:r>
        <w:r w:rsidR="00836082">
          <w:rPr>
            <w:noProof/>
            <w:webHidden/>
          </w:rPr>
          <w:t>132</w:t>
        </w:r>
        <w:r w:rsidR="00F70FB8">
          <w:rPr>
            <w:noProof/>
            <w:webHidden/>
          </w:rPr>
          <w:fldChar w:fldCharType="end"/>
        </w:r>
      </w:hyperlink>
    </w:p>
    <w:p w14:paraId="07F72580"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2" w:history="1">
        <w:r w:rsidR="00F70FB8" w:rsidRPr="00637863">
          <w:rPr>
            <w:rStyle w:val="Hyperlink"/>
            <w:noProof/>
          </w:rPr>
          <w:t>B.1.3</w:t>
        </w:r>
        <w:r w:rsidR="00F70FB8">
          <w:rPr>
            <w:rFonts w:asciiTheme="minorHAnsi" w:eastAsiaTheme="minorEastAsia" w:hAnsiTheme="minorHAnsi" w:cstheme="minorBidi"/>
            <w:noProof/>
            <w:color w:val="auto"/>
            <w:szCs w:val="22"/>
          </w:rPr>
          <w:tab/>
        </w:r>
        <w:r w:rsidR="00F70FB8" w:rsidRPr="00637863">
          <w:rPr>
            <w:rStyle w:val="Hyperlink"/>
            <w:noProof/>
          </w:rPr>
          <w:t>Eligible real expenditure</w:t>
        </w:r>
        <w:r w:rsidR="00F70FB8">
          <w:rPr>
            <w:noProof/>
            <w:webHidden/>
          </w:rPr>
          <w:tab/>
        </w:r>
        <w:r w:rsidR="00F70FB8">
          <w:rPr>
            <w:noProof/>
            <w:webHidden/>
          </w:rPr>
          <w:fldChar w:fldCharType="begin"/>
        </w:r>
        <w:r w:rsidR="00F70FB8">
          <w:rPr>
            <w:noProof/>
            <w:webHidden/>
          </w:rPr>
          <w:instrText xml:space="preserve"> PAGEREF _Toc479770712 \h </w:instrText>
        </w:r>
        <w:r w:rsidR="00F70FB8">
          <w:rPr>
            <w:noProof/>
            <w:webHidden/>
          </w:rPr>
        </w:r>
        <w:r w:rsidR="00F70FB8">
          <w:rPr>
            <w:noProof/>
            <w:webHidden/>
          </w:rPr>
          <w:fldChar w:fldCharType="separate"/>
        </w:r>
        <w:r w:rsidR="00836082">
          <w:rPr>
            <w:noProof/>
            <w:webHidden/>
          </w:rPr>
          <w:t>132</w:t>
        </w:r>
        <w:r w:rsidR="00F70FB8">
          <w:rPr>
            <w:noProof/>
            <w:webHidden/>
          </w:rPr>
          <w:fldChar w:fldCharType="end"/>
        </w:r>
      </w:hyperlink>
    </w:p>
    <w:p w14:paraId="2F66639C"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3" w:history="1">
        <w:r w:rsidR="00F70FB8" w:rsidRPr="00637863">
          <w:rPr>
            <w:rStyle w:val="Hyperlink"/>
            <w:noProof/>
          </w:rPr>
          <w:t>B.1.4</w:t>
        </w:r>
        <w:r w:rsidR="00F70FB8">
          <w:rPr>
            <w:rFonts w:asciiTheme="minorHAnsi" w:eastAsiaTheme="minorEastAsia" w:hAnsiTheme="minorHAnsi" w:cstheme="minorBidi"/>
            <w:noProof/>
            <w:color w:val="auto"/>
            <w:szCs w:val="22"/>
          </w:rPr>
          <w:tab/>
        </w:r>
        <w:r w:rsidR="00F70FB8" w:rsidRPr="00637863">
          <w:rPr>
            <w:rStyle w:val="Hyperlink"/>
            <w:noProof/>
          </w:rPr>
          <w:t>Resource tax expenditure</w:t>
        </w:r>
        <w:r w:rsidR="00F70FB8">
          <w:rPr>
            <w:noProof/>
            <w:webHidden/>
          </w:rPr>
          <w:tab/>
        </w:r>
        <w:r w:rsidR="00F70FB8">
          <w:rPr>
            <w:noProof/>
            <w:webHidden/>
          </w:rPr>
          <w:fldChar w:fldCharType="begin"/>
        </w:r>
        <w:r w:rsidR="00F70FB8">
          <w:rPr>
            <w:noProof/>
            <w:webHidden/>
          </w:rPr>
          <w:instrText xml:space="preserve"> PAGEREF _Toc479770713 \h </w:instrText>
        </w:r>
        <w:r w:rsidR="00F70FB8">
          <w:rPr>
            <w:noProof/>
            <w:webHidden/>
          </w:rPr>
        </w:r>
        <w:r w:rsidR="00F70FB8">
          <w:rPr>
            <w:noProof/>
            <w:webHidden/>
          </w:rPr>
          <w:fldChar w:fldCharType="separate"/>
        </w:r>
        <w:r w:rsidR="00836082">
          <w:rPr>
            <w:noProof/>
            <w:webHidden/>
          </w:rPr>
          <w:t>133</w:t>
        </w:r>
        <w:r w:rsidR="00F70FB8">
          <w:rPr>
            <w:noProof/>
            <w:webHidden/>
          </w:rPr>
          <w:fldChar w:fldCharType="end"/>
        </w:r>
      </w:hyperlink>
    </w:p>
    <w:p w14:paraId="060835C9"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4" w:history="1">
        <w:r w:rsidR="00F70FB8" w:rsidRPr="00637863">
          <w:rPr>
            <w:rStyle w:val="Hyperlink"/>
            <w:noProof/>
          </w:rPr>
          <w:t>B.1.5</w:t>
        </w:r>
        <w:r w:rsidR="00F70FB8">
          <w:rPr>
            <w:rFonts w:asciiTheme="minorHAnsi" w:eastAsiaTheme="minorEastAsia" w:hAnsiTheme="minorHAnsi" w:cstheme="minorBidi"/>
            <w:noProof/>
            <w:color w:val="auto"/>
            <w:szCs w:val="22"/>
          </w:rPr>
          <w:tab/>
        </w:r>
        <w:r w:rsidR="00F70FB8" w:rsidRPr="00637863">
          <w:rPr>
            <w:rStyle w:val="Hyperlink"/>
            <w:noProof/>
          </w:rPr>
          <w:t>Starting base expenditure</w:t>
        </w:r>
        <w:r w:rsidR="00F70FB8">
          <w:rPr>
            <w:noProof/>
            <w:webHidden/>
          </w:rPr>
          <w:tab/>
        </w:r>
        <w:r w:rsidR="00F70FB8">
          <w:rPr>
            <w:noProof/>
            <w:webHidden/>
          </w:rPr>
          <w:fldChar w:fldCharType="begin"/>
        </w:r>
        <w:r w:rsidR="00F70FB8">
          <w:rPr>
            <w:noProof/>
            <w:webHidden/>
          </w:rPr>
          <w:instrText xml:space="preserve"> PAGEREF _Toc479770714 \h </w:instrText>
        </w:r>
        <w:r w:rsidR="00F70FB8">
          <w:rPr>
            <w:noProof/>
            <w:webHidden/>
          </w:rPr>
        </w:r>
        <w:r w:rsidR="00F70FB8">
          <w:rPr>
            <w:noProof/>
            <w:webHidden/>
          </w:rPr>
          <w:fldChar w:fldCharType="separate"/>
        </w:r>
        <w:r w:rsidR="00836082">
          <w:rPr>
            <w:noProof/>
            <w:webHidden/>
          </w:rPr>
          <w:t>134</w:t>
        </w:r>
        <w:r w:rsidR="00F70FB8">
          <w:rPr>
            <w:noProof/>
            <w:webHidden/>
          </w:rPr>
          <w:fldChar w:fldCharType="end"/>
        </w:r>
      </w:hyperlink>
    </w:p>
    <w:p w14:paraId="040418E5"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5" w:history="1">
        <w:r w:rsidR="00F70FB8" w:rsidRPr="00637863">
          <w:rPr>
            <w:rStyle w:val="Hyperlink"/>
            <w:noProof/>
          </w:rPr>
          <w:t>B.1.6</w:t>
        </w:r>
        <w:r w:rsidR="00F70FB8">
          <w:rPr>
            <w:rFonts w:asciiTheme="minorHAnsi" w:eastAsiaTheme="minorEastAsia" w:hAnsiTheme="minorHAnsi" w:cstheme="minorBidi"/>
            <w:noProof/>
            <w:color w:val="auto"/>
            <w:szCs w:val="22"/>
          </w:rPr>
          <w:tab/>
        </w:r>
        <w:r w:rsidR="00F70FB8" w:rsidRPr="00637863">
          <w:rPr>
            <w:rStyle w:val="Hyperlink"/>
            <w:noProof/>
          </w:rPr>
          <w:t>Deductible expenditure and deduction ordering</w:t>
        </w:r>
        <w:r w:rsidR="00F70FB8">
          <w:rPr>
            <w:noProof/>
            <w:webHidden/>
          </w:rPr>
          <w:tab/>
        </w:r>
        <w:r w:rsidR="00F70FB8">
          <w:rPr>
            <w:noProof/>
            <w:webHidden/>
          </w:rPr>
          <w:fldChar w:fldCharType="begin"/>
        </w:r>
        <w:r w:rsidR="00F70FB8">
          <w:rPr>
            <w:noProof/>
            <w:webHidden/>
          </w:rPr>
          <w:instrText xml:space="preserve"> PAGEREF _Toc479770715 \h </w:instrText>
        </w:r>
        <w:r w:rsidR="00F70FB8">
          <w:rPr>
            <w:noProof/>
            <w:webHidden/>
          </w:rPr>
        </w:r>
        <w:r w:rsidR="00F70FB8">
          <w:rPr>
            <w:noProof/>
            <w:webHidden/>
          </w:rPr>
          <w:fldChar w:fldCharType="separate"/>
        </w:r>
        <w:r w:rsidR="00836082">
          <w:rPr>
            <w:noProof/>
            <w:webHidden/>
          </w:rPr>
          <w:t>135</w:t>
        </w:r>
        <w:r w:rsidR="00F70FB8">
          <w:rPr>
            <w:noProof/>
            <w:webHidden/>
          </w:rPr>
          <w:fldChar w:fldCharType="end"/>
        </w:r>
      </w:hyperlink>
    </w:p>
    <w:p w14:paraId="2C3BB780"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6" w:history="1">
        <w:r w:rsidR="00F70FB8" w:rsidRPr="00637863">
          <w:rPr>
            <w:rStyle w:val="Hyperlink"/>
            <w:noProof/>
          </w:rPr>
          <w:t>B.1.7</w:t>
        </w:r>
        <w:r w:rsidR="00F70FB8">
          <w:rPr>
            <w:rFonts w:asciiTheme="minorHAnsi" w:eastAsiaTheme="minorEastAsia" w:hAnsiTheme="minorHAnsi" w:cstheme="minorBidi"/>
            <w:noProof/>
            <w:color w:val="auto"/>
            <w:szCs w:val="22"/>
          </w:rPr>
          <w:tab/>
        </w:r>
        <w:r w:rsidR="00F70FB8" w:rsidRPr="00637863">
          <w:rPr>
            <w:rStyle w:val="Hyperlink"/>
            <w:noProof/>
          </w:rPr>
          <w:t>Transferability</w:t>
        </w:r>
        <w:r w:rsidR="00F70FB8">
          <w:rPr>
            <w:noProof/>
            <w:webHidden/>
          </w:rPr>
          <w:tab/>
        </w:r>
        <w:r w:rsidR="00F70FB8">
          <w:rPr>
            <w:noProof/>
            <w:webHidden/>
          </w:rPr>
          <w:fldChar w:fldCharType="begin"/>
        </w:r>
        <w:r w:rsidR="00F70FB8">
          <w:rPr>
            <w:noProof/>
            <w:webHidden/>
          </w:rPr>
          <w:instrText xml:space="preserve"> PAGEREF _Toc479770716 \h </w:instrText>
        </w:r>
        <w:r w:rsidR="00F70FB8">
          <w:rPr>
            <w:noProof/>
            <w:webHidden/>
          </w:rPr>
        </w:r>
        <w:r w:rsidR="00F70FB8">
          <w:rPr>
            <w:noProof/>
            <w:webHidden/>
          </w:rPr>
          <w:fldChar w:fldCharType="separate"/>
        </w:r>
        <w:r w:rsidR="00836082">
          <w:rPr>
            <w:noProof/>
            <w:webHidden/>
          </w:rPr>
          <w:t>136</w:t>
        </w:r>
        <w:r w:rsidR="00F70FB8">
          <w:rPr>
            <w:noProof/>
            <w:webHidden/>
          </w:rPr>
          <w:fldChar w:fldCharType="end"/>
        </w:r>
      </w:hyperlink>
    </w:p>
    <w:p w14:paraId="09FB66B8"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7" w:history="1">
        <w:r w:rsidR="00F70FB8" w:rsidRPr="00637863">
          <w:rPr>
            <w:rStyle w:val="Hyperlink"/>
            <w:noProof/>
          </w:rPr>
          <w:t>B.1.8</w:t>
        </w:r>
        <w:r w:rsidR="00F70FB8">
          <w:rPr>
            <w:rFonts w:asciiTheme="minorHAnsi" w:eastAsiaTheme="minorEastAsia" w:hAnsiTheme="minorHAnsi" w:cstheme="minorBidi"/>
            <w:noProof/>
            <w:color w:val="auto"/>
            <w:szCs w:val="22"/>
          </w:rPr>
          <w:tab/>
        </w:r>
        <w:r w:rsidR="00F70FB8" w:rsidRPr="00637863">
          <w:rPr>
            <w:rStyle w:val="Hyperlink"/>
            <w:noProof/>
          </w:rPr>
          <w:t>Gas transfer pricing</w:t>
        </w:r>
        <w:r w:rsidR="00F70FB8">
          <w:rPr>
            <w:noProof/>
            <w:webHidden/>
          </w:rPr>
          <w:tab/>
        </w:r>
        <w:r w:rsidR="00F70FB8">
          <w:rPr>
            <w:noProof/>
            <w:webHidden/>
          </w:rPr>
          <w:fldChar w:fldCharType="begin"/>
        </w:r>
        <w:r w:rsidR="00F70FB8">
          <w:rPr>
            <w:noProof/>
            <w:webHidden/>
          </w:rPr>
          <w:instrText xml:space="preserve"> PAGEREF _Toc479770717 \h </w:instrText>
        </w:r>
        <w:r w:rsidR="00F70FB8">
          <w:rPr>
            <w:noProof/>
            <w:webHidden/>
          </w:rPr>
        </w:r>
        <w:r w:rsidR="00F70FB8">
          <w:rPr>
            <w:noProof/>
            <w:webHidden/>
          </w:rPr>
          <w:fldChar w:fldCharType="separate"/>
        </w:r>
        <w:r w:rsidR="00836082">
          <w:rPr>
            <w:noProof/>
            <w:webHidden/>
          </w:rPr>
          <w:t>137</w:t>
        </w:r>
        <w:r w:rsidR="00F70FB8">
          <w:rPr>
            <w:noProof/>
            <w:webHidden/>
          </w:rPr>
          <w:fldChar w:fldCharType="end"/>
        </w:r>
      </w:hyperlink>
    </w:p>
    <w:p w14:paraId="0CA063AF"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8" w:history="1">
        <w:r w:rsidR="00F70FB8" w:rsidRPr="00637863">
          <w:rPr>
            <w:rStyle w:val="Hyperlink"/>
            <w:noProof/>
          </w:rPr>
          <w:t>B.1.9</w:t>
        </w:r>
        <w:r w:rsidR="00F70FB8">
          <w:rPr>
            <w:rFonts w:asciiTheme="minorHAnsi" w:eastAsiaTheme="minorEastAsia" w:hAnsiTheme="minorHAnsi" w:cstheme="minorBidi"/>
            <w:noProof/>
            <w:color w:val="auto"/>
            <w:szCs w:val="22"/>
          </w:rPr>
          <w:tab/>
        </w:r>
        <w:r w:rsidR="00F70FB8" w:rsidRPr="00637863">
          <w:rPr>
            <w:rStyle w:val="Hyperlink"/>
            <w:noProof/>
          </w:rPr>
          <w:t>Consolidation for PRRT purposes</w:t>
        </w:r>
        <w:r w:rsidR="00F70FB8">
          <w:rPr>
            <w:noProof/>
            <w:webHidden/>
          </w:rPr>
          <w:tab/>
        </w:r>
        <w:r w:rsidR="00F70FB8">
          <w:rPr>
            <w:noProof/>
            <w:webHidden/>
          </w:rPr>
          <w:fldChar w:fldCharType="begin"/>
        </w:r>
        <w:r w:rsidR="00F70FB8">
          <w:rPr>
            <w:noProof/>
            <w:webHidden/>
          </w:rPr>
          <w:instrText xml:space="preserve"> PAGEREF _Toc479770718 \h </w:instrText>
        </w:r>
        <w:r w:rsidR="00F70FB8">
          <w:rPr>
            <w:noProof/>
            <w:webHidden/>
          </w:rPr>
        </w:r>
        <w:r w:rsidR="00F70FB8">
          <w:rPr>
            <w:noProof/>
            <w:webHidden/>
          </w:rPr>
          <w:fldChar w:fldCharType="separate"/>
        </w:r>
        <w:r w:rsidR="00836082">
          <w:rPr>
            <w:noProof/>
            <w:webHidden/>
          </w:rPr>
          <w:t>140</w:t>
        </w:r>
        <w:r w:rsidR="00F70FB8">
          <w:rPr>
            <w:noProof/>
            <w:webHidden/>
          </w:rPr>
          <w:fldChar w:fldCharType="end"/>
        </w:r>
      </w:hyperlink>
    </w:p>
    <w:p w14:paraId="001CE4F4"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19" w:history="1">
        <w:r w:rsidR="00F70FB8" w:rsidRPr="00637863">
          <w:rPr>
            <w:rStyle w:val="Hyperlink"/>
            <w:noProof/>
          </w:rPr>
          <w:t>B.1.10</w:t>
        </w:r>
        <w:r w:rsidR="00F70FB8">
          <w:rPr>
            <w:rFonts w:asciiTheme="minorHAnsi" w:eastAsiaTheme="minorEastAsia" w:hAnsiTheme="minorHAnsi" w:cstheme="minorBidi"/>
            <w:noProof/>
            <w:color w:val="auto"/>
            <w:szCs w:val="22"/>
          </w:rPr>
          <w:tab/>
        </w:r>
        <w:r w:rsidR="00F70FB8" w:rsidRPr="00637863">
          <w:rPr>
            <w:rStyle w:val="Hyperlink"/>
            <w:noProof/>
          </w:rPr>
          <w:t>Lodging, reporting and paying</w:t>
        </w:r>
        <w:r w:rsidR="00F70FB8">
          <w:rPr>
            <w:noProof/>
            <w:webHidden/>
          </w:rPr>
          <w:tab/>
        </w:r>
        <w:r w:rsidR="00F70FB8">
          <w:rPr>
            <w:noProof/>
            <w:webHidden/>
          </w:rPr>
          <w:fldChar w:fldCharType="begin"/>
        </w:r>
        <w:r w:rsidR="00F70FB8">
          <w:rPr>
            <w:noProof/>
            <w:webHidden/>
          </w:rPr>
          <w:instrText xml:space="preserve"> PAGEREF _Toc479770719 \h </w:instrText>
        </w:r>
        <w:r w:rsidR="00F70FB8">
          <w:rPr>
            <w:noProof/>
            <w:webHidden/>
          </w:rPr>
        </w:r>
        <w:r w:rsidR="00F70FB8">
          <w:rPr>
            <w:noProof/>
            <w:webHidden/>
          </w:rPr>
          <w:fldChar w:fldCharType="separate"/>
        </w:r>
        <w:r w:rsidR="00836082">
          <w:rPr>
            <w:noProof/>
            <w:webHidden/>
          </w:rPr>
          <w:t>140</w:t>
        </w:r>
        <w:r w:rsidR="00F70FB8">
          <w:rPr>
            <w:noProof/>
            <w:webHidden/>
          </w:rPr>
          <w:fldChar w:fldCharType="end"/>
        </w:r>
      </w:hyperlink>
    </w:p>
    <w:p w14:paraId="6F8816D7"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20" w:history="1">
        <w:r w:rsidR="00F70FB8" w:rsidRPr="00637863">
          <w:rPr>
            <w:rStyle w:val="Hyperlink"/>
            <w:noProof/>
          </w:rPr>
          <w:t>B.1.11</w:t>
        </w:r>
        <w:r w:rsidR="00F70FB8">
          <w:rPr>
            <w:rFonts w:asciiTheme="minorHAnsi" w:eastAsiaTheme="minorEastAsia" w:hAnsiTheme="minorHAnsi" w:cstheme="minorBidi"/>
            <w:noProof/>
            <w:color w:val="auto"/>
            <w:szCs w:val="22"/>
          </w:rPr>
          <w:tab/>
        </w:r>
        <w:r w:rsidR="00F70FB8" w:rsidRPr="00637863">
          <w:rPr>
            <w:rStyle w:val="Hyperlink"/>
            <w:noProof/>
          </w:rPr>
          <w:t>Interaction between petroleum titles and PRRT</w:t>
        </w:r>
        <w:r w:rsidR="00F70FB8">
          <w:rPr>
            <w:noProof/>
            <w:webHidden/>
          </w:rPr>
          <w:tab/>
        </w:r>
        <w:r w:rsidR="00F70FB8">
          <w:rPr>
            <w:noProof/>
            <w:webHidden/>
          </w:rPr>
          <w:fldChar w:fldCharType="begin"/>
        </w:r>
        <w:r w:rsidR="00F70FB8">
          <w:rPr>
            <w:noProof/>
            <w:webHidden/>
          </w:rPr>
          <w:instrText xml:space="preserve"> PAGEREF _Toc479770720 \h </w:instrText>
        </w:r>
        <w:r w:rsidR="00F70FB8">
          <w:rPr>
            <w:noProof/>
            <w:webHidden/>
          </w:rPr>
        </w:r>
        <w:r w:rsidR="00F70FB8">
          <w:rPr>
            <w:noProof/>
            <w:webHidden/>
          </w:rPr>
          <w:fldChar w:fldCharType="separate"/>
        </w:r>
        <w:r w:rsidR="00836082">
          <w:rPr>
            <w:noProof/>
            <w:webHidden/>
          </w:rPr>
          <w:t>140</w:t>
        </w:r>
        <w:r w:rsidR="00F70FB8">
          <w:rPr>
            <w:noProof/>
            <w:webHidden/>
          </w:rPr>
          <w:fldChar w:fldCharType="end"/>
        </w:r>
      </w:hyperlink>
    </w:p>
    <w:p w14:paraId="52E12AC5"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1" w:history="1">
        <w:r w:rsidR="00F70FB8" w:rsidRPr="00637863">
          <w:rPr>
            <w:rStyle w:val="Hyperlink"/>
            <w:noProof/>
          </w:rPr>
          <w:t>B.2</w:t>
        </w:r>
        <w:r w:rsidR="00F70FB8">
          <w:rPr>
            <w:rFonts w:asciiTheme="minorHAnsi" w:eastAsiaTheme="minorEastAsia" w:hAnsiTheme="minorHAnsi" w:cstheme="minorBidi"/>
            <w:noProof/>
            <w:color w:val="auto"/>
            <w:szCs w:val="22"/>
          </w:rPr>
          <w:tab/>
        </w:r>
        <w:r w:rsidR="00F70FB8" w:rsidRPr="00637863">
          <w:rPr>
            <w:rStyle w:val="Hyperlink"/>
            <w:noProof/>
          </w:rPr>
          <w:t>Administration of the PRRT</w:t>
        </w:r>
        <w:r w:rsidR="00F70FB8">
          <w:rPr>
            <w:noProof/>
            <w:webHidden/>
          </w:rPr>
          <w:tab/>
        </w:r>
        <w:r w:rsidR="00F70FB8">
          <w:rPr>
            <w:noProof/>
            <w:webHidden/>
          </w:rPr>
          <w:fldChar w:fldCharType="begin"/>
        </w:r>
        <w:r w:rsidR="00F70FB8">
          <w:rPr>
            <w:noProof/>
            <w:webHidden/>
          </w:rPr>
          <w:instrText xml:space="preserve"> PAGEREF _Toc479770721 \h </w:instrText>
        </w:r>
        <w:r w:rsidR="00F70FB8">
          <w:rPr>
            <w:noProof/>
            <w:webHidden/>
          </w:rPr>
        </w:r>
        <w:r w:rsidR="00F70FB8">
          <w:rPr>
            <w:noProof/>
            <w:webHidden/>
          </w:rPr>
          <w:fldChar w:fldCharType="separate"/>
        </w:r>
        <w:r w:rsidR="00836082">
          <w:rPr>
            <w:noProof/>
            <w:webHidden/>
          </w:rPr>
          <w:t>141</w:t>
        </w:r>
        <w:r w:rsidR="00F70FB8">
          <w:rPr>
            <w:noProof/>
            <w:webHidden/>
          </w:rPr>
          <w:fldChar w:fldCharType="end"/>
        </w:r>
      </w:hyperlink>
    </w:p>
    <w:p w14:paraId="2332A89A" w14:textId="77777777" w:rsidR="00F70FB8" w:rsidRDefault="00C46B37">
      <w:pPr>
        <w:pStyle w:val="TOC1"/>
        <w:rPr>
          <w:rFonts w:asciiTheme="minorHAnsi" w:eastAsiaTheme="minorEastAsia" w:hAnsiTheme="minorHAnsi" w:cstheme="minorBidi"/>
          <w:b w:val="0"/>
          <w:noProof/>
          <w:color w:val="auto"/>
          <w:sz w:val="22"/>
        </w:rPr>
      </w:pPr>
      <w:hyperlink w:anchor="_Toc479770722" w:history="1">
        <w:r w:rsidR="00F70FB8" w:rsidRPr="00637863">
          <w:rPr>
            <w:rStyle w:val="Hyperlink"/>
            <w:noProof/>
          </w:rPr>
          <w:t>Appendix C — Timeline of PRRT Amendments</w:t>
        </w:r>
        <w:r w:rsidR="00F70FB8">
          <w:rPr>
            <w:noProof/>
            <w:webHidden/>
          </w:rPr>
          <w:tab/>
        </w:r>
        <w:r w:rsidR="00F70FB8">
          <w:rPr>
            <w:noProof/>
            <w:webHidden/>
          </w:rPr>
          <w:fldChar w:fldCharType="begin"/>
        </w:r>
        <w:r w:rsidR="00F70FB8">
          <w:rPr>
            <w:noProof/>
            <w:webHidden/>
          </w:rPr>
          <w:instrText xml:space="preserve"> PAGEREF _Toc479770722 \h </w:instrText>
        </w:r>
        <w:r w:rsidR="00F70FB8">
          <w:rPr>
            <w:noProof/>
            <w:webHidden/>
          </w:rPr>
        </w:r>
        <w:r w:rsidR="00F70FB8">
          <w:rPr>
            <w:noProof/>
            <w:webHidden/>
          </w:rPr>
          <w:fldChar w:fldCharType="separate"/>
        </w:r>
        <w:r w:rsidR="00836082">
          <w:rPr>
            <w:noProof/>
            <w:webHidden/>
          </w:rPr>
          <w:t>147</w:t>
        </w:r>
        <w:r w:rsidR="00F70FB8">
          <w:rPr>
            <w:noProof/>
            <w:webHidden/>
          </w:rPr>
          <w:fldChar w:fldCharType="end"/>
        </w:r>
      </w:hyperlink>
    </w:p>
    <w:p w14:paraId="697AD809" w14:textId="77777777" w:rsidR="00F70FB8" w:rsidRDefault="00C46B37">
      <w:pPr>
        <w:pStyle w:val="TOC1"/>
        <w:rPr>
          <w:rFonts w:asciiTheme="minorHAnsi" w:eastAsiaTheme="minorEastAsia" w:hAnsiTheme="minorHAnsi" w:cstheme="minorBidi"/>
          <w:b w:val="0"/>
          <w:noProof/>
          <w:color w:val="auto"/>
          <w:sz w:val="22"/>
        </w:rPr>
      </w:pPr>
      <w:hyperlink w:anchor="_Toc479770723" w:history="1">
        <w:r w:rsidR="00F70FB8" w:rsidRPr="00637863">
          <w:rPr>
            <w:rStyle w:val="Hyperlink"/>
            <w:noProof/>
          </w:rPr>
          <w:t>Appendix D — Gas Transfer Pricing</w:t>
        </w:r>
        <w:r w:rsidR="00F70FB8">
          <w:rPr>
            <w:noProof/>
            <w:webHidden/>
          </w:rPr>
          <w:tab/>
        </w:r>
        <w:r w:rsidR="00F70FB8">
          <w:rPr>
            <w:noProof/>
            <w:webHidden/>
          </w:rPr>
          <w:fldChar w:fldCharType="begin"/>
        </w:r>
        <w:r w:rsidR="00F70FB8">
          <w:rPr>
            <w:noProof/>
            <w:webHidden/>
          </w:rPr>
          <w:instrText xml:space="preserve"> PAGEREF _Toc479770723 \h </w:instrText>
        </w:r>
        <w:r w:rsidR="00F70FB8">
          <w:rPr>
            <w:noProof/>
            <w:webHidden/>
          </w:rPr>
        </w:r>
        <w:r w:rsidR="00F70FB8">
          <w:rPr>
            <w:noProof/>
            <w:webHidden/>
          </w:rPr>
          <w:fldChar w:fldCharType="separate"/>
        </w:r>
        <w:r w:rsidR="00836082">
          <w:rPr>
            <w:noProof/>
            <w:webHidden/>
          </w:rPr>
          <w:t>150</w:t>
        </w:r>
        <w:r w:rsidR="00F70FB8">
          <w:rPr>
            <w:noProof/>
            <w:webHidden/>
          </w:rPr>
          <w:fldChar w:fldCharType="end"/>
        </w:r>
      </w:hyperlink>
    </w:p>
    <w:p w14:paraId="28BEC509"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4" w:history="1">
        <w:r w:rsidR="00F70FB8" w:rsidRPr="00637863">
          <w:rPr>
            <w:rStyle w:val="Hyperlink"/>
            <w:noProof/>
          </w:rPr>
          <w:t>D.1</w:t>
        </w:r>
        <w:r w:rsidR="00F70FB8">
          <w:rPr>
            <w:rFonts w:asciiTheme="minorHAnsi" w:eastAsiaTheme="minorEastAsia" w:hAnsiTheme="minorHAnsi" w:cstheme="minorBidi"/>
            <w:noProof/>
            <w:color w:val="auto"/>
            <w:szCs w:val="22"/>
          </w:rPr>
          <w:tab/>
        </w:r>
        <w:r w:rsidR="00F70FB8" w:rsidRPr="00637863">
          <w:rPr>
            <w:rStyle w:val="Hyperlink"/>
            <w:noProof/>
          </w:rPr>
          <w:t>Development of the Gas Transfer Pricing Regulations</w:t>
        </w:r>
        <w:r w:rsidR="00F70FB8">
          <w:rPr>
            <w:noProof/>
            <w:webHidden/>
          </w:rPr>
          <w:tab/>
        </w:r>
        <w:r w:rsidR="00F70FB8">
          <w:rPr>
            <w:noProof/>
            <w:webHidden/>
          </w:rPr>
          <w:fldChar w:fldCharType="begin"/>
        </w:r>
        <w:r w:rsidR="00F70FB8">
          <w:rPr>
            <w:noProof/>
            <w:webHidden/>
          </w:rPr>
          <w:instrText xml:space="preserve"> PAGEREF _Toc479770724 \h </w:instrText>
        </w:r>
        <w:r w:rsidR="00F70FB8">
          <w:rPr>
            <w:noProof/>
            <w:webHidden/>
          </w:rPr>
        </w:r>
        <w:r w:rsidR="00F70FB8">
          <w:rPr>
            <w:noProof/>
            <w:webHidden/>
          </w:rPr>
          <w:fldChar w:fldCharType="separate"/>
        </w:r>
        <w:r w:rsidR="00836082">
          <w:rPr>
            <w:noProof/>
            <w:webHidden/>
          </w:rPr>
          <w:t>150</w:t>
        </w:r>
        <w:r w:rsidR="00F70FB8">
          <w:rPr>
            <w:noProof/>
            <w:webHidden/>
          </w:rPr>
          <w:fldChar w:fldCharType="end"/>
        </w:r>
      </w:hyperlink>
    </w:p>
    <w:p w14:paraId="3999B619"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5" w:history="1">
        <w:r w:rsidR="00F70FB8" w:rsidRPr="00637863">
          <w:rPr>
            <w:rStyle w:val="Hyperlink"/>
            <w:noProof/>
          </w:rPr>
          <w:t>D.2</w:t>
        </w:r>
        <w:r w:rsidR="00F70FB8">
          <w:rPr>
            <w:rFonts w:asciiTheme="minorHAnsi" w:eastAsiaTheme="minorEastAsia" w:hAnsiTheme="minorHAnsi" w:cstheme="minorBidi"/>
            <w:noProof/>
            <w:color w:val="auto"/>
            <w:szCs w:val="22"/>
          </w:rPr>
          <w:tab/>
        </w:r>
        <w:r w:rsidR="00F70FB8" w:rsidRPr="00637863">
          <w:rPr>
            <w:rStyle w:val="Hyperlink"/>
            <w:noProof/>
          </w:rPr>
          <w:t>Use of the Gas Transfer Pricing Regulations</w:t>
        </w:r>
        <w:r w:rsidR="00F70FB8">
          <w:rPr>
            <w:noProof/>
            <w:webHidden/>
          </w:rPr>
          <w:tab/>
        </w:r>
        <w:r w:rsidR="00F70FB8">
          <w:rPr>
            <w:noProof/>
            <w:webHidden/>
          </w:rPr>
          <w:fldChar w:fldCharType="begin"/>
        </w:r>
        <w:r w:rsidR="00F70FB8">
          <w:rPr>
            <w:noProof/>
            <w:webHidden/>
          </w:rPr>
          <w:instrText xml:space="preserve"> PAGEREF _Toc479770725 \h </w:instrText>
        </w:r>
        <w:r w:rsidR="00F70FB8">
          <w:rPr>
            <w:noProof/>
            <w:webHidden/>
          </w:rPr>
        </w:r>
        <w:r w:rsidR="00F70FB8">
          <w:rPr>
            <w:noProof/>
            <w:webHidden/>
          </w:rPr>
          <w:fldChar w:fldCharType="separate"/>
        </w:r>
        <w:r w:rsidR="00836082">
          <w:rPr>
            <w:noProof/>
            <w:webHidden/>
          </w:rPr>
          <w:t>151</w:t>
        </w:r>
        <w:r w:rsidR="00F70FB8">
          <w:rPr>
            <w:noProof/>
            <w:webHidden/>
          </w:rPr>
          <w:fldChar w:fldCharType="end"/>
        </w:r>
      </w:hyperlink>
    </w:p>
    <w:p w14:paraId="58EBB007"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6" w:history="1">
        <w:r w:rsidR="00F70FB8" w:rsidRPr="00637863">
          <w:rPr>
            <w:rStyle w:val="Hyperlink"/>
            <w:noProof/>
          </w:rPr>
          <w:t>D.3</w:t>
        </w:r>
        <w:r w:rsidR="00F70FB8">
          <w:rPr>
            <w:rFonts w:asciiTheme="minorHAnsi" w:eastAsiaTheme="minorEastAsia" w:hAnsiTheme="minorHAnsi" w:cstheme="minorBidi"/>
            <w:noProof/>
            <w:color w:val="auto"/>
            <w:szCs w:val="22"/>
          </w:rPr>
          <w:tab/>
        </w:r>
        <w:r w:rsidR="00F70FB8" w:rsidRPr="00637863">
          <w:rPr>
            <w:rStyle w:val="Hyperlink"/>
            <w:noProof/>
          </w:rPr>
          <w:t>Extending the PRRT to Secondary Activities</w:t>
        </w:r>
        <w:r w:rsidR="00F70FB8">
          <w:rPr>
            <w:noProof/>
            <w:webHidden/>
          </w:rPr>
          <w:tab/>
        </w:r>
        <w:r w:rsidR="00F70FB8">
          <w:rPr>
            <w:noProof/>
            <w:webHidden/>
          </w:rPr>
          <w:fldChar w:fldCharType="begin"/>
        </w:r>
        <w:r w:rsidR="00F70FB8">
          <w:rPr>
            <w:noProof/>
            <w:webHidden/>
          </w:rPr>
          <w:instrText xml:space="preserve"> PAGEREF _Toc479770726 \h </w:instrText>
        </w:r>
        <w:r w:rsidR="00F70FB8">
          <w:rPr>
            <w:noProof/>
            <w:webHidden/>
          </w:rPr>
        </w:r>
        <w:r w:rsidR="00F70FB8">
          <w:rPr>
            <w:noProof/>
            <w:webHidden/>
          </w:rPr>
          <w:fldChar w:fldCharType="separate"/>
        </w:r>
        <w:r w:rsidR="00836082">
          <w:rPr>
            <w:noProof/>
            <w:webHidden/>
          </w:rPr>
          <w:t>152</w:t>
        </w:r>
        <w:r w:rsidR="00F70FB8">
          <w:rPr>
            <w:noProof/>
            <w:webHidden/>
          </w:rPr>
          <w:fldChar w:fldCharType="end"/>
        </w:r>
      </w:hyperlink>
    </w:p>
    <w:p w14:paraId="64CCD94D"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7" w:history="1">
        <w:r w:rsidR="00F70FB8" w:rsidRPr="00637863">
          <w:rPr>
            <w:rStyle w:val="Hyperlink"/>
            <w:noProof/>
          </w:rPr>
          <w:t>D.4</w:t>
        </w:r>
        <w:r w:rsidR="00F70FB8">
          <w:rPr>
            <w:rFonts w:asciiTheme="minorHAnsi" w:eastAsiaTheme="minorEastAsia" w:hAnsiTheme="minorHAnsi" w:cstheme="minorBidi"/>
            <w:noProof/>
            <w:color w:val="auto"/>
            <w:szCs w:val="22"/>
          </w:rPr>
          <w:tab/>
        </w:r>
        <w:r w:rsidR="00F70FB8" w:rsidRPr="00637863">
          <w:rPr>
            <w:rStyle w:val="Hyperlink"/>
            <w:noProof/>
          </w:rPr>
          <w:t>Determining the Value of Sales Gas</w:t>
        </w:r>
        <w:r w:rsidR="00F70FB8">
          <w:rPr>
            <w:noProof/>
            <w:webHidden/>
          </w:rPr>
          <w:tab/>
        </w:r>
        <w:r w:rsidR="00F70FB8">
          <w:rPr>
            <w:noProof/>
            <w:webHidden/>
          </w:rPr>
          <w:fldChar w:fldCharType="begin"/>
        </w:r>
        <w:r w:rsidR="00F70FB8">
          <w:rPr>
            <w:noProof/>
            <w:webHidden/>
          </w:rPr>
          <w:instrText xml:space="preserve"> PAGEREF _Toc479770727 \h </w:instrText>
        </w:r>
        <w:r w:rsidR="00F70FB8">
          <w:rPr>
            <w:noProof/>
            <w:webHidden/>
          </w:rPr>
        </w:r>
        <w:r w:rsidR="00F70FB8">
          <w:rPr>
            <w:noProof/>
            <w:webHidden/>
          </w:rPr>
          <w:fldChar w:fldCharType="separate"/>
        </w:r>
        <w:r w:rsidR="00836082">
          <w:rPr>
            <w:noProof/>
            <w:webHidden/>
          </w:rPr>
          <w:t>153</w:t>
        </w:r>
        <w:r w:rsidR="00F70FB8">
          <w:rPr>
            <w:noProof/>
            <w:webHidden/>
          </w:rPr>
          <w:fldChar w:fldCharType="end"/>
        </w:r>
      </w:hyperlink>
    </w:p>
    <w:p w14:paraId="21B95A3B"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8" w:history="1">
        <w:r w:rsidR="00F70FB8" w:rsidRPr="00637863">
          <w:rPr>
            <w:rStyle w:val="Hyperlink"/>
            <w:noProof/>
          </w:rPr>
          <w:t>D.5</w:t>
        </w:r>
        <w:r w:rsidR="00F70FB8">
          <w:rPr>
            <w:rFonts w:asciiTheme="minorHAnsi" w:eastAsiaTheme="minorEastAsia" w:hAnsiTheme="minorHAnsi" w:cstheme="minorBidi"/>
            <w:noProof/>
            <w:color w:val="auto"/>
            <w:szCs w:val="22"/>
          </w:rPr>
          <w:tab/>
        </w:r>
        <w:r w:rsidR="00F70FB8" w:rsidRPr="00637863">
          <w:rPr>
            <w:rStyle w:val="Hyperlink"/>
            <w:noProof/>
          </w:rPr>
          <w:t>Transparency of Gas Transfer Pricing</w:t>
        </w:r>
        <w:r w:rsidR="00F70FB8">
          <w:rPr>
            <w:noProof/>
            <w:webHidden/>
          </w:rPr>
          <w:tab/>
        </w:r>
        <w:r w:rsidR="00F70FB8">
          <w:rPr>
            <w:noProof/>
            <w:webHidden/>
          </w:rPr>
          <w:fldChar w:fldCharType="begin"/>
        </w:r>
        <w:r w:rsidR="00F70FB8">
          <w:rPr>
            <w:noProof/>
            <w:webHidden/>
          </w:rPr>
          <w:instrText xml:space="preserve"> PAGEREF _Toc479770728 \h </w:instrText>
        </w:r>
        <w:r w:rsidR="00F70FB8">
          <w:rPr>
            <w:noProof/>
            <w:webHidden/>
          </w:rPr>
        </w:r>
        <w:r w:rsidR="00F70FB8">
          <w:rPr>
            <w:noProof/>
            <w:webHidden/>
          </w:rPr>
          <w:fldChar w:fldCharType="separate"/>
        </w:r>
        <w:r w:rsidR="00836082">
          <w:rPr>
            <w:noProof/>
            <w:webHidden/>
          </w:rPr>
          <w:t>154</w:t>
        </w:r>
        <w:r w:rsidR="00F70FB8">
          <w:rPr>
            <w:noProof/>
            <w:webHidden/>
          </w:rPr>
          <w:fldChar w:fldCharType="end"/>
        </w:r>
      </w:hyperlink>
    </w:p>
    <w:p w14:paraId="5EC75B8E"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29" w:history="1">
        <w:r w:rsidR="00F70FB8" w:rsidRPr="00637863">
          <w:rPr>
            <w:rStyle w:val="Hyperlink"/>
            <w:noProof/>
          </w:rPr>
          <w:t>D.6</w:t>
        </w:r>
        <w:r w:rsidR="00F70FB8">
          <w:rPr>
            <w:rFonts w:asciiTheme="minorHAnsi" w:eastAsiaTheme="minorEastAsia" w:hAnsiTheme="minorHAnsi" w:cstheme="minorBidi"/>
            <w:noProof/>
            <w:color w:val="auto"/>
            <w:szCs w:val="22"/>
          </w:rPr>
          <w:tab/>
        </w:r>
        <w:r w:rsidR="00F70FB8" w:rsidRPr="00637863">
          <w:rPr>
            <w:rStyle w:val="Hyperlink"/>
            <w:noProof/>
          </w:rPr>
          <w:t>The Options for Determining the Transfer Price</w:t>
        </w:r>
        <w:r w:rsidR="00F70FB8">
          <w:rPr>
            <w:noProof/>
            <w:webHidden/>
          </w:rPr>
          <w:tab/>
        </w:r>
        <w:r w:rsidR="00F70FB8">
          <w:rPr>
            <w:noProof/>
            <w:webHidden/>
          </w:rPr>
          <w:fldChar w:fldCharType="begin"/>
        </w:r>
        <w:r w:rsidR="00F70FB8">
          <w:rPr>
            <w:noProof/>
            <w:webHidden/>
          </w:rPr>
          <w:instrText xml:space="preserve"> PAGEREF _Toc479770729 \h </w:instrText>
        </w:r>
        <w:r w:rsidR="00F70FB8">
          <w:rPr>
            <w:noProof/>
            <w:webHidden/>
          </w:rPr>
        </w:r>
        <w:r w:rsidR="00F70FB8">
          <w:rPr>
            <w:noProof/>
            <w:webHidden/>
          </w:rPr>
          <w:fldChar w:fldCharType="separate"/>
        </w:r>
        <w:r w:rsidR="00836082">
          <w:rPr>
            <w:noProof/>
            <w:webHidden/>
          </w:rPr>
          <w:t>155</w:t>
        </w:r>
        <w:r w:rsidR="00F70FB8">
          <w:rPr>
            <w:noProof/>
            <w:webHidden/>
          </w:rPr>
          <w:fldChar w:fldCharType="end"/>
        </w:r>
      </w:hyperlink>
    </w:p>
    <w:p w14:paraId="2110336D"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30" w:history="1">
        <w:r w:rsidR="00F70FB8" w:rsidRPr="00637863">
          <w:rPr>
            <w:rStyle w:val="Hyperlink"/>
            <w:noProof/>
          </w:rPr>
          <w:t>D.7</w:t>
        </w:r>
        <w:r w:rsidR="00F70FB8">
          <w:rPr>
            <w:rFonts w:asciiTheme="minorHAnsi" w:eastAsiaTheme="minorEastAsia" w:hAnsiTheme="minorHAnsi" w:cstheme="minorBidi"/>
            <w:noProof/>
            <w:color w:val="auto"/>
            <w:szCs w:val="22"/>
          </w:rPr>
          <w:tab/>
        </w:r>
        <w:r w:rsidR="00F70FB8" w:rsidRPr="00637863">
          <w:rPr>
            <w:rStyle w:val="Hyperlink"/>
            <w:noProof/>
          </w:rPr>
          <w:t>The RPM</w:t>
        </w:r>
        <w:r w:rsidR="00F70FB8">
          <w:rPr>
            <w:noProof/>
            <w:webHidden/>
          </w:rPr>
          <w:tab/>
        </w:r>
        <w:r w:rsidR="00F70FB8">
          <w:rPr>
            <w:noProof/>
            <w:webHidden/>
          </w:rPr>
          <w:fldChar w:fldCharType="begin"/>
        </w:r>
        <w:r w:rsidR="00F70FB8">
          <w:rPr>
            <w:noProof/>
            <w:webHidden/>
          </w:rPr>
          <w:instrText xml:space="preserve"> PAGEREF _Toc479770730 \h </w:instrText>
        </w:r>
        <w:r w:rsidR="00F70FB8">
          <w:rPr>
            <w:noProof/>
            <w:webHidden/>
          </w:rPr>
        </w:r>
        <w:r w:rsidR="00F70FB8">
          <w:rPr>
            <w:noProof/>
            <w:webHidden/>
          </w:rPr>
          <w:fldChar w:fldCharType="separate"/>
        </w:r>
        <w:r w:rsidR="00836082">
          <w:rPr>
            <w:noProof/>
            <w:webHidden/>
          </w:rPr>
          <w:t>157</w:t>
        </w:r>
        <w:r w:rsidR="00F70FB8">
          <w:rPr>
            <w:noProof/>
            <w:webHidden/>
          </w:rPr>
          <w:fldChar w:fldCharType="end"/>
        </w:r>
      </w:hyperlink>
    </w:p>
    <w:p w14:paraId="0591921A"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31" w:history="1">
        <w:r w:rsidR="00F70FB8" w:rsidRPr="00637863">
          <w:rPr>
            <w:rStyle w:val="Hyperlink"/>
            <w:noProof/>
          </w:rPr>
          <w:t>D.8</w:t>
        </w:r>
        <w:r w:rsidR="00F70FB8">
          <w:rPr>
            <w:rFonts w:asciiTheme="minorHAnsi" w:eastAsiaTheme="minorEastAsia" w:hAnsiTheme="minorHAnsi" w:cstheme="minorBidi"/>
            <w:noProof/>
            <w:color w:val="auto"/>
            <w:szCs w:val="22"/>
          </w:rPr>
          <w:tab/>
        </w:r>
        <w:r w:rsidR="00F70FB8" w:rsidRPr="00637863">
          <w:rPr>
            <w:rStyle w:val="Hyperlink"/>
            <w:noProof/>
          </w:rPr>
          <w:t>The RPM Capital Allowance Rate</w:t>
        </w:r>
        <w:r w:rsidR="00F70FB8">
          <w:rPr>
            <w:noProof/>
            <w:webHidden/>
          </w:rPr>
          <w:tab/>
        </w:r>
        <w:r w:rsidR="00F70FB8">
          <w:rPr>
            <w:noProof/>
            <w:webHidden/>
          </w:rPr>
          <w:fldChar w:fldCharType="begin"/>
        </w:r>
        <w:r w:rsidR="00F70FB8">
          <w:rPr>
            <w:noProof/>
            <w:webHidden/>
          </w:rPr>
          <w:instrText xml:space="preserve"> PAGEREF _Toc479770731 \h </w:instrText>
        </w:r>
        <w:r w:rsidR="00F70FB8">
          <w:rPr>
            <w:noProof/>
            <w:webHidden/>
          </w:rPr>
        </w:r>
        <w:r w:rsidR="00F70FB8">
          <w:rPr>
            <w:noProof/>
            <w:webHidden/>
          </w:rPr>
          <w:fldChar w:fldCharType="separate"/>
        </w:r>
        <w:r w:rsidR="00836082">
          <w:rPr>
            <w:noProof/>
            <w:webHidden/>
          </w:rPr>
          <w:t>161</w:t>
        </w:r>
        <w:r w:rsidR="00F70FB8">
          <w:rPr>
            <w:noProof/>
            <w:webHidden/>
          </w:rPr>
          <w:fldChar w:fldCharType="end"/>
        </w:r>
      </w:hyperlink>
    </w:p>
    <w:p w14:paraId="3C9E9715" w14:textId="77777777" w:rsidR="00F70FB8" w:rsidRDefault="00C46B37">
      <w:pPr>
        <w:pStyle w:val="TOC1"/>
        <w:rPr>
          <w:rFonts w:asciiTheme="minorHAnsi" w:eastAsiaTheme="minorEastAsia" w:hAnsiTheme="minorHAnsi" w:cstheme="minorBidi"/>
          <w:b w:val="0"/>
          <w:noProof/>
          <w:color w:val="auto"/>
          <w:sz w:val="22"/>
        </w:rPr>
      </w:pPr>
      <w:hyperlink w:anchor="_Toc479770732" w:history="1">
        <w:r w:rsidR="00F70FB8" w:rsidRPr="00637863">
          <w:rPr>
            <w:rStyle w:val="Hyperlink"/>
            <w:noProof/>
          </w:rPr>
          <w:t>Appendix E — International Comparisons</w:t>
        </w:r>
        <w:r w:rsidR="00F70FB8">
          <w:rPr>
            <w:noProof/>
            <w:webHidden/>
          </w:rPr>
          <w:tab/>
        </w:r>
        <w:r w:rsidR="00F70FB8">
          <w:rPr>
            <w:noProof/>
            <w:webHidden/>
          </w:rPr>
          <w:fldChar w:fldCharType="begin"/>
        </w:r>
        <w:r w:rsidR="00F70FB8">
          <w:rPr>
            <w:noProof/>
            <w:webHidden/>
          </w:rPr>
          <w:instrText xml:space="preserve"> PAGEREF _Toc479770732 \h </w:instrText>
        </w:r>
        <w:r w:rsidR="00F70FB8">
          <w:rPr>
            <w:noProof/>
            <w:webHidden/>
          </w:rPr>
        </w:r>
        <w:r w:rsidR="00F70FB8">
          <w:rPr>
            <w:noProof/>
            <w:webHidden/>
          </w:rPr>
          <w:fldChar w:fldCharType="separate"/>
        </w:r>
        <w:r w:rsidR="00836082">
          <w:rPr>
            <w:noProof/>
            <w:webHidden/>
          </w:rPr>
          <w:t>163</w:t>
        </w:r>
        <w:r w:rsidR="00F70FB8">
          <w:rPr>
            <w:noProof/>
            <w:webHidden/>
          </w:rPr>
          <w:fldChar w:fldCharType="end"/>
        </w:r>
      </w:hyperlink>
    </w:p>
    <w:p w14:paraId="2B16DDD7"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33" w:history="1">
        <w:r w:rsidR="00F70FB8" w:rsidRPr="00637863">
          <w:rPr>
            <w:rStyle w:val="Hyperlink"/>
            <w:noProof/>
          </w:rPr>
          <w:t>E.1</w:t>
        </w:r>
        <w:r w:rsidR="00F70FB8">
          <w:rPr>
            <w:rFonts w:asciiTheme="minorHAnsi" w:eastAsiaTheme="minorEastAsia" w:hAnsiTheme="minorHAnsi" w:cstheme="minorBidi"/>
            <w:noProof/>
            <w:color w:val="auto"/>
            <w:szCs w:val="22"/>
          </w:rPr>
          <w:tab/>
        </w:r>
        <w:r w:rsidR="00F70FB8" w:rsidRPr="00637863">
          <w:rPr>
            <w:rStyle w:val="Hyperlink"/>
            <w:noProof/>
          </w:rPr>
          <w:t>Fiscal Stability — Lessons From International Comparisons</w:t>
        </w:r>
        <w:r w:rsidR="00F70FB8">
          <w:rPr>
            <w:noProof/>
            <w:webHidden/>
          </w:rPr>
          <w:tab/>
        </w:r>
        <w:r w:rsidR="00F70FB8">
          <w:rPr>
            <w:noProof/>
            <w:webHidden/>
          </w:rPr>
          <w:fldChar w:fldCharType="begin"/>
        </w:r>
        <w:r w:rsidR="00F70FB8">
          <w:rPr>
            <w:noProof/>
            <w:webHidden/>
          </w:rPr>
          <w:instrText xml:space="preserve"> PAGEREF _Toc479770733 \h </w:instrText>
        </w:r>
        <w:r w:rsidR="00F70FB8">
          <w:rPr>
            <w:noProof/>
            <w:webHidden/>
          </w:rPr>
        </w:r>
        <w:r w:rsidR="00F70FB8">
          <w:rPr>
            <w:noProof/>
            <w:webHidden/>
          </w:rPr>
          <w:fldChar w:fldCharType="separate"/>
        </w:r>
        <w:r w:rsidR="00836082">
          <w:rPr>
            <w:noProof/>
            <w:webHidden/>
          </w:rPr>
          <w:t>163</w:t>
        </w:r>
        <w:r w:rsidR="00F70FB8">
          <w:rPr>
            <w:noProof/>
            <w:webHidden/>
          </w:rPr>
          <w:fldChar w:fldCharType="end"/>
        </w:r>
      </w:hyperlink>
    </w:p>
    <w:p w14:paraId="27495973"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34" w:history="1">
        <w:r w:rsidR="00F70FB8" w:rsidRPr="00637863">
          <w:rPr>
            <w:rStyle w:val="Hyperlink"/>
            <w:noProof/>
          </w:rPr>
          <w:t>E.1.1</w:t>
        </w:r>
        <w:r w:rsidR="00F70FB8">
          <w:rPr>
            <w:rFonts w:asciiTheme="minorHAnsi" w:eastAsiaTheme="minorEastAsia" w:hAnsiTheme="minorHAnsi" w:cstheme="minorBidi"/>
            <w:noProof/>
            <w:color w:val="auto"/>
            <w:szCs w:val="22"/>
          </w:rPr>
          <w:tab/>
        </w:r>
        <w:r w:rsidR="00F70FB8" w:rsidRPr="00637863">
          <w:rPr>
            <w:rStyle w:val="Hyperlink"/>
            <w:noProof/>
          </w:rPr>
          <w:t>United Kingdom</w:t>
        </w:r>
        <w:r w:rsidR="00F70FB8">
          <w:rPr>
            <w:noProof/>
            <w:webHidden/>
          </w:rPr>
          <w:tab/>
        </w:r>
        <w:r w:rsidR="00F70FB8">
          <w:rPr>
            <w:noProof/>
            <w:webHidden/>
          </w:rPr>
          <w:fldChar w:fldCharType="begin"/>
        </w:r>
        <w:r w:rsidR="00F70FB8">
          <w:rPr>
            <w:noProof/>
            <w:webHidden/>
          </w:rPr>
          <w:instrText xml:space="preserve"> PAGEREF _Toc479770734 \h </w:instrText>
        </w:r>
        <w:r w:rsidR="00F70FB8">
          <w:rPr>
            <w:noProof/>
            <w:webHidden/>
          </w:rPr>
        </w:r>
        <w:r w:rsidR="00F70FB8">
          <w:rPr>
            <w:noProof/>
            <w:webHidden/>
          </w:rPr>
          <w:fldChar w:fldCharType="separate"/>
        </w:r>
        <w:r w:rsidR="00836082">
          <w:rPr>
            <w:noProof/>
            <w:webHidden/>
          </w:rPr>
          <w:t>163</w:t>
        </w:r>
        <w:r w:rsidR="00F70FB8">
          <w:rPr>
            <w:noProof/>
            <w:webHidden/>
          </w:rPr>
          <w:fldChar w:fldCharType="end"/>
        </w:r>
      </w:hyperlink>
    </w:p>
    <w:p w14:paraId="43F94A2C"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35" w:history="1">
        <w:r w:rsidR="00F70FB8" w:rsidRPr="00637863">
          <w:rPr>
            <w:rStyle w:val="Hyperlink"/>
            <w:noProof/>
          </w:rPr>
          <w:t>E.1.2</w:t>
        </w:r>
        <w:r w:rsidR="00F70FB8">
          <w:rPr>
            <w:rFonts w:asciiTheme="minorHAnsi" w:eastAsiaTheme="minorEastAsia" w:hAnsiTheme="minorHAnsi" w:cstheme="minorBidi"/>
            <w:noProof/>
            <w:color w:val="auto"/>
            <w:szCs w:val="22"/>
          </w:rPr>
          <w:tab/>
        </w:r>
        <w:r w:rsidR="00F70FB8" w:rsidRPr="00637863">
          <w:rPr>
            <w:rStyle w:val="Hyperlink"/>
            <w:noProof/>
          </w:rPr>
          <w:t>Alberta</w:t>
        </w:r>
        <w:r w:rsidR="00F70FB8">
          <w:rPr>
            <w:noProof/>
            <w:webHidden/>
          </w:rPr>
          <w:tab/>
        </w:r>
        <w:r w:rsidR="00F70FB8">
          <w:rPr>
            <w:noProof/>
            <w:webHidden/>
          </w:rPr>
          <w:fldChar w:fldCharType="begin"/>
        </w:r>
        <w:r w:rsidR="00F70FB8">
          <w:rPr>
            <w:noProof/>
            <w:webHidden/>
          </w:rPr>
          <w:instrText xml:space="preserve"> PAGEREF _Toc479770735 \h </w:instrText>
        </w:r>
        <w:r w:rsidR="00F70FB8">
          <w:rPr>
            <w:noProof/>
            <w:webHidden/>
          </w:rPr>
        </w:r>
        <w:r w:rsidR="00F70FB8">
          <w:rPr>
            <w:noProof/>
            <w:webHidden/>
          </w:rPr>
          <w:fldChar w:fldCharType="separate"/>
        </w:r>
        <w:r w:rsidR="00836082">
          <w:rPr>
            <w:noProof/>
            <w:webHidden/>
          </w:rPr>
          <w:t>165</w:t>
        </w:r>
        <w:r w:rsidR="00F70FB8">
          <w:rPr>
            <w:noProof/>
            <w:webHidden/>
          </w:rPr>
          <w:fldChar w:fldCharType="end"/>
        </w:r>
      </w:hyperlink>
    </w:p>
    <w:p w14:paraId="4D9F591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36" w:history="1">
        <w:r w:rsidR="00F70FB8" w:rsidRPr="00637863">
          <w:rPr>
            <w:rStyle w:val="Hyperlink"/>
            <w:noProof/>
          </w:rPr>
          <w:t>E.1.3</w:t>
        </w:r>
        <w:r w:rsidR="00F70FB8">
          <w:rPr>
            <w:rFonts w:asciiTheme="minorHAnsi" w:eastAsiaTheme="minorEastAsia" w:hAnsiTheme="minorHAnsi" w:cstheme="minorBidi"/>
            <w:noProof/>
            <w:color w:val="auto"/>
            <w:szCs w:val="22"/>
          </w:rPr>
          <w:tab/>
        </w:r>
        <w:r w:rsidR="00F70FB8" w:rsidRPr="00637863">
          <w:rPr>
            <w:rStyle w:val="Hyperlink"/>
            <w:noProof/>
          </w:rPr>
          <w:t>Alaska</w:t>
        </w:r>
        <w:r w:rsidR="00F70FB8">
          <w:rPr>
            <w:noProof/>
            <w:webHidden/>
          </w:rPr>
          <w:tab/>
        </w:r>
        <w:r w:rsidR="00F70FB8">
          <w:rPr>
            <w:noProof/>
            <w:webHidden/>
          </w:rPr>
          <w:fldChar w:fldCharType="begin"/>
        </w:r>
        <w:r w:rsidR="00F70FB8">
          <w:rPr>
            <w:noProof/>
            <w:webHidden/>
          </w:rPr>
          <w:instrText xml:space="preserve"> PAGEREF _Toc479770736 \h </w:instrText>
        </w:r>
        <w:r w:rsidR="00F70FB8">
          <w:rPr>
            <w:noProof/>
            <w:webHidden/>
          </w:rPr>
        </w:r>
        <w:r w:rsidR="00F70FB8">
          <w:rPr>
            <w:noProof/>
            <w:webHidden/>
          </w:rPr>
          <w:fldChar w:fldCharType="separate"/>
        </w:r>
        <w:r w:rsidR="00836082">
          <w:rPr>
            <w:noProof/>
            <w:webHidden/>
          </w:rPr>
          <w:t>166</w:t>
        </w:r>
        <w:r w:rsidR="00F70FB8">
          <w:rPr>
            <w:noProof/>
            <w:webHidden/>
          </w:rPr>
          <w:fldChar w:fldCharType="end"/>
        </w:r>
      </w:hyperlink>
    </w:p>
    <w:p w14:paraId="7528CE45"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37" w:history="1">
        <w:r w:rsidR="00F70FB8" w:rsidRPr="00637863">
          <w:rPr>
            <w:rStyle w:val="Hyperlink"/>
            <w:noProof/>
          </w:rPr>
          <w:t>E.2</w:t>
        </w:r>
        <w:r w:rsidR="00F70FB8">
          <w:rPr>
            <w:rFonts w:asciiTheme="minorHAnsi" w:eastAsiaTheme="minorEastAsia" w:hAnsiTheme="minorHAnsi" w:cstheme="minorBidi"/>
            <w:noProof/>
            <w:color w:val="auto"/>
            <w:szCs w:val="22"/>
          </w:rPr>
          <w:tab/>
        </w:r>
        <w:r w:rsidR="00F70FB8" w:rsidRPr="00637863">
          <w:rPr>
            <w:rStyle w:val="Hyperlink"/>
            <w:noProof/>
          </w:rPr>
          <w:t>Summary of Fiscal Regimes for Oil and Gas in Selected Countries</w:t>
        </w:r>
        <w:r w:rsidR="00F70FB8">
          <w:rPr>
            <w:noProof/>
            <w:webHidden/>
          </w:rPr>
          <w:tab/>
        </w:r>
        <w:r w:rsidR="00F70FB8">
          <w:rPr>
            <w:noProof/>
            <w:webHidden/>
          </w:rPr>
          <w:fldChar w:fldCharType="begin"/>
        </w:r>
        <w:r w:rsidR="00F70FB8">
          <w:rPr>
            <w:noProof/>
            <w:webHidden/>
          </w:rPr>
          <w:instrText xml:space="preserve"> PAGEREF _Toc479770737 \h </w:instrText>
        </w:r>
        <w:r w:rsidR="00F70FB8">
          <w:rPr>
            <w:noProof/>
            <w:webHidden/>
          </w:rPr>
        </w:r>
        <w:r w:rsidR="00F70FB8">
          <w:rPr>
            <w:noProof/>
            <w:webHidden/>
          </w:rPr>
          <w:fldChar w:fldCharType="separate"/>
        </w:r>
        <w:r w:rsidR="00836082">
          <w:rPr>
            <w:noProof/>
            <w:webHidden/>
          </w:rPr>
          <w:t>169</w:t>
        </w:r>
        <w:r w:rsidR="00F70FB8">
          <w:rPr>
            <w:noProof/>
            <w:webHidden/>
          </w:rPr>
          <w:fldChar w:fldCharType="end"/>
        </w:r>
      </w:hyperlink>
    </w:p>
    <w:p w14:paraId="397E18E4"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38" w:history="1">
        <w:r w:rsidR="00F70FB8" w:rsidRPr="00637863">
          <w:rPr>
            <w:rStyle w:val="Hyperlink"/>
            <w:noProof/>
          </w:rPr>
          <w:t>E.2.1</w:t>
        </w:r>
        <w:r w:rsidR="00F70FB8">
          <w:rPr>
            <w:rFonts w:asciiTheme="minorHAnsi" w:eastAsiaTheme="minorEastAsia" w:hAnsiTheme="minorHAnsi" w:cstheme="minorBidi"/>
            <w:noProof/>
            <w:color w:val="auto"/>
            <w:szCs w:val="22"/>
          </w:rPr>
          <w:tab/>
        </w:r>
        <w:r w:rsidR="00F70FB8" w:rsidRPr="00637863">
          <w:rPr>
            <w:rStyle w:val="Hyperlink"/>
            <w:noProof/>
          </w:rPr>
          <w:t>Norway</w:t>
        </w:r>
        <w:r w:rsidR="00F70FB8">
          <w:rPr>
            <w:noProof/>
            <w:webHidden/>
          </w:rPr>
          <w:tab/>
        </w:r>
        <w:r w:rsidR="00F70FB8">
          <w:rPr>
            <w:noProof/>
            <w:webHidden/>
          </w:rPr>
          <w:fldChar w:fldCharType="begin"/>
        </w:r>
        <w:r w:rsidR="00F70FB8">
          <w:rPr>
            <w:noProof/>
            <w:webHidden/>
          </w:rPr>
          <w:instrText xml:space="preserve"> PAGEREF _Toc479770738 \h </w:instrText>
        </w:r>
        <w:r w:rsidR="00F70FB8">
          <w:rPr>
            <w:noProof/>
            <w:webHidden/>
          </w:rPr>
        </w:r>
        <w:r w:rsidR="00F70FB8">
          <w:rPr>
            <w:noProof/>
            <w:webHidden/>
          </w:rPr>
          <w:fldChar w:fldCharType="separate"/>
        </w:r>
        <w:r w:rsidR="00836082">
          <w:rPr>
            <w:noProof/>
            <w:webHidden/>
          </w:rPr>
          <w:t>169</w:t>
        </w:r>
        <w:r w:rsidR="00F70FB8">
          <w:rPr>
            <w:noProof/>
            <w:webHidden/>
          </w:rPr>
          <w:fldChar w:fldCharType="end"/>
        </w:r>
      </w:hyperlink>
    </w:p>
    <w:p w14:paraId="358DA4FE"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39" w:history="1">
        <w:r w:rsidR="00F70FB8" w:rsidRPr="00637863">
          <w:rPr>
            <w:rStyle w:val="Hyperlink"/>
            <w:noProof/>
          </w:rPr>
          <w:t>E.2.2</w:t>
        </w:r>
        <w:r w:rsidR="00F70FB8">
          <w:rPr>
            <w:rFonts w:asciiTheme="minorHAnsi" w:eastAsiaTheme="minorEastAsia" w:hAnsiTheme="minorHAnsi" w:cstheme="minorBidi"/>
            <w:noProof/>
            <w:color w:val="auto"/>
            <w:szCs w:val="22"/>
          </w:rPr>
          <w:tab/>
        </w:r>
        <w:r w:rsidR="00F70FB8" w:rsidRPr="00637863">
          <w:rPr>
            <w:rStyle w:val="Hyperlink"/>
            <w:noProof/>
          </w:rPr>
          <w:t>United Kingdom</w:t>
        </w:r>
        <w:r w:rsidR="00F70FB8">
          <w:rPr>
            <w:noProof/>
            <w:webHidden/>
          </w:rPr>
          <w:tab/>
        </w:r>
        <w:r w:rsidR="00F70FB8">
          <w:rPr>
            <w:noProof/>
            <w:webHidden/>
          </w:rPr>
          <w:fldChar w:fldCharType="begin"/>
        </w:r>
        <w:r w:rsidR="00F70FB8">
          <w:rPr>
            <w:noProof/>
            <w:webHidden/>
          </w:rPr>
          <w:instrText xml:space="preserve"> PAGEREF _Toc479770739 \h </w:instrText>
        </w:r>
        <w:r w:rsidR="00F70FB8">
          <w:rPr>
            <w:noProof/>
            <w:webHidden/>
          </w:rPr>
        </w:r>
        <w:r w:rsidR="00F70FB8">
          <w:rPr>
            <w:noProof/>
            <w:webHidden/>
          </w:rPr>
          <w:fldChar w:fldCharType="separate"/>
        </w:r>
        <w:r w:rsidR="00836082">
          <w:rPr>
            <w:noProof/>
            <w:webHidden/>
          </w:rPr>
          <w:t>170</w:t>
        </w:r>
        <w:r w:rsidR="00F70FB8">
          <w:rPr>
            <w:noProof/>
            <w:webHidden/>
          </w:rPr>
          <w:fldChar w:fldCharType="end"/>
        </w:r>
      </w:hyperlink>
    </w:p>
    <w:p w14:paraId="15FF66AA"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40" w:history="1">
        <w:r w:rsidR="00F70FB8" w:rsidRPr="00637863">
          <w:rPr>
            <w:rStyle w:val="Hyperlink"/>
            <w:noProof/>
          </w:rPr>
          <w:t>E.2.3</w:t>
        </w:r>
        <w:r w:rsidR="00F70FB8">
          <w:rPr>
            <w:rFonts w:asciiTheme="minorHAnsi" w:eastAsiaTheme="minorEastAsia" w:hAnsiTheme="minorHAnsi" w:cstheme="minorBidi"/>
            <w:noProof/>
            <w:color w:val="auto"/>
            <w:szCs w:val="22"/>
          </w:rPr>
          <w:tab/>
        </w:r>
        <w:r w:rsidR="00F70FB8" w:rsidRPr="00637863">
          <w:rPr>
            <w:rStyle w:val="Hyperlink"/>
            <w:noProof/>
          </w:rPr>
          <w:t>Papua New Guinea</w:t>
        </w:r>
        <w:r w:rsidR="00F70FB8">
          <w:rPr>
            <w:noProof/>
            <w:webHidden/>
          </w:rPr>
          <w:tab/>
        </w:r>
        <w:r w:rsidR="00F70FB8">
          <w:rPr>
            <w:noProof/>
            <w:webHidden/>
          </w:rPr>
          <w:fldChar w:fldCharType="begin"/>
        </w:r>
        <w:r w:rsidR="00F70FB8">
          <w:rPr>
            <w:noProof/>
            <w:webHidden/>
          </w:rPr>
          <w:instrText xml:space="preserve"> PAGEREF _Toc479770740 \h </w:instrText>
        </w:r>
        <w:r w:rsidR="00F70FB8">
          <w:rPr>
            <w:noProof/>
            <w:webHidden/>
          </w:rPr>
        </w:r>
        <w:r w:rsidR="00F70FB8">
          <w:rPr>
            <w:noProof/>
            <w:webHidden/>
          </w:rPr>
          <w:fldChar w:fldCharType="separate"/>
        </w:r>
        <w:r w:rsidR="00836082">
          <w:rPr>
            <w:noProof/>
            <w:webHidden/>
          </w:rPr>
          <w:t>170</w:t>
        </w:r>
        <w:r w:rsidR="00F70FB8">
          <w:rPr>
            <w:noProof/>
            <w:webHidden/>
          </w:rPr>
          <w:fldChar w:fldCharType="end"/>
        </w:r>
      </w:hyperlink>
    </w:p>
    <w:p w14:paraId="021238B1"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41" w:history="1">
        <w:r w:rsidR="00F70FB8" w:rsidRPr="00637863">
          <w:rPr>
            <w:rStyle w:val="Hyperlink"/>
            <w:noProof/>
          </w:rPr>
          <w:t>E.2.4</w:t>
        </w:r>
        <w:r w:rsidR="00F70FB8">
          <w:rPr>
            <w:rFonts w:asciiTheme="minorHAnsi" w:eastAsiaTheme="minorEastAsia" w:hAnsiTheme="minorHAnsi" w:cstheme="minorBidi"/>
            <w:noProof/>
            <w:color w:val="auto"/>
            <w:szCs w:val="22"/>
          </w:rPr>
          <w:tab/>
        </w:r>
        <w:r w:rsidR="00F70FB8" w:rsidRPr="00637863">
          <w:rPr>
            <w:rStyle w:val="Hyperlink"/>
            <w:noProof/>
          </w:rPr>
          <w:t>Canada</w:t>
        </w:r>
        <w:r w:rsidR="00F70FB8">
          <w:rPr>
            <w:noProof/>
            <w:webHidden/>
          </w:rPr>
          <w:tab/>
        </w:r>
        <w:r w:rsidR="00F70FB8">
          <w:rPr>
            <w:noProof/>
            <w:webHidden/>
          </w:rPr>
          <w:fldChar w:fldCharType="begin"/>
        </w:r>
        <w:r w:rsidR="00F70FB8">
          <w:rPr>
            <w:noProof/>
            <w:webHidden/>
          </w:rPr>
          <w:instrText xml:space="preserve"> PAGEREF _Toc479770741 \h </w:instrText>
        </w:r>
        <w:r w:rsidR="00F70FB8">
          <w:rPr>
            <w:noProof/>
            <w:webHidden/>
          </w:rPr>
        </w:r>
        <w:r w:rsidR="00F70FB8">
          <w:rPr>
            <w:noProof/>
            <w:webHidden/>
          </w:rPr>
          <w:fldChar w:fldCharType="separate"/>
        </w:r>
        <w:r w:rsidR="00836082">
          <w:rPr>
            <w:noProof/>
            <w:webHidden/>
          </w:rPr>
          <w:t>171</w:t>
        </w:r>
        <w:r w:rsidR="00F70FB8">
          <w:rPr>
            <w:noProof/>
            <w:webHidden/>
          </w:rPr>
          <w:fldChar w:fldCharType="end"/>
        </w:r>
      </w:hyperlink>
    </w:p>
    <w:p w14:paraId="101582DE" w14:textId="77777777" w:rsidR="00F70FB8" w:rsidRDefault="00C46B37">
      <w:pPr>
        <w:pStyle w:val="TOC3"/>
        <w:rPr>
          <w:rFonts w:asciiTheme="minorHAnsi" w:eastAsiaTheme="minorEastAsia" w:hAnsiTheme="minorHAnsi" w:cstheme="minorBidi"/>
          <w:noProof/>
          <w:color w:val="auto"/>
          <w:szCs w:val="22"/>
        </w:rPr>
      </w:pPr>
      <w:hyperlink w:anchor="_Toc479770742" w:history="1">
        <w:r w:rsidR="00F70FB8" w:rsidRPr="00637863">
          <w:rPr>
            <w:rStyle w:val="Hyperlink"/>
            <w:noProof/>
          </w:rPr>
          <w:t>Alberta</w:t>
        </w:r>
        <w:r w:rsidR="00F70FB8">
          <w:rPr>
            <w:noProof/>
            <w:webHidden/>
          </w:rPr>
          <w:tab/>
        </w:r>
        <w:r w:rsidR="00F70FB8">
          <w:rPr>
            <w:noProof/>
            <w:webHidden/>
          </w:rPr>
          <w:fldChar w:fldCharType="begin"/>
        </w:r>
        <w:r w:rsidR="00F70FB8">
          <w:rPr>
            <w:noProof/>
            <w:webHidden/>
          </w:rPr>
          <w:instrText xml:space="preserve"> PAGEREF _Toc479770742 \h </w:instrText>
        </w:r>
        <w:r w:rsidR="00F70FB8">
          <w:rPr>
            <w:noProof/>
            <w:webHidden/>
          </w:rPr>
        </w:r>
        <w:r w:rsidR="00F70FB8">
          <w:rPr>
            <w:noProof/>
            <w:webHidden/>
          </w:rPr>
          <w:fldChar w:fldCharType="separate"/>
        </w:r>
        <w:r w:rsidR="00836082">
          <w:rPr>
            <w:noProof/>
            <w:webHidden/>
          </w:rPr>
          <w:t>171</w:t>
        </w:r>
        <w:r w:rsidR="00F70FB8">
          <w:rPr>
            <w:noProof/>
            <w:webHidden/>
          </w:rPr>
          <w:fldChar w:fldCharType="end"/>
        </w:r>
      </w:hyperlink>
    </w:p>
    <w:p w14:paraId="244A4AB4" w14:textId="77777777" w:rsidR="00F70FB8" w:rsidRDefault="00C46B37">
      <w:pPr>
        <w:pStyle w:val="TOC3"/>
        <w:rPr>
          <w:rFonts w:asciiTheme="minorHAnsi" w:eastAsiaTheme="minorEastAsia" w:hAnsiTheme="minorHAnsi" w:cstheme="minorBidi"/>
          <w:noProof/>
          <w:color w:val="auto"/>
          <w:szCs w:val="22"/>
        </w:rPr>
      </w:pPr>
      <w:hyperlink w:anchor="_Toc479770743" w:history="1">
        <w:r w:rsidR="00F70FB8" w:rsidRPr="00637863">
          <w:rPr>
            <w:rStyle w:val="Hyperlink"/>
            <w:noProof/>
          </w:rPr>
          <w:t>British Columbia</w:t>
        </w:r>
        <w:r w:rsidR="00F70FB8">
          <w:rPr>
            <w:noProof/>
            <w:webHidden/>
          </w:rPr>
          <w:tab/>
        </w:r>
        <w:r w:rsidR="00F70FB8">
          <w:rPr>
            <w:noProof/>
            <w:webHidden/>
          </w:rPr>
          <w:fldChar w:fldCharType="begin"/>
        </w:r>
        <w:r w:rsidR="00F70FB8">
          <w:rPr>
            <w:noProof/>
            <w:webHidden/>
          </w:rPr>
          <w:instrText xml:space="preserve"> PAGEREF _Toc479770743 \h </w:instrText>
        </w:r>
        <w:r w:rsidR="00F70FB8">
          <w:rPr>
            <w:noProof/>
            <w:webHidden/>
          </w:rPr>
        </w:r>
        <w:r w:rsidR="00F70FB8">
          <w:rPr>
            <w:noProof/>
            <w:webHidden/>
          </w:rPr>
          <w:fldChar w:fldCharType="separate"/>
        </w:r>
        <w:r w:rsidR="00836082">
          <w:rPr>
            <w:noProof/>
            <w:webHidden/>
          </w:rPr>
          <w:t>172</w:t>
        </w:r>
        <w:r w:rsidR="00F70FB8">
          <w:rPr>
            <w:noProof/>
            <w:webHidden/>
          </w:rPr>
          <w:fldChar w:fldCharType="end"/>
        </w:r>
      </w:hyperlink>
    </w:p>
    <w:p w14:paraId="5120B3E1" w14:textId="77777777" w:rsidR="00F70FB8" w:rsidRDefault="00C46B37">
      <w:pPr>
        <w:pStyle w:val="TOC3"/>
        <w:rPr>
          <w:rFonts w:asciiTheme="minorHAnsi" w:eastAsiaTheme="minorEastAsia" w:hAnsiTheme="minorHAnsi" w:cstheme="minorBidi"/>
          <w:noProof/>
          <w:color w:val="auto"/>
          <w:szCs w:val="22"/>
        </w:rPr>
      </w:pPr>
      <w:hyperlink w:anchor="_Toc479770744" w:history="1">
        <w:r w:rsidR="00F70FB8" w:rsidRPr="00637863">
          <w:rPr>
            <w:rStyle w:val="Hyperlink"/>
            <w:noProof/>
          </w:rPr>
          <w:t>Newfoundland and Labrador</w:t>
        </w:r>
        <w:r w:rsidR="00F70FB8">
          <w:rPr>
            <w:noProof/>
            <w:webHidden/>
          </w:rPr>
          <w:tab/>
        </w:r>
        <w:r w:rsidR="00F70FB8">
          <w:rPr>
            <w:noProof/>
            <w:webHidden/>
          </w:rPr>
          <w:fldChar w:fldCharType="begin"/>
        </w:r>
        <w:r w:rsidR="00F70FB8">
          <w:rPr>
            <w:noProof/>
            <w:webHidden/>
          </w:rPr>
          <w:instrText xml:space="preserve"> PAGEREF _Toc479770744 \h </w:instrText>
        </w:r>
        <w:r w:rsidR="00F70FB8">
          <w:rPr>
            <w:noProof/>
            <w:webHidden/>
          </w:rPr>
        </w:r>
        <w:r w:rsidR="00F70FB8">
          <w:rPr>
            <w:noProof/>
            <w:webHidden/>
          </w:rPr>
          <w:fldChar w:fldCharType="separate"/>
        </w:r>
        <w:r w:rsidR="00836082">
          <w:rPr>
            <w:noProof/>
            <w:webHidden/>
          </w:rPr>
          <w:t>172</w:t>
        </w:r>
        <w:r w:rsidR="00F70FB8">
          <w:rPr>
            <w:noProof/>
            <w:webHidden/>
          </w:rPr>
          <w:fldChar w:fldCharType="end"/>
        </w:r>
      </w:hyperlink>
    </w:p>
    <w:p w14:paraId="6EA1AC6E"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45" w:history="1">
        <w:r w:rsidR="00F70FB8" w:rsidRPr="00637863">
          <w:rPr>
            <w:rStyle w:val="Hyperlink"/>
            <w:noProof/>
          </w:rPr>
          <w:t>E.2.5</w:t>
        </w:r>
        <w:r w:rsidR="00F70FB8">
          <w:rPr>
            <w:rFonts w:asciiTheme="minorHAnsi" w:eastAsiaTheme="minorEastAsia" w:hAnsiTheme="minorHAnsi" w:cstheme="minorBidi"/>
            <w:noProof/>
            <w:color w:val="auto"/>
            <w:szCs w:val="22"/>
          </w:rPr>
          <w:tab/>
        </w:r>
        <w:r w:rsidR="00F70FB8" w:rsidRPr="00637863">
          <w:rPr>
            <w:rStyle w:val="Hyperlink"/>
            <w:noProof/>
          </w:rPr>
          <w:t>United States</w:t>
        </w:r>
        <w:r w:rsidR="00F70FB8">
          <w:rPr>
            <w:noProof/>
            <w:webHidden/>
          </w:rPr>
          <w:tab/>
        </w:r>
        <w:r w:rsidR="00F70FB8">
          <w:rPr>
            <w:noProof/>
            <w:webHidden/>
          </w:rPr>
          <w:fldChar w:fldCharType="begin"/>
        </w:r>
        <w:r w:rsidR="00F70FB8">
          <w:rPr>
            <w:noProof/>
            <w:webHidden/>
          </w:rPr>
          <w:instrText xml:space="preserve"> PAGEREF _Toc479770745 \h </w:instrText>
        </w:r>
        <w:r w:rsidR="00F70FB8">
          <w:rPr>
            <w:noProof/>
            <w:webHidden/>
          </w:rPr>
        </w:r>
        <w:r w:rsidR="00F70FB8">
          <w:rPr>
            <w:noProof/>
            <w:webHidden/>
          </w:rPr>
          <w:fldChar w:fldCharType="separate"/>
        </w:r>
        <w:r w:rsidR="00836082">
          <w:rPr>
            <w:noProof/>
            <w:webHidden/>
          </w:rPr>
          <w:t>172</w:t>
        </w:r>
        <w:r w:rsidR="00F70FB8">
          <w:rPr>
            <w:noProof/>
            <w:webHidden/>
          </w:rPr>
          <w:fldChar w:fldCharType="end"/>
        </w:r>
      </w:hyperlink>
    </w:p>
    <w:p w14:paraId="4B60F52A" w14:textId="77777777" w:rsidR="00F70FB8" w:rsidRDefault="00C46B37">
      <w:pPr>
        <w:pStyle w:val="TOC3"/>
        <w:rPr>
          <w:rFonts w:asciiTheme="minorHAnsi" w:eastAsiaTheme="minorEastAsia" w:hAnsiTheme="minorHAnsi" w:cstheme="minorBidi"/>
          <w:noProof/>
          <w:color w:val="auto"/>
          <w:szCs w:val="22"/>
        </w:rPr>
      </w:pPr>
      <w:hyperlink w:anchor="_Toc479770746" w:history="1">
        <w:r w:rsidR="00F70FB8" w:rsidRPr="00637863">
          <w:rPr>
            <w:rStyle w:val="Hyperlink"/>
            <w:noProof/>
          </w:rPr>
          <w:t>Texas</w:t>
        </w:r>
        <w:r w:rsidR="00F70FB8">
          <w:rPr>
            <w:noProof/>
            <w:webHidden/>
          </w:rPr>
          <w:tab/>
        </w:r>
        <w:r w:rsidR="00F70FB8">
          <w:rPr>
            <w:noProof/>
            <w:webHidden/>
          </w:rPr>
          <w:fldChar w:fldCharType="begin"/>
        </w:r>
        <w:r w:rsidR="00F70FB8">
          <w:rPr>
            <w:noProof/>
            <w:webHidden/>
          </w:rPr>
          <w:instrText xml:space="preserve"> PAGEREF _Toc479770746 \h </w:instrText>
        </w:r>
        <w:r w:rsidR="00F70FB8">
          <w:rPr>
            <w:noProof/>
            <w:webHidden/>
          </w:rPr>
        </w:r>
        <w:r w:rsidR="00F70FB8">
          <w:rPr>
            <w:noProof/>
            <w:webHidden/>
          </w:rPr>
          <w:fldChar w:fldCharType="separate"/>
        </w:r>
        <w:r w:rsidR="00836082">
          <w:rPr>
            <w:noProof/>
            <w:webHidden/>
          </w:rPr>
          <w:t>173</w:t>
        </w:r>
        <w:r w:rsidR="00F70FB8">
          <w:rPr>
            <w:noProof/>
            <w:webHidden/>
          </w:rPr>
          <w:fldChar w:fldCharType="end"/>
        </w:r>
      </w:hyperlink>
    </w:p>
    <w:p w14:paraId="61AA3A2D" w14:textId="77777777" w:rsidR="00F70FB8" w:rsidRDefault="00C46B37">
      <w:pPr>
        <w:pStyle w:val="TOC3"/>
        <w:rPr>
          <w:rFonts w:asciiTheme="minorHAnsi" w:eastAsiaTheme="minorEastAsia" w:hAnsiTheme="minorHAnsi" w:cstheme="minorBidi"/>
          <w:noProof/>
          <w:color w:val="auto"/>
          <w:szCs w:val="22"/>
        </w:rPr>
      </w:pPr>
      <w:hyperlink w:anchor="_Toc479770747" w:history="1">
        <w:r w:rsidR="00F70FB8" w:rsidRPr="00637863">
          <w:rPr>
            <w:rStyle w:val="Hyperlink"/>
            <w:noProof/>
          </w:rPr>
          <w:t>North Dakota</w:t>
        </w:r>
        <w:r w:rsidR="00F70FB8">
          <w:rPr>
            <w:noProof/>
            <w:webHidden/>
          </w:rPr>
          <w:tab/>
        </w:r>
        <w:r w:rsidR="00F70FB8">
          <w:rPr>
            <w:noProof/>
            <w:webHidden/>
          </w:rPr>
          <w:fldChar w:fldCharType="begin"/>
        </w:r>
        <w:r w:rsidR="00F70FB8">
          <w:rPr>
            <w:noProof/>
            <w:webHidden/>
          </w:rPr>
          <w:instrText xml:space="preserve"> PAGEREF _Toc479770747 \h </w:instrText>
        </w:r>
        <w:r w:rsidR="00F70FB8">
          <w:rPr>
            <w:noProof/>
            <w:webHidden/>
          </w:rPr>
        </w:r>
        <w:r w:rsidR="00F70FB8">
          <w:rPr>
            <w:noProof/>
            <w:webHidden/>
          </w:rPr>
          <w:fldChar w:fldCharType="separate"/>
        </w:r>
        <w:r w:rsidR="00836082">
          <w:rPr>
            <w:noProof/>
            <w:webHidden/>
          </w:rPr>
          <w:t>173</w:t>
        </w:r>
        <w:r w:rsidR="00F70FB8">
          <w:rPr>
            <w:noProof/>
            <w:webHidden/>
          </w:rPr>
          <w:fldChar w:fldCharType="end"/>
        </w:r>
      </w:hyperlink>
    </w:p>
    <w:p w14:paraId="5A86BC18" w14:textId="77777777" w:rsidR="00F70FB8" w:rsidRDefault="00C46B37">
      <w:pPr>
        <w:pStyle w:val="TOC3"/>
        <w:rPr>
          <w:rFonts w:asciiTheme="minorHAnsi" w:eastAsiaTheme="minorEastAsia" w:hAnsiTheme="minorHAnsi" w:cstheme="minorBidi"/>
          <w:noProof/>
          <w:color w:val="auto"/>
          <w:szCs w:val="22"/>
        </w:rPr>
      </w:pPr>
      <w:hyperlink w:anchor="_Toc479770748" w:history="1">
        <w:r w:rsidR="00F70FB8" w:rsidRPr="00637863">
          <w:rPr>
            <w:rStyle w:val="Hyperlink"/>
            <w:noProof/>
          </w:rPr>
          <w:t>Gulf of Mexico (Offshore Federal Zone)</w:t>
        </w:r>
        <w:r w:rsidR="00F70FB8">
          <w:rPr>
            <w:noProof/>
            <w:webHidden/>
          </w:rPr>
          <w:tab/>
        </w:r>
        <w:r w:rsidR="00F70FB8">
          <w:rPr>
            <w:noProof/>
            <w:webHidden/>
          </w:rPr>
          <w:fldChar w:fldCharType="begin"/>
        </w:r>
        <w:r w:rsidR="00F70FB8">
          <w:rPr>
            <w:noProof/>
            <w:webHidden/>
          </w:rPr>
          <w:instrText xml:space="preserve"> PAGEREF _Toc479770748 \h </w:instrText>
        </w:r>
        <w:r w:rsidR="00F70FB8">
          <w:rPr>
            <w:noProof/>
            <w:webHidden/>
          </w:rPr>
        </w:r>
        <w:r w:rsidR="00F70FB8">
          <w:rPr>
            <w:noProof/>
            <w:webHidden/>
          </w:rPr>
          <w:fldChar w:fldCharType="separate"/>
        </w:r>
        <w:r w:rsidR="00836082">
          <w:rPr>
            <w:noProof/>
            <w:webHidden/>
          </w:rPr>
          <w:t>173</w:t>
        </w:r>
        <w:r w:rsidR="00F70FB8">
          <w:rPr>
            <w:noProof/>
            <w:webHidden/>
          </w:rPr>
          <w:fldChar w:fldCharType="end"/>
        </w:r>
      </w:hyperlink>
    </w:p>
    <w:p w14:paraId="7DEAC632" w14:textId="77777777" w:rsidR="00F70FB8" w:rsidRDefault="00C46B37">
      <w:pPr>
        <w:pStyle w:val="TOC3"/>
        <w:tabs>
          <w:tab w:val="left" w:pos="880"/>
        </w:tabs>
        <w:rPr>
          <w:rFonts w:asciiTheme="minorHAnsi" w:eastAsiaTheme="minorEastAsia" w:hAnsiTheme="minorHAnsi" w:cstheme="minorBidi"/>
          <w:noProof/>
          <w:color w:val="auto"/>
          <w:szCs w:val="22"/>
        </w:rPr>
      </w:pPr>
      <w:hyperlink w:anchor="_Toc479770749" w:history="1">
        <w:r w:rsidR="00F70FB8" w:rsidRPr="00637863">
          <w:rPr>
            <w:rStyle w:val="Hyperlink"/>
            <w:noProof/>
          </w:rPr>
          <w:t>E.2.6</w:t>
        </w:r>
        <w:r w:rsidR="00F70FB8">
          <w:rPr>
            <w:rFonts w:asciiTheme="minorHAnsi" w:eastAsiaTheme="minorEastAsia" w:hAnsiTheme="minorHAnsi" w:cstheme="minorBidi"/>
            <w:noProof/>
            <w:color w:val="auto"/>
            <w:szCs w:val="22"/>
          </w:rPr>
          <w:tab/>
        </w:r>
        <w:r w:rsidR="00F70FB8" w:rsidRPr="00637863">
          <w:rPr>
            <w:rStyle w:val="Hyperlink"/>
            <w:noProof/>
          </w:rPr>
          <w:t xml:space="preserve"> Qatar</w:t>
        </w:r>
        <w:r w:rsidR="00F70FB8">
          <w:rPr>
            <w:noProof/>
            <w:webHidden/>
          </w:rPr>
          <w:tab/>
        </w:r>
        <w:r w:rsidR="00F70FB8">
          <w:rPr>
            <w:noProof/>
            <w:webHidden/>
          </w:rPr>
          <w:fldChar w:fldCharType="begin"/>
        </w:r>
        <w:r w:rsidR="00F70FB8">
          <w:rPr>
            <w:noProof/>
            <w:webHidden/>
          </w:rPr>
          <w:instrText xml:space="preserve"> PAGEREF _Toc479770749 \h </w:instrText>
        </w:r>
        <w:r w:rsidR="00F70FB8">
          <w:rPr>
            <w:noProof/>
            <w:webHidden/>
          </w:rPr>
        </w:r>
        <w:r w:rsidR="00F70FB8">
          <w:rPr>
            <w:noProof/>
            <w:webHidden/>
          </w:rPr>
          <w:fldChar w:fldCharType="separate"/>
        </w:r>
        <w:r w:rsidR="00836082">
          <w:rPr>
            <w:noProof/>
            <w:webHidden/>
          </w:rPr>
          <w:t>173</w:t>
        </w:r>
        <w:r w:rsidR="00F70FB8">
          <w:rPr>
            <w:noProof/>
            <w:webHidden/>
          </w:rPr>
          <w:fldChar w:fldCharType="end"/>
        </w:r>
      </w:hyperlink>
    </w:p>
    <w:p w14:paraId="32C2786E" w14:textId="77777777" w:rsidR="00F70FB8" w:rsidRDefault="00C46B37">
      <w:pPr>
        <w:pStyle w:val="TOC1"/>
        <w:rPr>
          <w:rFonts w:asciiTheme="minorHAnsi" w:eastAsiaTheme="minorEastAsia" w:hAnsiTheme="minorHAnsi" w:cstheme="minorBidi"/>
          <w:b w:val="0"/>
          <w:noProof/>
          <w:color w:val="auto"/>
          <w:sz w:val="22"/>
        </w:rPr>
      </w:pPr>
      <w:hyperlink w:anchor="_Toc479770750" w:history="1">
        <w:r w:rsidR="00F70FB8" w:rsidRPr="00637863">
          <w:rPr>
            <w:rStyle w:val="Hyperlink"/>
            <w:noProof/>
          </w:rPr>
          <w:t>Appendix F — Gas Markets</w:t>
        </w:r>
        <w:r w:rsidR="00F70FB8">
          <w:rPr>
            <w:noProof/>
            <w:webHidden/>
          </w:rPr>
          <w:tab/>
        </w:r>
        <w:r w:rsidR="00F70FB8">
          <w:rPr>
            <w:noProof/>
            <w:webHidden/>
          </w:rPr>
          <w:fldChar w:fldCharType="begin"/>
        </w:r>
        <w:r w:rsidR="00F70FB8">
          <w:rPr>
            <w:noProof/>
            <w:webHidden/>
          </w:rPr>
          <w:instrText xml:space="preserve"> PAGEREF _Toc479770750 \h </w:instrText>
        </w:r>
        <w:r w:rsidR="00F70FB8">
          <w:rPr>
            <w:noProof/>
            <w:webHidden/>
          </w:rPr>
        </w:r>
        <w:r w:rsidR="00F70FB8">
          <w:rPr>
            <w:noProof/>
            <w:webHidden/>
          </w:rPr>
          <w:fldChar w:fldCharType="separate"/>
        </w:r>
        <w:r w:rsidR="00836082">
          <w:rPr>
            <w:noProof/>
            <w:webHidden/>
          </w:rPr>
          <w:t>175</w:t>
        </w:r>
        <w:r w:rsidR="00F70FB8">
          <w:rPr>
            <w:noProof/>
            <w:webHidden/>
          </w:rPr>
          <w:fldChar w:fldCharType="end"/>
        </w:r>
      </w:hyperlink>
    </w:p>
    <w:p w14:paraId="6992EEFF"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51" w:history="1">
        <w:r w:rsidR="00F70FB8" w:rsidRPr="00637863">
          <w:rPr>
            <w:rStyle w:val="Hyperlink"/>
            <w:noProof/>
          </w:rPr>
          <w:t>F.1</w:t>
        </w:r>
        <w:r w:rsidR="00F70FB8">
          <w:rPr>
            <w:rFonts w:asciiTheme="minorHAnsi" w:eastAsiaTheme="minorEastAsia" w:hAnsiTheme="minorHAnsi" w:cstheme="minorBidi"/>
            <w:noProof/>
            <w:color w:val="auto"/>
            <w:szCs w:val="22"/>
          </w:rPr>
          <w:tab/>
        </w:r>
        <w:r w:rsidR="00F70FB8" w:rsidRPr="00637863">
          <w:rPr>
            <w:rStyle w:val="Hyperlink"/>
            <w:noProof/>
          </w:rPr>
          <w:t>Global LNG Market</w:t>
        </w:r>
        <w:r w:rsidR="00F70FB8">
          <w:rPr>
            <w:noProof/>
            <w:webHidden/>
          </w:rPr>
          <w:tab/>
        </w:r>
        <w:r w:rsidR="00F70FB8">
          <w:rPr>
            <w:noProof/>
            <w:webHidden/>
          </w:rPr>
          <w:fldChar w:fldCharType="begin"/>
        </w:r>
        <w:r w:rsidR="00F70FB8">
          <w:rPr>
            <w:noProof/>
            <w:webHidden/>
          </w:rPr>
          <w:instrText xml:space="preserve"> PAGEREF _Toc479770751 \h </w:instrText>
        </w:r>
        <w:r w:rsidR="00F70FB8">
          <w:rPr>
            <w:noProof/>
            <w:webHidden/>
          </w:rPr>
        </w:r>
        <w:r w:rsidR="00F70FB8">
          <w:rPr>
            <w:noProof/>
            <w:webHidden/>
          </w:rPr>
          <w:fldChar w:fldCharType="separate"/>
        </w:r>
        <w:r w:rsidR="00836082">
          <w:rPr>
            <w:noProof/>
            <w:webHidden/>
          </w:rPr>
          <w:t>175</w:t>
        </w:r>
        <w:r w:rsidR="00F70FB8">
          <w:rPr>
            <w:noProof/>
            <w:webHidden/>
          </w:rPr>
          <w:fldChar w:fldCharType="end"/>
        </w:r>
      </w:hyperlink>
    </w:p>
    <w:p w14:paraId="44E7A113" w14:textId="77777777" w:rsidR="00F70FB8" w:rsidRDefault="00C46B37">
      <w:pPr>
        <w:pStyle w:val="TOC2"/>
        <w:tabs>
          <w:tab w:val="left" w:pos="880"/>
        </w:tabs>
        <w:rPr>
          <w:rFonts w:asciiTheme="minorHAnsi" w:eastAsiaTheme="minorEastAsia" w:hAnsiTheme="minorHAnsi" w:cstheme="minorBidi"/>
          <w:noProof/>
          <w:color w:val="auto"/>
          <w:szCs w:val="22"/>
        </w:rPr>
      </w:pPr>
      <w:hyperlink w:anchor="_Toc479770752" w:history="1">
        <w:r w:rsidR="00F70FB8" w:rsidRPr="00637863">
          <w:rPr>
            <w:rStyle w:val="Hyperlink"/>
            <w:noProof/>
          </w:rPr>
          <w:t>F.2</w:t>
        </w:r>
        <w:r w:rsidR="00F70FB8">
          <w:rPr>
            <w:rFonts w:asciiTheme="minorHAnsi" w:eastAsiaTheme="minorEastAsia" w:hAnsiTheme="minorHAnsi" w:cstheme="minorBidi"/>
            <w:noProof/>
            <w:color w:val="auto"/>
            <w:szCs w:val="22"/>
          </w:rPr>
          <w:tab/>
        </w:r>
        <w:r w:rsidR="00F70FB8" w:rsidRPr="00637863">
          <w:rPr>
            <w:rStyle w:val="Hyperlink"/>
            <w:noProof/>
          </w:rPr>
          <w:t>Australia’s Domestic Gas Markets</w:t>
        </w:r>
        <w:r w:rsidR="00F70FB8">
          <w:rPr>
            <w:noProof/>
            <w:webHidden/>
          </w:rPr>
          <w:tab/>
        </w:r>
        <w:r w:rsidR="00F70FB8">
          <w:rPr>
            <w:noProof/>
            <w:webHidden/>
          </w:rPr>
          <w:fldChar w:fldCharType="begin"/>
        </w:r>
        <w:r w:rsidR="00F70FB8">
          <w:rPr>
            <w:noProof/>
            <w:webHidden/>
          </w:rPr>
          <w:instrText xml:space="preserve"> PAGEREF _Toc479770752 \h </w:instrText>
        </w:r>
        <w:r w:rsidR="00F70FB8">
          <w:rPr>
            <w:noProof/>
            <w:webHidden/>
          </w:rPr>
        </w:r>
        <w:r w:rsidR="00F70FB8">
          <w:rPr>
            <w:noProof/>
            <w:webHidden/>
          </w:rPr>
          <w:fldChar w:fldCharType="separate"/>
        </w:r>
        <w:r w:rsidR="00836082">
          <w:rPr>
            <w:noProof/>
            <w:webHidden/>
          </w:rPr>
          <w:t>177</w:t>
        </w:r>
        <w:r w:rsidR="00F70FB8">
          <w:rPr>
            <w:noProof/>
            <w:webHidden/>
          </w:rPr>
          <w:fldChar w:fldCharType="end"/>
        </w:r>
      </w:hyperlink>
    </w:p>
    <w:p w14:paraId="051B3A16" w14:textId="77777777" w:rsidR="00F70FB8" w:rsidRDefault="00C46B37">
      <w:pPr>
        <w:pStyle w:val="TOC1"/>
        <w:rPr>
          <w:rFonts w:asciiTheme="minorHAnsi" w:eastAsiaTheme="minorEastAsia" w:hAnsiTheme="minorHAnsi" w:cstheme="minorBidi"/>
          <w:b w:val="0"/>
          <w:noProof/>
          <w:color w:val="auto"/>
          <w:sz w:val="22"/>
        </w:rPr>
      </w:pPr>
      <w:hyperlink w:anchor="_Toc479770753" w:history="1">
        <w:r w:rsidR="00F70FB8" w:rsidRPr="00637863">
          <w:rPr>
            <w:rStyle w:val="Hyperlink"/>
            <w:noProof/>
          </w:rPr>
          <w:t>Appendix G — Submissions and Meetings</w:t>
        </w:r>
        <w:r w:rsidR="00F70FB8">
          <w:rPr>
            <w:noProof/>
            <w:webHidden/>
          </w:rPr>
          <w:tab/>
        </w:r>
        <w:r w:rsidR="00F70FB8">
          <w:rPr>
            <w:noProof/>
            <w:webHidden/>
          </w:rPr>
          <w:fldChar w:fldCharType="begin"/>
        </w:r>
        <w:r w:rsidR="00F70FB8">
          <w:rPr>
            <w:noProof/>
            <w:webHidden/>
          </w:rPr>
          <w:instrText xml:space="preserve"> PAGEREF _Toc479770753 \h </w:instrText>
        </w:r>
        <w:r w:rsidR="00F70FB8">
          <w:rPr>
            <w:noProof/>
            <w:webHidden/>
          </w:rPr>
        </w:r>
        <w:r w:rsidR="00F70FB8">
          <w:rPr>
            <w:noProof/>
            <w:webHidden/>
          </w:rPr>
          <w:fldChar w:fldCharType="separate"/>
        </w:r>
        <w:r w:rsidR="00836082">
          <w:rPr>
            <w:noProof/>
            <w:webHidden/>
          </w:rPr>
          <w:t>180</w:t>
        </w:r>
        <w:r w:rsidR="00F70FB8">
          <w:rPr>
            <w:noProof/>
            <w:webHidden/>
          </w:rPr>
          <w:fldChar w:fldCharType="end"/>
        </w:r>
      </w:hyperlink>
    </w:p>
    <w:p w14:paraId="00900BDA" w14:textId="77777777" w:rsidR="00F70FB8" w:rsidRDefault="00C46B37">
      <w:pPr>
        <w:pStyle w:val="TOC2"/>
        <w:rPr>
          <w:rFonts w:asciiTheme="minorHAnsi" w:eastAsiaTheme="minorEastAsia" w:hAnsiTheme="minorHAnsi" w:cstheme="minorBidi"/>
          <w:noProof/>
          <w:color w:val="auto"/>
          <w:szCs w:val="22"/>
        </w:rPr>
      </w:pPr>
      <w:hyperlink w:anchor="_Toc479770754" w:history="1">
        <w:r w:rsidR="00F70FB8" w:rsidRPr="00637863">
          <w:rPr>
            <w:rStyle w:val="Hyperlink"/>
            <w:noProof/>
          </w:rPr>
          <w:t>Submissions</w:t>
        </w:r>
        <w:r w:rsidR="00F70FB8">
          <w:rPr>
            <w:noProof/>
            <w:webHidden/>
          </w:rPr>
          <w:tab/>
        </w:r>
        <w:r w:rsidR="00F70FB8">
          <w:rPr>
            <w:noProof/>
            <w:webHidden/>
          </w:rPr>
          <w:fldChar w:fldCharType="begin"/>
        </w:r>
        <w:r w:rsidR="00F70FB8">
          <w:rPr>
            <w:noProof/>
            <w:webHidden/>
          </w:rPr>
          <w:instrText xml:space="preserve"> PAGEREF _Toc479770754 \h </w:instrText>
        </w:r>
        <w:r w:rsidR="00F70FB8">
          <w:rPr>
            <w:noProof/>
            <w:webHidden/>
          </w:rPr>
        </w:r>
        <w:r w:rsidR="00F70FB8">
          <w:rPr>
            <w:noProof/>
            <w:webHidden/>
          </w:rPr>
          <w:fldChar w:fldCharType="separate"/>
        </w:r>
        <w:r w:rsidR="00836082">
          <w:rPr>
            <w:noProof/>
            <w:webHidden/>
          </w:rPr>
          <w:t>180</w:t>
        </w:r>
        <w:r w:rsidR="00F70FB8">
          <w:rPr>
            <w:noProof/>
            <w:webHidden/>
          </w:rPr>
          <w:fldChar w:fldCharType="end"/>
        </w:r>
      </w:hyperlink>
    </w:p>
    <w:p w14:paraId="312363F7" w14:textId="77777777" w:rsidR="00F70FB8" w:rsidRDefault="00C46B37">
      <w:pPr>
        <w:pStyle w:val="TOC3"/>
        <w:rPr>
          <w:rFonts w:asciiTheme="minorHAnsi" w:eastAsiaTheme="minorEastAsia" w:hAnsiTheme="minorHAnsi" w:cstheme="minorBidi"/>
          <w:noProof/>
          <w:color w:val="auto"/>
          <w:szCs w:val="22"/>
        </w:rPr>
      </w:pPr>
      <w:hyperlink w:anchor="_Toc479770755" w:history="1">
        <w:r w:rsidR="00F70FB8" w:rsidRPr="00637863">
          <w:rPr>
            <w:rStyle w:val="Hyperlink"/>
            <w:noProof/>
          </w:rPr>
          <w:t>Confidential submissions</w:t>
        </w:r>
        <w:r w:rsidR="00F70FB8">
          <w:rPr>
            <w:noProof/>
            <w:webHidden/>
          </w:rPr>
          <w:tab/>
        </w:r>
        <w:r w:rsidR="00F70FB8">
          <w:rPr>
            <w:noProof/>
            <w:webHidden/>
          </w:rPr>
          <w:fldChar w:fldCharType="begin"/>
        </w:r>
        <w:r w:rsidR="00F70FB8">
          <w:rPr>
            <w:noProof/>
            <w:webHidden/>
          </w:rPr>
          <w:instrText xml:space="preserve"> PAGEREF _Toc479770755 \h </w:instrText>
        </w:r>
        <w:r w:rsidR="00F70FB8">
          <w:rPr>
            <w:noProof/>
            <w:webHidden/>
          </w:rPr>
        </w:r>
        <w:r w:rsidR="00F70FB8">
          <w:rPr>
            <w:noProof/>
            <w:webHidden/>
          </w:rPr>
          <w:fldChar w:fldCharType="separate"/>
        </w:r>
        <w:r w:rsidR="00836082">
          <w:rPr>
            <w:noProof/>
            <w:webHidden/>
          </w:rPr>
          <w:t>181</w:t>
        </w:r>
        <w:r w:rsidR="00F70FB8">
          <w:rPr>
            <w:noProof/>
            <w:webHidden/>
          </w:rPr>
          <w:fldChar w:fldCharType="end"/>
        </w:r>
      </w:hyperlink>
    </w:p>
    <w:p w14:paraId="35BED64C" w14:textId="77777777" w:rsidR="00F70FB8" w:rsidRDefault="00C46B37">
      <w:pPr>
        <w:pStyle w:val="TOC2"/>
        <w:rPr>
          <w:rFonts w:asciiTheme="minorHAnsi" w:eastAsiaTheme="minorEastAsia" w:hAnsiTheme="minorHAnsi" w:cstheme="minorBidi"/>
          <w:noProof/>
          <w:color w:val="auto"/>
          <w:szCs w:val="22"/>
        </w:rPr>
      </w:pPr>
      <w:hyperlink w:anchor="_Toc479770756" w:history="1">
        <w:r w:rsidR="00F70FB8" w:rsidRPr="00637863">
          <w:rPr>
            <w:rStyle w:val="Hyperlink"/>
            <w:noProof/>
          </w:rPr>
          <w:t>Meetings</w:t>
        </w:r>
        <w:r w:rsidR="00F70FB8">
          <w:rPr>
            <w:noProof/>
            <w:webHidden/>
          </w:rPr>
          <w:tab/>
        </w:r>
        <w:r w:rsidR="00F70FB8">
          <w:rPr>
            <w:noProof/>
            <w:webHidden/>
          </w:rPr>
          <w:fldChar w:fldCharType="begin"/>
        </w:r>
        <w:r w:rsidR="00F70FB8">
          <w:rPr>
            <w:noProof/>
            <w:webHidden/>
          </w:rPr>
          <w:instrText xml:space="preserve"> PAGEREF _Toc479770756 \h </w:instrText>
        </w:r>
        <w:r w:rsidR="00F70FB8">
          <w:rPr>
            <w:noProof/>
            <w:webHidden/>
          </w:rPr>
        </w:r>
        <w:r w:rsidR="00F70FB8">
          <w:rPr>
            <w:noProof/>
            <w:webHidden/>
          </w:rPr>
          <w:fldChar w:fldCharType="separate"/>
        </w:r>
        <w:r w:rsidR="00836082">
          <w:rPr>
            <w:noProof/>
            <w:webHidden/>
          </w:rPr>
          <w:t>181</w:t>
        </w:r>
        <w:r w:rsidR="00F70FB8">
          <w:rPr>
            <w:noProof/>
            <w:webHidden/>
          </w:rPr>
          <w:fldChar w:fldCharType="end"/>
        </w:r>
      </w:hyperlink>
    </w:p>
    <w:p w14:paraId="752FDF3C" w14:textId="77777777" w:rsidR="00F70FB8" w:rsidRDefault="00C46B37">
      <w:pPr>
        <w:pStyle w:val="TOC3"/>
        <w:rPr>
          <w:rFonts w:asciiTheme="minorHAnsi" w:eastAsiaTheme="minorEastAsia" w:hAnsiTheme="minorHAnsi" w:cstheme="minorBidi"/>
          <w:noProof/>
          <w:color w:val="auto"/>
          <w:szCs w:val="22"/>
        </w:rPr>
      </w:pPr>
      <w:hyperlink w:anchor="_Toc479770757" w:history="1">
        <w:r w:rsidR="00F70FB8" w:rsidRPr="00637863">
          <w:rPr>
            <w:rStyle w:val="Hyperlink"/>
            <w:noProof/>
          </w:rPr>
          <w:t>From Industry</w:t>
        </w:r>
        <w:r w:rsidR="00F70FB8">
          <w:rPr>
            <w:noProof/>
            <w:webHidden/>
          </w:rPr>
          <w:tab/>
        </w:r>
        <w:r w:rsidR="00F70FB8">
          <w:rPr>
            <w:noProof/>
            <w:webHidden/>
          </w:rPr>
          <w:fldChar w:fldCharType="begin"/>
        </w:r>
        <w:r w:rsidR="00F70FB8">
          <w:rPr>
            <w:noProof/>
            <w:webHidden/>
          </w:rPr>
          <w:instrText xml:space="preserve"> PAGEREF _Toc479770757 \h </w:instrText>
        </w:r>
        <w:r w:rsidR="00F70FB8">
          <w:rPr>
            <w:noProof/>
            <w:webHidden/>
          </w:rPr>
        </w:r>
        <w:r w:rsidR="00F70FB8">
          <w:rPr>
            <w:noProof/>
            <w:webHidden/>
          </w:rPr>
          <w:fldChar w:fldCharType="separate"/>
        </w:r>
        <w:r w:rsidR="00836082">
          <w:rPr>
            <w:noProof/>
            <w:webHidden/>
          </w:rPr>
          <w:t>181</w:t>
        </w:r>
        <w:r w:rsidR="00F70FB8">
          <w:rPr>
            <w:noProof/>
            <w:webHidden/>
          </w:rPr>
          <w:fldChar w:fldCharType="end"/>
        </w:r>
      </w:hyperlink>
    </w:p>
    <w:p w14:paraId="4893FD2D" w14:textId="77777777" w:rsidR="00F70FB8" w:rsidRDefault="00C46B37">
      <w:pPr>
        <w:pStyle w:val="TOC3"/>
        <w:rPr>
          <w:rFonts w:asciiTheme="minorHAnsi" w:eastAsiaTheme="minorEastAsia" w:hAnsiTheme="minorHAnsi" w:cstheme="minorBidi"/>
          <w:noProof/>
          <w:color w:val="auto"/>
          <w:szCs w:val="22"/>
        </w:rPr>
      </w:pPr>
      <w:hyperlink w:anchor="_Toc479770758" w:history="1">
        <w:r w:rsidR="00F70FB8" w:rsidRPr="00637863">
          <w:rPr>
            <w:rStyle w:val="Hyperlink"/>
            <w:noProof/>
          </w:rPr>
          <w:t>Outside of Industry</w:t>
        </w:r>
        <w:r w:rsidR="00F70FB8">
          <w:rPr>
            <w:noProof/>
            <w:webHidden/>
          </w:rPr>
          <w:tab/>
        </w:r>
        <w:r w:rsidR="00F70FB8">
          <w:rPr>
            <w:noProof/>
            <w:webHidden/>
          </w:rPr>
          <w:fldChar w:fldCharType="begin"/>
        </w:r>
        <w:r w:rsidR="00F70FB8">
          <w:rPr>
            <w:noProof/>
            <w:webHidden/>
          </w:rPr>
          <w:instrText xml:space="preserve"> PAGEREF _Toc479770758 \h </w:instrText>
        </w:r>
        <w:r w:rsidR="00F70FB8">
          <w:rPr>
            <w:noProof/>
            <w:webHidden/>
          </w:rPr>
        </w:r>
        <w:r w:rsidR="00F70FB8">
          <w:rPr>
            <w:noProof/>
            <w:webHidden/>
          </w:rPr>
          <w:fldChar w:fldCharType="separate"/>
        </w:r>
        <w:r w:rsidR="00836082">
          <w:rPr>
            <w:noProof/>
            <w:webHidden/>
          </w:rPr>
          <w:t>182</w:t>
        </w:r>
        <w:r w:rsidR="00F70FB8">
          <w:rPr>
            <w:noProof/>
            <w:webHidden/>
          </w:rPr>
          <w:fldChar w:fldCharType="end"/>
        </w:r>
      </w:hyperlink>
    </w:p>
    <w:p w14:paraId="6CB154EF" w14:textId="77777777" w:rsidR="0056559F" w:rsidRDefault="0056559F" w:rsidP="0056559F">
      <w:r>
        <w:fldChar w:fldCharType="end"/>
      </w:r>
    </w:p>
    <w:p w14:paraId="6A144A62" w14:textId="77777777" w:rsidR="00F30068" w:rsidRDefault="00F30068" w:rsidP="0056559F">
      <w:pPr>
        <w:sectPr w:rsidR="00F30068" w:rsidSect="0056559F">
          <w:headerReference w:type="first" r:id="rId25"/>
          <w:pgSz w:w="11906" w:h="16838" w:code="9"/>
          <w:pgMar w:top="1418" w:right="1418" w:bottom="1418" w:left="1418" w:header="709" w:footer="709" w:gutter="0"/>
          <w:cols w:space="708"/>
          <w:titlePg/>
          <w:docGrid w:linePitch="360"/>
        </w:sectPr>
      </w:pPr>
    </w:p>
    <w:p w14:paraId="5DA26919" w14:textId="7E76F9AF" w:rsidR="000D785F" w:rsidRDefault="000D785F" w:rsidP="000D785F">
      <w:pPr>
        <w:pStyle w:val="Heading1"/>
      </w:pPr>
      <w:bookmarkStart w:id="1" w:name="_Toc476577279"/>
      <w:bookmarkStart w:id="2" w:name="_Toc476582267"/>
      <w:bookmarkStart w:id="3" w:name="_Toc476582941"/>
      <w:bookmarkStart w:id="4" w:name="_Toc476583658"/>
      <w:bookmarkStart w:id="5" w:name="_Toc476584106"/>
      <w:bookmarkStart w:id="6" w:name="_Toc476738012"/>
      <w:bookmarkStart w:id="7" w:name="_Toc476747587"/>
      <w:bookmarkStart w:id="8" w:name="_Toc476748995"/>
      <w:bookmarkStart w:id="9" w:name="_Toc476753863"/>
      <w:bookmarkStart w:id="10" w:name="_Toc476754358"/>
      <w:bookmarkStart w:id="11" w:name="_Toc476754523"/>
      <w:bookmarkStart w:id="12" w:name="_Toc476759759"/>
      <w:bookmarkStart w:id="13" w:name="_Toc476761381"/>
      <w:bookmarkStart w:id="14" w:name="_Toc476767019"/>
      <w:bookmarkStart w:id="15" w:name="_Toc476827065"/>
      <w:bookmarkStart w:id="16" w:name="_Toc476828758"/>
      <w:bookmarkStart w:id="17" w:name="_Toc476833632"/>
      <w:bookmarkStart w:id="18" w:name="_Toc476837105"/>
      <w:bookmarkStart w:id="19" w:name="_Toc476840977"/>
      <w:bookmarkStart w:id="20" w:name="_Toc476841182"/>
      <w:bookmarkStart w:id="21" w:name="_Toc476841941"/>
      <w:bookmarkStart w:id="22" w:name="_Toc476842885"/>
      <w:bookmarkStart w:id="23" w:name="_Toc476843056"/>
      <w:bookmarkStart w:id="24" w:name="_Toc476844554"/>
      <w:bookmarkStart w:id="25" w:name="_Toc476845447"/>
      <w:bookmarkStart w:id="26" w:name="_Toc476926838"/>
      <w:bookmarkStart w:id="27" w:name="_Toc476926777"/>
      <w:bookmarkStart w:id="28" w:name="_Toc476927125"/>
      <w:bookmarkStart w:id="29" w:name="_Toc476928389"/>
      <w:bookmarkStart w:id="30" w:name="_Toc476929432"/>
      <w:bookmarkStart w:id="31" w:name="_Toc476929607"/>
      <w:bookmarkStart w:id="32" w:name="_Toc476930650"/>
      <w:bookmarkStart w:id="33" w:name="_Toc476931457"/>
      <w:bookmarkStart w:id="34" w:name="_Toc477869828"/>
      <w:bookmarkStart w:id="35" w:name="_Toc477871067"/>
      <w:bookmarkStart w:id="36" w:name="_Toc477873227"/>
      <w:bookmarkStart w:id="37" w:name="_Toc477875221"/>
      <w:bookmarkStart w:id="38" w:name="_Toc477880134"/>
      <w:bookmarkStart w:id="39" w:name="_Toc477881394"/>
      <w:bookmarkStart w:id="40" w:name="_Toc477955798"/>
      <w:bookmarkStart w:id="41" w:name="_Toc477963043"/>
      <w:bookmarkStart w:id="42" w:name="_Toc477963529"/>
      <w:bookmarkStart w:id="43" w:name="_Toc477965115"/>
      <w:bookmarkStart w:id="44" w:name="_Toc477966619"/>
      <w:bookmarkStart w:id="45" w:name="_Toc477966788"/>
      <w:bookmarkStart w:id="46" w:name="_Toc477967128"/>
      <w:bookmarkStart w:id="47" w:name="_Toc478121261"/>
      <w:bookmarkStart w:id="48" w:name="_Toc478122174"/>
      <w:bookmarkStart w:id="49" w:name="_Toc478133174"/>
      <w:bookmarkStart w:id="50" w:name="_Toc478132311"/>
      <w:bookmarkStart w:id="51" w:name="_Toc478132832"/>
      <w:bookmarkStart w:id="52" w:name="_Toc478134639"/>
      <w:bookmarkStart w:id="53" w:name="_Toc478137342"/>
      <w:bookmarkStart w:id="54" w:name="_Toc478138414"/>
      <w:bookmarkStart w:id="55" w:name="_Toc478139984"/>
      <w:bookmarkStart w:id="56" w:name="_Toc478140400"/>
      <w:bookmarkStart w:id="57" w:name="_Toc478142606"/>
      <w:bookmarkStart w:id="58" w:name="_Toc478566322"/>
      <w:bookmarkStart w:id="59" w:name="_Toc478569489"/>
      <w:bookmarkStart w:id="60" w:name="_Toc478569663"/>
      <w:bookmarkStart w:id="61" w:name="_Toc478570737"/>
      <w:bookmarkStart w:id="62" w:name="_Toc478632937"/>
      <w:bookmarkStart w:id="63" w:name="_Toc478641345"/>
      <w:bookmarkStart w:id="64" w:name="_Toc478654239"/>
      <w:bookmarkStart w:id="65" w:name="_Toc478654413"/>
      <w:bookmarkStart w:id="66" w:name="_Toc478657708"/>
      <w:bookmarkStart w:id="67" w:name="_Toc478993131"/>
      <w:bookmarkStart w:id="68" w:name="_Toc479000202"/>
      <w:bookmarkStart w:id="69" w:name="_Toc479002136"/>
      <w:bookmarkStart w:id="70" w:name="_Toc479002308"/>
      <w:bookmarkStart w:id="71" w:name="_Toc479254283"/>
      <w:bookmarkStart w:id="72" w:name="_Toc479258472"/>
      <w:bookmarkStart w:id="73" w:name="_Toc479258788"/>
      <w:bookmarkStart w:id="74" w:name="_Toc479259680"/>
      <w:bookmarkStart w:id="75" w:name="_Toc479262103"/>
      <w:bookmarkStart w:id="76" w:name="_Toc479262524"/>
      <w:bookmarkStart w:id="77" w:name="_Toc479321225"/>
      <w:bookmarkStart w:id="78" w:name="_Toc479326664"/>
      <w:bookmarkStart w:id="79" w:name="_Toc479333263"/>
      <w:bookmarkStart w:id="80" w:name="_Toc479334960"/>
      <w:bookmarkStart w:id="81" w:name="_Toc479341675"/>
      <w:bookmarkStart w:id="82" w:name="_Toc479345091"/>
      <w:bookmarkStart w:id="83" w:name="_Toc479345300"/>
      <w:bookmarkStart w:id="84" w:name="_Toc479348281"/>
      <w:bookmarkStart w:id="85" w:name="_Toc479675875"/>
      <w:bookmarkStart w:id="86" w:name="_Toc479690842"/>
      <w:bookmarkStart w:id="87" w:name="_Toc479693420"/>
      <w:bookmarkStart w:id="88" w:name="_Toc479770589"/>
      <w:r>
        <w:t>Table of Abbreviations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tbl>
      <w:tblPr>
        <w:tblStyle w:val="TableGrid"/>
        <w:tblW w:w="0" w:type="auto"/>
        <w:tblLook w:val="04A0" w:firstRow="1" w:lastRow="0" w:firstColumn="1" w:lastColumn="0" w:noHBand="0" w:noVBand="1"/>
      </w:tblPr>
      <w:tblGrid>
        <w:gridCol w:w="1150"/>
        <w:gridCol w:w="8136"/>
      </w:tblGrid>
      <w:tr w:rsidR="008C2101" w:rsidRPr="00783402" w14:paraId="5C812262" w14:textId="77777777" w:rsidTr="00F029E3">
        <w:tc>
          <w:tcPr>
            <w:tcW w:w="1150" w:type="dxa"/>
            <w:shd w:val="clear" w:color="auto" w:fill="auto"/>
          </w:tcPr>
          <w:p w14:paraId="0353E98C" w14:textId="5E89DDE4" w:rsidR="008C2101" w:rsidRPr="00783402" w:rsidRDefault="008C2101" w:rsidP="00783402">
            <w:pPr>
              <w:spacing w:before="60" w:after="60" w:line="240" w:lineRule="auto"/>
              <w:rPr>
                <w:szCs w:val="22"/>
              </w:rPr>
            </w:pPr>
            <w:r w:rsidRPr="00783402">
              <w:rPr>
                <w:szCs w:val="22"/>
              </w:rPr>
              <w:t>ACCC</w:t>
            </w:r>
          </w:p>
        </w:tc>
        <w:tc>
          <w:tcPr>
            <w:tcW w:w="8136" w:type="dxa"/>
            <w:shd w:val="clear" w:color="auto" w:fill="auto"/>
          </w:tcPr>
          <w:p w14:paraId="45334F97" w14:textId="109888B8" w:rsidR="008C2101" w:rsidRPr="00783402" w:rsidRDefault="008C2101" w:rsidP="00783402">
            <w:pPr>
              <w:spacing w:before="60" w:after="60" w:line="240" w:lineRule="auto"/>
              <w:rPr>
                <w:szCs w:val="22"/>
              </w:rPr>
            </w:pPr>
            <w:r w:rsidRPr="00783402">
              <w:rPr>
                <w:szCs w:val="22"/>
              </w:rPr>
              <w:t>Australian Competition and Consumer Commission</w:t>
            </w:r>
          </w:p>
        </w:tc>
      </w:tr>
      <w:tr w:rsidR="008C2101" w:rsidRPr="00783402" w14:paraId="305C9673" w14:textId="77777777" w:rsidTr="00F029E3">
        <w:tc>
          <w:tcPr>
            <w:tcW w:w="1150" w:type="dxa"/>
            <w:shd w:val="clear" w:color="auto" w:fill="auto"/>
          </w:tcPr>
          <w:p w14:paraId="7B2B4378" w14:textId="311BF2DB" w:rsidR="008C2101" w:rsidRPr="00783402" w:rsidRDefault="008C2101" w:rsidP="00783402">
            <w:pPr>
              <w:spacing w:before="60" w:after="60" w:line="240" w:lineRule="auto"/>
              <w:rPr>
                <w:szCs w:val="22"/>
              </w:rPr>
            </w:pPr>
            <w:r w:rsidRPr="00783402">
              <w:rPr>
                <w:szCs w:val="22"/>
              </w:rPr>
              <w:t>AEMO</w:t>
            </w:r>
          </w:p>
        </w:tc>
        <w:tc>
          <w:tcPr>
            <w:tcW w:w="8136" w:type="dxa"/>
            <w:shd w:val="clear" w:color="auto" w:fill="auto"/>
          </w:tcPr>
          <w:p w14:paraId="45C84DC7" w14:textId="5E484969" w:rsidR="008C2101" w:rsidRPr="00783402" w:rsidRDefault="008C2101" w:rsidP="00783402">
            <w:pPr>
              <w:spacing w:before="60" w:after="60" w:line="240" w:lineRule="auto"/>
              <w:rPr>
                <w:szCs w:val="22"/>
              </w:rPr>
            </w:pPr>
            <w:r w:rsidRPr="00783402">
              <w:rPr>
                <w:szCs w:val="22"/>
              </w:rPr>
              <w:t>Australian Energy Market Operator</w:t>
            </w:r>
          </w:p>
        </w:tc>
      </w:tr>
      <w:tr w:rsidR="008C2101" w:rsidRPr="00783402" w14:paraId="0F6933EA" w14:textId="77777777" w:rsidTr="00F029E3">
        <w:tc>
          <w:tcPr>
            <w:tcW w:w="1150" w:type="dxa"/>
            <w:shd w:val="clear" w:color="auto" w:fill="auto"/>
          </w:tcPr>
          <w:p w14:paraId="0836CA06" w14:textId="5D29F924" w:rsidR="008C2101" w:rsidRPr="00783402" w:rsidRDefault="008C2101" w:rsidP="00783402">
            <w:pPr>
              <w:spacing w:before="60" w:after="60" w:line="240" w:lineRule="auto"/>
              <w:rPr>
                <w:szCs w:val="22"/>
              </w:rPr>
            </w:pPr>
            <w:r w:rsidRPr="00783402">
              <w:rPr>
                <w:szCs w:val="22"/>
              </w:rPr>
              <w:t>AFTS</w:t>
            </w:r>
          </w:p>
        </w:tc>
        <w:tc>
          <w:tcPr>
            <w:tcW w:w="8136" w:type="dxa"/>
            <w:shd w:val="clear" w:color="auto" w:fill="auto"/>
          </w:tcPr>
          <w:p w14:paraId="38F0F80F" w14:textId="5DDB1307" w:rsidR="008C2101" w:rsidRPr="00783402" w:rsidRDefault="008C2101" w:rsidP="00783402">
            <w:pPr>
              <w:spacing w:before="60" w:after="60" w:line="240" w:lineRule="auto"/>
              <w:rPr>
                <w:szCs w:val="22"/>
              </w:rPr>
            </w:pPr>
            <w:r w:rsidRPr="00783402">
              <w:rPr>
                <w:szCs w:val="22"/>
              </w:rPr>
              <w:t>Australia</w:t>
            </w:r>
            <w:r w:rsidR="005D6F39">
              <w:rPr>
                <w:szCs w:val="22"/>
              </w:rPr>
              <w:t>’</w:t>
            </w:r>
            <w:r w:rsidRPr="00783402">
              <w:rPr>
                <w:szCs w:val="22"/>
              </w:rPr>
              <w:t>s Future Tax System Review</w:t>
            </w:r>
          </w:p>
        </w:tc>
      </w:tr>
      <w:tr w:rsidR="008C2101" w:rsidRPr="00783402" w14:paraId="2EBE5655" w14:textId="77777777" w:rsidTr="00F029E3">
        <w:tc>
          <w:tcPr>
            <w:tcW w:w="1150" w:type="dxa"/>
            <w:shd w:val="clear" w:color="auto" w:fill="auto"/>
          </w:tcPr>
          <w:p w14:paraId="2713A7E2" w14:textId="4535BF8C" w:rsidR="008C2101" w:rsidRPr="00783402" w:rsidRDefault="008C2101" w:rsidP="00783402">
            <w:pPr>
              <w:spacing w:before="60" w:after="60" w:line="240" w:lineRule="auto"/>
              <w:rPr>
                <w:szCs w:val="22"/>
              </w:rPr>
            </w:pPr>
            <w:r w:rsidRPr="00783402">
              <w:rPr>
                <w:szCs w:val="22"/>
              </w:rPr>
              <w:t>ANAO</w:t>
            </w:r>
          </w:p>
        </w:tc>
        <w:tc>
          <w:tcPr>
            <w:tcW w:w="8136" w:type="dxa"/>
            <w:shd w:val="clear" w:color="auto" w:fill="auto"/>
          </w:tcPr>
          <w:p w14:paraId="381C3F8A" w14:textId="3A0234ED" w:rsidR="008C2101" w:rsidRPr="00783402" w:rsidRDefault="008C2101" w:rsidP="00783402">
            <w:pPr>
              <w:spacing w:before="60" w:after="60" w:line="240" w:lineRule="auto"/>
              <w:rPr>
                <w:szCs w:val="22"/>
              </w:rPr>
            </w:pPr>
            <w:r w:rsidRPr="00783402">
              <w:rPr>
                <w:szCs w:val="22"/>
              </w:rPr>
              <w:t>Australian National Audit Office</w:t>
            </w:r>
          </w:p>
        </w:tc>
      </w:tr>
      <w:tr w:rsidR="008C2101" w:rsidRPr="00783402" w14:paraId="0DA5C67B" w14:textId="77777777" w:rsidTr="00F029E3">
        <w:tc>
          <w:tcPr>
            <w:tcW w:w="1150" w:type="dxa"/>
            <w:shd w:val="clear" w:color="auto" w:fill="auto"/>
          </w:tcPr>
          <w:p w14:paraId="063D929A" w14:textId="43915C0F" w:rsidR="008C2101" w:rsidRPr="00783402" w:rsidRDefault="008C2101" w:rsidP="00783402">
            <w:pPr>
              <w:spacing w:before="60" w:after="60" w:line="240" w:lineRule="auto"/>
              <w:rPr>
                <w:szCs w:val="22"/>
              </w:rPr>
            </w:pPr>
            <w:r w:rsidRPr="00783402">
              <w:rPr>
                <w:szCs w:val="22"/>
              </w:rPr>
              <w:t>APA</w:t>
            </w:r>
          </w:p>
        </w:tc>
        <w:tc>
          <w:tcPr>
            <w:tcW w:w="8136" w:type="dxa"/>
            <w:shd w:val="clear" w:color="auto" w:fill="auto"/>
          </w:tcPr>
          <w:p w14:paraId="032DC330" w14:textId="3F890A8C" w:rsidR="008C2101" w:rsidRPr="00783402" w:rsidRDefault="00552B38" w:rsidP="00783402">
            <w:pPr>
              <w:spacing w:before="60" w:after="60" w:line="240" w:lineRule="auto"/>
              <w:rPr>
                <w:szCs w:val="22"/>
              </w:rPr>
            </w:pPr>
            <w:r w:rsidRPr="00783402">
              <w:rPr>
                <w:szCs w:val="22"/>
              </w:rPr>
              <w:t>Advance</w:t>
            </w:r>
            <w:r w:rsidR="008C2101" w:rsidRPr="00783402">
              <w:rPr>
                <w:szCs w:val="22"/>
              </w:rPr>
              <w:t xml:space="preserve"> Pricing </w:t>
            </w:r>
            <w:r w:rsidR="00D56C84" w:rsidRPr="00783402">
              <w:rPr>
                <w:szCs w:val="22"/>
              </w:rPr>
              <w:t>Arrangement</w:t>
            </w:r>
          </w:p>
        </w:tc>
      </w:tr>
      <w:tr w:rsidR="008C2101" w:rsidRPr="00783402" w14:paraId="2D651B81" w14:textId="77777777" w:rsidTr="00F029E3">
        <w:tc>
          <w:tcPr>
            <w:tcW w:w="1150" w:type="dxa"/>
            <w:shd w:val="clear" w:color="auto" w:fill="auto"/>
          </w:tcPr>
          <w:p w14:paraId="0D4641CC" w14:textId="0F82D547" w:rsidR="008C2101" w:rsidRPr="00783402" w:rsidRDefault="008C2101" w:rsidP="00783402">
            <w:pPr>
              <w:spacing w:before="60" w:after="60" w:line="240" w:lineRule="auto"/>
              <w:rPr>
                <w:szCs w:val="22"/>
              </w:rPr>
            </w:pPr>
            <w:r w:rsidRPr="00783402">
              <w:rPr>
                <w:szCs w:val="22"/>
              </w:rPr>
              <w:t>APPEA</w:t>
            </w:r>
          </w:p>
        </w:tc>
        <w:tc>
          <w:tcPr>
            <w:tcW w:w="8136" w:type="dxa"/>
            <w:shd w:val="clear" w:color="auto" w:fill="auto"/>
          </w:tcPr>
          <w:p w14:paraId="5B56D638" w14:textId="1AF72F69" w:rsidR="008C2101" w:rsidRPr="00783402" w:rsidRDefault="008C2101" w:rsidP="00783402">
            <w:pPr>
              <w:spacing w:before="60" w:after="60" w:line="240" w:lineRule="auto"/>
              <w:rPr>
                <w:szCs w:val="22"/>
              </w:rPr>
            </w:pPr>
            <w:r w:rsidRPr="00783402">
              <w:rPr>
                <w:szCs w:val="22"/>
              </w:rPr>
              <w:t>Australian Petroleum Production and Exploration Association</w:t>
            </w:r>
          </w:p>
        </w:tc>
      </w:tr>
      <w:tr w:rsidR="00E9768A" w:rsidRPr="00783402" w14:paraId="544F1298" w14:textId="77777777" w:rsidTr="00E9768A">
        <w:tc>
          <w:tcPr>
            <w:tcW w:w="1150" w:type="dxa"/>
            <w:shd w:val="clear" w:color="auto" w:fill="auto"/>
          </w:tcPr>
          <w:p w14:paraId="2A6BCF07" w14:textId="0D470F2E" w:rsidR="00E9768A" w:rsidRPr="00783402" w:rsidRDefault="00E9768A" w:rsidP="00783402">
            <w:pPr>
              <w:spacing w:before="60" w:after="60" w:line="240" w:lineRule="auto"/>
              <w:rPr>
                <w:szCs w:val="22"/>
              </w:rPr>
            </w:pPr>
            <w:r w:rsidRPr="00783402">
              <w:rPr>
                <w:szCs w:val="22"/>
              </w:rPr>
              <w:t>ATO</w:t>
            </w:r>
          </w:p>
        </w:tc>
        <w:tc>
          <w:tcPr>
            <w:tcW w:w="8136" w:type="dxa"/>
            <w:shd w:val="clear" w:color="auto" w:fill="auto"/>
          </w:tcPr>
          <w:p w14:paraId="04F208FA" w14:textId="7A1E1AD9" w:rsidR="00E9768A" w:rsidRPr="00783402" w:rsidRDefault="00E9768A" w:rsidP="00783402">
            <w:pPr>
              <w:spacing w:before="60" w:after="60" w:line="240" w:lineRule="auto"/>
              <w:rPr>
                <w:szCs w:val="22"/>
              </w:rPr>
            </w:pPr>
            <w:r w:rsidRPr="00783402">
              <w:rPr>
                <w:szCs w:val="22"/>
              </w:rPr>
              <w:t>Australian Taxation Office</w:t>
            </w:r>
          </w:p>
        </w:tc>
      </w:tr>
      <w:tr w:rsidR="00E9768A" w:rsidRPr="00783402" w14:paraId="2FF48C93" w14:textId="77777777" w:rsidTr="00E9768A">
        <w:tc>
          <w:tcPr>
            <w:tcW w:w="1150" w:type="dxa"/>
            <w:shd w:val="clear" w:color="auto" w:fill="auto"/>
          </w:tcPr>
          <w:p w14:paraId="47872AE1" w14:textId="70982710" w:rsidR="00E9768A" w:rsidRPr="00783402" w:rsidRDefault="00E9768A" w:rsidP="00783402">
            <w:pPr>
              <w:spacing w:before="60" w:after="60" w:line="240" w:lineRule="auto"/>
              <w:rPr>
                <w:szCs w:val="22"/>
              </w:rPr>
            </w:pPr>
            <w:r w:rsidRPr="00783402">
              <w:rPr>
                <w:szCs w:val="22"/>
              </w:rPr>
              <w:t>CUP</w:t>
            </w:r>
          </w:p>
        </w:tc>
        <w:tc>
          <w:tcPr>
            <w:tcW w:w="8136" w:type="dxa"/>
            <w:shd w:val="clear" w:color="auto" w:fill="auto"/>
          </w:tcPr>
          <w:p w14:paraId="2784E291" w14:textId="181F7392" w:rsidR="00E9768A" w:rsidRPr="00783402" w:rsidRDefault="00E9768A" w:rsidP="00783402">
            <w:pPr>
              <w:spacing w:before="60" w:after="60" w:line="240" w:lineRule="auto"/>
              <w:rPr>
                <w:szCs w:val="22"/>
              </w:rPr>
            </w:pPr>
            <w:r w:rsidRPr="00783402">
              <w:rPr>
                <w:szCs w:val="22"/>
              </w:rPr>
              <w:t>Comparable Uncontrolled Price</w:t>
            </w:r>
          </w:p>
        </w:tc>
      </w:tr>
      <w:tr w:rsidR="008C2101" w:rsidRPr="00783402" w14:paraId="01423C20" w14:textId="77777777" w:rsidTr="00F029E3">
        <w:tc>
          <w:tcPr>
            <w:tcW w:w="1150" w:type="dxa"/>
            <w:shd w:val="clear" w:color="auto" w:fill="auto"/>
          </w:tcPr>
          <w:p w14:paraId="6DF64491" w14:textId="2F906817" w:rsidR="008C2101" w:rsidRPr="00783402" w:rsidRDefault="00F029E3" w:rsidP="00783402">
            <w:pPr>
              <w:spacing w:before="60" w:after="60" w:line="240" w:lineRule="auto"/>
              <w:rPr>
                <w:szCs w:val="22"/>
              </w:rPr>
            </w:pPr>
            <w:r w:rsidRPr="00783402">
              <w:rPr>
                <w:szCs w:val="22"/>
              </w:rPr>
              <w:t>DIIS</w:t>
            </w:r>
          </w:p>
        </w:tc>
        <w:tc>
          <w:tcPr>
            <w:tcW w:w="8136" w:type="dxa"/>
            <w:shd w:val="clear" w:color="auto" w:fill="auto"/>
          </w:tcPr>
          <w:p w14:paraId="1BB170D4" w14:textId="5F7357DC" w:rsidR="008C2101" w:rsidRPr="00783402" w:rsidRDefault="00F029E3" w:rsidP="00783402">
            <w:pPr>
              <w:spacing w:before="60" w:after="60" w:line="240" w:lineRule="auto"/>
              <w:rPr>
                <w:szCs w:val="22"/>
              </w:rPr>
            </w:pPr>
            <w:r w:rsidRPr="00783402">
              <w:rPr>
                <w:szCs w:val="22"/>
              </w:rPr>
              <w:t>Department of Industry, Innovation and Science</w:t>
            </w:r>
          </w:p>
        </w:tc>
      </w:tr>
      <w:tr w:rsidR="008C2101" w:rsidRPr="00783402" w14:paraId="6CF95BFB" w14:textId="77777777" w:rsidTr="00F029E3">
        <w:tc>
          <w:tcPr>
            <w:tcW w:w="1150" w:type="dxa"/>
            <w:shd w:val="clear" w:color="auto" w:fill="auto"/>
          </w:tcPr>
          <w:p w14:paraId="79102385" w14:textId="03D4BAAE" w:rsidR="008C2101" w:rsidRPr="00783402" w:rsidRDefault="008C2101" w:rsidP="00783402">
            <w:pPr>
              <w:spacing w:before="60" w:after="60" w:line="240" w:lineRule="auto"/>
              <w:rPr>
                <w:szCs w:val="22"/>
              </w:rPr>
            </w:pPr>
            <w:r w:rsidRPr="00783402">
              <w:rPr>
                <w:szCs w:val="22"/>
              </w:rPr>
              <w:t>FID</w:t>
            </w:r>
          </w:p>
        </w:tc>
        <w:tc>
          <w:tcPr>
            <w:tcW w:w="8136" w:type="dxa"/>
            <w:shd w:val="clear" w:color="auto" w:fill="auto"/>
          </w:tcPr>
          <w:p w14:paraId="7B2F9F26" w14:textId="4F45DDF7" w:rsidR="00504FB0" w:rsidRPr="00783402" w:rsidRDefault="008C2101" w:rsidP="00783402">
            <w:pPr>
              <w:spacing w:before="60" w:after="60" w:line="240" w:lineRule="auto"/>
              <w:rPr>
                <w:szCs w:val="22"/>
              </w:rPr>
            </w:pPr>
            <w:r w:rsidRPr="00783402">
              <w:rPr>
                <w:szCs w:val="22"/>
              </w:rPr>
              <w:t>Final Investment Decision</w:t>
            </w:r>
          </w:p>
        </w:tc>
      </w:tr>
      <w:tr w:rsidR="00783402" w:rsidRPr="00783402" w14:paraId="0D6394E3" w14:textId="77777777" w:rsidTr="00F029E3">
        <w:tc>
          <w:tcPr>
            <w:tcW w:w="1150" w:type="dxa"/>
            <w:shd w:val="clear" w:color="auto" w:fill="auto"/>
          </w:tcPr>
          <w:p w14:paraId="63A278C8" w14:textId="0AD9585D" w:rsidR="00783402" w:rsidRPr="00783402" w:rsidRDefault="00783402" w:rsidP="00783402">
            <w:pPr>
              <w:spacing w:before="60" w:after="60" w:line="240" w:lineRule="auto"/>
              <w:rPr>
                <w:szCs w:val="22"/>
              </w:rPr>
            </w:pPr>
            <w:r w:rsidRPr="00783402">
              <w:rPr>
                <w:szCs w:val="22"/>
              </w:rPr>
              <w:t>FLNG</w:t>
            </w:r>
          </w:p>
        </w:tc>
        <w:tc>
          <w:tcPr>
            <w:tcW w:w="8136" w:type="dxa"/>
            <w:shd w:val="clear" w:color="auto" w:fill="auto"/>
          </w:tcPr>
          <w:p w14:paraId="6B00810C" w14:textId="4F1FA587" w:rsidR="00783402" w:rsidRPr="00783402" w:rsidRDefault="00783402" w:rsidP="00783402">
            <w:pPr>
              <w:spacing w:before="60" w:after="60" w:line="240" w:lineRule="auto"/>
              <w:rPr>
                <w:szCs w:val="22"/>
              </w:rPr>
            </w:pPr>
            <w:r w:rsidRPr="00783402">
              <w:rPr>
                <w:szCs w:val="22"/>
              </w:rPr>
              <w:t>Floating LNG</w:t>
            </w:r>
          </w:p>
        </w:tc>
      </w:tr>
      <w:tr w:rsidR="008C2101" w:rsidRPr="00783402" w14:paraId="7B0D384B" w14:textId="77777777" w:rsidTr="00F029E3">
        <w:tc>
          <w:tcPr>
            <w:tcW w:w="1150" w:type="dxa"/>
            <w:shd w:val="clear" w:color="auto" w:fill="auto"/>
          </w:tcPr>
          <w:p w14:paraId="02017B20" w14:textId="2008045D" w:rsidR="008C2101" w:rsidRPr="00783402" w:rsidRDefault="008C2101" w:rsidP="00783402">
            <w:pPr>
              <w:spacing w:before="60" w:after="60" w:line="240" w:lineRule="auto"/>
              <w:rPr>
                <w:szCs w:val="22"/>
              </w:rPr>
            </w:pPr>
            <w:r w:rsidRPr="00783402">
              <w:rPr>
                <w:szCs w:val="22"/>
              </w:rPr>
              <w:t>GDP</w:t>
            </w:r>
          </w:p>
        </w:tc>
        <w:tc>
          <w:tcPr>
            <w:tcW w:w="8136" w:type="dxa"/>
            <w:shd w:val="clear" w:color="auto" w:fill="auto"/>
          </w:tcPr>
          <w:p w14:paraId="0DDD3A2B" w14:textId="6E9C159C" w:rsidR="008C2101" w:rsidRPr="00783402" w:rsidRDefault="008C2101" w:rsidP="00783402">
            <w:pPr>
              <w:spacing w:before="60" w:after="60" w:line="240" w:lineRule="auto"/>
              <w:rPr>
                <w:szCs w:val="22"/>
              </w:rPr>
            </w:pPr>
            <w:r w:rsidRPr="00783402">
              <w:rPr>
                <w:szCs w:val="22"/>
              </w:rPr>
              <w:t>Gross Domestic Product</w:t>
            </w:r>
          </w:p>
        </w:tc>
      </w:tr>
      <w:tr w:rsidR="008C2101" w:rsidRPr="00783402" w14:paraId="15B13DE0" w14:textId="77777777" w:rsidTr="00F029E3">
        <w:tc>
          <w:tcPr>
            <w:tcW w:w="1150" w:type="dxa"/>
            <w:shd w:val="clear" w:color="auto" w:fill="auto"/>
          </w:tcPr>
          <w:p w14:paraId="27434CCA" w14:textId="2445849D" w:rsidR="008C2101" w:rsidRPr="00783402" w:rsidRDefault="008C2101" w:rsidP="00783402">
            <w:pPr>
              <w:spacing w:before="60" w:after="60" w:line="240" w:lineRule="auto"/>
              <w:rPr>
                <w:szCs w:val="22"/>
              </w:rPr>
            </w:pPr>
            <w:r w:rsidRPr="00783402">
              <w:rPr>
                <w:szCs w:val="22"/>
              </w:rPr>
              <w:t>CSG</w:t>
            </w:r>
          </w:p>
        </w:tc>
        <w:tc>
          <w:tcPr>
            <w:tcW w:w="8136" w:type="dxa"/>
            <w:shd w:val="clear" w:color="auto" w:fill="auto"/>
          </w:tcPr>
          <w:p w14:paraId="5BE5B081" w14:textId="19FD3961" w:rsidR="008C2101" w:rsidRPr="00783402" w:rsidRDefault="008C2101" w:rsidP="00783402">
            <w:pPr>
              <w:spacing w:before="60" w:after="60" w:line="240" w:lineRule="auto"/>
              <w:rPr>
                <w:szCs w:val="22"/>
              </w:rPr>
            </w:pPr>
            <w:r w:rsidRPr="00783402">
              <w:rPr>
                <w:szCs w:val="22"/>
              </w:rPr>
              <w:t>Coal Seam Gas</w:t>
            </w:r>
          </w:p>
        </w:tc>
      </w:tr>
      <w:tr w:rsidR="00E9768A" w:rsidRPr="00783402" w14:paraId="2BD99AE2" w14:textId="77777777" w:rsidTr="00E9768A">
        <w:tc>
          <w:tcPr>
            <w:tcW w:w="1150" w:type="dxa"/>
            <w:shd w:val="clear" w:color="auto" w:fill="auto"/>
          </w:tcPr>
          <w:p w14:paraId="6F2C784A" w14:textId="42C2CA87" w:rsidR="00E9768A" w:rsidRPr="00783402" w:rsidRDefault="00E9768A" w:rsidP="00783402">
            <w:pPr>
              <w:spacing w:before="60" w:after="60" w:line="240" w:lineRule="auto"/>
              <w:rPr>
                <w:szCs w:val="22"/>
              </w:rPr>
            </w:pPr>
            <w:r w:rsidRPr="00783402">
              <w:rPr>
                <w:szCs w:val="22"/>
              </w:rPr>
              <w:t>GST</w:t>
            </w:r>
          </w:p>
        </w:tc>
        <w:tc>
          <w:tcPr>
            <w:tcW w:w="8136" w:type="dxa"/>
            <w:shd w:val="clear" w:color="auto" w:fill="auto"/>
          </w:tcPr>
          <w:p w14:paraId="180FA92B" w14:textId="733CE5D9" w:rsidR="00E9768A" w:rsidRPr="00783402" w:rsidRDefault="00E9768A" w:rsidP="00783402">
            <w:pPr>
              <w:spacing w:before="60" w:after="60" w:line="240" w:lineRule="auto"/>
              <w:rPr>
                <w:szCs w:val="22"/>
              </w:rPr>
            </w:pPr>
            <w:r w:rsidRPr="00783402">
              <w:rPr>
                <w:szCs w:val="22"/>
              </w:rPr>
              <w:t>Goods and Services Tax</w:t>
            </w:r>
          </w:p>
        </w:tc>
      </w:tr>
      <w:tr w:rsidR="00E9768A" w:rsidRPr="00783402" w14:paraId="604A950E" w14:textId="77777777" w:rsidTr="00E9768A">
        <w:tc>
          <w:tcPr>
            <w:tcW w:w="1150" w:type="dxa"/>
            <w:shd w:val="clear" w:color="auto" w:fill="auto"/>
          </w:tcPr>
          <w:p w14:paraId="7A9C6BAF" w14:textId="45E0631A" w:rsidR="00E9768A" w:rsidRPr="00783402" w:rsidRDefault="00E9768A" w:rsidP="00783402">
            <w:pPr>
              <w:spacing w:before="60" w:after="60" w:line="240" w:lineRule="auto"/>
              <w:rPr>
                <w:szCs w:val="22"/>
              </w:rPr>
            </w:pPr>
            <w:r w:rsidRPr="00783402">
              <w:rPr>
                <w:szCs w:val="22"/>
              </w:rPr>
              <w:t>GTL</w:t>
            </w:r>
          </w:p>
        </w:tc>
        <w:tc>
          <w:tcPr>
            <w:tcW w:w="8136" w:type="dxa"/>
            <w:shd w:val="clear" w:color="auto" w:fill="auto"/>
          </w:tcPr>
          <w:p w14:paraId="5DDC1CD2" w14:textId="6D8BF773" w:rsidR="00E9768A" w:rsidRPr="00783402" w:rsidRDefault="00E9768A" w:rsidP="00783402">
            <w:pPr>
              <w:spacing w:before="60" w:after="60" w:line="240" w:lineRule="auto"/>
              <w:rPr>
                <w:szCs w:val="22"/>
              </w:rPr>
            </w:pPr>
            <w:r w:rsidRPr="00783402">
              <w:rPr>
                <w:szCs w:val="22"/>
              </w:rPr>
              <w:t>Gas</w:t>
            </w:r>
            <w:r w:rsidR="005D6F39">
              <w:rPr>
                <w:szCs w:val="22"/>
              </w:rPr>
              <w:noBreakHyphen/>
            </w:r>
            <w:r w:rsidRPr="00783402">
              <w:rPr>
                <w:szCs w:val="22"/>
              </w:rPr>
              <w:t>to</w:t>
            </w:r>
            <w:r w:rsidR="005D6F39">
              <w:rPr>
                <w:szCs w:val="22"/>
              </w:rPr>
              <w:noBreakHyphen/>
            </w:r>
            <w:r w:rsidRPr="00783402">
              <w:rPr>
                <w:szCs w:val="22"/>
              </w:rPr>
              <w:t>Liquids</w:t>
            </w:r>
          </w:p>
        </w:tc>
      </w:tr>
      <w:tr w:rsidR="008C2101" w:rsidRPr="00783402" w14:paraId="0F88E0F1" w14:textId="77777777" w:rsidTr="00F029E3">
        <w:tc>
          <w:tcPr>
            <w:tcW w:w="1150" w:type="dxa"/>
            <w:shd w:val="clear" w:color="auto" w:fill="auto"/>
          </w:tcPr>
          <w:p w14:paraId="5F3DE6CE" w14:textId="28679A71" w:rsidR="008C2101" w:rsidRPr="00783402" w:rsidRDefault="008C2101" w:rsidP="00783402">
            <w:pPr>
              <w:spacing w:before="60" w:after="60" w:line="240" w:lineRule="auto"/>
              <w:rPr>
                <w:szCs w:val="22"/>
              </w:rPr>
            </w:pPr>
            <w:r w:rsidRPr="00783402">
              <w:rPr>
                <w:szCs w:val="22"/>
              </w:rPr>
              <w:t>GTP</w:t>
            </w:r>
          </w:p>
        </w:tc>
        <w:tc>
          <w:tcPr>
            <w:tcW w:w="8136" w:type="dxa"/>
            <w:shd w:val="clear" w:color="auto" w:fill="auto"/>
          </w:tcPr>
          <w:p w14:paraId="64CC5FED" w14:textId="592B27B3" w:rsidR="008C2101" w:rsidRPr="00783402" w:rsidRDefault="008C2101" w:rsidP="00783402">
            <w:pPr>
              <w:spacing w:before="60" w:after="60" w:line="240" w:lineRule="auto"/>
              <w:rPr>
                <w:szCs w:val="22"/>
              </w:rPr>
            </w:pPr>
            <w:r w:rsidRPr="00783402">
              <w:rPr>
                <w:szCs w:val="22"/>
              </w:rPr>
              <w:t>Gas Transfer Pricing</w:t>
            </w:r>
          </w:p>
        </w:tc>
      </w:tr>
      <w:tr w:rsidR="008C2101" w:rsidRPr="00783402" w14:paraId="4C16199D" w14:textId="77777777" w:rsidTr="00F029E3">
        <w:tc>
          <w:tcPr>
            <w:tcW w:w="1150" w:type="dxa"/>
            <w:shd w:val="clear" w:color="auto" w:fill="auto"/>
          </w:tcPr>
          <w:p w14:paraId="5924469A" w14:textId="2879A724" w:rsidR="008C2101" w:rsidRPr="00783402" w:rsidRDefault="008C2101" w:rsidP="00783402">
            <w:pPr>
              <w:spacing w:before="60" w:after="60" w:line="240" w:lineRule="auto"/>
              <w:rPr>
                <w:szCs w:val="22"/>
              </w:rPr>
            </w:pPr>
            <w:r w:rsidRPr="00783402">
              <w:rPr>
                <w:szCs w:val="22"/>
              </w:rPr>
              <w:t>IMF</w:t>
            </w:r>
          </w:p>
        </w:tc>
        <w:tc>
          <w:tcPr>
            <w:tcW w:w="8136" w:type="dxa"/>
            <w:shd w:val="clear" w:color="auto" w:fill="auto"/>
          </w:tcPr>
          <w:p w14:paraId="5FB55F4E" w14:textId="2770090A" w:rsidR="008C2101" w:rsidRPr="00783402" w:rsidRDefault="008C2101" w:rsidP="00783402">
            <w:pPr>
              <w:spacing w:before="60" w:after="60" w:line="240" w:lineRule="auto"/>
              <w:rPr>
                <w:szCs w:val="22"/>
              </w:rPr>
            </w:pPr>
            <w:r w:rsidRPr="00783402">
              <w:rPr>
                <w:szCs w:val="22"/>
              </w:rPr>
              <w:t>International Monetary Fund</w:t>
            </w:r>
          </w:p>
        </w:tc>
      </w:tr>
      <w:tr w:rsidR="008C2101" w:rsidRPr="00783402" w14:paraId="70EB0FC5" w14:textId="77777777" w:rsidTr="00F029E3">
        <w:tc>
          <w:tcPr>
            <w:tcW w:w="1150" w:type="dxa"/>
            <w:shd w:val="clear" w:color="auto" w:fill="auto"/>
          </w:tcPr>
          <w:p w14:paraId="74BAB1CA" w14:textId="22931394" w:rsidR="008C2101" w:rsidRPr="00783402" w:rsidRDefault="008C2101" w:rsidP="00783402">
            <w:pPr>
              <w:spacing w:before="60" w:after="60" w:line="240" w:lineRule="auto"/>
              <w:rPr>
                <w:szCs w:val="22"/>
              </w:rPr>
            </w:pPr>
            <w:r w:rsidRPr="00783402">
              <w:rPr>
                <w:szCs w:val="22"/>
              </w:rPr>
              <w:t>JPDA</w:t>
            </w:r>
          </w:p>
        </w:tc>
        <w:tc>
          <w:tcPr>
            <w:tcW w:w="8136" w:type="dxa"/>
            <w:shd w:val="clear" w:color="auto" w:fill="auto"/>
          </w:tcPr>
          <w:p w14:paraId="39439655" w14:textId="7F62CD7C" w:rsidR="008C2101" w:rsidRPr="00783402" w:rsidRDefault="008C2101" w:rsidP="00783402">
            <w:pPr>
              <w:spacing w:before="60" w:after="60" w:line="240" w:lineRule="auto"/>
              <w:rPr>
                <w:szCs w:val="22"/>
              </w:rPr>
            </w:pPr>
            <w:r w:rsidRPr="00783402">
              <w:rPr>
                <w:szCs w:val="22"/>
              </w:rPr>
              <w:t>Joint Petroleum Development Area</w:t>
            </w:r>
          </w:p>
        </w:tc>
      </w:tr>
      <w:tr w:rsidR="008C2101" w:rsidRPr="00783402" w14:paraId="4FDF85B3" w14:textId="77777777" w:rsidTr="00F029E3">
        <w:tc>
          <w:tcPr>
            <w:tcW w:w="1150" w:type="dxa"/>
            <w:shd w:val="clear" w:color="auto" w:fill="auto"/>
          </w:tcPr>
          <w:p w14:paraId="5D9B3C1B" w14:textId="4D1913E5" w:rsidR="008C2101" w:rsidRPr="00783402" w:rsidRDefault="008C2101" w:rsidP="00783402">
            <w:pPr>
              <w:spacing w:before="60" w:after="60" w:line="240" w:lineRule="auto"/>
              <w:rPr>
                <w:szCs w:val="22"/>
              </w:rPr>
            </w:pPr>
            <w:r w:rsidRPr="00783402">
              <w:rPr>
                <w:szCs w:val="22"/>
              </w:rPr>
              <w:t>LNG</w:t>
            </w:r>
          </w:p>
        </w:tc>
        <w:tc>
          <w:tcPr>
            <w:tcW w:w="8136" w:type="dxa"/>
            <w:shd w:val="clear" w:color="auto" w:fill="auto"/>
          </w:tcPr>
          <w:p w14:paraId="275DADC1" w14:textId="3757396D" w:rsidR="008C2101" w:rsidRPr="00783402" w:rsidRDefault="008C2101" w:rsidP="00783402">
            <w:pPr>
              <w:spacing w:before="60" w:after="60" w:line="240" w:lineRule="auto"/>
              <w:rPr>
                <w:szCs w:val="22"/>
              </w:rPr>
            </w:pPr>
            <w:r w:rsidRPr="00783402">
              <w:rPr>
                <w:szCs w:val="22"/>
              </w:rPr>
              <w:t>Liquefied Natural Gas</w:t>
            </w:r>
          </w:p>
        </w:tc>
      </w:tr>
      <w:tr w:rsidR="008C2101" w:rsidRPr="00783402" w14:paraId="184D8815" w14:textId="77777777" w:rsidTr="00F029E3">
        <w:tc>
          <w:tcPr>
            <w:tcW w:w="1150" w:type="dxa"/>
            <w:shd w:val="clear" w:color="auto" w:fill="auto"/>
          </w:tcPr>
          <w:p w14:paraId="6F26C527" w14:textId="79E3ED43" w:rsidR="008C2101" w:rsidRPr="00783402" w:rsidRDefault="008C2101" w:rsidP="00783402">
            <w:pPr>
              <w:spacing w:before="60" w:after="60" w:line="240" w:lineRule="auto"/>
              <w:rPr>
                <w:szCs w:val="22"/>
              </w:rPr>
            </w:pPr>
            <w:r w:rsidRPr="00783402">
              <w:rPr>
                <w:szCs w:val="22"/>
              </w:rPr>
              <w:t>L</w:t>
            </w:r>
            <w:r w:rsidR="000A33FC" w:rsidRPr="00783402">
              <w:rPr>
                <w:szCs w:val="22"/>
              </w:rPr>
              <w:t>TB</w:t>
            </w:r>
            <w:r w:rsidRPr="00783402">
              <w:rPr>
                <w:szCs w:val="22"/>
              </w:rPr>
              <w:t>R</w:t>
            </w:r>
          </w:p>
        </w:tc>
        <w:tc>
          <w:tcPr>
            <w:tcW w:w="8136" w:type="dxa"/>
            <w:shd w:val="clear" w:color="auto" w:fill="auto"/>
          </w:tcPr>
          <w:p w14:paraId="3D664ABA" w14:textId="28A2C8DD" w:rsidR="008C2101" w:rsidRPr="00783402" w:rsidRDefault="008C2101" w:rsidP="00783402">
            <w:pPr>
              <w:spacing w:before="60" w:after="60" w:line="240" w:lineRule="auto"/>
              <w:rPr>
                <w:szCs w:val="22"/>
              </w:rPr>
            </w:pPr>
            <w:r w:rsidRPr="00783402">
              <w:rPr>
                <w:szCs w:val="22"/>
              </w:rPr>
              <w:t>Long Term Bond Rate</w:t>
            </w:r>
          </w:p>
        </w:tc>
      </w:tr>
      <w:tr w:rsidR="00E9768A" w:rsidRPr="00783402" w14:paraId="51151A1D" w14:textId="77777777" w:rsidTr="00E9768A">
        <w:tc>
          <w:tcPr>
            <w:tcW w:w="1150" w:type="dxa"/>
            <w:shd w:val="clear" w:color="auto" w:fill="auto"/>
          </w:tcPr>
          <w:p w14:paraId="574C1DCD" w14:textId="0E73389B" w:rsidR="00E9768A" w:rsidRPr="00783402" w:rsidRDefault="00E9768A" w:rsidP="00783402">
            <w:pPr>
              <w:spacing w:before="60" w:after="60" w:line="240" w:lineRule="auto"/>
              <w:rPr>
                <w:szCs w:val="22"/>
              </w:rPr>
            </w:pPr>
            <w:r w:rsidRPr="00783402">
              <w:rPr>
                <w:szCs w:val="22"/>
              </w:rPr>
              <w:t>MEC</w:t>
            </w:r>
          </w:p>
        </w:tc>
        <w:tc>
          <w:tcPr>
            <w:tcW w:w="8136" w:type="dxa"/>
            <w:shd w:val="clear" w:color="auto" w:fill="auto"/>
          </w:tcPr>
          <w:p w14:paraId="1E201D69" w14:textId="754F5883" w:rsidR="00E9768A" w:rsidRPr="00783402" w:rsidRDefault="00E9768A" w:rsidP="00783402">
            <w:pPr>
              <w:spacing w:before="60" w:after="60" w:line="240" w:lineRule="auto"/>
              <w:rPr>
                <w:szCs w:val="22"/>
              </w:rPr>
            </w:pPr>
            <w:r w:rsidRPr="00783402">
              <w:rPr>
                <w:szCs w:val="22"/>
              </w:rPr>
              <w:t>Multiple Entry Consolidated (Group)</w:t>
            </w:r>
          </w:p>
        </w:tc>
      </w:tr>
      <w:tr w:rsidR="00783402" w:rsidRPr="00783402" w14:paraId="1CEA942A" w14:textId="77777777" w:rsidTr="00E9768A">
        <w:tc>
          <w:tcPr>
            <w:tcW w:w="1150" w:type="dxa"/>
            <w:shd w:val="clear" w:color="auto" w:fill="auto"/>
          </w:tcPr>
          <w:p w14:paraId="732787AF" w14:textId="11FEA11D" w:rsidR="00783402" w:rsidRPr="00783402" w:rsidRDefault="00783402" w:rsidP="00783402">
            <w:pPr>
              <w:spacing w:before="60" w:after="60" w:line="240" w:lineRule="auto"/>
              <w:rPr>
                <w:szCs w:val="22"/>
              </w:rPr>
            </w:pPr>
            <w:r w:rsidRPr="00783402">
              <w:rPr>
                <w:szCs w:val="22"/>
              </w:rPr>
              <w:t>MPC</w:t>
            </w:r>
          </w:p>
        </w:tc>
        <w:tc>
          <w:tcPr>
            <w:tcW w:w="8136" w:type="dxa"/>
            <w:shd w:val="clear" w:color="auto" w:fill="auto"/>
          </w:tcPr>
          <w:p w14:paraId="4E8D4706" w14:textId="574130E2" w:rsidR="00783402" w:rsidRPr="00783402" w:rsidRDefault="00783402" w:rsidP="00783402">
            <w:pPr>
              <w:spacing w:before="60" w:after="60" w:line="240" w:lineRule="auto"/>
              <w:rPr>
                <w:szCs w:val="22"/>
              </w:rPr>
            </w:pPr>
            <w:r w:rsidRPr="00783402">
              <w:rPr>
                <w:szCs w:val="22"/>
              </w:rPr>
              <w:t>Marketable Petroleum Commodity</w:t>
            </w:r>
          </w:p>
        </w:tc>
      </w:tr>
      <w:tr w:rsidR="008C2101" w:rsidRPr="00783402" w14:paraId="1D9C7E5B" w14:textId="77777777" w:rsidTr="00F029E3">
        <w:tc>
          <w:tcPr>
            <w:tcW w:w="1150" w:type="dxa"/>
            <w:shd w:val="clear" w:color="auto" w:fill="auto"/>
          </w:tcPr>
          <w:p w14:paraId="2738C2EE" w14:textId="1741E910" w:rsidR="008C2101" w:rsidRPr="00783402" w:rsidRDefault="008C2101" w:rsidP="00783402">
            <w:pPr>
              <w:spacing w:before="60" w:after="60" w:line="240" w:lineRule="auto"/>
              <w:rPr>
                <w:szCs w:val="22"/>
              </w:rPr>
            </w:pPr>
            <w:r w:rsidRPr="00783402">
              <w:rPr>
                <w:szCs w:val="22"/>
              </w:rPr>
              <w:t>NWS</w:t>
            </w:r>
          </w:p>
        </w:tc>
        <w:tc>
          <w:tcPr>
            <w:tcW w:w="8136" w:type="dxa"/>
            <w:shd w:val="clear" w:color="auto" w:fill="auto"/>
          </w:tcPr>
          <w:p w14:paraId="479AEDAA" w14:textId="5696CB79" w:rsidR="008C2101" w:rsidRPr="00783402" w:rsidRDefault="008C2101" w:rsidP="00783402">
            <w:pPr>
              <w:spacing w:before="60" w:after="60" w:line="240" w:lineRule="auto"/>
              <w:rPr>
                <w:szCs w:val="22"/>
              </w:rPr>
            </w:pPr>
            <w:r w:rsidRPr="00783402">
              <w:rPr>
                <w:szCs w:val="22"/>
              </w:rPr>
              <w:t>North West Shelf</w:t>
            </w:r>
          </w:p>
        </w:tc>
      </w:tr>
      <w:tr w:rsidR="007756E7" w:rsidRPr="00783402" w14:paraId="45DD52EB" w14:textId="77777777" w:rsidTr="00F029E3">
        <w:tc>
          <w:tcPr>
            <w:tcW w:w="1150" w:type="dxa"/>
            <w:shd w:val="clear" w:color="auto" w:fill="auto"/>
          </w:tcPr>
          <w:p w14:paraId="2BB82667" w14:textId="4A09E8CC" w:rsidR="007756E7" w:rsidRPr="00783402" w:rsidRDefault="007756E7" w:rsidP="00783402">
            <w:pPr>
              <w:spacing w:before="60" w:after="60" w:line="240" w:lineRule="auto"/>
              <w:rPr>
                <w:szCs w:val="22"/>
              </w:rPr>
            </w:pPr>
            <w:r w:rsidRPr="00783402">
              <w:rPr>
                <w:szCs w:val="22"/>
              </w:rPr>
              <w:t>NPV</w:t>
            </w:r>
          </w:p>
        </w:tc>
        <w:tc>
          <w:tcPr>
            <w:tcW w:w="8136" w:type="dxa"/>
            <w:shd w:val="clear" w:color="auto" w:fill="auto"/>
          </w:tcPr>
          <w:p w14:paraId="52A60366" w14:textId="3D96D904" w:rsidR="007756E7" w:rsidRPr="00783402" w:rsidRDefault="007756E7" w:rsidP="00783402">
            <w:pPr>
              <w:spacing w:before="60" w:after="60" w:line="240" w:lineRule="auto"/>
              <w:rPr>
                <w:szCs w:val="22"/>
              </w:rPr>
            </w:pPr>
            <w:r w:rsidRPr="00783402">
              <w:rPr>
                <w:szCs w:val="22"/>
              </w:rPr>
              <w:t>Net Present Value</w:t>
            </w:r>
          </w:p>
        </w:tc>
      </w:tr>
      <w:tr w:rsidR="008C2101" w:rsidRPr="00783402" w14:paraId="48EFA109" w14:textId="77777777" w:rsidTr="00F029E3">
        <w:tc>
          <w:tcPr>
            <w:tcW w:w="1150" w:type="dxa"/>
            <w:shd w:val="clear" w:color="auto" w:fill="auto"/>
          </w:tcPr>
          <w:p w14:paraId="5199D075" w14:textId="77777777" w:rsidR="008C2101" w:rsidRPr="00783402" w:rsidRDefault="008C2101" w:rsidP="00783402">
            <w:pPr>
              <w:spacing w:before="60" w:after="60" w:line="240" w:lineRule="auto"/>
              <w:rPr>
                <w:szCs w:val="22"/>
              </w:rPr>
            </w:pPr>
            <w:r w:rsidRPr="00783402">
              <w:rPr>
                <w:szCs w:val="22"/>
              </w:rPr>
              <w:t>PRRT</w:t>
            </w:r>
          </w:p>
        </w:tc>
        <w:tc>
          <w:tcPr>
            <w:tcW w:w="8136" w:type="dxa"/>
            <w:shd w:val="clear" w:color="auto" w:fill="auto"/>
          </w:tcPr>
          <w:p w14:paraId="14DEF87D" w14:textId="77777777" w:rsidR="008C2101" w:rsidRPr="00783402" w:rsidRDefault="008C2101" w:rsidP="00783402">
            <w:pPr>
              <w:spacing w:before="60" w:after="60" w:line="240" w:lineRule="auto"/>
              <w:rPr>
                <w:szCs w:val="22"/>
              </w:rPr>
            </w:pPr>
            <w:r w:rsidRPr="00783402">
              <w:rPr>
                <w:szCs w:val="22"/>
              </w:rPr>
              <w:t>Petroleum Resource Rent Tax</w:t>
            </w:r>
          </w:p>
        </w:tc>
      </w:tr>
      <w:tr w:rsidR="008C2101" w:rsidRPr="00783402" w14:paraId="21BD786A" w14:textId="77777777" w:rsidTr="00F029E3">
        <w:tc>
          <w:tcPr>
            <w:tcW w:w="1150" w:type="dxa"/>
            <w:shd w:val="clear" w:color="auto" w:fill="auto"/>
          </w:tcPr>
          <w:p w14:paraId="716A3E2E" w14:textId="36CA4809" w:rsidR="008C2101" w:rsidRPr="00783402" w:rsidRDefault="008C2101" w:rsidP="00783402">
            <w:pPr>
              <w:spacing w:before="60" w:after="60" w:line="240" w:lineRule="auto"/>
              <w:rPr>
                <w:szCs w:val="22"/>
              </w:rPr>
            </w:pPr>
            <w:r w:rsidRPr="00783402">
              <w:rPr>
                <w:szCs w:val="22"/>
              </w:rPr>
              <w:t>RPM</w:t>
            </w:r>
          </w:p>
        </w:tc>
        <w:tc>
          <w:tcPr>
            <w:tcW w:w="8136" w:type="dxa"/>
            <w:shd w:val="clear" w:color="auto" w:fill="auto"/>
          </w:tcPr>
          <w:p w14:paraId="13E05F87" w14:textId="093A6381" w:rsidR="008C2101" w:rsidRPr="00783402" w:rsidRDefault="008C2101" w:rsidP="00783402">
            <w:pPr>
              <w:spacing w:before="60" w:after="60" w:line="240" w:lineRule="auto"/>
              <w:rPr>
                <w:szCs w:val="22"/>
              </w:rPr>
            </w:pPr>
            <w:r w:rsidRPr="00783402">
              <w:rPr>
                <w:szCs w:val="22"/>
              </w:rPr>
              <w:t>Residual Pricing Method</w:t>
            </w:r>
          </w:p>
        </w:tc>
      </w:tr>
      <w:tr w:rsidR="008C2101" w:rsidRPr="00783402" w14:paraId="3473CA5A" w14:textId="77777777" w:rsidTr="00F029E3">
        <w:tc>
          <w:tcPr>
            <w:tcW w:w="1150" w:type="dxa"/>
            <w:shd w:val="clear" w:color="auto" w:fill="auto"/>
          </w:tcPr>
          <w:p w14:paraId="0D0DD264" w14:textId="1DF5DC0E" w:rsidR="008C2101" w:rsidRPr="00783402" w:rsidRDefault="008C2101" w:rsidP="00783402">
            <w:pPr>
              <w:spacing w:before="60" w:after="60" w:line="240" w:lineRule="auto"/>
              <w:rPr>
                <w:szCs w:val="22"/>
              </w:rPr>
            </w:pPr>
            <w:r w:rsidRPr="00783402">
              <w:rPr>
                <w:szCs w:val="22"/>
              </w:rPr>
              <w:t>RRT</w:t>
            </w:r>
          </w:p>
        </w:tc>
        <w:tc>
          <w:tcPr>
            <w:tcW w:w="8136" w:type="dxa"/>
            <w:shd w:val="clear" w:color="auto" w:fill="auto"/>
          </w:tcPr>
          <w:p w14:paraId="664D0989" w14:textId="17C47292" w:rsidR="008C2101" w:rsidRPr="00783402" w:rsidRDefault="008C2101" w:rsidP="00783402">
            <w:pPr>
              <w:spacing w:before="60" w:after="60" w:line="240" w:lineRule="auto"/>
              <w:rPr>
                <w:szCs w:val="22"/>
              </w:rPr>
            </w:pPr>
            <w:r w:rsidRPr="00783402">
              <w:rPr>
                <w:szCs w:val="22"/>
              </w:rPr>
              <w:t>Resource Rent Tax</w:t>
            </w:r>
          </w:p>
        </w:tc>
      </w:tr>
    </w:tbl>
    <w:p w14:paraId="1DC68D55" w14:textId="64FA9A7D" w:rsidR="00AA7794" w:rsidRDefault="00783402" w:rsidP="00AA7794">
      <w:pPr>
        <w:pStyle w:val="Heading1"/>
      </w:pPr>
      <w:bookmarkStart w:id="89" w:name="_Toc476577280"/>
      <w:bookmarkStart w:id="90" w:name="_Toc476582268"/>
      <w:bookmarkStart w:id="91" w:name="_Toc476582942"/>
      <w:bookmarkStart w:id="92" w:name="_Toc476583659"/>
      <w:bookmarkStart w:id="93" w:name="_Toc476584107"/>
      <w:bookmarkStart w:id="94" w:name="_Toc476738013"/>
      <w:bookmarkStart w:id="95" w:name="_Toc476747588"/>
      <w:bookmarkStart w:id="96" w:name="_Toc476748996"/>
      <w:bookmarkStart w:id="97" w:name="_Toc476753864"/>
      <w:bookmarkStart w:id="98" w:name="_Toc476754359"/>
      <w:bookmarkStart w:id="99" w:name="_Toc476754524"/>
      <w:bookmarkStart w:id="100" w:name="_Toc476759760"/>
      <w:bookmarkStart w:id="101" w:name="_Toc476761382"/>
      <w:bookmarkStart w:id="102" w:name="_Toc476767020"/>
      <w:bookmarkStart w:id="103" w:name="_Toc476827066"/>
      <w:bookmarkStart w:id="104" w:name="_Toc476828759"/>
      <w:bookmarkStart w:id="105" w:name="_Toc476833633"/>
      <w:bookmarkStart w:id="106" w:name="_Toc476837106"/>
      <w:bookmarkStart w:id="107" w:name="_Toc476840979"/>
      <w:bookmarkStart w:id="108" w:name="_Toc476841184"/>
      <w:bookmarkStart w:id="109" w:name="_Toc476841943"/>
      <w:bookmarkStart w:id="110" w:name="_Toc476842887"/>
      <w:bookmarkStart w:id="111" w:name="_Toc476843058"/>
      <w:bookmarkStart w:id="112" w:name="_Toc476844556"/>
      <w:bookmarkStart w:id="113" w:name="_Toc476845449"/>
      <w:bookmarkStart w:id="114" w:name="_Toc476926840"/>
      <w:bookmarkStart w:id="115" w:name="_Toc476926779"/>
      <w:bookmarkStart w:id="116" w:name="_Toc476927127"/>
      <w:bookmarkStart w:id="117" w:name="_Toc476928391"/>
      <w:bookmarkStart w:id="118" w:name="_Toc476929434"/>
      <w:bookmarkStart w:id="119" w:name="_Toc476929609"/>
      <w:bookmarkStart w:id="120" w:name="_Toc476930652"/>
      <w:bookmarkStart w:id="121" w:name="_Toc476931459"/>
      <w:bookmarkStart w:id="122" w:name="_Toc477869830"/>
      <w:bookmarkStart w:id="123" w:name="_Toc477871069"/>
      <w:bookmarkStart w:id="124" w:name="_Toc477873229"/>
      <w:bookmarkStart w:id="125" w:name="_Toc477875223"/>
      <w:bookmarkStart w:id="126" w:name="_Toc477880136"/>
      <w:bookmarkStart w:id="127" w:name="_Toc477881396"/>
      <w:bookmarkStart w:id="128" w:name="_Toc477955800"/>
      <w:bookmarkStart w:id="129" w:name="_Toc477963045"/>
      <w:bookmarkStart w:id="130" w:name="_Toc477963531"/>
      <w:bookmarkStart w:id="131" w:name="_Toc477965117"/>
      <w:bookmarkStart w:id="132" w:name="_Toc477966621"/>
      <w:bookmarkStart w:id="133" w:name="_Toc477966790"/>
      <w:bookmarkStart w:id="134" w:name="_Toc477967130"/>
      <w:bookmarkStart w:id="135" w:name="_Toc478121263"/>
      <w:bookmarkStart w:id="136" w:name="_Toc478122176"/>
      <w:bookmarkStart w:id="137" w:name="_Toc478133176"/>
      <w:bookmarkStart w:id="138" w:name="_Toc478132313"/>
      <w:bookmarkStart w:id="139" w:name="_Toc478132834"/>
      <w:bookmarkStart w:id="140" w:name="_Toc478134641"/>
      <w:bookmarkStart w:id="141" w:name="_Toc478137344"/>
      <w:bookmarkStart w:id="142" w:name="_Toc478138416"/>
      <w:bookmarkStart w:id="143" w:name="_Toc478139986"/>
      <w:bookmarkStart w:id="144" w:name="_Toc478140402"/>
      <w:bookmarkStart w:id="145" w:name="_Toc478142608"/>
      <w:bookmarkStart w:id="146" w:name="_Toc478566324"/>
      <w:bookmarkStart w:id="147" w:name="_Toc478569491"/>
      <w:bookmarkStart w:id="148" w:name="_Toc478569665"/>
      <w:bookmarkStart w:id="149" w:name="_Toc478570739"/>
      <w:bookmarkStart w:id="150" w:name="_Toc478632938"/>
      <w:bookmarkStart w:id="151" w:name="_Toc478641346"/>
      <w:bookmarkStart w:id="152" w:name="_Toc478654240"/>
      <w:bookmarkStart w:id="153" w:name="_Toc478654414"/>
      <w:bookmarkStart w:id="154" w:name="_Toc478657709"/>
      <w:bookmarkStart w:id="155" w:name="_Toc478993132"/>
      <w:bookmarkStart w:id="156" w:name="_Toc479000203"/>
      <w:bookmarkStart w:id="157" w:name="_Toc479002137"/>
      <w:bookmarkStart w:id="158" w:name="_Toc479002309"/>
      <w:bookmarkStart w:id="159" w:name="_Toc479254284"/>
      <w:bookmarkStart w:id="160" w:name="_Toc479258473"/>
      <w:bookmarkStart w:id="161" w:name="_Toc479258789"/>
      <w:bookmarkStart w:id="162" w:name="_Toc479259681"/>
      <w:bookmarkStart w:id="163" w:name="_Toc479262104"/>
      <w:bookmarkStart w:id="164" w:name="_Toc479262525"/>
      <w:bookmarkStart w:id="165" w:name="_Toc479321226"/>
      <w:bookmarkStart w:id="166" w:name="_Toc479326665"/>
      <w:bookmarkStart w:id="167" w:name="_Toc479333264"/>
      <w:bookmarkStart w:id="168" w:name="_Toc479334961"/>
      <w:bookmarkStart w:id="169" w:name="_Toc479341676"/>
      <w:bookmarkStart w:id="170" w:name="_Toc479345092"/>
      <w:bookmarkStart w:id="171" w:name="_Toc479345301"/>
      <w:bookmarkStart w:id="172" w:name="_Toc479348282"/>
      <w:r>
        <w:br w:type="page"/>
      </w:r>
      <w:bookmarkStart w:id="173" w:name="_Toc479675876"/>
      <w:bookmarkStart w:id="174" w:name="_Toc479690843"/>
      <w:bookmarkStart w:id="175" w:name="_Toc479693421"/>
      <w:bookmarkStart w:id="176" w:name="_Toc479770590"/>
      <w:r w:rsidR="00AA7794">
        <w:t>Petroleum Resource Rent Tax Review</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32453EA3" w14:textId="71A83BDE" w:rsidR="000A7BCF" w:rsidRPr="00AA7794" w:rsidRDefault="00AA7794" w:rsidP="00AA7794">
      <w:pPr>
        <w:pStyle w:val="Heading2"/>
      </w:pPr>
      <w:bookmarkStart w:id="177" w:name="_Toc476577281"/>
      <w:bookmarkStart w:id="178" w:name="_Toc476582269"/>
      <w:bookmarkStart w:id="179" w:name="_Toc476582943"/>
      <w:bookmarkStart w:id="180" w:name="_Toc476583660"/>
      <w:bookmarkStart w:id="181" w:name="_Toc476584108"/>
      <w:bookmarkStart w:id="182" w:name="_Toc476738014"/>
      <w:bookmarkStart w:id="183" w:name="_Toc476747589"/>
      <w:bookmarkStart w:id="184" w:name="_Toc476748997"/>
      <w:bookmarkStart w:id="185" w:name="_Toc476753865"/>
      <w:bookmarkStart w:id="186" w:name="_Toc476754360"/>
      <w:bookmarkStart w:id="187" w:name="_Toc476754525"/>
      <w:bookmarkStart w:id="188" w:name="_Toc476759761"/>
      <w:bookmarkStart w:id="189" w:name="_Toc476761383"/>
      <w:bookmarkStart w:id="190" w:name="_Toc476767021"/>
      <w:bookmarkStart w:id="191" w:name="_Toc476827067"/>
      <w:bookmarkStart w:id="192" w:name="_Toc476828760"/>
      <w:bookmarkStart w:id="193" w:name="_Toc476833634"/>
      <w:bookmarkStart w:id="194" w:name="_Toc476837107"/>
      <w:bookmarkStart w:id="195" w:name="_Toc476840980"/>
      <w:bookmarkStart w:id="196" w:name="_Toc476841185"/>
      <w:bookmarkStart w:id="197" w:name="_Toc476841944"/>
      <w:bookmarkStart w:id="198" w:name="_Toc476842888"/>
      <w:bookmarkStart w:id="199" w:name="_Toc476843059"/>
      <w:bookmarkStart w:id="200" w:name="_Toc476844557"/>
      <w:bookmarkStart w:id="201" w:name="_Toc476845450"/>
      <w:bookmarkStart w:id="202" w:name="_Toc476926841"/>
      <w:bookmarkStart w:id="203" w:name="_Toc476926780"/>
      <w:bookmarkStart w:id="204" w:name="_Toc476927128"/>
      <w:bookmarkStart w:id="205" w:name="_Toc476928392"/>
      <w:bookmarkStart w:id="206" w:name="_Toc476929435"/>
      <w:bookmarkStart w:id="207" w:name="_Toc476929610"/>
      <w:bookmarkStart w:id="208" w:name="_Toc476930653"/>
      <w:bookmarkStart w:id="209" w:name="_Toc476931460"/>
      <w:bookmarkStart w:id="210" w:name="_Toc477869831"/>
      <w:bookmarkStart w:id="211" w:name="_Toc477871070"/>
      <w:bookmarkStart w:id="212" w:name="_Toc477873230"/>
      <w:bookmarkStart w:id="213" w:name="_Toc477875224"/>
      <w:bookmarkStart w:id="214" w:name="_Toc477880137"/>
      <w:bookmarkStart w:id="215" w:name="_Toc477881397"/>
      <w:bookmarkStart w:id="216" w:name="_Toc477955801"/>
      <w:bookmarkStart w:id="217" w:name="_Toc477963046"/>
      <w:bookmarkStart w:id="218" w:name="_Toc477963532"/>
      <w:bookmarkStart w:id="219" w:name="_Toc477965118"/>
      <w:bookmarkStart w:id="220" w:name="_Toc477966622"/>
      <w:bookmarkStart w:id="221" w:name="_Toc477966791"/>
      <w:bookmarkStart w:id="222" w:name="_Toc477967131"/>
      <w:bookmarkStart w:id="223" w:name="_Toc478121264"/>
      <w:bookmarkStart w:id="224" w:name="_Toc478122177"/>
      <w:bookmarkStart w:id="225" w:name="_Toc478133177"/>
      <w:bookmarkStart w:id="226" w:name="_Toc478132314"/>
      <w:bookmarkStart w:id="227" w:name="_Toc478132835"/>
      <w:bookmarkStart w:id="228" w:name="_Toc478134642"/>
      <w:bookmarkStart w:id="229" w:name="_Toc478137345"/>
      <w:bookmarkStart w:id="230" w:name="_Toc478138417"/>
      <w:bookmarkStart w:id="231" w:name="_Toc478139987"/>
      <w:bookmarkStart w:id="232" w:name="_Toc478140403"/>
      <w:bookmarkStart w:id="233" w:name="_Toc478142609"/>
      <w:bookmarkStart w:id="234" w:name="_Toc478566325"/>
      <w:bookmarkStart w:id="235" w:name="_Toc478569492"/>
      <w:bookmarkStart w:id="236" w:name="_Toc478569666"/>
      <w:bookmarkStart w:id="237" w:name="_Toc478570740"/>
      <w:bookmarkStart w:id="238" w:name="_Toc478632939"/>
      <w:bookmarkStart w:id="239" w:name="_Toc478641347"/>
      <w:bookmarkStart w:id="240" w:name="_Toc478654241"/>
      <w:bookmarkStart w:id="241" w:name="_Toc478654415"/>
      <w:bookmarkStart w:id="242" w:name="_Toc478657710"/>
      <w:bookmarkStart w:id="243" w:name="_Toc478993133"/>
      <w:bookmarkStart w:id="244" w:name="_Toc479000204"/>
      <w:bookmarkStart w:id="245" w:name="_Toc479002138"/>
      <w:bookmarkStart w:id="246" w:name="_Toc479002310"/>
      <w:bookmarkStart w:id="247" w:name="_Toc479254285"/>
      <w:bookmarkStart w:id="248" w:name="_Toc479258474"/>
      <w:bookmarkStart w:id="249" w:name="_Toc479258790"/>
      <w:bookmarkStart w:id="250" w:name="_Toc479259682"/>
      <w:bookmarkStart w:id="251" w:name="_Toc479262105"/>
      <w:bookmarkStart w:id="252" w:name="_Toc479262526"/>
      <w:bookmarkStart w:id="253" w:name="_Toc479321227"/>
      <w:bookmarkStart w:id="254" w:name="_Toc479326666"/>
      <w:bookmarkStart w:id="255" w:name="_Toc479333265"/>
      <w:bookmarkStart w:id="256" w:name="_Toc479334962"/>
      <w:bookmarkStart w:id="257" w:name="_Toc479341677"/>
      <w:bookmarkStart w:id="258" w:name="_Toc479345093"/>
      <w:bookmarkStart w:id="259" w:name="_Toc479345302"/>
      <w:bookmarkStart w:id="260" w:name="_Toc479348283"/>
      <w:bookmarkStart w:id="261" w:name="_Toc479675877"/>
      <w:bookmarkStart w:id="262" w:name="_Toc479690844"/>
      <w:bookmarkStart w:id="263" w:name="_Toc479693422"/>
      <w:bookmarkStart w:id="264" w:name="_Toc479770591"/>
      <w:r w:rsidRPr="00AA7794">
        <w:t>Purpose of the Review</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1EB29DEE" w14:textId="5EAD3703" w:rsidR="00AA7794" w:rsidRDefault="00AA7794" w:rsidP="00AA7794">
      <w:r>
        <w:t>On 30 November 2016, the Australian Government announced a review into the operation of the Petroleum Resource Rent Tax (PRRT), crude oil excise and associated Commonwealth royalties to help better protect Australia</w:t>
      </w:r>
      <w:r w:rsidR="005D6F39">
        <w:t>’</w:t>
      </w:r>
      <w:r>
        <w:t xml:space="preserve">s revenue base and </w:t>
      </w:r>
      <w:r w:rsidR="00A17C7C">
        <w:t xml:space="preserve">to </w:t>
      </w:r>
      <w:r>
        <w:t>ensure that oil and gas projects are paying the right amount of tax on their activities in Australia.</w:t>
      </w:r>
    </w:p>
    <w:p w14:paraId="45617878" w14:textId="3E8BDD70" w:rsidR="00AA7794" w:rsidRDefault="00AA7794" w:rsidP="00AA7794">
      <w:r>
        <w:t>The review will advise the Government to what extent Commonwealth oil and gas taxes and royalties are operating as intended, having regard to the need to provide an equitable return to the Australian community from the extraction and sale of these resources without discouraging investment in exploration and development.</w:t>
      </w:r>
    </w:p>
    <w:p w14:paraId="47577899" w14:textId="35B6F6BB" w:rsidR="00AA7794" w:rsidRDefault="00AA7794" w:rsidP="00AA7794">
      <w:pPr>
        <w:pStyle w:val="Heading2"/>
      </w:pPr>
      <w:bookmarkStart w:id="265" w:name="_Toc476577282"/>
      <w:bookmarkStart w:id="266" w:name="_Toc476582270"/>
      <w:bookmarkStart w:id="267" w:name="_Toc476582944"/>
      <w:bookmarkStart w:id="268" w:name="_Toc476583661"/>
      <w:bookmarkStart w:id="269" w:name="_Toc476584109"/>
      <w:bookmarkStart w:id="270" w:name="_Toc476738015"/>
      <w:bookmarkStart w:id="271" w:name="_Toc476747590"/>
      <w:bookmarkStart w:id="272" w:name="_Toc476748998"/>
      <w:bookmarkStart w:id="273" w:name="_Toc476753866"/>
      <w:bookmarkStart w:id="274" w:name="_Toc476754361"/>
      <w:bookmarkStart w:id="275" w:name="_Toc476754526"/>
      <w:bookmarkStart w:id="276" w:name="_Toc476759762"/>
      <w:bookmarkStart w:id="277" w:name="_Toc476761384"/>
      <w:bookmarkStart w:id="278" w:name="_Toc476767022"/>
      <w:bookmarkStart w:id="279" w:name="_Toc476827068"/>
      <w:bookmarkStart w:id="280" w:name="_Toc476828761"/>
      <w:bookmarkStart w:id="281" w:name="_Toc476833635"/>
      <w:bookmarkStart w:id="282" w:name="_Toc476837108"/>
      <w:bookmarkStart w:id="283" w:name="_Toc476840981"/>
      <w:bookmarkStart w:id="284" w:name="_Toc476841186"/>
      <w:bookmarkStart w:id="285" w:name="_Toc476841945"/>
      <w:bookmarkStart w:id="286" w:name="_Toc476842889"/>
      <w:bookmarkStart w:id="287" w:name="_Toc476843060"/>
      <w:bookmarkStart w:id="288" w:name="_Toc476844558"/>
      <w:bookmarkStart w:id="289" w:name="_Toc476845451"/>
      <w:bookmarkStart w:id="290" w:name="_Toc476926842"/>
      <w:bookmarkStart w:id="291" w:name="_Toc476926781"/>
      <w:bookmarkStart w:id="292" w:name="_Toc476927129"/>
      <w:bookmarkStart w:id="293" w:name="_Toc476928393"/>
      <w:bookmarkStart w:id="294" w:name="_Toc476929436"/>
      <w:bookmarkStart w:id="295" w:name="_Toc476929611"/>
      <w:bookmarkStart w:id="296" w:name="_Toc476930654"/>
      <w:bookmarkStart w:id="297" w:name="_Toc476931461"/>
      <w:bookmarkStart w:id="298" w:name="_Toc477869832"/>
      <w:bookmarkStart w:id="299" w:name="_Toc477871071"/>
      <w:bookmarkStart w:id="300" w:name="_Toc477873231"/>
      <w:bookmarkStart w:id="301" w:name="_Toc477875225"/>
      <w:bookmarkStart w:id="302" w:name="_Toc477880138"/>
      <w:bookmarkStart w:id="303" w:name="_Toc477881398"/>
      <w:bookmarkStart w:id="304" w:name="_Toc477955802"/>
      <w:bookmarkStart w:id="305" w:name="_Toc477963047"/>
      <w:bookmarkStart w:id="306" w:name="_Toc477963533"/>
      <w:bookmarkStart w:id="307" w:name="_Toc477965119"/>
      <w:bookmarkStart w:id="308" w:name="_Toc477966623"/>
      <w:bookmarkStart w:id="309" w:name="_Toc477966792"/>
      <w:bookmarkStart w:id="310" w:name="_Toc477967132"/>
      <w:bookmarkStart w:id="311" w:name="_Toc478121265"/>
      <w:bookmarkStart w:id="312" w:name="_Toc478122178"/>
      <w:bookmarkStart w:id="313" w:name="_Toc478133178"/>
      <w:bookmarkStart w:id="314" w:name="_Toc478132315"/>
      <w:bookmarkStart w:id="315" w:name="_Toc478132836"/>
      <w:bookmarkStart w:id="316" w:name="_Toc478134643"/>
      <w:bookmarkStart w:id="317" w:name="_Toc478137346"/>
      <w:bookmarkStart w:id="318" w:name="_Toc478138418"/>
      <w:bookmarkStart w:id="319" w:name="_Toc478139988"/>
      <w:bookmarkStart w:id="320" w:name="_Toc478140404"/>
      <w:bookmarkStart w:id="321" w:name="_Toc478142610"/>
      <w:bookmarkStart w:id="322" w:name="_Toc478566326"/>
      <w:bookmarkStart w:id="323" w:name="_Toc478569493"/>
      <w:bookmarkStart w:id="324" w:name="_Toc478569667"/>
      <w:bookmarkStart w:id="325" w:name="_Toc478570741"/>
      <w:bookmarkStart w:id="326" w:name="_Toc478632940"/>
      <w:bookmarkStart w:id="327" w:name="_Toc478641348"/>
      <w:bookmarkStart w:id="328" w:name="_Toc478654242"/>
      <w:bookmarkStart w:id="329" w:name="_Toc478654416"/>
      <w:bookmarkStart w:id="330" w:name="_Toc478657711"/>
      <w:bookmarkStart w:id="331" w:name="_Toc478993134"/>
      <w:bookmarkStart w:id="332" w:name="_Toc479000205"/>
      <w:bookmarkStart w:id="333" w:name="_Toc479002139"/>
      <w:bookmarkStart w:id="334" w:name="_Toc479002311"/>
      <w:bookmarkStart w:id="335" w:name="_Toc479254286"/>
      <w:bookmarkStart w:id="336" w:name="_Toc479258475"/>
      <w:bookmarkStart w:id="337" w:name="_Toc479258791"/>
      <w:bookmarkStart w:id="338" w:name="_Toc479259683"/>
      <w:bookmarkStart w:id="339" w:name="_Toc479262106"/>
      <w:bookmarkStart w:id="340" w:name="_Toc479262527"/>
      <w:bookmarkStart w:id="341" w:name="_Toc479321228"/>
      <w:bookmarkStart w:id="342" w:name="_Toc479326667"/>
      <w:bookmarkStart w:id="343" w:name="_Toc479333266"/>
      <w:bookmarkStart w:id="344" w:name="_Toc479334963"/>
      <w:bookmarkStart w:id="345" w:name="_Toc479341678"/>
      <w:bookmarkStart w:id="346" w:name="_Toc479345094"/>
      <w:bookmarkStart w:id="347" w:name="_Toc479345303"/>
      <w:bookmarkStart w:id="348" w:name="_Toc479348284"/>
      <w:bookmarkStart w:id="349" w:name="_Toc479675878"/>
      <w:bookmarkStart w:id="350" w:name="_Toc479690845"/>
      <w:bookmarkStart w:id="351" w:name="_Toc479693423"/>
      <w:bookmarkStart w:id="352" w:name="_Toc479770592"/>
      <w:r>
        <w:t xml:space="preserve">Terms </w:t>
      </w:r>
      <w:r w:rsidR="00EF1149">
        <w:t>o</w:t>
      </w:r>
      <w:r>
        <w:t>f Reference</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1BA59BB" w14:textId="0ABA8865" w:rsidR="00AA7794" w:rsidRDefault="00AA7794" w:rsidP="00AA7794">
      <w:r>
        <w:t>The Terms of Reference for the review, released by the Treasurer on 30 November 2016, are:</w:t>
      </w:r>
    </w:p>
    <w:p w14:paraId="65110DBC" w14:textId="29136532" w:rsidR="00AA7794" w:rsidRDefault="00AA7794" w:rsidP="00DE31DB">
      <w:pPr>
        <w:pStyle w:val="Bullet"/>
      </w:pPr>
      <w:r>
        <w:t>The review will have regard to the need to provide an appropriate return to the community on Australia</w:t>
      </w:r>
      <w:r w:rsidR="005D6F39">
        <w:t>’</w:t>
      </w:r>
      <w:r>
        <w:t>s finite oil and gas resources while supporting the development of those resources, including industry exploration, investment and growth.</w:t>
      </w:r>
    </w:p>
    <w:p w14:paraId="5A48C4FB" w14:textId="6D137F85" w:rsidR="00AA7794" w:rsidRDefault="00AA7794" w:rsidP="00DE31DB">
      <w:pPr>
        <w:pStyle w:val="Bullet"/>
      </w:pPr>
      <w:r>
        <w:t>The review will examine the design and operation of the PRRT, crude oil excise and associated Commonwealth royalties that apply to the onshore and offshore oil and gas industry, having regard to economic conditions in the industry and trends over time.</w:t>
      </w:r>
    </w:p>
    <w:p w14:paraId="34B9C04E" w14:textId="200FFFEA" w:rsidR="00AA7794" w:rsidRDefault="00AA7794" w:rsidP="00DE31DB">
      <w:pPr>
        <w:pStyle w:val="Bullet"/>
      </w:pPr>
      <w:r>
        <w:t>The review will also consider the impact of previous policy decisions on Commonwealth revenue.</w:t>
      </w:r>
    </w:p>
    <w:p w14:paraId="5513321F" w14:textId="20D96B62" w:rsidR="00AA7794" w:rsidRDefault="00AA7794" w:rsidP="00DE31DB">
      <w:pPr>
        <w:pStyle w:val="Bullet"/>
      </w:pPr>
      <w:r>
        <w:t>Drawing on international experience, the review will make recommendations to the Government on future tax, excise and royalty arrangements having regard to revenue adequacy, efficiency, equity, complexity, regulatory costs and the impact on the industry generally.</w:t>
      </w:r>
    </w:p>
    <w:p w14:paraId="5C76BB88" w14:textId="4FF94AFE" w:rsidR="00AA7794" w:rsidRDefault="00AA7794" w:rsidP="00DE31DB">
      <w:pPr>
        <w:pStyle w:val="Bullet"/>
      </w:pPr>
      <w:r>
        <w:t>The review will also examine other related matters.</w:t>
      </w:r>
    </w:p>
    <w:p w14:paraId="52053C4D" w14:textId="5F47DC94" w:rsidR="00AA7794" w:rsidRDefault="00AA7794" w:rsidP="00AA7794">
      <w:pPr>
        <w:pStyle w:val="Heading2"/>
      </w:pPr>
      <w:bookmarkStart w:id="353" w:name="_Toc476577283"/>
      <w:bookmarkStart w:id="354" w:name="_Toc476582271"/>
      <w:bookmarkStart w:id="355" w:name="_Toc476582945"/>
      <w:bookmarkStart w:id="356" w:name="_Toc476583662"/>
      <w:bookmarkStart w:id="357" w:name="_Toc476584110"/>
      <w:bookmarkStart w:id="358" w:name="_Toc476738016"/>
      <w:bookmarkStart w:id="359" w:name="_Toc476747591"/>
      <w:bookmarkStart w:id="360" w:name="_Toc476748999"/>
      <w:bookmarkStart w:id="361" w:name="_Toc476753867"/>
      <w:bookmarkStart w:id="362" w:name="_Toc476754362"/>
      <w:bookmarkStart w:id="363" w:name="_Toc476754527"/>
      <w:bookmarkStart w:id="364" w:name="_Toc476759763"/>
      <w:bookmarkStart w:id="365" w:name="_Toc476761385"/>
      <w:bookmarkStart w:id="366" w:name="_Toc476767023"/>
      <w:bookmarkStart w:id="367" w:name="_Toc476827069"/>
      <w:bookmarkStart w:id="368" w:name="_Toc476828762"/>
      <w:bookmarkStart w:id="369" w:name="_Toc476833636"/>
      <w:bookmarkStart w:id="370" w:name="_Toc476837109"/>
      <w:bookmarkStart w:id="371" w:name="_Toc476840982"/>
      <w:bookmarkStart w:id="372" w:name="_Toc476841187"/>
      <w:bookmarkStart w:id="373" w:name="_Toc476841946"/>
      <w:bookmarkStart w:id="374" w:name="_Toc476842890"/>
      <w:bookmarkStart w:id="375" w:name="_Toc476843061"/>
      <w:bookmarkStart w:id="376" w:name="_Toc476844559"/>
      <w:bookmarkStart w:id="377" w:name="_Toc476845452"/>
      <w:bookmarkStart w:id="378" w:name="_Toc476926843"/>
      <w:bookmarkStart w:id="379" w:name="_Toc476926782"/>
      <w:bookmarkStart w:id="380" w:name="_Toc476927130"/>
      <w:bookmarkStart w:id="381" w:name="_Toc476928394"/>
      <w:bookmarkStart w:id="382" w:name="_Toc476929437"/>
      <w:bookmarkStart w:id="383" w:name="_Toc476929612"/>
      <w:bookmarkStart w:id="384" w:name="_Toc476930655"/>
      <w:bookmarkStart w:id="385" w:name="_Toc476931462"/>
      <w:bookmarkStart w:id="386" w:name="_Toc477869833"/>
      <w:bookmarkStart w:id="387" w:name="_Toc477871072"/>
      <w:bookmarkStart w:id="388" w:name="_Toc477873232"/>
      <w:bookmarkStart w:id="389" w:name="_Toc477875226"/>
      <w:bookmarkStart w:id="390" w:name="_Toc477880139"/>
      <w:bookmarkStart w:id="391" w:name="_Toc477881399"/>
      <w:bookmarkStart w:id="392" w:name="_Toc477955803"/>
      <w:bookmarkStart w:id="393" w:name="_Toc477963048"/>
      <w:bookmarkStart w:id="394" w:name="_Toc477963534"/>
      <w:bookmarkStart w:id="395" w:name="_Toc477965120"/>
      <w:bookmarkStart w:id="396" w:name="_Toc477966624"/>
      <w:bookmarkStart w:id="397" w:name="_Toc477966793"/>
      <w:bookmarkStart w:id="398" w:name="_Toc477967133"/>
      <w:bookmarkStart w:id="399" w:name="_Toc478121266"/>
      <w:bookmarkStart w:id="400" w:name="_Toc478122179"/>
      <w:bookmarkStart w:id="401" w:name="_Toc478133179"/>
      <w:bookmarkStart w:id="402" w:name="_Toc478132316"/>
      <w:bookmarkStart w:id="403" w:name="_Toc478132837"/>
      <w:bookmarkStart w:id="404" w:name="_Toc478134644"/>
      <w:bookmarkStart w:id="405" w:name="_Toc478137347"/>
      <w:bookmarkStart w:id="406" w:name="_Toc478138419"/>
      <w:bookmarkStart w:id="407" w:name="_Toc478139989"/>
      <w:bookmarkStart w:id="408" w:name="_Toc478140405"/>
      <w:bookmarkStart w:id="409" w:name="_Toc478142611"/>
      <w:bookmarkStart w:id="410" w:name="_Toc478566327"/>
      <w:bookmarkStart w:id="411" w:name="_Toc478569494"/>
      <w:bookmarkStart w:id="412" w:name="_Toc478569668"/>
      <w:bookmarkStart w:id="413" w:name="_Toc478570742"/>
      <w:bookmarkStart w:id="414" w:name="_Toc478632941"/>
      <w:bookmarkStart w:id="415" w:name="_Toc478641349"/>
      <w:bookmarkStart w:id="416" w:name="_Toc478654243"/>
      <w:bookmarkStart w:id="417" w:name="_Toc478654417"/>
      <w:bookmarkStart w:id="418" w:name="_Toc478657712"/>
      <w:bookmarkStart w:id="419" w:name="_Toc478993135"/>
      <w:bookmarkStart w:id="420" w:name="_Toc479000206"/>
      <w:bookmarkStart w:id="421" w:name="_Toc479002140"/>
      <w:bookmarkStart w:id="422" w:name="_Toc479002312"/>
      <w:bookmarkStart w:id="423" w:name="_Toc479254287"/>
      <w:bookmarkStart w:id="424" w:name="_Toc479258476"/>
      <w:bookmarkStart w:id="425" w:name="_Toc479258792"/>
      <w:bookmarkStart w:id="426" w:name="_Toc479259684"/>
      <w:bookmarkStart w:id="427" w:name="_Toc479262107"/>
      <w:bookmarkStart w:id="428" w:name="_Toc479262528"/>
      <w:bookmarkStart w:id="429" w:name="_Toc479321229"/>
      <w:bookmarkStart w:id="430" w:name="_Toc479326668"/>
      <w:bookmarkStart w:id="431" w:name="_Toc479333267"/>
      <w:bookmarkStart w:id="432" w:name="_Toc479334964"/>
      <w:bookmarkStart w:id="433" w:name="_Toc479341679"/>
      <w:bookmarkStart w:id="434" w:name="_Toc479345095"/>
      <w:bookmarkStart w:id="435" w:name="_Toc479345304"/>
      <w:bookmarkStart w:id="436" w:name="_Toc479348285"/>
      <w:bookmarkStart w:id="437" w:name="_Toc479675879"/>
      <w:bookmarkStart w:id="438" w:name="_Toc479690846"/>
      <w:bookmarkStart w:id="439" w:name="_Toc479693424"/>
      <w:bookmarkStart w:id="440" w:name="_Toc479770593"/>
      <w:r>
        <w:t>Review Process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DE74564" w14:textId="05E002F6" w:rsidR="00AA7794" w:rsidRDefault="00AA7794" w:rsidP="00AA7794">
      <w:r>
        <w:t xml:space="preserve">The review </w:t>
      </w:r>
      <w:r w:rsidR="00C601CA">
        <w:t>was led by</w:t>
      </w:r>
      <w:r>
        <w:t xml:space="preserve"> Michael Callaghan AM</w:t>
      </w:r>
      <w:r w:rsidR="00C601CA">
        <w:t xml:space="preserve"> PSM</w:t>
      </w:r>
      <w:r>
        <w:t xml:space="preserve">, with the support of a </w:t>
      </w:r>
      <w:r w:rsidR="00A4670C">
        <w:t>s</w:t>
      </w:r>
      <w:r>
        <w:t>ecretariat compris</w:t>
      </w:r>
      <w:r w:rsidR="00C601CA">
        <w:t>ing</w:t>
      </w:r>
      <w:r>
        <w:t xml:space="preserve"> </w:t>
      </w:r>
      <w:r w:rsidR="008704AE">
        <w:t xml:space="preserve">of </w:t>
      </w:r>
      <w:r>
        <w:t xml:space="preserve">officers from the Department of the Treasury, the Australian Taxation Office </w:t>
      </w:r>
      <w:r w:rsidR="0004643C">
        <w:t xml:space="preserve">(ATO), </w:t>
      </w:r>
      <w:r>
        <w:t>the Department of Industry, Innovation and Science</w:t>
      </w:r>
      <w:r w:rsidR="00C601CA">
        <w:t xml:space="preserve"> </w:t>
      </w:r>
      <w:r w:rsidR="00841BCD">
        <w:t>(DIIS)</w:t>
      </w:r>
      <w:r w:rsidR="00C601CA">
        <w:t xml:space="preserve"> and an external expert</w:t>
      </w:r>
      <w:r>
        <w:t xml:space="preserve">. </w:t>
      </w:r>
    </w:p>
    <w:p w14:paraId="1C5DEAFE" w14:textId="1C19A9E7" w:rsidR="00AA7794" w:rsidRDefault="00AA7794" w:rsidP="00AA7794">
      <w:r>
        <w:t xml:space="preserve">The </w:t>
      </w:r>
      <w:r w:rsidR="00C601CA">
        <w:t>review</w:t>
      </w:r>
      <w:r>
        <w:t xml:space="preserve"> publicly released an issues note on 20 December 2016 </w:t>
      </w:r>
      <w:r w:rsidR="00C601CA">
        <w:t>which</w:t>
      </w:r>
      <w:r>
        <w:t xml:space="preserve"> provided background on the PRRT, excise and associated Commonwealth royalty </w:t>
      </w:r>
      <w:r w:rsidR="00C601CA">
        <w:t xml:space="preserve">arrangements, along with a </w:t>
      </w:r>
      <w:r w:rsidR="00CD6FB5">
        <w:t>summary of many of the public co</w:t>
      </w:r>
      <w:r w:rsidR="00C601CA">
        <w:t>m</w:t>
      </w:r>
      <w:r w:rsidR="00CD6FB5">
        <w:t>ments that have been made regarding</w:t>
      </w:r>
      <w:r w:rsidR="00C601CA">
        <w:t xml:space="preserve"> the design and operation of these arrangements.</w:t>
      </w:r>
      <w:r w:rsidR="00CD6FB5">
        <w:t xml:space="preserve"> Submissions were invited from interested parties.</w:t>
      </w:r>
    </w:p>
    <w:p w14:paraId="5A0CC7B2" w14:textId="2C0E684D" w:rsidR="00AA7794" w:rsidRPr="00783402" w:rsidRDefault="00CD6FB5" w:rsidP="00AA7794">
      <w:r>
        <w:t xml:space="preserve">The review conducted an extensive consultation program which included companies operating in </w:t>
      </w:r>
      <w:r w:rsidR="00AA7794">
        <w:t>the oil and gas industry, civil organisations, academics</w:t>
      </w:r>
      <w:r>
        <w:t>, the</w:t>
      </w:r>
      <w:r w:rsidR="00AA7794">
        <w:t xml:space="preserve"> business community</w:t>
      </w:r>
      <w:r>
        <w:t xml:space="preserve"> and interested individuals</w:t>
      </w:r>
      <w:r w:rsidR="00AA7794">
        <w:t xml:space="preserve">. </w:t>
      </w:r>
      <w:r>
        <w:t>All r</w:t>
      </w:r>
      <w:r w:rsidR="00AA7794" w:rsidRPr="000B320D">
        <w:t>egistered PRRT taxpayers were contacted by the ATO to advise them of the opportunity to provide input into the review.</w:t>
      </w:r>
      <w:r>
        <w:t xml:space="preserve"> </w:t>
      </w:r>
      <w:r w:rsidRPr="00783402">
        <w:t xml:space="preserve">At </w:t>
      </w:r>
      <w:r w:rsidR="0015357B" w:rsidRPr="00783402">
        <w:t>Appendix</w:t>
      </w:r>
      <w:r w:rsidRPr="00783402">
        <w:t xml:space="preserve"> </w:t>
      </w:r>
      <w:r w:rsidR="00F406F3" w:rsidRPr="00783402">
        <w:t>G</w:t>
      </w:r>
      <w:r w:rsidRPr="00783402">
        <w:t xml:space="preserve"> is a list of the firms</w:t>
      </w:r>
      <w:r w:rsidR="0015357B" w:rsidRPr="00783402">
        <w:t>, organisations</w:t>
      </w:r>
      <w:r w:rsidRPr="00783402">
        <w:t xml:space="preserve"> and individuals consulted by the review.</w:t>
      </w:r>
    </w:p>
    <w:p w14:paraId="1FBC3773" w14:textId="6DB519DF" w:rsidR="00AA7794" w:rsidRDefault="00CD6FB5" w:rsidP="00AA7794">
      <w:r w:rsidRPr="00783402">
        <w:t xml:space="preserve">The review received a </w:t>
      </w:r>
      <w:r w:rsidR="00AA7794" w:rsidRPr="00783402">
        <w:t xml:space="preserve">total of </w:t>
      </w:r>
      <w:r w:rsidR="00600B51" w:rsidRPr="00783402">
        <w:t>77</w:t>
      </w:r>
      <w:r w:rsidR="00AA7794" w:rsidRPr="00783402">
        <w:t xml:space="preserve"> submissions</w:t>
      </w:r>
      <w:r w:rsidRPr="00783402">
        <w:t>, listed in Appen</w:t>
      </w:r>
      <w:r w:rsidR="0015357B" w:rsidRPr="00783402">
        <w:t xml:space="preserve">dix </w:t>
      </w:r>
      <w:r w:rsidR="00F406F3" w:rsidRPr="00783402">
        <w:t>G</w:t>
      </w:r>
      <w:r w:rsidR="00AA7794" w:rsidRPr="00783402">
        <w:t>. Public</w:t>
      </w:r>
      <w:r w:rsidR="00AA7794">
        <w:t xml:space="preserve"> submissions </w:t>
      </w:r>
      <w:r w:rsidR="0015357B">
        <w:t>are</w:t>
      </w:r>
      <w:r w:rsidR="00AA7794">
        <w:t xml:space="preserve"> available on the Treasury website, link: </w:t>
      </w:r>
    </w:p>
    <w:p w14:paraId="12A7F39F" w14:textId="76EEE3A0" w:rsidR="008054EA" w:rsidRPr="008054EA" w:rsidRDefault="00C46B37" w:rsidP="008054EA">
      <w:hyperlink r:id="rId26" w:history="1">
        <w:r w:rsidR="008054EA" w:rsidRPr="008054EA">
          <w:rPr>
            <w:rStyle w:val="Hyperlink"/>
          </w:rPr>
          <w:t>http://treasury.gov.au/ConsultationsandReviews/Reviews/2016/Review</w:t>
        </w:r>
        <w:r w:rsidR="005D6F39">
          <w:rPr>
            <w:rStyle w:val="Hyperlink"/>
          </w:rPr>
          <w:noBreakHyphen/>
        </w:r>
        <w:r w:rsidR="008054EA" w:rsidRPr="008054EA">
          <w:rPr>
            <w:rStyle w:val="Hyperlink"/>
          </w:rPr>
          <w:t>of</w:t>
        </w:r>
        <w:r w:rsidR="005D6F39">
          <w:rPr>
            <w:rStyle w:val="Hyperlink"/>
          </w:rPr>
          <w:noBreakHyphen/>
        </w:r>
        <w:r w:rsidR="008054EA" w:rsidRPr="008054EA">
          <w:rPr>
            <w:rStyle w:val="Hyperlink"/>
          </w:rPr>
          <w:t>the</w:t>
        </w:r>
        <w:r w:rsidR="005D6F39">
          <w:rPr>
            <w:rStyle w:val="Hyperlink"/>
          </w:rPr>
          <w:noBreakHyphen/>
        </w:r>
        <w:r w:rsidR="008054EA" w:rsidRPr="008054EA">
          <w:rPr>
            <w:rStyle w:val="Hyperlink"/>
          </w:rPr>
          <w:t>Petroleum</w:t>
        </w:r>
        <w:r w:rsidR="005D6F39">
          <w:rPr>
            <w:rStyle w:val="Hyperlink"/>
          </w:rPr>
          <w:noBreakHyphen/>
        </w:r>
        <w:r w:rsidR="008054EA" w:rsidRPr="008054EA">
          <w:rPr>
            <w:rStyle w:val="Hyperlink"/>
          </w:rPr>
          <w:t>Resource</w:t>
        </w:r>
        <w:r w:rsidR="005D6F39">
          <w:rPr>
            <w:rStyle w:val="Hyperlink"/>
          </w:rPr>
          <w:noBreakHyphen/>
        </w:r>
        <w:r w:rsidR="008054EA" w:rsidRPr="008054EA">
          <w:rPr>
            <w:rStyle w:val="Hyperlink"/>
          </w:rPr>
          <w:t>Rent</w:t>
        </w:r>
        <w:r w:rsidR="005D6F39">
          <w:rPr>
            <w:rStyle w:val="Hyperlink"/>
          </w:rPr>
          <w:noBreakHyphen/>
        </w:r>
        <w:r w:rsidR="008054EA" w:rsidRPr="008054EA">
          <w:rPr>
            <w:rStyle w:val="Hyperlink"/>
          </w:rPr>
          <w:t>Tax/Consultation</w:t>
        </w:r>
      </w:hyperlink>
      <w:r w:rsidR="008054EA" w:rsidRPr="008054EA">
        <w:t>.</w:t>
      </w:r>
    </w:p>
    <w:p w14:paraId="13059223" w14:textId="44DD8C82" w:rsidR="00AA7794" w:rsidRDefault="00AA7794" w:rsidP="00AA7794">
      <w:r>
        <w:br w:type="page"/>
      </w:r>
    </w:p>
    <w:p w14:paraId="433A1601" w14:textId="10ACF53F" w:rsidR="00AA7794" w:rsidRDefault="00AA7794" w:rsidP="00AA7794">
      <w:pPr>
        <w:pStyle w:val="Heading1"/>
      </w:pPr>
      <w:bookmarkStart w:id="441" w:name="_Toc476577285"/>
      <w:bookmarkStart w:id="442" w:name="_Toc476582273"/>
      <w:bookmarkStart w:id="443" w:name="_Toc476582947"/>
      <w:bookmarkStart w:id="444" w:name="_Toc476583664"/>
      <w:bookmarkStart w:id="445" w:name="_Toc476584112"/>
      <w:bookmarkStart w:id="446" w:name="_Toc476738018"/>
      <w:bookmarkStart w:id="447" w:name="_Toc476747593"/>
      <w:bookmarkStart w:id="448" w:name="_Toc476749001"/>
      <w:bookmarkStart w:id="449" w:name="_Toc476753869"/>
      <w:bookmarkStart w:id="450" w:name="_Toc476754364"/>
      <w:bookmarkStart w:id="451" w:name="_Toc476754529"/>
      <w:bookmarkStart w:id="452" w:name="_Toc476759765"/>
      <w:bookmarkStart w:id="453" w:name="_Toc476761387"/>
      <w:bookmarkStart w:id="454" w:name="_Toc476767025"/>
      <w:bookmarkStart w:id="455" w:name="_Toc476827071"/>
      <w:bookmarkStart w:id="456" w:name="_Toc476828764"/>
      <w:bookmarkStart w:id="457" w:name="_Toc476833638"/>
      <w:bookmarkStart w:id="458" w:name="_Toc476837111"/>
      <w:bookmarkStart w:id="459" w:name="_Toc476840984"/>
      <w:bookmarkStart w:id="460" w:name="_Toc476841189"/>
      <w:bookmarkStart w:id="461" w:name="_Toc476841948"/>
      <w:bookmarkStart w:id="462" w:name="_Toc476842892"/>
      <w:bookmarkStart w:id="463" w:name="_Toc476843063"/>
      <w:bookmarkStart w:id="464" w:name="_Toc476844561"/>
      <w:bookmarkStart w:id="465" w:name="_Toc476845454"/>
      <w:bookmarkStart w:id="466" w:name="_Toc476926845"/>
      <w:bookmarkStart w:id="467" w:name="_Toc476926784"/>
      <w:bookmarkStart w:id="468" w:name="_Toc476927132"/>
      <w:bookmarkStart w:id="469" w:name="_Toc476928396"/>
      <w:bookmarkStart w:id="470" w:name="_Toc476929439"/>
      <w:bookmarkStart w:id="471" w:name="_Toc476929614"/>
      <w:bookmarkStart w:id="472" w:name="_Toc476930657"/>
      <w:bookmarkStart w:id="473" w:name="_Toc476931464"/>
      <w:bookmarkStart w:id="474" w:name="_Toc477869834"/>
      <w:bookmarkStart w:id="475" w:name="_Toc477871073"/>
      <w:bookmarkStart w:id="476" w:name="_Toc477873233"/>
      <w:bookmarkStart w:id="477" w:name="_Toc477875227"/>
      <w:bookmarkStart w:id="478" w:name="_Toc477880140"/>
      <w:bookmarkStart w:id="479" w:name="_Toc477881400"/>
      <w:bookmarkStart w:id="480" w:name="_Toc477955804"/>
      <w:bookmarkStart w:id="481" w:name="_Toc477963049"/>
      <w:bookmarkStart w:id="482" w:name="_Toc477963535"/>
      <w:bookmarkStart w:id="483" w:name="_Toc477965121"/>
      <w:bookmarkStart w:id="484" w:name="_Toc477966625"/>
      <w:bookmarkStart w:id="485" w:name="_Toc477966794"/>
      <w:bookmarkStart w:id="486" w:name="_Toc477967134"/>
      <w:bookmarkStart w:id="487" w:name="_Toc478121267"/>
      <w:bookmarkStart w:id="488" w:name="_Toc478122180"/>
      <w:bookmarkStart w:id="489" w:name="_Toc478133180"/>
      <w:bookmarkStart w:id="490" w:name="_Toc478132317"/>
      <w:bookmarkStart w:id="491" w:name="_Toc478132838"/>
      <w:bookmarkStart w:id="492" w:name="_Toc478134645"/>
      <w:bookmarkStart w:id="493" w:name="_Toc478137348"/>
      <w:bookmarkStart w:id="494" w:name="_Toc478138420"/>
      <w:bookmarkStart w:id="495" w:name="_Toc478139990"/>
      <w:bookmarkStart w:id="496" w:name="_Toc478140406"/>
      <w:bookmarkStart w:id="497" w:name="_Toc478142612"/>
      <w:bookmarkStart w:id="498" w:name="_Toc478566328"/>
      <w:bookmarkStart w:id="499" w:name="_Toc478569495"/>
      <w:bookmarkStart w:id="500" w:name="_Toc478569669"/>
      <w:bookmarkStart w:id="501" w:name="_Toc478570743"/>
      <w:bookmarkStart w:id="502" w:name="_Toc478632942"/>
      <w:bookmarkStart w:id="503" w:name="_Toc478641350"/>
      <w:bookmarkStart w:id="504" w:name="_Toc478654244"/>
      <w:bookmarkStart w:id="505" w:name="_Toc478654418"/>
      <w:bookmarkStart w:id="506" w:name="_Toc478657713"/>
      <w:bookmarkStart w:id="507" w:name="_Toc478993136"/>
      <w:bookmarkStart w:id="508" w:name="_Toc479000207"/>
      <w:bookmarkStart w:id="509" w:name="_Toc479002141"/>
      <w:bookmarkStart w:id="510" w:name="_Toc479002313"/>
      <w:bookmarkStart w:id="511" w:name="_Toc479254288"/>
      <w:bookmarkStart w:id="512" w:name="_Toc479258477"/>
      <w:bookmarkStart w:id="513" w:name="_Toc479258793"/>
      <w:bookmarkStart w:id="514" w:name="_Toc479259685"/>
      <w:bookmarkStart w:id="515" w:name="_Toc479262108"/>
      <w:bookmarkStart w:id="516" w:name="_Toc479262529"/>
      <w:bookmarkStart w:id="517" w:name="_Toc479321230"/>
      <w:bookmarkStart w:id="518" w:name="_Toc479326669"/>
      <w:bookmarkStart w:id="519" w:name="_Toc479333268"/>
      <w:bookmarkStart w:id="520" w:name="_Toc479334965"/>
      <w:bookmarkStart w:id="521" w:name="_Toc479341680"/>
      <w:bookmarkStart w:id="522" w:name="_Toc479345096"/>
      <w:bookmarkStart w:id="523" w:name="_Toc479345305"/>
      <w:bookmarkStart w:id="524" w:name="_Toc479348286"/>
      <w:bookmarkStart w:id="525" w:name="_Toc479675880"/>
      <w:bookmarkStart w:id="526" w:name="_Toc479690847"/>
      <w:bookmarkStart w:id="527" w:name="_Toc479693425"/>
      <w:bookmarkStart w:id="528" w:name="_Toc479770594"/>
      <w:r>
        <w:t xml:space="preserve">Overview, Conclusions </w:t>
      </w:r>
      <w:r w:rsidR="005A249C">
        <w:t>a</w:t>
      </w:r>
      <w:r>
        <w:t>nd Recommendations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66B0925" w14:textId="31873FF0" w:rsidR="00AA7794" w:rsidRDefault="005552E5" w:rsidP="00AA7794">
      <w:r>
        <w:t>F</w:t>
      </w:r>
      <w:r w:rsidR="00AA7794">
        <w:t xml:space="preserve">ollowing is a summary of the issues raised and considered during the </w:t>
      </w:r>
      <w:r w:rsidR="003F2438">
        <w:t>review</w:t>
      </w:r>
      <w:r w:rsidR="00AA7794">
        <w:t>, the broad conclusions reached</w:t>
      </w:r>
      <w:r w:rsidR="005A249C">
        <w:t>,</w:t>
      </w:r>
      <w:r w:rsidR="00AA7794">
        <w:t xml:space="preserve"> along with the review</w:t>
      </w:r>
      <w:r w:rsidR="005D6F39">
        <w:t>’</w:t>
      </w:r>
      <w:r w:rsidR="00AA7794">
        <w:t>s recommendations.</w:t>
      </w:r>
    </w:p>
    <w:p w14:paraId="734A8FAE" w14:textId="56E1F5B7" w:rsidR="00AA7794" w:rsidRDefault="00AA7794" w:rsidP="00AA7794">
      <w:pPr>
        <w:pStyle w:val="Heading2"/>
      </w:pPr>
      <w:bookmarkStart w:id="529" w:name="_Toc476577286"/>
      <w:bookmarkStart w:id="530" w:name="_Toc476582274"/>
      <w:bookmarkStart w:id="531" w:name="_Toc476582948"/>
      <w:bookmarkStart w:id="532" w:name="_Toc476583665"/>
      <w:bookmarkStart w:id="533" w:name="_Toc476584113"/>
      <w:bookmarkStart w:id="534" w:name="_Toc476738019"/>
      <w:bookmarkStart w:id="535" w:name="_Toc476747594"/>
      <w:bookmarkStart w:id="536" w:name="_Toc476749002"/>
      <w:bookmarkStart w:id="537" w:name="_Toc476753870"/>
      <w:bookmarkStart w:id="538" w:name="_Toc476754365"/>
      <w:bookmarkStart w:id="539" w:name="_Toc476754530"/>
      <w:bookmarkStart w:id="540" w:name="_Toc476759766"/>
      <w:bookmarkStart w:id="541" w:name="_Toc476761388"/>
      <w:bookmarkStart w:id="542" w:name="_Toc476767026"/>
      <w:bookmarkStart w:id="543" w:name="_Toc476827072"/>
      <w:bookmarkStart w:id="544" w:name="_Toc476828765"/>
      <w:bookmarkStart w:id="545" w:name="_Toc476833639"/>
      <w:bookmarkStart w:id="546" w:name="_Toc476837112"/>
      <w:bookmarkStart w:id="547" w:name="_Toc476840985"/>
      <w:bookmarkStart w:id="548" w:name="_Toc476841190"/>
      <w:bookmarkStart w:id="549" w:name="_Toc476841949"/>
      <w:bookmarkStart w:id="550" w:name="_Toc476842893"/>
      <w:bookmarkStart w:id="551" w:name="_Toc476843064"/>
      <w:bookmarkStart w:id="552" w:name="_Toc476844562"/>
      <w:bookmarkStart w:id="553" w:name="_Toc476845455"/>
      <w:bookmarkStart w:id="554" w:name="_Toc476926846"/>
      <w:bookmarkStart w:id="555" w:name="_Toc476926785"/>
      <w:bookmarkStart w:id="556" w:name="_Toc476927133"/>
      <w:bookmarkStart w:id="557" w:name="_Toc476928397"/>
      <w:bookmarkStart w:id="558" w:name="_Toc476929440"/>
      <w:bookmarkStart w:id="559" w:name="_Toc476929615"/>
      <w:bookmarkStart w:id="560" w:name="_Toc476930658"/>
      <w:bookmarkStart w:id="561" w:name="_Toc476931465"/>
      <w:bookmarkStart w:id="562" w:name="_Toc477869835"/>
      <w:bookmarkStart w:id="563" w:name="_Toc477871074"/>
      <w:bookmarkStart w:id="564" w:name="_Toc477873234"/>
      <w:bookmarkStart w:id="565" w:name="_Toc477875228"/>
      <w:bookmarkStart w:id="566" w:name="_Toc477880141"/>
      <w:bookmarkStart w:id="567" w:name="_Toc477881401"/>
      <w:bookmarkStart w:id="568" w:name="_Toc477955805"/>
      <w:bookmarkStart w:id="569" w:name="_Toc477963050"/>
      <w:bookmarkStart w:id="570" w:name="_Toc477963536"/>
      <w:bookmarkStart w:id="571" w:name="_Toc477965122"/>
      <w:bookmarkStart w:id="572" w:name="_Toc477966626"/>
      <w:bookmarkStart w:id="573" w:name="_Toc477966795"/>
      <w:bookmarkStart w:id="574" w:name="_Toc477967135"/>
      <w:bookmarkStart w:id="575" w:name="_Toc478121268"/>
      <w:bookmarkStart w:id="576" w:name="_Toc478122181"/>
      <w:bookmarkStart w:id="577" w:name="_Toc478133181"/>
      <w:bookmarkStart w:id="578" w:name="_Toc478132318"/>
      <w:bookmarkStart w:id="579" w:name="_Toc478132839"/>
      <w:bookmarkStart w:id="580" w:name="_Toc478134646"/>
      <w:bookmarkStart w:id="581" w:name="_Toc478137349"/>
      <w:bookmarkStart w:id="582" w:name="_Toc478138421"/>
      <w:bookmarkStart w:id="583" w:name="_Toc478139991"/>
      <w:bookmarkStart w:id="584" w:name="_Toc478140407"/>
      <w:bookmarkStart w:id="585" w:name="_Toc478142613"/>
      <w:bookmarkStart w:id="586" w:name="_Toc478566329"/>
      <w:bookmarkStart w:id="587" w:name="_Toc478569496"/>
      <w:bookmarkStart w:id="588" w:name="_Toc478569670"/>
      <w:bookmarkStart w:id="589" w:name="_Toc478570744"/>
      <w:bookmarkStart w:id="590" w:name="_Toc478632943"/>
      <w:bookmarkStart w:id="591" w:name="_Toc478641351"/>
      <w:bookmarkStart w:id="592" w:name="_Toc478654245"/>
      <w:bookmarkStart w:id="593" w:name="_Toc478654419"/>
      <w:bookmarkStart w:id="594" w:name="_Toc478657714"/>
      <w:bookmarkStart w:id="595" w:name="_Toc478993137"/>
      <w:bookmarkStart w:id="596" w:name="_Toc479000208"/>
      <w:bookmarkStart w:id="597" w:name="_Toc479002142"/>
      <w:bookmarkStart w:id="598" w:name="_Toc479002314"/>
      <w:bookmarkStart w:id="599" w:name="_Toc479254289"/>
      <w:bookmarkStart w:id="600" w:name="_Toc479258478"/>
      <w:bookmarkStart w:id="601" w:name="_Toc479258794"/>
      <w:bookmarkStart w:id="602" w:name="_Toc479259686"/>
      <w:bookmarkStart w:id="603" w:name="_Toc479262109"/>
      <w:bookmarkStart w:id="604" w:name="_Toc479262530"/>
      <w:bookmarkStart w:id="605" w:name="_Toc479321231"/>
      <w:bookmarkStart w:id="606" w:name="_Toc479326670"/>
      <w:bookmarkStart w:id="607" w:name="_Toc479333269"/>
      <w:bookmarkStart w:id="608" w:name="_Toc479334966"/>
      <w:bookmarkStart w:id="609" w:name="_Toc479341681"/>
      <w:bookmarkStart w:id="610" w:name="_Toc479345097"/>
      <w:bookmarkStart w:id="611" w:name="_Toc479345306"/>
      <w:bookmarkStart w:id="612" w:name="_Toc479348287"/>
      <w:bookmarkStart w:id="613" w:name="_Toc479675881"/>
      <w:bookmarkStart w:id="614" w:name="_Toc479690848"/>
      <w:bookmarkStart w:id="615" w:name="_Toc479693426"/>
      <w:bookmarkStart w:id="616" w:name="_Toc479770595"/>
      <w:r>
        <w:t>The Task</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0E76EBBE" w14:textId="6652A02D" w:rsidR="00AA7794" w:rsidRDefault="00AA7794" w:rsidP="00AA7794">
      <w:r>
        <w:t xml:space="preserve">This report reviews the operation of the </w:t>
      </w:r>
      <w:r w:rsidR="000D785F">
        <w:t>PRRT</w:t>
      </w:r>
      <w:r>
        <w:t>, crude oil excise and associated Commonwealth royalties with the aim to advise to what extent the PRRT is operating as intended.</w:t>
      </w:r>
    </w:p>
    <w:p w14:paraId="033E904C" w14:textId="23F98FDA" w:rsidR="00AA7794" w:rsidRDefault="00AA7794" w:rsidP="00AA7794">
      <w:r>
        <w:t xml:space="preserve">When announcing the review on 30 November 2016, the Treasurer, </w:t>
      </w:r>
      <w:r w:rsidR="005A5F22">
        <w:t>t</w:t>
      </w:r>
      <w:r>
        <w:t>he Hon Scott Morrison said</w:t>
      </w:r>
      <w:r w:rsidR="005A5F22">
        <w:t xml:space="preserve">, </w:t>
      </w:r>
      <w:r w:rsidR="005D6F39">
        <w:t>‘</w:t>
      </w:r>
      <w:r w:rsidR="005A5F22">
        <w:t>W</w:t>
      </w:r>
      <w:r>
        <w:t xml:space="preserve">e will ensure that the PRRT provides an equitable return to the Australian community from the recovery of petroleum resources without discouraging investment in exploration and development which is vital to that </w:t>
      </w:r>
      <w:r w:rsidR="005A5F22">
        <w:t>industry</w:t>
      </w:r>
      <w:r w:rsidR="00E714D1">
        <w:t>’</w:t>
      </w:r>
      <w:r>
        <w:t>. The review has used this as a summary of the intent of the PRRT.</w:t>
      </w:r>
    </w:p>
    <w:p w14:paraId="123276E6" w14:textId="53F80BA6" w:rsidR="00AA7794" w:rsidRDefault="00AA7794" w:rsidP="00AA7794">
      <w:r>
        <w:t xml:space="preserve">The PRRT, which </w:t>
      </w:r>
      <w:r w:rsidRPr="00D77876">
        <w:t xml:space="preserve">came </w:t>
      </w:r>
      <w:r w:rsidR="00D77876" w:rsidRPr="00D77876">
        <w:t>into</w:t>
      </w:r>
      <w:r w:rsidRPr="00B8743F">
        <w:t xml:space="preserve"> </w:t>
      </w:r>
      <w:r w:rsidRPr="00D77876">
        <w:t>effect</w:t>
      </w:r>
      <w:r>
        <w:t xml:space="preserve"> in 1988, aims to capture the </w:t>
      </w:r>
      <w:r w:rsidR="005D6F39">
        <w:t>‘</w:t>
      </w:r>
      <w:r>
        <w:t>economic rent</w:t>
      </w:r>
      <w:r w:rsidR="005D6F39">
        <w:t>’</w:t>
      </w:r>
      <w:r>
        <w:t xml:space="preserve"> associated with the development of petroleum resources. The economic rent refers to returns in excess of those necessary to attract commercial investment into the activity. Since these </w:t>
      </w:r>
      <w:r w:rsidR="005D6F39">
        <w:t>‘</w:t>
      </w:r>
      <w:r>
        <w:t>excess</w:t>
      </w:r>
      <w:r w:rsidR="005D6F39">
        <w:t>’</w:t>
      </w:r>
      <w:r>
        <w:t xml:space="preserve"> returns are in part a function of the scarcity of petroleum resources</w:t>
      </w:r>
      <w:r w:rsidR="005A5F22">
        <w:t>,</w:t>
      </w:r>
      <w:r>
        <w:t xml:space="preserve"> which are owned by the Australian community, it was considered equitable to share these returns. Because the PRRT </w:t>
      </w:r>
      <w:r w:rsidR="003F2438">
        <w:t>is</w:t>
      </w:r>
      <w:r>
        <w:t xml:space="preserve"> a profit</w:t>
      </w:r>
      <w:r w:rsidR="005D6F39">
        <w:noBreakHyphen/>
      </w:r>
      <w:r w:rsidR="00300A92">
        <w:t>based</w:t>
      </w:r>
      <w:r>
        <w:t xml:space="preserve"> tax, it not only capture</w:t>
      </w:r>
      <w:r w:rsidR="003F2438">
        <w:t>s</w:t>
      </w:r>
      <w:r>
        <w:t xml:space="preserve"> the upside of rising petroleum prices, but also avoid</w:t>
      </w:r>
      <w:r w:rsidR="003F2438">
        <w:t>s</w:t>
      </w:r>
      <w:r>
        <w:t xml:space="preserve"> the problems of an excise or royalty regime which </w:t>
      </w:r>
      <w:r w:rsidR="003F2438">
        <w:t>are</w:t>
      </w:r>
      <w:r>
        <w:t xml:space="preserve"> considered to discourage activity and investment in marginal </w:t>
      </w:r>
      <w:r w:rsidR="005A5F22">
        <w:t>projects</w:t>
      </w:r>
      <w:r>
        <w:t>.</w:t>
      </w:r>
    </w:p>
    <w:p w14:paraId="35080D61" w14:textId="0B485339" w:rsidR="00AA7794" w:rsidRDefault="00AA7794" w:rsidP="00AA7794">
      <w:r>
        <w:t xml:space="preserve">It became clear during the course of the </w:t>
      </w:r>
      <w:r w:rsidR="003F2438">
        <w:t>review</w:t>
      </w:r>
      <w:r>
        <w:t xml:space="preserve"> that there are different views as to what constitutes an equitable return to the Australian community and what constitutes the discouragement of investment, along with the relative weight to be placed on either influence. Any assessment as to whether the PRRT is operating as intended or whether changes are required will ultimately come down to judgements after balancing a range of considerations.</w:t>
      </w:r>
    </w:p>
    <w:p w14:paraId="10F61915" w14:textId="6BC0FAFF" w:rsidR="00AA7794" w:rsidRDefault="00AA7794" w:rsidP="00AA7794">
      <w:pPr>
        <w:pStyle w:val="Heading2"/>
      </w:pPr>
      <w:bookmarkStart w:id="617" w:name="_Toc476577287"/>
      <w:bookmarkStart w:id="618" w:name="_Toc476582275"/>
      <w:bookmarkStart w:id="619" w:name="_Toc476582949"/>
      <w:bookmarkStart w:id="620" w:name="_Toc476583666"/>
      <w:bookmarkStart w:id="621" w:name="_Toc476584114"/>
      <w:bookmarkStart w:id="622" w:name="_Toc476738020"/>
      <w:bookmarkStart w:id="623" w:name="_Toc476747595"/>
      <w:bookmarkStart w:id="624" w:name="_Toc476749003"/>
      <w:bookmarkStart w:id="625" w:name="_Toc476753871"/>
      <w:bookmarkStart w:id="626" w:name="_Toc476754366"/>
      <w:bookmarkStart w:id="627" w:name="_Toc476754531"/>
      <w:bookmarkStart w:id="628" w:name="_Toc476759767"/>
      <w:bookmarkStart w:id="629" w:name="_Toc476761389"/>
      <w:bookmarkStart w:id="630" w:name="_Toc476767027"/>
      <w:bookmarkStart w:id="631" w:name="_Toc476827073"/>
      <w:bookmarkStart w:id="632" w:name="_Toc476828766"/>
      <w:bookmarkStart w:id="633" w:name="_Toc476833640"/>
      <w:bookmarkStart w:id="634" w:name="_Toc476837113"/>
      <w:bookmarkStart w:id="635" w:name="_Toc476840986"/>
      <w:bookmarkStart w:id="636" w:name="_Toc476841191"/>
      <w:bookmarkStart w:id="637" w:name="_Toc476841950"/>
      <w:bookmarkStart w:id="638" w:name="_Toc476842894"/>
      <w:bookmarkStart w:id="639" w:name="_Toc476843065"/>
      <w:bookmarkStart w:id="640" w:name="_Toc476844563"/>
      <w:bookmarkStart w:id="641" w:name="_Toc476845456"/>
      <w:bookmarkStart w:id="642" w:name="_Toc476926847"/>
      <w:bookmarkStart w:id="643" w:name="_Toc476926786"/>
      <w:bookmarkStart w:id="644" w:name="_Toc476927134"/>
      <w:bookmarkStart w:id="645" w:name="_Toc476928398"/>
      <w:bookmarkStart w:id="646" w:name="_Toc476929441"/>
      <w:bookmarkStart w:id="647" w:name="_Toc476929616"/>
      <w:bookmarkStart w:id="648" w:name="_Toc476930659"/>
      <w:bookmarkStart w:id="649" w:name="_Toc476931466"/>
      <w:bookmarkStart w:id="650" w:name="_Toc477869836"/>
      <w:bookmarkStart w:id="651" w:name="_Toc477871075"/>
      <w:bookmarkStart w:id="652" w:name="_Toc477873235"/>
      <w:bookmarkStart w:id="653" w:name="_Toc477875229"/>
      <w:bookmarkStart w:id="654" w:name="_Toc477880142"/>
      <w:bookmarkStart w:id="655" w:name="_Toc477881402"/>
      <w:bookmarkStart w:id="656" w:name="_Toc477955806"/>
      <w:bookmarkStart w:id="657" w:name="_Toc477963051"/>
      <w:bookmarkStart w:id="658" w:name="_Toc477963537"/>
      <w:bookmarkStart w:id="659" w:name="_Toc477965123"/>
      <w:bookmarkStart w:id="660" w:name="_Toc477966627"/>
      <w:bookmarkStart w:id="661" w:name="_Toc477966796"/>
      <w:bookmarkStart w:id="662" w:name="_Toc477967136"/>
      <w:bookmarkStart w:id="663" w:name="_Toc478121269"/>
      <w:bookmarkStart w:id="664" w:name="_Toc478122182"/>
      <w:bookmarkStart w:id="665" w:name="_Toc478133182"/>
      <w:bookmarkStart w:id="666" w:name="_Toc478132319"/>
      <w:bookmarkStart w:id="667" w:name="_Toc478132840"/>
      <w:bookmarkStart w:id="668" w:name="_Toc478134647"/>
      <w:bookmarkStart w:id="669" w:name="_Toc478137350"/>
      <w:bookmarkStart w:id="670" w:name="_Toc478138422"/>
      <w:bookmarkStart w:id="671" w:name="_Toc478139992"/>
      <w:bookmarkStart w:id="672" w:name="_Toc478140408"/>
      <w:bookmarkStart w:id="673" w:name="_Toc478142614"/>
      <w:bookmarkStart w:id="674" w:name="_Toc478566330"/>
      <w:bookmarkStart w:id="675" w:name="_Toc478569497"/>
      <w:bookmarkStart w:id="676" w:name="_Toc478569671"/>
      <w:bookmarkStart w:id="677" w:name="_Toc478570745"/>
      <w:bookmarkStart w:id="678" w:name="_Toc478632944"/>
      <w:bookmarkStart w:id="679" w:name="_Toc478641352"/>
      <w:bookmarkStart w:id="680" w:name="_Toc478654246"/>
      <w:bookmarkStart w:id="681" w:name="_Toc478654420"/>
      <w:bookmarkStart w:id="682" w:name="_Toc478657715"/>
      <w:bookmarkStart w:id="683" w:name="_Toc478993138"/>
      <w:bookmarkStart w:id="684" w:name="_Toc479000209"/>
      <w:bookmarkStart w:id="685" w:name="_Toc479002143"/>
      <w:bookmarkStart w:id="686" w:name="_Toc479002315"/>
      <w:bookmarkStart w:id="687" w:name="_Toc479254290"/>
      <w:bookmarkStart w:id="688" w:name="_Toc479258479"/>
      <w:bookmarkStart w:id="689" w:name="_Toc479258795"/>
      <w:bookmarkStart w:id="690" w:name="_Toc479259687"/>
      <w:bookmarkStart w:id="691" w:name="_Toc479262110"/>
      <w:bookmarkStart w:id="692" w:name="_Toc479262531"/>
      <w:bookmarkStart w:id="693" w:name="_Toc479321232"/>
      <w:bookmarkStart w:id="694" w:name="_Toc479326671"/>
      <w:bookmarkStart w:id="695" w:name="_Toc479333270"/>
      <w:bookmarkStart w:id="696" w:name="_Toc479334967"/>
      <w:bookmarkStart w:id="697" w:name="_Toc479341682"/>
      <w:bookmarkStart w:id="698" w:name="_Toc479345098"/>
      <w:bookmarkStart w:id="699" w:name="_Toc479345307"/>
      <w:bookmarkStart w:id="700" w:name="_Toc479348288"/>
      <w:bookmarkStart w:id="701" w:name="_Toc479675882"/>
      <w:bookmarkStart w:id="702" w:name="_Toc479690849"/>
      <w:bookmarkStart w:id="703" w:name="_Toc479693427"/>
      <w:bookmarkStart w:id="704" w:name="_Toc479770596"/>
      <w:r>
        <w:t xml:space="preserve">Summary </w:t>
      </w:r>
      <w:r w:rsidR="000B320D">
        <w:t>o</w:t>
      </w:r>
      <w:r>
        <w:t>f Issues Raised</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4C2D021C" w14:textId="77777777" w:rsidR="00AA7794" w:rsidRDefault="00AA7794" w:rsidP="00AA7794">
      <w:pPr>
        <w:pStyle w:val="Heading3"/>
      </w:pPr>
      <w:bookmarkStart w:id="705" w:name="_Toc476577288"/>
      <w:bookmarkStart w:id="706" w:name="_Toc476582276"/>
      <w:bookmarkStart w:id="707" w:name="_Toc476582950"/>
      <w:bookmarkStart w:id="708" w:name="_Toc476583667"/>
      <w:bookmarkStart w:id="709" w:name="_Toc476584115"/>
      <w:bookmarkStart w:id="710" w:name="_Toc476738021"/>
      <w:bookmarkStart w:id="711" w:name="_Toc476747596"/>
      <w:bookmarkStart w:id="712" w:name="_Toc476749004"/>
      <w:bookmarkStart w:id="713" w:name="_Toc476753872"/>
      <w:bookmarkStart w:id="714" w:name="_Toc476754367"/>
      <w:bookmarkStart w:id="715" w:name="_Toc476754532"/>
      <w:bookmarkStart w:id="716" w:name="_Toc476759768"/>
      <w:bookmarkStart w:id="717" w:name="_Toc476761390"/>
      <w:bookmarkStart w:id="718" w:name="_Toc476767028"/>
      <w:bookmarkStart w:id="719" w:name="_Toc476827074"/>
      <w:bookmarkStart w:id="720" w:name="_Toc476828767"/>
      <w:bookmarkStart w:id="721" w:name="_Toc476833641"/>
      <w:bookmarkStart w:id="722" w:name="_Toc476837114"/>
      <w:bookmarkStart w:id="723" w:name="_Toc476840987"/>
      <w:bookmarkStart w:id="724" w:name="_Toc476841192"/>
      <w:bookmarkStart w:id="725" w:name="_Toc476841951"/>
      <w:bookmarkStart w:id="726" w:name="_Toc476842895"/>
      <w:bookmarkStart w:id="727" w:name="_Toc476843066"/>
      <w:bookmarkStart w:id="728" w:name="_Toc476844564"/>
      <w:bookmarkStart w:id="729" w:name="_Toc476845457"/>
      <w:bookmarkStart w:id="730" w:name="_Toc476926848"/>
      <w:bookmarkStart w:id="731" w:name="_Toc476926787"/>
      <w:bookmarkStart w:id="732" w:name="_Toc476927135"/>
      <w:bookmarkStart w:id="733" w:name="_Toc476928399"/>
      <w:bookmarkStart w:id="734" w:name="_Toc476929442"/>
      <w:bookmarkStart w:id="735" w:name="_Toc476929617"/>
      <w:bookmarkStart w:id="736" w:name="_Toc476930660"/>
      <w:bookmarkStart w:id="737" w:name="_Toc476931467"/>
      <w:bookmarkStart w:id="738" w:name="_Toc477869837"/>
      <w:bookmarkStart w:id="739" w:name="_Toc477871076"/>
      <w:bookmarkStart w:id="740" w:name="_Toc477873236"/>
      <w:bookmarkStart w:id="741" w:name="_Toc477875230"/>
      <w:bookmarkStart w:id="742" w:name="_Toc477880143"/>
      <w:bookmarkStart w:id="743" w:name="_Toc477881403"/>
      <w:bookmarkStart w:id="744" w:name="_Toc477955807"/>
      <w:bookmarkStart w:id="745" w:name="_Toc477963052"/>
      <w:bookmarkStart w:id="746" w:name="_Toc477963538"/>
      <w:bookmarkStart w:id="747" w:name="_Toc477965124"/>
      <w:bookmarkStart w:id="748" w:name="_Toc477966628"/>
      <w:bookmarkStart w:id="749" w:name="_Toc477966797"/>
      <w:bookmarkStart w:id="750" w:name="_Toc477967137"/>
      <w:bookmarkStart w:id="751" w:name="_Toc478121270"/>
      <w:bookmarkStart w:id="752" w:name="_Toc478122183"/>
      <w:bookmarkStart w:id="753" w:name="_Toc478133183"/>
      <w:bookmarkStart w:id="754" w:name="_Toc478132320"/>
      <w:bookmarkStart w:id="755" w:name="_Toc478132841"/>
      <w:bookmarkStart w:id="756" w:name="_Toc478134648"/>
      <w:bookmarkStart w:id="757" w:name="_Toc478137351"/>
      <w:bookmarkStart w:id="758" w:name="_Toc478138423"/>
      <w:bookmarkStart w:id="759" w:name="_Toc478139993"/>
      <w:bookmarkStart w:id="760" w:name="_Toc478140409"/>
      <w:bookmarkStart w:id="761" w:name="_Toc478142615"/>
      <w:bookmarkStart w:id="762" w:name="_Toc478566331"/>
      <w:bookmarkStart w:id="763" w:name="_Toc478569498"/>
      <w:bookmarkStart w:id="764" w:name="_Toc478569672"/>
      <w:bookmarkStart w:id="765" w:name="_Toc478570746"/>
      <w:bookmarkStart w:id="766" w:name="_Toc478632945"/>
      <w:bookmarkStart w:id="767" w:name="_Toc478641353"/>
      <w:bookmarkStart w:id="768" w:name="_Toc478654247"/>
      <w:bookmarkStart w:id="769" w:name="_Toc478654421"/>
      <w:bookmarkStart w:id="770" w:name="_Toc478657716"/>
      <w:bookmarkStart w:id="771" w:name="_Toc478993139"/>
      <w:bookmarkStart w:id="772" w:name="_Toc479000210"/>
      <w:bookmarkStart w:id="773" w:name="_Toc479002144"/>
      <w:bookmarkStart w:id="774" w:name="_Toc479002316"/>
      <w:bookmarkStart w:id="775" w:name="_Toc479254291"/>
      <w:bookmarkStart w:id="776" w:name="_Toc479258480"/>
      <w:bookmarkStart w:id="777" w:name="_Toc479258796"/>
      <w:bookmarkStart w:id="778" w:name="_Toc479259688"/>
      <w:bookmarkStart w:id="779" w:name="_Toc479262111"/>
      <w:bookmarkStart w:id="780" w:name="_Toc479262532"/>
      <w:bookmarkStart w:id="781" w:name="_Toc479321233"/>
      <w:bookmarkStart w:id="782" w:name="_Toc479326672"/>
      <w:bookmarkStart w:id="783" w:name="_Toc479333271"/>
      <w:bookmarkStart w:id="784" w:name="_Toc479334968"/>
      <w:bookmarkStart w:id="785" w:name="_Toc479341683"/>
      <w:bookmarkStart w:id="786" w:name="_Toc479345099"/>
      <w:bookmarkStart w:id="787" w:name="_Toc479345308"/>
      <w:bookmarkStart w:id="788" w:name="_Toc479348289"/>
      <w:bookmarkStart w:id="789" w:name="_Toc479675883"/>
      <w:bookmarkStart w:id="790" w:name="_Toc479690850"/>
      <w:bookmarkStart w:id="791" w:name="_Toc479693428"/>
      <w:bookmarkStart w:id="792" w:name="_Toc479770597"/>
      <w:r>
        <w:t>What is an equitable return to the Australian community?</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75B6D0F3" w14:textId="508D2823" w:rsidR="00AA7794" w:rsidRDefault="00AA7794" w:rsidP="00AA7794">
      <w:r>
        <w:t xml:space="preserve">The community groups consulted were of the view that the PRRT was not providing the Australian people with an equitable return on the development of petroleum resources. In particular, concern was expressed that PRRT </w:t>
      </w:r>
      <w:r w:rsidR="002A2DA3">
        <w:t>revenue</w:t>
      </w:r>
      <w:r>
        <w:t xml:space="preserve"> </w:t>
      </w:r>
      <w:r w:rsidR="002A2DA3">
        <w:t>is</w:t>
      </w:r>
      <w:r>
        <w:t xml:space="preserve"> declining at a time when a number of large LNG projects have or will soon come into production </w:t>
      </w:r>
      <w:r w:rsidR="000966F7">
        <w:t xml:space="preserve">that will result in </w:t>
      </w:r>
      <w:r>
        <w:t>Australia becom</w:t>
      </w:r>
      <w:r w:rsidR="000966F7">
        <w:t xml:space="preserve">ing </w:t>
      </w:r>
      <w:r>
        <w:t>a leading exporter</w:t>
      </w:r>
      <w:r w:rsidR="000966F7">
        <w:t xml:space="preserve"> of LNG</w:t>
      </w:r>
      <w:r>
        <w:t>. Concern</w:t>
      </w:r>
      <w:r w:rsidR="00B8198F">
        <w:t>s</w:t>
      </w:r>
      <w:r>
        <w:t xml:space="preserve"> w</w:t>
      </w:r>
      <w:r w:rsidR="00B8198F">
        <w:t xml:space="preserve">ere </w:t>
      </w:r>
      <w:r>
        <w:t>a</w:t>
      </w:r>
      <w:r w:rsidR="00B8198F">
        <w:t>l</w:t>
      </w:r>
      <w:r>
        <w:t>s</w:t>
      </w:r>
      <w:r w:rsidR="00B8198F">
        <w:t>o</w:t>
      </w:r>
      <w:r>
        <w:t xml:space="preserve"> expressed that some large LNG projects may </w:t>
      </w:r>
      <w:r w:rsidR="005A5F22">
        <w:t>not</w:t>
      </w:r>
      <w:r>
        <w:t xml:space="preserve"> pay PRRT for decades</w:t>
      </w:r>
      <w:r w:rsidR="00B8198F">
        <w:t xml:space="preserve"> to come</w:t>
      </w:r>
      <w:r>
        <w:t xml:space="preserve">, </w:t>
      </w:r>
      <w:r w:rsidR="00B8198F">
        <w:t>or may never pay PRRT at all</w:t>
      </w:r>
      <w:r>
        <w:t>.</w:t>
      </w:r>
    </w:p>
    <w:p w14:paraId="017ADFE2" w14:textId="304AA0F2" w:rsidR="00AA7794" w:rsidRDefault="00AA7794" w:rsidP="00AA7794">
      <w:r>
        <w:t xml:space="preserve">Industry argued that given the surge in investment in petroleum projects, </w:t>
      </w:r>
      <w:r w:rsidR="003E05CF">
        <w:t xml:space="preserve">it is inevitable that it will be some time before these projects become cash positive and pay PRRT, especially as </w:t>
      </w:r>
      <w:r>
        <w:t>some of the</w:t>
      </w:r>
      <w:r w:rsidR="003E05CF">
        <w:t>se</w:t>
      </w:r>
      <w:r>
        <w:t xml:space="preserve"> major projects </w:t>
      </w:r>
      <w:r w:rsidR="003E05CF">
        <w:t xml:space="preserve">have </w:t>
      </w:r>
      <w:r>
        <w:t>only recently commenc</w:t>
      </w:r>
      <w:r w:rsidR="003E05CF">
        <w:t xml:space="preserve">ed </w:t>
      </w:r>
      <w:r>
        <w:t xml:space="preserve">production </w:t>
      </w:r>
      <w:r w:rsidR="003E05CF">
        <w:t xml:space="preserve">or are </w:t>
      </w:r>
      <w:r>
        <w:t>still be</w:t>
      </w:r>
      <w:r w:rsidR="003E05CF">
        <w:t>ing</w:t>
      </w:r>
      <w:r>
        <w:t xml:space="preserve"> </w:t>
      </w:r>
      <w:r w:rsidR="003E05CF">
        <w:t>developed</w:t>
      </w:r>
      <w:r w:rsidR="00755941">
        <w:t>.</w:t>
      </w:r>
    </w:p>
    <w:p w14:paraId="61EBA044" w14:textId="3F68985D" w:rsidR="00AA7794" w:rsidRDefault="00AA7794" w:rsidP="00AA7794">
      <w:pPr>
        <w:pStyle w:val="Heading3"/>
      </w:pPr>
      <w:bookmarkStart w:id="793" w:name="_Toc476577289"/>
      <w:bookmarkStart w:id="794" w:name="_Toc476582277"/>
      <w:bookmarkStart w:id="795" w:name="_Toc476582951"/>
      <w:bookmarkStart w:id="796" w:name="_Toc476583668"/>
      <w:bookmarkStart w:id="797" w:name="_Toc476584116"/>
      <w:bookmarkStart w:id="798" w:name="_Toc476738022"/>
      <w:bookmarkStart w:id="799" w:name="_Toc476747597"/>
      <w:bookmarkStart w:id="800" w:name="_Toc476749005"/>
      <w:bookmarkStart w:id="801" w:name="_Toc476753873"/>
      <w:bookmarkStart w:id="802" w:name="_Toc476754368"/>
      <w:bookmarkStart w:id="803" w:name="_Toc476754533"/>
      <w:bookmarkStart w:id="804" w:name="_Toc476759769"/>
      <w:bookmarkStart w:id="805" w:name="_Toc476761391"/>
      <w:bookmarkStart w:id="806" w:name="_Toc476767029"/>
      <w:bookmarkStart w:id="807" w:name="_Toc476827075"/>
      <w:bookmarkStart w:id="808" w:name="_Toc476828768"/>
      <w:bookmarkStart w:id="809" w:name="_Toc476833642"/>
      <w:bookmarkStart w:id="810" w:name="_Toc476837115"/>
      <w:bookmarkStart w:id="811" w:name="_Toc476840988"/>
      <w:bookmarkStart w:id="812" w:name="_Toc476841193"/>
      <w:bookmarkStart w:id="813" w:name="_Toc476841952"/>
      <w:bookmarkStart w:id="814" w:name="_Toc476842896"/>
      <w:bookmarkStart w:id="815" w:name="_Toc476843067"/>
      <w:bookmarkStart w:id="816" w:name="_Toc476844565"/>
      <w:bookmarkStart w:id="817" w:name="_Toc476845458"/>
      <w:bookmarkStart w:id="818" w:name="_Toc476926849"/>
      <w:bookmarkStart w:id="819" w:name="_Toc476926788"/>
      <w:bookmarkStart w:id="820" w:name="_Toc476927136"/>
      <w:bookmarkStart w:id="821" w:name="_Toc476928400"/>
      <w:bookmarkStart w:id="822" w:name="_Toc476929443"/>
      <w:bookmarkStart w:id="823" w:name="_Toc476929618"/>
      <w:bookmarkStart w:id="824" w:name="_Toc476930661"/>
      <w:bookmarkStart w:id="825" w:name="_Toc476931468"/>
      <w:bookmarkStart w:id="826" w:name="_Toc477869838"/>
      <w:bookmarkStart w:id="827" w:name="_Toc477871077"/>
      <w:bookmarkStart w:id="828" w:name="_Toc477873237"/>
      <w:bookmarkStart w:id="829" w:name="_Toc477875231"/>
      <w:bookmarkStart w:id="830" w:name="_Toc477880144"/>
      <w:bookmarkStart w:id="831" w:name="_Toc477881404"/>
      <w:bookmarkStart w:id="832" w:name="_Toc477955808"/>
      <w:bookmarkStart w:id="833" w:name="_Toc477963053"/>
      <w:bookmarkStart w:id="834" w:name="_Toc477963539"/>
      <w:bookmarkStart w:id="835" w:name="_Toc477965125"/>
      <w:bookmarkStart w:id="836" w:name="_Toc477966629"/>
      <w:bookmarkStart w:id="837" w:name="_Toc477966798"/>
      <w:bookmarkStart w:id="838" w:name="_Toc477967138"/>
      <w:bookmarkStart w:id="839" w:name="_Toc478121271"/>
      <w:bookmarkStart w:id="840" w:name="_Toc478122184"/>
      <w:bookmarkStart w:id="841" w:name="_Toc478133184"/>
      <w:bookmarkStart w:id="842" w:name="_Toc478132321"/>
      <w:bookmarkStart w:id="843" w:name="_Toc478132842"/>
      <w:bookmarkStart w:id="844" w:name="_Toc478134649"/>
      <w:bookmarkStart w:id="845" w:name="_Toc478137352"/>
      <w:bookmarkStart w:id="846" w:name="_Toc478138424"/>
      <w:bookmarkStart w:id="847" w:name="_Toc478139994"/>
      <w:bookmarkStart w:id="848" w:name="_Toc478140410"/>
      <w:bookmarkStart w:id="849" w:name="_Toc478142616"/>
      <w:bookmarkStart w:id="850" w:name="_Toc478566332"/>
      <w:bookmarkStart w:id="851" w:name="_Toc478569499"/>
      <w:bookmarkStart w:id="852" w:name="_Toc478569673"/>
      <w:bookmarkStart w:id="853" w:name="_Toc478570747"/>
      <w:bookmarkStart w:id="854" w:name="_Toc478632946"/>
      <w:bookmarkStart w:id="855" w:name="_Toc478641354"/>
      <w:bookmarkStart w:id="856" w:name="_Toc478654248"/>
      <w:bookmarkStart w:id="857" w:name="_Toc478654422"/>
      <w:bookmarkStart w:id="858" w:name="_Toc478657717"/>
      <w:bookmarkStart w:id="859" w:name="_Toc478993140"/>
      <w:bookmarkStart w:id="860" w:name="_Toc479000211"/>
      <w:bookmarkStart w:id="861" w:name="_Toc479002145"/>
      <w:bookmarkStart w:id="862" w:name="_Toc479002317"/>
      <w:bookmarkStart w:id="863" w:name="_Toc479254292"/>
      <w:bookmarkStart w:id="864" w:name="_Toc479258481"/>
      <w:bookmarkStart w:id="865" w:name="_Toc479258797"/>
      <w:bookmarkStart w:id="866" w:name="_Toc479259689"/>
      <w:bookmarkStart w:id="867" w:name="_Toc479262112"/>
      <w:bookmarkStart w:id="868" w:name="_Toc479262533"/>
      <w:bookmarkStart w:id="869" w:name="_Toc479321234"/>
      <w:bookmarkStart w:id="870" w:name="_Toc479326673"/>
      <w:bookmarkStart w:id="871" w:name="_Toc479333272"/>
      <w:bookmarkStart w:id="872" w:name="_Toc479334969"/>
      <w:bookmarkStart w:id="873" w:name="_Toc479341684"/>
      <w:bookmarkStart w:id="874" w:name="_Toc479345100"/>
      <w:bookmarkStart w:id="875" w:name="_Toc479345309"/>
      <w:bookmarkStart w:id="876" w:name="_Toc479348290"/>
      <w:bookmarkStart w:id="877" w:name="_Toc479675884"/>
      <w:bookmarkStart w:id="878" w:name="_Toc479690851"/>
      <w:bookmarkStart w:id="879" w:name="_Toc479693429"/>
      <w:bookmarkStart w:id="880" w:name="_Toc479770598"/>
      <w:r>
        <w:t xml:space="preserve">What constitutes </w:t>
      </w:r>
      <w:r w:rsidR="005D6F39">
        <w:t>‘</w:t>
      </w:r>
      <w:r>
        <w:t xml:space="preserve">without discouraging </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00DF73F6">
        <w:t>investment</w:t>
      </w:r>
      <w:r w:rsidR="005D6F39">
        <w:t>’</w:t>
      </w:r>
      <w:r w:rsidR="006847AA">
        <w:t>?</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27702F44" w14:textId="649A0AA8" w:rsidR="00AA7794" w:rsidRDefault="00AA7794" w:rsidP="00AA7794">
      <w:r>
        <w:t>The concept that a desirable aspect of a profit</w:t>
      </w:r>
      <w:r w:rsidR="005D6F39">
        <w:noBreakHyphen/>
      </w:r>
      <w:r>
        <w:t>based resource tax, such as the PRRT,</w:t>
      </w:r>
      <w:r w:rsidDel="00710B56">
        <w:t xml:space="preserve"> </w:t>
      </w:r>
      <w:r>
        <w:t>is that it will facilitate marginal projects with little economic rent</w:t>
      </w:r>
      <w:r w:rsidR="005A5F22">
        <w:t>,</w:t>
      </w:r>
      <w:r>
        <w:t xml:space="preserve"> was not accepted by all. Some of the groups consulted believed it </w:t>
      </w:r>
      <w:r w:rsidR="009D7164">
        <w:t xml:space="preserve">was </w:t>
      </w:r>
      <w:r>
        <w:t xml:space="preserve">appropriate for marginal projects </w:t>
      </w:r>
      <w:r w:rsidR="002B1295">
        <w:t xml:space="preserve">to </w:t>
      </w:r>
      <w:r>
        <w:t>not go ahead</w:t>
      </w:r>
      <w:r w:rsidR="005A5F22">
        <w:t>,</w:t>
      </w:r>
      <w:r>
        <w:t xml:space="preserve"> and for the resources to </w:t>
      </w:r>
      <w:r w:rsidR="009D7164">
        <w:t xml:space="preserve">only </w:t>
      </w:r>
      <w:r>
        <w:t xml:space="preserve">be extracted when they were profitable </w:t>
      </w:r>
      <w:r w:rsidR="00400539">
        <w:t>enough for</w:t>
      </w:r>
      <w:r>
        <w:t xml:space="preserve"> return</w:t>
      </w:r>
      <w:r w:rsidR="00400539">
        <w:t>s</w:t>
      </w:r>
      <w:r>
        <w:t xml:space="preserve"> </w:t>
      </w:r>
      <w:r w:rsidR="00400539">
        <w:t xml:space="preserve">to </w:t>
      </w:r>
      <w:r>
        <w:t xml:space="preserve">be paid to the community through PRRT or royalty payments. Some believed that for environmental considerations it would be appropriate to discourage the development of petroleum resources. Views were expressed that the </w:t>
      </w:r>
      <w:r w:rsidR="009D7164">
        <w:t xml:space="preserve">current </w:t>
      </w:r>
      <w:r>
        <w:t>PRRT arrangements were designed to encourage petroleum exploration and development and</w:t>
      </w:r>
      <w:r w:rsidR="00400539">
        <w:t>,</w:t>
      </w:r>
      <w:r>
        <w:t xml:space="preserve"> while that may have been appropriate when the PRRT was introduced, this was no longer the case.</w:t>
      </w:r>
    </w:p>
    <w:p w14:paraId="15D20B7D" w14:textId="5625235B" w:rsidR="00AA7794" w:rsidRDefault="00AA7794" w:rsidP="00AA7794">
      <w:r>
        <w:t xml:space="preserve">In contrast, the universal view of the petroleum industry was that the PRRT was operating as intended and </w:t>
      </w:r>
      <w:r w:rsidR="009D7164">
        <w:t>that current</w:t>
      </w:r>
      <w:r>
        <w:t xml:space="preserve"> tax arrangements were instrumental in promoting the very large investment in the exploration and development of Australia</w:t>
      </w:r>
      <w:r w:rsidR="005D6F39">
        <w:t>’</w:t>
      </w:r>
      <w:r>
        <w:t xml:space="preserve">s resources. </w:t>
      </w:r>
      <w:r w:rsidR="009D7164">
        <w:t>However, t</w:t>
      </w:r>
      <w:r>
        <w:t xml:space="preserve">his was not the view of industry in the 1980s, </w:t>
      </w:r>
      <w:r w:rsidR="009D7164">
        <w:t xml:space="preserve">as they opposed </w:t>
      </w:r>
      <w:r>
        <w:t xml:space="preserve">the </w:t>
      </w:r>
      <w:r w:rsidR="009D7164">
        <w:t xml:space="preserve">introduction of the </w:t>
      </w:r>
      <w:r>
        <w:t xml:space="preserve">PRRT on the basis that it would discourage investment. Industry now considered that what some saw as a weakness in the PRRT arrangements, namely the delay in PRRT payments until </w:t>
      </w:r>
      <w:r w:rsidR="00710B56">
        <w:t>projects become cash positive</w:t>
      </w:r>
      <w:r>
        <w:t>, was a deliberate design feature and ensured that investment would not be discouraged. Industry argued that because investors who encountered projects with poor rates of return</w:t>
      </w:r>
      <w:r w:rsidR="008958D3">
        <w:t xml:space="preserve"> (</w:t>
      </w:r>
      <w:r>
        <w:t>and as such had little or no economic rent</w:t>
      </w:r>
      <w:r w:rsidR="008958D3">
        <w:t>)</w:t>
      </w:r>
      <w:r>
        <w:t xml:space="preserve"> did not face an additional tax/royalty burden</w:t>
      </w:r>
      <w:r w:rsidR="008958D3">
        <w:t>,</w:t>
      </w:r>
      <w:r>
        <w:t xml:space="preserve"> </w:t>
      </w:r>
      <w:r w:rsidR="00400539">
        <w:t xml:space="preserve">there </w:t>
      </w:r>
      <w:r>
        <w:t>was a powerful incentive to invest in Australia. It was also argued that it was important for marginal projects to proceed because the community benefited from the jobs they created and other taxes t</w:t>
      </w:r>
      <w:r w:rsidR="00024FA8">
        <w:t>he</w:t>
      </w:r>
      <w:r>
        <w:t xml:space="preserve"> projects paid, particularly company tax.</w:t>
      </w:r>
      <w:r w:rsidR="00447845">
        <w:t xml:space="preserve"> In addition, what are considered to be marginal projects at current prices </w:t>
      </w:r>
      <w:r w:rsidR="00D344B5">
        <w:t>may</w:t>
      </w:r>
      <w:r w:rsidR="00447845">
        <w:t xml:space="preserve"> generate significantly higher </w:t>
      </w:r>
      <w:r w:rsidR="00400539">
        <w:t xml:space="preserve">tax </w:t>
      </w:r>
      <w:r w:rsidR="00787FA4">
        <w:t>re</w:t>
      </w:r>
      <w:r w:rsidR="00A23514">
        <w:t>venues</w:t>
      </w:r>
      <w:r w:rsidR="00787FA4">
        <w:t xml:space="preserve"> if</w:t>
      </w:r>
      <w:r w:rsidR="00447845">
        <w:t xml:space="preserve"> prices increased.</w:t>
      </w:r>
    </w:p>
    <w:p w14:paraId="360F6E56" w14:textId="1FF5D402" w:rsidR="00AA7794" w:rsidRDefault="00AE577E" w:rsidP="00AA7794">
      <w:pPr>
        <w:pStyle w:val="Heading3"/>
      </w:pPr>
      <w:bookmarkStart w:id="881" w:name="_Toc476577290"/>
      <w:bookmarkStart w:id="882" w:name="_Toc476582278"/>
      <w:bookmarkStart w:id="883" w:name="_Toc476582952"/>
      <w:bookmarkStart w:id="884" w:name="_Toc476583669"/>
      <w:bookmarkStart w:id="885" w:name="_Toc476584117"/>
      <w:bookmarkStart w:id="886" w:name="_Toc476738023"/>
      <w:bookmarkStart w:id="887" w:name="_Toc476747598"/>
      <w:bookmarkStart w:id="888" w:name="_Toc476749006"/>
      <w:bookmarkStart w:id="889" w:name="_Toc476753874"/>
      <w:bookmarkStart w:id="890" w:name="_Toc476754369"/>
      <w:bookmarkStart w:id="891" w:name="_Toc476754534"/>
      <w:bookmarkStart w:id="892" w:name="_Toc476759770"/>
      <w:bookmarkStart w:id="893" w:name="_Toc476761392"/>
      <w:bookmarkStart w:id="894" w:name="_Toc476767030"/>
      <w:bookmarkStart w:id="895" w:name="_Toc476827076"/>
      <w:bookmarkStart w:id="896" w:name="_Toc476828769"/>
      <w:bookmarkStart w:id="897" w:name="_Toc476833643"/>
      <w:bookmarkStart w:id="898" w:name="_Toc476837116"/>
      <w:bookmarkStart w:id="899" w:name="_Toc476840989"/>
      <w:bookmarkStart w:id="900" w:name="_Toc476841194"/>
      <w:bookmarkStart w:id="901" w:name="_Toc476841953"/>
      <w:bookmarkStart w:id="902" w:name="_Toc476842897"/>
      <w:bookmarkStart w:id="903" w:name="_Toc476843068"/>
      <w:bookmarkStart w:id="904" w:name="_Toc476844566"/>
      <w:bookmarkStart w:id="905" w:name="_Toc476845459"/>
      <w:bookmarkStart w:id="906" w:name="_Toc476926850"/>
      <w:bookmarkStart w:id="907" w:name="_Toc476926789"/>
      <w:bookmarkStart w:id="908" w:name="_Toc476927137"/>
      <w:bookmarkStart w:id="909" w:name="_Toc476928401"/>
      <w:bookmarkStart w:id="910" w:name="_Toc476929444"/>
      <w:bookmarkStart w:id="911" w:name="_Toc476929619"/>
      <w:bookmarkStart w:id="912" w:name="_Toc476930662"/>
      <w:bookmarkStart w:id="913" w:name="_Toc476931469"/>
      <w:bookmarkStart w:id="914" w:name="_Toc477869839"/>
      <w:bookmarkStart w:id="915" w:name="_Toc477871078"/>
      <w:bookmarkStart w:id="916" w:name="_Toc477873238"/>
      <w:bookmarkStart w:id="917" w:name="_Toc477875232"/>
      <w:bookmarkStart w:id="918" w:name="_Toc477880145"/>
      <w:bookmarkStart w:id="919" w:name="_Toc477881405"/>
      <w:bookmarkStart w:id="920" w:name="_Toc477955809"/>
      <w:bookmarkStart w:id="921" w:name="_Toc477963054"/>
      <w:bookmarkStart w:id="922" w:name="_Toc477963540"/>
      <w:bookmarkStart w:id="923" w:name="_Toc477965126"/>
      <w:bookmarkStart w:id="924" w:name="_Toc477966630"/>
      <w:bookmarkStart w:id="925" w:name="_Toc477966799"/>
      <w:bookmarkStart w:id="926" w:name="_Toc477967139"/>
      <w:bookmarkStart w:id="927" w:name="_Toc478121272"/>
      <w:bookmarkStart w:id="928" w:name="_Toc478122185"/>
      <w:bookmarkStart w:id="929" w:name="_Toc478133185"/>
      <w:bookmarkStart w:id="930" w:name="_Toc478132322"/>
      <w:bookmarkStart w:id="931" w:name="_Toc478132843"/>
      <w:bookmarkStart w:id="932" w:name="_Toc478134650"/>
      <w:bookmarkStart w:id="933" w:name="_Toc478137353"/>
      <w:bookmarkStart w:id="934" w:name="_Toc478138425"/>
      <w:bookmarkStart w:id="935" w:name="_Toc478139995"/>
      <w:bookmarkStart w:id="936" w:name="_Toc478140411"/>
      <w:bookmarkStart w:id="937" w:name="_Toc478142617"/>
      <w:bookmarkStart w:id="938" w:name="_Toc478566333"/>
      <w:bookmarkStart w:id="939" w:name="_Toc478569500"/>
      <w:bookmarkStart w:id="940" w:name="_Toc478569674"/>
      <w:bookmarkStart w:id="941" w:name="_Toc478570748"/>
      <w:bookmarkStart w:id="942" w:name="_Toc478632947"/>
      <w:bookmarkStart w:id="943" w:name="_Toc478641355"/>
      <w:bookmarkStart w:id="944" w:name="_Toc478654249"/>
      <w:bookmarkStart w:id="945" w:name="_Toc478654423"/>
      <w:bookmarkStart w:id="946" w:name="_Toc478657718"/>
      <w:bookmarkStart w:id="947" w:name="_Toc478993141"/>
      <w:bookmarkStart w:id="948" w:name="_Toc479000212"/>
      <w:bookmarkStart w:id="949" w:name="_Toc479002146"/>
      <w:bookmarkStart w:id="950" w:name="_Toc479002318"/>
      <w:bookmarkStart w:id="951" w:name="_Toc479254293"/>
      <w:bookmarkStart w:id="952" w:name="_Toc479258482"/>
      <w:bookmarkStart w:id="953" w:name="_Toc479258798"/>
      <w:bookmarkStart w:id="954" w:name="_Toc479259690"/>
      <w:bookmarkStart w:id="955" w:name="_Toc479262113"/>
      <w:bookmarkStart w:id="956" w:name="_Toc479262534"/>
      <w:bookmarkStart w:id="957" w:name="_Toc479321235"/>
      <w:bookmarkStart w:id="958" w:name="_Toc479326674"/>
      <w:bookmarkStart w:id="959" w:name="_Toc479333273"/>
      <w:bookmarkStart w:id="960" w:name="_Toc479334970"/>
      <w:bookmarkStart w:id="961" w:name="_Toc479341685"/>
      <w:bookmarkStart w:id="962" w:name="_Toc479345101"/>
      <w:bookmarkStart w:id="963" w:name="_Toc479345310"/>
      <w:bookmarkStart w:id="964" w:name="_Toc479348291"/>
      <w:bookmarkStart w:id="965" w:name="_Toc479675885"/>
      <w:bookmarkStart w:id="966" w:name="_Toc479690852"/>
      <w:bookmarkStart w:id="967" w:name="_Toc479693430"/>
      <w:bookmarkStart w:id="968" w:name="_Toc479770599"/>
      <w:r>
        <w:t xml:space="preserve">Rising </w:t>
      </w:r>
      <w:r w:rsidR="006847AA">
        <w:t>c</w:t>
      </w:r>
      <w:r>
        <w:t>osts a</w:t>
      </w:r>
      <w:r w:rsidR="00AA7794">
        <w:t xml:space="preserve">nd </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006847AA">
        <w:t>f</w:t>
      </w:r>
      <w:r w:rsidR="00AA7794">
        <w:t xml:space="preserve">alling </w:t>
      </w:r>
      <w:r w:rsidR="006847AA">
        <w:t>p</w:t>
      </w:r>
      <w:r w:rsidR="00AA7794">
        <w:t>rices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0908AE5D" w14:textId="4C5C6265" w:rsidR="00AA7794" w:rsidRDefault="00AA7794" w:rsidP="00AA7794">
      <w:r>
        <w:t xml:space="preserve">Industry noted that many of the large LNG projects that have recently or will shortly commence production had </w:t>
      </w:r>
      <w:r w:rsidR="00CE20E1">
        <w:t xml:space="preserve">expectations of </w:t>
      </w:r>
      <w:r>
        <w:t>high rates of return when the investment decisions were taken some years ago. However</w:t>
      </w:r>
      <w:r w:rsidR="00710B56">
        <w:t>,</w:t>
      </w:r>
      <w:r>
        <w:t xml:space="preserve"> subsequent cost increases, the decline in oil prices and unfavourable exchange rate movements are such that these projects are now generating considerably lower than expected returns for investors. Similarly, PRRT </w:t>
      </w:r>
      <w:r w:rsidR="00F14C3A">
        <w:t>revenue</w:t>
      </w:r>
      <w:r>
        <w:t xml:space="preserve"> will be lower and paid later than was expected when investment decisions were taken.</w:t>
      </w:r>
    </w:p>
    <w:p w14:paraId="2D15E673" w14:textId="3C4B9C84" w:rsidR="00AA7794" w:rsidRDefault="00AA7794" w:rsidP="00AA7794">
      <w:r>
        <w:t>A factor influencing the rise in costs w</w:t>
      </w:r>
      <w:r w:rsidR="00710B56">
        <w:t>as</w:t>
      </w:r>
      <w:r>
        <w:t xml:space="preserve"> the demands from the simultaneous development of a number of large projects. The view was raised that there should be some constraints over petroleum projects to ensure that they are not unduly expensive and infrastructure is used more efficiently, such as through sharing agreements.</w:t>
      </w:r>
    </w:p>
    <w:p w14:paraId="3C369A40" w14:textId="6CB4C1E5" w:rsidR="00AA7794" w:rsidRDefault="00AA7794" w:rsidP="00AA7794">
      <w:pPr>
        <w:pStyle w:val="Heading3"/>
      </w:pPr>
      <w:bookmarkStart w:id="969" w:name="_Toc476577291"/>
      <w:bookmarkStart w:id="970" w:name="_Toc476582279"/>
      <w:bookmarkStart w:id="971" w:name="_Toc476582953"/>
      <w:bookmarkStart w:id="972" w:name="_Toc476583670"/>
      <w:bookmarkStart w:id="973" w:name="_Toc476584118"/>
      <w:bookmarkStart w:id="974" w:name="_Toc476738024"/>
      <w:bookmarkStart w:id="975" w:name="_Toc476747599"/>
      <w:bookmarkStart w:id="976" w:name="_Toc476749007"/>
      <w:bookmarkStart w:id="977" w:name="_Toc476753875"/>
      <w:bookmarkStart w:id="978" w:name="_Toc476754370"/>
      <w:bookmarkStart w:id="979" w:name="_Toc476754535"/>
      <w:bookmarkStart w:id="980" w:name="_Toc476759771"/>
      <w:bookmarkStart w:id="981" w:name="_Toc476761393"/>
      <w:bookmarkStart w:id="982" w:name="_Toc476767031"/>
      <w:bookmarkStart w:id="983" w:name="_Toc476827077"/>
      <w:bookmarkStart w:id="984" w:name="_Toc476828770"/>
      <w:bookmarkStart w:id="985" w:name="_Toc476833644"/>
      <w:bookmarkStart w:id="986" w:name="_Toc476837117"/>
      <w:bookmarkStart w:id="987" w:name="_Toc476840990"/>
      <w:bookmarkStart w:id="988" w:name="_Toc476841195"/>
      <w:bookmarkStart w:id="989" w:name="_Toc476841954"/>
      <w:bookmarkStart w:id="990" w:name="_Toc476842898"/>
      <w:bookmarkStart w:id="991" w:name="_Toc476843069"/>
      <w:bookmarkStart w:id="992" w:name="_Toc476844567"/>
      <w:bookmarkStart w:id="993" w:name="_Toc476845460"/>
      <w:bookmarkStart w:id="994" w:name="_Toc476926851"/>
      <w:bookmarkStart w:id="995" w:name="_Toc476926790"/>
      <w:bookmarkStart w:id="996" w:name="_Toc476927138"/>
      <w:bookmarkStart w:id="997" w:name="_Toc476928402"/>
      <w:bookmarkStart w:id="998" w:name="_Toc476929445"/>
      <w:bookmarkStart w:id="999" w:name="_Toc476929620"/>
      <w:bookmarkStart w:id="1000" w:name="_Toc476930663"/>
      <w:bookmarkStart w:id="1001" w:name="_Toc476931470"/>
      <w:bookmarkStart w:id="1002" w:name="_Toc477869840"/>
      <w:bookmarkStart w:id="1003" w:name="_Toc477871079"/>
      <w:bookmarkStart w:id="1004" w:name="_Toc477873239"/>
      <w:bookmarkStart w:id="1005" w:name="_Toc477875233"/>
      <w:bookmarkStart w:id="1006" w:name="_Toc477880146"/>
      <w:bookmarkStart w:id="1007" w:name="_Toc477881406"/>
      <w:bookmarkStart w:id="1008" w:name="_Toc477955810"/>
      <w:bookmarkStart w:id="1009" w:name="_Toc477963055"/>
      <w:bookmarkStart w:id="1010" w:name="_Toc477963541"/>
      <w:bookmarkStart w:id="1011" w:name="_Toc477965127"/>
      <w:bookmarkStart w:id="1012" w:name="_Toc477966631"/>
      <w:bookmarkStart w:id="1013" w:name="_Toc477966800"/>
      <w:bookmarkStart w:id="1014" w:name="_Toc477967140"/>
      <w:bookmarkStart w:id="1015" w:name="_Toc478121273"/>
      <w:bookmarkStart w:id="1016" w:name="_Toc478122186"/>
      <w:bookmarkStart w:id="1017" w:name="_Toc478133186"/>
      <w:bookmarkStart w:id="1018" w:name="_Toc478132323"/>
      <w:bookmarkStart w:id="1019" w:name="_Toc478132844"/>
      <w:bookmarkStart w:id="1020" w:name="_Toc478134651"/>
      <w:bookmarkStart w:id="1021" w:name="_Toc478137354"/>
      <w:bookmarkStart w:id="1022" w:name="_Toc478138426"/>
      <w:bookmarkStart w:id="1023" w:name="_Toc478139996"/>
      <w:bookmarkStart w:id="1024" w:name="_Toc478140412"/>
      <w:bookmarkStart w:id="1025" w:name="_Toc478142618"/>
      <w:bookmarkStart w:id="1026" w:name="_Toc478566334"/>
      <w:bookmarkStart w:id="1027" w:name="_Toc478569501"/>
      <w:bookmarkStart w:id="1028" w:name="_Toc478569675"/>
      <w:bookmarkStart w:id="1029" w:name="_Toc478570749"/>
      <w:bookmarkStart w:id="1030" w:name="_Toc478632948"/>
      <w:bookmarkStart w:id="1031" w:name="_Toc478641356"/>
      <w:bookmarkStart w:id="1032" w:name="_Toc478654250"/>
      <w:bookmarkStart w:id="1033" w:name="_Toc478654424"/>
      <w:bookmarkStart w:id="1034" w:name="_Toc478657719"/>
      <w:bookmarkStart w:id="1035" w:name="_Toc478993142"/>
      <w:bookmarkStart w:id="1036" w:name="_Toc479000213"/>
      <w:bookmarkStart w:id="1037" w:name="_Toc479002147"/>
      <w:bookmarkStart w:id="1038" w:name="_Toc479002319"/>
      <w:bookmarkStart w:id="1039" w:name="_Toc479254294"/>
      <w:bookmarkStart w:id="1040" w:name="_Toc479258483"/>
      <w:bookmarkStart w:id="1041" w:name="_Toc479258799"/>
      <w:bookmarkStart w:id="1042" w:name="_Toc479259691"/>
      <w:bookmarkStart w:id="1043" w:name="_Toc479262114"/>
      <w:bookmarkStart w:id="1044" w:name="_Toc479262535"/>
      <w:bookmarkStart w:id="1045" w:name="_Toc479321236"/>
      <w:bookmarkStart w:id="1046" w:name="_Toc479326675"/>
      <w:bookmarkStart w:id="1047" w:name="_Toc479333274"/>
      <w:bookmarkStart w:id="1048" w:name="_Toc479334971"/>
      <w:bookmarkStart w:id="1049" w:name="_Toc479341686"/>
      <w:bookmarkStart w:id="1050" w:name="_Toc479345102"/>
      <w:bookmarkStart w:id="1051" w:name="_Toc479345311"/>
      <w:bookmarkStart w:id="1052" w:name="_Toc479348292"/>
      <w:bookmarkStart w:id="1053" w:name="_Toc479675886"/>
      <w:bookmarkStart w:id="1054" w:name="_Toc479690853"/>
      <w:bookmarkStart w:id="1055" w:name="_Toc479693431"/>
      <w:bookmarkStart w:id="1056" w:name="_Toc479770600"/>
      <w:r>
        <w:t xml:space="preserve">Tax </w:t>
      </w:r>
      <w:r w:rsidR="00AE577E">
        <w:t>a</w:t>
      </w:r>
      <w:r>
        <w:t xml:space="preserve">nd </w:t>
      </w:r>
      <w:r w:rsidR="00AE577E">
        <w:t xml:space="preserve">the </w:t>
      </w:r>
      <w:r w:rsidR="006847AA">
        <w:t>c</w:t>
      </w:r>
      <w:r w:rsidR="00AE577E">
        <w:t>ompetitiveness o</w:t>
      </w:r>
      <w:r>
        <w:t xml:space="preserve">f Australian </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rsidR="006847AA">
        <w:t>p</w:t>
      </w:r>
      <w:r>
        <w:t xml:space="preserve">etroleum </w:t>
      </w:r>
      <w:r w:rsidR="006847AA">
        <w:t>p</w:t>
      </w:r>
      <w:r>
        <w:t>rojects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15C8663D" w14:textId="7DF00F88" w:rsidR="00AA7794" w:rsidRDefault="00AA7794" w:rsidP="00AA7794">
      <w:r>
        <w:t>Industry highlighted the high cost structure of the Australian petroleum industry, in part a combination of where many of Australia</w:t>
      </w:r>
      <w:r w:rsidR="005D6F39">
        <w:t>’</w:t>
      </w:r>
      <w:r>
        <w:t>s resources are located (</w:t>
      </w:r>
      <w:r w:rsidR="00CE20E1">
        <w:t xml:space="preserve">remote, offshore and in </w:t>
      </w:r>
      <w:r>
        <w:t xml:space="preserve">deep water) and high cost/low labour productivity compared with other countries. The comment was made that resource projects in Australia are 40 per cent more expensive to deliver than in the United States. Global resource companies </w:t>
      </w:r>
      <w:r w:rsidR="00372A73">
        <w:t>noted</w:t>
      </w:r>
      <w:r>
        <w:t xml:space="preserve"> that investments in Australia had to compete with opportunities they had in other parts of the world. Given the high cost structure of the Australian industry, it was emphasised that the appropriateness and stability of Australia</w:t>
      </w:r>
      <w:r w:rsidR="005D6F39">
        <w:t>’</w:t>
      </w:r>
      <w:r>
        <w:t>s tax arrangements was a significant influence on investment decisions.</w:t>
      </w:r>
    </w:p>
    <w:p w14:paraId="4406F598" w14:textId="35592F9E" w:rsidR="00AA7794" w:rsidRDefault="00AA7794" w:rsidP="00AA7794">
      <w:r>
        <w:t xml:space="preserve">Given the variety of petroleum tax arrangements in other countries, as well as direct government involvement in the industry in many countries, it is difficult to assess the relative competitiveness of these arrangements. The report contains detail </w:t>
      </w:r>
      <w:r w:rsidDel="00787FA4">
        <w:t xml:space="preserve">on </w:t>
      </w:r>
      <w:r w:rsidR="00787FA4">
        <w:t>petroleum</w:t>
      </w:r>
      <w:r>
        <w:t xml:space="preserve"> </w:t>
      </w:r>
      <w:r w:rsidDel="00787FA4">
        <w:t xml:space="preserve">taxation </w:t>
      </w:r>
      <w:r w:rsidR="00787FA4">
        <w:t>in</w:t>
      </w:r>
      <w:r>
        <w:t xml:space="preserve"> a range of countries. One industry submission referred to a study which ranked Australia</w:t>
      </w:r>
      <w:r w:rsidR="005D6F39">
        <w:t>’</w:t>
      </w:r>
      <w:r>
        <w:t>s offshore petroleum environment in the second quartile of countries reviewed in terms of their overall attractiveness for investment</w:t>
      </w:r>
      <w:r w:rsidR="00CC04AA">
        <w:t>,</w:t>
      </w:r>
      <w:r>
        <w:t xml:space="preserve"> and another study ranked Australia in the fourth quartile for </w:t>
      </w:r>
      <w:r w:rsidR="005D6F39">
        <w:t>‘</w:t>
      </w:r>
      <w:r>
        <w:t>government take</w:t>
      </w:r>
      <w:r w:rsidR="005D6F39">
        <w:t>’</w:t>
      </w:r>
      <w:r>
        <w:t xml:space="preserve"> in terms of the extent to which such </w:t>
      </w:r>
      <w:r w:rsidR="00CC04AA">
        <w:t xml:space="preserve">government </w:t>
      </w:r>
      <w:r>
        <w:t>take impacts on project returns.</w:t>
      </w:r>
    </w:p>
    <w:p w14:paraId="5A08B457" w14:textId="3031DB6B" w:rsidR="00AA7794" w:rsidRDefault="00AA7794" w:rsidP="00AA7794">
      <w:r>
        <w:t>Stability in tax arrangements was emphasised by industry as being a major factor influencing the attractiveness of a country as an investment destination and the stability of Australia</w:t>
      </w:r>
      <w:r w:rsidR="005D6F39">
        <w:t>’</w:t>
      </w:r>
      <w:r>
        <w:t xml:space="preserve">s tax arrangements was </w:t>
      </w:r>
      <w:r w:rsidR="00EC4981">
        <w:t xml:space="preserve">said to be </w:t>
      </w:r>
      <w:r>
        <w:t xml:space="preserve">a factor influencing the recent investment boom. It was noted that Norway was looked on favourably because there had been little change in its tax arrangements, notwithstanding that its tax rate for petroleum is around 78 per cent. In contrast, other jurisdictions were cited, such as the United Kingdom, who had increased taxes on the petroleum industry with </w:t>
      </w:r>
      <w:r w:rsidR="006150A7">
        <w:t xml:space="preserve">a </w:t>
      </w:r>
      <w:r>
        <w:t>result</w:t>
      </w:r>
      <w:r w:rsidR="006150A7">
        <w:t>ing</w:t>
      </w:r>
      <w:r>
        <w:t xml:space="preserve"> decline in exploration and development.</w:t>
      </w:r>
    </w:p>
    <w:p w14:paraId="1AFB4B91" w14:textId="6CF03B4D" w:rsidR="00AA7794" w:rsidRDefault="00AE577E" w:rsidP="00AA7794">
      <w:pPr>
        <w:pStyle w:val="Heading3"/>
      </w:pPr>
      <w:bookmarkStart w:id="1057" w:name="_Toc476577292"/>
      <w:bookmarkStart w:id="1058" w:name="_Toc476582280"/>
      <w:bookmarkStart w:id="1059" w:name="_Toc476582954"/>
      <w:bookmarkStart w:id="1060" w:name="_Toc476583671"/>
      <w:bookmarkStart w:id="1061" w:name="_Toc476584119"/>
      <w:bookmarkStart w:id="1062" w:name="_Toc476738025"/>
      <w:bookmarkStart w:id="1063" w:name="_Toc476747600"/>
      <w:bookmarkStart w:id="1064" w:name="_Toc476749008"/>
      <w:bookmarkStart w:id="1065" w:name="_Toc476753876"/>
      <w:bookmarkStart w:id="1066" w:name="_Toc476754371"/>
      <w:bookmarkStart w:id="1067" w:name="_Toc476754536"/>
      <w:bookmarkStart w:id="1068" w:name="_Toc476759772"/>
      <w:bookmarkStart w:id="1069" w:name="_Toc476761394"/>
      <w:bookmarkStart w:id="1070" w:name="_Toc476767032"/>
      <w:bookmarkStart w:id="1071" w:name="_Toc476827078"/>
      <w:bookmarkStart w:id="1072" w:name="_Toc476828771"/>
      <w:bookmarkStart w:id="1073" w:name="_Toc476833645"/>
      <w:bookmarkStart w:id="1074" w:name="_Toc476837118"/>
      <w:bookmarkStart w:id="1075" w:name="_Toc476840991"/>
      <w:bookmarkStart w:id="1076" w:name="_Toc476841196"/>
      <w:bookmarkStart w:id="1077" w:name="_Toc476841955"/>
      <w:bookmarkStart w:id="1078" w:name="_Toc476842899"/>
      <w:bookmarkStart w:id="1079" w:name="_Toc476843070"/>
      <w:bookmarkStart w:id="1080" w:name="_Toc476844568"/>
      <w:bookmarkStart w:id="1081" w:name="_Toc476845461"/>
      <w:bookmarkStart w:id="1082" w:name="_Toc476926852"/>
      <w:bookmarkStart w:id="1083" w:name="_Toc476926791"/>
      <w:bookmarkStart w:id="1084" w:name="_Toc476927139"/>
      <w:bookmarkStart w:id="1085" w:name="_Toc476928403"/>
      <w:bookmarkStart w:id="1086" w:name="_Toc476929446"/>
      <w:bookmarkStart w:id="1087" w:name="_Toc476929621"/>
      <w:bookmarkStart w:id="1088" w:name="_Toc476930664"/>
      <w:bookmarkStart w:id="1089" w:name="_Toc476931471"/>
      <w:bookmarkStart w:id="1090" w:name="_Toc477869841"/>
      <w:bookmarkStart w:id="1091" w:name="_Toc477871080"/>
      <w:bookmarkStart w:id="1092" w:name="_Toc477873240"/>
      <w:bookmarkStart w:id="1093" w:name="_Toc477875234"/>
      <w:bookmarkStart w:id="1094" w:name="_Toc477880147"/>
      <w:bookmarkStart w:id="1095" w:name="_Toc477881407"/>
      <w:bookmarkStart w:id="1096" w:name="_Toc477955811"/>
      <w:bookmarkStart w:id="1097" w:name="_Toc477963056"/>
      <w:bookmarkStart w:id="1098" w:name="_Toc477963542"/>
      <w:bookmarkStart w:id="1099" w:name="_Toc477965128"/>
      <w:bookmarkStart w:id="1100" w:name="_Toc477966632"/>
      <w:bookmarkStart w:id="1101" w:name="_Toc477966801"/>
      <w:bookmarkStart w:id="1102" w:name="_Toc477967141"/>
      <w:bookmarkStart w:id="1103" w:name="_Toc478121274"/>
      <w:bookmarkStart w:id="1104" w:name="_Toc478122187"/>
      <w:bookmarkStart w:id="1105" w:name="_Toc478133187"/>
      <w:bookmarkStart w:id="1106" w:name="_Toc478132324"/>
      <w:bookmarkStart w:id="1107" w:name="_Toc478132845"/>
      <w:bookmarkStart w:id="1108" w:name="_Toc478134652"/>
      <w:bookmarkStart w:id="1109" w:name="_Toc478137355"/>
      <w:bookmarkStart w:id="1110" w:name="_Toc478138427"/>
      <w:bookmarkStart w:id="1111" w:name="_Toc478139997"/>
      <w:bookmarkStart w:id="1112" w:name="_Toc478140413"/>
      <w:bookmarkStart w:id="1113" w:name="_Toc478142619"/>
      <w:bookmarkStart w:id="1114" w:name="_Toc478566335"/>
      <w:bookmarkStart w:id="1115" w:name="_Toc478569502"/>
      <w:bookmarkStart w:id="1116" w:name="_Toc478569676"/>
      <w:bookmarkStart w:id="1117" w:name="_Toc478570750"/>
      <w:bookmarkStart w:id="1118" w:name="_Toc478632949"/>
      <w:bookmarkStart w:id="1119" w:name="_Toc478641357"/>
      <w:bookmarkStart w:id="1120" w:name="_Toc478654251"/>
      <w:bookmarkStart w:id="1121" w:name="_Toc478654425"/>
      <w:bookmarkStart w:id="1122" w:name="_Toc478657720"/>
      <w:bookmarkStart w:id="1123" w:name="_Toc478993143"/>
      <w:bookmarkStart w:id="1124" w:name="_Toc479000214"/>
      <w:bookmarkStart w:id="1125" w:name="_Toc479002148"/>
      <w:bookmarkStart w:id="1126" w:name="_Toc479002320"/>
      <w:bookmarkStart w:id="1127" w:name="_Toc479254295"/>
      <w:bookmarkStart w:id="1128" w:name="_Toc479258484"/>
      <w:bookmarkStart w:id="1129" w:name="_Toc479258800"/>
      <w:bookmarkStart w:id="1130" w:name="_Toc479259692"/>
      <w:bookmarkStart w:id="1131" w:name="_Toc479262115"/>
      <w:bookmarkStart w:id="1132" w:name="_Toc479262536"/>
      <w:bookmarkStart w:id="1133" w:name="_Toc479321237"/>
      <w:bookmarkStart w:id="1134" w:name="_Toc479326676"/>
      <w:bookmarkStart w:id="1135" w:name="_Toc479333275"/>
      <w:bookmarkStart w:id="1136" w:name="_Toc479334972"/>
      <w:bookmarkStart w:id="1137" w:name="_Toc479341687"/>
      <w:bookmarkStart w:id="1138" w:name="_Toc479345103"/>
      <w:bookmarkStart w:id="1139" w:name="_Toc479345312"/>
      <w:bookmarkStart w:id="1140" w:name="_Toc479348293"/>
      <w:bookmarkStart w:id="1141" w:name="_Toc479675887"/>
      <w:bookmarkStart w:id="1142" w:name="_Toc479690854"/>
      <w:bookmarkStart w:id="1143" w:name="_Toc479693432"/>
      <w:bookmarkStart w:id="1144" w:name="_Toc479770601"/>
      <w:r>
        <w:t>Design of the PRRT</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58ECAF9" w14:textId="125754CD" w:rsidR="00AA7794" w:rsidRDefault="00AA7794" w:rsidP="00AA7794">
      <w:r>
        <w:t>The review emphasised during consultations that in order to assess whether the PRRT was operating as intended it was necessary to examine the appropriateness of design features of the PRRT. Moreover</w:t>
      </w:r>
      <w:r w:rsidR="00641846">
        <w:t>,</w:t>
      </w:r>
      <w:r>
        <w:t xml:space="preserve"> there were a number of public comments criticising aspects of the PRRT, some of which were outlined in the Issues Note the review released </w:t>
      </w:r>
      <w:r w:rsidR="000D785F">
        <w:t>on 20 December </w:t>
      </w:r>
      <w:r>
        <w:t>2016.</w:t>
      </w:r>
    </w:p>
    <w:p w14:paraId="420D8F5E" w14:textId="00D9633C" w:rsidR="00AA7794" w:rsidRDefault="00AA7794" w:rsidP="00AA7794">
      <w:r>
        <w:t xml:space="preserve">Industry largely emphasised to the </w:t>
      </w:r>
      <w:r w:rsidR="00187623">
        <w:t>review</w:t>
      </w:r>
      <w:r>
        <w:t xml:space="preserve"> that the current design of the PRRT was appropriate</w:t>
      </w:r>
      <w:r w:rsidR="00CC04AA">
        <w:t>,</w:t>
      </w:r>
      <w:r>
        <w:t xml:space="preserve"> and reflected the outcome from previous consultation with industry and </w:t>
      </w:r>
      <w:r w:rsidR="00641846">
        <w:t xml:space="preserve">that </w:t>
      </w:r>
      <w:r>
        <w:t>the arrangements had been reviewed a number of times by governments. In contrast, a number of other bodies raised concerns with</w:t>
      </w:r>
      <w:r w:rsidDel="00710B56">
        <w:t xml:space="preserve"> </w:t>
      </w:r>
      <w:r>
        <w:t>aspects of the design of the PRRT.</w:t>
      </w:r>
    </w:p>
    <w:p w14:paraId="1D41EBFB" w14:textId="4972A1F8" w:rsidR="00AA7794" w:rsidRDefault="00AA7794" w:rsidP="00AA7794">
      <w:r>
        <w:t>There is a significant amount of economic literature on the concept of a resource rent tax. However</w:t>
      </w:r>
      <w:r w:rsidR="00641846">
        <w:t>,</w:t>
      </w:r>
      <w:r>
        <w:t xml:space="preserve"> the practical application of the tax may differ from the theoretical ideal. For example, what represents economic rent can be portrayed in a hypothetical example</w:t>
      </w:r>
      <w:r w:rsidR="00710B56">
        <w:t xml:space="preserve"> and might be neatly captured under </w:t>
      </w:r>
      <w:r w:rsidR="00642FED">
        <w:t xml:space="preserve">a </w:t>
      </w:r>
      <w:r w:rsidR="00710B56">
        <w:t xml:space="preserve">theoretically pure </w:t>
      </w:r>
      <w:r w:rsidR="00572B5D">
        <w:t>resource rent tax</w:t>
      </w:r>
      <w:r>
        <w:t xml:space="preserve">, but it is challenging </w:t>
      </w:r>
      <w:r w:rsidR="00710B56">
        <w:t xml:space="preserve">in practice </w:t>
      </w:r>
      <w:r>
        <w:t>to design and implement legislation that will clearly capture the economic rent associated with a project</w:t>
      </w:r>
      <w:r w:rsidR="00710B56">
        <w:t xml:space="preserve"> without consequent budgetary risks</w:t>
      </w:r>
      <w:r>
        <w:t>. Economic rent will vary across projects, but the legislation applies across the industry. Moreover, it is difficult to isolate the rent associated with the quality and scarcity value of petroleum resources from the quasi</w:t>
      </w:r>
      <w:r w:rsidR="005D6F39">
        <w:noBreakHyphen/>
      </w:r>
      <w:r>
        <w:t>rents earned on investments in exploration and development which reduces costs.</w:t>
      </w:r>
    </w:p>
    <w:p w14:paraId="0506C611" w14:textId="4DE9A25F" w:rsidR="00AA7794" w:rsidRDefault="00AE577E" w:rsidP="00AA7794">
      <w:pPr>
        <w:pStyle w:val="Heading3"/>
      </w:pPr>
      <w:bookmarkStart w:id="1145" w:name="_Toc476577293"/>
      <w:bookmarkStart w:id="1146" w:name="_Toc476582281"/>
      <w:bookmarkStart w:id="1147" w:name="_Toc476582955"/>
      <w:bookmarkStart w:id="1148" w:name="_Toc476583672"/>
      <w:bookmarkStart w:id="1149" w:name="_Toc476584120"/>
      <w:bookmarkStart w:id="1150" w:name="_Toc476738026"/>
      <w:bookmarkStart w:id="1151" w:name="_Toc476747601"/>
      <w:bookmarkStart w:id="1152" w:name="_Toc476749009"/>
      <w:bookmarkStart w:id="1153" w:name="_Toc476753877"/>
      <w:bookmarkStart w:id="1154" w:name="_Toc476754372"/>
      <w:bookmarkStart w:id="1155" w:name="_Toc476754537"/>
      <w:bookmarkStart w:id="1156" w:name="_Toc476759773"/>
      <w:bookmarkStart w:id="1157" w:name="_Toc476761395"/>
      <w:bookmarkStart w:id="1158" w:name="_Toc476767033"/>
      <w:bookmarkStart w:id="1159" w:name="_Toc476827079"/>
      <w:bookmarkStart w:id="1160" w:name="_Toc476828772"/>
      <w:bookmarkStart w:id="1161" w:name="_Toc476833646"/>
      <w:bookmarkStart w:id="1162" w:name="_Toc476837119"/>
      <w:bookmarkStart w:id="1163" w:name="_Toc476840992"/>
      <w:bookmarkStart w:id="1164" w:name="_Toc476841197"/>
      <w:bookmarkStart w:id="1165" w:name="_Toc476841956"/>
      <w:bookmarkStart w:id="1166" w:name="_Toc476842900"/>
      <w:bookmarkStart w:id="1167" w:name="_Toc476843071"/>
      <w:bookmarkStart w:id="1168" w:name="_Toc476844569"/>
      <w:bookmarkStart w:id="1169" w:name="_Toc476845462"/>
      <w:bookmarkStart w:id="1170" w:name="_Toc476926853"/>
      <w:bookmarkStart w:id="1171" w:name="_Toc476926792"/>
      <w:bookmarkStart w:id="1172" w:name="_Toc476927140"/>
      <w:bookmarkStart w:id="1173" w:name="_Toc476928404"/>
      <w:bookmarkStart w:id="1174" w:name="_Toc476929447"/>
      <w:bookmarkStart w:id="1175" w:name="_Toc476929622"/>
      <w:bookmarkStart w:id="1176" w:name="_Toc476930665"/>
      <w:bookmarkStart w:id="1177" w:name="_Toc476931472"/>
      <w:bookmarkStart w:id="1178" w:name="_Toc477869842"/>
      <w:bookmarkStart w:id="1179" w:name="_Toc477871081"/>
      <w:bookmarkStart w:id="1180" w:name="_Toc477873241"/>
      <w:bookmarkStart w:id="1181" w:name="_Toc477875235"/>
      <w:bookmarkStart w:id="1182" w:name="_Toc477880148"/>
      <w:bookmarkStart w:id="1183" w:name="_Toc477881408"/>
      <w:bookmarkStart w:id="1184" w:name="_Toc477955812"/>
      <w:bookmarkStart w:id="1185" w:name="_Toc477963057"/>
      <w:bookmarkStart w:id="1186" w:name="_Toc477963543"/>
      <w:bookmarkStart w:id="1187" w:name="_Toc477965129"/>
      <w:bookmarkStart w:id="1188" w:name="_Toc477966633"/>
      <w:bookmarkStart w:id="1189" w:name="_Toc477966802"/>
      <w:bookmarkStart w:id="1190" w:name="_Toc477967142"/>
      <w:bookmarkStart w:id="1191" w:name="_Toc478121275"/>
      <w:bookmarkStart w:id="1192" w:name="_Toc478122188"/>
      <w:bookmarkStart w:id="1193" w:name="_Toc478133188"/>
      <w:bookmarkStart w:id="1194" w:name="_Toc478132325"/>
      <w:bookmarkStart w:id="1195" w:name="_Toc478132846"/>
      <w:bookmarkStart w:id="1196" w:name="_Toc478134653"/>
      <w:bookmarkStart w:id="1197" w:name="_Toc478137356"/>
      <w:bookmarkStart w:id="1198" w:name="_Toc478138428"/>
      <w:bookmarkStart w:id="1199" w:name="_Toc478139998"/>
      <w:bookmarkStart w:id="1200" w:name="_Toc478140414"/>
      <w:bookmarkStart w:id="1201" w:name="_Toc478142620"/>
      <w:bookmarkStart w:id="1202" w:name="_Toc478566336"/>
      <w:bookmarkStart w:id="1203" w:name="_Toc478569503"/>
      <w:bookmarkStart w:id="1204" w:name="_Toc478569677"/>
      <w:bookmarkStart w:id="1205" w:name="_Toc478570751"/>
      <w:bookmarkStart w:id="1206" w:name="_Toc478632950"/>
      <w:bookmarkStart w:id="1207" w:name="_Toc478641358"/>
      <w:bookmarkStart w:id="1208" w:name="_Toc478654252"/>
      <w:bookmarkStart w:id="1209" w:name="_Toc478654426"/>
      <w:bookmarkStart w:id="1210" w:name="_Toc478657721"/>
      <w:bookmarkStart w:id="1211" w:name="_Toc478993144"/>
      <w:bookmarkStart w:id="1212" w:name="_Toc479000215"/>
      <w:bookmarkStart w:id="1213" w:name="_Toc479002149"/>
      <w:bookmarkStart w:id="1214" w:name="_Toc479002321"/>
      <w:bookmarkStart w:id="1215" w:name="_Toc479254296"/>
      <w:bookmarkStart w:id="1216" w:name="_Toc479258485"/>
      <w:bookmarkStart w:id="1217" w:name="_Toc479258801"/>
      <w:bookmarkStart w:id="1218" w:name="_Toc479259693"/>
      <w:bookmarkStart w:id="1219" w:name="_Toc479262116"/>
      <w:bookmarkStart w:id="1220" w:name="_Toc479262537"/>
      <w:bookmarkStart w:id="1221" w:name="_Toc479321238"/>
      <w:bookmarkStart w:id="1222" w:name="_Toc479326677"/>
      <w:bookmarkStart w:id="1223" w:name="_Toc479333276"/>
      <w:bookmarkStart w:id="1224" w:name="_Toc479334973"/>
      <w:bookmarkStart w:id="1225" w:name="_Toc479341688"/>
      <w:bookmarkStart w:id="1226" w:name="_Toc479345104"/>
      <w:bookmarkStart w:id="1227" w:name="_Toc479345313"/>
      <w:bookmarkStart w:id="1228" w:name="_Toc479348294"/>
      <w:bookmarkStart w:id="1229" w:name="_Toc479675888"/>
      <w:bookmarkStart w:id="1230" w:name="_Toc479690855"/>
      <w:bookmarkStart w:id="1231" w:name="_Toc479693433"/>
      <w:bookmarkStart w:id="1232" w:name="_Toc479770602"/>
      <w:r>
        <w:t xml:space="preserve">The PRRT </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sidR="006847AA">
        <w:t>r</w:t>
      </w:r>
      <w:r>
        <w:t>ate</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FE93165" w14:textId="0F1AF368" w:rsidR="00AA7794" w:rsidRDefault="00AA7794" w:rsidP="002E58C4">
      <w:r>
        <w:t>Some bodies consulted suggested that the PRRT rate (40 per cent</w:t>
      </w:r>
      <w:r w:rsidDel="00787FA4">
        <w:t xml:space="preserve">) </w:t>
      </w:r>
      <w:r w:rsidR="00787FA4">
        <w:t>is</w:t>
      </w:r>
      <w:r>
        <w:t xml:space="preserve"> too low and a larger proportion of the economic rent associated with a project should be returned to the community. </w:t>
      </w:r>
      <w:r w:rsidR="00862CE7">
        <w:t xml:space="preserve">The combined PRRT and company tax rate </w:t>
      </w:r>
      <w:r w:rsidR="00A11363">
        <w:t xml:space="preserve">applying to annual PRRT profit </w:t>
      </w:r>
      <w:r w:rsidR="00862CE7">
        <w:t>is 58</w:t>
      </w:r>
      <w:r w:rsidR="00CC04AA">
        <w:t> </w:t>
      </w:r>
      <w:r w:rsidR="00862CE7">
        <w:t>per</w:t>
      </w:r>
      <w:r w:rsidR="00CC04AA">
        <w:t> </w:t>
      </w:r>
      <w:r w:rsidR="00862CE7">
        <w:t>cent</w:t>
      </w:r>
      <w:r w:rsidR="00641846">
        <w:t>.</w:t>
      </w:r>
      <w:r w:rsidR="00A11363">
        <w:t xml:space="preserve"> </w:t>
      </w:r>
      <w:r>
        <w:t>However</w:t>
      </w:r>
      <w:r w:rsidR="00642FED">
        <w:t>,</w:t>
      </w:r>
      <w:r>
        <w:t xml:space="preserve"> it has been acknowledged in the economic literature that</w:t>
      </w:r>
      <w:r w:rsidR="009F22A7">
        <w:t>,</w:t>
      </w:r>
      <w:r>
        <w:t xml:space="preserve"> given the difficulties in making any </w:t>
      </w:r>
      <w:r w:rsidR="00710B56">
        <w:t xml:space="preserve">practical </w:t>
      </w:r>
      <w:r>
        <w:t>resource rent tax arrangement approximate the theoretical concept of a pure rent tax</w:t>
      </w:r>
      <w:r w:rsidR="001C106A">
        <w:t>,</w:t>
      </w:r>
      <w:r>
        <w:t xml:space="preserve"> justifies taxing only a share of the estimated economic rent. Moreover an adequate incentive has to be given to investors to explore, develop and produce. It is a matter of judgement as to what is an appropriate resource rent tax rate.</w:t>
      </w:r>
      <w:r w:rsidR="00EE55C7">
        <w:t xml:space="preserve"> The 40 per cent rate has been in place for over 30 years, is broadly comparable to the rate in other jurisdictions</w:t>
      </w:r>
      <w:r w:rsidR="00CC04AA">
        <w:t>,</w:t>
      </w:r>
      <w:r w:rsidR="00EE55C7">
        <w:t xml:space="preserve"> and there does not appear to be a strong policy case to change the PRRT rate.</w:t>
      </w:r>
    </w:p>
    <w:p w14:paraId="6018EADF" w14:textId="18027A91" w:rsidR="00AA7794" w:rsidRDefault="00AE577E" w:rsidP="00AA7794">
      <w:pPr>
        <w:pStyle w:val="Heading3"/>
      </w:pPr>
      <w:bookmarkStart w:id="1233" w:name="_Toc476577294"/>
      <w:bookmarkStart w:id="1234" w:name="_Toc476582282"/>
      <w:bookmarkStart w:id="1235" w:name="_Toc476582956"/>
      <w:bookmarkStart w:id="1236" w:name="_Toc476583673"/>
      <w:bookmarkStart w:id="1237" w:name="_Toc476584121"/>
      <w:bookmarkStart w:id="1238" w:name="_Toc476738027"/>
      <w:bookmarkStart w:id="1239" w:name="_Toc476747602"/>
      <w:bookmarkStart w:id="1240" w:name="_Toc476749010"/>
      <w:bookmarkStart w:id="1241" w:name="_Toc476753878"/>
      <w:bookmarkStart w:id="1242" w:name="_Toc476754373"/>
      <w:bookmarkStart w:id="1243" w:name="_Toc476754538"/>
      <w:bookmarkStart w:id="1244" w:name="_Toc476759774"/>
      <w:bookmarkStart w:id="1245" w:name="_Toc476761396"/>
      <w:bookmarkStart w:id="1246" w:name="_Toc476767034"/>
      <w:bookmarkStart w:id="1247" w:name="_Toc476827080"/>
      <w:bookmarkStart w:id="1248" w:name="_Toc476828773"/>
      <w:bookmarkStart w:id="1249" w:name="_Toc476833647"/>
      <w:bookmarkStart w:id="1250" w:name="_Toc476837120"/>
      <w:bookmarkStart w:id="1251" w:name="_Toc476840993"/>
      <w:bookmarkStart w:id="1252" w:name="_Toc476841198"/>
      <w:bookmarkStart w:id="1253" w:name="_Toc476841957"/>
      <w:bookmarkStart w:id="1254" w:name="_Toc476842901"/>
      <w:bookmarkStart w:id="1255" w:name="_Toc476843072"/>
      <w:bookmarkStart w:id="1256" w:name="_Toc476844570"/>
      <w:bookmarkStart w:id="1257" w:name="_Toc476845463"/>
      <w:bookmarkStart w:id="1258" w:name="_Toc476926854"/>
      <w:bookmarkStart w:id="1259" w:name="_Toc476926793"/>
      <w:bookmarkStart w:id="1260" w:name="_Toc476927141"/>
      <w:bookmarkStart w:id="1261" w:name="_Toc476928405"/>
      <w:bookmarkStart w:id="1262" w:name="_Toc476929448"/>
      <w:bookmarkStart w:id="1263" w:name="_Toc476929623"/>
      <w:bookmarkStart w:id="1264" w:name="_Toc476930666"/>
      <w:bookmarkStart w:id="1265" w:name="_Toc476931473"/>
      <w:bookmarkStart w:id="1266" w:name="_Toc477869843"/>
      <w:bookmarkStart w:id="1267" w:name="_Toc477871082"/>
      <w:bookmarkStart w:id="1268" w:name="_Toc477873242"/>
      <w:bookmarkStart w:id="1269" w:name="_Toc477875236"/>
      <w:bookmarkStart w:id="1270" w:name="_Toc477880149"/>
      <w:bookmarkStart w:id="1271" w:name="_Toc477881409"/>
      <w:bookmarkStart w:id="1272" w:name="_Toc477955813"/>
      <w:bookmarkStart w:id="1273" w:name="_Toc477963058"/>
      <w:bookmarkStart w:id="1274" w:name="_Toc477963544"/>
      <w:bookmarkStart w:id="1275" w:name="_Toc477965130"/>
      <w:bookmarkStart w:id="1276" w:name="_Toc477966634"/>
      <w:bookmarkStart w:id="1277" w:name="_Toc477966803"/>
      <w:bookmarkStart w:id="1278" w:name="_Toc477967143"/>
      <w:bookmarkStart w:id="1279" w:name="_Toc478121276"/>
      <w:bookmarkStart w:id="1280" w:name="_Toc478122189"/>
      <w:bookmarkStart w:id="1281" w:name="_Toc478133189"/>
      <w:bookmarkStart w:id="1282" w:name="_Toc478132326"/>
      <w:bookmarkStart w:id="1283" w:name="_Toc478132847"/>
      <w:bookmarkStart w:id="1284" w:name="_Toc478134654"/>
      <w:bookmarkStart w:id="1285" w:name="_Toc478137357"/>
      <w:bookmarkStart w:id="1286" w:name="_Toc478138429"/>
      <w:bookmarkStart w:id="1287" w:name="_Toc478139999"/>
      <w:bookmarkStart w:id="1288" w:name="_Toc478140415"/>
      <w:bookmarkStart w:id="1289" w:name="_Toc478142621"/>
      <w:bookmarkStart w:id="1290" w:name="_Toc478566337"/>
      <w:bookmarkStart w:id="1291" w:name="_Toc478569504"/>
      <w:bookmarkStart w:id="1292" w:name="_Toc478569678"/>
      <w:bookmarkStart w:id="1293" w:name="_Toc478570752"/>
      <w:bookmarkStart w:id="1294" w:name="_Toc478632951"/>
      <w:bookmarkStart w:id="1295" w:name="_Toc478641359"/>
      <w:bookmarkStart w:id="1296" w:name="_Toc478654253"/>
      <w:bookmarkStart w:id="1297" w:name="_Toc478654427"/>
      <w:bookmarkStart w:id="1298" w:name="_Toc478657722"/>
      <w:bookmarkStart w:id="1299" w:name="_Toc478993145"/>
      <w:bookmarkStart w:id="1300" w:name="_Toc479000216"/>
      <w:bookmarkStart w:id="1301" w:name="_Toc479002150"/>
      <w:bookmarkStart w:id="1302" w:name="_Toc479002322"/>
      <w:bookmarkStart w:id="1303" w:name="_Toc479254297"/>
      <w:bookmarkStart w:id="1304" w:name="_Toc479258486"/>
      <w:bookmarkStart w:id="1305" w:name="_Toc479258802"/>
      <w:bookmarkStart w:id="1306" w:name="_Toc479259694"/>
      <w:bookmarkStart w:id="1307" w:name="_Toc479262117"/>
      <w:bookmarkStart w:id="1308" w:name="_Toc479262538"/>
      <w:bookmarkStart w:id="1309" w:name="_Toc479321239"/>
      <w:bookmarkStart w:id="1310" w:name="_Toc479326678"/>
      <w:bookmarkStart w:id="1311" w:name="_Toc479333277"/>
      <w:bookmarkStart w:id="1312" w:name="_Toc479334974"/>
      <w:bookmarkStart w:id="1313" w:name="_Toc479341689"/>
      <w:bookmarkStart w:id="1314" w:name="_Toc479345105"/>
      <w:bookmarkStart w:id="1315" w:name="_Toc479345314"/>
      <w:bookmarkStart w:id="1316" w:name="_Toc479348295"/>
      <w:bookmarkStart w:id="1317" w:name="_Toc479675889"/>
      <w:bookmarkStart w:id="1318" w:name="_Toc479690856"/>
      <w:bookmarkStart w:id="1319" w:name="_Toc479693434"/>
      <w:bookmarkStart w:id="1320" w:name="_Toc479770603"/>
      <w:r>
        <w:t xml:space="preserve">Uplift </w:t>
      </w:r>
      <w:r w:rsidR="006847AA">
        <w:t>r</w:t>
      </w:r>
      <w:r>
        <w:t xml:space="preserve">ate for </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sidR="006847AA">
        <w:t>d</w:t>
      </w:r>
      <w:r>
        <w:t>eductions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36F75E87" w14:textId="4BF45FD2" w:rsidR="00AA7794" w:rsidRDefault="00AA7794" w:rsidP="00AA7794">
      <w:r>
        <w:t>A key feature of the PRRT is that it taxes profitable petroleum resource projects, just like a cash flow tax, but does not provide cash rebates for tax lo</w:t>
      </w:r>
      <w:r w:rsidR="00641846">
        <w:t>s</w:t>
      </w:r>
      <w:r>
        <w:t>ses (negative cash flows). Tax los</w:t>
      </w:r>
      <w:r w:rsidR="00710B56">
        <w:t>s</w:t>
      </w:r>
      <w:r>
        <w:t xml:space="preserve">es are carried forward with </w:t>
      </w:r>
      <w:r w:rsidR="006E6C69">
        <w:t xml:space="preserve">an </w:t>
      </w:r>
      <w:r>
        <w:t xml:space="preserve">uplift to be offset against future positive cash flow from the project. The </w:t>
      </w:r>
      <w:r w:rsidR="00EB2CF2">
        <w:t xml:space="preserve">uplift </w:t>
      </w:r>
      <w:r>
        <w:t>rate at which</w:t>
      </w:r>
      <w:r w:rsidDel="00D64085">
        <w:t xml:space="preserve"> </w:t>
      </w:r>
      <w:r>
        <w:t>losses (deductions) are carried forward has a significant impact on when/if a project will pay PRRT.</w:t>
      </w:r>
    </w:p>
    <w:p w14:paraId="4AF24200" w14:textId="19793961" w:rsidR="00AA7794" w:rsidRDefault="00C85C8D" w:rsidP="00AA7794">
      <w:r>
        <w:t>When the PRRT came into effect in 1988, t</w:t>
      </w:r>
      <w:r w:rsidR="00AA7794">
        <w:t xml:space="preserve">he uplift rate for both exploration and general </w:t>
      </w:r>
      <w:r w:rsidR="00132D38">
        <w:t xml:space="preserve">project </w:t>
      </w:r>
      <w:r w:rsidR="00AA7794">
        <w:t>expenditure was the long</w:t>
      </w:r>
      <w:r w:rsidR="00B30C81">
        <w:t xml:space="preserve"> </w:t>
      </w:r>
      <w:r w:rsidR="00AA7794">
        <w:t>term</w:t>
      </w:r>
      <w:r w:rsidR="00641846">
        <w:t xml:space="preserve"> </w:t>
      </w:r>
      <w:r w:rsidR="00AA7794">
        <w:t>bond rate (LTBR) plus 15 per</w:t>
      </w:r>
      <w:r w:rsidR="00EE55C7">
        <w:t>centage points</w:t>
      </w:r>
      <w:r w:rsidR="00AA7794">
        <w:t xml:space="preserve">. In 1991, when </w:t>
      </w:r>
      <w:r>
        <w:t xml:space="preserve">the deductibility of </w:t>
      </w:r>
      <w:r w:rsidR="00AA7794">
        <w:t xml:space="preserve">exploration </w:t>
      </w:r>
      <w:r>
        <w:t xml:space="preserve">expenditure </w:t>
      </w:r>
      <w:r w:rsidR="00AA7794">
        <w:t xml:space="preserve">was widened to a company basis, the uplift rate for general </w:t>
      </w:r>
      <w:r w:rsidR="00132D38">
        <w:t xml:space="preserve">project </w:t>
      </w:r>
      <w:r w:rsidR="00AA7794">
        <w:t>expenditure was lowered to LTBR plus 5 per</w:t>
      </w:r>
      <w:r w:rsidR="00EE55C7">
        <w:t>centage points</w:t>
      </w:r>
      <w:r w:rsidR="00AA7794">
        <w:t>. Exploration expenditure incurred after 1 July 1990 was still carried forward at LTBR plus 15</w:t>
      </w:r>
      <w:r w:rsidR="00CC04AA">
        <w:t> </w:t>
      </w:r>
      <w:r w:rsidR="00AA7794">
        <w:t>per</w:t>
      </w:r>
      <w:r w:rsidR="00EE55C7">
        <w:t>centage</w:t>
      </w:r>
      <w:r w:rsidR="00CC04AA">
        <w:t> </w:t>
      </w:r>
      <w:r w:rsidR="00EE55C7">
        <w:t>points</w:t>
      </w:r>
      <w:r w:rsidR="00AA7794">
        <w:t>.</w:t>
      </w:r>
    </w:p>
    <w:p w14:paraId="4ADAD57D" w14:textId="06CA801B" w:rsidR="00AA7794" w:rsidRDefault="00AA7794" w:rsidP="00AA7794">
      <w:r>
        <w:t xml:space="preserve">It is difficult to determine from published material the basis for the specific uplift rates introduced when the PRRT </w:t>
      </w:r>
      <w:r w:rsidR="00203777">
        <w:t>came into effect</w:t>
      </w:r>
      <w:r>
        <w:t xml:space="preserve"> in 19</w:t>
      </w:r>
      <w:r w:rsidR="00D27FA1">
        <w:t>8</w:t>
      </w:r>
      <w:r>
        <w:t>8 (LTBR plus 15 per</w:t>
      </w:r>
      <w:r w:rsidR="00605457">
        <w:t>centage points</w:t>
      </w:r>
      <w:r>
        <w:t>) and the changes introduced in 1990 (with the introduction of LTBR plus 5 per</w:t>
      </w:r>
      <w:r w:rsidR="00605457">
        <w:t>centage points</w:t>
      </w:r>
      <w:r>
        <w:t xml:space="preserve"> for general </w:t>
      </w:r>
      <w:r w:rsidR="00132D38">
        <w:t xml:space="preserve">project </w:t>
      </w:r>
      <w:r>
        <w:t xml:space="preserve">expenditure). </w:t>
      </w:r>
      <w:r w:rsidR="00EE55C7">
        <w:t>It appears that it was recognised at the time that the application of a single generally</w:t>
      </w:r>
      <w:r w:rsidR="005D6F39">
        <w:noBreakHyphen/>
      </w:r>
      <w:r w:rsidR="00EE55C7">
        <w:t xml:space="preserve">applicable uplift rate was imperfect and the decision on the rate was arbitrary. </w:t>
      </w:r>
      <w:r>
        <w:t xml:space="preserve">Importantly, there is a difference in views as to what is the rationale for the uplift rate. The submissions from industry generally refer to the uplift rate as reflecting an appropriate rate of return for the risk borne in carrying on a petroleum project. </w:t>
      </w:r>
      <w:r w:rsidR="00EE55C7">
        <w:t xml:space="preserve">Government statements at the time of the PRRT design suggest that the uplift </w:t>
      </w:r>
      <w:r>
        <w:t xml:space="preserve">rate should maintain the value of the deduction and </w:t>
      </w:r>
      <w:r w:rsidR="00132D38">
        <w:t xml:space="preserve">should </w:t>
      </w:r>
      <w:r w:rsidR="00355BA1">
        <w:t>tak</w:t>
      </w:r>
      <w:r w:rsidR="00132D38">
        <w:t xml:space="preserve">e </w:t>
      </w:r>
      <w:r w:rsidR="00355BA1">
        <w:t xml:space="preserve">into account </w:t>
      </w:r>
      <w:r>
        <w:t xml:space="preserve">the risk that the project will </w:t>
      </w:r>
      <w:r w:rsidR="00355BA1">
        <w:t xml:space="preserve">not </w:t>
      </w:r>
      <w:r>
        <w:t xml:space="preserve">produce sufficient returns </w:t>
      </w:r>
      <w:r w:rsidR="00132D38">
        <w:t xml:space="preserve">to utilise </w:t>
      </w:r>
      <w:r>
        <w:t xml:space="preserve">the deduction. </w:t>
      </w:r>
      <w:r w:rsidR="005E32D3">
        <w:t>Academics and other reviews of the PRRT have supported this approach.</w:t>
      </w:r>
      <w:r w:rsidR="005A249C">
        <w:t xml:space="preserve"> </w:t>
      </w:r>
      <w:r w:rsidR="00EA797C">
        <w:t>A</w:t>
      </w:r>
      <w:r w:rsidR="00BE5748">
        <w:t xml:space="preserve">n uplift rate that takes into account the risk of </w:t>
      </w:r>
      <w:r w:rsidR="00B73C7E">
        <w:t xml:space="preserve">losing a </w:t>
      </w:r>
      <w:r w:rsidR="00BE5748">
        <w:t xml:space="preserve">deduction </w:t>
      </w:r>
      <w:r w:rsidR="00B73C7E">
        <w:t>is</w:t>
      </w:r>
      <w:r w:rsidR="00BE5748">
        <w:t xml:space="preserve"> </w:t>
      </w:r>
      <w:r w:rsidDel="00BE5748">
        <w:t xml:space="preserve">not the same as the </w:t>
      </w:r>
      <w:r>
        <w:t>investor</w:t>
      </w:r>
      <w:r w:rsidR="005D6F39">
        <w:t>’</w:t>
      </w:r>
      <w:r>
        <w:t xml:space="preserve">s required rate of return for </w:t>
      </w:r>
      <w:r w:rsidR="00BE5748">
        <w:t xml:space="preserve">a </w:t>
      </w:r>
      <w:r>
        <w:t>project.</w:t>
      </w:r>
    </w:p>
    <w:p w14:paraId="483CEDEF" w14:textId="54BC8C7D" w:rsidR="00AA7794" w:rsidRDefault="00AA7794" w:rsidP="00AA7794">
      <w:r>
        <w:t>A number of submissions claimed that the uplift rate for exploration expenditure was excessively generous, originally aimed at encouraging exploration but this should no longer be an objective. Industry argued that the uplift rate reflected the high risks associated with exploration. However</w:t>
      </w:r>
      <w:r w:rsidR="00E95500">
        <w:t>,</w:t>
      </w:r>
      <w:r>
        <w:t xml:space="preserve"> exploration expenditure that takes place more than five years before a production licence is issued, and </w:t>
      </w:r>
      <w:r w:rsidR="00B73C7E">
        <w:t xml:space="preserve">is </w:t>
      </w:r>
      <w:r>
        <w:t>arguably more risky, is only uplifted at the GDP factor rate. When transferability of exploration was introduced in 1991, this reduced the risk that the exploration expenditure for a project will not be used, but the uplift rate was maintained at LTBR plus 15 per</w:t>
      </w:r>
      <w:r w:rsidR="005E32D3">
        <w:t>centage points</w:t>
      </w:r>
      <w:r w:rsidDel="005E32D3">
        <w:t xml:space="preserve"> </w:t>
      </w:r>
      <w:r>
        <w:t xml:space="preserve">and the uplift rate for general </w:t>
      </w:r>
      <w:r w:rsidR="00132D38">
        <w:t xml:space="preserve">project </w:t>
      </w:r>
      <w:r>
        <w:t>expenditure was reduced to LTBR plus 5 per</w:t>
      </w:r>
      <w:r w:rsidR="005E32D3">
        <w:t>centage points</w:t>
      </w:r>
      <w:r>
        <w:t xml:space="preserve">. Statements by the </w:t>
      </w:r>
      <w:r w:rsidR="00552B38">
        <w:t>G</w:t>
      </w:r>
      <w:r>
        <w:t xml:space="preserve">overnment at the time said the reduction in the uplift rate for general </w:t>
      </w:r>
      <w:r w:rsidR="00132D38">
        <w:t xml:space="preserve">project </w:t>
      </w:r>
      <w:r>
        <w:t>expenditure reflected the significant benefits industry derived from the introduction of company</w:t>
      </w:r>
      <w:r w:rsidR="005D6F39">
        <w:noBreakHyphen/>
      </w:r>
      <w:r>
        <w:t xml:space="preserve">wide transferability for exploration expenditure. </w:t>
      </w:r>
      <w:r w:rsidR="00E95500">
        <w:t>Nevertheless,</w:t>
      </w:r>
      <w:r w:rsidR="005E32D3">
        <w:t xml:space="preserve"> reducing the uplift rate for general </w:t>
      </w:r>
      <w:r w:rsidR="00132D38">
        <w:t xml:space="preserve">project </w:t>
      </w:r>
      <w:r w:rsidR="005E32D3">
        <w:t xml:space="preserve">expenditure was consistent </w:t>
      </w:r>
      <w:r w:rsidR="009C7847">
        <w:t xml:space="preserve">with </w:t>
      </w:r>
      <w:r w:rsidR="005E32D3">
        <w:t xml:space="preserve">the lower risk of losing PRRT deductions in </w:t>
      </w:r>
      <w:r w:rsidR="00B73C7E">
        <w:t xml:space="preserve">the </w:t>
      </w:r>
      <w:r w:rsidR="005E32D3">
        <w:t xml:space="preserve">development </w:t>
      </w:r>
      <w:r w:rsidR="008A3C99">
        <w:t xml:space="preserve">and production </w:t>
      </w:r>
      <w:r w:rsidR="005E32D3">
        <w:t>stage</w:t>
      </w:r>
      <w:r w:rsidR="008A3C99">
        <w:t>s of a project</w:t>
      </w:r>
      <w:r w:rsidR="005E32D3">
        <w:t>.</w:t>
      </w:r>
    </w:p>
    <w:p w14:paraId="6480B546" w14:textId="6F340AB2" w:rsidR="00AA7794" w:rsidRDefault="00AA7794" w:rsidP="00AA7794">
      <w:r>
        <w:t xml:space="preserve">The existence of multiple uplift rates for different categories of expenditure adds to the complexity of PRRT arrangements and provides an incentive for taxpayers to misclassify expenditure in order to gain a higher uplift rate. Adding to the complexity of the PRRT is the ordering of deductions with different uplift rates. Expenditure that is not transferable </w:t>
      </w:r>
      <w:r w:rsidR="003E2E43">
        <w:t xml:space="preserve">and contained </w:t>
      </w:r>
      <w:r w:rsidR="00927CE8">
        <w:t>in</w:t>
      </w:r>
      <w:r w:rsidR="003E2E43">
        <w:t xml:space="preserve"> the project </w:t>
      </w:r>
      <w:r>
        <w:t xml:space="preserve">(such as general </w:t>
      </w:r>
      <w:r w:rsidR="00B73C7E">
        <w:t xml:space="preserve">project </w:t>
      </w:r>
      <w:r>
        <w:t>expenditure uplifted at LTBR</w:t>
      </w:r>
      <w:r w:rsidR="00552B38">
        <w:t> </w:t>
      </w:r>
      <w:r>
        <w:t>plus</w:t>
      </w:r>
      <w:r w:rsidR="00552B38">
        <w:t> </w:t>
      </w:r>
      <w:r>
        <w:t>5</w:t>
      </w:r>
      <w:r w:rsidR="00552B38">
        <w:t> </w:t>
      </w:r>
      <w:r>
        <w:t>per</w:t>
      </w:r>
      <w:r w:rsidR="00605457">
        <w:t>centage</w:t>
      </w:r>
      <w:r w:rsidR="00552B38">
        <w:t> </w:t>
      </w:r>
      <w:r w:rsidR="00605457">
        <w:t>points</w:t>
      </w:r>
      <w:r>
        <w:t xml:space="preserve">) </w:t>
      </w:r>
      <w:r w:rsidR="00572B5D">
        <w:t>is</w:t>
      </w:r>
      <w:r>
        <w:t xml:space="preserve"> higher in the order of deductions </w:t>
      </w:r>
      <w:r w:rsidR="003E2E43">
        <w:t>to</w:t>
      </w:r>
      <w:r>
        <w:t xml:space="preserve"> increas</w:t>
      </w:r>
      <w:r w:rsidR="003E2E43">
        <w:t>e</w:t>
      </w:r>
      <w:r>
        <w:t xml:space="preserve"> the chance it will be used. However</w:t>
      </w:r>
      <w:r w:rsidR="003E2E43">
        <w:t>,</w:t>
      </w:r>
      <w:r>
        <w:t xml:space="preserve"> exploration expenditure</w:t>
      </w:r>
      <w:r w:rsidR="008A3C99">
        <w:t xml:space="preserve"> </w:t>
      </w:r>
      <w:r>
        <w:t>which</w:t>
      </w:r>
      <w:r w:rsidR="008A3C99">
        <w:t xml:space="preserve"> </w:t>
      </w:r>
      <w:r>
        <w:t>has a higher uplift rate, is further down the order of deductions</w:t>
      </w:r>
      <w:r w:rsidR="008A3C99">
        <w:t>,</w:t>
      </w:r>
      <w:r>
        <w:t xml:space="preserve"> meaning that the project will gain the benefit of </w:t>
      </w:r>
      <w:r w:rsidR="00080696">
        <w:t>a</w:t>
      </w:r>
      <w:r w:rsidR="008A3C99">
        <w:t xml:space="preserve"> </w:t>
      </w:r>
      <w:r>
        <w:t xml:space="preserve">higher uplift for </w:t>
      </w:r>
      <w:r w:rsidR="00080696">
        <w:t xml:space="preserve">a </w:t>
      </w:r>
      <w:r>
        <w:t>longer</w:t>
      </w:r>
      <w:r w:rsidR="00080696" w:rsidRPr="00080696">
        <w:t xml:space="preserve"> </w:t>
      </w:r>
      <w:r w:rsidR="00080696">
        <w:t>period of time</w:t>
      </w:r>
      <w:r>
        <w:t>. The order of deductions influences when a project will pay PRRT.</w:t>
      </w:r>
    </w:p>
    <w:p w14:paraId="38B73B43" w14:textId="1774E3D9" w:rsidR="00AA7794" w:rsidRDefault="00AE577E" w:rsidP="00AA7794">
      <w:pPr>
        <w:pStyle w:val="Heading3"/>
      </w:pPr>
      <w:bookmarkStart w:id="1321" w:name="_Toc476577295"/>
      <w:bookmarkStart w:id="1322" w:name="_Toc476582283"/>
      <w:bookmarkStart w:id="1323" w:name="_Toc476582957"/>
      <w:bookmarkStart w:id="1324" w:name="_Toc476583674"/>
      <w:bookmarkStart w:id="1325" w:name="_Toc476584122"/>
      <w:bookmarkStart w:id="1326" w:name="_Toc476738028"/>
      <w:bookmarkStart w:id="1327" w:name="_Toc476747603"/>
      <w:bookmarkStart w:id="1328" w:name="_Toc476749011"/>
      <w:bookmarkStart w:id="1329" w:name="_Toc476753879"/>
      <w:bookmarkStart w:id="1330" w:name="_Toc476754374"/>
      <w:bookmarkStart w:id="1331" w:name="_Toc476754539"/>
      <w:bookmarkStart w:id="1332" w:name="_Toc476759775"/>
      <w:bookmarkStart w:id="1333" w:name="_Toc476761397"/>
      <w:bookmarkStart w:id="1334" w:name="_Toc476767035"/>
      <w:bookmarkStart w:id="1335" w:name="_Toc476827081"/>
      <w:bookmarkStart w:id="1336" w:name="_Toc476828774"/>
      <w:bookmarkStart w:id="1337" w:name="_Toc476833648"/>
      <w:bookmarkStart w:id="1338" w:name="_Toc476837121"/>
      <w:bookmarkStart w:id="1339" w:name="_Toc476840994"/>
      <w:bookmarkStart w:id="1340" w:name="_Toc476841199"/>
      <w:bookmarkStart w:id="1341" w:name="_Toc476841958"/>
      <w:bookmarkStart w:id="1342" w:name="_Toc476842902"/>
      <w:bookmarkStart w:id="1343" w:name="_Toc476843073"/>
      <w:bookmarkStart w:id="1344" w:name="_Toc476844571"/>
      <w:bookmarkStart w:id="1345" w:name="_Toc476845464"/>
      <w:bookmarkStart w:id="1346" w:name="_Toc476926855"/>
      <w:bookmarkStart w:id="1347" w:name="_Toc476926794"/>
      <w:bookmarkStart w:id="1348" w:name="_Toc476927142"/>
      <w:bookmarkStart w:id="1349" w:name="_Toc476928406"/>
      <w:bookmarkStart w:id="1350" w:name="_Toc476929449"/>
      <w:bookmarkStart w:id="1351" w:name="_Toc476929624"/>
      <w:bookmarkStart w:id="1352" w:name="_Toc476930667"/>
      <w:bookmarkStart w:id="1353" w:name="_Toc476931474"/>
      <w:bookmarkStart w:id="1354" w:name="_Toc477869844"/>
      <w:bookmarkStart w:id="1355" w:name="_Toc477871083"/>
      <w:bookmarkStart w:id="1356" w:name="_Toc477873243"/>
      <w:bookmarkStart w:id="1357" w:name="_Toc477875237"/>
      <w:bookmarkStart w:id="1358" w:name="_Toc477880150"/>
      <w:bookmarkStart w:id="1359" w:name="_Toc477881410"/>
      <w:bookmarkStart w:id="1360" w:name="_Toc477955814"/>
      <w:bookmarkStart w:id="1361" w:name="_Toc477963059"/>
      <w:bookmarkStart w:id="1362" w:name="_Toc477963545"/>
      <w:bookmarkStart w:id="1363" w:name="_Toc477965131"/>
      <w:bookmarkStart w:id="1364" w:name="_Toc477966635"/>
      <w:bookmarkStart w:id="1365" w:name="_Toc477966804"/>
      <w:bookmarkStart w:id="1366" w:name="_Toc477967144"/>
      <w:bookmarkStart w:id="1367" w:name="_Toc478121277"/>
      <w:bookmarkStart w:id="1368" w:name="_Toc478122190"/>
      <w:bookmarkStart w:id="1369" w:name="_Toc478133190"/>
      <w:bookmarkStart w:id="1370" w:name="_Toc478132327"/>
      <w:bookmarkStart w:id="1371" w:name="_Toc478132848"/>
      <w:bookmarkStart w:id="1372" w:name="_Toc478134655"/>
      <w:bookmarkStart w:id="1373" w:name="_Toc478137358"/>
      <w:bookmarkStart w:id="1374" w:name="_Toc478138430"/>
      <w:bookmarkStart w:id="1375" w:name="_Toc478140000"/>
      <w:bookmarkStart w:id="1376" w:name="_Toc478140416"/>
      <w:bookmarkStart w:id="1377" w:name="_Toc478142622"/>
      <w:bookmarkStart w:id="1378" w:name="_Toc478566338"/>
      <w:bookmarkStart w:id="1379" w:name="_Toc478569505"/>
      <w:bookmarkStart w:id="1380" w:name="_Toc478569679"/>
      <w:bookmarkStart w:id="1381" w:name="_Toc478570753"/>
      <w:bookmarkStart w:id="1382" w:name="_Toc478632952"/>
      <w:bookmarkStart w:id="1383" w:name="_Toc478641360"/>
      <w:bookmarkStart w:id="1384" w:name="_Toc478654254"/>
      <w:bookmarkStart w:id="1385" w:name="_Toc478654428"/>
      <w:bookmarkStart w:id="1386" w:name="_Toc478657723"/>
      <w:bookmarkStart w:id="1387" w:name="_Toc478993146"/>
      <w:bookmarkStart w:id="1388" w:name="_Toc479000217"/>
      <w:bookmarkStart w:id="1389" w:name="_Toc479002151"/>
      <w:bookmarkStart w:id="1390" w:name="_Toc479002323"/>
      <w:bookmarkStart w:id="1391" w:name="_Toc479254298"/>
      <w:bookmarkStart w:id="1392" w:name="_Toc479258487"/>
      <w:bookmarkStart w:id="1393" w:name="_Toc479258803"/>
      <w:bookmarkStart w:id="1394" w:name="_Toc479259695"/>
      <w:bookmarkStart w:id="1395" w:name="_Toc479262118"/>
      <w:bookmarkStart w:id="1396" w:name="_Toc479262539"/>
      <w:bookmarkStart w:id="1397" w:name="_Toc479321240"/>
      <w:bookmarkStart w:id="1398" w:name="_Toc479326679"/>
      <w:bookmarkStart w:id="1399" w:name="_Toc479333278"/>
      <w:bookmarkStart w:id="1400" w:name="_Toc479334975"/>
      <w:bookmarkStart w:id="1401" w:name="_Toc479341690"/>
      <w:bookmarkStart w:id="1402" w:name="_Toc479345106"/>
      <w:bookmarkStart w:id="1403" w:name="_Toc479345315"/>
      <w:bookmarkStart w:id="1404" w:name="_Toc479348296"/>
      <w:bookmarkStart w:id="1405" w:name="_Toc479675890"/>
      <w:bookmarkStart w:id="1406" w:name="_Toc479690857"/>
      <w:bookmarkStart w:id="1407" w:name="_Toc479693435"/>
      <w:bookmarkStart w:id="1408" w:name="_Toc479770604"/>
      <w:r>
        <w:t xml:space="preserve">PRRT </w:t>
      </w:r>
      <w:r w:rsidR="006847AA">
        <w:t>d</w:t>
      </w:r>
      <w:r>
        <w:t xml:space="preserve">esigned for </w:t>
      </w:r>
      <w:r w:rsidR="006847AA">
        <w:t>o</w:t>
      </w:r>
      <w:r>
        <w:t xml:space="preserve">il </w:t>
      </w:r>
      <w:r w:rsidR="006847AA">
        <w:t>b</w:t>
      </w:r>
      <w:r>
        <w:t xml:space="preserve">ut </w:t>
      </w:r>
      <w:r w:rsidR="006847AA">
        <w:t>n</w:t>
      </w:r>
      <w:r>
        <w:t xml:space="preserve">ow LNG </w:t>
      </w:r>
      <w:r w:rsidR="006847AA">
        <w:t>d</w:t>
      </w:r>
      <w:r>
        <w:t>ominates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68694457" w14:textId="77777777" w:rsidR="00AA7794" w:rsidRDefault="00AA7794" w:rsidP="00AA7794">
      <w:r>
        <w:t>A number of submissions highlighted that the PRRT was designed to apply to oil projects but the Australian industry is now dominated by LNG and the PRRT is not appropriate for LNG.</w:t>
      </w:r>
    </w:p>
    <w:p w14:paraId="296FB6FE" w14:textId="7FCE0399" w:rsidR="00AA7794" w:rsidRDefault="00AA7794" w:rsidP="00AA7794">
      <w:r>
        <w:t>Compared to LNG, oil projects normally involve considerably less capital expenditure and commence production significantly sooner than gas projects. Depending on prices, an oil project can be cash positive and paying PRRT within a few years of commencing production. In contrast, an LNG project requires significantly more capital expenditure and is more complex and risky compared to an oil project. In addition, the life of a</w:t>
      </w:r>
      <w:r w:rsidR="00B46F28">
        <w:t>n</w:t>
      </w:r>
      <w:r>
        <w:t xml:space="preserve"> LNG project can span many decades. As noted, the very large capital expenditure in a</w:t>
      </w:r>
      <w:r w:rsidR="00B46F28">
        <w:t>n</w:t>
      </w:r>
      <w:r>
        <w:t xml:space="preserve"> LNG project will delay the time a project becomes cash positive and pays PRRT. However</w:t>
      </w:r>
      <w:r w:rsidR="002D0CC6">
        <w:t>,</w:t>
      </w:r>
      <w:r>
        <w:t xml:space="preserve"> the uplift rate of deductions </w:t>
      </w:r>
      <w:r w:rsidR="00080696">
        <w:t xml:space="preserve">that are </w:t>
      </w:r>
      <w:r>
        <w:t>carried forward can have a significant impact in extending when a project will pay PRRT.</w:t>
      </w:r>
      <w:r w:rsidR="005E32D3">
        <w:t xml:space="preserve"> </w:t>
      </w:r>
      <w:r w:rsidR="007C510D">
        <w:t xml:space="preserve">High uplift rates for LNG projects can see deductions </w:t>
      </w:r>
      <w:r w:rsidR="00787FA4">
        <w:t>compound over</w:t>
      </w:r>
      <w:r w:rsidR="007C510D">
        <w:t xml:space="preserve"> time </w:t>
      </w:r>
      <w:r w:rsidR="003D65C9">
        <w:t xml:space="preserve">with the </w:t>
      </w:r>
      <w:r w:rsidR="00093497">
        <w:t>result that</w:t>
      </w:r>
      <w:r w:rsidR="007C510D">
        <w:t xml:space="preserve"> the return to the community through PRRT </w:t>
      </w:r>
      <w:r w:rsidR="002A2DA3">
        <w:t>revenue</w:t>
      </w:r>
      <w:r w:rsidR="007C510D">
        <w:t xml:space="preserve"> </w:t>
      </w:r>
      <w:r w:rsidR="00976270">
        <w:t>w</w:t>
      </w:r>
      <w:r w:rsidR="00605457">
        <w:t>ill</w:t>
      </w:r>
      <w:r w:rsidR="00976270">
        <w:t xml:space="preserve"> be reduced. This compounding effect is exacerbated by arrangements for the ordering of deductions.</w:t>
      </w:r>
    </w:p>
    <w:p w14:paraId="3DCBEBA4" w14:textId="4C77327B" w:rsidR="00AA7794" w:rsidRDefault="00AE577E" w:rsidP="00AE577E">
      <w:pPr>
        <w:pStyle w:val="Heading3"/>
      </w:pPr>
      <w:bookmarkStart w:id="1409" w:name="_Toc476577296"/>
      <w:bookmarkStart w:id="1410" w:name="_Toc476582284"/>
      <w:bookmarkStart w:id="1411" w:name="_Toc476582958"/>
      <w:bookmarkStart w:id="1412" w:name="_Toc476583675"/>
      <w:bookmarkStart w:id="1413" w:name="_Toc476584123"/>
      <w:bookmarkStart w:id="1414" w:name="_Toc476738029"/>
      <w:bookmarkStart w:id="1415" w:name="_Toc476747604"/>
      <w:bookmarkStart w:id="1416" w:name="_Toc476749012"/>
      <w:bookmarkStart w:id="1417" w:name="_Toc476753880"/>
      <w:bookmarkStart w:id="1418" w:name="_Toc476754375"/>
      <w:bookmarkStart w:id="1419" w:name="_Toc476754540"/>
      <w:bookmarkStart w:id="1420" w:name="_Toc476759776"/>
      <w:bookmarkStart w:id="1421" w:name="_Toc476761398"/>
      <w:bookmarkStart w:id="1422" w:name="_Toc476767036"/>
      <w:bookmarkStart w:id="1423" w:name="_Toc476827082"/>
      <w:bookmarkStart w:id="1424" w:name="_Toc476828775"/>
      <w:bookmarkStart w:id="1425" w:name="_Toc476833649"/>
      <w:bookmarkStart w:id="1426" w:name="_Toc476837122"/>
      <w:bookmarkStart w:id="1427" w:name="_Toc476840995"/>
      <w:bookmarkStart w:id="1428" w:name="_Toc476841200"/>
      <w:bookmarkStart w:id="1429" w:name="_Toc476841959"/>
      <w:bookmarkStart w:id="1430" w:name="_Toc476842903"/>
      <w:bookmarkStart w:id="1431" w:name="_Toc476843074"/>
      <w:bookmarkStart w:id="1432" w:name="_Toc476844572"/>
      <w:bookmarkStart w:id="1433" w:name="_Toc476845465"/>
      <w:bookmarkStart w:id="1434" w:name="_Toc476926856"/>
      <w:bookmarkStart w:id="1435" w:name="_Toc476926795"/>
      <w:bookmarkStart w:id="1436" w:name="_Toc476927143"/>
      <w:bookmarkStart w:id="1437" w:name="_Toc476928407"/>
      <w:bookmarkStart w:id="1438" w:name="_Toc476929450"/>
      <w:bookmarkStart w:id="1439" w:name="_Toc476929625"/>
      <w:bookmarkStart w:id="1440" w:name="_Toc476930668"/>
      <w:bookmarkStart w:id="1441" w:name="_Toc476931475"/>
      <w:bookmarkStart w:id="1442" w:name="_Toc477869845"/>
      <w:bookmarkStart w:id="1443" w:name="_Toc477871084"/>
      <w:bookmarkStart w:id="1444" w:name="_Toc477873244"/>
      <w:bookmarkStart w:id="1445" w:name="_Toc477875238"/>
      <w:bookmarkStart w:id="1446" w:name="_Toc477880151"/>
      <w:bookmarkStart w:id="1447" w:name="_Toc477881411"/>
      <w:bookmarkStart w:id="1448" w:name="_Toc477955815"/>
      <w:bookmarkStart w:id="1449" w:name="_Toc477963060"/>
      <w:bookmarkStart w:id="1450" w:name="_Toc477963546"/>
      <w:bookmarkStart w:id="1451" w:name="_Toc477965132"/>
      <w:bookmarkStart w:id="1452" w:name="_Toc477966636"/>
      <w:bookmarkStart w:id="1453" w:name="_Toc477966805"/>
      <w:bookmarkStart w:id="1454" w:name="_Toc477967145"/>
      <w:bookmarkStart w:id="1455" w:name="_Toc478121278"/>
      <w:bookmarkStart w:id="1456" w:name="_Toc478122191"/>
      <w:bookmarkStart w:id="1457" w:name="_Toc478133191"/>
      <w:bookmarkStart w:id="1458" w:name="_Toc478132328"/>
      <w:bookmarkStart w:id="1459" w:name="_Toc478132849"/>
      <w:bookmarkStart w:id="1460" w:name="_Toc478134656"/>
      <w:bookmarkStart w:id="1461" w:name="_Toc478137359"/>
      <w:bookmarkStart w:id="1462" w:name="_Toc478138431"/>
      <w:bookmarkStart w:id="1463" w:name="_Toc478140001"/>
      <w:bookmarkStart w:id="1464" w:name="_Toc478140417"/>
      <w:bookmarkStart w:id="1465" w:name="_Toc478142623"/>
      <w:bookmarkStart w:id="1466" w:name="_Toc478566339"/>
      <w:bookmarkStart w:id="1467" w:name="_Toc478569506"/>
      <w:bookmarkStart w:id="1468" w:name="_Toc478569680"/>
      <w:bookmarkStart w:id="1469" w:name="_Toc478570754"/>
      <w:bookmarkStart w:id="1470" w:name="_Toc478632953"/>
      <w:bookmarkStart w:id="1471" w:name="_Toc478641361"/>
      <w:bookmarkStart w:id="1472" w:name="_Toc478654255"/>
      <w:bookmarkStart w:id="1473" w:name="_Toc478654429"/>
      <w:bookmarkStart w:id="1474" w:name="_Toc478657724"/>
      <w:bookmarkStart w:id="1475" w:name="_Toc478993147"/>
      <w:bookmarkStart w:id="1476" w:name="_Toc479000218"/>
      <w:bookmarkStart w:id="1477" w:name="_Toc479002152"/>
      <w:bookmarkStart w:id="1478" w:name="_Toc479002324"/>
      <w:bookmarkStart w:id="1479" w:name="_Toc479254299"/>
      <w:bookmarkStart w:id="1480" w:name="_Toc479258488"/>
      <w:bookmarkStart w:id="1481" w:name="_Toc479258804"/>
      <w:bookmarkStart w:id="1482" w:name="_Toc479259696"/>
      <w:bookmarkStart w:id="1483" w:name="_Toc479262119"/>
      <w:bookmarkStart w:id="1484" w:name="_Toc479262540"/>
      <w:bookmarkStart w:id="1485" w:name="_Toc479321241"/>
      <w:bookmarkStart w:id="1486" w:name="_Toc479326680"/>
      <w:bookmarkStart w:id="1487" w:name="_Toc479333279"/>
      <w:bookmarkStart w:id="1488" w:name="_Toc479334976"/>
      <w:bookmarkStart w:id="1489" w:name="_Toc479341691"/>
      <w:bookmarkStart w:id="1490" w:name="_Toc479345107"/>
      <w:bookmarkStart w:id="1491" w:name="_Toc479345316"/>
      <w:bookmarkStart w:id="1492" w:name="_Toc479348297"/>
      <w:bookmarkStart w:id="1493" w:name="_Toc479675891"/>
      <w:bookmarkStart w:id="1494" w:name="_Toc479690858"/>
      <w:bookmarkStart w:id="1495" w:name="_Toc479693436"/>
      <w:bookmarkStart w:id="1496" w:name="_Toc479770605"/>
      <w:r>
        <w:t>Gas Transfer Pricing</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531BC35A" w14:textId="75EED838" w:rsidR="00AA7794" w:rsidRDefault="00AA7794" w:rsidP="00AA7794">
      <w:r>
        <w:t>The prevalence of LNG projects has posed a number of challenges</w:t>
      </w:r>
      <w:r w:rsidR="00976270">
        <w:t xml:space="preserve"> for the PRRT regime</w:t>
      </w:r>
      <w:r>
        <w:t xml:space="preserve">. The PRRT is applied to the gas that is used to make LNG but not on the final product. In an integrated LNG project, there is </w:t>
      </w:r>
      <w:r w:rsidR="00642FED">
        <w:t xml:space="preserve">usually </w:t>
      </w:r>
      <w:r>
        <w:t>no observable arm</w:t>
      </w:r>
      <w:r w:rsidR="005D6F39">
        <w:t>’</w:t>
      </w:r>
      <w:r>
        <w:t xml:space="preserve">s length price </w:t>
      </w:r>
      <w:r w:rsidDel="00B46F28">
        <w:t>from</w:t>
      </w:r>
      <w:r>
        <w:t xml:space="preserve"> the </w:t>
      </w:r>
      <w:r w:rsidR="005D6F39">
        <w:t>‘</w:t>
      </w:r>
      <w:r>
        <w:t>upstream</w:t>
      </w:r>
      <w:r w:rsidR="005D6F39">
        <w:t>’</w:t>
      </w:r>
      <w:r>
        <w:t xml:space="preserve"> (the extraction of the gas) to the </w:t>
      </w:r>
      <w:r w:rsidR="005D6F39">
        <w:t>‘</w:t>
      </w:r>
      <w:r>
        <w:t>downstream</w:t>
      </w:r>
      <w:r w:rsidR="005D6F39">
        <w:t>’</w:t>
      </w:r>
      <w:r>
        <w:t xml:space="preserve"> (it</w:t>
      </w:r>
      <w:r w:rsidR="005D6F39">
        <w:t>’</w:t>
      </w:r>
      <w:r>
        <w:t>s liquefaction)</w:t>
      </w:r>
      <w:r w:rsidDel="00B46F28">
        <w:t xml:space="preserve"> which will serve as a taxing point for the application of PRRT</w:t>
      </w:r>
      <w:r>
        <w:t xml:space="preserve">. Transfer pricing arrangements were developed and involve three approaches: an advance pricing arrangement </w:t>
      </w:r>
      <w:r w:rsidR="00B30C81">
        <w:t>(APA)</w:t>
      </w:r>
      <w:r>
        <w:t xml:space="preserve"> between the taxpayer and the ATO; a comparable uncontrolled </w:t>
      </w:r>
      <w:r w:rsidDel="00787FA4">
        <w:t>price</w:t>
      </w:r>
      <w:r w:rsidR="00787FA4">
        <w:t xml:space="preserve"> (</w:t>
      </w:r>
      <w:r w:rsidR="00280984">
        <w:t>CUP)</w:t>
      </w:r>
      <w:r>
        <w:t>; and the residual pricing method (RPM) which involves a series of formulas to calculate the gas transfer price. The RPM involves 1</w:t>
      </w:r>
      <w:r w:rsidR="00552B38">
        <w:t>4</w:t>
      </w:r>
      <w:r>
        <w:t xml:space="preserve"> detailed steps and complex record keeping of costs and allocations on a phase</w:t>
      </w:r>
      <w:r w:rsidR="005D6F39">
        <w:noBreakHyphen/>
      </w:r>
      <w:r>
        <w:t>by</w:t>
      </w:r>
      <w:r w:rsidR="005D6F39">
        <w:noBreakHyphen/>
      </w:r>
      <w:r>
        <w:t>phase basis within each upstream and downstream component.</w:t>
      </w:r>
    </w:p>
    <w:p w14:paraId="2B8454AB" w14:textId="103E3A48" w:rsidR="00280984" w:rsidRDefault="00AA7794" w:rsidP="00AA7794">
      <w:r>
        <w:t xml:space="preserve">Some submissions criticised the gas transfer pricing </w:t>
      </w:r>
      <w:r w:rsidR="00F2694F">
        <w:t>(GTP)</w:t>
      </w:r>
      <w:r>
        <w:t xml:space="preserve"> arrangements, particularly the RPM, as being flawed, lacking transparency and recommended that alternative approaches be pursued in order to obtain a </w:t>
      </w:r>
      <w:r w:rsidR="005D6F39">
        <w:t>‘</w:t>
      </w:r>
      <w:r>
        <w:t>fairer</w:t>
      </w:r>
      <w:r w:rsidR="005D6F39">
        <w:t>’</w:t>
      </w:r>
      <w:r>
        <w:t xml:space="preserve"> price. Among the options raised included only using the </w:t>
      </w:r>
      <w:r w:rsidR="005D6F39">
        <w:t>‘</w:t>
      </w:r>
      <w:r w:rsidR="00552B38">
        <w:t>netback</w:t>
      </w:r>
      <w:r w:rsidR="005D6F39">
        <w:t>’</w:t>
      </w:r>
      <w:r>
        <w:t xml:space="preserve"> step in the RPM calculation or applying the PRRT on LNG which would mean that the PRRT was going beyond taxing the extraction of the resources and would include taxing the value added from subsequent </w:t>
      </w:r>
      <w:r w:rsidR="00B46F28">
        <w:t xml:space="preserve">processing </w:t>
      </w:r>
      <w:r>
        <w:t xml:space="preserve">of the gas. Industry argued that the </w:t>
      </w:r>
      <w:r w:rsidR="00F2694F">
        <w:t>GTP</w:t>
      </w:r>
      <w:r>
        <w:t xml:space="preserve"> arrangements were appropriate and were the outcome of detailed consultations between the industry and the </w:t>
      </w:r>
      <w:r w:rsidR="00552B38">
        <w:t>G</w:t>
      </w:r>
      <w:r>
        <w:t xml:space="preserve">overnment. In particular industry argued that the approach in the RPM which split the residual profit </w:t>
      </w:r>
      <w:r w:rsidR="00B46F28">
        <w:t xml:space="preserve">(or rent) </w:t>
      </w:r>
      <w:r>
        <w:t>in an integrated LNG plant equally between the upstream and downstream operations was appropriate because it recognised the symbiotic relationship that each has with the other.</w:t>
      </w:r>
    </w:p>
    <w:p w14:paraId="181FFF1E" w14:textId="70A0D474" w:rsidR="00AA7794" w:rsidRDefault="00AE577E" w:rsidP="00AE577E">
      <w:pPr>
        <w:pStyle w:val="Heading3"/>
      </w:pPr>
      <w:bookmarkStart w:id="1497" w:name="_Toc476577297"/>
      <w:bookmarkStart w:id="1498" w:name="_Toc476582285"/>
      <w:bookmarkStart w:id="1499" w:name="_Toc476582959"/>
      <w:bookmarkStart w:id="1500" w:name="_Toc476583676"/>
      <w:bookmarkStart w:id="1501" w:name="_Toc476584124"/>
      <w:bookmarkStart w:id="1502" w:name="_Toc476738030"/>
      <w:bookmarkStart w:id="1503" w:name="_Toc476747605"/>
      <w:bookmarkStart w:id="1504" w:name="_Toc476749013"/>
      <w:bookmarkStart w:id="1505" w:name="_Toc476753881"/>
      <w:bookmarkStart w:id="1506" w:name="_Toc476754376"/>
      <w:bookmarkStart w:id="1507" w:name="_Toc476754541"/>
      <w:bookmarkStart w:id="1508" w:name="_Toc476759777"/>
      <w:bookmarkStart w:id="1509" w:name="_Toc476761399"/>
      <w:bookmarkStart w:id="1510" w:name="_Toc476767037"/>
      <w:bookmarkStart w:id="1511" w:name="_Toc476827083"/>
      <w:bookmarkStart w:id="1512" w:name="_Toc476828776"/>
      <w:bookmarkStart w:id="1513" w:name="_Toc476833650"/>
      <w:bookmarkStart w:id="1514" w:name="_Toc476837123"/>
      <w:bookmarkStart w:id="1515" w:name="_Toc476840996"/>
      <w:bookmarkStart w:id="1516" w:name="_Toc476841201"/>
      <w:bookmarkStart w:id="1517" w:name="_Toc476841960"/>
      <w:bookmarkStart w:id="1518" w:name="_Toc476842904"/>
      <w:bookmarkStart w:id="1519" w:name="_Toc476843075"/>
      <w:bookmarkStart w:id="1520" w:name="_Toc476844573"/>
      <w:bookmarkStart w:id="1521" w:name="_Toc476845466"/>
      <w:bookmarkStart w:id="1522" w:name="_Toc476926857"/>
      <w:bookmarkStart w:id="1523" w:name="_Toc476926796"/>
      <w:bookmarkStart w:id="1524" w:name="_Toc476927144"/>
      <w:bookmarkStart w:id="1525" w:name="_Toc476928408"/>
      <w:bookmarkStart w:id="1526" w:name="_Toc476929451"/>
      <w:bookmarkStart w:id="1527" w:name="_Toc476929626"/>
      <w:bookmarkStart w:id="1528" w:name="_Toc476930669"/>
      <w:bookmarkStart w:id="1529" w:name="_Toc476931476"/>
      <w:bookmarkStart w:id="1530" w:name="_Toc477869846"/>
      <w:bookmarkStart w:id="1531" w:name="_Toc477871085"/>
      <w:bookmarkStart w:id="1532" w:name="_Toc477873245"/>
      <w:bookmarkStart w:id="1533" w:name="_Toc477875239"/>
      <w:bookmarkStart w:id="1534" w:name="_Toc477880152"/>
      <w:bookmarkStart w:id="1535" w:name="_Toc477881412"/>
      <w:bookmarkStart w:id="1536" w:name="_Toc477955816"/>
      <w:bookmarkStart w:id="1537" w:name="_Toc477963061"/>
      <w:bookmarkStart w:id="1538" w:name="_Toc477963547"/>
      <w:bookmarkStart w:id="1539" w:name="_Toc477965133"/>
      <w:bookmarkStart w:id="1540" w:name="_Toc477966637"/>
      <w:bookmarkStart w:id="1541" w:name="_Toc477966806"/>
      <w:bookmarkStart w:id="1542" w:name="_Toc477967146"/>
      <w:bookmarkStart w:id="1543" w:name="_Toc478121279"/>
      <w:bookmarkStart w:id="1544" w:name="_Toc478122192"/>
      <w:bookmarkStart w:id="1545" w:name="_Toc478133192"/>
      <w:bookmarkStart w:id="1546" w:name="_Toc478132329"/>
      <w:bookmarkStart w:id="1547" w:name="_Toc478132850"/>
      <w:bookmarkStart w:id="1548" w:name="_Toc478134657"/>
      <w:bookmarkStart w:id="1549" w:name="_Toc478137360"/>
      <w:bookmarkStart w:id="1550" w:name="_Toc478138432"/>
      <w:bookmarkStart w:id="1551" w:name="_Toc478140002"/>
      <w:bookmarkStart w:id="1552" w:name="_Toc478140418"/>
      <w:bookmarkStart w:id="1553" w:name="_Toc478142624"/>
      <w:bookmarkStart w:id="1554" w:name="_Toc478566340"/>
      <w:bookmarkStart w:id="1555" w:name="_Toc478569507"/>
      <w:bookmarkStart w:id="1556" w:name="_Toc478569681"/>
      <w:bookmarkStart w:id="1557" w:name="_Toc478570755"/>
      <w:bookmarkStart w:id="1558" w:name="_Toc478632954"/>
      <w:bookmarkStart w:id="1559" w:name="_Toc478641362"/>
      <w:bookmarkStart w:id="1560" w:name="_Toc478654256"/>
      <w:bookmarkStart w:id="1561" w:name="_Toc478654430"/>
      <w:bookmarkStart w:id="1562" w:name="_Toc478657725"/>
      <w:bookmarkStart w:id="1563" w:name="_Toc478993148"/>
      <w:bookmarkStart w:id="1564" w:name="_Toc479000219"/>
      <w:bookmarkStart w:id="1565" w:name="_Toc479002153"/>
      <w:bookmarkStart w:id="1566" w:name="_Toc479002325"/>
      <w:bookmarkStart w:id="1567" w:name="_Toc479254300"/>
      <w:bookmarkStart w:id="1568" w:name="_Toc479258489"/>
      <w:bookmarkStart w:id="1569" w:name="_Toc479258805"/>
      <w:bookmarkStart w:id="1570" w:name="_Toc479259697"/>
      <w:bookmarkStart w:id="1571" w:name="_Toc479262120"/>
      <w:bookmarkStart w:id="1572" w:name="_Toc479262541"/>
      <w:bookmarkStart w:id="1573" w:name="_Toc479321242"/>
      <w:bookmarkStart w:id="1574" w:name="_Toc479326681"/>
      <w:bookmarkStart w:id="1575" w:name="_Toc479333280"/>
      <w:bookmarkStart w:id="1576" w:name="_Toc479334977"/>
      <w:bookmarkStart w:id="1577" w:name="_Toc479341692"/>
      <w:bookmarkStart w:id="1578" w:name="_Toc479345108"/>
      <w:bookmarkStart w:id="1579" w:name="_Toc479345317"/>
      <w:bookmarkStart w:id="1580" w:name="_Toc479348298"/>
      <w:bookmarkStart w:id="1581" w:name="_Toc479675892"/>
      <w:bookmarkStart w:id="1582" w:name="_Toc479690859"/>
      <w:bookmarkStart w:id="1583" w:name="_Toc479693437"/>
      <w:bookmarkStart w:id="1584" w:name="_Toc479770606"/>
      <w:r>
        <w:t>Starting Base</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63DF43F8" w14:textId="4643DBD4" w:rsidR="00280984" w:rsidRDefault="008F516C" w:rsidP="00C0497C">
      <w:bookmarkStart w:id="1585" w:name="_Toc478134658"/>
      <w:r>
        <w:t xml:space="preserve">A key feature of the extension of the PRRT to onshore projects and the </w:t>
      </w:r>
      <w:r w:rsidR="00787FA4" w:rsidRPr="004D6DE7">
        <w:t>North</w:t>
      </w:r>
      <w:r w:rsidRPr="004D6DE7">
        <w:t xml:space="preserve"> West Shelf </w:t>
      </w:r>
      <w:r w:rsidR="003B5C26">
        <w:t xml:space="preserve">(NWS) </w:t>
      </w:r>
      <w:r w:rsidR="00EF2FF0">
        <w:t>p</w:t>
      </w:r>
      <w:r w:rsidR="00D27775" w:rsidRPr="004D6DE7">
        <w:t>roject</w:t>
      </w:r>
      <w:r w:rsidRPr="004D6DE7">
        <w:t xml:space="preserve"> in 2012 was that transitioning projects were provided with a starting base amount that is </w:t>
      </w:r>
      <w:r w:rsidR="00130BA1" w:rsidRPr="004D6DE7">
        <w:t>carried forward</w:t>
      </w:r>
      <w:r w:rsidR="00130BA1">
        <w:t xml:space="preserve"> and </w:t>
      </w:r>
      <w:r w:rsidR="00EF2FF0">
        <w:t>uplifted</w:t>
      </w:r>
      <w:r w:rsidR="00EF2FF0" w:rsidRPr="004D6DE7">
        <w:t xml:space="preserve"> </w:t>
      </w:r>
      <w:r w:rsidRPr="004D6DE7">
        <w:t xml:space="preserve">at LTBR plus 5 percentage points </w:t>
      </w:r>
      <w:r w:rsidR="00691788">
        <w:t xml:space="preserve">until it </w:t>
      </w:r>
      <w:r w:rsidR="00130BA1">
        <w:t xml:space="preserve">is applied against the assessable receipts of the </w:t>
      </w:r>
      <w:r w:rsidR="00691788">
        <w:t>project</w:t>
      </w:r>
      <w:r w:rsidRPr="004D6DE7">
        <w:t>. These projects have very large starting bases mainly because most used the market value approach</w:t>
      </w:r>
      <w:r w:rsidR="006C0903" w:rsidRPr="004D6DE7">
        <w:t>, including the value of the resource,</w:t>
      </w:r>
      <w:r w:rsidRPr="004D6DE7">
        <w:t xml:space="preserve"> to determine the</w:t>
      </w:r>
      <w:r w:rsidR="00130BA1">
        <w:t>ir</w:t>
      </w:r>
      <w:r w:rsidRPr="004D6DE7">
        <w:t xml:space="preserve"> starting base and the valuation was done when oil prices were relatively high. The </w:t>
      </w:r>
      <w:r w:rsidR="00AC78A8" w:rsidRPr="004D6DE7">
        <w:t>starting base effectively acts as a tax shield and means these projects w</w:t>
      </w:r>
      <w:r w:rsidR="002C707A">
        <w:t xml:space="preserve">ill </w:t>
      </w:r>
      <w:r w:rsidR="00AC78A8" w:rsidRPr="004D6DE7">
        <w:t xml:space="preserve">only pay PRRT at very high oil prices. </w:t>
      </w:r>
      <w:r w:rsidR="00130BA1">
        <w:t>However, t</w:t>
      </w:r>
      <w:r w:rsidR="00AC78A8" w:rsidRPr="004D6DE7">
        <w:t xml:space="preserve">hey do pay state royalties and excise, which is </w:t>
      </w:r>
      <w:r w:rsidR="00EF2FF0">
        <w:t>credited</w:t>
      </w:r>
      <w:r w:rsidR="00EF2FF0" w:rsidRPr="004D6DE7">
        <w:t xml:space="preserve"> </w:t>
      </w:r>
      <w:r w:rsidR="00AC78A8" w:rsidRPr="004D6DE7">
        <w:t>against PRRT, and this will be their main form of resource taxation.</w:t>
      </w:r>
      <w:bookmarkStart w:id="1586" w:name="_Toc478133193"/>
      <w:bookmarkEnd w:id="1585"/>
    </w:p>
    <w:p w14:paraId="2FFE591B" w14:textId="34552C95" w:rsidR="004D6DE7" w:rsidRPr="004D6DE7" w:rsidDel="00B34A04" w:rsidRDefault="004D6DE7" w:rsidP="00C0497C">
      <w:r>
        <w:t xml:space="preserve">The extension of PRRT to onshore projects has also meant that these projects can transfer exploration expenditure to other </w:t>
      </w:r>
      <w:r w:rsidR="001C0E2F">
        <w:t xml:space="preserve">PRRT paying </w:t>
      </w:r>
      <w:r>
        <w:t xml:space="preserve">projects within </w:t>
      </w:r>
      <w:r w:rsidR="00130BA1">
        <w:t xml:space="preserve">a wholly owned group of </w:t>
      </w:r>
      <w:r>
        <w:t>compan</w:t>
      </w:r>
      <w:r w:rsidR="00130BA1">
        <w:t xml:space="preserve">ies, which </w:t>
      </w:r>
      <w:r>
        <w:t>is likely to have lowered PRRT revenue since 2012.</w:t>
      </w:r>
    </w:p>
    <w:p w14:paraId="1B9B2863" w14:textId="4D22B28B" w:rsidR="00AA7794" w:rsidRDefault="00AE577E" w:rsidP="00DE31DB">
      <w:pPr>
        <w:pStyle w:val="Heading3"/>
      </w:pPr>
      <w:bookmarkStart w:id="1587" w:name="_Toc476577298"/>
      <w:bookmarkStart w:id="1588" w:name="_Toc476582286"/>
      <w:bookmarkStart w:id="1589" w:name="_Toc476582960"/>
      <w:bookmarkStart w:id="1590" w:name="_Toc476583677"/>
      <w:bookmarkStart w:id="1591" w:name="_Toc476584125"/>
      <w:bookmarkStart w:id="1592" w:name="_Toc476738031"/>
      <w:bookmarkStart w:id="1593" w:name="_Toc476747606"/>
      <w:bookmarkStart w:id="1594" w:name="_Toc476749014"/>
      <w:bookmarkStart w:id="1595" w:name="_Toc476753882"/>
      <w:bookmarkStart w:id="1596" w:name="_Toc476754377"/>
      <w:bookmarkStart w:id="1597" w:name="_Toc476754542"/>
      <w:bookmarkStart w:id="1598" w:name="_Toc476759778"/>
      <w:bookmarkStart w:id="1599" w:name="_Toc476761400"/>
      <w:bookmarkStart w:id="1600" w:name="_Toc476767038"/>
      <w:bookmarkStart w:id="1601" w:name="_Toc476827084"/>
      <w:bookmarkStart w:id="1602" w:name="_Toc476828777"/>
      <w:bookmarkStart w:id="1603" w:name="_Toc476833651"/>
      <w:bookmarkStart w:id="1604" w:name="_Toc476837124"/>
      <w:bookmarkStart w:id="1605" w:name="_Toc476840997"/>
      <w:bookmarkStart w:id="1606" w:name="_Toc476841202"/>
      <w:bookmarkStart w:id="1607" w:name="_Toc476841961"/>
      <w:bookmarkStart w:id="1608" w:name="_Toc476842905"/>
      <w:bookmarkStart w:id="1609" w:name="_Toc476843076"/>
      <w:bookmarkStart w:id="1610" w:name="_Toc476844574"/>
      <w:bookmarkStart w:id="1611" w:name="_Toc476845467"/>
      <w:bookmarkStart w:id="1612" w:name="_Toc476926858"/>
      <w:bookmarkStart w:id="1613" w:name="_Toc476926797"/>
      <w:bookmarkStart w:id="1614" w:name="_Toc476927145"/>
      <w:bookmarkStart w:id="1615" w:name="_Toc476928409"/>
      <w:bookmarkStart w:id="1616" w:name="_Toc476929452"/>
      <w:bookmarkStart w:id="1617" w:name="_Toc476929627"/>
      <w:bookmarkStart w:id="1618" w:name="_Toc476930670"/>
      <w:bookmarkStart w:id="1619" w:name="_Toc476931477"/>
      <w:bookmarkStart w:id="1620" w:name="_Toc477869847"/>
      <w:bookmarkStart w:id="1621" w:name="_Toc477871086"/>
      <w:bookmarkStart w:id="1622" w:name="_Toc478121280"/>
      <w:bookmarkStart w:id="1623" w:name="_Toc478122193"/>
      <w:bookmarkStart w:id="1624" w:name="_Toc478132330"/>
      <w:bookmarkStart w:id="1625" w:name="_Toc478132851"/>
      <w:bookmarkStart w:id="1626" w:name="_Toc478134659"/>
      <w:bookmarkStart w:id="1627" w:name="_Toc478137361"/>
      <w:bookmarkStart w:id="1628" w:name="_Toc478138433"/>
      <w:bookmarkStart w:id="1629" w:name="_Toc478140003"/>
      <w:bookmarkStart w:id="1630" w:name="_Toc478140419"/>
      <w:bookmarkStart w:id="1631" w:name="_Toc478142625"/>
      <w:bookmarkStart w:id="1632" w:name="_Toc478566341"/>
      <w:bookmarkStart w:id="1633" w:name="_Toc478569508"/>
      <w:bookmarkStart w:id="1634" w:name="_Toc478569682"/>
      <w:bookmarkStart w:id="1635" w:name="_Toc478570756"/>
      <w:bookmarkStart w:id="1636" w:name="_Toc478632955"/>
      <w:bookmarkStart w:id="1637" w:name="_Toc478641363"/>
      <w:bookmarkStart w:id="1638" w:name="_Toc478654257"/>
      <w:bookmarkStart w:id="1639" w:name="_Toc478654431"/>
      <w:bookmarkStart w:id="1640" w:name="_Toc478657726"/>
      <w:bookmarkStart w:id="1641" w:name="_Toc478993149"/>
      <w:bookmarkStart w:id="1642" w:name="_Toc479000220"/>
      <w:bookmarkStart w:id="1643" w:name="_Toc479002154"/>
      <w:bookmarkStart w:id="1644" w:name="_Toc479002326"/>
      <w:bookmarkStart w:id="1645" w:name="_Toc479254301"/>
      <w:bookmarkStart w:id="1646" w:name="_Toc479258490"/>
      <w:bookmarkStart w:id="1647" w:name="_Toc479258806"/>
      <w:bookmarkStart w:id="1648" w:name="_Toc479259698"/>
      <w:bookmarkStart w:id="1649" w:name="_Toc479262121"/>
      <w:bookmarkStart w:id="1650" w:name="_Toc479262542"/>
      <w:bookmarkStart w:id="1651" w:name="_Toc479321243"/>
      <w:bookmarkStart w:id="1652" w:name="_Toc479326682"/>
      <w:bookmarkStart w:id="1653" w:name="_Toc479333281"/>
      <w:bookmarkStart w:id="1654" w:name="_Toc479334978"/>
      <w:bookmarkStart w:id="1655" w:name="_Toc479341693"/>
      <w:bookmarkStart w:id="1656" w:name="_Toc479345109"/>
      <w:bookmarkStart w:id="1657" w:name="_Toc479345318"/>
      <w:bookmarkStart w:id="1658" w:name="_Toc479348299"/>
      <w:bookmarkStart w:id="1659" w:name="_Toc479675893"/>
      <w:bookmarkStart w:id="1660" w:name="_Toc479690860"/>
      <w:bookmarkStart w:id="1661" w:name="_Toc479693438"/>
      <w:bookmarkStart w:id="1662" w:name="_Toc479770607"/>
      <w:bookmarkEnd w:id="1586"/>
      <w:r>
        <w:t xml:space="preserve">Closing </w:t>
      </w:r>
      <w:r w:rsidR="006847AA">
        <w:t>d</w:t>
      </w:r>
      <w:r>
        <w:t xml:space="preserve">own </w:t>
      </w:r>
      <w:r w:rsidR="006847AA">
        <w:t>a</w:t>
      </w:r>
      <w:r>
        <w:t>rrangements</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2A691C02" w14:textId="435FB6F6" w:rsidR="00AA7794" w:rsidRDefault="00A01518" w:rsidP="00AA7794">
      <w:r>
        <w:t xml:space="preserve">Within the next </w:t>
      </w:r>
      <w:r w:rsidR="00787FA4">
        <w:t>decade,</w:t>
      </w:r>
      <w:r>
        <w:t xml:space="preserve"> a number of offshore projects in Australia will be decommissioned. Under the PRRT, </w:t>
      </w:r>
      <w:r w:rsidR="00EF2FF0">
        <w:t>eligible</w:t>
      </w:r>
      <w:r>
        <w:t xml:space="preserve"> closing down expenditure is a deduction in the year it is incurred and if there are not sufficient receipts, a tax credit of 40 per</w:t>
      </w:r>
      <w:r w:rsidR="003B5C26">
        <w:t xml:space="preserve"> </w:t>
      </w:r>
      <w:r>
        <w:t>cent of the non</w:t>
      </w:r>
      <w:r w:rsidR="005D6F39">
        <w:noBreakHyphen/>
      </w:r>
      <w:r>
        <w:t xml:space="preserve">deducted expenditure is provided to the extent a project </w:t>
      </w:r>
      <w:r w:rsidR="00A11363">
        <w:t>has previously paid</w:t>
      </w:r>
      <w:r>
        <w:t xml:space="preserve"> PRRT. While some submissions raised concerns about giving a credit for closing down expenditure, it is consistent with the resource rent nature of the PRRT which recognises all project costs. Closing down expenditure is a project cost just as exploration and development are project costs. A credit is provided because the expenditure normally takes place at the end of a project</w:t>
      </w:r>
      <w:r w:rsidR="005D6F39">
        <w:t>’</w:t>
      </w:r>
      <w:r>
        <w:t xml:space="preserve">s life when there are little </w:t>
      </w:r>
      <w:r w:rsidR="00787FA4">
        <w:t>receipts.</w:t>
      </w:r>
    </w:p>
    <w:p w14:paraId="5A36483D" w14:textId="56FBBB17" w:rsidR="00A01518" w:rsidRDefault="00A01518" w:rsidP="00AA7794">
      <w:r>
        <w:t>Industry did raise concerns that the existing closing down arrangements did not recognise partial closing down situations.</w:t>
      </w:r>
    </w:p>
    <w:p w14:paraId="294AFE2F" w14:textId="056B4EBB" w:rsidR="00AA7794" w:rsidRDefault="00AE577E" w:rsidP="00C57BE3">
      <w:pPr>
        <w:pStyle w:val="Heading3"/>
      </w:pPr>
      <w:bookmarkStart w:id="1663" w:name="_Toc476577299"/>
      <w:bookmarkStart w:id="1664" w:name="_Toc476582287"/>
      <w:bookmarkStart w:id="1665" w:name="_Toc476582961"/>
      <w:bookmarkStart w:id="1666" w:name="_Toc476583678"/>
      <w:bookmarkStart w:id="1667" w:name="_Toc476584126"/>
      <w:bookmarkStart w:id="1668" w:name="_Toc476738032"/>
      <w:bookmarkStart w:id="1669" w:name="_Toc476747607"/>
      <w:bookmarkStart w:id="1670" w:name="_Toc476749015"/>
      <w:bookmarkStart w:id="1671" w:name="_Toc476753883"/>
      <w:bookmarkStart w:id="1672" w:name="_Toc476754378"/>
      <w:bookmarkStart w:id="1673" w:name="_Toc476754543"/>
      <w:bookmarkStart w:id="1674" w:name="_Toc476759779"/>
      <w:bookmarkStart w:id="1675" w:name="_Toc476761401"/>
      <w:bookmarkStart w:id="1676" w:name="_Toc476767039"/>
      <w:bookmarkStart w:id="1677" w:name="_Toc476827085"/>
      <w:bookmarkStart w:id="1678" w:name="_Toc476828778"/>
      <w:bookmarkStart w:id="1679" w:name="_Toc476833652"/>
      <w:bookmarkStart w:id="1680" w:name="_Toc476837125"/>
      <w:bookmarkStart w:id="1681" w:name="_Toc476840998"/>
      <w:bookmarkStart w:id="1682" w:name="_Toc476841203"/>
      <w:bookmarkStart w:id="1683" w:name="_Toc476841962"/>
      <w:bookmarkStart w:id="1684" w:name="_Toc476842906"/>
      <w:bookmarkStart w:id="1685" w:name="_Toc476843077"/>
      <w:bookmarkStart w:id="1686" w:name="_Toc476844575"/>
      <w:bookmarkStart w:id="1687" w:name="_Toc476845468"/>
      <w:bookmarkStart w:id="1688" w:name="_Toc476926859"/>
      <w:bookmarkStart w:id="1689" w:name="_Toc476926798"/>
      <w:bookmarkStart w:id="1690" w:name="_Toc476927146"/>
      <w:bookmarkStart w:id="1691" w:name="_Toc476928410"/>
      <w:bookmarkStart w:id="1692" w:name="_Toc476929453"/>
      <w:bookmarkStart w:id="1693" w:name="_Toc476929628"/>
      <w:bookmarkStart w:id="1694" w:name="_Toc476930671"/>
      <w:bookmarkStart w:id="1695" w:name="_Toc476931478"/>
      <w:bookmarkStart w:id="1696" w:name="_Toc477869848"/>
      <w:bookmarkStart w:id="1697" w:name="_Toc477871087"/>
      <w:bookmarkStart w:id="1698" w:name="_Toc477873246"/>
      <w:bookmarkStart w:id="1699" w:name="_Toc477875240"/>
      <w:bookmarkStart w:id="1700" w:name="_Toc477880153"/>
      <w:bookmarkStart w:id="1701" w:name="_Toc477881413"/>
      <w:bookmarkStart w:id="1702" w:name="_Toc477955817"/>
      <w:bookmarkStart w:id="1703" w:name="_Toc477963062"/>
      <w:bookmarkStart w:id="1704" w:name="_Toc477963548"/>
      <w:bookmarkStart w:id="1705" w:name="_Toc477965134"/>
      <w:bookmarkStart w:id="1706" w:name="_Toc477966638"/>
      <w:bookmarkStart w:id="1707" w:name="_Toc477966807"/>
      <w:bookmarkStart w:id="1708" w:name="_Toc477967147"/>
      <w:bookmarkStart w:id="1709" w:name="_Toc478121281"/>
      <w:bookmarkStart w:id="1710" w:name="_Toc478122194"/>
      <w:bookmarkStart w:id="1711" w:name="_Toc478133194"/>
      <w:bookmarkStart w:id="1712" w:name="_Toc478132331"/>
      <w:bookmarkStart w:id="1713" w:name="_Toc478132852"/>
      <w:bookmarkStart w:id="1714" w:name="_Toc478134660"/>
      <w:bookmarkStart w:id="1715" w:name="_Toc478137362"/>
      <w:bookmarkStart w:id="1716" w:name="_Toc478138434"/>
      <w:bookmarkStart w:id="1717" w:name="_Toc478140004"/>
      <w:bookmarkStart w:id="1718" w:name="_Toc478140420"/>
      <w:bookmarkStart w:id="1719" w:name="_Toc478142626"/>
      <w:bookmarkStart w:id="1720" w:name="_Toc478566342"/>
      <w:bookmarkStart w:id="1721" w:name="_Toc478569509"/>
      <w:bookmarkStart w:id="1722" w:name="_Toc478569683"/>
      <w:bookmarkStart w:id="1723" w:name="_Toc478570757"/>
      <w:bookmarkStart w:id="1724" w:name="_Toc478632956"/>
      <w:bookmarkStart w:id="1725" w:name="_Toc478641364"/>
      <w:bookmarkStart w:id="1726" w:name="_Toc478654258"/>
      <w:bookmarkStart w:id="1727" w:name="_Toc478654432"/>
      <w:bookmarkStart w:id="1728" w:name="_Toc478657727"/>
      <w:bookmarkStart w:id="1729" w:name="_Toc478993150"/>
      <w:bookmarkStart w:id="1730" w:name="_Toc479000221"/>
      <w:bookmarkStart w:id="1731" w:name="_Toc479002155"/>
      <w:bookmarkStart w:id="1732" w:name="_Toc479002327"/>
      <w:bookmarkStart w:id="1733" w:name="_Toc479254302"/>
      <w:bookmarkStart w:id="1734" w:name="_Toc479258491"/>
      <w:bookmarkStart w:id="1735" w:name="_Toc479258807"/>
      <w:bookmarkStart w:id="1736" w:name="_Toc479259699"/>
      <w:bookmarkStart w:id="1737" w:name="_Toc479262122"/>
      <w:bookmarkStart w:id="1738" w:name="_Toc479262543"/>
      <w:bookmarkStart w:id="1739" w:name="_Toc479321244"/>
      <w:bookmarkStart w:id="1740" w:name="_Toc479326683"/>
      <w:bookmarkStart w:id="1741" w:name="_Toc479333282"/>
      <w:bookmarkStart w:id="1742" w:name="_Toc479334979"/>
      <w:bookmarkStart w:id="1743" w:name="_Toc479341694"/>
      <w:bookmarkStart w:id="1744" w:name="_Toc479345110"/>
      <w:bookmarkStart w:id="1745" w:name="_Toc479345319"/>
      <w:bookmarkStart w:id="1746" w:name="_Toc479348300"/>
      <w:bookmarkStart w:id="1747" w:name="_Toc479675894"/>
      <w:bookmarkStart w:id="1748" w:name="_Toc479690861"/>
      <w:bookmarkStart w:id="1749" w:name="_Toc479693439"/>
      <w:bookmarkStart w:id="1750" w:name="_Toc479770608"/>
      <w:r>
        <w:t>Administration of PRRT</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3D060766" w14:textId="4C3C3C57" w:rsidR="00AA7794" w:rsidRDefault="00AA7794" w:rsidP="00AA7794">
      <w:r>
        <w:t>The ATO has administered the PRRT since its introduction. The ATO</w:t>
      </w:r>
      <w:r w:rsidR="005D6F39">
        <w:t>’</w:t>
      </w:r>
      <w:r>
        <w:t>s administration has been subject to a performance audit by the Australian National Audit Office</w:t>
      </w:r>
      <w:r w:rsidR="008D70E8">
        <w:t xml:space="preserve"> (ANAO)</w:t>
      </w:r>
      <w:r>
        <w:t xml:space="preserve"> which found that the ATO has administered the PRRT in a generally effective manner. However</w:t>
      </w:r>
      <w:r w:rsidR="004D6DE7">
        <w:t>,</w:t>
      </w:r>
      <w:r>
        <w:t xml:space="preserve"> concerns were raised during the consultations over the PRRT being subject to self</w:t>
      </w:r>
      <w:r w:rsidR="005D6F39">
        <w:noBreakHyphen/>
      </w:r>
      <w:r>
        <w:t xml:space="preserve">assessment and the capacity of the ATO to undertake audit activities in order to ensure compliance. It was also claimed that the PRRT was based on </w:t>
      </w:r>
      <w:r w:rsidR="005D6F39">
        <w:t>‘</w:t>
      </w:r>
      <w:r>
        <w:t>fuzzy</w:t>
      </w:r>
      <w:r w:rsidR="005D6F39">
        <w:t>’</w:t>
      </w:r>
      <w:r>
        <w:t xml:space="preserve"> legislation and certain aspects of the PRRT are arguably no longer appropriate to deal with some commercial and financial arrangements that are in place in today</w:t>
      </w:r>
      <w:r w:rsidR="005D6F39">
        <w:t>’</w:t>
      </w:r>
      <w:r>
        <w:t>s petroleum industry and the legislation needs to be modernised.</w:t>
      </w:r>
    </w:p>
    <w:p w14:paraId="2B56A1FB" w14:textId="6E02603C" w:rsidR="00AA7794" w:rsidRDefault="00AE577E" w:rsidP="00AE577E">
      <w:pPr>
        <w:pStyle w:val="Heading3"/>
      </w:pPr>
      <w:bookmarkStart w:id="1751" w:name="_Toc476577300"/>
      <w:bookmarkStart w:id="1752" w:name="_Toc476582288"/>
      <w:bookmarkStart w:id="1753" w:name="_Toc476582962"/>
      <w:bookmarkStart w:id="1754" w:name="_Toc476583679"/>
      <w:bookmarkStart w:id="1755" w:name="_Toc476584127"/>
      <w:bookmarkStart w:id="1756" w:name="_Toc476738033"/>
      <w:bookmarkStart w:id="1757" w:name="_Toc476747608"/>
      <w:bookmarkStart w:id="1758" w:name="_Toc476749016"/>
      <w:bookmarkStart w:id="1759" w:name="_Toc476753884"/>
      <w:bookmarkStart w:id="1760" w:name="_Toc476754379"/>
      <w:bookmarkStart w:id="1761" w:name="_Toc476754544"/>
      <w:bookmarkStart w:id="1762" w:name="_Toc476759780"/>
      <w:bookmarkStart w:id="1763" w:name="_Toc476761402"/>
      <w:bookmarkStart w:id="1764" w:name="_Toc476767040"/>
      <w:bookmarkStart w:id="1765" w:name="_Toc476827086"/>
      <w:bookmarkStart w:id="1766" w:name="_Toc476828779"/>
      <w:bookmarkStart w:id="1767" w:name="_Toc476833653"/>
      <w:bookmarkStart w:id="1768" w:name="_Toc476837126"/>
      <w:bookmarkStart w:id="1769" w:name="_Toc476840999"/>
      <w:bookmarkStart w:id="1770" w:name="_Toc476841204"/>
      <w:bookmarkStart w:id="1771" w:name="_Toc476841963"/>
      <w:bookmarkStart w:id="1772" w:name="_Toc476842907"/>
      <w:bookmarkStart w:id="1773" w:name="_Toc476843078"/>
      <w:bookmarkStart w:id="1774" w:name="_Toc476844576"/>
      <w:bookmarkStart w:id="1775" w:name="_Toc476845469"/>
      <w:bookmarkStart w:id="1776" w:name="_Toc476926860"/>
      <w:bookmarkStart w:id="1777" w:name="_Toc476926799"/>
      <w:bookmarkStart w:id="1778" w:name="_Toc476927147"/>
      <w:bookmarkStart w:id="1779" w:name="_Toc476928411"/>
      <w:bookmarkStart w:id="1780" w:name="_Toc476929454"/>
      <w:bookmarkStart w:id="1781" w:name="_Toc476929629"/>
      <w:bookmarkStart w:id="1782" w:name="_Toc476930672"/>
      <w:bookmarkStart w:id="1783" w:name="_Toc476931479"/>
      <w:bookmarkStart w:id="1784" w:name="_Toc477869849"/>
      <w:bookmarkStart w:id="1785" w:name="_Toc477871088"/>
      <w:bookmarkStart w:id="1786" w:name="_Toc477873247"/>
      <w:bookmarkStart w:id="1787" w:name="_Toc477875241"/>
      <w:bookmarkStart w:id="1788" w:name="_Toc477880154"/>
      <w:bookmarkStart w:id="1789" w:name="_Toc477881414"/>
      <w:bookmarkStart w:id="1790" w:name="_Toc477955818"/>
      <w:bookmarkStart w:id="1791" w:name="_Toc477963063"/>
      <w:bookmarkStart w:id="1792" w:name="_Toc477963549"/>
      <w:bookmarkStart w:id="1793" w:name="_Toc477965135"/>
      <w:bookmarkStart w:id="1794" w:name="_Toc477966639"/>
      <w:bookmarkStart w:id="1795" w:name="_Toc477966808"/>
      <w:bookmarkStart w:id="1796" w:name="_Toc477967148"/>
      <w:bookmarkStart w:id="1797" w:name="_Toc478121282"/>
      <w:bookmarkStart w:id="1798" w:name="_Toc478122195"/>
      <w:bookmarkStart w:id="1799" w:name="_Toc478133195"/>
      <w:bookmarkStart w:id="1800" w:name="_Toc478132332"/>
      <w:bookmarkStart w:id="1801" w:name="_Toc478132853"/>
      <w:bookmarkStart w:id="1802" w:name="_Toc478134661"/>
      <w:bookmarkStart w:id="1803" w:name="_Toc478137363"/>
      <w:bookmarkStart w:id="1804" w:name="_Toc478138435"/>
      <w:bookmarkStart w:id="1805" w:name="_Toc478140005"/>
      <w:bookmarkStart w:id="1806" w:name="_Toc478140421"/>
      <w:bookmarkStart w:id="1807" w:name="_Toc478142627"/>
      <w:bookmarkStart w:id="1808" w:name="_Toc478566343"/>
      <w:bookmarkStart w:id="1809" w:name="_Toc478569510"/>
      <w:bookmarkStart w:id="1810" w:name="_Toc478569684"/>
      <w:bookmarkStart w:id="1811" w:name="_Toc478570758"/>
      <w:bookmarkStart w:id="1812" w:name="_Toc478632957"/>
      <w:bookmarkStart w:id="1813" w:name="_Toc478641365"/>
      <w:bookmarkStart w:id="1814" w:name="_Toc478654259"/>
      <w:bookmarkStart w:id="1815" w:name="_Toc478654433"/>
      <w:bookmarkStart w:id="1816" w:name="_Toc478657728"/>
      <w:bookmarkStart w:id="1817" w:name="_Toc478993151"/>
      <w:bookmarkStart w:id="1818" w:name="_Toc479000222"/>
      <w:bookmarkStart w:id="1819" w:name="_Toc479002156"/>
      <w:bookmarkStart w:id="1820" w:name="_Toc479002328"/>
      <w:bookmarkStart w:id="1821" w:name="_Toc479254303"/>
      <w:bookmarkStart w:id="1822" w:name="_Toc479258492"/>
      <w:bookmarkStart w:id="1823" w:name="_Toc479258808"/>
      <w:bookmarkStart w:id="1824" w:name="_Toc479259700"/>
      <w:bookmarkStart w:id="1825" w:name="_Toc479262123"/>
      <w:bookmarkStart w:id="1826" w:name="_Toc479262544"/>
      <w:bookmarkStart w:id="1827" w:name="_Toc479321245"/>
      <w:bookmarkStart w:id="1828" w:name="_Toc479326684"/>
      <w:bookmarkStart w:id="1829" w:name="_Toc479333283"/>
      <w:bookmarkStart w:id="1830" w:name="_Toc479334980"/>
      <w:bookmarkStart w:id="1831" w:name="_Toc479341695"/>
      <w:bookmarkStart w:id="1832" w:name="_Toc479345111"/>
      <w:bookmarkStart w:id="1833" w:name="_Toc479345320"/>
      <w:bookmarkStart w:id="1834" w:name="_Toc479348301"/>
      <w:bookmarkStart w:id="1835" w:name="_Toc479675895"/>
      <w:bookmarkStart w:id="1836" w:name="_Toc479690862"/>
      <w:bookmarkStart w:id="1837" w:name="_Toc479693440"/>
      <w:bookmarkStart w:id="1838" w:name="_Toc479770609"/>
      <w:r>
        <w:t>Royalties</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3590F06D" w14:textId="54C237A5" w:rsidR="00AA7794" w:rsidRDefault="00787FA4" w:rsidP="00AA7794">
      <w:r>
        <w:t xml:space="preserve">A number of submissions advocated that a royalty </w:t>
      </w:r>
      <w:r w:rsidR="003B583F">
        <w:t xml:space="preserve">should </w:t>
      </w:r>
      <w:r>
        <w:t>be applied to offshore petroleum projects, in addition to the PRRT.</w:t>
      </w:r>
      <w:r w:rsidR="00AA7794">
        <w:t xml:space="preserve"> A royalty was considered to be advantageous because it would provide an early and assured revenue flow to the </w:t>
      </w:r>
      <w:r w:rsidR="003B5C26">
        <w:t>G</w:t>
      </w:r>
      <w:r w:rsidR="00AA7794">
        <w:t xml:space="preserve">overnment. </w:t>
      </w:r>
      <w:r w:rsidR="003B583F">
        <w:t xml:space="preserve">Since </w:t>
      </w:r>
      <w:r w:rsidR="00AA7794">
        <w:t xml:space="preserve">royalty payments </w:t>
      </w:r>
      <w:r w:rsidR="003B583F">
        <w:t xml:space="preserve">are </w:t>
      </w:r>
      <w:r w:rsidR="00710B56">
        <w:t xml:space="preserve">credited against </w:t>
      </w:r>
      <w:r w:rsidR="00AA7794">
        <w:t xml:space="preserve">PRRT, it was argued that </w:t>
      </w:r>
      <w:r w:rsidR="003B583F">
        <w:t xml:space="preserve">a </w:t>
      </w:r>
      <w:r w:rsidR="00AA7794">
        <w:t>royalty w</w:t>
      </w:r>
      <w:r w:rsidR="003B583F">
        <w:t xml:space="preserve">ould effectively </w:t>
      </w:r>
      <w:r w:rsidR="00AA7794">
        <w:t xml:space="preserve">bring forward </w:t>
      </w:r>
      <w:r w:rsidR="00595B4D">
        <w:t xml:space="preserve">the government tax take from </w:t>
      </w:r>
      <w:r w:rsidR="00AA7794">
        <w:t>those projects that would pay PRRT in the future and</w:t>
      </w:r>
      <w:r w:rsidR="00EF2FF0">
        <w:t>,</w:t>
      </w:r>
      <w:r w:rsidR="00AA7794">
        <w:t xml:space="preserve"> for those projects that never paid PRRT, </w:t>
      </w:r>
      <w:r w:rsidR="00595B4D">
        <w:t xml:space="preserve">it would </w:t>
      </w:r>
      <w:r w:rsidR="00AA7794">
        <w:t xml:space="preserve">ensure that there was some return to the Australian community for the use of </w:t>
      </w:r>
      <w:r w:rsidR="001F354B">
        <w:t>it</w:t>
      </w:r>
      <w:r w:rsidR="00595B4D">
        <w:t xml:space="preserve">s </w:t>
      </w:r>
      <w:r w:rsidR="00AA7794">
        <w:t>petroleum resources.</w:t>
      </w:r>
    </w:p>
    <w:p w14:paraId="14646210" w14:textId="7457153F" w:rsidR="00AA7794" w:rsidRDefault="00AA7794" w:rsidP="00AA7794">
      <w:r>
        <w:t xml:space="preserve">One option raised with the review was for all </w:t>
      </w:r>
      <w:r w:rsidR="003E5A7C">
        <w:t>off</w:t>
      </w:r>
      <w:r>
        <w:t xml:space="preserve">shore petroleum projects to be subject to a royalty after five or ten years from when they first commenced production. The royalty would be deducted from </w:t>
      </w:r>
      <w:r w:rsidR="002A2DA3">
        <w:t xml:space="preserve">assessable </w:t>
      </w:r>
      <w:r>
        <w:t xml:space="preserve">PRRT </w:t>
      </w:r>
      <w:r w:rsidR="002A2DA3">
        <w:t>receipts</w:t>
      </w:r>
      <w:r>
        <w:t>. The lag in the introduction of the royalty was to minimise distortions from the royalty.</w:t>
      </w:r>
    </w:p>
    <w:p w14:paraId="6A12B8D5" w14:textId="0AFBCAB6" w:rsidR="00AA7794" w:rsidRDefault="00AA7794" w:rsidP="00AA7794">
      <w:r>
        <w:t xml:space="preserve">Another option raised with the </w:t>
      </w:r>
      <w:r w:rsidR="00595B4D">
        <w:t xml:space="preserve">review </w:t>
      </w:r>
      <w:r>
        <w:t>was to cap the extent to which PRRT expenditure can be deducted in calculating annual PRRT taxable profits</w:t>
      </w:r>
      <w:r w:rsidR="005D6F39">
        <w:t xml:space="preserve"> — </w:t>
      </w:r>
      <w:r>
        <w:t>that is a project</w:t>
      </w:r>
      <w:r w:rsidR="005D6F39">
        <w:t>’</w:t>
      </w:r>
      <w:r>
        <w:t>s PRRT taxable profit in each year would not fall below a certain percentage (for example 10 or 20 per cent) of the year</w:t>
      </w:r>
      <w:r w:rsidR="005D6F39">
        <w:t>’</w:t>
      </w:r>
      <w:r>
        <w:t xml:space="preserve">s assessable </w:t>
      </w:r>
      <w:r w:rsidR="00F14C3A">
        <w:t xml:space="preserve">PRRT </w:t>
      </w:r>
      <w:r>
        <w:t>receipts. This would have a similar impact as imposing a royalty.</w:t>
      </w:r>
    </w:p>
    <w:p w14:paraId="6B49A5FB" w14:textId="4CD1EAD7" w:rsidR="00AA7794" w:rsidRDefault="00AA7794" w:rsidP="00AA7794">
      <w:r>
        <w:t xml:space="preserve">There were a number of submissions supporting the introduction of a new </w:t>
      </w:r>
      <w:r w:rsidR="005D6F39">
        <w:t>‘</w:t>
      </w:r>
      <w:r>
        <w:t>Royalty for Regions</w:t>
      </w:r>
      <w:r w:rsidR="005D6F39">
        <w:t>’</w:t>
      </w:r>
      <w:r>
        <w:t xml:space="preserve"> tax/levy to better support the rural and remote areas from which the majority of </w:t>
      </w:r>
      <w:r w:rsidR="00595B4D">
        <w:t xml:space="preserve">petroleum </w:t>
      </w:r>
      <w:r>
        <w:t>resources are derived.</w:t>
      </w:r>
    </w:p>
    <w:p w14:paraId="03718FE3" w14:textId="013A7517" w:rsidR="00AA7794" w:rsidRDefault="00AE577E" w:rsidP="00AE577E">
      <w:pPr>
        <w:pStyle w:val="Heading3"/>
      </w:pPr>
      <w:bookmarkStart w:id="1839" w:name="_Toc476577301"/>
      <w:bookmarkStart w:id="1840" w:name="_Toc476582289"/>
      <w:bookmarkStart w:id="1841" w:name="_Toc476582963"/>
      <w:bookmarkStart w:id="1842" w:name="_Toc476583680"/>
      <w:bookmarkStart w:id="1843" w:name="_Toc476584128"/>
      <w:bookmarkStart w:id="1844" w:name="_Toc476738034"/>
      <w:bookmarkStart w:id="1845" w:name="_Toc476747609"/>
      <w:bookmarkStart w:id="1846" w:name="_Toc476749017"/>
      <w:bookmarkStart w:id="1847" w:name="_Toc476753885"/>
      <w:bookmarkStart w:id="1848" w:name="_Toc476754380"/>
      <w:bookmarkStart w:id="1849" w:name="_Toc476754545"/>
      <w:bookmarkStart w:id="1850" w:name="_Toc476759781"/>
      <w:bookmarkStart w:id="1851" w:name="_Toc476761403"/>
      <w:bookmarkStart w:id="1852" w:name="_Toc476767041"/>
      <w:bookmarkStart w:id="1853" w:name="_Toc476827087"/>
      <w:bookmarkStart w:id="1854" w:name="_Toc476828780"/>
      <w:bookmarkStart w:id="1855" w:name="_Toc476833654"/>
      <w:bookmarkStart w:id="1856" w:name="_Toc476837127"/>
      <w:bookmarkStart w:id="1857" w:name="_Toc476841000"/>
      <w:bookmarkStart w:id="1858" w:name="_Toc476841205"/>
      <w:bookmarkStart w:id="1859" w:name="_Toc476841964"/>
      <w:bookmarkStart w:id="1860" w:name="_Toc476842908"/>
      <w:bookmarkStart w:id="1861" w:name="_Toc476843079"/>
      <w:bookmarkStart w:id="1862" w:name="_Toc476844577"/>
      <w:bookmarkStart w:id="1863" w:name="_Toc476845470"/>
      <w:bookmarkStart w:id="1864" w:name="_Toc476926861"/>
      <w:bookmarkStart w:id="1865" w:name="_Toc476926800"/>
      <w:bookmarkStart w:id="1866" w:name="_Toc476927148"/>
      <w:bookmarkStart w:id="1867" w:name="_Toc476928412"/>
      <w:bookmarkStart w:id="1868" w:name="_Toc476929455"/>
      <w:bookmarkStart w:id="1869" w:name="_Toc476929630"/>
      <w:bookmarkStart w:id="1870" w:name="_Toc476930673"/>
      <w:bookmarkStart w:id="1871" w:name="_Toc476931480"/>
      <w:bookmarkStart w:id="1872" w:name="_Toc477869850"/>
      <w:bookmarkStart w:id="1873" w:name="_Toc477871089"/>
      <w:bookmarkStart w:id="1874" w:name="_Toc477873248"/>
      <w:bookmarkStart w:id="1875" w:name="_Toc477875242"/>
      <w:bookmarkStart w:id="1876" w:name="_Toc477880155"/>
      <w:bookmarkStart w:id="1877" w:name="_Toc477881415"/>
      <w:bookmarkStart w:id="1878" w:name="_Toc477955819"/>
      <w:bookmarkStart w:id="1879" w:name="_Toc477963064"/>
      <w:bookmarkStart w:id="1880" w:name="_Toc477963550"/>
      <w:bookmarkStart w:id="1881" w:name="_Toc477965136"/>
      <w:bookmarkStart w:id="1882" w:name="_Toc477966640"/>
      <w:bookmarkStart w:id="1883" w:name="_Toc477966809"/>
      <w:bookmarkStart w:id="1884" w:name="_Toc477967149"/>
      <w:bookmarkStart w:id="1885" w:name="_Toc478121283"/>
      <w:bookmarkStart w:id="1886" w:name="_Toc478122196"/>
      <w:bookmarkStart w:id="1887" w:name="_Toc478133196"/>
      <w:bookmarkStart w:id="1888" w:name="_Toc478132333"/>
      <w:bookmarkStart w:id="1889" w:name="_Toc478132854"/>
      <w:bookmarkStart w:id="1890" w:name="_Toc478134662"/>
      <w:bookmarkStart w:id="1891" w:name="_Toc478137364"/>
      <w:bookmarkStart w:id="1892" w:name="_Toc478138436"/>
      <w:bookmarkStart w:id="1893" w:name="_Toc478140006"/>
      <w:bookmarkStart w:id="1894" w:name="_Toc478140422"/>
      <w:bookmarkStart w:id="1895" w:name="_Toc478142628"/>
      <w:bookmarkStart w:id="1896" w:name="_Toc478566344"/>
      <w:bookmarkStart w:id="1897" w:name="_Toc478569511"/>
      <w:bookmarkStart w:id="1898" w:name="_Toc478569685"/>
      <w:bookmarkStart w:id="1899" w:name="_Toc478570759"/>
      <w:bookmarkStart w:id="1900" w:name="_Toc478632958"/>
      <w:bookmarkStart w:id="1901" w:name="_Toc478641366"/>
      <w:bookmarkStart w:id="1902" w:name="_Toc478654260"/>
      <w:bookmarkStart w:id="1903" w:name="_Toc478654434"/>
      <w:bookmarkStart w:id="1904" w:name="_Toc478657729"/>
      <w:bookmarkStart w:id="1905" w:name="_Toc478993152"/>
      <w:bookmarkStart w:id="1906" w:name="_Toc479000223"/>
      <w:bookmarkStart w:id="1907" w:name="_Toc479002157"/>
      <w:bookmarkStart w:id="1908" w:name="_Toc479002329"/>
      <w:bookmarkStart w:id="1909" w:name="_Toc479254304"/>
      <w:bookmarkStart w:id="1910" w:name="_Toc479258493"/>
      <w:bookmarkStart w:id="1911" w:name="_Toc479258809"/>
      <w:bookmarkStart w:id="1912" w:name="_Toc479259701"/>
      <w:bookmarkStart w:id="1913" w:name="_Toc479262124"/>
      <w:bookmarkStart w:id="1914" w:name="_Toc479262545"/>
      <w:bookmarkStart w:id="1915" w:name="_Toc479321246"/>
      <w:bookmarkStart w:id="1916" w:name="_Toc479326685"/>
      <w:bookmarkStart w:id="1917" w:name="_Toc479333284"/>
      <w:bookmarkStart w:id="1918" w:name="_Toc479334981"/>
      <w:bookmarkStart w:id="1919" w:name="_Toc479341696"/>
      <w:bookmarkStart w:id="1920" w:name="_Toc479345112"/>
      <w:bookmarkStart w:id="1921" w:name="_Toc479345321"/>
      <w:bookmarkStart w:id="1922" w:name="_Toc479348302"/>
      <w:bookmarkStart w:id="1923" w:name="_Toc479675896"/>
      <w:bookmarkStart w:id="1924" w:name="_Toc479690863"/>
      <w:bookmarkStart w:id="1925" w:name="_Toc479693441"/>
      <w:bookmarkStart w:id="1926" w:name="_Toc479770610"/>
      <w:r>
        <w:t>Excises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18B0B865" w14:textId="5D2F4396" w:rsidR="00CD60FD" w:rsidRDefault="00CD60FD" w:rsidP="00105048">
      <w:r>
        <w:t xml:space="preserve">Crude oil excise is the tax the Government imposes on eligible crude oil and condensate production from onshore areas and the </w:t>
      </w:r>
      <w:r w:rsidR="003B5C26">
        <w:t>NWS</w:t>
      </w:r>
      <w:r w:rsidR="004F2BAF">
        <w:t xml:space="preserve"> project</w:t>
      </w:r>
      <w:r>
        <w:t>. No excise is payable on the first 30</w:t>
      </w:r>
      <w:r w:rsidR="003B5C26">
        <w:t> </w:t>
      </w:r>
      <w:r>
        <w:t>million</w:t>
      </w:r>
      <w:r w:rsidR="003B5C26">
        <w:t> </w:t>
      </w:r>
      <w:r>
        <w:t xml:space="preserve">barrels of </w:t>
      </w:r>
      <w:r w:rsidR="00787FA4">
        <w:t>stabilised</w:t>
      </w:r>
      <w:r>
        <w:t xml:space="preserve"> crude oil or condensate from a particular field and each production area must also reach </w:t>
      </w:r>
      <w:r w:rsidR="00BA035B">
        <w:t xml:space="preserve">an annual production threshold before excise is payable. In practice, only the </w:t>
      </w:r>
      <w:r w:rsidR="003B5C26">
        <w:t>NWS</w:t>
      </w:r>
      <w:r w:rsidR="00BA035B">
        <w:t xml:space="preserve"> </w:t>
      </w:r>
      <w:r w:rsidR="004F2BAF">
        <w:t xml:space="preserve">project </w:t>
      </w:r>
      <w:r w:rsidR="00BA035B">
        <w:t>pays excise.</w:t>
      </w:r>
    </w:p>
    <w:p w14:paraId="5854A18C" w14:textId="36057BC7" w:rsidR="00BA035B" w:rsidRPr="00CD60FD" w:rsidRDefault="00BA035B" w:rsidP="00105048">
      <w:r>
        <w:t xml:space="preserve">Industry submissions said that since the Government has effectively accepted that PRRT will be its primary mechanism for the taxation of crude oil and condensate production, the </w:t>
      </w:r>
      <w:r w:rsidR="003215BB">
        <w:t xml:space="preserve">continued </w:t>
      </w:r>
      <w:r>
        <w:t xml:space="preserve">application of production excise for areas that are unlikely to incur a liability </w:t>
      </w:r>
      <w:r w:rsidR="004F2BAF">
        <w:t xml:space="preserve">for excise </w:t>
      </w:r>
      <w:r>
        <w:t>should be revisited. Other submissions questioned the logic of high production thresholds before excise is payable and called for all production to be subject to excise.</w:t>
      </w:r>
    </w:p>
    <w:p w14:paraId="4E78097B" w14:textId="427AF752" w:rsidR="00AA7794" w:rsidRDefault="00AE577E" w:rsidP="00AE577E">
      <w:pPr>
        <w:pStyle w:val="Heading2"/>
      </w:pPr>
      <w:bookmarkStart w:id="1927" w:name="_Toc476577302"/>
      <w:bookmarkStart w:id="1928" w:name="_Toc476582290"/>
      <w:bookmarkStart w:id="1929" w:name="_Toc476582964"/>
      <w:bookmarkStart w:id="1930" w:name="_Toc476583681"/>
      <w:bookmarkStart w:id="1931" w:name="_Toc476584129"/>
      <w:bookmarkStart w:id="1932" w:name="_Toc476738035"/>
      <w:bookmarkStart w:id="1933" w:name="_Toc476747610"/>
      <w:bookmarkStart w:id="1934" w:name="_Toc476749018"/>
      <w:bookmarkStart w:id="1935" w:name="_Toc476753886"/>
      <w:bookmarkStart w:id="1936" w:name="_Toc476754381"/>
      <w:bookmarkStart w:id="1937" w:name="_Toc476754546"/>
      <w:bookmarkStart w:id="1938" w:name="_Toc476759782"/>
      <w:bookmarkStart w:id="1939" w:name="_Toc476761404"/>
      <w:bookmarkStart w:id="1940" w:name="_Toc476767042"/>
      <w:bookmarkStart w:id="1941" w:name="_Toc476827088"/>
      <w:bookmarkStart w:id="1942" w:name="_Toc476828781"/>
      <w:bookmarkStart w:id="1943" w:name="_Toc476833655"/>
      <w:bookmarkStart w:id="1944" w:name="_Toc476837128"/>
      <w:bookmarkStart w:id="1945" w:name="_Toc476841001"/>
      <w:bookmarkStart w:id="1946" w:name="_Toc476841206"/>
      <w:bookmarkStart w:id="1947" w:name="_Toc476841965"/>
      <w:bookmarkStart w:id="1948" w:name="_Toc476842909"/>
      <w:bookmarkStart w:id="1949" w:name="_Toc476843080"/>
      <w:bookmarkStart w:id="1950" w:name="_Toc476844578"/>
      <w:bookmarkStart w:id="1951" w:name="_Toc476845471"/>
      <w:bookmarkStart w:id="1952" w:name="_Toc476926862"/>
      <w:bookmarkStart w:id="1953" w:name="_Toc476926801"/>
      <w:bookmarkStart w:id="1954" w:name="_Toc476927149"/>
      <w:bookmarkStart w:id="1955" w:name="_Toc476928413"/>
      <w:bookmarkStart w:id="1956" w:name="_Toc476929456"/>
      <w:bookmarkStart w:id="1957" w:name="_Toc476929631"/>
      <w:bookmarkStart w:id="1958" w:name="_Toc476930674"/>
      <w:bookmarkStart w:id="1959" w:name="_Toc476931481"/>
      <w:bookmarkStart w:id="1960" w:name="_Toc477869851"/>
      <w:bookmarkStart w:id="1961" w:name="_Toc477871090"/>
      <w:bookmarkStart w:id="1962" w:name="_Toc477873249"/>
      <w:bookmarkStart w:id="1963" w:name="_Toc477875243"/>
      <w:bookmarkStart w:id="1964" w:name="_Toc477880156"/>
      <w:bookmarkStart w:id="1965" w:name="_Toc477881416"/>
      <w:bookmarkStart w:id="1966" w:name="_Toc477955820"/>
      <w:bookmarkStart w:id="1967" w:name="_Toc477963065"/>
      <w:bookmarkStart w:id="1968" w:name="_Toc477963551"/>
      <w:bookmarkStart w:id="1969" w:name="_Toc477965137"/>
      <w:bookmarkStart w:id="1970" w:name="_Toc477966641"/>
      <w:bookmarkStart w:id="1971" w:name="_Toc477966810"/>
      <w:bookmarkStart w:id="1972" w:name="_Toc477967150"/>
      <w:bookmarkStart w:id="1973" w:name="_Toc478121284"/>
      <w:bookmarkStart w:id="1974" w:name="_Toc478122197"/>
      <w:bookmarkStart w:id="1975" w:name="_Toc478133197"/>
      <w:bookmarkStart w:id="1976" w:name="_Toc478132334"/>
      <w:bookmarkStart w:id="1977" w:name="_Toc478132855"/>
      <w:bookmarkStart w:id="1978" w:name="_Toc478134663"/>
      <w:bookmarkStart w:id="1979" w:name="_Toc478137365"/>
      <w:bookmarkStart w:id="1980" w:name="_Toc478138437"/>
      <w:bookmarkStart w:id="1981" w:name="_Toc478140007"/>
      <w:bookmarkStart w:id="1982" w:name="_Toc478140423"/>
      <w:bookmarkStart w:id="1983" w:name="_Toc478142629"/>
      <w:bookmarkStart w:id="1984" w:name="_Toc478566345"/>
      <w:bookmarkStart w:id="1985" w:name="_Toc478569512"/>
      <w:bookmarkStart w:id="1986" w:name="_Toc478569686"/>
      <w:bookmarkStart w:id="1987" w:name="_Toc478570760"/>
      <w:bookmarkStart w:id="1988" w:name="_Toc478632959"/>
      <w:bookmarkStart w:id="1989" w:name="_Toc478641367"/>
      <w:bookmarkStart w:id="1990" w:name="_Toc478654261"/>
      <w:bookmarkStart w:id="1991" w:name="_Toc478654435"/>
      <w:bookmarkStart w:id="1992" w:name="_Toc478657730"/>
      <w:bookmarkStart w:id="1993" w:name="_Toc478993153"/>
      <w:bookmarkStart w:id="1994" w:name="_Toc479000224"/>
      <w:bookmarkStart w:id="1995" w:name="_Toc479002158"/>
      <w:bookmarkStart w:id="1996" w:name="_Toc479002330"/>
      <w:bookmarkStart w:id="1997" w:name="_Toc479254305"/>
      <w:bookmarkStart w:id="1998" w:name="_Toc479258494"/>
      <w:bookmarkStart w:id="1999" w:name="_Toc479258810"/>
      <w:bookmarkStart w:id="2000" w:name="_Toc479259702"/>
      <w:bookmarkStart w:id="2001" w:name="_Toc479262125"/>
      <w:bookmarkStart w:id="2002" w:name="_Toc479262546"/>
      <w:bookmarkStart w:id="2003" w:name="_Toc479321247"/>
      <w:bookmarkStart w:id="2004" w:name="_Toc479326686"/>
      <w:bookmarkStart w:id="2005" w:name="_Toc479333285"/>
      <w:bookmarkStart w:id="2006" w:name="_Toc479334982"/>
      <w:bookmarkStart w:id="2007" w:name="_Toc479341697"/>
      <w:bookmarkStart w:id="2008" w:name="_Toc479345113"/>
      <w:bookmarkStart w:id="2009" w:name="_Toc479345322"/>
      <w:bookmarkStart w:id="2010" w:name="_Toc479348303"/>
      <w:bookmarkStart w:id="2011" w:name="_Toc479675897"/>
      <w:bookmarkStart w:id="2012" w:name="_Toc479690864"/>
      <w:bookmarkStart w:id="2013" w:name="_Toc479693442"/>
      <w:bookmarkStart w:id="2014" w:name="_Toc479770611"/>
      <w:r>
        <w:t>Conclusions</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6E10861A" w14:textId="429F28E0" w:rsidR="00AA7794" w:rsidRDefault="00AA7794" w:rsidP="00AA7794">
      <w:r>
        <w:t>Given the magnitude of the investment in Australia</w:t>
      </w:r>
      <w:r w:rsidR="005D6F39">
        <w:t>’</w:t>
      </w:r>
      <w:r>
        <w:t>s petroleum industry over the past decade, it is evident that the PRRT is not discouraging investment in exploration and development</w:t>
      </w:r>
      <w:r w:rsidR="009A76B0" w:rsidRPr="009A76B0">
        <w:t xml:space="preserve"> </w:t>
      </w:r>
      <w:r w:rsidR="009A76B0">
        <w:t>of Australia</w:t>
      </w:r>
      <w:r w:rsidR="005D6F39">
        <w:t>’</w:t>
      </w:r>
      <w:r w:rsidR="009A76B0">
        <w:t>s petroleum resources</w:t>
      </w:r>
      <w:r>
        <w:t>.</w:t>
      </w:r>
    </w:p>
    <w:p w14:paraId="17FEBFBB" w14:textId="71579A91" w:rsidR="00F563F9" w:rsidRDefault="00F563F9" w:rsidP="00AA7794">
      <w:r>
        <w:t>The petroleum industry faces considerable uncertainty in project planning and execution. Possible changes to oil prices, excha</w:t>
      </w:r>
      <w:r w:rsidR="004027A3">
        <w:t xml:space="preserve">nge rates, costs of production </w:t>
      </w:r>
      <w:r>
        <w:t xml:space="preserve">and production volumes are among the many risks that need to be addressed. Also influencing investment </w:t>
      </w:r>
      <w:r w:rsidR="00093497">
        <w:t>decisions</w:t>
      </w:r>
      <w:r>
        <w:t xml:space="preserve"> is Australia</w:t>
      </w:r>
      <w:r w:rsidR="005D6F39">
        <w:t>’</w:t>
      </w:r>
      <w:r>
        <w:t>s high cost structure. Given such influences</w:t>
      </w:r>
      <w:r w:rsidR="0031140A">
        <w:t>, stable</w:t>
      </w:r>
      <w:r>
        <w:t xml:space="preserve"> fiscal settings are important for companies planning long</w:t>
      </w:r>
      <w:r w:rsidR="005D6F39">
        <w:noBreakHyphen/>
      </w:r>
      <w:r>
        <w:t>term petroleum investments. The overall stability of the PRRT has contributed to the very large investment in the Australian petroleum industry.</w:t>
      </w:r>
    </w:p>
    <w:p w14:paraId="0AF58C29" w14:textId="00F2EC8D" w:rsidR="00AA7794" w:rsidRDefault="00AA7794" w:rsidP="00AA7794">
      <w:r>
        <w:t xml:space="preserve">The fact that PRRT </w:t>
      </w:r>
      <w:r w:rsidR="002A2DA3">
        <w:t>revenue</w:t>
      </w:r>
      <w:r>
        <w:t xml:space="preserve"> </w:t>
      </w:r>
      <w:r w:rsidR="002A2DA3">
        <w:t>has</w:t>
      </w:r>
      <w:r>
        <w:t xml:space="preserve"> been declining and </w:t>
      </w:r>
      <w:r w:rsidR="003234F8">
        <w:t xml:space="preserve">is </w:t>
      </w:r>
      <w:r>
        <w:t>not rising in line with the increase in LNG production does not of itself indicate that the Australian community is not receiving an equitable return from the development of its resources.</w:t>
      </w:r>
    </w:p>
    <w:p w14:paraId="090EA5FD" w14:textId="690AF7C3" w:rsidR="00AA7794" w:rsidRDefault="00AA7794" w:rsidP="00AA7794">
      <w:r>
        <w:t>The PRRT has generated over $33 billion in revenue since payments were first made in 1989</w:t>
      </w:r>
      <w:r w:rsidR="005D6F39">
        <w:noBreakHyphen/>
      </w:r>
      <w:r>
        <w:t xml:space="preserve">90. The reduction in PRRT </w:t>
      </w:r>
      <w:r w:rsidR="002A2DA3">
        <w:t>revenue</w:t>
      </w:r>
      <w:r>
        <w:t xml:space="preserve"> from 2002</w:t>
      </w:r>
      <w:r w:rsidR="005D6F39">
        <w:noBreakHyphen/>
      </w:r>
      <w:r>
        <w:t>03 to 2015</w:t>
      </w:r>
      <w:r w:rsidR="005D6F39">
        <w:noBreakHyphen/>
      </w:r>
      <w:r>
        <w:t>16 reflect</w:t>
      </w:r>
      <w:r w:rsidR="00B75BE7">
        <w:t>s</w:t>
      </w:r>
      <w:r>
        <w:t xml:space="preserve"> subdued oil and gas prices, declining production in mature projects</w:t>
      </w:r>
      <w:r w:rsidR="00750C54">
        <w:t>,</w:t>
      </w:r>
      <w:r w:rsidR="00262810">
        <w:t xml:space="preserve"> </w:t>
      </w:r>
      <w:r w:rsidR="00B75BE7">
        <w:t>growing</w:t>
      </w:r>
      <w:r>
        <w:t xml:space="preserve"> deductible expenditure from the recent large investment in new projects</w:t>
      </w:r>
      <w:r w:rsidR="005552E5">
        <w:t xml:space="preserve"> and the transfer of exploration expenditure between compan</w:t>
      </w:r>
      <w:r w:rsidR="00CD5EAB">
        <w:t>ies in wholl</w:t>
      </w:r>
      <w:r w:rsidR="005552E5">
        <w:t>y</w:t>
      </w:r>
      <w:r w:rsidR="00CD5EAB">
        <w:t xml:space="preserve"> owned group</w:t>
      </w:r>
      <w:r w:rsidR="00B75BE7">
        <w:t>s</w:t>
      </w:r>
      <w:r w:rsidR="005552E5">
        <w:t xml:space="preserve">. </w:t>
      </w:r>
      <w:r>
        <w:t>Th</w:t>
      </w:r>
      <w:r w:rsidR="00B75BE7">
        <w:t>e</w:t>
      </w:r>
      <w:r>
        <w:t xml:space="preserve"> large stock of deductible expenditures will curtail PRRT </w:t>
      </w:r>
      <w:r w:rsidR="002A2DA3">
        <w:t>revenue</w:t>
      </w:r>
      <w:r>
        <w:t xml:space="preserve"> for a number of years notwithstanding the increase in LNG production. Under the PRRT arrangements, </w:t>
      </w:r>
      <w:r w:rsidR="006C0903">
        <w:t xml:space="preserve">tax </w:t>
      </w:r>
      <w:r w:rsidR="00CD5EAB">
        <w:t xml:space="preserve">only </w:t>
      </w:r>
      <w:r w:rsidR="006C0903">
        <w:t>becomes payable once projects become cash flow positive, meaning all expenditure has been deducted.</w:t>
      </w:r>
      <w:r>
        <w:t xml:space="preserve"> The cost of develop</w:t>
      </w:r>
      <w:r w:rsidR="00CD5EAB">
        <w:t xml:space="preserve">ing </w:t>
      </w:r>
      <w:r>
        <w:t>many of the</w:t>
      </w:r>
      <w:r w:rsidR="00CD5EAB">
        <w:t>se</w:t>
      </w:r>
      <w:r>
        <w:t xml:space="preserve"> new projects is significantly higher than </w:t>
      </w:r>
      <w:r w:rsidR="00954FE2">
        <w:t>originally planned</w:t>
      </w:r>
      <w:r w:rsidR="009B54D3">
        <w:t xml:space="preserve"> </w:t>
      </w:r>
      <w:r>
        <w:t>when the decision was taken to proceed, and oil prices are significantly lower. If current oil prices prevail for an extended period, the profitability of these projects will be substantially lower than expected</w:t>
      </w:r>
      <w:r w:rsidR="00BA035B">
        <w:t xml:space="preserve"> when the decision</w:t>
      </w:r>
      <w:r w:rsidR="00B75BE7">
        <w:t>s</w:t>
      </w:r>
      <w:r w:rsidR="00BA035B">
        <w:t xml:space="preserve"> w</w:t>
      </w:r>
      <w:r w:rsidR="00B75BE7">
        <w:t>ere</w:t>
      </w:r>
      <w:r w:rsidR="00BA035B">
        <w:t xml:space="preserve"> taken to proceed with the</w:t>
      </w:r>
      <w:r w:rsidR="00954FE2">
        <w:t>se projects</w:t>
      </w:r>
      <w:r>
        <w:t xml:space="preserve">, as will PRRT </w:t>
      </w:r>
      <w:r w:rsidR="00F14C3A">
        <w:t>revenue</w:t>
      </w:r>
      <w:r>
        <w:t xml:space="preserve"> to the</w:t>
      </w:r>
      <w:r w:rsidR="00E714D1">
        <w:t> </w:t>
      </w:r>
      <w:r>
        <w:t>Government.</w:t>
      </w:r>
    </w:p>
    <w:p w14:paraId="12028B04" w14:textId="75F1B93F" w:rsidR="00AA7794" w:rsidRDefault="00AA7794" w:rsidP="00AA7794">
      <w:r>
        <w:t xml:space="preserve">Modelling undertaken by the review </w:t>
      </w:r>
      <w:r w:rsidDel="00787FA4">
        <w:t xml:space="preserve">suggests </w:t>
      </w:r>
      <w:r w:rsidR="00787FA4">
        <w:t>that</w:t>
      </w:r>
      <w:r w:rsidR="00BA035B">
        <w:t xml:space="preserve"> on the basis of a steady oil price assumption of $</w:t>
      </w:r>
      <w:r w:rsidR="005F5B06">
        <w:t>US</w:t>
      </w:r>
      <w:r w:rsidR="00BA035B">
        <w:t xml:space="preserve">65 per </w:t>
      </w:r>
      <w:r w:rsidR="00787FA4">
        <w:t>barrel (indexed</w:t>
      </w:r>
      <w:r w:rsidR="00BA035B">
        <w:t xml:space="preserve"> to maintain its real value)</w:t>
      </w:r>
      <w:r>
        <w:t xml:space="preserve">, </w:t>
      </w:r>
      <w:r w:rsidRPr="008B646D">
        <w:t xml:space="preserve">PRRT </w:t>
      </w:r>
      <w:r w:rsidR="002A2DA3" w:rsidRPr="008B646D">
        <w:t>revenue</w:t>
      </w:r>
      <w:r w:rsidRPr="008B646D">
        <w:t xml:space="preserve"> </w:t>
      </w:r>
      <w:r w:rsidR="003234F8" w:rsidRPr="008B646D">
        <w:t xml:space="preserve">could </w:t>
      </w:r>
      <w:r w:rsidR="00D344B5" w:rsidRPr="008B646D">
        <w:t xml:space="preserve">total </w:t>
      </w:r>
      <w:r w:rsidR="003234F8" w:rsidRPr="008B646D">
        <w:t xml:space="preserve">around </w:t>
      </w:r>
      <w:r w:rsidR="00D344B5" w:rsidRPr="008B646D">
        <w:t>$</w:t>
      </w:r>
      <w:r w:rsidR="007C1A58" w:rsidRPr="008B646D">
        <w:t>12</w:t>
      </w:r>
      <w:r w:rsidR="00C5644E">
        <w:t xml:space="preserve"> </w:t>
      </w:r>
      <w:r w:rsidR="00D344B5" w:rsidRPr="008B646D">
        <w:t xml:space="preserve">billion </w:t>
      </w:r>
      <w:r w:rsidR="00954FE2">
        <w:t xml:space="preserve">in the next </w:t>
      </w:r>
      <w:r w:rsidR="00D344B5" w:rsidRPr="008B646D">
        <w:t xml:space="preserve">10 years </w:t>
      </w:r>
      <w:r w:rsidR="00954FE2">
        <w:t>(</w:t>
      </w:r>
      <w:r w:rsidR="00D344B5" w:rsidRPr="008B646D">
        <w:t>t</w:t>
      </w:r>
      <w:r w:rsidR="00B75BE7">
        <w:t>o</w:t>
      </w:r>
      <w:r w:rsidR="0031140A">
        <w:t xml:space="preserve"> </w:t>
      </w:r>
      <w:r w:rsidR="00D344B5" w:rsidRPr="008B646D">
        <w:t>2027</w:t>
      </w:r>
      <w:r w:rsidR="00954FE2">
        <w:t>)</w:t>
      </w:r>
      <w:r w:rsidR="00D344B5" w:rsidRPr="008B646D">
        <w:t xml:space="preserve"> and </w:t>
      </w:r>
      <w:r w:rsidR="007C1A58" w:rsidRPr="008B646D">
        <w:t xml:space="preserve">around </w:t>
      </w:r>
      <w:r w:rsidR="00D344B5" w:rsidRPr="008B646D">
        <w:t>$</w:t>
      </w:r>
      <w:r w:rsidR="007C1A58" w:rsidRPr="008B646D">
        <w:t>105</w:t>
      </w:r>
      <w:r w:rsidR="00D344B5" w:rsidRPr="008B646D">
        <w:t xml:space="preserve"> billion </w:t>
      </w:r>
      <w:r w:rsidR="004348FA">
        <w:t xml:space="preserve">in total </w:t>
      </w:r>
      <w:r w:rsidR="00D344B5" w:rsidRPr="008B646D">
        <w:t>over the period to 20</w:t>
      </w:r>
      <w:r w:rsidR="007C1A58" w:rsidRPr="008B646D">
        <w:t>50</w:t>
      </w:r>
      <w:r w:rsidR="00D344B5" w:rsidRPr="008B646D">
        <w:t xml:space="preserve">. </w:t>
      </w:r>
      <w:r w:rsidR="00787FA4" w:rsidRPr="008B646D">
        <w:t xml:space="preserve">Most major offshore LNG projects </w:t>
      </w:r>
      <w:r w:rsidR="00B75BE7">
        <w:t>are expected to</w:t>
      </w:r>
      <w:r w:rsidR="00787FA4" w:rsidRPr="008B646D">
        <w:t xml:space="preserve"> pay PRRT over this </w:t>
      </w:r>
      <w:r w:rsidR="007C1A58" w:rsidRPr="008B646D">
        <w:t xml:space="preserve">latter </w:t>
      </w:r>
      <w:r w:rsidR="00787FA4" w:rsidRPr="008B646D">
        <w:t>period. The</w:t>
      </w:r>
      <w:r w:rsidR="00787FA4">
        <w:t xml:space="preserve"> modelling undertaken by the review is based on data provided by the consultancy firm Wood Mackenzie, and </w:t>
      </w:r>
      <w:r w:rsidR="00954FE2">
        <w:t xml:space="preserve">has been </w:t>
      </w:r>
      <w:r w:rsidR="00787FA4">
        <w:t xml:space="preserve">adjusted following discussions with individual oil companies. </w:t>
      </w:r>
      <w:r w:rsidR="00D344B5">
        <w:t xml:space="preserve">In particular, the adjustments incorporated feedback from </w:t>
      </w:r>
      <w:r w:rsidR="00787FA4">
        <w:t>companies on</w:t>
      </w:r>
      <w:r w:rsidR="00D344B5">
        <w:t xml:space="preserve"> exploration expenditure which is </w:t>
      </w:r>
      <w:r w:rsidR="00B75BE7">
        <w:t>expected</w:t>
      </w:r>
      <w:r w:rsidR="00D344B5">
        <w:t xml:space="preserve"> to be transferred between projects </w:t>
      </w:r>
      <w:r w:rsidR="00F968BD">
        <w:t xml:space="preserve">held within </w:t>
      </w:r>
      <w:r w:rsidR="009D3BE5">
        <w:t>a</w:t>
      </w:r>
      <w:r w:rsidR="00D344B5">
        <w:t xml:space="preserve"> </w:t>
      </w:r>
      <w:r w:rsidR="00F968BD">
        <w:t xml:space="preserve">wholly owned group of </w:t>
      </w:r>
      <w:r w:rsidR="00D344B5">
        <w:t>compan</w:t>
      </w:r>
      <w:r w:rsidR="00F968BD">
        <w:t>ies</w:t>
      </w:r>
      <w:r w:rsidR="00D344B5">
        <w:t>.</w:t>
      </w:r>
      <w:r w:rsidR="009D3BE5">
        <w:t xml:space="preserve"> The transfer of deductions for exploration expenditure is a significant factor in offsetting the impact of prolonged periods of compounding these deductions</w:t>
      </w:r>
      <w:r w:rsidR="00281149">
        <w:t>,</w:t>
      </w:r>
      <w:r w:rsidR="009D3BE5">
        <w:t xml:space="preserve"> </w:t>
      </w:r>
      <w:r w:rsidR="00281149">
        <w:t xml:space="preserve">which are </w:t>
      </w:r>
      <w:r w:rsidR="009D3BE5">
        <w:t>uplift</w:t>
      </w:r>
      <w:r w:rsidR="00281149">
        <w:t>ed</w:t>
      </w:r>
      <w:r w:rsidR="009D3BE5">
        <w:t xml:space="preserve"> </w:t>
      </w:r>
      <w:r w:rsidR="00281149">
        <w:t xml:space="preserve">each year </w:t>
      </w:r>
      <w:r w:rsidR="007C1A58">
        <w:t xml:space="preserve">at the </w:t>
      </w:r>
      <w:r w:rsidR="009D3BE5">
        <w:t>rate of LTBR plus 15</w:t>
      </w:r>
      <w:r w:rsidR="005F5B06">
        <w:t> </w:t>
      </w:r>
      <w:r w:rsidR="00787FA4">
        <w:t>percentage</w:t>
      </w:r>
      <w:r w:rsidR="009D3BE5">
        <w:t xml:space="preserve"> points.</w:t>
      </w:r>
    </w:p>
    <w:p w14:paraId="020CE390" w14:textId="50887B31" w:rsidR="009D3BE5" w:rsidRDefault="009D3BE5" w:rsidP="00AA7794">
      <w:r>
        <w:t xml:space="preserve">Should oil prices rise, PRRT </w:t>
      </w:r>
      <w:r w:rsidR="002A2DA3">
        <w:t>revenue</w:t>
      </w:r>
      <w:r>
        <w:t xml:space="preserve"> will also be higher. The review</w:t>
      </w:r>
      <w:r w:rsidR="005D6F39">
        <w:t>’</w:t>
      </w:r>
      <w:r>
        <w:t xml:space="preserve">s modelling indicated that with </w:t>
      </w:r>
      <w:r w:rsidR="00093497">
        <w:t>an oil</w:t>
      </w:r>
      <w:r>
        <w:t xml:space="preserve"> price assumption of $US80 per barrel</w:t>
      </w:r>
      <w:r w:rsidR="00B75BE7">
        <w:t xml:space="preserve"> indexed</w:t>
      </w:r>
      <w:r>
        <w:t xml:space="preserve">, PRRT </w:t>
      </w:r>
      <w:r w:rsidR="002A2DA3">
        <w:t>revenue</w:t>
      </w:r>
      <w:r>
        <w:t xml:space="preserve"> </w:t>
      </w:r>
      <w:r w:rsidR="007C1A58">
        <w:t>could</w:t>
      </w:r>
      <w:r>
        <w:t xml:space="preserve"> total </w:t>
      </w:r>
      <w:r w:rsidR="007C1A58">
        <w:t>around</w:t>
      </w:r>
      <w:r>
        <w:t xml:space="preserve"> $</w:t>
      </w:r>
      <w:r w:rsidR="007C1A58">
        <w:t>25</w:t>
      </w:r>
      <w:r>
        <w:t xml:space="preserve"> billion over the 10 years to 20</w:t>
      </w:r>
      <w:r w:rsidR="00B75BE7">
        <w:t>2</w:t>
      </w:r>
      <w:r>
        <w:t xml:space="preserve">7 and </w:t>
      </w:r>
      <w:r w:rsidR="007C1A58">
        <w:t xml:space="preserve">around </w:t>
      </w:r>
      <w:r>
        <w:t>$</w:t>
      </w:r>
      <w:r w:rsidR="007C1A58">
        <w:t>170</w:t>
      </w:r>
      <w:r>
        <w:t xml:space="preserve"> billion over the period to 20</w:t>
      </w:r>
      <w:r w:rsidR="007C1A58">
        <w:t>50</w:t>
      </w:r>
      <w:r>
        <w:t xml:space="preserve">. PRRT </w:t>
      </w:r>
      <w:r w:rsidR="002A2DA3">
        <w:t>revenue</w:t>
      </w:r>
      <w:r>
        <w:t xml:space="preserve"> based on an oil price assumption of $</w:t>
      </w:r>
      <w:r w:rsidR="005F5B06">
        <w:t>US</w:t>
      </w:r>
      <w:r>
        <w:t xml:space="preserve">100 per barrel </w:t>
      </w:r>
      <w:r w:rsidR="007C1A58">
        <w:t>c</w:t>
      </w:r>
      <w:r>
        <w:t>ould be $</w:t>
      </w:r>
      <w:r w:rsidR="007C1A58">
        <w:t>45</w:t>
      </w:r>
      <w:r>
        <w:t xml:space="preserve"> billion in the 10 years to 2027 and $</w:t>
      </w:r>
      <w:r w:rsidR="007C1A58">
        <w:t>230</w:t>
      </w:r>
      <w:r>
        <w:t xml:space="preserve"> billion in the period to 2050.</w:t>
      </w:r>
      <w:r w:rsidR="00AB0C17">
        <w:t xml:space="preserve"> Conversely, low oil prices will depress PRRT revenue. It is projected that with a</w:t>
      </w:r>
      <w:r w:rsidR="00B75BE7">
        <w:t>n</w:t>
      </w:r>
      <w:r w:rsidR="00AB0C17">
        <w:t xml:space="preserve"> oil price assumption of $</w:t>
      </w:r>
      <w:r w:rsidR="005F5B06">
        <w:t>US</w:t>
      </w:r>
      <w:r w:rsidR="00AB0C17">
        <w:t>45 per barrel</w:t>
      </w:r>
      <w:r w:rsidR="00B75BE7">
        <w:t xml:space="preserve"> indexed</w:t>
      </w:r>
      <w:r w:rsidR="00AB0C17">
        <w:t>, PRRT revenue could total around $9 billion in the 10 years to 2027 and $18 billion in the period to 2050.</w:t>
      </w:r>
    </w:p>
    <w:p w14:paraId="069BE376" w14:textId="5B27C6A6" w:rsidR="00AA7794" w:rsidRDefault="00787FA4" w:rsidP="00AA7794">
      <w:r>
        <w:t xml:space="preserve">Relatively low PRRT </w:t>
      </w:r>
      <w:r w:rsidR="002A2DA3">
        <w:t>revenue</w:t>
      </w:r>
      <w:r>
        <w:t xml:space="preserve"> do</w:t>
      </w:r>
      <w:r w:rsidR="002A2DA3">
        <w:t>es</w:t>
      </w:r>
      <w:r w:rsidR="00AA7794">
        <w:t xml:space="preserve"> not necessarily mean that the Australian community is not receiving an equitable return from the use of its resources. The other objective of the PRRT is not to discourage investment. The fact that PRRT </w:t>
      </w:r>
      <w:r w:rsidR="00F14C3A">
        <w:t>revenue</w:t>
      </w:r>
      <w:r w:rsidR="00AA7794">
        <w:t xml:space="preserve"> var</w:t>
      </w:r>
      <w:r w:rsidR="00B75BE7">
        <w:t>ies</w:t>
      </w:r>
      <w:r w:rsidR="00AA7794">
        <w:t xml:space="preserve"> in line with the profitability of a project may be an important factor in not discouraging investment in the Australian petroleum industry. In addition to PRRT </w:t>
      </w:r>
      <w:r w:rsidR="00F14C3A">
        <w:t>revenue</w:t>
      </w:r>
      <w:r w:rsidR="00AA7794">
        <w:t xml:space="preserve">, the Australian community gains from the jobs created </w:t>
      </w:r>
      <w:r w:rsidR="00912D2A">
        <w:t xml:space="preserve">during the construction and operation of these </w:t>
      </w:r>
      <w:r w:rsidR="00AA7794">
        <w:t>projects</w:t>
      </w:r>
      <w:r w:rsidR="00B75BE7" w:rsidDel="00912D2A">
        <w:t xml:space="preserve"> </w:t>
      </w:r>
      <w:r w:rsidR="00AA7794">
        <w:t xml:space="preserve">and the range of other tax payments they generate, particularly company </w:t>
      </w:r>
      <w:r w:rsidR="00912D2A">
        <w:t xml:space="preserve">income </w:t>
      </w:r>
      <w:r w:rsidR="00AA7794">
        <w:t>tax.</w:t>
      </w:r>
    </w:p>
    <w:p w14:paraId="2571D287" w14:textId="6CA96A40" w:rsidR="00AA7794" w:rsidRDefault="00AA7794" w:rsidP="00AA7794">
      <w:r>
        <w:t>However</w:t>
      </w:r>
      <w:r w:rsidR="00343AA9">
        <w:t>,</w:t>
      </w:r>
      <w:r>
        <w:t xml:space="preserve"> it is not only important that the Australian community receives an equitable return from the use of </w:t>
      </w:r>
      <w:r w:rsidR="00912D2A">
        <w:t xml:space="preserve">its </w:t>
      </w:r>
      <w:r>
        <w:t>petroleum resources</w:t>
      </w:r>
      <w:r w:rsidR="004F2BAF">
        <w:t>;</w:t>
      </w:r>
      <w:r>
        <w:t xml:space="preserve"> it is important that they </w:t>
      </w:r>
      <w:r w:rsidR="00912D2A">
        <w:t xml:space="preserve">also </w:t>
      </w:r>
      <w:r>
        <w:t>have confidence that this is occurring.</w:t>
      </w:r>
    </w:p>
    <w:p w14:paraId="1AA64269" w14:textId="60BF8FC8" w:rsidR="00AA7794" w:rsidRDefault="00AA7794" w:rsidP="00AA7794">
      <w:r>
        <w:t xml:space="preserve">There are </w:t>
      </w:r>
      <w:r w:rsidR="009803E9">
        <w:t>aspects of</w:t>
      </w:r>
      <w:r w:rsidDel="009803E9">
        <w:t xml:space="preserve"> </w:t>
      </w:r>
      <w:r>
        <w:t xml:space="preserve">the PRRT arrangements </w:t>
      </w:r>
      <w:r w:rsidR="009803E9">
        <w:t xml:space="preserve">that </w:t>
      </w:r>
      <w:r w:rsidR="003A2369">
        <w:t>may not be compatible with changes in the Australian petroleum industry.</w:t>
      </w:r>
      <w:r>
        <w:t xml:space="preserve"> The dominance of LNG projects, with significantly larger investment requirements than oil </w:t>
      </w:r>
      <w:r w:rsidR="00912D2A">
        <w:t xml:space="preserve">projects </w:t>
      </w:r>
      <w:r>
        <w:t xml:space="preserve">and much longer periods before they will become cash positive, highlights the importance of </w:t>
      </w:r>
      <w:r w:rsidR="009D3BE5">
        <w:t>avoiding excessively high</w:t>
      </w:r>
      <w:r>
        <w:t xml:space="preserve"> uplift rates for carrying forward deductions. </w:t>
      </w:r>
      <w:r w:rsidR="009D3BE5">
        <w:t xml:space="preserve">In such </w:t>
      </w:r>
      <w:r w:rsidR="00787FA4">
        <w:t>circumstances, high</w:t>
      </w:r>
      <w:r>
        <w:t xml:space="preserve"> uplift rates for deductions </w:t>
      </w:r>
      <w:r w:rsidR="005552E5">
        <w:t xml:space="preserve">combined with </w:t>
      </w:r>
      <w:r w:rsidR="00B75BE7">
        <w:t xml:space="preserve">periods of </w:t>
      </w:r>
      <w:r w:rsidR="005552E5">
        <w:t xml:space="preserve">subdued oil prices </w:t>
      </w:r>
      <w:r>
        <w:t xml:space="preserve">may mean that </w:t>
      </w:r>
      <w:r w:rsidR="00B75BE7">
        <w:t xml:space="preserve">deductions </w:t>
      </w:r>
      <w:r w:rsidR="00093497">
        <w:t>compound over</w:t>
      </w:r>
      <w:r>
        <w:t xml:space="preserve"> the life of a project </w:t>
      </w:r>
      <w:r w:rsidR="00B75BE7">
        <w:t xml:space="preserve">such that the project </w:t>
      </w:r>
      <w:r w:rsidR="00093497">
        <w:t>may never</w:t>
      </w:r>
      <w:r>
        <w:t xml:space="preserve"> pay PRRT.</w:t>
      </w:r>
    </w:p>
    <w:p w14:paraId="774E86EA" w14:textId="43D1E9DB" w:rsidR="00AA7794" w:rsidRDefault="00AA7794" w:rsidP="00AA7794">
      <w:r>
        <w:t xml:space="preserve">The rationale for the current </w:t>
      </w:r>
      <w:r w:rsidR="00B34A04">
        <w:t xml:space="preserve">specific </w:t>
      </w:r>
      <w:r>
        <w:t xml:space="preserve">uplift rates is not </w:t>
      </w:r>
      <w:r w:rsidR="00A160B5">
        <w:t xml:space="preserve">entirely </w:t>
      </w:r>
      <w:r>
        <w:t>evident</w:t>
      </w:r>
      <w:r w:rsidR="00B34A04">
        <w:t>. However</w:t>
      </w:r>
      <w:r w:rsidR="004F2BAF">
        <w:t>,</w:t>
      </w:r>
      <w:r w:rsidR="00B34A04">
        <w:t xml:space="preserve"> the modelling undertaken by the review highlights the significant impact </w:t>
      </w:r>
      <w:r w:rsidR="00A160B5">
        <w:t>uplift rates</w:t>
      </w:r>
      <w:r w:rsidR="00B34A04">
        <w:t xml:space="preserve"> can have on PRRT </w:t>
      </w:r>
      <w:r w:rsidR="002A2DA3">
        <w:t>revenue</w:t>
      </w:r>
      <w:r w:rsidR="00A160B5">
        <w:t xml:space="preserve"> in large, long life projects</w:t>
      </w:r>
      <w:r w:rsidR="00B34A04">
        <w:t xml:space="preserve">. If the rationale of the uplift </w:t>
      </w:r>
      <w:r w:rsidR="00361085">
        <w:t xml:space="preserve">rate for exploration expenditure </w:t>
      </w:r>
      <w:r w:rsidR="00B34A04">
        <w:t xml:space="preserve">was to maintain the value </w:t>
      </w:r>
      <w:r w:rsidR="00093497">
        <w:t>of exploration</w:t>
      </w:r>
      <w:r w:rsidR="00772A27">
        <w:t xml:space="preserve"> </w:t>
      </w:r>
      <w:r w:rsidR="00B34A04">
        <w:t>deduction</w:t>
      </w:r>
      <w:r w:rsidR="00772A27">
        <w:t>s</w:t>
      </w:r>
      <w:r w:rsidR="00B34A04">
        <w:t xml:space="preserve"> </w:t>
      </w:r>
      <w:r w:rsidR="00772A27">
        <w:t>taking into account</w:t>
      </w:r>
      <w:r w:rsidR="00B34A04">
        <w:t xml:space="preserve"> the risk </w:t>
      </w:r>
      <w:r w:rsidR="00772A27">
        <w:t>that</w:t>
      </w:r>
      <w:r w:rsidR="00B34A04">
        <w:t xml:space="preserve"> </w:t>
      </w:r>
      <w:r w:rsidR="00772A27">
        <w:t xml:space="preserve">subsequent </w:t>
      </w:r>
      <w:r w:rsidR="00B34A04">
        <w:t xml:space="preserve">returns </w:t>
      </w:r>
      <w:r w:rsidR="00772A27">
        <w:t xml:space="preserve">will not be sufficient </w:t>
      </w:r>
      <w:r w:rsidR="00B34A04">
        <w:t>for the deduction</w:t>
      </w:r>
      <w:r w:rsidR="00772A27">
        <w:t>s</w:t>
      </w:r>
      <w:r w:rsidR="00B34A04">
        <w:t xml:space="preserve"> to be used, it would be expected that the </w:t>
      </w:r>
      <w:r w:rsidR="00A160B5">
        <w:t xml:space="preserve">uplift </w:t>
      </w:r>
      <w:r w:rsidR="00B34A04">
        <w:t xml:space="preserve">rate would </w:t>
      </w:r>
      <w:r w:rsidR="00772A27">
        <w:t xml:space="preserve">have </w:t>
      </w:r>
      <w:r w:rsidR="00B34A04">
        <w:t>be</w:t>
      </w:r>
      <w:r w:rsidR="00772A27">
        <w:t>en</w:t>
      </w:r>
      <w:r w:rsidR="00B34A04">
        <w:t xml:space="preserve"> reduced when transferability of exploration deductions was introduced in 1991. It was not</w:t>
      </w:r>
      <w:r w:rsidR="00912D2A">
        <w:t xml:space="preserve"> reduced</w:t>
      </w:r>
      <w:r w:rsidR="00B34A04">
        <w:t xml:space="preserve">, but the uplift rate for general </w:t>
      </w:r>
      <w:r w:rsidR="00912D2A">
        <w:t xml:space="preserve">project </w:t>
      </w:r>
      <w:r w:rsidR="00B34A04">
        <w:t xml:space="preserve">expenditure was reduced. </w:t>
      </w:r>
      <w:r w:rsidR="00361085">
        <w:t>A reduction in this uplift rate</w:t>
      </w:r>
      <w:r w:rsidR="00B34A04">
        <w:t xml:space="preserve"> was </w:t>
      </w:r>
      <w:r w:rsidR="00093497">
        <w:t>appropriate given</w:t>
      </w:r>
      <w:r w:rsidR="00B34A04">
        <w:t xml:space="preserve"> </w:t>
      </w:r>
      <w:r w:rsidR="00093497">
        <w:t>the lower</w:t>
      </w:r>
      <w:r w:rsidR="00B34A04">
        <w:t xml:space="preserve"> risk associated with this expenditure, but transferability significantly reduced the risk that deductions for exploration expenditure would not be used. However</w:t>
      </w:r>
      <w:r w:rsidR="006B3D08">
        <w:t>,</w:t>
      </w:r>
      <w:r w:rsidR="00B34A04">
        <w:t xml:space="preserve"> industry does not see the uplift rate as compensating for the risk th</w:t>
      </w:r>
      <w:r w:rsidR="00912D2A">
        <w:t>at</w:t>
      </w:r>
      <w:r w:rsidR="00B34A04">
        <w:t xml:space="preserve"> deduction</w:t>
      </w:r>
      <w:r w:rsidR="00772A27">
        <w:t>s</w:t>
      </w:r>
      <w:r w:rsidR="00B34A04">
        <w:t xml:space="preserve"> will not be </w:t>
      </w:r>
      <w:r w:rsidR="00787FA4">
        <w:t>used,</w:t>
      </w:r>
      <w:r w:rsidR="00B34A04">
        <w:t xml:space="preserve"> but see it as representing the return for the risk in carrying on a petroleum project. </w:t>
      </w:r>
      <w:r w:rsidR="009D565D">
        <w:t xml:space="preserve">A </w:t>
      </w:r>
      <w:r w:rsidR="00787FA4">
        <w:t>consensus</w:t>
      </w:r>
      <w:r w:rsidR="009D565D">
        <w:t xml:space="preserve"> needs to be reached on the conceptual basis for the uplift rates.</w:t>
      </w:r>
    </w:p>
    <w:p w14:paraId="1A9AB7DF" w14:textId="40509FF1" w:rsidR="00AA7794" w:rsidRDefault="00AA7794" w:rsidP="00AA7794">
      <w:r>
        <w:t xml:space="preserve">The transferability </w:t>
      </w:r>
      <w:r w:rsidR="00AB0C17">
        <w:t xml:space="preserve">of exploration </w:t>
      </w:r>
      <w:r w:rsidR="00093497">
        <w:t>expenditure introduced</w:t>
      </w:r>
      <w:r>
        <w:t xml:space="preserve"> additional complexity into the PRRT arrangements</w:t>
      </w:r>
      <w:r w:rsidR="00A160B5">
        <w:t xml:space="preserve"> while reducing the risk of losing deductions for exploration expenditure relating to both relatively unprofitable projects and greenfields exploration. B</w:t>
      </w:r>
      <w:r w:rsidR="009D565D">
        <w:t xml:space="preserve">ut </w:t>
      </w:r>
      <w:r w:rsidR="00A160B5">
        <w:t xml:space="preserve">it also </w:t>
      </w:r>
      <w:r w:rsidR="009D565D">
        <w:t xml:space="preserve">helped offset lengthy periods where exploration expenditure is uplifted at a relatively high rate. </w:t>
      </w:r>
      <w:r w:rsidR="00A160B5">
        <w:t xml:space="preserve">This was particularly important for large scale LNG projects </w:t>
      </w:r>
      <w:r w:rsidR="00093497">
        <w:t>and has</w:t>
      </w:r>
      <w:r w:rsidR="009D565D">
        <w:t xml:space="preserve"> </w:t>
      </w:r>
      <w:r w:rsidR="008A176E">
        <w:t>helped</w:t>
      </w:r>
      <w:r w:rsidR="009D565D">
        <w:t xml:space="preserve"> </w:t>
      </w:r>
      <w:r w:rsidR="00787FA4">
        <w:t>ensure a</w:t>
      </w:r>
      <w:r w:rsidR="00C84AC5">
        <w:t xml:space="preserve"> better return to the community </w:t>
      </w:r>
      <w:r w:rsidR="00A160B5">
        <w:t>from these projects</w:t>
      </w:r>
      <w:r w:rsidR="00093497">
        <w:t>.</w:t>
      </w:r>
    </w:p>
    <w:p w14:paraId="3C8C990A" w14:textId="6AE50E6C" w:rsidR="00AA7794" w:rsidRDefault="00AA7794" w:rsidP="00AA7794">
      <w:r>
        <w:t xml:space="preserve">The introduction of the transferability provisions resulted in the introduction of a schedule as to the order in which different categories of expenditure can be deducted from </w:t>
      </w:r>
      <w:r w:rsidR="0079609B">
        <w:t xml:space="preserve">PRRT assessable </w:t>
      </w:r>
      <w:r>
        <w:t>receipts. The order involves expenditure with lower uplift rates being claimed before those with higher uplift rates</w:t>
      </w:r>
      <w:r w:rsidR="00D41892">
        <w:t xml:space="preserve"> and exacerbates the generosity of the current uplift rate for exploration expenditure</w:t>
      </w:r>
      <w:r>
        <w:t xml:space="preserve">. This influences the timing </w:t>
      </w:r>
      <w:r w:rsidR="008A176E">
        <w:t xml:space="preserve">and amount </w:t>
      </w:r>
      <w:r>
        <w:t>of PRRT payments</w:t>
      </w:r>
      <w:r w:rsidR="00892DB7">
        <w:t>.</w:t>
      </w:r>
    </w:p>
    <w:p w14:paraId="78D7E2DB" w14:textId="37229DF0" w:rsidR="00AA7794" w:rsidRDefault="00AA7794" w:rsidP="00AA7794">
      <w:r>
        <w:t xml:space="preserve">The starting base arrangements associated with the extension of the PRRT to onshore projects and the </w:t>
      </w:r>
      <w:r w:rsidR="005F5B06">
        <w:t>NWS</w:t>
      </w:r>
      <w:r w:rsidR="00E86DD9">
        <w:t xml:space="preserve"> </w:t>
      </w:r>
      <w:r w:rsidR="006B3D08">
        <w:t xml:space="preserve">project </w:t>
      </w:r>
      <w:r w:rsidR="00E86DD9">
        <w:t>w</w:t>
      </w:r>
      <w:r w:rsidR="006B3D08">
        <w:t>ere</w:t>
      </w:r>
      <w:r w:rsidR="00E86DD9">
        <w:t xml:space="preserve"> designed to facilitate the extension of the PRRT to these existing projects and </w:t>
      </w:r>
      <w:r w:rsidR="0079609B">
        <w:t xml:space="preserve">to </w:t>
      </w:r>
      <w:r w:rsidR="00E86DD9">
        <w:t xml:space="preserve">recognise that they were already subject to royalty payments. When the starting base arrangements were negotiated, it was recognised that they would </w:t>
      </w:r>
      <w:r w:rsidR="00A160B5">
        <w:t xml:space="preserve">substantially </w:t>
      </w:r>
      <w:r w:rsidR="00093497">
        <w:t xml:space="preserve">limit </w:t>
      </w:r>
      <w:r w:rsidR="0079609B">
        <w:t xml:space="preserve">a </w:t>
      </w:r>
      <w:r w:rsidR="00093497">
        <w:t>taxpayer</w:t>
      </w:r>
      <w:r w:rsidR="005D6F39">
        <w:t>’</w:t>
      </w:r>
      <w:r w:rsidR="0079609B">
        <w:t>s</w:t>
      </w:r>
      <w:r w:rsidR="00E86DD9">
        <w:t xml:space="preserve"> liability </w:t>
      </w:r>
      <w:r w:rsidR="0079609B">
        <w:t xml:space="preserve">to pay </w:t>
      </w:r>
      <w:r w:rsidR="00E86DD9">
        <w:t xml:space="preserve">PRRT. Any </w:t>
      </w:r>
      <w:r w:rsidR="00093497">
        <w:t>subsequent change</w:t>
      </w:r>
      <w:r w:rsidR="00E86DD9">
        <w:t xml:space="preserve"> to the starting base arrangements </w:t>
      </w:r>
      <w:r w:rsidR="003F0D60">
        <w:t>may</w:t>
      </w:r>
      <w:r w:rsidR="00E86DD9">
        <w:t xml:space="preserve"> have a significant impact on these p</w:t>
      </w:r>
      <w:r w:rsidR="00FC2488">
        <w:t>rojects</w:t>
      </w:r>
      <w:r>
        <w:t>.</w:t>
      </w:r>
      <w:r w:rsidR="00FC2488">
        <w:t xml:space="preserve"> However</w:t>
      </w:r>
      <w:r w:rsidR="006B3D08">
        <w:t>,</w:t>
      </w:r>
      <w:r w:rsidR="00FC2488">
        <w:t xml:space="preserve"> </w:t>
      </w:r>
      <w:r w:rsidR="003F0D60">
        <w:t xml:space="preserve">integrity measures are </w:t>
      </w:r>
      <w:r w:rsidR="009A5A0D">
        <w:t>needed</w:t>
      </w:r>
      <w:r w:rsidR="003F0D60">
        <w:t xml:space="preserve"> to </w:t>
      </w:r>
      <w:r w:rsidR="00093497">
        <w:t>ensure the</w:t>
      </w:r>
      <w:r w:rsidR="00FC2488">
        <w:t xml:space="preserve"> starting base is limited to </w:t>
      </w:r>
      <w:r w:rsidR="0079609B">
        <w:t xml:space="preserve">these </w:t>
      </w:r>
      <w:r w:rsidR="00FC2488">
        <w:t>transitioning projects.</w:t>
      </w:r>
    </w:p>
    <w:p w14:paraId="0D26DDAE" w14:textId="7578C2D8" w:rsidR="00AA7794" w:rsidRDefault="00093497" w:rsidP="00AA7794">
      <w:r>
        <w:t xml:space="preserve">The RPM method under the </w:t>
      </w:r>
      <w:r w:rsidR="00F2694F">
        <w:t>GTP</w:t>
      </w:r>
      <w:r>
        <w:t xml:space="preserve"> arrangements is complex, opaque and raises issues as to whether the outcome ensures the Australian community is receiving an equitable share from the gas used in LNG projects. </w:t>
      </w:r>
      <w:r w:rsidR="003F0D60">
        <w:t>A</w:t>
      </w:r>
      <w:r w:rsidR="00787FA4">
        <w:t>n</w:t>
      </w:r>
      <w:r w:rsidR="009C7847">
        <w:t xml:space="preserve"> in</w:t>
      </w:r>
      <w:r w:rsidR="005D6F39">
        <w:noBreakHyphen/>
      </w:r>
      <w:r w:rsidR="009C7847">
        <w:t xml:space="preserve">depth </w:t>
      </w:r>
      <w:r>
        <w:t>examination of</w:t>
      </w:r>
      <w:r w:rsidR="009C7847">
        <w:t xml:space="preserve"> the </w:t>
      </w:r>
      <w:r w:rsidR="00F2694F">
        <w:t>GTP</w:t>
      </w:r>
      <w:r w:rsidR="004E2623">
        <w:t xml:space="preserve"> </w:t>
      </w:r>
      <w:r w:rsidR="009C7847">
        <w:t xml:space="preserve">arrangements would be in order. In </w:t>
      </w:r>
      <w:r w:rsidR="00787FA4">
        <w:t>particular,</w:t>
      </w:r>
      <w:r w:rsidR="009C7847">
        <w:t xml:space="preserve"> the option of using a CUP as the pr</w:t>
      </w:r>
      <w:r w:rsidR="003F0D60">
        <w:t>imary</w:t>
      </w:r>
      <w:r w:rsidR="009C7847">
        <w:t xml:space="preserve"> method</w:t>
      </w:r>
      <w:r w:rsidR="008A176E">
        <w:t xml:space="preserve"> should be explored</w:t>
      </w:r>
      <w:r w:rsidR="009C7847">
        <w:t xml:space="preserve">. Aspects of the RPM that could be </w:t>
      </w:r>
      <w:r w:rsidR="00787FA4">
        <w:t>reviewed</w:t>
      </w:r>
      <w:r w:rsidR="009C7847">
        <w:t xml:space="preserve"> include the appropriateness of the </w:t>
      </w:r>
      <w:r w:rsidR="008A176E">
        <w:t>asymmetrical treatment of the upstream and downstream operations of an</w:t>
      </w:r>
      <w:r w:rsidR="00BC4CB0">
        <w:t xml:space="preserve"> integrated project,</w:t>
      </w:r>
      <w:r w:rsidR="009C7847">
        <w:t xml:space="preserve"> the way profits are split </w:t>
      </w:r>
      <w:r w:rsidR="008A176E">
        <w:t>between upstream and downstream</w:t>
      </w:r>
      <w:r w:rsidR="00A160B5">
        <w:t xml:space="preserve"> activities</w:t>
      </w:r>
      <w:r w:rsidR="008A176E">
        <w:t xml:space="preserve"> </w:t>
      </w:r>
      <w:r w:rsidR="009C7847">
        <w:t xml:space="preserve">and the rate </w:t>
      </w:r>
      <w:r w:rsidR="008A176E">
        <w:t>of</w:t>
      </w:r>
      <w:r w:rsidR="009C7847">
        <w:t xml:space="preserve"> the capital allowance. Consistent with the process of establishing the existing </w:t>
      </w:r>
      <w:r w:rsidR="00F2694F">
        <w:t>GTP</w:t>
      </w:r>
      <w:r w:rsidR="00C23620">
        <w:t xml:space="preserve"> </w:t>
      </w:r>
      <w:r w:rsidR="009C7847">
        <w:t xml:space="preserve">arrangements, any </w:t>
      </w:r>
      <w:r>
        <w:t>future examination</w:t>
      </w:r>
      <w:r w:rsidR="009C7847">
        <w:t xml:space="preserve"> should involve close consultation with industry. </w:t>
      </w:r>
      <w:r w:rsidR="00125031">
        <w:t>A</w:t>
      </w:r>
      <w:r w:rsidR="009C7847">
        <w:t xml:space="preserve"> change to the transfer pricing arrangements could have major implications for existing projects.</w:t>
      </w:r>
    </w:p>
    <w:p w14:paraId="271301E7" w14:textId="54F6EC99" w:rsidR="00AA7794" w:rsidRDefault="00AA7794" w:rsidP="00AA7794">
      <w:r>
        <w:t>A number of changes should be made to the legislative arrangements for the PRRT in order to</w:t>
      </w:r>
      <w:r w:rsidR="008A176E">
        <w:t>:</w:t>
      </w:r>
      <w:r>
        <w:t xml:space="preserve"> modernise them</w:t>
      </w:r>
      <w:r w:rsidR="008A176E">
        <w:t>;</w:t>
      </w:r>
      <w:r>
        <w:t xml:space="preserve"> </w:t>
      </w:r>
      <w:r w:rsidR="005F1369">
        <w:t>align them with</w:t>
      </w:r>
      <w:r>
        <w:t xml:space="preserve"> current commercial arrangements</w:t>
      </w:r>
      <w:r w:rsidR="008A176E">
        <w:t>;</w:t>
      </w:r>
      <w:r>
        <w:t xml:space="preserve"> improve the integrity of the </w:t>
      </w:r>
      <w:r w:rsidR="005F1369">
        <w:t>system</w:t>
      </w:r>
      <w:r w:rsidR="008A176E">
        <w:t>;</w:t>
      </w:r>
      <w:r>
        <w:t xml:space="preserve"> and improve certainty for taxpayers.</w:t>
      </w:r>
      <w:r w:rsidR="002B2836">
        <w:t xml:space="preserve"> For example, </w:t>
      </w:r>
      <w:r w:rsidR="00904C79" w:rsidRPr="00C23182">
        <w:t>requiring</w:t>
      </w:r>
      <w:r w:rsidR="002B2836">
        <w:t xml:space="preserve"> PRRT taxpayers to lodge annual returns after they start holding an interest in an exploration permit, rather than when they first produce assessable </w:t>
      </w:r>
      <w:r w:rsidR="00F14C3A">
        <w:t xml:space="preserve">PRRT </w:t>
      </w:r>
      <w:r w:rsidR="002B2836">
        <w:t xml:space="preserve">receipts as currently applies, would improve the ability of the ATO to undertake compliance action regarding deductible expenditure and provide </w:t>
      </w:r>
      <w:r w:rsidR="00787FA4">
        <w:t>greater</w:t>
      </w:r>
      <w:r w:rsidR="002B2836">
        <w:t xml:space="preserve"> certainty for taxpayers.</w:t>
      </w:r>
    </w:p>
    <w:p w14:paraId="1F3CBC68" w14:textId="330FCC6D" w:rsidR="00AA7794" w:rsidRDefault="00AA7794" w:rsidP="00C84AC5">
      <w:r>
        <w:t xml:space="preserve">Introducing a royalty for offshore projects would provide a more stable revenue flow to the Government and a more transparent means of demonstrating to the Australian community that they are getting a return for the development of their resources. </w:t>
      </w:r>
      <w:r w:rsidR="002B2836">
        <w:t xml:space="preserve">Introducing a royalty similar to that applying to the </w:t>
      </w:r>
      <w:r w:rsidR="00C03F7E">
        <w:t>NWS</w:t>
      </w:r>
      <w:r w:rsidR="002B2836">
        <w:t xml:space="preserve"> </w:t>
      </w:r>
      <w:r w:rsidR="003258C0">
        <w:t xml:space="preserve">project </w:t>
      </w:r>
      <w:r w:rsidR="002B2836">
        <w:t xml:space="preserve">would bring </w:t>
      </w:r>
      <w:r w:rsidR="008144EA">
        <w:t>forward substantial revenue over the first ten years or so but</w:t>
      </w:r>
      <w:r w:rsidR="00904C79">
        <w:t>,</w:t>
      </w:r>
      <w:r w:rsidR="008144EA">
        <w:t xml:space="preserve"> with royalty payments creditable for PRRT and uplifted at LTBR</w:t>
      </w:r>
      <w:r w:rsidR="00C03F7E">
        <w:t> </w:t>
      </w:r>
      <w:r w:rsidR="008144EA">
        <w:t xml:space="preserve">plus 5 percentage points, there would be a significant reduction in PRRT </w:t>
      </w:r>
      <w:r w:rsidR="00F14C3A">
        <w:t>revenue</w:t>
      </w:r>
      <w:r w:rsidR="008144EA">
        <w:t xml:space="preserve"> over the life of the projects. </w:t>
      </w:r>
      <w:r w:rsidR="00093497">
        <w:t>Furthermore bringing</w:t>
      </w:r>
      <w:r w:rsidR="00811336">
        <w:t xml:space="preserve"> forward payments to the </w:t>
      </w:r>
      <w:r w:rsidR="00C03F7E">
        <w:t>G</w:t>
      </w:r>
      <w:r w:rsidR="00811336">
        <w:t xml:space="preserve">overnment </w:t>
      </w:r>
      <w:r w:rsidR="00CF188D">
        <w:t>through</w:t>
      </w:r>
      <w:r w:rsidR="00811336">
        <w:t xml:space="preserve"> a royalty would have a major impact on the cash flow position of existing projects. </w:t>
      </w:r>
      <w:r w:rsidR="008144EA">
        <w:t>T</w:t>
      </w:r>
      <w:r>
        <w:t xml:space="preserve">he PRRT </w:t>
      </w:r>
      <w:r w:rsidRPr="002B09C4">
        <w:t xml:space="preserve">was </w:t>
      </w:r>
      <w:r w:rsidR="002B09C4">
        <w:t>introduced</w:t>
      </w:r>
      <w:r>
        <w:t xml:space="preserve"> to overcome deficiencies in excise and royalty regimes, particular</w:t>
      </w:r>
      <w:r w:rsidR="007C0AEC">
        <w:t xml:space="preserve">ly </w:t>
      </w:r>
      <w:r w:rsidR="00CF188D">
        <w:t>because</w:t>
      </w:r>
      <w:r>
        <w:t xml:space="preserve"> they may discourage investment in more marginal projects. </w:t>
      </w:r>
      <w:r w:rsidR="00C84AC5">
        <w:t xml:space="preserve">The fact that projects have proceeded onshore under a state royalty regime does not help with questions regarding which projects might have been discouraged by the regime. </w:t>
      </w:r>
      <w:r>
        <w:t xml:space="preserve">While applying a royalty to offshore projects would equate them with onshore projects that are now subject to state royalties, the </w:t>
      </w:r>
      <w:r w:rsidR="00C84AC5">
        <w:t xml:space="preserve">starting base </w:t>
      </w:r>
      <w:r w:rsidR="00CF188D">
        <w:t>arrangements</w:t>
      </w:r>
      <w:r w:rsidR="00C84AC5">
        <w:t xml:space="preserve"> </w:t>
      </w:r>
      <w:r>
        <w:t>th</w:t>
      </w:r>
      <w:r w:rsidR="00C84AC5">
        <w:t>at</w:t>
      </w:r>
      <w:r>
        <w:t xml:space="preserve"> onshore projects gained when they were brought under the PRRT </w:t>
      </w:r>
      <w:r w:rsidR="00C84AC5">
        <w:t xml:space="preserve">mean that </w:t>
      </w:r>
      <w:r>
        <w:t xml:space="preserve">they </w:t>
      </w:r>
      <w:r w:rsidR="00C84AC5">
        <w:t xml:space="preserve">are </w:t>
      </w:r>
      <w:r>
        <w:t>unlikely to</w:t>
      </w:r>
      <w:r w:rsidDel="00C84AC5">
        <w:t xml:space="preserve"> </w:t>
      </w:r>
      <w:r>
        <w:t>ever pay PRRT.</w:t>
      </w:r>
    </w:p>
    <w:p w14:paraId="7814B22D" w14:textId="15F29EFB" w:rsidR="00AA7794" w:rsidRDefault="00AA7794" w:rsidP="00AA7794">
      <w:r>
        <w:t xml:space="preserve">The argument that there are no economic rents in LNG </w:t>
      </w:r>
      <w:r w:rsidR="007A599B">
        <w:t xml:space="preserve">projects, </w:t>
      </w:r>
      <w:r>
        <w:t xml:space="preserve">and as such the PRRT is not appropriate </w:t>
      </w:r>
      <w:r w:rsidR="007A599B">
        <w:t xml:space="preserve">for such projects, </w:t>
      </w:r>
      <w:r>
        <w:t xml:space="preserve">appears to be based on the assumption that oil and gas prices will largely remain </w:t>
      </w:r>
      <w:r w:rsidR="008144EA">
        <w:t>at low levels over</w:t>
      </w:r>
      <w:r>
        <w:t xml:space="preserve"> the life of current projects.</w:t>
      </w:r>
      <w:r w:rsidR="008144EA">
        <w:t xml:space="preserve"> As noted previously, modelling suggests </w:t>
      </w:r>
      <w:r w:rsidR="00787FA4">
        <w:t>that based</w:t>
      </w:r>
      <w:r w:rsidR="008144EA">
        <w:t xml:space="preserve"> on a </w:t>
      </w:r>
      <w:r w:rsidR="00CF188D">
        <w:t>moderate</w:t>
      </w:r>
      <w:r w:rsidR="008144EA">
        <w:t xml:space="preserve"> oil price assumption, most current </w:t>
      </w:r>
      <w:r w:rsidR="00CF188D">
        <w:t xml:space="preserve">offshore </w:t>
      </w:r>
      <w:r w:rsidR="008144EA">
        <w:t xml:space="preserve">LNG projects </w:t>
      </w:r>
      <w:r w:rsidR="00CF188D">
        <w:t>are expected</w:t>
      </w:r>
      <w:r w:rsidR="008144EA">
        <w:t xml:space="preserve"> pay PRRT. Claims that major </w:t>
      </w:r>
      <w:r w:rsidR="00CF188D">
        <w:t xml:space="preserve">offshore </w:t>
      </w:r>
      <w:r w:rsidR="008144EA">
        <w:t xml:space="preserve">LNG projects will not pay PRRT appear to ignore the impact of </w:t>
      </w:r>
      <w:r w:rsidR="008709C4">
        <w:t>compulsory</w:t>
      </w:r>
      <w:r w:rsidR="008144EA">
        <w:t xml:space="preserve"> transfer</w:t>
      </w:r>
      <w:r w:rsidR="008709C4">
        <w:t>s</w:t>
      </w:r>
      <w:r w:rsidR="008144EA">
        <w:t xml:space="preserve"> of exploration expenditures</w:t>
      </w:r>
      <w:r w:rsidR="00811336">
        <w:t xml:space="preserve"> between projects </w:t>
      </w:r>
      <w:r w:rsidR="007C0AEC">
        <w:t xml:space="preserve">held within a wholly owned group of </w:t>
      </w:r>
      <w:r w:rsidR="00811336">
        <w:t>compan</w:t>
      </w:r>
      <w:r w:rsidR="007C0AEC">
        <w:t>ies</w:t>
      </w:r>
      <w:r w:rsidR="008144EA">
        <w:t>.</w:t>
      </w:r>
    </w:p>
    <w:p w14:paraId="4D0464BA" w14:textId="17248F7C" w:rsidR="00AA7794" w:rsidRDefault="00AA7794" w:rsidP="00AA7794">
      <w:r>
        <w:t>It was judged that such issues as</w:t>
      </w:r>
      <w:r w:rsidR="00BC55DC">
        <w:t>:</w:t>
      </w:r>
      <w:r>
        <w:t xml:space="preserve"> introducing </w:t>
      </w:r>
      <w:r w:rsidR="00BC55DC">
        <w:t>measures</w:t>
      </w:r>
      <w:r>
        <w:t xml:space="preserve"> to curb the cost of petroleum projects</w:t>
      </w:r>
      <w:r w:rsidR="00BC55DC">
        <w:t>;</w:t>
      </w:r>
      <w:r w:rsidRPr="00BC55DC">
        <w:t xml:space="preserve"> improv</w:t>
      </w:r>
      <w:r w:rsidR="00BC55DC">
        <w:t>ing</w:t>
      </w:r>
      <w:r>
        <w:t xml:space="preserve"> arrangements for the sharing of infrastructure</w:t>
      </w:r>
      <w:r w:rsidR="00BC55DC">
        <w:t>;</w:t>
      </w:r>
      <w:r>
        <w:t xml:space="preserve"> discouraging the development of projects for environmental reasons</w:t>
      </w:r>
      <w:r w:rsidR="00BC55DC">
        <w:t>;</w:t>
      </w:r>
      <w:r>
        <w:t xml:space="preserve"> </w:t>
      </w:r>
      <w:r w:rsidR="003258C0">
        <w:t>and</w:t>
      </w:r>
      <w:r>
        <w:t xml:space="preserve">  introduc</w:t>
      </w:r>
      <w:r w:rsidR="00BC55DC">
        <w:t>ing</w:t>
      </w:r>
      <w:r>
        <w:t xml:space="preserve">  a </w:t>
      </w:r>
      <w:r w:rsidR="005D6F39">
        <w:t>‘</w:t>
      </w:r>
      <w:r>
        <w:t xml:space="preserve"> royalty for regions</w:t>
      </w:r>
      <w:r w:rsidR="005D6F39">
        <w:t>’</w:t>
      </w:r>
      <w:r>
        <w:t xml:space="preserve"> tax</w:t>
      </w:r>
      <w:r w:rsidR="003258C0">
        <w:t>,</w:t>
      </w:r>
      <w:r>
        <w:t xml:space="preserve"> were outside the scope of the </w:t>
      </w:r>
      <w:r w:rsidR="00BC55DC">
        <w:t>review</w:t>
      </w:r>
      <w:r>
        <w:t>.</w:t>
      </w:r>
    </w:p>
    <w:p w14:paraId="3C99217E" w14:textId="773E3547" w:rsidR="00AA7794" w:rsidRDefault="00AA7794" w:rsidP="00AA7794">
      <w:r w:rsidRPr="008D3670">
        <w:t xml:space="preserve">The </w:t>
      </w:r>
      <w:r w:rsidR="00A26FAA">
        <w:t>overall assessment is that</w:t>
      </w:r>
      <w:r w:rsidR="00CF188D">
        <w:t xml:space="preserve"> while the PRRT remains the preferred way to achieve a fair return to the community for the extraction of petroleum resources without discouraging investment</w:t>
      </w:r>
      <w:r w:rsidR="00093497">
        <w:t xml:space="preserve">, </w:t>
      </w:r>
      <w:r w:rsidR="00093497" w:rsidRPr="008D3670">
        <w:t>changes</w:t>
      </w:r>
      <w:r w:rsidRPr="008D3670">
        <w:t xml:space="preserve"> </w:t>
      </w:r>
      <w:r w:rsidR="00A26FAA">
        <w:t xml:space="preserve">should be made </w:t>
      </w:r>
      <w:r w:rsidRPr="008D3670">
        <w:t xml:space="preserve">to PRRT arrangements </w:t>
      </w:r>
      <w:r w:rsidR="003F0D60" w:rsidRPr="008D3670">
        <w:t xml:space="preserve">to make them more </w:t>
      </w:r>
      <w:r w:rsidR="00490D02" w:rsidRPr="008D3670">
        <w:t>compatible</w:t>
      </w:r>
      <w:r w:rsidR="003F0D60" w:rsidRPr="008D3670">
        <w:t xml:space="preserve"> with </w:t>
      </w:r>
      <w:r w:rsidR="000503D3">
        <w:t xml:space="preserve">the </w:t>
      </w:r>
      <w:r w:rsidR="003F0D60" w:rsidRPr="008D3670">
        <w:t xml:space="preserve">developments </w:t>
      </w:r>
      <w:r w:rsidR="000503D3">
        <w:t>that have taken place</w:t>
      </w:r>
      <w:r w:rsidR="003F0D60">
        <w:t xml:space="preserve"> </w:t>
      </w:r>
      <w:r w:rsidR="003F0D60" w:rsidRPr="008D3670">
        <w:t xml:space="preserve">in the </w:t>
      </w:r>
      <w:r w:rsidR="00A26FAA">
        <w:t xml:space="preserve">Australian </w:t>
      </w:r>
      <w:r w:rsidR="003F0D60" w:rsidRPr="008D3670">
        <w:t>oil and gas industry</w:t>
      </w:r>
      <w:r w:rsidR="00A26FAA">
        <w:t>. However</w:t>
      </w:r>
      <w:r w:rsidR="003258C0">
        <w:t>,</w:t>
      </w:r>
      <w:r w:rsidR="00A26FAA">
        <w:t xml:space="preserve"> the timing of any changes</w:t>
      </w:r>
      <w:r w:rsidR="003F0D60" w:rsidRPr="008D3670">
        <w:t xml:space="preserve"> </w:t>
      </w:r>
      <w:r w:rsidRPr="008D3670">
        <w:t xml:space="preserve">will need to take into account that there </w:t>
      </w:r>
      <w:r w:rsidR="00787FA4" w:rsidRPr="008D3670">
        <w:t>have</w:t>
      </w:r>
      <w:r w:rsidRPr="008D3670">
        <w:t xml:space="preserve"> been very large investments in the Australian petroleum industry based on tax arrangements that have been in place for nearly 30 years.</w:t>
      </w:r>
      <w:r>
        <w:t xml:space="preserve"> Fiscal certainty is an important factor influencing a countr</w:t>
      </w:r>
      <w:r w:rsidR="00C84AC5">
        <w:t>y</w:t>
      </w:r>
      <w:r w:rsidR="005D6F39">
        <w:t>’</w:t>
      </w:r>
      <w:r>
        <w:t xml:space="preserve">s investment attractiveness. In addition, for the large projects that have recently or will soon commence in Australia, a combination of cost over runs and a fall in oil prices are such that the returns from these projects will be significantly lower than expected when </w:t>
      </w:r>
      <w:r w:rsidR="00CF188D">
        <w:t xml:space="preserve">these </w:t>
      </w:r>
      <w:r>
        <w:t>investment decisions were taken.</w:t>
      </w:r>
    </w:p>
    <w:p w14:paraId="755484B9" w14:textId="58A88455" w:rsidR="00A15538" w:rsidRDefault="00640192" w:rsidP="00640192">
      <w:r w:rsidRPr="008D3670">
        <w:t>A</w:t>
      </w:r>
      <w:r w:rsidR="00AA7794" w:rsidRPr="008D3670">
        <w:t xml:space="preserve">ny significant increase in the tax on </w:t>
      </w:r>
      <w:r w:rsidR="000503D3">
        <w:t>existing</w:t>
      </w:r>
      <w:r w:rsidR="00AA7794">
        <w:t xml:space="preserve"> </w:t>
      </w:r>
      <w:r w:rsidR="00AA7794" w:rsidRPr="008D3670">
        <w:t xml:space="preserve">petroleum projects may substantially increase perceptions of the fiscal risk associated with investments in Australia and may deter future investment. </w:t>
      </w:r>
      <w:r w:rsidR="00DE7DC3">
        <w:t>Moreo</w:t>
      </w:r>
      <w:r w:rsidR="001F2366">
        <w:t>ver</w:t>
      </w:r>
      <w:r w:rsidR="003258C0">
        <w:t>,</w:t>
      </w:r>
      <w:r w:rsidR="001F2366">
        <w:t xml:space="preserve"> concerns over fiscal risk are</w:t>
      </w:r>
      <w:r w:rsidR="00DE7DC3">
        <w:t xml:space="preserve"> likely to be exacerbated if changes impacting on existing projects are perceived to be ad</w:t>
      </w:r>
      <w:r w:rsidR="005D6F39">
        <w:noBreakHyphen/>
      </w:r>
      <w:r w:rsidR="00DE7DC3">
        <w:t xml:space="preserve">hoc and </w:t>
      </w:r>
      <w:r w:rsidR="00093497">
        <w:t>arbitrary</w:t>
      </w:r>
      <w:r w:rsidR="001F2366">
        <w:t xml:space="preserve">. </w:t>
      </w:r>
      <w:r w:rsidR="002B101C">
        <w:t>Indeed</w:t>
      </w:r>
      <w:r w:rsidR="00A26FAA">
        <w:t xml:space="preserve">, some of the issues raised about the appropriateness of existing PRRT arrangements are the result of changes </w:t>
      </w:r>
      <w:r w:rsidR="00A15538">
        <w:t>made in the past that did not fully take into account the integrated nature of the PRRT and how they may impact on future developments in the petroleum industry.</w:t>
      </w:r>
    </w:p>
    <w:p w14:paraId="4D0B3C96" w14:textId="16C1B2C0" w:rsidR="00093497" w:rsidRDefault="001F2366" w:rsidP="00C23182">
      <w:pPr>
        <w:rPr>
          <w:sz w:val="24"/>
          <w:szCs w:val="24"/>
          <w:lang w:val="en"/>
        </w:rPr>
      </w:pPr>
      <w:r>
        <w:t>Consequently while the PRRT should be updated so that it is</w:t>
      </w:r>
      <w:r w:rsidR="004D3E04">
        <w:t xml:space="preserve"> more compatible </w:t>
      </w:r>
      <w:r w:rsidR="00093497">
        <w:t>with a petroleum</w:t>
      </w:r>
      <w:r>
        <w:t xml:space="preserve"> indust</w:t>
      </w:r>
      <w:r w:rsidR="004D3E04">
        <w:t>ry</w:t>
      </w:r>
      <w:r>
        <w:t xml:space="preserve"> that is </w:t>
      </w:r>
      <w:r w:rsidR="00532E09">
        <w:t>primarily</w:t>
      </w:r>
      <w:r>
        <w:t xml:space="preserve"> base</w:t>
      </w:r>
      <w:r w:rsidR="004D3E04">
        <w:t xml:space="preserve">d on </w:t>
      </w:r>
      <w:r w:rsidR="00532E09">
        <w:t>large</w:t>
      </w:r>
      <w:r w:rsidR="005D6F39">
        <w:noBreakHyphen/>
      </w:r>
      <w:r w:rsidR="00532E09">
        <w:t>scale, long</w:t>
      </w:r>
      <w:r w:rsidR="005D6F39">
        <w:noBreakHyphen/>
      </w:r>
      <w:r w:rsidR="00532E09">
        <w:t xml:space="preserve">term </w:t>
      </w:r>
      <w:r w:rsidR="004D3E04">
        <w:t>gas</w:t>
      </w:r>
      <w:r w:rsidR="00532E09">
        <w:t xml:space="preserve"> projects</w:t>
      </w:r>
      <w:r w:rsidR="004D3E04">
        <w:t>, this should be the outcome of a considered, comprehensive and consultative process.</w:t>
      </w:r>
      <w:r>
        <w:t xml:space="preserve"> </w:t>
      </w:r>
      <w:r w:rsidR="00532E09">
        <w:t xml:space="preserve">The outcome of such a process could result in substantial changes to the PRRT regime. </w:t>
      </w:r>
      <w:r w:rsidR="00532E09" w:rsidDel="00433C69">
        <w:t>I</w:t>
      </w:r>
      <w:r w:rsidR="00532E09">
        <w:t xml:space="preserve">f these </w:t>
      </w:r>
      <w:r w:rsidR="00DE4962">
        <w:t xml:space="preserve">changes were applied to existing projects it would represent a significant departure from the arrangements </w:t>
      </w:r>
      <w:r w:rsidR="00093497">
        <w:t>under which</w:t>
      </w:r>
      <w:r w:rsidR="00DE4962">
        <w:t xml:space="preserve"> there has been very large investment to date. </w:t>
      </w:r>
      <w:r w:rsidR="00D268A4" w:rsidRPr="008076C5">
        <w:rPr>
          <w:szCs w:val="22"/>
        </w:rPr>
        <w:t xml:space="preserve">Given the importance </w:t>
      </w:r>
      <w:r w:rsidR="00093497" w:rsidRPr="008076C5">
        <w:rPr>
          <w:szCs w:val="22"/>
        </w:rPr>
        <w:t xml:space="preserve">of </w:t>
      </w:r>
      <w:r w:rsidR="00093497" w:rsidRPr="008076C5">
        <w:rPr>
          <w:szCs w:val="22"/>
          <w:lang w:val="en"/>
        </w:rPr>
        <w:t>fiscal</w:t>
      </w:r>
      <w:r w:rsidR="00D268A4" w:rsidRPr="008076C5">
        <w:rPr>
          <w:szCs w:val="22"/>
          <w:lang w:val="en"/>
        </w:rPr>
        <w:t xml:space="preserve"> </w:t>
      </w:r>
      <w:r w:rsidR="00093497" w:rsidRPr="008076C5">
        <w:rPr>
          <w:szCs w:val="22"/>
          <w:lang w:val="en"/>
        </w:rPr>
        <w:t>stability in</w:t>
      </w:r>
      <w:r w:rsidR="00D268A4" w:rsidRPr="008076C5">
        <w:rPr>
          <w:szCs w:val="22"/>
          <w:lang w:val="en"/>
        </w:rPr>
        <w:t xml:space="preserve"> </w:t>
      </w:r>
      <w:r w:rsidR="00093497" w:rsidRPr="008076C5">
        <w:rPr>
          <w:szCs w:val="22"/>
          <w:lang w:val="en"/>
        </w:rPr>
        <w:t>influencing a</w:t>
      </w:r>
      <w:r w:rsidR="00D268A4" w:rsidRPr="008076C5">
        <w:rPr>
          <w:szCs w:val="22"/>
          <w:lang w:val="en"/>
        </w:rPr>
        <w:t xml:space="preserve"> country</w:t>
      </w:r>
      <w:r w:rsidR="005D6F39">
        <w:rPr>
          <w:szCs w:val="22"/>
          <w:lang w:val="en"/>
        </w:rPr>
        <w:t>’</w:t>
      </w:r>
      <w:r w:rsidR="00D268A4" w:rsidRPr="008076C5">
        <w:rPr>
          <w:szCs w:val="22"/>
          <w:lang w:val="en"/>
        </w:rPr>
        <w:t xml:space="preserve">s investment attractiveness, </w:t>
      </w:r>
      <w:r w:rsidR="00DE4962" w:rsidRPr="008076C5">
        <w:rPr>
          <w:szCs w:val="22"/>
          <w:lang w:val="en"/>
        </w:rPr>
        <w:t>any major</w:t>
      </w:r>
      <w:r w:rsidR="00D268A4" w:rsidRPr="008076C5">
        <w:rPr>
          <w:szCs w:val="22"/>
          <w:lang w:val="en"/>
        </w:rPr>
        <w:t xml:space="preserve"> change to the design of the </w:t>
      </w:r>
      <w:r w:rsidR="00093497" w:rsidRPr="008076C5">
        <w:rPr>
          <w:szCs w:val="22"/>
          <w:lang w:val="en"/>
        </w:rPr>
        <w:t>PRRT should</w:t>
      </w:r>
      <w:r w:rsidR="00D268A4" w:rsidRPr="008076C5">
        <w:rPr>
          <w:szCs w:val="22"/>
          <w:lang w:val="en"/>
        </w:rPr>
        <w:t xml:space="preserve"> only apply to new projects.</w:t>
      </w:r>
    </w:p>
    <w:p w14:paraId="05137CFF" w14:textId="72DE1278" w:rsidR="00AA7794" w:rsidRDefault="00AE577E" w:rsidP="00AE577E">
      <w:pPr>
        <w:pStyle w:val="Heading2"/>
      </w:pPr>
      <w:bookmarkStart w:id="2015" w:name="_Toc476577303"/>
      <w:bookmarkStart w:id="2016" w:name="_Toc476582291"/>
      <w:bookmarkStart w:id="2017" w:name="_Toc476582965"/>
      <w:bookmarkStart w:id="2018" w:name="_Toc476583682"/>
      <w:bookmarkStart w:id="2019" w:name="_Toc476584130"/>
      <w:bookmarkStart w:id="2020" w:name="_Toc476738036"/>
      <w:bookmarkStart w:id="2021" w:name="_Toc476747611"/>
      <w:bookmarkStart w:id="2022" w:name="_Toc476749019"/>
      <w:bookmarkStart w:id="2023" w:name="_Toc476753887"/>
      <w:bookmarkStart w:id="2024" w:name="_Toc476754382"/>
      <w:bookmarkStart w:id="2025" w:name="_Toc476754547"/>
      <w:bookmarkStart w:id="2026" w:name="_Toc476759783"/>
      <w:bookmarkStart w:id="2027" w:name="_Toc476761405"/>
      <w:bookmarkStart w:id="2028" w:name="_Toc476767043"/>
      <w:bookmarkStart w:id="2029" w:name="_Toc476827089"/>
      <w:bookmarkStart w:id="2030" w:name="_Toc476828782"/>
      <w:bookmarkStart w:id="2031" w:name="_Toc476833656"/>
      <w:bookmarkStart w:id="2032" w:name="_Toc476837129"/>
      <w:bookmarkStart w:id="2033" w:name="_Toc476841002"/>
      <w:bookmarkStart w:id="2034" w:name="_Toc476841207"/>
      <w:bookmarkStart w:id="2035" w:name="_Toc476841966"/>
      <w:bookmarkStart w:id="2036" w:name="_Toc476842910"/>
      <w:bookmarkStart w:id="2037" w:name="_Toc476843081"/>
      <w:bookmarkStart w:id="2038" w:name="_Toc476844579"/>
      <w:bookmarkStart w:id="2039" w:name="_Toc476845472"/>
      <w:bookmarkStart w:id="2040" w:name="_Toc476926863"/>
      <w:bookmarkStart w:id="2041" w:name="_Toc476926802"/>
      <w:bookmarkStart w:id="2042" w:name="_Toc476927150"/>
      <w:bookmarkStart w:id="2043" w:name="_Toc476928414"/>
      <w:bookmarkStart w:id="2044" w:name="_Toc476929457"/>
      <w:bookmarkStart w:id="2045" w:name="_Toc476929632"/>
      <w:bookmarkStart w:id="2046" w:name="_Toc476930675"/>
      <w:bookmarkStart w:id="2047" w:name="_Toc476931482"/>
      <w:bookmarkStart w:id="2048" w:name="_Toc477869852"/>
      <w:bookmarkStart w:id="2049" w:name="_Toc477871091"/>
      <w:bookmarkStart w:id="2050" w:name="_Toc477873250"/>
      <w:bookmarkStart w:id="2051" w:name="_Toc477875244"/>
      <w:bookmarkStart w:id="2052" w:name="_Toc477880157"/>
      <w:bookmarkStart w:id="2053" w:name="_Toc477881417"/>
      <w:bookmarkStart w:id="2054" w:name="_Toc477955821"/>
      <w:bookmarkStart w:id="2055" w:name="_Toc477963066"/>
      <w:bookmarkStart w:id="2056" w:name="_Toc477963552"/>
      <w:bookmarkStart w:id="2057" w:name="_Toc477965138"/>
      <w:bookmarkStart w:id="2058" w:name="_Toc477966642"/>
      <w:bookmarkStart w:id="2059" w:name="_Toc477966811"/>
      <w:bookmarkStart w:id="2060" w:name="_Toc477967151"/>
      <w:bookmarkStart w:id="2061" w:name="_Toc478121285"/>
      <w:bookmarkStart w:id="2062" w:name="_Toc478122198"/>
      <w:bookmarkStart w:id="2063" w:name="_Toc478133198"/>
      <w:bookmarkStart w:id="2064" w:name="_Toc478132335"/>
      <w:bookmarkStart w:id="2065" w:name="_Toc478132856"/>
      <w:bookmarkStart w:id="2066" w:name="_Toc478134664"/>
      <w:bookmarkStart w:id="2067" w:name="_Toc478137366"/>
      <w:bookmarkStart w:id="2068" w:name="_Toc478138438"/>
      <w:bookmarkStart w:id="2069" w:name="_Toc478140008"/>
      <w:bookmarkStart w:id="2070" w:name="_Toc478140424"/>
      <w:bookmarkStart w:id="2071" w:name="_Toc478142630"/>
      <w:bookmarkStart w:id="2072" w:name="_Toc478566346"/>
      <w:bookmarkStart w:id="2073" w:name="_Toc478569513"/>
      <w:bookmarkStart w:id="2074" w:name="_Toc478569687"/>
      <w:bookmarkStart w:id="2075" w:name="_Toc478570761"/>
      <w:bookmarkStart w:id="2076" w:name="_Toc478632960"/>
      <w:bookmarkStart w:id="2077" w:name="_Toc478641368"/>
      <w:bookmarkStart w:id="2078" w:name="_Toc478654262"/>
      <w:bookmarkStart w:id="2079" w:name="_Toc478654436"/>
      <w:bookmarkStart w:id="2080" w:name="_Toc478657731"/>
      <w:bookmarkStart w:id="2081" w:name="_Toc478993154"/>
      <w:bookmarkStart w:id="2082" w:name="_Toc479000225"/>
      <w:bookmarkStart w:id="2083" w:name="_Toc479002159"/>
      <w:bookmarkStart w:id="2084" w:name="_Toc479002331"/>
      <w:bookmarkStart w:id="2085" w:name="_Toc479254306"/>
      <w:bookmarkStart w:id="2086" w:name="_Toc479258495"/>
      <w:bookmarkStart w:id="2087" w:name="_Toc479258811"/>
      <w:bookmarkStart w:id="2088" w:name="_Toc479259703"/>
      <w:bookmarkStart w:id="2089" w:name="_Toc479262126"/>
      <w:bookmarkStart w:id="2090" w:name="_Toc479262547"/>
      <w:bookmarkStart w:id="2091" w:name="_Toc479321248"/>
      <w:bookmarkStart w:id="2092" w:name="_Toc479326687"/>
      <w:bookmarkStart w:id="2093" w:name="_Toc479333286"/>
      <w:bookmarkStart w:id="2094" w:name="_Toc479334983"/>
      <w:bookmarkStart w:id="2095" w:name="_Toc479341698"/>
      <w:bookmarkStart w:id="2096" w:name="_Toc479345114"/>
      <w:bookmarkStart w:id="2097" w:name="_Toc479345323"/>
      <w:bookmarkStart w:id="2098" w:name="_Toc479348304"/>
      <w:bookmarkStart w:id="2099" w:name="_Toc479675898"/>
      <w:bookmarkStart w:id="2100" w:name="_Toc479690865"/>
      <w:bookmarkStart w:id="2101" w:name="_Toc479693443"/>
      <w:bookmarkStart w:id="2102" w:name="_Toc479770612"/>
      <w:r>
        <w:t>Recommendations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5F114436" w14:textId="00A8AC34" w:rsidR="00725A4C" w:rsidRDefault="00C65BB0" w:rsidP="00725A4C">
      <w:r>
        <w:t>T</w:t>
      </w:r>
      <w:r w:rsidR="00725A4C">
        <w:t xml:space="preserve">he </w:t>
      </w:r>
      <w:r>
        <w:t>review</w:t>
      </w:r>
      <w:r w:rsidR="005D6F39">
        <w:t>’</w:t>
      </w:r>
      <w:r>
        <w:t>s recommendations are based on the overall assessment that</w:t>
      </w:r>
      <w:r w:rsidR="000C49B3">
        <w:t>,</w:t>
      </w:r>
      <w:r>
        <w:t xml:space="preserve"> while </w:t>
      </w:r>
      <w:r w:rsidR="00725A4C">
        <w:t xml:space="preserve">the PRRT is a sound basis for taxing petroleum resources, </w:t>
      </w:r>
      <w:r>
        <w:t xml:space="preserve">it needs to be </w:t>
      </w:r>
      <w:r w:rsidR="00093497">
        <w:t>updated so</w:t>
      </w:r>
      <w:r w:rsidR="00725A4C">
        <w:t xml:space="preserve"> that </w:t>
      </w:r>
      <w:r>
        <w:t xml:space="preserve">it </w:t>
      </w:r>
      <w:r w:rsidR="00093497">
        <w:t>is more</w:t>
      </w:r>
      <w:r w:rsidR="00725A4C">
        <w:t xml:space="preserve"> compatible with the current state of the Australian petroleum industry. </w:t>
      </w:r>
      <w:r w:rsidR="00725A4C" w:rsidRPr="00E275BF">
        <w:t xml:space="preserve">In considering the extent and timing of any changes to the PRRT, </w:t>
      </w:r>
      <w:r>
        <w:t xml:space="preserve">however, </w:t>
      </w:r>
      <w:r w:rsidR="00725A4C" w:rsidRPr="00E275BF">
        <w:t>allowance has to be made for the very large recent investment in the Australian petroleum sector on the basis of long</w:t>
      </w:r>
      <w:r w:rsidR="005D6F39">
        <w:noBreakHyphen/>
      </w:r>
      <w:r w:rsidR="00725A4C" w:rsidRPr="00E275BF">
        <w:t>standing taxation arrangements. Major changes to the PRRT that significantly increase the PRRT paid on existing projects could have adverse implications for Australia</w:t>
      </w:r>
      <w:r w:rsidR="005D6F39">
        <w:t>’</w:t>
      </w:r>
      <w:r w:rsidR="00725A4C" w:rsidRPr="00E275BF">
        <w:t>s reputation as a</w:t>
      </w:r>
      <w:r w:rsidR="00CF188D">
        <w:t xml:space="preserve"> stable</w:t>
      </w:r>
      <w:r w:rsidR="00725A4C" w:rsidRPr="00E275BF">
        <w:t xml:space="preserve"> investment destination.</w:t>
      </w:r>
    </w:p>
    <w:p w14:paraId="3472AB27" w14:textId="5A3EB5BE" w:rsidR="00725A4C" w:rsidRDefault="00725A4C" w:rsidP="00725A4C">
      <w:r w:rsidDel="00845BD2">
        <w:t>Consequently</w:t>
      </w:r>
      <w:r>
        <w:t xml:space="preserve"> </w:t>
      </w:r>
      <w:r w:rsidDel="00845BD2">
        <w:t>t</w:t>
      </w:r>
      <w:r>
        <w:t>he review</w:t>
      </w:r>
      <w:r w:rsidR="005D6F39">
        <w:t>’</w:t>
      </w:r>
      <w:r>
        <w:t>s recommendations are in t</w:t>
      </w:r>
      <w:r w:rsidR="00DE4962">
        <w:t>wo</w:t>
      </w:r>
      <w:r>
        <w:t xml:space="preserve"> parts</w:t>
      </w:r>
      <w:r w:rsidR="000C49B3">
        <w:t>:</w:t>
      </w:r>
      <w:r>
        <w:t xml:space="preserve"> </w:t>
      </w:r>
      <w:r w:rsidR="000C49B3">
        <w:t>f</w:t>
      </w:r>
      <w:r>
        <w:t xml:space="preserve">irst, </w:t>
      </w:r>
      <w:r w:rsidR="001B08B1">
        <w:t xml:space="preserve">a process to update the PRRT with resulting </w:t>
      </w:r>
      <w:r w:rsidR="00093497">
        <w:t>changes only</w:t>
      </w:r>
      <w:r w:rsidR="001B08B1">
        <w:t xml:space="preserve"> applying to new projects</w:t>
      </w:r>
      <w:r w:rsidR="000C49B3">
        <w:t>; and,</w:t>
      </w:r>
      <w:r w:rsidR="00C65BB0">
        <w:t xml:space="preserve"> </w:t>
      </w:r>
      <w:r w:rsidR="000C49B3">
        <w:t>s</w:t>
      </w:r>
      <w:r w:rsidR="00C65BB0">
        <w:t xml:space="preserve">econd, </w:t>
      </w:r>
      <w:r>
        <w:t>changes to improve the integrity</w:t>
      </w:r>
      <w:r w:rsidR="00DE4962">
        <w:t>,</w:t>
      </w:r>
      <w:r>
        <w:t xml:space="preserve"> efficiency </w:t>
      </w:r>
      <w:r w:rsidR="00DE4962">
        <w:t xml:space="preserve">and administration </w:t>
      </w:r>
      <w:r>
        <w:t xml:space="preserve">of </w:t>
      </w:r>
      <w:r w:rsidR="001B08B1">
        <w:t>the</w:t>
      </w:r>
      <w:r>
        <w:t xml:space="preserve"> PRRT </w:t>
      </w:r>
      <w:r w:rsidR="001B08B1">
        <w:t>that will</w:t>
      </w:r>
      <w:r>
        <w:t xml:space="preserve"> apply to existing </w:t>
      </w:r>
      <w:r w:rsidR="001B08B1">
        <w:t xml:space="preserve">and new </w:t>
      </w:r>
      <w:r>
        <w:t>PRRT projects.</w:t>
      </w:r>
    </w:p>
    <w:p w14:paraId="3B784165" w14:textId="051BE279" w:rsidR="00611D98" w:rsidRDefault="00CF188D" w:rsidP="00611D98">
      <w:pPr>
        <w:pStyle w:val="Heading3"/>
      </w:pPr>
      <w:bookmarkStart w:id="2103" w:name="_Toc478993155"/>
      <w:bookmarkStart w:id="2104" w:name="_Toc479000226"/>
      <w:bookmarkStart w:id="2105" w:name="_Toc479002160"/>
      <w:bookmarkStart w:id="2106" w:name="_Toc479002332"/>
      <w:bookmarkStart w:id="2107" w:name="_Toc479254307"/>
      <w:bookmarkStart w:id="2108" w:name="_Toc479258496"/>
      <w:bookmarkStart w:id="2109" w:name="_Toc479258812"/>
      <w:bookmarkStart w:id="2110" w:name="_Toc479259704"/>
      <w:bookmarkStart w:id="2111" w:name="_Toc479262127"/>
      <w:bookmarkStart w:id="2112" w:name="_Toc479262548"/>
      <w:bookmarkStart w:id="2113" w:name="_Toc479321249"/>
      <w:bookmarkStart w:id="2114" w:name="_Toc479326688"/>
      <w:bookmarkStart w:id="2115" w:name="_Toc479333287"/>
      <w:bookmarkStart w:id="2116" w:name="_Toc479334984"/>
      <w:bookmarkStart w:id="2117" w:name="_Toc479341699"/>
      <w:bookmarkStart w:id="2118" w:name="_Toc479345115"/>
      <w:bookmarkStart w:id="2119" w:name="_Toc479345324"/>
      <w:bookmarkStart w:id="2120" w:name="_Toc479348305"/>
      <w:bookmarkStart w:id="2121" w:name="_Toc479675899"/>
      <w:bookmarkStart w:id="2122" w:name="_Toc479690866"/>
      <w:bookmarkStart w:id="2123" w:name="_Toc479693444"/>
      <w:bookmarkStart w:id="2124" w:name="_Toc479770613"/>
      <w:bookmarkStart w:id="2125" w:name="_Toc478121286"/>
      <w:bookmarkStart w:id="2126" w:name="_Toc478122199"/>
      <w:bookmarkStart w:id="2127" w:name="_Toc478133199"/>
      <w:bookmarkStart w:id="2128" w:name="_Toc478132336"/>
      <w:bookmarkStart w:id="2129" w:name="_Toc478132857"/>
      <w:bookmarkStart w:id="2130" w:name="_Toc478134665"/>
      <w:bookmarkStart w:id="2131" w:name="_Toc478137367"/>
      <w:bookmarkStart w:id="2132" w:name="_Toc478138439"/>
      <w:bookmarkStart w:id="2133" w:name="_Toc478140009"/>
      <w:bookmarkStart w:id="2134" w:name="_Toc478140425"/>
      <w:bookmarkStart w:id="2135" w:name="_Toc478142631"/>
      <w:bookmarkStart w:id="2136" w:name="_Toc478566347"/>
      <w:bookmarkStart w:id="2137" w:name="_Toc478569514"/>
      <w:bookmarkStart w:id="2138" w:name="_Toc478569688"/>
      <w:bookmarkStart w:id="2139" w:name="_Toc478570762"/>
      <w:bookmarkStart w:id="2140" w:name="_Toc478632961"/>
      <w:bookmarkStart w:id="2141" w:name="_Toc478641369"/>
      <w:bookmarkStart w:id="2142" w:name="_Toc478654263"/>
      <w:bookmarkStart w:id="2143" w:name="_Toc478654437"/>
      <w:bookmarkStart w:id="2144" w:name="_Toc478657732"/>
      <w:r>
        <w:t xml:space="preserve">Part A. </w:t>
      </w:r>
      <w:r w:rsidR="00611D98">
        <w:t xml:space="preserve">Recommended changes </w:t>
      </w:r>
      <w:r w:rsidR="00093497">
        <w:t xml:space="preserve">to </w:t>
      </w:r>
      <w:r w:rsidR="00611D98">
        <w:t>apply to new PRRT projects</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47C4F184" w14:textId="7CB52AD4" w:rsidR="00611D98" w:rsidRDefault="00611D98" w:rsidP="00611D98">
      <w:r w:rsidRPr="001F02A6">
        <w:rPr>
          <w:rStyle w:val="Heading4Char"/>
        </w:rPr>
        <w:t xml:space="preserve">Recommendation </w:t>
      </w:r>
      <w:r>
        <w:rPr>
          <w:rStyle w:val="Heading4Char"/>
        </w:rPr>
        <w:t>1</w:t>
      </w:r>
      <w:r w:rsidRPr="001F02A6">
        <w:rPr>
          <w:rStyle w:val="Heading4Char"/>
        </w:rPr>
        <w:t>.</w:t>
      </w:r>
      <w:r>
        <w:rPr>
          <w:b/>
        </w:rPr>
        <w:t xml:space="preserve"> </w:t>
      </w:r>
      <w:r w:rsidR="00725A4C">
        <w:t>A</w:t>
      </w:r>
      <w:r>
        <w:t xml:space="preserve"> process should be established, involving full consultation with industry and the community, to update the PRRT arrangements so that they are more appropriate to the current Australian oil and gas industry. This process should be comprehensive and take into account the integrated nature of the PRRT along with likely future developments in the Australian petroleum industry.</w:t>
      </w:r>
      <w:r w:rsidR="00B30FC4">
        <w:t xml:space="preserve"> Changes to the PRRT from this process should only apply to new projects </w:t>
      </w:r>
      <w:r w:rsidR="00093497">
        <w:t>(as</w:t>
      </w:r>
      <w:r w:rsidR="00B30FC4">
        <w:t xml:space="preserve"> defined in the PRRT legislation)</w:t>
      </w:r>
      <w:r w:rsidR="00571D96">
        <w:t xml:space="preserve"> after a date to be specified</w:t>
      </w:r>
      <w:r w:rsidR="00B30FC4">
        <w:t>.</w:t>
      </w:r>
      <w:r>
        <w:t xml:space="preserve"> Areas that should be considered include:</w:t>
      </w:r>
    </w:p>
    <w:p w14:paraId="697234C9" w14:textId="09908F7D" w:rsidR="00611D98" w:rsidRPr="00DE31DB" w:rsidRDefault="000C49B3" w:rsidP="00611D98">
      <w:pPr>
        <w:pStyle w:val="Bullet"/>
      </w:pPr>
      <w:r>
        <w:t>c</w:t>
      </w:r>
      <w:r w:rsidR="00611D98">
        <w:t xml:space="preserve">hanging the arrangement </w:t>
      </w:r>
      <w:r w:rsidR="00093497">
        <w:t xml:space="preserve">for </w:t>
      </w:r>
      <w:r w:rsidR="00093497" w:rsidRPr="00DE31DB">
        <w:t>the</w:t>
      </w:r>
      <w:r w:rsidR="00611D98" w:rsidRPr="00DE31DB">
        <w:t xml:space="preserve"> uplift rates for all deductible expenditures such that they are more commensurate with the risk of losing PRRT deductions, taking into account transferability</w:t>
      </w:r>
      <w:r w:rsidR="00C53F64">
        <w:t xml:space="preserve"> and that </w:t>
      </w:r>
      <w:r w:rsidR="00093497">
        <w:t>this risk</w:t>
      </w:r>
      <w:r w:rsidR="00C53F64">
        <w:t xml:space="preserve"> will vary over the life of a project</w:t>
      </w:r>
      <w:r>
        <w:t>;</w:t>
      </w:r>
    </w:p>
    <w:p w14:paraId="5D5FE912" w14:textId="3BE7A232" w:rsidR="00611D98" w:rsidRPr="00DE31DB" w:rsidRDefault="000C49B3" w:rsidP="00611D98">
      <w:pPr>
        <w:pStyle w:val="Bullet"/>
      </w:pPr>
      <w:r>
        <w:t>e</w:t>
      </w:r>
      <w:r w:rsidR="00C53F64">
        <w:t>nsuring</w:t>
      </w:r>
      <w:r w:rsidR="00093497">
        <w:t xml:space="preserve"> that</w:t>
      </w:r>
      <w:r w:rsidR="00611D98" w:rsidRPr="00DE31DB">
        <w:t xml:space="preserve"> classes of expenditure with the highest </w:t>
      </w:r>
      <w:r w:rsidR="00093497" w:rsidRPr="00DE31DB">
        <w:t>uplifts are</w:t>
      </w:r>
      <w:r w:rsidR="00611D98" w:rsidRPr="00DE31DB">
        <w:t xml:space="preserve"> deducted first</w:t>
      </w:r>
      <w:r w:rsidR="00B30FC4">
        <w:t xml:space="preserve"> having regard to how deductions can compound in large, long</w:t>
      </w:r>
      <w:r w:rsidR="005D6F39">
        <w:noBreakHyphen/>
      </w:r>
      <w:r w:rsidR="00B30FC4">
        <w:t>life projects</w:t>
      </w:r>
      <w:r>
        <w:t>;</w:t>
      </w:r>
    </w:p>
    <w:p w14:paraId="437D4084" w14:textId="0D5CA8CC" w:rsidR="00611D98" w:rsidRPr="00DE31DB" w:rsidRDefault="000C49B3" w:rsidP="00611D98">
      <w:pPr>
        <w:pStyle w:val="Bullet"/>
        <w:rPr>
          <w:b/>
          <w:bCs/>
        </w:rPr>
      </w:pPr>
      <w:r>
        <w:t>e</w:t>
      </w:r>
      <w:r w:rsidR="00C53F64">
        <w:t xml:space="preserve">xamining the </w:t>
      </w:r>
      <w:r w:rsidR="00093497">
        <w:t xml:space="preserve">rules </w:t>
      </w:r>
      <w:r w:rsidR="00093497" w:rsidRPr="00DE31DB">
        <w:t>for</w:t>
      </w:r>
      <w:r w:rsidR="00C53F64">
        <w:t xml:space="preserve"> the transferability of deductions between projects in a company </w:t>
      </w:r>
      <w:r w:rsidR="00611D98">
        <w:t xml:space="preserve">to ensure they </w:t>
      </w:r>
      <w:r w:rsidR="00611D98" w:rsidRPr="00DE31DB">
        <w:t>produce a consistent set of outcomes</w:t>
      </w:r>
      <w:r>
        <w:t>; and</w:t>
      </w:r>
    </w:p>
    <w:p w14:paraId="3720CDCA" w14:textId="36C4596D" w:rsidR="00611D98" w:rsidRDefault="000C49B3" w:rsidP="00961174">
      <w:pPr>
        <w:pStyle w:val="Bullet"/>
      </w:pPr>
      <w:r>
        <w:t>e</w:t>
      </w:r>
      <w:r w:rsidR="00C53F64">
        <w:t xml:space="preserve">xamining </w:t>
      </w:r>
      <w:r w:rsidR="00611D98">
        <w:t>the gas transfer pricing arrangements</w:t>
      </w:r>
      <w:r w:rsidR="00C53F64">
        <w:t xml:space="preserve"> to</w:t>
      </w:r>
      <w:r w:rsidR="00611D98">
        <w:t xml:space="preserve"> identify possible changes that would achieve greater simplicity and transparency, ease of compliance, and fair treatment of the economic rent from each stage of an integrated petroleum operation. </w:t>
      </w:r>
      <w:r w:rsidR="00B30FC4">
        <w:t>In particular</w:t>
      </w:r>
      <w:r w:rsidR="00837977">
        <w:t>, issues to consider include</w:t>
      </w:r>
      <w:r w:rsidR="00B30FC4">
        <w:t>:</w:t>
      </w:r>
    </w:p>
    <w:p w14:paraId="00837CF4" w14:textId="60A59A46" w:rsidR="00611D98" w:rsidRDefault="000C49B3" w:rsidP="005A249C">
      <w:pPr>
        <w:pStyle w:val="Dash"/>
      </w:pPr>
      <w:r>
        <w:t>s</w:t>
      </w:r>
      <w:r w:rsidR="009F6F66">
        <w:t>trengthening the scope to u</w:t>
      </w:r>
      <w:r w:rsidR="00611D98">
        <w:t>s</w:t>
      </w:r>
      <w:r w:rsidR="009F6F66">
        <w:t>e</w:t>
      </w:r>
      <w:r w:rsidR="00611D98">
        <w:t xml:space="preserve"> a CUP as the primary method </w:t>
      </w:r>
      <w:r w:rsidR="009F6F66">
        <w:t xml:space="preserve">of setting the gas transfer price </w:t>
      </w:r>
      <w:r w:rsidR="00611D98">
        <w:t>in line with international best practice and recent work by the O</w:t>
      </w:r>
      <w:r w:rsidR="00C03F7E">
        <w:t xml:space="preserve">rganisation for </w:t>
      </w:r>
      <w:r w:rsidR="00611D98">
        <w:t>E</w:t>
      </w:r>
      <w:r w:rsidR="00C03F7E">
        <w:t xml:space="preserve">conomic </w:t>
      </w:r>
      <w:r w:rsidR="00611D98">
        <w:t>C</w:t>
      </w:r>
      <w:r w:rsidR="00C03F7E">
        <w:t>o</w:t>
      </w:r>
      <w:r w:rsidR="005D6F39">
        <w:noBreakHyphen/>
      </w:r>
      <w:r w:rsidR="00C03F7E">
        <w:t xml:space="preserve">operation and </w:t>
      </w:r>
      <w:r w:rsidR="00611D98">
        <w:t>D</w:t>
      </w:r>
      <w:r w:rsidR="00C03F7E">
        <w:t>evelopment (</w:t>
      </w:r>
      <w:r w:rsidR="00611D98">
        <w:t>OECD</w:t>
      </w:r>
      <w:r w:rsidR="00C03F7E">
        <w:t>)</w:t>
      </w:r>
      <w:r>
        <w:t>; and</w:t>
      </w:r>
    </w:p>
    <w:p w14:paraId="23A50DB2" w14:textId="1A080FAA" w:rsidR="00611D98" w:rsidRDefault="000C49B3" w:rsidP="005A249C">
      <w:pPr>
        <w:pStyle w:val="Dash"/>
      </w:pPr>
      <w:r>
        <w:t>w</w:t>
      </w:r>
      <w:r w:rsidR="00611D98">
        <w:t>here a CUP is not available</w:t>
      </w:r>
      <w:r w:rsidR="009F6F66">
        <w:t>, e</w:t>
      </w:r>
      <w:r w:rsidR="00611D98">
        <w:t>xamining the appropriateness of the asymmetric treatment of upstream and downstream operations, the way profits are split between upstream and downstream</w:t>
      </w:r>
      <w:r w:rsidR="00794FC4">
        <w:t>,</w:t>
      </w:r>
      <w:r w:rsidR="00611D98">
        <w:t xml:space="preserve"> and the rate of the capital allowance in the RPM.</w:t>
      </w:r>
    </w:p>
    <w:p w14:paraId="425E4AF0" w14:textId="1AA1F94D" w:rsidR="00725A4C" w:rsidRPr="00093497" w:rsidRDefault="00093497" w:rsidP="00C03F7E">
      <w:pPr>
        <w:pStyle w:val="Heading3"/>
        <w:rPr>
          <w:rStyle w:val="Heading4Char"/>
          <w:b/>
          <w:bCs/>
        </w:rPr>
      </w:pPr>
      <w:bookmarkStart w:id="2145" w:name="_Toc479254308"/>
      <w:bookmarkStart w:id="2146" w:name="_Toc479258497"/>
      <w:bookmarkStart w:id="2147" w:name="_Toc479258813"/>
      <w:bookmarkStart w:id="2148" w:name="_Toc479259705"/>
      <w:bookmarkStart w:id="2149" w:name="_Toc479262128"/>
      <w:bookmarkStart w:id="2150" w:name="_Toc479262549"/>
      <w:bookmarkStart w:id="2151" w:name="_Toc479321250"/>
      <w:bookmarkStart w:id="2152" w:name="_Toc479326689"/>
      <w:bookmarkStart w:id="2153" w:name="_Toc479333288"/>
      <w:bookmarkStart w:id="2154" w:name="_Toc479334985"/>
      <w:bookmarkStart w:id="2155" w:name="_Toc479341700"/>
      <w:bookmarkStart w:id="2156" w:name="_Toc479345116"/>
      <w:bookmarkStart w:id="2157" w:name="_Toc479345325"/>
      <w:bookmarkStart w:id="2158" w:name="_Toc479348306"/>
      <w:bookmarkStart w:id="2159" w:name="_Toc479675900"/>
      <w:bookmarkStart w:id="2160" w:name="_Toc479690867"/>
      <w:bookmarkStart w:id="2161" w:name="_Toc479693445"/>
      <w:bookmarkStart w:id="2162" w:name="_Toc479770614"/>
      <w:r w:rsidRPr="00093497">
        <w:t xml:space="preserve">Part B. </w:t>
      </w:r>
      <w:r w:rsidR="00725A4C" w:rsidRPr="00093497">
        <w:t>Recommended changes</w:t>
      </w:r>
      <w:r w:rsidRPr="00093497">
        <w:t xml:space="preserve"> to</w:t>
      </w:r>
      <w:r w:rsidR="00725A4C" w:rsidRPr="00093497">
        <w:t xml:space="preserve"> apply to existing </w:t>
      </w:r>
      <w:r w:rsidRPr="00093497">
        <w:t xml:space="preserve">and new </w:t>
      </w:r>
      <w:r w:rsidR="00725A4C">
        <w:t>PRRT</w:t>
      </w:r>
      <w:r w:rsidR="00794FC4">
        <w:t> </w:t>
      </w:r>
      <w:r w:rsidR="00725A4C">
        <w:t>p</w:t>
      </w:r>
      <w:r w:rsidR="00725A4C" w:rsidRPr="00093497">
        <w:t>rojects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271E4060" w14:textId="338F9D67" w:rsidR="00725A4C" w:rsidRPr="00794FC4" w:rsidRDefault="00725A4C" w:rsidP="009D05BC">
      <w:r w:rsidRPr="00DE31DB">
        <w:rPr>
          <w:rStyle w:val="Heading4Char"/>
        </w:rPr>
        <w:t>Recommendation 2.</w:t>
      </w:r>
      <w:r w:rsidRPr="00DE31DB">
        <w:t xml:space="preserve"> When the PRRT was extended to onshore projects and the </w:t>
      </w:r>
      <w:r w:rsidR="00794FC4">
        <w:t>NWS</w:t>
      </w:r>
      <w:r w:rsidR="00E714D1">
        <w:t> </w:t>
      </w:r>
      <w:r w:rsidRPr="00DE31DB">
        <w:t>project in 2012, to facilitate the transition</w:t>
      </w:r>
      <w:r w:rsidR="00262810">
        <w:t xml:space="preserve"> </w:t>
      </w:r>
      <w:r w:rsidR="00093497">
        <w:t xml:space="preserve">of </w:t>
      </w:r>
      <w:r w:rsidR="00093497" w:rsidRPr="00DE31DB">
        <w:t>these</w:t>
      </w:r>
      <w:r w:rsidRPr="00DE31DB">
        <w:t xml:space="preserve"> projects </w:t>
      </w:r>
      <w:r w:rsidR="00262810">
        <w:t xml:space="preserve">they </w:t>
      </w:r>
      <w:r w:rsidRPr="00DE31DB">
        <w:t xml:space="preserve">were provided with an additional amount of deductible expenditure called a starting base. The integrity measure introduced at that time which </w:t>
      </w:r>
      <w:r w:rsidR="00093497" w:rsidRPr="00DE31DB">
        <w:t>excluded transitioning</w:t>
      </w:r>
      <w:r w:rsidRPr="00DE31DB">
        <w:t xml:space="preserve"> projects with a starting base from combining with offshore projects should be extended to include a prohibition between transitioning projects with a starting base combining with future onshore projects without a starting base. This will avoid the revenue risk posed by transitioning projects with a starting base combining with</w:t>
      </w:r>
      <w:r w:rsidRPr="00EC6190">
        <w:t xml:space="preserve"> other projects </w:t>
      </w:r>
      <w:r w:rsidR="00262810" w:rsidRPr="00EC6190">
        <w:t xml:space="preserve">without a starting base </w:t>
      </w:r>
      <w:r w:rsidRPr="00EC6190">
        <w:t>to form a single PRRT project that would use the starting base amount as a tax shield for the whole project.</w:t>
      </w:r>
    </w:p>
    <w:p w14:paraId="4E986B55" w14:textId="6DB39751" w:rsidR="00725A4C" w:rsidRDefault="00725A4C" w:rsidP="00DE31DB">
      <w:r w:rsidRPr="001F02A6">
        <w:rPr>
          <w:rStyle w:val="Heading4Char"/>
        </w:rPr>
        <w:t>Recommendation 3.</w:t>
      </w:r>
      <w:r>
        <w:t xml:space="preserve"> Under the PRRT, closing down expenditure is a recognised category of deduction, which may be refunded to the limit of past PRRT payments. The implications for PRRT revenue should be taken into account in the current review of the policy and legislative framework for the decommissioning of projects in Commonwealth waters being undertaken by the Department of Industry, Innovation and Science. Any changes to decommissioning requirements coming from this review should take into account that onerous closing down requirements will significantly affect PRRT revenue.</w:t>
      </w:r>
    </w:p>
    <w:p w14:paraId="4C47C23C" w14:textId="6889353B" w:rsidR="00725A4C" w:rsidRPr="002E757F" w:rsidRDefault="00725A4C" w:rsidP="00DE31DB">
      <w:r w:rsidRPr="001F02A6">
        <w:rPr>
          <w:rStyle w:val="Heading4Char"/>
        </w:rPr>
        <w:t xml:space="preserve">Recommendation </w:t>
      </w:r>
      <w:r w:rsidR="00D67DE6">
        <w:rPr>
          <w:rStyle w:val="Heading4Char"/>
        </w:rPr>
        <w:t>4</w:t>
      </w:r>
      <w:r w:rsidRPr="001F02A6">
        <w:rPr>
          <w:rStyle w:val="Heading4Char"/>
        </w:rPr>
        <w:t>.</w:t>
      </w:r>
      <w:r w:rsidR="00262810">
        <w:rPr>
          <w:rStyle w:val="Heading4Char"/>
        </w:rPr>
        <w:t xml:space="preserve"> </w:t>
      </w:r>
      <w:r>
        <w:t>The PRRT has a linear, or cradle</w:t>
      </w:r>
      <w:r w:rsidR="005D6F39">
        <w:noBreakHyphen/>
      </w:r>
      <w:r>
        <w:t>to</w:t>
      </w:r>
      <w:r w:rsidR="005D6F39">
        <w:noBreakHyphen/>
      </w:r>
      <w:r>
        <w:t>the grave, treatment of the phases involved in a petroleum project</w:t>
      </w:r>
      <w:r w:rsidR="005D6F39">
        <w:t>’</w:t>
      </w:r>
      <w:r>
        <w:t>s operational life and this no longer captures the characteristics of multi</w:t>
      </w:r>
      <w:r w:rsidR="005D6F39">
        <w:noBreakHyphen/>
      </w:r>
      <w:r>
        <w:t>stage projects that have become a common feature of the industry. Projects are now designed to operate for upwards of 40 years, although parts of the project will be closed over that time. The ATO is currently undertaking consultations to clarify the treatment of closing</w:t>
      </w:r>
      <w:r w:rsidR="000C49B3">
        <w:t xml:space="preserve"> </w:t>
      </w:r>
      <w:r>
        <w:t xml:space="preserve">down expenditure within the meaning of the legislation. If this review does not provide sufficient clarity to deal with partial closing down situations, the legislation should be amended to recognise partial closing down </w:t>
      </w:r>
      <w:r w:rsidR="00262810">
        <w:t>expenditure</w:t>
      </w:r>
      <w:r>
        <w:t xml:space="preserve"> as a legitimate </w:t>
      </w:r>
      <w:r w:rsidR="00842886">
        <w:t>general project expense</w:t>
      </w:r>
      <w:r>
        <w:t xml:space="preserve">. There is no reason why expenditure that is deductible when a project is completely closing down should not be deductible </w:t>
      </w:r>
      <w:r w:rsidR="00262810">
        <w:t>because</w:t>
      </w:r>
      <w:r>
        <w:t xml:space="preserve"> the project is partially closing down.</w:t>
      </w:r>
    </w:p>
    <w:p w14:paraId="77F351A2" w14:textId="09CAA08E" w:rsidR="00725A4C" w:rsidRPr="002E757F" w:rsidRDefault="00725A4C" w:rsidP="00DE31DB">
      <w:r w:rsidRPr="001F02A6">
        <w:rPr>
          <w:rStyle w:val="Heading4Char"/>
        </w:rPr>
        <w:t xml:space="preserve">Recommendation </w:t>
      </w:r>
      <w:r w:rsidR="00D67DE6">
        <w:rPr>
          <w:rStyle w:val="Heading4Char"/>
        </w:rPr>
        <w:t>5.</w:t>
      </w:r>
      <w:r w:rsidRPr="002E757F">
        <w:t xml:space="preserve"> Under current PRRT arrangements, a PRRT taxpayer is only required to lodge an annual return with the ATO when a project starts producing assessable receipts. It is only at this point that a PRRT taxpayer is required to disclose the carried forward deduct</w:t>
      </w:r>
      <w:r w:rsidR="00262810">
        <w:t>i</w:t>
      </w:r>
      <w:r w:rsidRPr="002E757F">
        <w:t>ble expenditure for the project to the ATO. Given the long</w:t>
      </w:r>
      <w:r w:rsidR="00794FC4">
        <w:t xml:space="preserve"> </w:t>
      </w:r>
      <w:r w:rsidRPr="002E757F">
        <w:t>lead times for some projects, this expenditure may have occurred many years prior to a return being lodge</w:t>
      </w:r>
      <w:r w:rsidR="00262810">
        <w:t>d</w:t>
      </w:r>
      <w:r w:rsidRPr="002E757F">
        <w:t>, which can result in considerable uncertainty for PRRT taxpayers and significantly restricts the ATO</w:t>
      </w:r>
      <w:r w:rsidR="005D6F39">
        <w:t>’</w:t>
      </w:r>
      <w:r w:rsidRPr="002E757F">
        <w:t xml:space="preserve">s ability to undertake compliance activity. </w:t>
      </w:r>
      <w:r w:rsidR="00262810">
        <w:t>This also affects the ATO</w:t>
      </w:r>
      <w:r w:rsidR="005D6F39">
        <w:t>’</w:t>
      </w:r>
      <w:r w:rsidR="00262810">
        <w:t xml:space="preserve">s ability to provide reliable data to Treasury for revenue forecasting purposes. </w:t>
      </w:r>
      <w:r w:rsidRPr="002E757F">
        <w:t xml:space="preserve">To deal with this, the PRRT arrangements should be amended such that PRRT taxpayers </w:t>
      </w:r>
      <w:r w:rsidR="00616301">
        <w:t xml:space="preserve">are required to </w:t>
      </w:r>
      <w:r w:rsidRPr="002E757F">
        <w:t>lodge annual returns after they start holding an interest in an exploration permit, retention lease or production l</w:t>
      </w:r>
      <w:r w:rsidR="00975831">
        <w:t>icence</w:t>
      </w:r>
      <w:r w:rsidRPr="002E757F">
        <w:t xml:space="preserve"> rather than having to wait until they receive assessable receipts from the project.</w:t>
      </w:r>
    </w:p>
    <w:p w14:paraId="4C8FABE3" w14:textId="535C83AC" w:rsidR="00725A4C" w:rsidRPr="002E757F" w:rsidRDefault="00725A4C" w:rsidP="00DE31DB">
      <w:r w:rsidRPr="001F02A6">
        <w:rPr>
          <w:rStyle w:val="Heading4Char"/>
        </w:rPr>
        <w:t xml:space="preserve">Recommendation </w:t>
      </w:r>
      <w:r w:rsidR="00D67DE6">
        <w:rPr>
          <w:rStyle w:val="Heading4Char"/>
        </w:rPr>
        <w:t>6</w:t>
      </w:r>
      <w:r w:rsidRPr="001F02A6">
        <w:rPr>
          <w:rStyle w:val="Heading4Char"/>
        </w:rPr>
        <w:t>.</w:t>
      </w:r>
      <w:r w:rsidRPr="00794FC4">
        <w:t xml:space="preserve"> </w:t>
      </w:r>
      <w:r w:rsidRPr="002E757F">
        <w:t xml:space="preserve">The PRRT design feature which links a project to a production licence does not align with current commercial practice whereby a production licence may revert to a retention lease. The Commissioner of </w:t>
      </w:r>
      <w:r w:rsidR="00262810">
        <w:t>T</w:t>
      </w:r>
      <w:r w:rsidRPr="002E757F">
        <w:t xml:space="preserve">axation should be given the power to treat a </w:t>
      </w:r>
      <w:r w:rsidR="00262810">
        <w:t xml:space="preserve">new </w:t>
      </w:r>
      <w:r w:rsidRPr="002E757F">
        <w:t xml:space="preserve">project as a continuation of an earlier project, where it would be reasonable to </w:t>
      </w:r>
      <w:r w:rsidR="00262810">
        <w:t>do so.</w:t>
      </w:r>
    </w:p>
    <w:p w14:paraId="3EC1FCDB" w14:textId="10A88E90" w:rsidR="00725A4C" w:rsidRPr="002E757F" w:rsidRDefault="00725A4C" w:rsidP="00DE31DB">
      <w:r w:rsidRPr="001F02A6">
        <w:rPr>
          <w:rStyle w:val="Heading4Char"/>
        </w:rPr>
        <w:t xml:space="preserve">Recommendation </w:t>
      </w:r>
      <w:r w:rsidR="00D67DE6">
        <w:rPr>
          <w:rStyle w:val="Heading4Char"/>
        </w:rPr>
        <w:t>7</w:t>
      </w:r>
      <w:r w:rsidRPr="001F02A6">
        <w:rPr>
          <w:rStyle w:val="Heading4Char"/>
        </w:rPr>
        <w:t>.</w:t>
      </w:r>
      <w:r w:rsidR="001F02A6">
        <w:rPr>
          <w:rStyle w:val="Heading4Char"/>
        </w:rPr>
        <w:t xml:space="preserve"> </w:t>
      </w:r>
      <w:r w:rsidRPr="002E757F">
        <w:t xml:space="preserve">The structure of ownership interests used by the industry is becoming more diverse and fragmented and less likely to remain constant through the life of a project. To deal with these increasingly complex structures that were not envisaged when the PRRT was introduced, the Commissioner of Taxation should be given the discretion to recognise more than one project from a production </w:t>
      </w:r>
      <w:r w:rsidR="00975831">
        <w:t>licenc</w:t>
      </w:r>
      <w:r w:rsidRPr="002E757F">
        <w:t xml:space="preserve">e area </w:t>
      </w:r>
      <w:r w:rsidR="0027235E">
        <w:t>for</w:t>
      </w:r>
      <w:r w:rsidRPr="002E757F">
        <w:t xml:space="preserve"> genuinely separate and independent petroleum operations in the licen</w:t>
      </w:r>
      <w:r w:rsidR="00262810">
        <w:t>c</w:t>
      </w:r>
      <w:r w:rsidRPr="002E757F">
        <w:t>e area.</w:t>
      </w:r>
    </w:p>
    <w:p w14:paraId="330E2BC9" w14:textId="0C051B10" w:rsidR="00725A4C" w:rsidRPr="002E757F" w:rsidRDefault="00725A4C" w:rsidP="00DE31DB">
      <w:r w:rsidRPr="001F02A6">
        <w:rPr>
          <w:rStyle w:val="Heading4Char"/>
        </w:rPr>
        <w:t xml:space="preserve">Recommendation </w:t>
      </w:r>
      <w:r w:rsidR="00D67DE6">
        <w:rPr>
          <w:rStyle w:val="Heading4Char"/>
        </w:rPr>
        <w:t>8</w:t>
      </w:r>
      <w:r w:rsidRPr="001F02A6">
        <w:rPr>
          <w:rStyle w:val="Heading4Char"/>
        </w:rPr>
        <w:t>.</w:t>
      </w:r>
      <w:r w:rsidRPr="002E757F">
        <w:rPr>
          <w:b/>
        </w:rPr>
        <w:t xml:space="preserve"> </w:t>
      </w:r>
      <w:r w:rsidRPr="002E757F">
        <w:t>Entities within a wholly owned group currently have the option to have all the interests held by the group in an onshore project taken together and reported as a single PRRT return (without affecting the pr</w:t>
      </w:r>
      <w:r w:rsidR="00194934">
        <w:t>oject</w:t>
      </w:r>
      <w:r w:rsidR="005D6F39">
        <w:noBreakHyphen/>
      </w:r>
      <w:r w:rsidR="00194934">
        <w:t>based nature of the tax).</w:t>
      </w:r>
      <w:r w:rsidRPr="002E757F">
        <w:t xml:space="preserve"> This compliance cost saving measure should be extended to offshore projects.</w:t>
      </w:r>
    </w:p>
    <w:p w14:paraId="41B289C6" w14:textId="65C0380D" w:rsidR="00725A4C" w:rsidRPr="002E757F" w:rsidRDefault="00725A4C" w:rsidP="00DE31DB">
      <w:pPr>
        <w:rPr>
          <w:b/>
          <w:i/>
        </w:rPr>
      </w:pPr>
      <w:r w:rsidRPr="001F02A6">
        <w:rPr>
          <w:rStyle w:val="Heading4Char"/>
        </w:rPr>
        <w:t xml:space="preserve">Recommendation </w:t>
      </w:r>
      <w:r w:rsidR="00D67DE6">
        <w:rPr>
          <w:rStyle w:val="Heading4Char"/>
        </w:rPr>
        <w:t>9</w:t>
      </w:r>
      <w:r w:rsidRPr="001F02A6">
        <w:rPr>
          <w:rStyle w:val="Heading4Char"/>
        </w:rPr>
        <w:t>.</w:t>
      </w:r>
      <w:r w:rsidRPr="002E757F">
        <w:rPr>
          <w:b/>
        </w:rPr>
        <w:t xml:space="preserve"> </w:t>
      </w:r>
      <w:r w:rsidRPr="002E757F">
        <w:t xml:space="preserve">Currently all PRRT tax payers must prepare their PRRT return on </w:t>
      </w:r>
      <w:r w:rsidR="0018341C">
        <w:t xml:space="preserve">a </w:t>
      </w:r>
      <w:r w:rsidRPr="002E757F">
        <w:t>30</w:t>
      </w:r>
      <w:r w:rsidR="00794FC4">
        <w:t> </w:t>
      </w:r>
      <w:r w:rsidRPr="002E757F">
        <w:t xml:space="preserve">June year end, which is out of step with income tax and accounting rules. The PRRT arrangements should be amended such that PRRT taxpayers can chose to adopt a substituted accounting period for PRRT so it can align with their choice to use a substituted accounting period for income tax. </w:t>
      </w:r>
    </w:p>
    <w:p w14:paraId="795C3CE7" w14:textId="4C9555F4" w:rsidR="00725A4C" w:rsidRPr="002E757F" w:rsidRDefault="00725A4C" w:rsidP="00DE31DB">
      <w:r w:rsidRPr="001F02A6">
        <w:rPr>
          <w:rStyle w:val="Heading4Char"/>
        </w:rPr>
        <w:t xml:space="preserve">Recommendation </w:t>
      </w:r>
      <w:r w:rsidR="00D67DE6">
        <w:rPr>
          <w:rStyle w:val="Heading4Char"/>
        </w:rPr>
        <w:t>10</w:t>
      </w:r>
      <w:r w:rsidRPr="001F02A6">
        <w:rPr>
          <w:rStyle w:val="Heading4Char"/>
        </w:rPr>
        <w:t>.</w:t>
      </w:r>
      <w:r w:rsidR="001F02A6">
        <w:rPr>
          <w:rStyle w:val="Heading4Char"/>
        </w:rPr>
        <w:t xml:space="preserve"> </w:t>
      </w:r>
      <w:r w:rsidRPr="002E757F">
        <w:t>The functional currency rules for PRRT are out of step with those for income tax as they do not recognise a functional currency choice by</w:t>
      </w:r>
      <w:r w:rsidR="008E30D1">
        <w:t xml:space="preserve"> a</w:t>
      </w:r>
      <w:r w:rsidRPr="002E757F">
        <w:t xml:space="preserve"> </w:t>
      </w:r>
      <w:r w:rsidR="005D6F39">
        <w:t>‘</w:t>
      </w:r>
      <w:r w:rsidRPr="002E757F">
        <w:t>M</w:t>
      </w:r>
      <w:r w:rsidR="00794FC4">
        <w:t>ultiple Entry Consolidated (</w:t>
      </w:r>
      <w:r w:rsidRPr="002E757F">
        <w:t>MEC</w:t>
      </w:r>
      <w:r w:rsidR="00794FC4">
        <w:t>) group</w:t>
      </w:r>
      <w:r w:rsidR="005D6F39">
        <w:t>’</w:t>
      </w:r>
      <w:r w:rsidRPr="002E757F">
        <w:t>. A MEC group is an income tax consolidated group of Australian entities that are wholly foreign</w:t>
      </w:r>
      <w:r w:rsidR="005D6F39">
        <w:noBreakHyphen/>
      </w:r>
      <w:r w:rsidRPr="002E757F">
        <w:t>owned and do not have a common Australian head company. The PRRT arrangements should be amended so that PRRT taxpayers operating with a MEC group can make a functional currency choice for PRRT purposes that aligns with the functional currency choice made for income tax purposes.</w:t>
      </w:r>
    </w:p>
    <w:p w14:paraId="62997129" w14:textId="66BD36E4" w:rsidR="00725A4C" w:rsidRPr="002E757F" w:rsidRDefault="00725A4C" w:rsidP="00DE31DB">
      <w:r w:rsidRPr="001F02A6">
        <w:rPr>
          <w:rStyle w:val="Heading4Char"/>
        </w:rPr>
        <w:t xml:space="preserve">Recommendation </w:t>
      </w:r>
      <w:r w:rsidR="00D67DE6">
        <w:rPr>
          <w:rStyle w:val="Heading4Char"/>
        </w:rPr>
        <w:t>11</w:t>
      </w:r>
      <w:r w:rsidR="005D6F39">
        <w:rPr>
          <w:rStyle w:val="Heading4Char"/>
        </w:rPr>
        <w:t xml:space="preserve">. </w:t>
      </w:r>
      <w:r w:rsidRPr="002E757F">
        <w:t>Given that some PRRT projects are unlikely to ever pay PRRT (such as the oil project on Barrow Island), in order to</w:t>
      </w:r>
      <w:r w:rsidRPr="002E757F">
        <w:rPr>
          <w:b/>
        </w:rPr>
        <w:t xml:space="preserve"> </w:t>
      </w:r>
      <w:r w:rsidRPr="002E757F">
        <w:t>reduce compliance cost</w:t>
      </w:r>
      <w:r w:rsidR="00794FC4">
        <w:t>s</w:t>
      </w:r>
      <w:r w:rsidRPr="002E757F">
        <w:t xml:space="preserve"> for taxpayers and administrative costs for the ATO, the Commissioner of Taxation should be given the power to administratively exempt projects from </w:t>
      </w:r>
      <w:r w:rsidR="00BA7645">
        <w:t xml:space="preserve">lodging </w:t>
      </w:r>
      <w:r w:rsidRPr="002E757F">
        <w:t xml:space="preserve">PRRT </w:t>
      </w:r>
      <w:r w:rsidR="00BA7645">
        <w:t xml:space="preserve">returns </w:t>
      </w:r>
      <w:r w:rsidRPr="002E757F">
        <w:t>where they are clearly unlikely to pay PRRT in the foreseeable future.</w:t>
      </w:r>
    </w:p>
    <w:p w14:paraId="33972CDA" w14:textId="48F90C86" w:rsidR="00725A4C" w:rsidRPr="002E757F" w:rsidRDefault="00725A4C" w:rsidP="00DE31DB">
      <w:r w:rsidRPr="001F02A6">
        <w:rPr>
          <w:rStyle w:val="Heading4Char"/>
        </w:rPr>
        <w:t xml:space="preserve">Recommendation </w:t>
      </w:r>
      <w:r w:rsidR="00D67DE6">
        <w:rPr>
          <w:rStyle w:val="Heading4Char"/>
        </w:rPr>
        <w:t>12</w:t>
      </w:r>
      <w:r w:rsidRPr="001F02A6">
        <w:rPr>
          <w:rStyle w:val="Heading4Char"/>
        </w:rPr>
        <w:t>.</w:t>
      </w:r>
      <w:r w:rsidRPr="002E757F">
        <w:rPr>
          <w:b/>
        </w:rPr>
        <w:t xml:space="preserve"> </w:t>
      </w:r>
      <w:r w:rsidRPr="002E757F">
        <w:t>Amendments were made to the income tax anti</w:t>
      </w:r>
      <w:r w:rsidR="005D6F39">
        <w:noBreakHyphen/>
      </w:r>
      <w:r w:rsidRPr="002E757F">
        <w:t>avoidance rules in</w:t>
      </w:r>
      <w:r w:rsidR="00E714D1">
        <w:t> </w:t>
      </w:r>
      <w:r w:rsidRPr="002E757F">
        <w:t xml:space="preserve">2013 to ensure they operated as intended after a number of Federal court cases suggested there were deficiencies in identifying a </w:t>
      </w:r>
      <w:r w:rsidR="005D6F39">
        <w:t>‘</w:t>
      </w:r>
      <w:r w:rsidRPr="002E757F">
        <w:t>tax benefit</w:t>
      </w:r>
      <w:r w:rsidR="005D6F39">
        <w:t>’</w:t>
      </w:r>
      <w:r w:rsidRPr="002E757F">
        <w:t>. The PRRT anti</w:t>
      </w:r>
      <w:r w:rsidR="005D6F39">
        <w:noBreakHyphen/>
      </w:r>
      <w:r w:rsidRPr="002E757F">
        <w:t>avoidance rules should be amended in line with the amendments to the income</w:t>
      </w:r>
      <w:r w:rsidR="0027235E">
        <w:t xml:space="preserve"> </w:t>
      </w:r>
      <w:r w:rsidRPr="002E757F">
        <w:t>tax rules.</w:t>
      </w:r>
    </w:p>
    <w:p w14:paraId="49A083CE" w14:textId="77777777" w:rsidR="00725A4C" w:rsidRPr="002E757F" w:rsidRDefault="00725A4C" w:rsidP="00725A4C">
      <w:pPr>
        <w:rPr>
          <w:sz w:val="24"/>
          <w:szCs w:val="24"/>
        </w:rPr>
      </w:pPr>
      <w:r w:rsidRPr="002E757F">
        <w:br w:type="page"/>
      </w:r>
    </w:p>
    <w:p w14:paraId="6EF0D0E4" w14:textId="3F218608" w:rsidR="00AA7794" w:rsidRDefault="004C28BE" w:rsidP="00AA7794">
      <w:pPr>
        <w:pStyle w:val="Heading1"/>
      </w:pPr>
      <w:bookmarkStart w:id="2163" w:name="_Toc476577304"/>
      <w:bookmarkStart w:id="2164" w:name="_Toc476582292"/>
      <w:bookmarkStart w:id="2165" w:name="_Toc476582966"/>
      <w:bookmarkStart w:id="2166" w:name="_Toc476583683"/>
      <w:bookmarkStart w:id="2167" w:name="_Toc476584131"/>
      <w:bookmarkStart w:id="2168" w:name="_Toc476738037"/>
      <w:bookmarkStart w:id="2169" w:name="_Toc476747612"/>
      <w:bookmarkStart w:id="2170" w:name="_Toc476749020"/>
      <w:bookmarkStart w:id="2171" w:name="_Toc476753888"/>
      <w:bookmarkStart w:id="2172" w:name="_Toc476754383"/>
      <w:bookmarkStart w:id="2173" w:name="_Toc476754548"/>
      <w:bookmarkStart w:id="2174" w:name="_Toc476759784"/>
      <w:bookmarkStart w:id="2175" w:name="_Toc476761406"/>
      <w:bookmarkStart w:id="2176" w:name="_Toc476767044"/>
      <w:bookmarkStart w:id="2177" w:name="_Toc476827090"/>
      <w:bookmarkStart w:id="2178" w:name="_Toc476828783"/>
      <w:bookmarkStart w:id="2179" w:name="_Toc476833657"/>
      <w:bookmarkStart w:id="2180" w:name="_Toc476837130"/>
      <w:bookmarkStart w:id="2181" w:name="_Toc476841003"/>
      <w:bookmarkStart w:id="2182" w:name="_Toc476841208"/>
      <w:bookmarkStart w:id="2183" w:name="_Toc476841967"/>
      <w:bookmarkStart w:id="2184" w:name="_Toc476842911"/>
      <w:bookmarkStart w:id="2185" w:name="_Toc476843082"/>
      <w:bookmarkStart w:id="2186" w:name="_Toc476844580"/>
      <w:bookmarkStart w:id="2187" w:name="_Toc476845473"/>
      <w:bookmarkStart w:id="2188" w:name="_Toc476926864"/>
      <w:bookmarkStart w:id="2189" w:name="_Toc476926803"/>
      <w:bookmarkStart w:id="2190" w:name="_Toc476927151"/>
      <w:bookmarkStart w:id="2191" w:name="_Toc476928415"/>
      <w:bookmarkStart w:id="2192" w:name="_Toc476929458"/>
      <w:bookmarkStart w:id="2193" w:name="_Toc476929633"/>
      <w:bookmarkStart w:id="2194" w:name="_Toc476930676"/>
      <w:bookmarkStart w:id="2195" w:name="_Toc476931483"/>
      <w:bookmarkStart w:id="2196" w:name="_Toc477869853"/>
      <w:bookmarkStart w:id="2197" w:name="_Toc477871092"/>
      <w:bookmarkStart w:id="2198" w:name="_Toc477873251"/>
      <w:bookmarkStart w:id="2199" w:name="_Toc477875245"/>
      <w:bookmarkStart w:id="2200" w:name="_Toc477880158"/>
      <w:bookmarkStart w:id="2201" w:name="_Toc477881418"/>
      <w:bookmarkStart w:id="2202" w:name="_Toc477955822"/>
      <w:bookmarkStart w:id="2203" w:name="_Toc477963067"/>
      <w:bookmarkStart w:id="2204" w:name="_Toc477963553"/>
      <w:bookmarkStart w:id="2205" w:name="_Toc477965139"/>
      <w:bookmarkStart w:id="2206" w:name="_Toc477966643"/>
      <w:bookmarkStart w:id="2207" w:name="_Toc477966812"/>
      <w:bookmarkStart w:id="2208" w:name="_Toc477967152"/>
      <w:bookmarkStart w:id="2209" w:name="_Toc478121289"/>
      <w:bookmarkStart w:id="2210" w:name="_Toc478122202"/>
      <w:bookmarkStart w:id="2211" w:name="_Toc478132176"/>
      <w:bookmarkStart w:id="2212" w:name="_Toc478133202"/>
      <w:bookmarkStart w:id="2213" w:name="_Toc478132339"/>
      <w:bookmarkStart w:id="2214" w:name="_Toc478134668"/>
      <w:bookmarkStart w:id="2215" w:name="_Toc478137370"/>
      <w:bookmarkStart w:id="2216" w:name="_Toc478138442"/>
      <w:bookmarkStart w:id="2217" w:name="_Toc478140012"/>
      <w:bookmarkStart w:id="2218" w:name="_Toc478140428"/>
      <w:bookmarkStart w:id="2219" w:name="_Toc478142634"/>
      <w:bookmarkStart w:id="2220" w:name="_Toc478566350"/>
      <w:bookmarkStart w:id="2221" w:name="_Toc478569517"/>
      <w:bookmarkStart w:id="2222" w:name="_Toc478569691"/>
      <w:bookmarkStart w:id="2223" w:name="_Toc478570765"/>
      <w:bookmarkStart w:id="2224" w:name="_Toc478632964"/>
      <w:bookmarkStart w:id="2225" w:name="_Toc478641372"/>
      <w:bookmarkStart w:id="2226" w:name="_Toc478654266"/>
      <w:bookmarkStart w:id="2227" w:name="_Toc478654440"/>
      <w:bookmarkStart w:id="2228" w:name="_Toc478657735"/>
      <w:bookmarkStart w:id="2229" w:name="_Toc478993156"/>
      <w:bookmarkStart w:id="2230" w:name="_Toc479000227"/>
      <w:bookmarkStart w:id="2231" w:name="_Toc479002161"/>
      <w:bookmarkStart w:id="2232" w:name="_Toc479002333"/>
      <w:bookmarkStart w:id="2233" w:name="_Toc479254309"/>
      <w:bookmarkStart w:id="2234" w:name="_Toc479258498"/>
      <w:bookmarkStart w:id="2235" w:name="_Toc479258814"/>
      <w:bookmarkStart w:id="2236" w:name="_Toc479259706"/>
      <w:bookmarkStart w:id="2237" w:name="_Toc479262129"/>
      <w:bookmarkStart w:id="2238" w:name="_Toc479262550"/>
      <w:bookmarkStart w:id="2239" w:name="_Toc479321251"/>
      <w:bookmarkStart w:id="2240" w:name="_Toc479326690"/>
      <w:bookmarkStart w:id="2241" w:name="_Toc479333289"/>
      <w:bookmarkStart w:id="2242" w:name="_Toc479334986"/>
      <w:bookmarkStart w:id="2243" w:name="_Toc479341701"/>
      <w:bookmarkStart w:id="2244" w:name="_Toc479345117"/>
      <w:bookmarkStart w:id="2245" w:name="_Toc479345326"/>
      <w:bookmarkStart w:id="2246" w:name="_Toc479348307"/>
      <w:bookmarkStart w:id="2247" w:name="_Toc479675901"/>
      <w:bookmarkStart w:id="2248" w:name="_Toc479690868"/>
      <w:bookmarkStart w:id="2249" w:name="_Toc479693446"/>
      <w:bookmarkStart w:id="2250" w:name="_Toc479770615"/>
      <w:r>
        <w:t>1.</w:t>
      </w:r>
      <w:r>
        <w:tab/>
      </w:r>
      <w:r w:rsidR="00AA7794">
        <w:t>Australia</w:t>
      </w:r>
      <w:r w:rsidR="005D6F39">
        <w:t>’</w:t>
      </w:r>
      <w:r w:rsidR="00AA7794">
        <w:t>s Oil And Gas Industry</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77A54720" w14:textId="51575708" w:rsidR="00AA7794" w:rsidRDefault="004C28BE" w:rsidP="002E58C4">
      <w:pPr>
        <w:pStyle w:val="Heading2"/>
      </w:pPr>
      <w:bookmarkStart w:id="2251" w:name="_Toc476577305"/>
      <w:bookmarkStart w:id="2252" w:name="_Toc476582293"/>
      <w:bookmarkStart w:id="2253" w:name="_Toc476582967"/>
      <w:bookmarkStart w:id="2254" w:name="_Toc476583684"/>
      <w:bookmarkStart w:id="2255" w:name="_Toc476584132"/>
      <w:bookmarkStart w:id="2256" w:name="_Toc476738038"/>
      <w:bookmarkStart w:id="2257" w:name="_Toc476747613"/>
      <w:bookmarkStart w:id="2258" w:name="_Toc476749021"/>
      <w:bookmarkStart w:id="2259" w:name="_Toc476753889"/>
      <w:bookmarkStart w:id="2260" w:name="_Toc476754384"/>
      <w:bookmarkStart w:id="2261" w:name="_Toc476754549"/>
      <w:bookmarkStart w:id="2262" w:name="_Toc476759785"/>
      <w:bookmarkStart w:id="2263" w:name="_Toc476761407"/>
      <w:bookmarkStart w:id="2264" w:name="_Toc476767045"/>
      <w:bookmarkStart w:id="2265" w:name="_Toc476827091"/>
      <w:bookmarkStart w:id="2266" w:name="_Toc476828784"/>
      <w:bookmarkStart w:id="2267" w:name="_Toc476833658"/>
      <w:bookmarkStart w:id="2268" w:name="_Toc476837131"/>
      <w:bookmarkStart w:id="2269" w:name="_Toc476841004"/>
      <w:bookmarkStart w:id="2270" w:name="_Toc476841209"/>
      <w:bookmarkStart w:id="2271" w:name="_Toc476841968"/>
      <w:bookmarkStart w:id="2272" w:name="_Toc476842912"/>
      <w:bookmarkStart w:id="2273" w:name="_Toc476843083"/>
      <w:bookmarkStart w:id="2274" w:name="_Toc476844581"/>
      <w:bookmarkStart w:id="2275" w:name="_Toc476845474"/>
      <w:bookmarkStart w:id="2276" w:name="_Toc476926865"/>
      <w:bookmarkStart w:id="2277" w:name="_Toc476926804"/>
      <w:bookmarkStart w:id="2278" w:name="_Toc476927152"/>
      <w:bookmarkStart w:id="2279" w:name="_Toc476928416"/>
      <w:bookmarkStart w:id="2280" w:name="_Toc476929459"/>
      <w:bookmarkStart w:id="2281" w:name="_Toc476929634"/>
      <w:bookmarkStart w:id="2282" w:name="_Toc476930677"/>
      <w:bookmarkStart w:id="2283" w:name="_Toc476931484"/>
      <w:bookmarkStart w:id="2284" w:name="_Toc477869854"/>
      <w:bookmarkStart w:id="2285" w:name="_Toc477871093"/>
      <w:bookmarkStart w:id="2286" w:name="_Toc477873252"/>
      <w:bookmarkStart w:id="2287" w:name="_Toc477875246"/>
      <w:bookmarkStart w:id="2288" w:name="_Toc477880159"/>
      <w:bookmarkStart w:id="2289" w:name="_Toc477881419"/>
      <w:bookmarkStart w:id="2290" w:name="_Toc477955823"/>
      <w:bookmarkStart w:id="2291" w:name="_Toc477963068"/>
      <w:bookmarkStart w:id="2292" w:name="_Toc477963554"/>
      <w:bookmarkStart w:id="2293" w:name="_Toc477965140"/>
      <w:bookmarkStart w:id="2294" w:name="_Toc477966644"/>
      <w:bookmarkStart w:id="2295" w:name="_Toc477966813"/>
      <w:bookmarkStart w:id="2296" w:name="_Toc477967153"/>
      <w:bookmarkStart w:id="2297" w:name="_Toc478121290"/>
      <w:bookmarkStart w:id="2298" w:name="_Toc478122203"/>
      <w:bookmarkStart w:id="2299" w:name="_Toc478132177"/>
      <w:bookmarkStart w:id="2300" w:name="_Toc478133203"/>
      <w:bookmarkStart w:id="2301" w:name="_Toc478132340"/>
      <w:bookmarkStart w:id="2302" w:name="_Toc478134669"/>
      <w:bookmarkStart w:id="2303" w:name="_Toc478137371"/>
      <w:bookmarkStart w:id="2304" w:name="_Toc478138443"/>
      <w:bookmarkStart w:id="2305" w:name="_Toc478140013"/>
      <w:bookmarkStart w:id="2306" w:name="_Toc478140429"/>
      <w:bookmarkStart w:id="2307" w:name="_Toc478142635"/>
      <w:bookmarkStart w:id="2308" w:name="_Toc478566351"/>
      <w:bookmarkStart w:id="2309" w:name="_Toc478569518"/>
      <w:bookmarkStart w:id="2310" w:name="_Toc478569692"/>
      <w:bookmarkStart w:id="2311" w:name="_Toc478570766"/>
      <w:bookmarkStart w:id="2312" w:name="_Toc478632965"/>
      <w:bookmarkStart w:id="2313" w:name="_Toc478641373"/>
      <w:bookmarkStart w:id="2314" w:name="_Toc478654267"/>
      <w:bookmarkStart w:id="2315" w:name="_Toc478654441"/>
      <w:bookmarkStart w:id="2316" w:name="_Toc478657736"/>
      <w:bookmarkStart w:id="2317" w:name="_Toc478993157"/>
      <w:bookmarkStart w:id="2318" w:name="_Toc479000228"/>
      <w:bookmarkStart w:id="2319" w:name="_Toc479002162"/>
      <w:bookmarkStart w:id="2320" w:name="_Toc479002334"/>
      <w:bookmarkStart w:id="2321" w:name="_Toc479254310"/>
      <w:bookmarkStart w:id="2322" w:name="_Toc479258499"/>
      <w:bookmarkStart w:id="2323" w:name="_Toc479258815"/>
      <w:bookmarkStart w:id="2324" w:name="_Toc479259707"/>
      <w:bookmarkStart w:id="2325" w:name="_Toc479262130"/>
      <w:bookmarkStart w:id="2326" w:name="_Toc479262551"/>
      <w:bookmarkStart w:id="2327" w:name="_Toc479321252"/>
      <w:bookmarkStart w:id="2328" w:name="_Toc479326691"/>
      <w:bookmarkStart w:id="2329" w:name="_Toc479333290"/>
      <w:bookmarkStart w:id="2330" w:name="_Toc479334987"/>
      <w:bookmarkStart w:id="2331" w:name="_Toc479341702"/>
      <w:bookmarkStart w:id="2332" w:name="_Toc479345118"/>
      <w:bookmarkStart w:id="2333" w:name="_Toc479345327"/>
      <w:bookmarkStart w:id="2334" w:name="_Toc479348308"/>
      <w:bookmarkStart w:id="2335" w:name="_Toc479675902"/>
      <w:bookmarkStart w:id="2336" w:name="_Toc479690869"/>
      <w:bookmarkStart w:id="2337" w:name="_Toc479693447"/>
      <w:bookmarkStart w:id="2338" w:name="_Toc479770616"/>
      <w:r>
        <w:t>1.1</w:t>
      </w:r>
      <w:r>
        <w:tab/>
      </w:r>
      <w:r w:rsidR="007B1FFE">
        <w:t>Overview of Australia</w:t>
      </w:r>
      <w:r w:rsidR="005D6F39">
        <w:t>’</w:t>
      </w:r>
      <w:r w:rsidR="007B1FFE">
        <w:t xml:space="preserve">s Oil and Gas </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r w:rsidR="00F67D27">
        <w:t>Industry</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7FE48393" w14:textId="365D41EC" w:rsidR="00AA7794" w:rsidRDefault="00AA7794" w:rsidP="002E58C4">
      <w:r>
        <w:t>Australia</w:t>
      </w:r>
      <w:r w:rsidR="005D6F39">
        <w:t>’</w:t>
      </w:r>
      <w:r>
        <w:t xml:space="preserve">s oil and gas industry is underpinned by substantial </w:t>
      </w:r>
      <w:r w:rsidR="0093200B">
        <w:t>petroleum</w:t>
      </w:r>
      <w:r>
        <w:t xml:space="preserve"> reserves, the development of which is strengthening Australia</w:t>
      </w:r>
      <w:r w:rsidR="005D6F39">
        <w:t>’</w:t>
      </w:r>
      <w:r>
        <w:t>s position as a leading market participant. Over time, the focus of Australia</w:t>
      </w:r>
      <w:r w:rsidR="005D6F39">
        <w:t>’</w:t>
      </w:r>
      <w:r>
        <w:t xml:space="preserve">s oil and gas </w:t>
      </w:r>
      <w:r w:rsidR="00787812">
        <w:t>industry</w:t>
      </w:r>
      <w:r>
        <w:t xml:space="preserve"> has shifted from oil towards gas development. This has been a consequence of limited new oil discoveries to supplement production</w:t>
      </w:r>
      <w:r w:rsidR="009F2C7F">
        <w:t>,</w:t>
      </w:r>
      <w:r>
        <w:t xml:space="preserve"> and the discovery of major new gas reserves underpinning substantial investment in new supply capacity.</w:t>
      </w:r>
    </w:p>
    <w:p w14:paraId="7C98A0C6" w14:textId="11215437" w:rsidR="00AA7794" w:rsidRDefault="004C28BE" w:rsidP="002E58C4">
      <w:pPr>
        <w:pStyle w:val="Heading3"/>
      </w:pPr>
      <w:bookmarkStart w:id="2339" w:name="_Toc476577306"/>
      <w:bookmarkStart w:id="2340" w:name="_Toc476582294"/>
      <w:bookmarkStart w:id="2341" w:name="_Toc476582968"/>
      <w:bookmarkStart w:id="2342" w:name="_Toc476583685"/>
      <w:bookmarkStart w:id="2343" w:name="_Toc476584133"/>
      <w:bookmarkStart w:id="2344" w:name="_Toc476738039"/>
      <w:bookmarkStart w:id="2345" w:name="_Toc476747614"/>
      <w:bookmarkStart w:id="2346" w:name="_Toc476749022"/>
      <w:bookmarkStart w:id="2347" w:name="_Toc476753890"/>
      <w:bookmarkStart w:id="2348" w:name="_Toc476754385"/>
      <w:bookmarkStart w:id="2349" w:name="_Toc476754550"/>
      <w:bookmarkStart w:id="2350" w:name="_Toc476759786"/>
      <w:bookmarkStart w:id="2351" w:name="_Toc476761408"/>
      <w:bookmarkStart w:id="2352" w:name="_Toc476767046"/>
      <w:bookmarkStart w:id="2353" w:name="_Toc476827092"/>
      <w:bookmarkStart w:id="2354" w:name="_Toc476828785"/>
      <w:bookmarkStart w:id="2355" w:name="_Toc476833659"/>
      <w:bookmarkStart w:id="2356" w:name="_Toc476837132"/>
      <w:bookmarkStart w:id="2357" w:name="_Toc476841005"/>
      <w:bookmarkStart w:id="2358" w:name="_Toc476841210"/>
      <w:bookmarkStart w:id="2359" w:name="_Toc476841969"/>
      <w:bookmarkStart w:id="2360" w:name="_Toc476842913"/>
      <w:bookmarkStart w:id="2361" w:name="_Toc476843084"/>
      <w:bookmarkStart w:id="2362" w:name="_Toc476844582"/>
      <w:bookmarkStart w:id="2363" w:name="_Toc476845475"/>
      <w:bookmarkStart w:id="2364" w:name="_Toc476926866"/>
      <w:bookmarkStart w:id="2365" w:name="_Toc476926805"/>
      <w:bookmarkStart w:id="2366" w:name="_Toc476927153"/>
      <w:bookmarkStart w:id="2367" w:name="_Toc476928417"/>
      <w:bookmarkStart w:id="2368" w:name="_Toc476929460"/>
      <w:bookmarkStart w:id="2369" w:name="_Toc476929635"/>
      <w:bookmarkStart w:id="2370" w:name="_Toc476930678"/>
      <w:bookmarkStart w:id="2371" w:name="_Toc476931485"/>
      <w:bookmarkStart w:id="2372" w:name="_Toc477869855"/>
      <w:bookmarkStart w:id="2373" w:name="_Toc477871094"/>
      <w:bookmarkStart w:id="2374" w:name="_Toc477873253"/>
      <w:bookmarkStart w:id="2375" w:name="_Toc477875247"/>
      <w:bookmarkStart w:id="2376" w:name="_Toc477880160"/>
      <w:bookmarkStart w:id="2377" w:name="_Toc477881420"/>
      <w:bookmarkStart w:id="2378" w:name="_Toc477955824"/>
      <w:bookmarkStart w:id="2379" w:name="_Toc477963069"/>
      <w:bookmarkStart w:id="2380" w:name="_Toc477963555"/>
      <w:bookmarkStart w:id="2381" w:name="_Toc477965141"/>
      <w:bookmarkStart w:id="2382" w:name="_Toc477966645"/>
      <w:bookmarkStart w:id="2383" w:name="_Toc477966814"/>
      <w:bookmarkStart w:id="2384" w:name="_Toc477967154"/>
      <w:bookmarkStart w:id="2385" w:name="_Toc478121291"/>
      <w:bookmarkStart w:id="2386" w:name="_Toc478122204"/>
      <w:bookmarkStart w:id="2387" w:name="_Toc478132178"/>
      <w:bookmarkStart w:id="2388" w:name="_Toc478133204"/>
      <w:bookmarkStart w:id="2389" w:name="_Toc478132341"/>
      <w:bookmarkStart w:id="2390" w:name="_Toc478134670"/>
      <w:bookmarkStart w:id="2391" w:name="_Toc478137372"/>
      <w:bookmarkStart w:id="2392" w:name="_Toc478138444"/>
      <w:bookmarkStart w:id="2393" w:name="_Toc478140014"/>
      <w:bookmarkStart w:id="2394" w:name="_Toc478140430"/>
      <w:bookmarkStart w:id="2395" w:name="_Toc478142636"/>
      <w:bookmarkStart w:id="2396" w:name="_Toc478566352"/>
      <w:bookmarkStart w:id="2397" w:name="_Toc478569519"/>
      <w:bookmarkStart w:id="2398" w:name="_Toc478569693"/>
      <w:bookmarkStart w:id="2399" w:name="_Toc478570767"/>
      <w:bookmarkStart w:id="2400" w:name="_Toc478632966"/>
      <w:bookmarkStart w:id="2401" w:name="_Toc478641374"/>
      <w:bookmarkStart w:id="2402" w:name="_Toc478654268"/>
      <w:bookmarkStart w:id="2403" w:name="_Toc478654442"/>
      <w:bookmarkStart w:id="2404" w:name="_Toc478657737"/>
      <w:bookmarkStart w:id="2405" w:name="_Toc478993158"/>
      <w:bookmarkStart w:id="2406" w:name="_Toc479000229"/>
      <w:bookmarkStart w:id="2407" w:name="_Toc479002163"/>
      <w:bookmarkStart w:id="2408" w:name="_Toc479002335"/>
      <w:bookmarkStart w:id="2409" w:name="_Toc479254311"/>
      <w:bookmarkStart w:id="2410" w:name="_Toc479258500"/>
      <w:bookmarkStart w:id="2411" w:name="_Toc479258816"/>
      <w:bookmarkStart w:id="2412" w:name="_Toc479259708"/>
      <w:bookmarkStart w:id="2413" w:name="_Toc479262131"/>
      <w:bookmarkStart w:id="2414" w:name="_Toc479262552"/>
      <w:bookmarkStart w:id="2415" w:name="_Toc479321253"/>
      <w:bookmarkStart w:id="2416" w:name="_Toc479326692"/>
      <w:bookmarkStart w:id="2417" w:name="_Toc479333291"/>
      <w:bookmarkStart w:id="2418" w:name="_Toc479334988"/>
      <w:bookmarkStart w:id="2419" w:name="_Toc479341703"/>
      <w:bookmarkStart w:id="2420" w:name="_Toc479345119"/>
      <w:bookmarkStart w:id="2421" w:name="_Toc479345328"/>
      <w:bookmarkStart w:id="2422" w:name="_Toc479348309"/>
      <w:bookmarkStart w:id="2423" w:name="_Toc479675903"/>
      <w:bookmarkStart w:id="2424" w:name="_Toc479690870"/>
      <w:bookmarkStart w:id="2425" w:name="_Toc479693448"/>
      <w:bookmarkStart w:id="2426" w:name="_Toc479770617"/>
      <w:r>
        <w:t>1.1.1</w:t>
      </w:r>
      <w:r>
        <w:tab/>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001910BA">
        <w:t xml:space="preserve">Crude </w:t>
      </w:r>
      <w:r w:rsidR="00E74DB3">
        <w:t>o</w:t>
      </w:r>
      <w:r w:rsidR="00787812">
        <w:t>il</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3160827A" w14:textId="2BCC3427" w:rsidR="00AA7794" w:rsidRDefault="00AA7794" w:rsidP="002E58C4">
      <w:r>
        <w:t>Australia</w:t>
      </w:r>
      <w:r w:rsidR="005D6F39">
        <w:t>’</w:t>
      </w:r>
      <w:r w:rsidR="000A5F33">
        <w:t>s</w:t>
      </w:r>
      <w:r>
        <w:t xml:space="preserve"> oil reserves </w:t>
      </w:r>
      <w:r w:rsidR="0015357B">
        <w:t xml:space="preserve">are limited, representing </w:t>
      </w:r>
      <w:r>
        <w:t xml:space="preserve">about 0.2 per cent of world oil reserves and </w:t>
      </w:r>
      <w:r w:rsidR="009F2C7F">
        <w:t xml:space="preserve">Australia </w:t>
      </w:r>
      <w:r>
        <w:t xml:space="preserve">increasingly </w:t>
      </w:r>
      <w:r w:rsidR="009F2C7F">
        <w:t xml:space="preserve">relies </w:t>
      </w:r>
      <w:r>
        <w:t xml:space="preserve">on imports to meet demand </w:t>
      </w:r>
      <w:r w:rsidRPr="00DE31DB">
        <w:t>(Geoscience Australia, 2016)</w:t>
      </w:r>
      <w:r w:rsidR="000D785F">
        <w:t>.</w:t>
      </w:r>
      <w:r>
        <w:t xml:space="preserve"> Crude oil exploration in Australia has not repeated the success of the 1960s when the first offshore exploration yielded significant field discoveries in the Gippsland Basin. Although Australia has over 300 crude oil fields, most production has come from only seven major fields </w:t>
      </w:r>
      <w:r w:rsidRPr="008F10E0">
        <w:t>(</w:t>
      </w:r>
      <w:r w:rsidRPr="00DE31DB">
        <w:t>Geoscience Australia, 2016</w:t>
      </w:r>
      <w:r w:rsidRPr="008F10E0">
        <w:t>)</w:t>
      </w:r>
      <w:r w:rsidR="000D785F">
        <w:t>.</w:t>
      </w:r>
    </w:p>
    <w:p w14:paraId="5E7A6260" w14:textId="6734BDA3" w:rsidR="00AA7794" w:rsidRDefault="00AA7794" w:rsidP="002E58C4">
      <w:r>
        <w:t>Most of Australia</w:t>
      </w:r>
      <w:r w:rsidR="005D6F39">
        <w:t>’</w:t>
      </w:r>
      <w:r>
        <w:t>s known remaining oil resources are condensate and liquefied petroleum gas (LPG) associated with giant offshore gas fields in the Browse, Carnarvon and Bonaparte basins. Australia</w:t>
      </w:r>
      <w:r w:rsidR="005D6F39">
        <w:t>’</w:t>
      </w:r>
      <w:r>
        <w:t xml:space="preserve">s </w:t>
      </w:r>
      <w:r w:rsidR="000A5F33">
        <w:t xml:space="preserve">known </w:t>
      </w:r>
      <w:r>
        <w:t>remaining oil (combined crude oil, condensate and LPG) reserve produc</w:t>
      </w:r>
      <w:r w:rsidR="000D785F">
        <w:t xml:space="preserve">tion life is </w:t>
      </w:r>
      <w:r w:rsidR="0015357B">
        <w:t xml:space="preserve">estimated at </w:t>
      </w:r>
      <w:r w:rsidR="000D785F">
        <w:t xml:space="preserve">just over 14 years </w:t>
      </w:r>
      <w:r w:rsidR="000D785F" w:rsidRPr="008F10E0">
        <w:t>(</w:t>
      </w:r>
      <w:r w:rsidR="000D785F" w:rsidRPr="00DE31DB">
        <w:t>Geoscience Australia, 2016</w:t>
      </w:r>
      <w:r w:rsidR="000D785F" w:rsidRPr="008F10E0">
        <w:t>)</w:t>
      </w:r>
      <w:r w:rsidR="000D785F">
        <w:t>.</w:t>
      </w:r>
    </w:p>
    <w:p w14:paraId="181CF7D6" w14:textId="7E429628" w:rsidR="00AA7794" w:rsidRDefault="00AA7794" w:rsidP="002E58C4">
      <w:r>
        <w:t>There is scope for growth in Australia</w:t>
      </w:r>
      <w:r w:rsidR="005D6F39">
        <w:t>’</w:t>
      </w:r>
      <w:r>
        <w:t>s oil reserves in existing fields, and for new oil discoveries in both proven basins and in underexplored frontier basins that are prospective for petroleum. Liquids associated with new shale gas developments and light tight oil may add further oil resources in the future if economic and environmental challenges can be overcome.</w:t>
      </w:r>
    </w:p>
    <w:p w14:paraId="2A5C82FE" w14:textId="4E272F06" w:rsidR="00AA7794" w:rsidRDefault="004C28BE" w:rsidP="002E58C4">
      <w:pPr>
        <w:pStyle w:val="Heading3"/>
      </w:pPr>
      <w:bookmarkStart w:id="2427" w:name="_Toc476577307"/>
      <w:bookmarkStart w:id="2428" w:name="_Toc476582295"/>
      <w:bookmarkStart w:id="2429" w:name="_Toc476582969"/>
      <w:bookmarkStart w:id="2430" w:name="_Toc476583686"/>
      <w:bookmarkStart w:id="2431" w:name="_Toc476584134"/>
      <w:bookmarkStart w:id="2432" w:name="_Toc476738040"/>
      <w:bookmarkStart w:id="2433" w:name="_Toc476747615"/>
      <w:bookmarkStart w:id="2434" w:name="_Toc476749023"/>
      <w:bookmarkStart w:id="2435" w:name="_Toc476753891"/>
      <w:bookmarkStart w:id="2436" w:name="_Toc476754386"/>
      <w:bookmarkStart w:id="2437" w:name="_Toc476754551"/>
      <w:bookmarkStart w:id="2438" w:name="_Toc476759787"/>
      <w:bookmarkStart w:id="2439" w:name="_Toc476761409"/>
      <w:bookmarkStart w:id="2440" w:name="_Toc476767047"/>
      <w:bookmarkStart w:id="2441" w:name="_Toc476827093"/>
      <w:bookmarkStart w:id="2442" w:name="_Toc476828786"/>
      <w:bookmarkStart w:id="2443" w:name="_Toc476833660"/>
      <w:bookmarkStart w:id="2444" w:name="_Toc476837133"/>
      <w:bookmarkStart w:id="2445" w:name="_Toc476841006"/>
      <w:bookmarkStart w:id="2446" w:name="_Toc476841211"/>
      <w:bookmarkStart w:id="2447" w:name="_Toc476841970"/>
      <w:bookmarkStart w:id="2448" w:name="_Toc476842914"/>
      <w:bookmarkStart w:id="2449" w:name="_Toc476843085"/>
      <w:bookmarkStart w:id="2450" w:name="_Toc476844583"/>
      <w:bookmarkStart w:id="2451" w:name="_Toc476845476"/>
      <w:bookmarkStart w:id="2452" w:name="_Toc476926867"/>
      <w:bookmarkStart w:id="2453" w:name="_Toc476926806"/>
      <w:bookmarkStart w:id="2454" w:name="_Toc476927154"/>
      <w:bookmarkStart w:id="2455" w:name="_Toc476928418"/>
      <w:bookmarkStart w:id="2456" w:name="_Toc476929461"/>
      <w:bookmarkStart w:id="2457" w:name="_Toc476929636"/>
      <w:bookmarkStart w:id="2458" w:name="_Toc476930679"/>
      <w:bookmarkStart w:id="2459" w:name="_Toc476931486"/>
      <w:bookmarkStart w:id="2460" w:name="_Toc477869856"/>
      <w:bookmarkStart w:id="2461" w:name="_Toc477871095"/>
      <w:bookmarkStart w:id="2462" w:name="_Toc477873254"/>
      <w:bookmarkStart w:id="2463" w:name="_Toc477875248"/>
      <w:bookmarkStart w:id="2464" w:name="_Toc477880161"/>
      <w:bookmarkStart w:id="2465" w:name="_Toc477881421"/>
      <w:bookmarkStart w:id="2466" w:name="_Toc477955825"/>
      <w:bookmarkStart w:id="2467" w:name="_Toc477963070"/>
      <w:bookmarkStart w:id="2468" w:name="_Toc477963556"/>
      <w:bookmarkStart w:id="2469" w:name="_Toc477965142"/>
      <w:bookmarkStart w:id="2470" w:name="_Toc477966646"/>
      <w:bookmarkStart w:id="2471" w:name="_Toc477966815"/>
      <w:bookmarkStart w:id="2472" w:name="_Toc477967155"/>
      <w:bookmarkStart w:id="2473" w:name="_Toc478121292"/>
      <w:bookmarkStart w:id="2474" w:name="_Toc478122205"/>
      <w:bookmarkStart w:id="2475" w:name="_Toc478132179"/>
      <w:bookmarkStart w:id="2476" w:name="_Toc478133205"/>
      <w:bookmarkStart w:id="2477" w:name="_Toc478132342"/>
      <w:bookmarkStart w:id="2478" w:name="_Toc478134671"/>
      <w:bookmarkStart w:id="2479" w:name="_Toc478137373"/>
      <w:bookmarkStart w:id="2480" w:name="_Toc478138445"/>
      <w:bookmarkStart w:id="2481" w:name="_Toc478140015"/>
      <w:bookmarkStart w:id="2482" w:name="_Toc478140431"/>
      <w:bookmarkStart w:id="2483" w:name="_Toc478142637"/>
      <w:bookmarkStart w:id="2484" w:name="_Toc478566353"/>
      <w:bookmarkStart w:id="2485" w:name="_Toc478569520"/>
      <w:bookmarkStart w:id="2486" w:name="_Toc478569694"/>
      <w:bookmarkStart w:id="2487" w:name="_Toc478570768"/>
      <w:bookmarkStart w:id="2488" w:name="_Toc478632967"/>
      <w:bookmarkStart w:id="2489" w:name="_Toc478641375"/>
      <w:bookmarkStart w:id="2490" w:name="_Toc478654269"/>
      <w:bookmarkStart w:id="2491" w:name="_Toc478654443"/>
      <w:bookmarkStart w:id="2492" w:name="_Toc478657738"/>
      <w:bookmarkStart w:id="2493" w:name="_Toc478993159"/>
      <w:bookmarkStart w:id="2494" w:name="_Toc479000230"/>
      <w:bookmarkStart w:id="2495" w:name="_Toc479002164"/>
      <w:bookmarkStart w:id="2496" w:name="_Toc479002336"/>
      <w:bookmarkStart w:id="2497" w:name="_Toc479254312"/>
      <w:bookmarkStart w:id="2498" w:name="_Toc479258501"/>
      <w:bookmarkStart w:id="2499" w:name="_Toc479258817"/>
      <w:bookmarkStart w:id="2500" w:name="_Toc479259709"/>
      <w:bookmarkStart w:id="2501" w:name="_Toc479262132"/>
      <w:bookmarkStart w:id="2502" w:name="_Toc479262553"/>
      <w:bookmarkStart w:id="2503" w:name="_Toc479321254"/>
      <w:bookmarkStart w:id="2504" w:name="_Toc479326693"/>
      <w:bookmarkStart w:id="2505" w:name="_Toc479333292"/>
      <w:bookmarkStart w:id="2506" w:name="_Toc479334989"/>
      <w:bookmarkStart w:id="2507" w:name="_Toc479341704"/>
      <w:bookmarkStart w:id="2508" w:name="_Toc479345120"/>
      <w:bookmarkStart w:id="2509" w:name="_Toc479345329"/>
      <w:bookmarkStart w:id="2510" w:name="_Toc479348310"/>
      <w:bookmarkStart w:id="2511" w:name="_Toc479675904"/>
      <w:bookmarkStart w:id="2512" w:name="_Toc479690871"/>
      <w:bookmarkStart w:id="2513" w:name="_Toc479693449"/>
      <w:bookmarkStart w:id="2514" w:name="_Toc479770618"/>
      <w:r>
        <w:t>1.1.2</w:t>
      </w:r>
      <w:r>
        <w:tab/>
      </w:r>
      <w:r w:rsidR="002E58C4">
        <w:t xml:space="preserve">Natural </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r w:rsidR="00406E9A">
        <w:t>gas</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1513DECD" w14:textId="3A99BDF7" w:rsidR="00AA7794" w:rsidRDefault="00AA7794" w:rsidP="002E58C4">
      <w:r>
        <w:t>Gas is Australia</w:t>
      </w:r>
      <w:r w:rsidR="005D6F39">
        <w:t>’</w:t>
      </w:r>
      <w:r>
        <w:t>s third largest energy resource after coal and uranium. Australia</w:t>
      </w:r>
      <w:r w:rsidR="005D6F39">
        <w:t>’</w:t>
      </w:r>
      <w:r>
        <w:t xml:space="preserve">s identified conventional gas resources have grown substantially since discovery of the significant gas fields along the </w:t>
      </w:r>
      <w:r w:rsidR="00406E9A">
        <w:t xml:space="preserve">NWS </w:t>
      </w:r>
      <w:r>
        <w:t>in the early 1970s. Australia</w:t>
      </w:r>
      <w:r w:rsidR="005D6F39">
        <w:t>’</w:t>
      </w:r>
      <w:r>
        <w:t xml:space="preserve">s gas resources have increased more than fivefold over the past 40 years </w:t>
      </w:r>
      <w:r w:rsidR="000D785F" w:rsidRPr="008F10E0">
        <w:t>(</w:t>
      </w:r>
      <w:r w:rsidR="000D785F" w:rsidRPr="00DE31DB">
        <w:t>Geoscience Australia, 2016</w:t>
      </w:r>
      <w:r w:rsidR="000D785F" w:rsidRPr="008F10E0">
        <w:t>)</w:t>
      </w:r>
      <w:r w:rsidR="000D785F">
        <w:t>.</w:t>
      </w:r>
      <w:r>
        <w:t xml:space="preserve"> Most of the conventional gas resources (around 95 per cent) are located in the Carnarvon, Browse, Bonaparte and Gippsland basins off </w:t>
      </w:r>
      <w:r w:rsidR="0091636B">
        <w:t>Australia</w:t>
      </w:r>
      <w:r w:rsidR="005D6F39">
        <w:t>’</w:t>
      </w:r>
      <w:r w:rsidR="0091636B">
        <w:t>s</w:t>
      </w:r>
      <w:r>
        <w:t xml:space="preserve"> </w:t>
      </w:r>
      <w:r w:rsidR="00CD6636">
        <w:t>N</w:t>
      </w:r>
      <w:r>
        <w:t>orth</w:t>
      </w:r>
      <w:r w:rsidR="005D6F39">
        <w:noBreakHyphen/>
      </w:r>
      <w:r w:rsidR="00CD6636">
        <w:t>W</w:t>
      </w:r>
      <w:r>
        <w:t xml:space="preserve">est and </w:t>
      </w:r>
      <w:r w:rsidR="00CD6636">
        <w:t>S</w:t>
      </w:r>
      <w:r>
        <w:t>outh</w:t>
      </w:r>
      <w:r w:rsidR="005D6F39">
        <w:noBreakHyphen/>
      </w:r>
      <w:r w:rsidR="00CD6636">
        <w:t>E</w:t>
      </w:r>
      <w:r>
        <w:t>ast coasts. These resources have been progressively developed for domestic use and liquefied natural gas (LNG) export.</w:t>
      </w:r>
    </w:p>
    <w:p w14:paraId="36571432" w14:textId="7855B087" w:rsidR="00AA7794" w:rsidRDefault="00AA7794" w:rsidP="002E58C4">
      <w:r>
        <w:t>At the end of 2014, Australia</w:t>
      </w:r>
      <w:r w:rsidR="005D6F39">
        <w:t>’</w:t>
      </w:r>
      <w:r>
        <w:t>s total identified conventional gas resources were estimated at</w:t>
      </w:r>
      <w:r w:rsidR="00E714D1">
        <w:t> </w:t>
      </w:r>
      <w:r>
        <w:t xml:space="preserve">169 </w:t>
      </w:r>
      <w:r w:rsidR="0091636B">
        <w:t>trillion cubic feet (</w:t>
      </w:r>
      <w:r>
        <w:t>tcf</w:t>
      </w:r>
      <w:r w:rsidR="0091636B">
        <w:t>)</w:t>
      </w:r>
      <w:r>
        <w:t xml:space="preserve">. At current production rates, there are sufficient conventional gas reserves (70 tcf) to last another 34 years </w:t>
      </w:r>
      <w:r w:rsidRPr="008F10E0">
        <w:t>(</w:t>
      </w:r>
      <w:r w:rsidRPr="00DE31DB">
        <w:t>Geoscience Australia, 2016</w:t>
      </w:r>
      <w:r w:rsidRPr="008F10E0">
        <w:t>)</w:t>
      </w:r>
      <w:r w:rsidR="000D785F">
        <w:t>.</w:t>
      </w:r>
      <w:r>
        <w:t xml:space="preserve"> Many offshore gas discoveries have remained sub</w:t>
      </w:r>
      <w:r w:rsidR="005D6F39">
        <w:noBreakHyphen/>
      </w:r>
      <w:r>
        <w:t xml:space="preserve">economic (contingent). </w:t>
      </w:r>
      <w:r w:rsidR="003B2C82">
        <w:t>Australia</w:t>
      </w:r>
      <w:r w:rsidR="005D6F39">
        <w:t>’</w:t>
      </w:r>
      <w:r w:rsidR="003B2C82">
        <w:t>s</w:t>
      </w:r>
      <w:r>
        <w:t xml:space="preserve"> gas reserves will increase substantially</w:t>
      </w:r>
      <w:r w:rsidR="003B2C82">
        <w:t xml:space="preserve"> following the </w:t>
      </w:r>
      <w:r>
        <w:t>conver</w:t>
      </w:r>
      <w:r w:rsidR="003B2C82">
        <w:t>sion</w:t>
      </w:r>
      <w:r>
        <w:t xml:space="preserve"> </w:t>
      </w:r>
      <w:r w:rsidR="003B2C82">
        <w:t>of</w:t>
      </w:r>
      <w:r>
        <w:t xml:space="preserve"> contingent resources </w:t>
      </w:r>
      <w:r w:rsidR="003B2C82">
        <w:t xml:space="preserve">earmarked for development via </w:t>
      </w:r>
      <w:r>
        <w:t>new projects.</w:t>
      </w:r>
    </w:p>
    <w:p w14:paraId="45AEA512" w14:textId="5839A2F4" w:rsidR="00AA7794" w:rsidRDefault="00AA7794" w:rsidP="002E58C4">
      <w:r>
        <w:t xml:space="preserve">Australia also has large unconventional gas resource potential in many basins, including coal seam gas (CSG), shale gas and </w:t>
      </w:r>
      <w:r w:rsidRPr="008A249B">
        <w:t>tight gas</w:t>
      </w:r>
      <w:r>
        <w:t xml:space="preserve">. </w:t>
      </w:r>
      <w:r w:rsidRPr="008A249B">
        <w:t>Exploration</w:t>
      </w:r>
      <w:r>
        <w:t xml:space="preserve"> </w:t>
      </w:r>
      <w:r w:rsidR="008B2748">
        <w:t>of</w:t>
      </w:r>
      <w:r>
        <w:t xml:space="preserve"> unconventional gas resources has been widespread </w:t>
      </w:r>
      <w:r w:rsidR="0091636B">
        <w:t>throughout Australia</w:t>
      </w:r>
      <w:r w:rsidR="00D30F3D">
        <w:t>.</w:t>
      </w:r>
    </w:p>
    <w:p w14:paraId="7E20D36D" w14:textId="43D29B21" w:rsidR="00AA7794" w:rsidRDefault="00AA7794" w:rsidP="002E58C4">
      <w:r>
        <w:t xml:space="preserve">Significant CSG resources have been identified in the major coal basins of </w:t>
      </w:r>
      <w:r w:rsidR="00C357C4">
        <w:t>E</w:t>
      </w:r>
      <w:r>
        <w:t>astern Australia. CSG is expected to remain the most important sector of Australia</w:t>
      </w:r>
      <w:r w:rsidR="005D6F39">
        <w:t>’</w:t>
      </w:r>
      <w:r>
        <w:t>s unconventional gas industry and is being developed for domestic use and LNG export.</w:t>
      </w:r>
      <w:r w:rsidR="00D30F3D">
        <w:t xml:space="preserve"> </w:t>
      </w:r>
      <w:r>
        <w:t xml:space="preserve">In 2014, </w:t>
      </w:r>
      <w:r w:rsidR="008B2748">
        <w:t>Australia</w:t>
      </w:r>
      <w:r w:rsidR="005D6F39">
        <w:t>’</w:t>
      </w:r>
      <w:r w:rsidR="008B2748">
        <w:t xml:space="preserve">s </w:t>
      </w:r>
      <w:r>
        <w:t>CSG reserve</w:t>
      </w:r>
      <w:r w:rsidR="00787812">
        <w:t>s were</w:t>
      </w:r>
      <w:r>
        <w:t xml:space="preserve"> 43 tcf</w:t>
      </w:r>
      <w:r w:rsidR="00A4296B">
        <w:t>,</w:t>
      </w:r>
      <w:r w:rsidDel="008B2748">
        <w:t xml:space="preserve"> </w:t>
      </w:r>
      <w:r>
        <w:t>account</w:t>
      </w:r>
      <w:r w:rsidR="008B2748">
        <w:t>ing</w:t>
      </w:r>
      <w:r>
        <w:t xml:space="preserve"> for about 38 per cent of </w:t>
      </w:r>
      <w:r w:rsidR="00A4296B">
        <w:t>Australia</w:t>
      </w:r>
      <w:r w:rsidR="005D6F39">
        <w:t>’</w:t>
      </w:r>
      <w:r w:rsidR="00A4296B">
        <w:t>s</w:t>
      </w:r>
      <w:r>
        <w:t xml:space="preserve"> total gas reserves. Reserve life is</w:t>
      </w:r>
      <w:r w:rsidR="00D83377">
        <w:t xml:space="preserve"> estimated to be</w:t>
      </w:r>
      <w:r>
        <w:t xml:space="preserve"> around 130 years at current rates of CSG production. More than 93</w:t>
      </w:r>
      <w:r w:rsidR="009F2C7F">
        <w:t> </w:t>
      </w:r>
      <w:r>
        <w:t>per</w:t>
      </w:r>
      <w:r w:rsidR="009F2C7F">
        <w:t> </w:t>
      </w:r>
      <w:r>
        <w:t>cent of the reported CSG reserves are in Queensland</w:t>
      </w:r>
      <w:r w:rsidR="008B2748">
        <w:t>, with</w:t>
      </w:r>
      <w:r w:rsidR="00A4296B">
        <w:t xml:space="preserve"> the remainder </w:t>
      </w:r>
      <w:r>
        <w:t>in New</w:t>
      </w:r>
      <w:r w:rsidR="00787812">
        <w:t> </w:t>
      </w:r>
      <w:r>
        <w:t>South Wales</w:t>
      </w:r>
      <w:r w:rsidR="003E1147">
        <w:t xml:space="preserve"> (NSW)</w:t>
      </w:r>
      <w:r>
        <w:t>. In addition to reserves, Australia has substantial contingent resources (32</w:t>
      </w:r>
      <w:r w:rsidR="00787812">
        <w:t> </w:t>
      </w:r>
      <w:r>
        <w:t>tcf) of CSG (</w:t>
      </w:r>
      <w:r w:rsidRPr="00DE31DB">
        <w:t>Geoscience Australia, 2016</w:t>
      </w:r>
      <w:r>
        <w:t>).</w:t>
      </w:r>
    </w:p>
    <w:p w14:paraId="4C5BF827" w14:textId="7DB5D992" w:rsidR="00AA7794" w:rsidRDefault="00AA7794" w:rsidP="002E58C4">
      <w:r>
        <w:t>Large amounts of shale and tight gas resources (about 13 tcf of contingent resources) have also been identified. More than 600 tcf of unconventional prospective gas resources have been estimated for various sedimentary basins. Gas production from shale gas resources started in the Cooper Basin in 2012 (</w:t>
      </w:r>
      <w:r w:rsidRPr="00DE31DB">
        <w:t>Geoscience Australia, 2016</w:t>
      </w:r>
      <w:r w:rsidR="00755941">
        <w:t>).</w:t>
      </w:r>
    </w:p>
    <w:p w14:paraId="7F4BDE3C" w14:textId="767BE997" w:rsidR="00AA7794" w:rsidRDefault="00E24372" w:rsidP="002E58C4">
      <w:r>
        <w:t>Australia</w:t>
      </w:r>
      <w:r w:rsidR="005D6F39">
        <w:t>’</w:t>
      </w:r>
      <w:r>
        <w:t>s t</w:t>
      </w:r>
      <w:r w:rsidR="00AA7794">
        <w:t xml:space="preserve">otal identified gas resources are </w:t>
      </w:r>
      <w:r w:rsidR="00D30F3D">
        <w:t>in</w:t>
      </w:r>
      <w:r w:rsidR="00AA7794">
        <w:t xml:space="preserve"> the order of 257 tcf</w:t>
      </w:r>
      <w:r>
        <w:t xml:space="preserve"> which </w:t>
      </w:r>
      <w:r w:rsidR="00AA7794">
        <w:t>is equal to around 106 years of gas at current production rates</w:t>
      </w:r>
      <w:r>
        <w:t xml:space="preserve">. Known gas reserves </w:t>
      </w:r>
      <w:r w:rsidR="00AA7794">
        <w:t xml:space="preserve">account for </w:t>
      </w:r>
      <w:r>
        <w:t xml:space="preserve">about </w:t>
      </w:r>
      <w:r w:rsidR="00AA7794">
        <w:t xml:space="preserve">47 years </w:t>
      </w:r>
      <w:r>
        <w:t xml:space="preserve">of this production life while the rest is attributed to contingent resources </w:t>
      </w:r>
      <w:r w:rsidR="00AA7794">
        <w:t>(</w:t>
      </w:r>
      <w:r w:rsidR="00AA7794" w:rsidRPr="00DE31DB">
        <w:t>Geoscience Australia, 2016</w:t>
      </w:r>
      <w:r w:rsidR="00AA7794">
        <w:t>).</w:t>
      </w:r>
    </w:p>
    <w:p w14:paraId="1C999D7C" w14:textId="18B73BDD" w:rsidR="00AA7794" w:rsidRDefault="004C28BE" w:rsidP="002E58C4">
      <w:pPr>
        <w:pStyle w:val="Heading2"/>
      </w:pPr>
      <w:bookmarkStart w:id="2515" w:name="_Toc476577308"/>
      <w:bookmarkStart w:id="2516" w:name="_Toc476582296"/>
      <w:bookmarkStart w:id="2517" w:name="_Toc476582970"/>
      <w:bookmarkStart w:id="2518" w:name="_Toc476583687"/>
      <w:bookmarkStart w:id="2519" w:name="_Toc476584135"/>
      <w:bookmarkStart w:id="2520" w:name="_Toc476738041"/>
      <w:bookmarkStart w:id="2521" w:name="_Toc476747616"/>
      <w:bookmarkStart w:id="2522" w:name="_Toc476749024"/>
      <w:bookmarkStart w:id="2523" w:name="_Toc476753892"/>
      <w:bookmarkStart w:id="2524" w:name="_Toc476754387"/>
      <w:bookmarkStart w:id="2525" w:name="_Toc476754552"/>
      <w:bookmarkStart w:id="2526" w:name="_Toc476759788"/>
      <w:bookmarkStart w:id="2527" w:name="_Toc476761410"/>
      <w:bookmarkStart w:id="2528" w:name="_Toc476767048"/>
      <w:bookmarkStart w:id="2529" w:name="_Toc476827094"/>
      <w:bookmarkStart w:id="2530" w:name="_Toc476828787"/>
      <w:bookmarkStart w:id="2531" w:name="_Toc476833661"/>
      <w:bookmarkStart w:id="2532" w:name="_Toc476837134"/>
      <w:bookmarkStart w:id="2533" w:name="_Toc476841007"/>
      <w:bookmarkStart w:id="2534" w:name="_Toc476841212"/>
      <w:bookmarkStart w:id="2535" w:name="_Toc476841971"/>
      <w:bookmarkStart w:id="2536" w:name="_Toc476842915"/>
      <w:bookmarkStart w:id="2537" w:name="_Toc476843086"/>
      <w:bookmarkStart w:id="2538" w:name="_Toc476844584"/>
      <w:bookmarkStart w:id="2539" w:name="_Toc476845477"/>
      <w:bookmarkStart w:id="2540" w:name="_Toc476926868"/>
      <w:bookmarkStart w:id="2541" w:name="_Toc476926807"/>
      <w:bookmarkStart w:id="2542" w:name="_Toc476927155"/>
      <w:bookmarkStart w:id="2543" w:name="_Toc476928419"/>
      <w:bookmarkStart w:id="2544" w:name="_Toc476929462"/>
      <w:bookmarkStart w:id="2545" w:name="_Toc476929637"/>
      <w:bookmarkStart w:id="2546" w:name="_Toc476930680"/>
      <w:bookmarkStart w:id="2547" w:name="_Toc476931487"/>
      <w:bookmarkStart w:id="2548" w:name="_Toc477869857"/>
      <w:bookmarkStart w:id="2549" w:name="_Toc477871096"/>
      <w:bookmarkStart w:id="2550" w:name="_Toc477873255"/>
      <w:bookmarkStart w:id="2551" w:name="_Toc477875249"/>
      <w:bookmarkStart w:id="2552" w:name="_Toc477880162"/>
      <w:bookmarkStart w:id="2553" w:name="_Toc477881422"/>
      <w:bookmarkStart w:id="2554" w:name="_Toc477955826"/>
      <w:bookmarkStart w:id="2555" w:name="_Toc477963071"/>
      <w:bookmarkStart w:id="2556" w:name="_Toc477963557"/>
      <w:bookmarkStart w:id="2557" w:name="_Toc477965143"/>
      <w:bookmarkStart w:id="2558" w:name="_Toc477966647"/>
      <w:bookmarkStart w:id="2559" w:name="_Toc477966816"/>
      <w:bookmarkStart w:id="2560" w:name="_Toc477967156"/>
      <w:bookmarkStart w:id="2561" w:name="_Toc478121293"/>
      <w:bookmarkStart w:id="2562" w:name="_Toc478122206"/>
      <w:bookmarkStart w:id="2563" w:name="_Toc478132180"/>
      <w:bookmarkStart w:id="2564" w:name="_Toc478133206"/>
      <w:bookmarkStart w:id="2565" w:name="_Toc478132343"/>
      <w:bookmarkStart w:id="2566" w:name="_Toc478134672"/>
      <w:bookmarkStart w:id="2567" w:name="_Toc478137374"/>
      <w:bookmarkStart w:id="2568" w:name="_Toc478138446"/>
      <w:bookmarkStart w:id="2569" w:name="_Toc478140016"/>
      <w:bookmarkStart w:id="2570" w:name="_Toc478140432"/>
      <w:bookmarkStart w:id="2571" w:name="_Toc478142638"/>
      <w:bookmarkStart w:id="2572" w:name="_Toc478566354"/>
      <w:bookmarkStart w:id="2573" w:name="_Toc478569521"/>
      <w:bookmarkStart w:id="2574" w:name="_Toc478569695"/>
      <w:bookmarkStart w:id="2575" w:name="_Toc478570769"/>
      <w:bookmarkStart w:id="2576" w:name="_Toc478632968"/>
      <w:bookmarkStart w:id="2577" w:name="_Toc478641376"/>
      <w:bookmarkStart w:id="2578" w:name="_Toc478654270"/>
      <w:bookmarkStart w:id="2579" w:name="_Toc478654444"/>
      <w:bookmarkStart w:id="2580" w:name="_Toc478657739"/>
      <w:bookmarkStart w:id="2581" w:name="_Toc478993160"/>
      <w:bookmarkStart w:id="2582" w:name="_Toc479000231"/>
      <w:bookmarkStart w:id="2583" w:name="_Toc479002165"/>
      <w:bookmarkStart w:id="2584" w:name="_Toc479002337"/>
      <w:bookmarkStart w:id="2585" w:name="_Toc479254313"/>
      <w:bookmarkStart w:id="2586" w:name="_Toc479258502"/>
      <w:bookmarkStart w:id="2587" w:name="_Toc479258818"/>
      <w:bookmarkStart w:id="2588" w:name="_Toc479259710"/>
      <w:bookmarkStart w:id="2589" w:name="_Toc479262133"/>
      <w:bookmarkStart w:id="2590" w:name="_Toc479262554"/>
      <w:bookmarkStart w:id="2591" w:name="_Toc479321255"/>
      <w:bookmarkStart w:id="2592" w:name="_Toc479326694"/>
      <w:bookmarkStart w:id="2593" w:name="_Toc479333293"/>
      <w:bookmarkStart w:id="2594" w:name="_Toc479334990"/>
      <w:bookmarkStart w:id="2595" w:name="_Toc479341705"/>
      <w:bookmarkStart w:id="2596" w:name="_Toc479345121"/>
      <w:bookmarkStart w:id="2597" w:name="_Toc479345330"/>
      <w:bookmarkStart w:id="2598" w:name="_Toc479348311"/>
      <w:bookmarkStart w:id="2599" w:name="_Toc479675905"/>
      <w:bookmarkStart w:id="2600" w:name="_Toc479690872"/>
      <w:bookmarkStart w:id="2601" w:name="_Toc479693450"/>
      <w:bookmarkStart w:id="2602" w:name="_Toc479770619"/>
      <w:r>
        <w:t>1.2</w:t>
      </w:r>
      <w:r>
        <w:tab/>
      </w:r>
      <w:r w:rsidR="007B1FFE">
        <w:t xml:space="preserve">Growth of </w:t>
      </w:r>
      <w:r w:rsidR="00E51467">
        <w:t>Australia</w:t>
      </w:r>
      <w:r w:rsidR="005D6F39">
        <w:t>’</w:t>
      </w:r>
      <w:r w:rsidR="00E51467">
        <w:t>s</w:t>
      </w:r>
      <w:r w:rsidR="007B1FFE">
        <w:t xml:space="preserve"> Oil a</w:t>
      </w:r>
      <w:r w:rsidR="002E58C4">
        <w:t xml:space="preserve">nd Gas </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r w:rsidR="00E51467">
        <w:t>Industry</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r w:rsidR="00E51467">
        <w:t xml:space="preserve"> </w:t>
      </w:r>
    </w:p>
    <w:p w14:paraId="1A9C5464" w14:textId="7CAE5A15" w:rsidR="00AA7794" w:rsidRDefault="004C28BE" w:rsidP="002E58C4">
      <w:pPr>
        <w:pStyle w:val="Heading3"/>
      </w:pPr>
      <w:bookmarkStart w:id="2603" w:name="_Toc476577309"/>
      <w:bookmarkStart w:id="2604" w:name="_Toc476582297"/>
      <w:bookmarkStart w:id="2605" w:name="_Toc476582971"/>
      <w:bookmarkStart w:id="2606" w:name="_Toc476583688"/>
      <w:bookmarkStart w:id="2607" w:name="_Toc476584136"/>
      <w:bookmarkStart w:id="2608" w:name="_Toc476738042"/>
      <w:bookmarkStart w:id="2609" w:name="_Toc476747617"/>
      <w:bookmarkStart w:id="2610" w:name="_Toc476749025"/>
      <w:bookmarkStart w:id="2611" w:name="_Toc476753893"/>
      <w:bookmarkStart w:id="2612" w:name="_Toc476754388"/>
      <w:bookmarkStart w:id="2613" w:name="_Toc476754553"/>
      <w:bookmarkStart w:id="2614" w:name="_Toc476759789"/>
      <w:bookmarkStart w:id="2615" w:name="_Toc476761411"/>
      <w:bookmarkStart w:id="2616" w:name="_Toc476767049"/>
      <w:bookmarkStart w:id="2617" w:name="_Toc476827095"/>
      <w:bookmarkStart w:id="2618" w:name="_Toc476828788"/>
      <w:bookmarkStart w:id="2619" w:name="_Toc476833662"/>
      <w:bookmarkStart w:id="2620" w:name="_Toc476837135"/>
      <w:bookmarkStart w:id="2621" w:name="_Toc476841008"/>
      <w:bookmarkStart w:id="2622" w:name="_Toc476841213"/>
      <w:bookmarkStart w:id="2623" w:name="_Toc476841972"/>
      <w:bookmarkStart w:id="2624" w:name="_Toc476842916"/>
      <w:bookmarkStart w:id="2625" w:name="_Toc476843087"/>
      <w:bookmarkStart w:id="2626" w:name="_Toc476844585"/>
      <w:bookmarkStart w:id="2627" w:name="_Toc476845478"/>
      <w:bookmarkStart w:id="2628" w:name="_Toc476926869"/>
      <w:bookmarkStart w:id="2629" w:name="_Toc476926808"/>
      <w:bookmarkStart w:id="2630" w:name="_Toc476927156"/>
      <w:bookmarkStart w:id="2631" w:name="_Toc476928420"/>
      <w:bookmarkStart w:id="2632" w:name="_Toc476929463"/>
      <w:bookmarkStart w:id="2633" w:name="_Toc476929638"/>
      <w:bookmarkStart w:id="2634" w:name="_Toc476930681"/>
      <w:bookmarkStart w:id="2635" w:name="_Toc476931488"/>
      <w:bookmarkStart w:id="2636" w:name="_Toc477869858"/>
      <w:bookmarkStart w:id="2637" w:name="_Toc477871097"/>
      <w:bookmarkStart w:id="2638" w:name="_Toc477873256"/>
      <w:bookmarkStart w:id="2639" w:name="_Toc477875250"/>
      <w:bookmarkStart w:id="2640" w:name="_Toc477880163"/>
      <w:bookmarkStart w:id="2641" w:name="_Toc477881423"/>
      <w:bookmarkStart w:id="2642" w:name="_Toc477955827"/>
      <w:bookmarkStart w:id="2643" w:name="_Toc477963072"/>
      <w:bookmarkStart w:id="2644" w:name="_Toc477963558"/>
      <w:bookmarkStart w:id="2645" w:name="_Toc477965144"/>
      <w:bookmarkStart w:id="2646" w:name="_Toc477966648"/>
      <w:bookmarkStart w:id="2647" w:name="_Toc477966817"/>
      <w:bookmarkStart w:id="2648" w:name="_Toc477967157"/>
      <w:bookmarkStart w:id="2649" w:name="_Toc478121294"/>
      <w:bookmarkStart w:id="2650" w:name="_Toc478122207"/>
      <w:bookmarkStart w:id="2651" w:name="_Toc478132181"/>
      <w:bookmarkStart w:id="2652" w:name="_Toc478133207"/>
      <w:bookmarkStart w:id="2653" w:name="_Toc478132344"/>
      <w:bookmarkStart w:id="2654" w:name="_Toc478134673"/>
      <w:bookmarkStart w:id="2655" w:name="_Toc478137375"/>
      <w:bookmarkStart w:id="2656" w:name="_Toc478138447"/>
      <w:bookmarkStart w:id="2657" w:name="_Toc478140017"/>
      <w:bookmarkStart w:id="2658" w:name="_Toc478140433"/>
      <w:bookmarkStart w:id="2659" w:name="_Toc478142639"/>
      <w:bookmarkStart w:id="2660" w:name="_Toc478566355"/>
      <w:bookmarkStart w:id="2661" w:name="_Toc478569522"/>
      <w:bookmarkStart w:id="2662" w:name="_Toc478569696"/>
      <w:bookmarkStart w:id="2663" w:name="_Toc478570770"/>
      <w:bookmarkStart w:id="2664" w:name="_Toc478632969"/>
      <w:bookmarkStart w:id="2665" w:name="_Toc478641377"/>
      <w:bookmarkStart w:id="2666" w:name="_Toc478654271"/>
      <w:bookmarkStart w:id="2667" w:name="_Toc478654445"/>
      <w:bookmarkStart w:id="2668" w:name="_Toc478657740"/>
      <w:bookmarkStart w:id="2669" w:name="_Toc478993161"/>
      <w:bookmarkStart w:id="2670" w:name="_Toc479000232"/>
      <w:bookmarkStart w:id="2671" w:name="_Toc479002166"/>
      <w:bookmarkStart w:id="2672" w:name="_Toc479002338"/>
      <w:bookmarkStart w:id="2673" w:name="_Toc479254314"/>
      <w:bookmarkStart w:id="2674" w:name="_Toc479258503"/>
      <w:bookmarkStart w:id="2675" w:name="_Toc479258819"/>
      <w:bookmarkStart w:id="2676" w:name="_Toc479259711"/>
      <w:bookmarkStart w:id="2677" w:name="_Toc479262134"/>
      <w:bookmarkStart w:id="2678" w:name="_Toc479262555"/>
      <w:bookmarkStart w:id="2679" w:name="_Toc479321256"/>
      <w:bookmarkStart w:id="2680" w:name="_Toc479326695"/>
      <w:bookmarkStart w:id="2681" w:name="_Toc479333294"/>
      <w:bookmarkStart w:id="2682" w:name="_Toc479334991"/>
      <w:bookmarkStart w:id="2683" w:name="_Toc479341706"/>
      <w:bookmarkStart w:id="2684" w:name="_Toc479345122"/>
      <w:bookmarkStart w:id="2685" w:name="_Toc479345331"/>
      <w:bookmarkStart w:id="2686" w:name="_Toc479348312"/>
      <w:bookmarkStart w:id="2687" w:name="_Toc479675906"/>
      <w:bookmarkStart w:id="2688" w:name="_Toc479690873"/>
      <w:bookmarkStart w:id="2689" w:name="_Toc479693451"/>
      <w:bookmarkStart w:id="2690" w:name="_Toc479770620"/>
      <w:r>
        <w:t>1.2.1</w:t>
      </w:r>
      <w:r>
        <w:tab/>
      </w:r>
      <w:r w:rsidR="002E58C4">
        <w:t xml:space="preserve">Development </w:t>
      </w:r>
      <w:r w:rsidR="00486545">
        <w:t>of</w:t>
      </w:r>
      <w:r w:rsidR="002E58C4">
        <w:t xml:space="preserve"> Australia</w:t>
      </w:r>
      <w:r w:rsidR="005D6F39">
        <w:t>’</w:t>
      </w:r>
      <w:r w:rsidR="002E58C4">
        <w:t xml:space="preserve">s </w:t>
      </w:r>
      <w:r w:rsidR="00486545">
        <w:t>o</w:t>
      </w:r>
      <w:r w:rsidR="002E58C4">
        <w:t xml:space="preserve">il </w:t>
      </w:r>
      <w:r w:rsidR="00DE7BB6">
        <w:t>a</w:t>
      </w:r>
      <w:r w:rsidR="002E58C4">
        <w:t xml:space="preserve">nd </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r w:rsidR="00486545">
        <w:t>gas i</w:t>
      </w:r>
      <w:r w:rsidR="002E58C4">
        <w:t>ndustry</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6D3022DC" w14:textId="35643D6E" w:rsidR="00755941" w:rsidRDefault="00AA7794" w:rsidP="002E58C4">
      <w:r>
        <w:t xml:space="preserve">The emergence of oil and gas as a major Australian industry </w:t>
      </w:r>
      <w:r w:rsidR="004C33A6">
        <w:t xml:space="preserve">commenced in the </w:t>
      </w:r>
      <w:r>
        <w:t xml:space="preserve">1960s when the Esso and BHP joint venture drilled the first offshore well in Bass Strait. </w:t>
      </w:r>
      <w:r w:rsidR="004C33A6">
        <w:t xml:space="preserve">The initial focus was </w:t>
      </w:r>
      <w:r w:rsidDel="004C33A6">
        <w:t>on</w:t>
      </w:r>
      <w:r>
        <w:t xml:space="preserve"> oil production given the large oil discoveries and </w:t>
      </w:r>
      <w:r w:rsidR="00C00590">
        <w:t xml:space="preserve">their </w:t>
      </w:r>
      <w:r>
        <w:t>significant market</w:t>
      </w:r>
      <w:r w:rsidR="00755941">
        <w:t xml:space="preserve"> value.</w:t>
      </w:r>
    </w:p>
    <w:p w14:paraId="0A160199" w14:textId="4E297C78" w:rsidR="00AA7794" w:rsidRDefault="00AA7794" w:rsidP="002E58C4">
      <w:r w:rsidRPr="00105048">
        <w:rPr>
          <w:color w:val="auto"/>
        </w:rPr>
        <w:t xml:space="preserve">As shown </w:t>
      </w:r>
      <w:r w:rsidR="004C33A6" w:rsidRPr="00105048">
        <w:rPr>
          <w:color w:val="auto"/>
        </w:rPr>
        <w:t xml:space="preserve">in </w:t>
      </w:r>
      <w:r w:rsidR="004C33A6" w:rsidRPr="007D4B54">
        <w:rPr>
          <w:color w:val="auto"/>
        </w:rPr>
        <w:t xml:space="preserve">Figure </w:t>
      </w:r>
      <w:r w:rsidR="00920917" w:rsidRPr="007D4B54">
        <w:rPr>
          <w:color w:val="auto"/>
        </w:rPr>
        <w:t>1.1</w:t>
      </w:r>
      <w:r w:rsidRPr="007D4B54">
        <w:rPr>
          <w:color w:val="auto"/>
        </w:rPr>
        <w:t>,</w:t>
      </w:r>
      <w:r w:rsidRPr="00105048">
        <w:rPr>
          <w:color w:val="auto"/>
        </w:rPr>
        <w:t xml:space="preserve"> Australia</w:t>
      </w:r>
      <w:r w:rsidR="005D6F39">
        <w:rPr>
          <w:color w:val="auto"/>
        </w:rPr>
        <w:t>’</w:t>
      </w:r>
      <w:r w:rsidRPr="00105048">
        <w:rPr>
          <w:color w:val="auto"/>
        </w:rPr>
        <w:t>s oil production increased rapidly from first production in the mid</w:t>
      </w:r>
      <w:r w:rsidR="005D6F39">
        <w:rPr>
          <w:color w:val="auto"/>
        </w:rPr>
        <w:noBreakHyphen/>
      </w:r>
      <w:r w:rsidRPr="00105048">
        <w:rPr>
          <w:color w:val="auto"/>
        </w:rPr>
        <w:t xml:space="preserve">1960s through to the </w:t>
      </w:r>
      <w:r>
        <w:t>mid</w:t>
      </w:r>
      <w:r w:rsidR="005D6F39">
        <w:noBreakHyphen/>
      </w:r>
      <w:r>
        <w:t>1970s. From then until around the turn of the century Australia</w:t>
      </w:r>
      <w:r w:rsidR="005D6F39">
        <w:t>’</w:t>
      </w:r>
      <w:r>
        <w:t xml:space="preserve">s oil and condensate production continued to increase at a </w:t>
      </w:r>
      <w:r w:rsidR="00770E50">
        <w:t>steadier</w:t>
      </w:r>
      <w:r>
        <w:t xml:space="preserve"> rate, with some yearly deviations. Since 2000, Australia</w:t>
      </w:r>
      <w:r w:rsidR="005D6F39">
        <w:t>’</w:t>
      </w:r>
      <w:r>
        <w:t>s oil and condensate production has been in gradual decline. However, the start</w:t>
      </w:r>
      <w:r w:rsidR="005D6F39">
        <w:noBreakHyphen/>
      </w:r>
      <w:r>
        <w:t>up of new offshore based LNG projects is expected to see a short term rise in condensate production over the next few years as the petroleum liquids are developed at the start of the projects.</w:t>
      </w:r>
    </w:p>
    <w:p w14:paraId="1946CF6D" w14:textId="0EADD2BD" w:rsidR="007B1FFE" w:rsidRDefault="005A428C" w:rsidP="00221C2A">
      <w:pPr>
        <w:pStyle w:val="ChartMainHeading"/>
      </w:pPr>
      <w:r w:rsidRPr="007D4B54">
        <w:t>Figure</w:t>
      </w:r>
      <w:r w:rsidR="007B1FFE" w:rsidRPr="007D4B54">
        <w:t xml:space="preserve"> </w:t>
      </w:r>
      <w:r w:rsidR="00920917" w:rsidRPr="007D4B54">
        <w:t>1.1</w:t>
      </w:r>
      <w:r w:rsidR="007B1FFE">
        <w:t xml:space="preserve"> — </w:t>
      </w:r>
      <w:r w:rsidR="00AA7794">
        <w:t>Australia</w:t>
      </w:r>
      <w:r w:rsidR="005D6F39">
        <w:t>’</w:t>
      </w:r>
      <w:r w:rsidR="00AA7794">
        <w:t xml:space="preserve">s </w:t>
      </w:r>
      <w:r w:rsidR="00486545">
        <w:t>crude o</w:t>
      </w:r>
      <w:r w:rsidR="007B1FFE">
        <w:t xml:space="preserve">il </w:t>
      </w:r>
      <w:r w:rsidR="001E3D85">
        <w:t>a</w:t>
      </w:r>
      <w:r w:rsidR="007B1FFE">
        <w:t xml:space="preserve">nd </w:t>
      </w:r>
      <w:r w:rsidR="00486545">
        <w:t>condensate p</w:t>
      </w:r>
      <w:r w:rsidR="007B1FFE">
        <w:t>roduction</w:t>
      </w:r>
    </w:p>
    <w:bookmarkStart w:id="2691" w:name="_1553413851"/>
    <w:bookmarkStart w:id="2692" w:name="_1553502172"/>
    <w:bookmarkEnd w:id="2691"/>
    <w:bookmarkEnd w:id="2692"/>
    <w:p w14:paraId="6714C53D" w14:textId="12CD408F" w:rsidR="00C4354E" w:rsidRDefault="00E714D1" w:rsidP="003D3CDC">
      <w:pPr>
        <w:pStyle w:val="ChartGraphic"/>
        <w:rPr>
          <w:highlight w:val="green"/>
        </w:rPr>
      </w:pPr>
      <w:r>
        <w:rPr>
          <w:noProof/>
        </w:rPr>
        <w:object w:dxaOrig="8775" w:dyaOrig="4530" w14:anchorId="3BDFC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1 shows the level of annual Australia’s crude oil and condensate production from 1963-64 to 2013-14." style="width:438.75pt;height:225.75pt" o:ole="">
            <v:imagedata r:id="rId27" o:title=""/>
          </v:shape>
          <o:OLEObject Type="Link" ProgID="Excel.Sheet.12" ShapeID="_x0000_i1025" DrawAspect="Content" r:id="rId28" UpdateMode="Always">
            <o:LinkType>EnhancedMetaFile</o:LinkType>
            <o:LockedField/>
          </o:OLEObject>
        </w:object>
      </w:r>
    </w:p>
    <w:p w14:paraId="19D2DD19" w14:textId="785E5B16" w:rsidR="00AA7794" w:rsidRDefault="00AA7794" w:rsidP="00E714D1">
      <w:pPr>
        <w:pStyle w:val="ChartorTableNote"/>
      </w:pPr>
      <w:r w:rsidRPr="007C7E2E">
        <w:t xml:space="preserve">Source: </w:t>
      </w:r>
      <w:r w:rsidR="00770E50" w:rsidRPr="007C7E2E">
        <w:t>Department of Industry, Innovation and Science</w:t>
      </w:r>
      <w:r w:rsidRPr="007C7E2E">
        <w:t>, 2016</w:t>
      </w:r>
      <w:r w:rsidR="000235B7" w:rsidRPr="007C7E2E">
        <w:t xml:space="preserve">a &amp; </w:t>
      </w:r>
      <w:r w:rsidR="001F1AFE" w:rsidRPr="007C7E2E">
        <w:t>2016</w:t>
      </w:r>
      <w:r w:rsidR="000235B7" w:rsidRPr="007C7E2E">
        <w:t>b</w:t>
      </w:r>
      <w:r w:rsidR="000A2DD4">
        <w:t>.</w:t>
      </w:r>
    </w:p>
    <w:p w14:paraId="0A62178B" w14:textId="77777777" w:rsidR="00E714D1" w:rsidRPr="00E714D1" w:rsidRDefault="00E714D1" w:rsidP="00E714D1">
      <w:pPr>
        <w:pStyle w:val="SingleParagraph"/>
      </w:pPr>
    </w:p>
    <w:p w14:paraId="21703602" w14:textId="4E5D54DF" w:rsidR="00F664FC" w:rsidRDefault="00AA7794" w:rsidP="00A865F8">
      <w:pPr>
        <w:rPr>
          <w:rFonts w:ascii="Century Gothic" w:hAnsi="Century Gothic"/>
          <w:noProof/>
          <w:color w:val="1F497D" w:themeColor="text2"/>
          <w:szCs w:val="22"/>
        </w:rPr>
      </w:pPr>
      <w:r>
        <w:t>When the PRRT was introduced in the late 1980s, Australia</w:t>
      </w:r>
      <w:r w:rsidR="005D6F39">
        <w:t>’</w:t>
      </w:r>
      <w:r>
        <w:t xml:space="preserve">s oil and gas industry had a very different look with respect to oil and gas production compared to today. </w:t>
      </w:r>
      <w:r w:rsidRPr="00105048">
        <w:rPr>
          <w:color w:val="auto"/>
        </w:rPr>
        <w:t xml:space="preserve">As shown </w:t>
      </w:r>
      <w:r w:rsidR="004C33A6" w:rsidRPr="00105048">
        <w:rPr>
          <w:color w:val="auto"/>
        </w:rPr>
        <w:t xml:space="preserve">in </w:t>
      </w:r>
      <w:r w:rsidR="004C33A6" w:rsidRPr="007D4B54">
        <w:rPr>
          <w:color w:val="auto"/>
        </w:rPr>
        <w:t>Figure</w:t>
      </w:r>
      <w:r w:rsidR="00446600" w:rsidRPr="007D4B54">
        <w:rPr>
          <w:color w:val="auto"/>
        </w:rPr>
        <w:t> </w:t>
      </w:r>
      <w:r w:rsidR="00920917" w:rsidRPr="007D4B54">
        <w:rPr>
          <w:color w:val="auto"/>
        </w:rPr>
        <w:t>1.2</w:t>
      </w:r>
      <w:r w:rsidRPr="00105048">
        <w:rPr>
          <w:color w:val="auto"/>
        </w:rPr>
        <w:t>, over this period Australia</w:t>
      </w:r>
      <w:r w:rsidR="005D6F39">
        <w:rPr>
          <w:color w:val="auto"/>
        </w:rPr>
        <w:t>’</w:t>
      </w:r>
      <w:r w:rsidRPr="00105048">
        <w:rPr>
          <w:color w:val="auto"/>
        </w:rPr>
        <w:t>s oil and condensate production has nearly halved</w:t>
      </w:r>
      <w:r w:rsidR="008B6ACC">
        <w:rPr>
          <w:color w:val="auto"/>
        </w:rPr>
        <w:t>,</w:t>
      </w:r>
      <w:r w:rsidRPr="00105048">
        <w:rPr>
          <w:color w:val="auto"/>
        </w:rPr>
        <w:t xml:space="preserve"> while gas production has increased more than </w:t>
      </w:r>
      <w:r w:rsidR="001E3D85" w:rsidRPr="00105048">
        <w:rPr>
          <w:color w:val="auto"/>
        </w:rPr>
        <w:t>five</w:t>
      </w:r>
      <w:r w:rsidRPr="00105048">
        <w:rPr>
          <w:color w:val="auto"/>
        </w:rPr>
        <w:t>fo</w:t>
      </w:r>
      <w:r w:rsidR="005C6F76">
        <w:rPr>
          <w:color w:val="auto"/>
        </w:rPr>
        <w:t xml:space="preserve">ld with further rises expected </w:t>
      </w:r>
      <w:r>
        <w:t xml:space="preserve">as </w:t>
      </w:r>
      <w:r w:rsidR="00B670F8">
        <w:t>a number of large</w:t>
      </w:r>
      <w:r>
        <w:t xml:space="preserve"> LNG </w:t>
      </w:r>
      <w:r w:rsidR="00B670F8">
        <w:t>projects commence and expand production.</w:t>
      </w:r>
    </w:p>
    <w:p w14:paraId="3AD0EB51" w14:textId="76DFFC84" w:rsidR="00AA7794" w:rsidRDefault="005A428C" w:rsidP="00221C2A">
      <w:pPr>
        <w:pStyle w:val="ChartMainHeading"/>
      </w:pPr>
      <w:r w:rsidRPr="007D4B54">
        <w:t>Figure</w:t>
      </w:r>
      <w:r w:rsidR="007B1FFE" w:rsidRPr="007D4B54">
        <w:t xml:space="preserve"> </w:t>
      </w:r>
      <w:r w:rsidR="00920917" w:rsidRPr="007D4B54">
        <w:t>1.2</w:t>
      </w:r>
      <w:r w:rsidR="007B1FFE">
        <w:t xml:space="preserve"> </w:t>
      </w:r>
      <w:r w:rsidR="00310C31">
        <w:t xml:space="preserve">— </w:t>
      </w:r>
      <w:r w:rsidR="00AA7794">
        <w:t xml:space="preserve">Change </w:t>
      </w:r>
      <w:r w:rsidR="00310C31">
        <w:t xml:space="preserve">in </w:t>
      </w:r>
      <w:r w:rsidR="00AA7794">
        <w:t>Australia</w:t>
      </w:r>
      <w:r w:rsidR="005D6F39">
        <w:t>’</w:t>
      </w:r>
      <w:r w:rsidR="00AA7794">
        <w:t xml:space="preserve">s </w:t>
      </w:r>
      <w:r w:rsidR="00406E9A">
        <w:t>oil</w:t>
      </w:r>
      <w:r w:rsidR="00310C31">
        <w:t xml:space="preserve"> and </w:t>
      </w:r>
      <w:r w:rsidR="00406E9A">
        <w:t>g</w:t>
      </w:r>
      <w:r w:rsidR="00310C31">
        <w:t xml:space="preserve">as </w:t>
      </w:r>
      <w:r w:rsidR="00406E9A">
        <w:t>p</w:t>
      </w:r>
      <w:r w:rsidR="00310C31">
        <w:t xml:space="preserve">roduction </w:t>
      </w:r>
      <w:r w:rsidR="00406E9A">
        <w:t>s</w:t>
      </w:r>
      <w:r w:rsidR="00310C31">
        <w:t xml:space="preserve">ince </w:t>
      </w:r>
      <w:r w:rsidR="00AA7794">
        <w:t xml:space="preserve">PRRT </w:t>
      </w:r>
      <w:r w:rsidR="00406E9A">
        <w:t>i</w:t>
      </w:r>
      <w:r w:rsidR="00310C31">
        <w:t>ntroduction</w:t>
      </w:r>
    </w:p>
    <w:p w14:paraId="3504DFAA" w14:textId="63D0A814" w:rsidR="00C4354E" w:rsidRDefault="00C4354E" w:rsidP="00221C2A">
      <w:pPr>
        <w:pStyle w:val="ChartGraphic"/>
        <w:rPr>
          <w:highlight w:val="green"/>
        </w:rPr>
      </w:pPr>
      <w:r>
        <w:rPr>
          <w:noProof/>
        </w:rPr>
        <w:drawing>
          <wp:inline distT="0" distB="0" distL="0" distR="0" wp14:anchorId="616784E6" wp14:editId="75F2A727">
            <wp:extent cx="4055165" cy="2393343"/>
            <wp:effectExtent l="0" t="0" r="2540" b="6985"/>
            <wp:docPr id="300" name="Chart 300" descr="Figure 1.2 shows that between 1987-88 and 2015-16 oil and condensate production fell by approximately 40 per cent, while gas production more than quadrupl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4F24BF" w14:textId="3F8B373A" w:rsidR="00AA7794" w:rsidRDefault="00AA7794" w:rsidP="00E714D1">
      <w:pPr>
        <w:pStyle w:val="ChartorTableNote"/>
      </w:pPr>
      <w:r w:rsidRPr="007C7E2E">
        <w:t xml:space="preserve">Source: </w:t>
      </w:r>
      <w:r w:rsidR="00770E50" w:rsidRPr="007C7E2E">
        <w:t>Department of Industry, Innovation and Science</w:t>
      </w:r>
      <w:r w:rsidRPr="007C7E2E">
        <w:t>, 2016</w:t>
      </w:r>
      <w:r w:rsidR="0030271A" w:rsidRPr="007C7E2E">
        <w:t xml:space="preserve">a &amp; </w:t>
      </w:r>
      <w:r w:rsidR="001F1AFE" w:rsidRPr="007C7E2E">
        <w:t>2016</w:t>
      </w:r>
      <w:r w:rsidR="0030271A" w:rsidRPr="007C7E2E">
        <w:t>b</w:t>
      </w:r>
      <w:r w:rsidR="000A2DD4">
        <w:t>.</w:t>
      </w:r>
    </w:p>
    <w:p w14:paraId="7167E680" w14:textId="77777777" w:rsidR="00E714D1" w:rsidRPr="00E714D1" w:rsidRDefault="00E714D1" w:rsidP="00E714D1">
      <w:pPr>
        <w:pStyle w:val="SingleParagraph"/>
      </w:pPr>
    </w:p>
    <w:p w14:paraId="6241A341" w14:textId="078C3733" w:rsidR="00AA7794" w:rsidRDefault="001E3D85" w:rsidP="007B1FFE">
      <w:r>
        <w:t>T</w:t>
      </w:r>
      <w:r w:rsidR="00AA7794">
        <w:t>he industry</w:t>
      </w:r>
      <w:r w:rsidR="005D6F39">
        <w:t>’</w:t>
      </w:r>
      <w:r>
        <w:t>s transition</w:t>
      </w:r>
      <w:r w:rsidR="00AA7794">
        <w:t xml:space="preserve"> towards a greater </w:t>
      </w:r>
      <w:r>
        <w:t>focus</w:t>
      </w:r>
      <w:r w:rsidR="00AA7794">
        <w:t xml:space="preserve"> on gas</w:t>
      </w:r>
      <w:r>
        <w:t xml:space="preserve"> over oil</w:t>
      </w:r>
      <w:r w:rsidR="00AA7794">
        <w:t xml:space="preserve"> has largely been brought about by the commercialisation of significant new gas discoveries, a growing market for this resource, both domestically and overseas, and limited success in finding new oil.</w:t>
      </w:r>
    </w:p>
    <w:p w14:paraId="0B20D5B9" w14:textId="0BB15871" w:rsidR="00AA7794" w:rsidRDefault="00AA7794" w:rsidP="007B1FFE">
      <w:r>
        <w:t xml:space="preserve">This transition </w:t>
      </w:r>
      <w:r w:rsidR="00B670F8">
        <w:t>commenced with</w:t>
      </w:r>
      <w:r>
        <w:t xml:space="preserve"> the discovery of substantial gas resources along the </w:t>
      </w:r>
      <w:r w:rsidR="00406E9A">
        <w:t>NWS</w:t>
      </w:r>
      <w:r>
        <w:t xml:space="preserve"> </w:t>
      </w:r>
      <w:r w:rsidR="00A0524A">
        <w:t xml:space="preserve">in </w:t>
      </w:r>
      <w:r>
        <w:t xml:space="preserve">offshore Western Australia </w:t>
      </w:r>
      <w:r w:rsidR="00E51467">
        <w:t xml:space="preserve">(WA) </w:t>
      </w:r>
      <w:r>
        <w:t xml:space="preserve">in the early 1970s. </w:t>
      </w:r>
      <w:r w:rsidR="00B670F8">
        <w:t>T</w:t>
      </w:r>
      <w:r>
        <w:t xml:space="preserve">he first development </w:t>
      </w:r>
      <w:r w:rsidR="00B670F8">
        <w:t xml:space="preserve">phase </w:t>
      </w:r>
      <w:r>
        <w:t xml:space="preserve">of the </w:t>
      </w:r>
      <w:r w:rsidR="00406E9A">
        <w:t>NWS p</w:t>
      </w:r>
      <w:r>
        <w:t>roject</w:t>
      </w:r>
      <w:r w:rsidR="00B670F8">
        <w:t xml:space="preserve"> commenced </w:t>
      </w:r>
      <w:r>
        <w:t>in 1980</w:t>
      </w:r>
      <w:r w:rsidR="00B670F8">
        <w:t xml:space="preserve"> and it</w:t>
      </w:r>
      <w:r>
        <w:t xml:space="preserve"> started </w:t>
      </w:r>
      <w:r w:rsidR="00B670F8">
        <w:t xml:space="preserve">to </w:t>
      </w:r>
      <w:r>
        <w:t>supply gas into the WA market in 1984 and shipped its f</w:t>
      </w:r>
      <w:r w:rsidR="00755941">
        <w:t>irst LNG cargo to Japan in 1989</w:t>
      </w:r>
      <w:r w:rsidDel="00B670F8">
        <w:t>.</w:t>
      </w:r>
    </w:p>
    <w:p w14:paraId="05B3DD46" w14:textId="2B882EDD" w:rsidR="00AA7794" w:rsidRDefault="00AA7794" w:rsidP="007B1FFE">
      <w:r>
        <w:t>Since then, Australia has steadily expand</w:t>
      </w:r>
      <w:r w:rsidR="00B670F8">
        <w:t>ed</w:t>
      </w:r>
      <w:r>
        <w:t xml:space="preserve"> its LNG supply capacity </w:t>
      </w:r>
      <w:r w:rsidR="00B670F8">
        <w:t xml:space="preserve">with the </w:t>
      </w:r>
      <w:r>
        <w:t>develop</w:t>
      </w:r>
      <w:r w:rsidR="00B670F8">
        <w:t xml:space="preserve">ment of </w:t>
      </w:r>
      <w:r>
        <w:t xml:space="preserve">substantial offshore gas discoveries. </w:t>
      </w:r>
      <w:r w:rsidR="00B670F8">
        <w:t>Production from t</w:t>
      </w:r>
      <w:r>
        <w:t xml:space="preserve">he </w:t>
      </w:r>
      <w:r w:rsidR="00406E9A">
        <w:t>NWS p</w:t>
      </w:r>
      <w:r>
        <w:t xml:space="preserve">roject </w:t>
      </w:r>
      <w:r w:rsidR="00B670F8">
        <w:t xml:space="preserve">was expanded </w:t>
      </w:r>
      <w:r w:rsidR="00DB4B85">
        <w:t>throughout the 1990s and 2000s.</w:t>
      </w:r>
    </w:p>
    <w:p w14:paraId="3956328C" w14:textId="596ECB9A" w:rsidR="00552317" w:rsidRPr="00552317" w:rsidRDefault="00DB4B85" w:rsidP="00552317">
      <w:r>
        <w:t>T</w:t>
      </w:r>
      <w:r w:rsidR="00AA7794">
        <w:t>he Darwin LNG project</w:t>
      </w:r>
      <w:r w:rsidR="00735E81">
        <w:t xml:space="preserve"> </w:t>
      </w:r>
      <w:r>
        <w:t>c</w:t>
      </w:r>
      <w:r w:rsidR="00AA7794">
        <w:t>ommenc</w:t>
      </w:r>
      <w:r>
        <w:t>ed</w:t>
      </w:r>
      <w:r w:rsidR="00AA7794">
        <w:t xml:space="preserve"> production in 2006</w:t>
      </w:r>
      <w:r w:rsidR="001E3D85">
        <w:t xml:space="preserve"> </w:t>
      </w:r>
      <w:r w:rsidR="00AA7794">
        <w:t>process</w:t>
      </w:r>
      <w:r w:rsidR="00735E81">
        <w:t>ing</w:t>
      </w:r>
      <w:r w:rsidR="00B76A41">
        <w:t xml:space="preserve"> gas from the Bayu</w:t>
      </w:r>
      <w:r w:rsidR="005D6F39">
        <w:noBreakHyphen/>
      </w:r>
      <w:r w:rsidR="00AA7794">
        <w:t xml:space="preserve">Undan field in the Joint Petroleum Development Area </w:t>
      </w:r>
      <w:r w:rsidR="008B6ACC">
        <w:t>(</w:t>
      </w:r>
      <w:r w:rsidR="0027617D">
        <w:t>JPD</w:t>
      </w:r>
      <w:r w:rsidR="008B6ACC">
        <w:t>A)</w:t>
      </w:r>
      <w:r w:rsidR="00AA7794">
        <w:t xml:space="preserve"> shared between Australia and Timor Leste.</w:t>
      </w:r>
      <w:r w:rsidR="00735E81">
        <w:t xml:space="preserve"> </w:t>
      </w:r>
      <w:r w:rsidR="00AA7794">
        <w:t>This was followed by the Pluto LNG project</w:t>
      </w:r>
      <w:r w:rsidR="00735E81">
        <w:t xml:space="preserve"> </w:t>
      </w:r>
      <w:r w:rsidR="00422B85">
        <w:t>which</w:t>
      </w:r>
      <w:r w:rsidR="00AA7794">
        <w:t xml:space="preserve"> commenced production in 2012.</w:t>
      </w:r>
      <w:r w:rsidR="00735E81" w:rsidRPr="007D4B54">
        <w:t xml:space="preserve"> </w:t>
      </w:r>
      <w:r w:rsidR="005A428C" w:rsidRPr="007D4B54">
        <w:t>Figure</w:t>
      </w:r>
      <w:r w:rsidR="00AA7794" w:rsidRPr="007D4B54">
        <w:t xml:space="preserve"> </w:t>
      </w:r>
      <w:r w:rsidR="00920917" w:rsidRPr="007D4B54">
        <w:t>1.3</w:t>
      </w:r>
      <w:r w:rsidR="00AA7794">
        <w:t xml:space="preserve"> </w:t>
      </w:r>
      <w:r w:rsidR="00422B85">
        <w:t>illustrates</w:t>
      </w:r>
      <w:r w:rsidR="00AA7794">
        <w:t xml:space="preserve"> the long term steady increase in Australia</w:t>
      </w:r>
      <w:r w:rsidR="005D6F39">
        <w:t>’</w:t>
      </w:r>
      <w:r w:rsidR="00AA7794">
        <w:t>s gas production, with LNG exports comprising an increasing share of Australia</w:t>
      </w:r>
      <w:r w:rsidR="005D6F39">
        <w:t>’</w:t>
      </w:r>
      <w:r w:rsidR="00AA7794">
        <w:t>s overall gas production.</w:t>
      </w:r>
    </w:p>
    <w:p w14:paraId="77EFA051" w14:textId="484D69A5" w:rsidR="00AA7794" w:rsidRDefault="005A428C" w:rsidP="00221C2A">
      <w:pPr>
        <w:pStyle w:val="ChartMainHeading"/>
      </w:pPr>
      <w:r w:rsidRPr="007D4B54">
        <w:t>Figure</w:t>
      </w:r>
      <w:r w:rsidR="004925B5" w:rsidRPr="007D4B54">
        <w:t xml:space="preserve"> </w:t>
      </w:r>
      <w:r w:rsidR="00920917">
        <w:t>1.3</w:t>
      </w:r>
      <w:r w:rsidR="004925B5">
        <w:t xml:space="preserve"> — Australia</w:t>
      </w:r>
      <w:r w:rsidR="005D6F39">
        <w:t>’</w:t>
      </w:r>
      <w:r w:rsidR="004925B5">
        <w:t xml:space="preserve">s </w:t>
      </w:r>
      <w:r w:rsidR="00455604">
        <w:t>g</w:t>
      </w:r>
      <w:r w:rsidR="004925B5">
        <w:t xml:space="preserve">as </w:t>
      </w:r>
      <w:r w:rsidR="00455604">
        <w:t>b</w:t>
      </w:r>
      <w:r w:rsidR="00AA7794">
        <w:t>alance</w:t>
      </w:r>
    </w:p>
    <w:p w14:paraId="3A697B83" w14:textId="6C5AA1B5" w:rsidR="00CE26E6" w:rsidRDefault="00E714D1" w:rsidP="00EB04BF">
      <w:pPr>
        <w:pStyle w:val="TableGraphic"/>
        <w:rPr>
          <w:highlight w:val="green"/>
        </w:rPr>
      </w:pPr>
      <w:r>
        <w:rPr>
          <w:noProof/>
        </w:rPr>
        <w:object w:dxaOrig="8775" w:dyaOrig="4530" w14:anchorId="3FD79EAD">
          <v:shape id="_x0000_i1026" type="#_x0000_t75" alt="Figure 1.3 illustrates Australia’s gas balance from 1974-75 to 2019-20 (with forecasts reflected for the last for years). " style="width:439.5pt;height:227.25pt" o:ole="">
            <v:imagedata r:id="rId30" o:title=""/>
          </v:shape>
          <o:OLEObject Type="Link" ProgID="Excel.Sheet.12" ShapeID="_x0000_i1026" DrawAspect="Content" r:id="rId31" UpdateMode="Always">
            <o:LinkType>EnhancedMetaFile</o:LinkType>
            <o:LockedField>false</o:LockedField>
          </o:OLEObject>
        </w:object>
      </w:r>
    </w:p>
    <w:p w14:paraId="22476E77" w14:textId="7A70D9A7" w:rsidR="00AA7794" w:rsidRDefault="00AA7794" w:rsidP="00E714D1">
      <w:pPr>
        <w:pStyle w:val="ChartorTableNote"/>
      </w:pPr>
      <w:r w:rsidRPr="007C7E2E">
        <w:t xml:space="preserve">Source: </w:t>
      </w:r>
      <w:r w:rsidR="00770E50" w:rsidRPr="007C7E2E">
        <w:t>Department of Industry, Innovation and Science</w:t>
      </w:r>
      <w:r w:rsidRPr="007C7E2E">
        <w:t>, 2016</w:t>
      </w:r>
      <w:r w:rsidR="006966E8" w:rsidRPr="007C7E2E">
        <w:t xml:space="preserve">a, </w:t>
      </w:r>
      <w:r w:rsidR="001F1AFE" w:rsidRPr="007C7E2E">
        <w:t>2016</w:t>
      </w:r>
      <w:r w:rsidR="006966E8" w:rsidRPr="007C7E2E">
        <w:t xml:space="preserve">b &amp; </w:t>
      </w:r>
      <w:r w:rsidR="001F1AFE" w:rsidRPr="007C7E2E">
        <w:t>2016</w:t>
      </w:r>
      <w:r w:rsidR="006966E8" w:rsidRPr="007C7E2E">
        <w:t>d</w:t>
      </w:r>
      <w:r w:rsidR="000A2DD4">
        <w:t>.</w:t>
      </w:r>
    </w:p>
    <w:p w14:paraId="6EB2A9DD" w14:textId="77777777" w:rsidR="00E714D1" w:rsidRPr="00E714D1" w:rsidRDefault="00E714D1" w:rsidP="00E714D1">
      <w:pPr>
        <w:pStyle w:val="SingleParagraph"/>
      </w:pPr>
    </w:p>
    <w:p w14:paraId="29658DC5" w14:textId="77019EA5" w:rsidR="00AA7794" w:rsidRDefault="004C28BE" w:rsidP="004925B5">
      <w:pPr>
        <w:pStyle w:val="Heading3"/>
      </w:pPr>
      <w:bookmarkStart w:id="2693" w:name="_Toc476577310"/>
      <w:bookmarkStart w:id="2694" w:name="_Toc476582298"/>
      <w:bookmarkStart w:id="2695" w:name="_Toc476582972"/>
      <w:bookmarkStart w:id="2696" w:name="_Toc476583689"/>
      <w:bookmarkStart w:id="2697" w:name="_Toc476584137"/>
      <w:bookmarkStart w:id="2698" w:name="_Toc476738043"/>
      <w:bookmarkStart w:id="2699" w:name="_Toc476747618"/>
      <w:bookmarkStart w:id="2700" w:name="_Toc476749026"/>
      <w:bookmarkStart w:id="2701" w:name="_Toc476753894"/>
      <w:bookmarkStart w:id="2702" w:name="_Toc476754389"/>
      <w:bookmarkStart w:id="2703" w:name="_Toc476754554"/>
      <w:bookmarkStart w:id="2704" w:name="_Toc476759790"/>
      <w:bookmarkStart w:id="2705" w:name="_Toc476761412"/>
      <w:bookmarkStart w:id="2706" w:name="_Toc476767050"/>
      <w:bookmarkStart w:id="2707" w:name="_Toc476827096"/>
      <w:bookmarkStart w:id="2708" w:name="_Toc476828789"/>
      <w:bookmarkStart w:id="2709" w:name="_Toc476833663"/>
      <w:bookmarkStart w:id="2710" w:name="_Toc476837136"/>
      <w:bookmarkStart w:id="2711" w:name="_Toc476841009"/>
      <w:bookmarkStart w:id="2712" w:name="_Toc476841214"/>
      <w:bookmarkStart w:id="2713" w:name="_Toc476841973"/>
      <w:bookmarkStart w:id="2714" w:name="_Toc476842917"/>
      <w:bookmarkStart w:id="2715" w:name="_Toc476843088"/>
      <w:bookmarkStart w:id="2716" w:name="_Toc476844586"/>
      <w:bookmarkStart w:id="2717" w:name="_Toc476845479"/>
      <w:bookmarkStart w:id="2718" w:name="_Toc476926870"/>
      <w:bookmarkStart w:id="2719" w:name="_Toc476926809"/>
      <w:bookmarkStart w:id="2720" w:name="_Toc476927157"/>
      <w:bookmarkStart w:id="2721" w:name="_Toc476928421"/>
      <w:bookmarkStart w:id="2722" w:name="_Toc476929464"/>
      <w:bookmarkStart w:id="2723" w:name="_Toc476929639"/>
      <w:bookmarkStart w:id="2724" w:name="_Toc476930682"/>
      <w:bookmarkStart w:id="2725" w:name="_Toc476931489"/>
      <w:bookmarkStart w:id="2726" w:name="_Toc477869859"/>
      <w:bookmarkStart w:id="2727" w:name="_Toc477871098"/>
      <w:bookmarkStart w:id="2728" w:name="_Toc477873257"/>
      <w:bookmarkStart w:id="2729" w:name="_Toc477875251"/>
      <w:bookmarkStart w:id="2730" w:name="_Toc477880164"/>
      <w:bookmarkStart w:id="2731" w:name="_Toc477881424"/>
      <w:bookmarkStart w:id="2732" w:name="_Toc477955828"/>
      <w:bookmarkStart w:id="2733" w:name="_Toc477963073"/>
      <w:bookmarkStart w:id="2734" w:name="_Toc477963559"/>
      <w:bookmarkStart w:id="2735" w:name="_Toc477965145"/>
      <w:bookmarkStart w:id="2736" w:name="_Toc477966649"/>
      <w:bookmarkStart w:id="2737" w:name="_Toc477966818"/>
      <w:bookmarkStart w:id="2738" w:name="_Toc477967158"/>
      <w:bookmarkStart w:id="2739" w:name="_Toc478121295"/>
      <w:bookmarkStart w:id="2740" w:name="_Toc478122208"/>
      <w:bookmarkStart w:id="2741" w:name="_Toc478132182"/>
      <w:bookmarkStart w:id="2742" w:name="_Toc478133208"/>
      <w:bookmarkStart w:id="2743" w:name="_Toc478132345"/>
      <w:bookmarkStart w:id="2744" w:name="_Toc478134674"/>
      <w:bookmarkStart w:id="2745" w:name="_Toc478137376"/>
      <w:bookmarkStart w:id="2746" w:name="_Toc478138448"/>
      <w:bookmarkStart w:id="2747" w:name="_Toc478140018"/>
      <w:bookmarkStart w:id="2748" w:name="_Toc478140434"/>
      <w:bookmarkStart w:id="2749" w:name="_Toc478142640"/>
      <w:bookmarkStart w:id="2750" w:name="_Toc478566356"/>
      <w:bookmarkStart w:id="2751" w:name="_Toc478569523"/>
      <w:bookmarkStart w:id="2752" w:name="_Toc478569697"/>
      <w:bookmarkStart w:id="2753" w:name="_Toc478570771"/>
      <w:bookmarkStart w:id="2754" w:name="_Toc478632970"/>
      <w:bookmarkStart w:id="2755" w:name="_Toc478641378"/>
      <w:bookmarkStart w:id="2756" w:name="_Toc478654272"/>
      <w:bookmarkStart w:id="2757" w:name="_Toc478654446"/>
      <w:bookmarkStart w:id="2758" w:name="_Toc478657741"/>
      <w:bookmarkStart w:id="2759" w:name="_Toc478993162"/>
      <w:bookmarkStart w:id="2760" w:name="_Toc479000233"/>
      <w:bookmarkStart w:id="2761" w:name="_Toc479002167"/>
      <w:bookmarkStart w:id="2762" w:name="_Toc479002339"/>
      <w:bookmarkStart w:id="2763" w:name="_Toc479254315"/>
      <w:bookmarkStart w:id="2764" w:name="_Toc479258504"/>
      <w:bookmarkStart w:id="2765" w:name="_Toc479258820"/>
      <w:bookmarkStart w:id="2766" w:name="_Toc479259712"/>
      <w:bookmarkStart w:id="2767" w:name="_Toc479262135"/>
      <w:bookmarkStart w:id="2768" w:name="_Toc479262556"/>
      <w:bookmarkStart w:id="2769" w:name="_Toc479321257"/>
      <w:bookmarkStart w:id="2770" w:name="_Toc479326696"/>
      <w:bookmarkStart w:id="2771" w:name="_Toc479333295"/>
      <w:bookmarkStart w:id="2772" w:name="_Toc479334992"/>
      <w:bookmarkStart w:id="2773" w:name="_Toc479341707"/>
      <w:bookmarkStart w:id="2774" w:name="_Toc479345123"/>
      <w:bookmarkStart w:id="2775" w:name="_Toc479345332"/>
      <w:bookmarkStart w:id="2776" w:name="_Toc479348313"/>
      <w:bookmarkStart w:id="2777" w:name="_Toc479675907"/>
      <w:bookmarkStart w:id="2778" w:name="_Toc479690874"/>
      <w:bookmarkStart w:id="2779" w:name="_Toc479693452"/>
      <w:bookmarkStart w:id="2780" w:name="_Toc479770621"/>
      <w:r>
        <w:t>1.2.2</w:t>
      </w:r>
      <w:r>
        <w:tab/>
      </w:r>
      <w:r w:rsidR="004925B5">
        <w:t xml:space="preserve">LNG </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r w:rsidR="00E51467">
        <w:t>i</w:t>
      </w:r>
      <w:r w:rsidR="004925B5">
        <w:t xml:space="preserve">nvestment </w:t>
      </w:r>
      <w:r w:rsidR="00E51467">
        <w:t>b</w:t>
      </w:r>
      <w:r w:rsidR="004925B5">
        <w:t>oom</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14:paraId="37FC7D6F" w14:textId="5AFC2A06" w:rsidR="00AA7794" w:rsidRDefault="00AA7794" w:rsidP="004925B5">
      <w:r>
        <w:t xml:space="preserve">Australia has </w:t>
      </w:r>
      <w:r w:rsidR="00422B85">
        <w:t>received</w:t>
      </w:r>
      <w:r>
        <w:t xml:space="preserve"> a significant share of recent global investment in LNG supply capacity. This investment has been spurred by a previous period of constrained supply, rising demand and high oil and gas prices. Between 2009 and 2012, final investment decisions</w:t>
      </w:r>
      <w:r w:rsidR="000F33E2">
        <w:t xml:space="preserve"> (FID)</w:t>
      </w:r>
      <w:r>
        <w:t xml:space="preserve"> were taken on seven major new LNG projects in Australia, representing around $200 billion in capital </w:t>
      </w:r>
      <w:r w:rsidR="00180C8A">
        <w:t>expend</w:t>
      </w:r>
      <w:r w:rsidR="00735E81">
        <w:t>i</w:t>
      </w:r>
      <w:r w:rsidR="00180C8A">
        <w:t>ture</w:t>
      </w:r>
      <w:r>
        <w:t xml:space="preserve">. At the height of this investment boom in 2013, the International Energy Agency reported that </w:t>
      </w:r>
      <w:r w:rsidR="0095353A">
        <w:t>over</w:t>
      </w:r>
      <w:r>
        <w:t xml:space="preserve"> two</w:t>
      </w:r>
      <w:r w:rsidR="005D6F39">
        <w:noBreakHyphen/>
      </w:r>
      <w:r>
        <w:t xml:space="preserve">thirds of global investment in LNG capacity was </w:t>
      </w:r>
      <w:r w:rsidR="0095353A">
        <w:t>occurring</w:t>
      </w:r>
      <w:r>
        <w:t xml:space="preserve"> in Australia </w:t>
      </w:r>
      <w:r w:rsidRPr="00296F16">
        <w:t>(</w:t>
      </w:r>
      <w:r w:rsidRPr="007C7E2E">
        <w:t>I</w:t>
      </w:r>
      <w:r w:rsidR="00770E50" w:rsidRPr="007C7E2E">
        <w:t>nternational Energy Agency</w:t>
      </w:r>
      <w:r w:rsidRPr="007C7E2E">
        <w:t>, 2013</w:t>
      </w:r>
      <w:r w:rsidR="00676CC2" w:rsidRPr="007C7E2E">
        <w:t>, p. 110</w:t>
      </w:r>
      <w:r w:rsidRPr="00296F16">
        <w:t>)</w:t>
      </w:r>
      <w:r>
        <w:t xml:space="preserve">. </w:t>
      </w:r>
      <w:r w:rsidR="0095353A">
        <w:t>As a result</w:t>
      </w:r>
      <w:r>
        <w:t>, Australia</w:t>
      </w:r>
      <w:r w:rsidR="005D6F39">
        <w:t>’</w:t>
      </w:r>
      <w:r>
        <w:t>s share of global LNG exports is forecast to increase from 12 per cent in 2015, to</w:t>
      </w:r>
      <w:r w:rsidR="00E714D1">
        <w:t> </w:t>
      </w:r>
      <w:r>
        <w:t>24</w:t>
      </w:r>
      <w:r w:rsidR="000564E4">
        <w:t> </w:t>
      </w:r>
      <w:r>
        <w:t>per</w:t>
      </w:r>
      <w:r w:rsidR="000564E4">
        <w:t> </w:t>
      </w:r>
      <w:r>
        <w:t>cent in 2018 (</w:t>
      </w:r>
      <w:r w:rsidR="00770E50" w:rsidRPr="007C7E2E">
        <w:t>Department of Industry, Innovation and Science</w:t>
      </w:r>
      <w:r w:rsidR="00676CC2" w:rsidRPr="007C7E2E">
        <w:t>, 2016c</w:t>
      </w:r>
      <w:r w:rsidR="00296F16" w:rsidRPr="007C7E2E">
        <w:t>, p. 10</w:t>
      </w:r>
      <w:r>
        <w:t>).</w:t>
      </w:r>
    </w:p>
    <w:p w14:paraId="7AC13E58" w14:textId="02516F0F" w:rsidR="00A865F8" w:rsidRDefault="00B40A93" w:rsidP="00A865F8">
      <w:r>
        <w:t>In</w:t>
      </w:r>
      <w:r w:rsidR="00AA7794">
        <w:t xml:space="preserve"> this investment phase, the three </w:t>
      </w:r>
      <w:r w:rsidR="00E51467">
        <w:t>CSG</w:t>
      </w:r>
      <w:r w:rsidR="00AA7794">
        <w:t xml:space="preserve"> based LNG projects in Queensland (Queensland Curtis LNG, Gladstone LNG and Australia</w:t>
      </w:r>
      <w:r w:rsidR="00E51467">
        <w:t xml:space="preserve"> </w:t>
      </w:r>
      <w:r w:rsidR="00AA7794">
        <w:t>Pacific LNG) were the first completed</w:t>
      </w:r>
      <w:r w:rsidR="00461FD9">
        <w:t>,</w:t>
      </w:r>
      <w:r w:rsidR="00AA7794">
        <w:t xml:space="preserve"> achieving first gas (LNG exporting) over 2015 and early 2016.</w:t>
      </w:r>
      <w:r w:rsidR="0095353A">
        <w:t xml:space="preserve"> </w:t>
      </w:r>
      <w:r w:rsidR="00AA7794">
        <w:t xml:space="preserve">Three conventional offshore gas projects (Gorgon, Wheatstone and Ichthys) in </w:t>
      </w:r>
      <w:r w:rsidR="00E51467">
        <w:t>WA</w:t>
      </w:r>
      <w:r w:rsidR="00AA7794">
        <w:t xml:space="preserve"> and the </w:t>
      </w:r>
      <w:r w:rsidR="003E1147">
        <w:t>NT</w:t>
      </w:r>
      <w:r w:rsidR="00AA7794">
        <w:t xml:space="preserve"> are also transitioning to production. Gorgon </w:t>
      </w:r>
      <w:r w:rsidR="009B63A0">
        <w:t xml:space="preserve">shipped its first </w:t>
      </w:r>
      <w:r w:rsidR="00B107A9">
        <w:t xml:space="preserve">LNG </w:t>
      </w:r>
      <w:r w:rsidR="009B63A0">
        <w:t>cargo</w:t>
      </w:r>
      <w:r w:rsidR="00B107A9">
        <w:t xml:space="preserve"> </w:t>
      </w:r>
      <w:r w:rsidR="00AA7794">
        <w:t xml:space="preserve">in March 2016, while </w:t>
      </w:r>
      <w:r w:rsidR="009B63A0">
        <w:t xml:space="preserve">the </w:t>
      </w:r>
      <w:r w:rsidR="00AA7794">
        <w:t>Wheatstone and Ichthys</w:t>
      </w:r>
      <w:r w:rsidR="00B107A9">
        <w:t xml:space="preserve"> projects</w:t>
      </w:r>
      <w:r w:rsidR="00AA7794">
        <w:t xml:space="preserve"> are expected to commence by the end of </w:t>
      </w:r>
      <w:r w:rsidR="00763E1E">
        <w:t>2017</w:t>
      </w:r>
      <w:r w:rsidR="00AA7794">
        <w:t>. Australia</w:t>
      </w:r>
      <w:r w:rsidR="005D6F39">
        <w:t>’</w:t>
      </w:r>
      <w:r w:rsidR="00AA7794">
        <w:t>s first floating LNG project, Prelude, is also nearing completion with first gas likely in 2018.</w:t>
      </w:r>
      <w:r w:rsidR="0095353A">
        <w:t xml:space="preserve"> The location </w:t>
      </w:r>
      <w:r w:rsidR="00350F75">
        <w:t xml:space="preserve">of these projects is shown </w:t>
      </w:r>
      <w:r w:rsidR="00763E1E">
        <w:t xml:space="preserve">in </w:t>
      </w:r>
      <w:r w:rsidR="00763E1E" w:rsidRPr="007D4B54">
        <w:rPr>
          <w:color w:val="auto"/>
        </w:rPr>
        <w:t xml:space="preserve">Figure </w:t>
      </w:r>
      <w:r w:rsidR="00920917">
        <w:rPr>
          <w:color w:val="auto"/>
        </w:rPr>
        <w:t>1.4</w:t>
      </w:r>
      <w:r w:rsidR="0064118A" w:rsidRPr="00105048">
        <w:rPr>
          <w:color w:val="auto"/>
        </w:rPr>
        <w:t xml:space="preserve"> </w:t>
      </w:r>
      <w:r w:rsidR="0064118A">
        <w:rPr>
          <w:color w:val="auto"/>
        </w:rPr>
        <w:t xml:space="preserve">and a full list of the projects and their respective details is provided in </w:t>
      </w:r>
      <w:r w:rsidR="0064118A" w:rsidRPr="007D4B54">
        <w:rPr>
          <w:color w:val="auto"/>
        </w:rPr>
        <w:t xml:space="preserve">Appendix </w:t>
      </w:r>
      <w:r w:rsidR="00920917" w:rsidRPr="007D4B54">
        <w:rPr>
          <w:color w:val="auto"/>
        </w:rPr>
        <w:t>A</w:t>
      </w:r>
      <w:r w:rsidR="0064118A">
        <w:rPr>
          <w:color w:val="auto"/>
        </w:rPr>
        <w:t xml:space="preserve">. </w:t>
      </w:r>
    </w:p>
    <w:p w14:paraId="573682E0" w14:textId="6A0B7FA8" w:rsidR="005434F8" w:rsidRPr="0095353A" w:rsidRDefault="0095353A" w:rsidP="00221C2A">
      <w:pPr>
        <w:pStyle w:val="ChartMainHeading"/>
      </w:pPr>
      <w:r w:rsidRPr="007D4B54">
        <w:t xml:space="preserve">Figure </w:t>
      </w:r>
      <w:r w:rsidR="00920917">
        <w:t>1.4</w:t>
      </w:r>
      <w:r>
        <w:t xml:space="preserve"> — Australia</w:t>
      </w:r>
      <w:r w:rsidR="005D6F39">
        <w:t>’</w:t>
      </w:r>
      <w:r>
        <w:t xml:space="preserve">s </w:t>
      </w:r>
      <w:r w:rsidR="00486545">
        <w:t>major oil</w:t>
      </w:r>
      <w:r>
        <w:t xml:space="preserve"> and </w:t>
      </w:r>
      <w:r w:rsidR="00486545">
        <w:t>gas p</w:t>
      </w:r>
      <w:r>
        <w:t>rojects</w:t>
      </w:r>
    </w:p>
    <w:p w14:paraId="494856B7" w14:textId="77777777" w:rsidR="0095353A" w:rsidRDefault="005434F8" w:rsidP="00221C2A">
      <w:pPr>
        <w:pStyle w:val="ChartGraphic"/>
      </w:pPr>
      <w:r>
        <w:rPr>
          <w:noProof/>
        </w:rPr>
        <w:drawing>
          <wp:inline distT="0" distB="0" distL="0" distR="0" wp14:anchorId="55A81BB4" wp14:editId="31AB3ECF">
            <wp:extent cx="4548146" cy="3450317"/>
            <wp:effectExtent l="0" t="0" r="5080" b="0"/>
            <wp:docPr id="14" name="Picture 14" descr="Figure 1.4 shows Australia’s major petroleum basins and the names, locations and status of major oil and gas projects within those bas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 Australia's Major Oil and Gas Projects.png"/>
                    <pic:cNvPicPr/>
                  </pic:nvPicPr>
                  <pic:blipFill>
                    <a:blip r:embed="rId32">
                      <a:extLst>
                        <a:ext uri="{28A0092B-C50C-407E-A947-70E740481C1C}">
                          <a14:useLocalDpi xmlns:a14="http://schemas.microsoft.com/office/drawing/2010/main" val="0"/>
                        </a:ext>
                      </a:extLst>
                    </a:blip>
                    <a:stretch>
                      <a:fillRect/>
                    </a:stretch>
                  </pic:blipFill>
                  <pic:spPr>
                    <a:xfrm>
                      <a:off x="0" y="0"/>
                      <a:ext cx="4546804" cy="3449299"/>
                    </a:xfrm>
                    <a:prstGeom prst="rect">
                      <a:avLst/>
                    </a:prstGeom>
                  </pic:spPr>
                </pic:pic>
              </a:graphicData>
            </a:graphic>
          </wp:inline>
        </w:drawing>
      </w:r>
    </w:p>
    <w:p w14:paraId="57CDF75E" w14:textId="58E274F1" w:rsidR="00AA7794" w:rsidRDefault="004925B5" w:rsidP="00E714D1">
      <w:pPr>
        <w:pStyle w:val="ChartorTableNote"/>
      </w:pPr>
      <w:r w:rsidRPr="00137155">
        <w:t xml:space="preserve">Source: </w:t>
      </w:r>
      <w:r w:rsidR="00D93F3D" w:rsidRPr="00137155">
        <w:t>Department of Industry, Innovation and Science</w:t>
      </w:r>
      <w:r w:rsidR="000564E4">
        <w:t xml:space="preserve"> and Petroleum Resource Rent Tax Review Secretariat</w:t>
      </w:r>
      <w:r w:rsidR="000A2DD4">
        <w:t>.</w:t>
      </w:r>
    </w:p>
    <w:p w14:paraId="1C391790" w14:textId="77777777" w:rsidR="00E714D1" w:rsidRPr="00E714D1" w:rsidRDefault="00E714D1" w:rsidP="00E714D1">
      <w:pPr>
        <w:pStyle w:val="SingleParagraph"/>
      </w:pPr>
    </w:p>
    <w:p w14:paraId="20E32493" w14:textId="29681B49" w:rsidR="00AA7794" w:rsidRDefault="00763E1E" w:rsidP="002E58C4">
      <w:r>
        <w:t>When</w:t>
      </w:r>
      <w:r w:rsidR="00AA7794">
        <w:t xml:space="preserve"> all projects are operational, Australia will have 10 LNG projects comprising 21 trains with a total liquefaction capacity of </w:t>
      </w:r>
      <w:r w:rsidR="00E41653">
        <w:t>around 87</w:t>
      </w:r>
      <w:r w:rsidR="00AA7794">
        <w:t xml:space="preserve"> million tonnes per</w:t>
      </w:r>
      <w:r w:rsidR="00D83377">
        <w:t> </w:t>
      </w:r>
      <w:r w:rsidR="00AA7794">
        <w:t>annum (mtpa)</w:t>
      </w:r>
      <w:r w:rsidR="00E51467">
        <w:t>,</w:t>
      </w:r>
      <w:r w:rsidR="00920917">
        <w:t xml:space="preserve"> as shown in </w:t>
      </w:r>
      <w:r w:rsidR="00920917" w:rsidRPr="007D4B54">
        <w:t>Figure 1.5</w:t>
      </w:r>
      <w:r w:rsidR="00920917">
        <w:t xml:space="preserve"> below </w:t>
      </w:r>
      <w:r w:rsidR="00703DDF">
        <w:t>(</w:t>
      </w:r>
      <w:r w:rsidR="00703DDF" w:rsidRPr="000A2DD4">
        <w:t xml:space="preserve">Department of Industry, Innovation and Science, 2016b, p. </w:t>
      </w:r>
      <w:r w:rsidR="005B7AA0" w:rsidRPr="000A2DD4">
        <w:t>77</w:t>
      </w:r>
      <w:r w:rsidR="00755941">
        <w:t>).</w:t>
      </w:r>
    </w:p>
    <w:p w14:paraId="4DE5DC69" w14:textId="219418AB" w:rsidR="00755941" w:rsidRDefault="00BF3D9D" w:rsidP="00221C2A">
      <w:pPr>
        <w:pStyle w:val="ChartMainHeading"/>
      </w:pPr>
      <w:r w:rsidRPr="007D4B54">
        <w:t>Figure</w:t>
      </w:r>
      <w:r w:rsidR="004925B5" w:rsidRPr="007D4B54">
        <w:t xml:space="preserve"> </w:t>
      </w:r>
      <w:r w:rsidR="00920917">
        <w:t>1.5</w:t>
      </w:r>
      <w:r w:rsidR="004925B5">
        <w:t xml:space="preserve"> — Australia</w:t>
      </w:r>
      <w:r w:rsidR="005D6F39">
        <w:t>’</w:t>
      </w:r>
      <w:r w:rsidR="004925B5">
        <w:t xml:space="preserve">s </w:t>
      </w:r>
      <w:r w:rsidR="00486545">
        <w:t>liquefaction c</w:t>
      </w:r>
      <w:r w:rsidR="00AA7794">
        <w:t>apacity</w:t>
      </w:r>
    </w:p>
    <w:bookmarkStart w:id="2781" w:name="_1553413859"/>
    <w:bookmarkStart w:id="2782" w:name="_1553502178"/>
    <w:bookmarkEnd w:id="2781"/>
    <w:bookmarkEnd w:id="2782"/>
    <w:p w14:paraId="0098054A" w14:textId="3E305E76" w:rsidR="00AA7794" w:rsidRDefault="00E714D1" w:rsidP="003A6F70">
      <w:pPr>
        <w:pStyle w:val="ChartGraphic"/>
      </w:pPr>
      <w:r>
        <w:object w:dxaOrig="8775" w:dyaOrig="5326" w14:anchorId="7AFECF47">
          <v:shape id="_x0000_i1027" type="#_x0000_t75" alt="Figure 1.5 shows the growth in Australia’s liquefaction capacity from 1989 through to 2019. It shows a marked increase in capacity from 2015, with projects either commencing or increasing capacity between 2015 and 2019." style="width:408.75pt;height:246.75pt" o:ole="">
            <v:imagedata r:id="rId33" o:title=""/>
          </v:shape>
          <o:OLEObject Type="Link" ProgID="Excel.Sheet.12" ShapeID="_x0000_i1027" DrawAspect="Content" r:id="rId34" UpdateMode="Always">
            <o:LinkType>EnhancedMetaFile</o:LinkType>
            <o:LockedField/>
          </o:OLEObject>
        </w:object>
      </w:r>
    </w:p>
    <w:p w14:paraId="6A7156F4" w14:textId="01078E7F" w:rsidR="00AA7794" w:rsidRPr="00755941" w:rsidRDefault="00AA7794" w:rsidP="00E714D1">
      <w:pPr>
        <w:pStyle w:val="ChartorTableNote"/>
      </w:pPr>
      <w:r w:rsidRPr="00755941">
        <w:t xml:space="preserve">Source: </w:t>
      </w:r>
      <w:r w:rsidR="00770E50" w:rsidRPr="000A2DD4">
        <w:t>Department of Industry, Innovation and Science</w:t>
      </w:r>
      <w:r w:rsidRPr="000A2DD4">
        <w:t>, 2016</w:t>
      </w:r>
      <w:r w:rsidR="00552317" w:rsidRPr="000A2DD4">
        <w:t>b</w:t>
      </w:r>
      <w:r w:rsidR="000A2DD4">
        <w:t>.</w:t>
      </w:r>
    </w:p>
    <w:p w14:paraId="46776CD7" w14:textId="77777777" w:rsidR="007E0442" w:rsidRDefault="007E0442" w:rsidP="00221C2A">
      <w:pPr>
        <w:pStyle w:val="SingleParagraph"/>
      </w:pPr>
      <w:r>
        <w:br w:type="page"/>
      </w:r>
    </w:p>
    <w:p w14:paraId="1921B765" w14:textId="4F08D445" w:rsidR="00AA7794" w:rsidRDefault="00AA7794" w:rsidP="002E58C4">
      <w:r>
        <w:t>Australia</w:t>
      </w:r>
      <w:r w:rsidR="005D6F39">
        <w:t>’</w:t>
      </w:r>
      <w:r>
        <w:t xml:space="preserve">s LNG exports are expected to reach </w:t>
      </w:r>
      <w:r w:rsidR="00E41653">
        <w:t>77</w:t>
      </w:r>
      <w:r>
        <w:t xml:space="preserve"> mtpa in 202</w:t>
      </w:r>
      <w:r w:rsidR="00E41653">
        <w:t>1</w:t>
      </w:r>
      <w:r w:rsidR="005D6F39">
        <w:noBreakHyphen/>
      </w:r>
      <w:r>
        <w:t>2</w:t>
      </w:r>
      <w:r w:rsidR="00E41653">
        <w:t>2</w:t>
      </w:r>
      <w:r>
        <w:t xml:space="preserve">, which is slightly below effective capacity due to strong global competition. This would represent more than a threefold increase </w:t>
      </w:r>
      <w:r w:rsidR="00763E1E">
        <w:t xml:space="preserve">since </w:t>
      </w:r>
      <w:r>
        <w:t>2013</w:t>
      </w:r>
      <w:r w:rsidR="005D6F39">
        <w:noBreakHyphen/>
      </w:r>
      <w:r>
        <w:t>14 and could see Australia overtake Qatar as the world</w:t>
      </w:r>
      <w:r w:rsidR="005D6F39">
        <w:t>’</w:t>
      </w:r>
      <w:r>
        <w:t>s largest LNG exporter. In terms of Australia</w:t>
      </w:r>
      <w:r w:rsidR="005D6F39">
        <w:t>’</w:t>
      </w:r>
      <w:r>
        <w:t>s LNG export earnings, this represents an increase from $16.3 billion in 2013</w:t>
      </w:r>
      <w:r w:rsidR="005D6F39">
        <w:noBreakHyphen/>
      </w:r>
      <w:r>
        <w:t>14 to $47.</w:t>
      </w:r>
      <w:r w:rsidR="00E41653">
        <w:t>4</w:t>
      </w:r>
      <w:r>
        <w:t xml:space="preserve"> billion in 202</w:t>
      </w:r>
      <w:r w:rsidR="00E41653">
        <w:t>1</w:t>
      </w:r>
      <w:r w:rsidR="005D6F39">
        <w:noBreakHyphen/>
      </w:r>
      <w:r>
        <w:t>2</w:t>
      </w:r>
      <w:r w:rsidR="00E41653">
        <w:t>2</w:t>
      </w:r>
      <w:r w:rsidR="00917251">
        <w:t xml:space="preserve"> </w:t>
      </w:r>
      <w:r w:rsidR="00770E50">
        <w:t>(</w:t>
      </w:r>
      <w:r w:rsidR="00770E50" w:rsidRPr="000A2DD4">
        <w:t>Department of Industry, Innovation and Science, 201</w:t>
      </w:r>
      <w:r w:rsidR="00E97B82">
        <w:t>7</w:t>
      </w:r>
      <w:r w:rsidR="00EA78B6" w:rsidRPr="000A2DD4">
        <w:t>, p</w:t>
      </w:r>
      <w:r w:rsidR="00E41653">
        <w:t>.</w:t>
      </w:r>
      <w:r w:rsidR="00EA78B6" w:rsidRPr="000A2DD4">
        <w:t xml:space="preserve"> 7</w:t>
      </w:r>
      <w:r w:rsidR="00E41653">
        <w:t>2</w:t>
      </w:r>
      <w:r w:rsidR="00770E50">
        <w:t>)</w:t>
      </w:r>
      <w:r>
        <w:t>.</w:t>
      </w:r>
    </w:p>
    <w:p w14:paraId="2B7FC28C" w14:textId="01232C22" w:rsidR="00AA7794" w:rsidRDefault="004C28BE" w:rsidP="004925B5">
      <w:pPr>
        <w:pStyle w:val="Heading2"/>
      </w:pPr>
      <w:bookmarkStart w:id="2783" w:name="_Toc476577311"/>
      <w:bookmarkStart w:id="2784" w:name="_Toc476582299"/>
      <w:bookmarkStart w:id="2785" w:name="_Toc476582973"/>
      <w:bookmarkStart w:id="2786" w:name="_Toc476583690"/>
      <w:bookmarkStart w:id="2787" w:name="_Toc476584138"/>
      <w:bookmarkStart w:id="2788" w:name="_Toc476738044"/>
      <w:bookmarkStart w:id="2789" w:name="_Toc476747619"/>
      <w:bookmarkStart w:id="2790" w:name="_Toc476749027"/>
      <w:bookmarkStart w:id="2791" w:name="_Toc476753895"/>
      <w:bookmarkStart w:id="2792" w:name="_Toc476754390"/>
      <w:bookmarkStart w:id="2793" w:name="_Toc476754555"/>
      <w:bookmarkStart w:id="2794" w:name="_Toc476759791"/>
      <w:bookmarkStart w:id="2795" w:name="_Toc476761413"/>
      <w:bookmarkStart w:id="2796" w:name="_Toc476767051"/>
      <w:bookmarkStart w:id="2797" w:name="_Toc476827097"/>
      <w:bookmarkStart w:id="2798" w:name="_Toc476828790"/>
      <w:bookmarkStart w:id="2799" w:name="_Toc476833664"/>
      <w:bookmarkStart w:id="2800" w:name="_Toc476837137"/>
      <w:bookmarkStart w:id="2801" w:name="_Toc476841010"/>
      <w:bookmarkStart w:id="2802" w:name="_Toc476841215"/>
      <w:bookmarkStart w:id="2803" w:name="_Toc476841974"/>
      <w:bookmarkStart w:id="2804" w:name="_Toc476842918"/>
      <w:bookmarkStart w:id="2805" w:name="_Toc476843089"/>
      <w:bookmarkStart w:id="2806" w:name="_Toc476844587"/>
      <w:bookmarkStart w:id="2807" w:name="_Toc476845480"/>
      <w:bookmarkStart w:id="2808" w:name="_Toc476926871"/>
      <w:bookmarkStart w:id="2809" w:name="_Toc476926810"/>
      <w:bookmarkStart w:id="2810" w:name="_Toc476927158"/>
      <w:bookmarkStart w:id="2811" w:name="_Toc476928422"/>
      <w:bookmarkStart w:id="2812" w:name="_Toc476929465"/>
      <w:bookmarkStart w:id="2813" w:name="_Toc476929640"/>
      <w:bookmarkStart w:id="2814" w:name="_Toc476930683"/>
      <w:bookmarkStart w:id="2815" w:name="_Toc476931490"/>
      <w:bookmarkStart w:id="2816" w:name="_Toc477869860"/>
      <w:bookmarkStart w:id="2817" w:name="_Toc477871099"/>
      <w:bookmarkStart w:id="2818" w:name="_Toc477873258"/>
      <w:bookmarkStart w:id="2819" w:name="_Toc477875252"/>
      <w:bookmarkStart w:id="2820" w:name="_Toc477880165"/>
      <w:bookmarkStart w:id="2821" w:name="_Toc477881425"/>
      <w:bookmarkStart w:id="2822" w:name="_Toc477955829"/>
      <w:bookmarkStart w:id="2823" w:name="_Toc477963074"/>
      <w:bookmarkStart w:id="2824" w:name="_Toc477963560"/>
      <w:bookmarkStart w:id="2825" w:name="_Toc477965146"/>
      <w:bookmarkStart w:id="2826" w:name="_Toc477966650"/>
      <w:bookmarkStart w:id="2827" w:name="_Toc477966819"/>
      <w:bookmarkStart w:id="2828" w:name="_Toc477967159"/>
      <w:bookmarkStart w:id="2829" w:name="_Toc478121296"/>
      <w:bookmarkStart w:id="2830" w:name="_Toc478122209"/>
      <w:bookmarkStart w:id="2831" w:name="_Toc478132183"/>
      <w:bookmarkStart w:id="2832" w:name="_Toc478133209"/>
      <w:bookmarkStart w:id="2833" w:name="_Toc478132346"/>
      <w:bookmarkStart w:id="2834" w:name="_Toc478134675"/>
      <w:bookmarkStart w:id="2835" w:name="_Toc478137377"/>
      <w:bookmarkStart w:id="2836" w:name="_Toc478138449"/>
      <w:bookmarkStart w:id="2837" w:name="_Toc478140019"/>
      <w:bookmarkStart w:id="2838" w:name="_Toc478140435"/>
      <w:bookmarkStart w:id="2839" w:name="_Toc478142641"/>
      <w:bookmarkStart w:id="2840" w:name="_Toc478566357"/>
      <w:bookmarkStart w:id="2841" w:name="_Toc478569524"/>
      <w:bookmarkStart w:id="2842" w:name="_Toc478569698"/>
      <w:bookmarkStart w:id="2843" w:name="_Toc478570772"/>
      <w:bookmarkStart w:id="2844" w:name="_Toc478632971"/>
      <w:bookmarkStart w:id="2845" w:name="_Toc478641379"/>
      <w:bookmarkStart w:id="2846" w:name="_Toc478654273"/>
      <w:bookmarkStart w:id="2847" w:name="_Toc478654447"/>
      <w:bookmarkStart w:id="2848" w:name="_Toc478657742"/>
      <w:bookmarkStart w:id="2849" w:name="_Toc478993163"/>
      <w:bookmarkStart w:id="2850" w:name="_Toc479000234"/>
      <w:bookmarkStart w:id="2851" w:name="_Toc479002168"/>
      <w:bookmarkStart w:id="2852" w:name="_Toc479002340"/>
      <w:bookmarkStart w:id="2853" w:name="_Toc479254316"/>
      <w:bookmarkStart w:id="2854" w:name="_Toc479258505"/>
      <w:bookmarkStart w:id="2855" w:name="_Toc479258821"/>
      <w:bookmarkStart w:id="2856" w:name="_Toc479259713"/>
      <w:bookmarkStart w:id="2857" w:name="_Toc479262136"/>
      <w:bookmarkStart w:id="2858" w:name="_Toc479262557"/>
      <w:bookmarkStart w:id="2859" w:name="_Toc479321258"/>
      <w:bookmarkStart w:id="2860" w:name="_Toc479326697"/>
      <w:bookmarkStart w:id="2861" w:name="_Toc479333296"/>
      <w:bookmarkStart w:id="2862" w:name="_Toc479334993"/>
      <w:bookmarkStart w:id="2863" w:name="_Toc479341708"/>
      <w:bookmarkStart w:id="2864" w:name="_Toc479345124"/>
      <w:bookmarkStart w:id="2865" w:name="_Toc479345333"/>
      <w:bookmarkStart w:id="2866" w:name="_Toc479348314"/>
      <w:bookmarkStart w:id="2867" w:name="_Toc479675908"/>
      <w:bookmarkStart w:id="2868" w:name="_Toc479690875"/>
      <w:bookmarkStart w:id="2869" w:name="_Toc479693453"/>
      <w:bookmarkStart w:id="2870" w:name="_Toc479770622"/>
      <w:r>
        <w:t>1.3</w:t>
      </w:r>
      <w:r>
        <w:tab/>
      </w:r>
      <w:r w:rsidR="004925B5">
        <w:t xml:space="preserve">Major Oil </w:t>
      </w:r>
      <w:r w:rsidR="00823B29">
        <w:t>a</w:t>
      </w:r>
      <w:r w:rsidR="004925B5">
        <w:t xml:space="preserve">nd Gas Projects </w:t>
      </w:r>
      <w:r w:rsidR="00823B29">
        <w:t>i</w:t>
      </w:r>
      <w:r w:rsidR="004925B5">
        <w:t>n Australia</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14:paraId="3208CAFF" w14:textId="6955CF54" w:rsidR="00AA7794" w:rsidRDefault="004C28BE" w:rsidP="004925B5">
      <w:pPr>
        <w:pStyle w:val="Heading3"/>
      </w:pPr>
      <w:bookmarkStart w:id="2871" w:name="_Toc476577312"/>
      <w:bookmarkStart w:id="2872" w:name="_Toc476582300"/>
      <w:bookmarkStart w:id="2873" w:name="_Toc476582974"/>
      <w:bookmarkStart w:id="2874" w:name="_Toc476583691"/>
      <w:bookmarkStart w:id="2875" w:name="_Toc476584139"/>
      <w:bookmarkStart w:id="2876" w:name="_Toc476738045"/>
      <w:bookmarkStart w:id="2877" w:name="_Toc476747620"/>
      <w:bookmarkStart w:id="2878" w:name="_Toc476749028"/>
      <w:bookmarkStart w:id="2879" w:name="_Toc476753896"/>
      <w:bookmarkStart w:id="2880" w:name="_Toc476754391"/>
      <w:bookmarkStart w:id="2881" w:name="_Toc476754556"/>
      <w:bookmarkStart w:id="2882" w:name="_Toc476759792"/>
      <w:bookmarkStart w:id="2883" w:name="_Toc476761414"/>
      <w:bookmarkStart w:id="2884" w:name="_Toc476767052"/>
      <w:bookmarkStart w:id="2885" w:name="_Toc476827098"/>
      <w:bookmarkStart w:id="2886" w:name="_Toc476828791"/>
      <w:bookmarkStart w:id="2887" w:name="_Toc476833665"/>
      <w:bookmarkStart w:id="2888" w:name="_Toc476837138"/>
      <w:bookmarkStart w:id="2889" w:name="_Toc476841011"/>
      <w:bookmarkStart w:id="2890" w:name="_Toc476841216"/>
      <w:bookmarkStart w:id="2891" w:name="_Toc476841975"/>
      <w:bookmarkStart w:id="2892" w:name="_Toc476842919"/>
      <w:bookmarkStart w:id="2893" w:name="_Toc476843090"/>
      <w:bookmarkStart w:id="2894" w:name="_Toc476844588"/>
      <w:bookmarkStart w:id="2895" w:name="_Toc476845481"/>
      <w:bookmarkStart w:id="2896" w:name="_Toc476926872"/>
      <w:bookmarkStart w:id="2897" w:name="_Toc476926811"/>
      <w:bookmarkStart w:id="2898" w:name="_Toc476927159"/>
      <w:bookmarkStart w:id="2899" w:name="_Toc476928423"/>
      <w:bookmarkStart w:id="2900" w:name="_Toc476929466"/>
      <w:bookmarkStart w:id="2901" w:name="_Toc476929641"/>
      <w:bookmarkStart w:id="2902" w:name="_Toc476930684"/>
      <w:bookmarkStart w:id="2903" w:name="_Toc476931491"/>
      <w:bookmarkStart w:id="2904" w:name="_Toc477869861"/>
      <w:bookmarkStart w:id="2905" w:name="_Toc477871100"/>
      <w:bookmarkStart w:id="2906" w:name="_Toc477873259"/>
      <w:bookmarkStart w:id="2907" w:name="_Toc477875253"/>
      <w:bookmarkStart w:id="2908" w:name="_Toc477880166"/>
      <w:bookmarkStart w:id="2909" w:name="_Toc477881426"/>
      <w:bookmarkStart w:id="2910" w:name="_Toc477955830"/>
      <w:bookmarkStart w:id="2911" w:name="_Toc477963075"/>
      <w:bookmarkStart w:id="2912" w:name="_Toc477963561"/>
      <w:bookmarkStart w:id="2913" w:name="_Toc477965147"/>
      <w:bookmarkStart w:id="2914" w:name="_Toc477966651"/>
      <w:bookmarkStart w:id="2915" w:name="_Toc477966820"/>
      <w:bookmarkStart w:id="2916" w:name="_Toc477967160"/>
      <w:bookmarkStart w:id="2917" w:name="_Toc478121297"/>
      <w:bookmarkStart w:id="2918" w:name="_Toc478122210"/>
      <w:bookmarkStart w:id="2919" w:name="_Toc478132184"/>
      <w:bookmarkStart w:id="2920" w:name="_Toc478133210"/>
      <w:bookmarkStart w:id="2921" w:name="_Toc478132347"/>
      <w:bookmarkStart w:id="2922" w:name="_Toc478134676"/>
      <w:bookmarkStart w:id="2923" w:name="_Toc478137378"/>
      <w:bookmarkStart w:id="2924" w:name="_Toc478138450"/>
      <w:bookmarkStart w:id="2925" w:name="_Toc478140020"/>
      <w:bookmarkStart w:id="2926" w:name="_Toc478140436"/>
      <w:bookmarkStart w:id="2927" w:name="_Toc478142642"/>
      <w:bookmarkStart w:id="2928" w:name="_Toc478566358"/>
      <w:bookmarkStart w:id="2929" w:name="_Toc478569525"/>
      <w:bookmarkStart w:id="2930" w:name="_Toc478569699"/>
      <w:bookmarkStart w:id="2931" w:name="_Toc478570773"/>
      <w:bookmarkStart w:id="2932" w:name="_Toc478632972"/>
      <w:bookmarkStart w:id="2933" w:name="_Toc478641380"/>
      <w:bookmarkStart w:id="2934" w:name="_Toc478654274"/>
      <w:bookmarkStart w:id="2935" w:name="_Toc478654448"/>
      <w:bookmarkStart w:id="2936" w:name="_Toc478657743"/>
      <w:bookmarkStart w:id="2937" w:name="_Toc478993164"/>
      <w:bookmarkStart w:id="2938" w:name="_Toc479000235"/>
      <w:bookmarkStart w:id="2939" w:name="_Toc479002169"/>
      <w:bookmarkStart w:id="2940" w:name="_Toc479002341"/>
      <w:bookmarkStart w:id="2941" w:name="_Toc479254317"/>
      <w:bookmarkStart w:id="2942" w:name="_Toc479258506"/>
      <w:bookmarkStart w:id="2943" w:name="_Toc479258822"/>
      <w:bookmarkStart w:id="2944" w:name="_Toc479259714"/>
      <w:bookmarkStart w:id="2945" w:name="_Toc479262137"/>
      <w:bookmarkStart w:id="2946" w:name="_Toc479262558"/>
      <w:bookmarkStart w:id="2947" w:name="_Toc479321259"/>
      <w:bookmarkStart w:id="2948" w:name="_Toc479326698"/>
      <w:bookmarkStart w:id="2949" w:name="_Toc479333297"/>
      <w:bookmarkStart w:id="2950" w:name="_Toc479334994"/>
      <w:bookmarkStart w:id="2951" w:name="_Toc479341709"/>
      <w:bookmarkStart w:id="2952" w:name="_Toc479345125"/>
      <w:bookmarkStart w:id="2953" w:name="_Toc479345334"/>
      <w:bookmarkStart w:id="2954" w:name="_Toc479348315"/>
      <w:bookmarkStart w:id="2955" w:name="_Toc479675909"/>
      <w:bookmarkStart w:id="2956" w:name="_Toc479690876"/>
      <w:bookmarkStart w:id="2957" w:name="_Toc479693454"/>
      <w:bookmarkStart w:id="2958" w:name="_Toc479770623"/>
      <w:r>
        <w:t>1.3.1</w:t>
      </w:r>
      <w:r>
        <w:tab/>
      </w:r>
      <w:r w:rsidR="004925B5">
        <w:t xml:space="preserve">Industry and </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r w:rsidR="00486545">
        <w:t>investment b</w:t>
      </w:r>
      <w:r w:rsidR="004925B5">
        <w:t>enefits</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14:paraId="16606032" w14:textId="596BAA14" w:rsidR="00AA7794" w:rsidRDefault="00AA7794" w:rsidP="002E58C4">
      <w:r>
        <w:t xml:space="preserve">A number of submissions from industry highlighted the importance of </w:t>
      </w:r>
      <w:r w:rsidR="00763E1E">
        <w:t>the</w:t>
      </w:r>
      <w:r>
        <w:t xml:space="preserve"> oil and gas industry and the benefits </w:t>
      </w:r>
      <w:r w:rsidR="00763E1E">
        <w:t>it provid</w:t>
      </w:r>
      <w:r w:rsidR="007E0442">
        <w:t>es</w:t>
      </w:r>
      <w:r w:rsidR="00763E1E">
        <w:t xml:space="preserve"> to the Australian community.</w:t>
      </w:r>
      <w:r>
        <w:t xml:space="preserve"> </w:t>
      </w:r>
      <w:r w:rsidR="0043599A">
        <w:t>In its submission, the Australian Petroleum Produc</w:t>
      </w:r>
      <w:r w:rsidR="00C15C67">
        <w:t>tion</w:t>
      </w:r>
      <w:r w:rsidR="0043599A">
        <w:t xml:space="preserve"> and Explor</w:t>
      </w:r>
      <w:r w:rsidR="00C15C67">
        <w:t>ation</w:t>
      </w:r>
      <w:r w:rsidR="0043599A">
        <w:t xml:space="preserve"> Association (</w:t>
      </w:r>
      <w:r>
        <w:t>APPEA</w:t>
      </w:r>
      <w:r w:rsidR="00763E1E">
        <w:t>)</w:t>
      </w:r>
      <w:r>
        <w:t xml:space="preserve"> stated:</w:t>
      </w:r>
    </w:p>
    <w:p w14:paraId="0A57238D" w14:textId="221F059F" w:rsidR="00AA7794" w:rsidRPr="004925B5" w:rsidRDefault="00AA7794" w:rsidP="004925B5">
      <w:pPr>
        <w:ind w:left="567" w:right="565"/>
        <w:rPr>
          <w:color w:val="1F497D" w:themeColor="text2"/>
          <w:sz w:val="20"/>
        </w:rPr>
      </w:pPr>
      <w:r w:rsidRPr="004925B5">
        <w:rPr>
          <w:color w:val="1F497D" w:themeColor="text2"/>
          <w:sz w:val="20"/>
        </w:rPr>
        <w:t>The oil and gas industry is an integral part of the Australian economy, including through: the supply of reliable and competitively priced energy; the investment of hundreds of billions of dollars of capital; the payment of taxes and resource charges to governments; the direct employment of tens of thousands of Australians; and, the generation of signifi</w:t>
      </w:r>
      <w:r w:rsidR="00B46DD6">
        <w:rPr>
          <w:color w:val="1F497D" w:themeColor="text2"/>
          <w:sz w:val="20"/>
        </w:rPr>
        <w:t>cant amounts of export earnings</w:t>
      </w:r>
      <w:r w:rsidR="004B72F6">
        <w:rPr>
          <w:color w:val="1F497D" w:themeColor="text2"/>
          <w:sz w:val="20"/>
        </w:rPr>
        <w:t xml:space="preserve"> </w:t>
      </w:r>
      <w:r w:rsidR="00B46DD6">
        <w:rPr>
          <w:color w:val="1F497D" w:themeColor="text2"/>
          <w:sz w:val="20"/>
        </w:rPr>
        <w:t>(</w:t>
      </w:r>
      <w:r w:rsidR="00195E15" w:rsidRPr="000A2DD4">
        <w:rPr>
          <w:color w:val="1F497D" w:themeColor="text2"/>
          <w:sz w:val="20"/>
        </w:rPr>
        <w:t>APPEA Submission, p. 1</w:t>
      </w:r>
      <w:r w:rsidR="00B46DD6" w:rsidRPr="000A2DD4">
        <w:rPr>
          <w:color w:val="1F497D" w:themeColor="text2"/>
          <w:sz w:val="20"/>
        </w:rPr>
        <w:t>)</w:t>
      </w:r>
      <w:r w:rsidR="00195E15" w:rsidRPr="000A2DD4">
        <w:rPr>
          <w:color w:val="1F497D" w:themeColor="text2"/>
          <w:sz w:val="20"/>
        </w:rPr>
        <w:t>.</w:t>
      </w:r>
    </w:p>
    <w:p w14:paraId="4BFB9357" w14:textId="5589682F" w:rsidR="00AA7794" w:rsidRDefault="00763E1E" w:rsidP="002E58C4">
      <w:r>
        <w:t xml:space="preserve">As noted, </w:t>
      </w:r>
      <w:r w:rsidR="00AA7794">
        <w:t xml:space="preserve">recent LNG project investment </w:t>
      </w:r>
      <w:r w:rsidR="001E2E9A">
        <w:t xml:space="preserve">in Australia involved capital expenditure of around </w:t>
      </w:r>
      <w:r w:rsidR="00AA7794">
        <w:t>$200 billion</w:t>
      </w:r>
      <w:r w:rsidR="001E2E9A">
        <w:t xml:space="preserve">. Direct employment </w:t>
      </w:r>
      <w:r w:rsidR="00AA7794">
        <w:t xml:space="preserve">during construction across these projects </w:t>
      </w:r>
      <w:r w:rsidR="001E2E9A">
        <w:t>was</w:t>
      </w:r>
      <w:r w:rsidR="00AA7794">
        <w:t xml:space="preserve"> in the order </w:t>
      </w:r>
      <w:r w:rsidR="00630426">
        <w:t xml:space="preserve">of </w:t>
      </w:r>
      <w:r w:rsidR="00AA7794">
        <w:t>35</w:t>
      </w:r>
      <w:r w:rsidR="003A1AB1">
        <w:t xml:space="preserve"> </w:t>
      </w:r>
      <w:r w:rsidR="00AA7794">
        <w:t>000</w:t>
      </w:r>
      <w:r w:rsidR="003A1AB1">
        <w:t xml:space="preserve"> people</w:t>
      </w:r>
      <w:r w:rsidR="00AA7794">
        <w:t xml:space="preserve"> (</w:t>
      </w:r>
      <w:r w:rsidR="008E1EA6" w:rsidRPr="000A2DD4">
        <w:t>Department</w:t>
      </w:r>
      <w:r w:rsidR="00195E15" w:rsidRPr="000A2DD4">
        <w:t xml:space="preserve"> of </w:t>
      </w:r>
      <w:r w:rsidR="008E1EA6" w:rsidRPr="000A2DD4">
        <w:t>Industry, Innovation and Science,</w:t>
      </w:r>
      <w:r w:rsidR="00AA7794" w:rsidRPr="000A2DD4">
        <w:t xml:space="preserve"> 2016</w:t>
      </w:r>
      <w:r w:rsidR="001C1C50" w:rsidRPr="000A2DD4">
        <w:t>e</w:t>
      </w:r>
      <w:r w:rsidR="00AA7794" w:rsidRPr="001C1C50">
        <w:t>).</w:t>
      </w:r>
      <w:r w:rsidR="00AA7794">
        <w:t xml:space="preserve"> The transition to the far less labour intensive production phase </w:t>
      </w:r>
      <w:r w:rsidR="001E2E9A">
        <w:t>involves</w:t>
      </w:r>
      <w:r w:rsidR="00AA7794">
        <w:t xml:space="preserve"> fewer direct jobs</w:t>
      </w:r>
      <w:r w:rsidR="007E0442">
        <w:t>, and is</w:t>
      </w:r>
      <w:r w:rsidR="00AA7794">
        <w:t xml:space="preserve"> expected to be around 4</w:t>
      </w:r>
      <w:r w:rsidR="003A1AB1">
        <w:t> </w:t>
      </w:r>
      <w:r w:rsidR="00AA7794">
        <w:t>400 across the projects (</w:t>
      </w:r>
      <w:r w:rsidR="008E1EA6" w:rsidRPr="000A2DD4">
        <w:t>Department of Industry, Innovation and Science</w:t>
      </w:r>
      <w:r w:rsidR="00195E15" w:rsidRPr="000A2DD4">
        <w:t>,</w:t>
      </w:r>
      <w:r w:rsidR="00AA7794" w:rsidRPr="000A2DD4">
        <w:t xml:space="preserve"> 2016</w:t>
      </w:r>
      <w:r w:rsidR="001C1C50" w:rsidRPr="000A2DD4">
        <w:t>e</w:t>
      </w:r>
      <w:r w:rsidR="00AA7794" w:rsidRPr="001C1C50">
        <w:t>).</w:t>
      </w:r>
    </w:p>
    <w:p w14:paraId="0D505683" w14:textId="7A3EA377" w:rsidR="00AA7794" w:rsidRDefault="00195E15" w:rsidP="002E58C4">
      <w:r>
        <w:t xml:space="preserve">Natasha Cassidy and Mitch Kosev </w:t>
      </w:r>
      <w:r w:rsidR="001E2E9A">
        <w:t xml:space="preserve">from the Reserve Bank </w:t>
      </w:r>
      <w:r w:rsidR="000A2DD4">
        <w:t xml:space="preserve">of Australia </w:t>
      </w:r>
      <w:r w:rsidR="001E2E9A">
        <w:t>have commented on</w:t>
      </w:r>
      <w:r w:rsidR="00AA7794">
        <w:t xml:space="preserve"> the economy wide implications of LNG project investment in Australia:</w:t>
      </w:r>
    </w:p>
    <w:p w14:paraId="5E139443" w14:textId="58591474" w:rsidR="00AA7794" w:rsidRPr="004925B5" w:rsidRDefault="00AA7794" w:rsidP="004925B5">
      <w:pPr>
        <w:ind w:left="567" w:right="565"/>
        <w:rPr>
          <w:color w:val="1F497D" w:themeColor="text2"/>
          <w:sz w:val="20"/>
        </w:rPr>
      </w:pPr>
      <w:r w:rsidRPr="004925B5">
        <w:rPr>
          <w:color w:val="1F497D" w:themeColor="text2"/>
          <w:sz w:val="20"/>
        </w:rPr>
        <w:t>The decline in LNG investment and ramp</w:t>
      </w:r>
      <w:r w:rsidR="005D6F39">
        <w:rPr>
          <w:color w:val="1F497D" w:themeColor="text2"/>
          <w:sz w:val="20"/>
        </w:rPr>
        <w:noBreakHyphen/>
      </w:r>
      <w:r w:rsidRPr="004925B5">
        <w:rPr>
          <w:color w:val="1F497D" w:themeColor="text2"/>
          <w:sz w:val="20"/>
        </w:rPr>
        <w:t>up in LNG production and exports is expected to affect Australian economic output (real GDP) and national income in a number of ways. LNG investment contributed an estimated ¼ percentage point on average to Australian annual GDP growth between 2008 and 2013, once the high share of imported inputs used to construct these projects is taken into consideration. The peak in LNG investment was in late 2013, and the continued falls in LNG</w:t>
      </w:r>
      <w:r w:rsidR="005D6F39">
        <w:rPr>
          <w:color w:val="1F497D" w:themeColor="text2"/>
          <w:sz w:val="20"/>
        </w:rPr>
        <w:noBreakHyphen/>
      </w:r>
      <w:r w:rsidRPr="004925B5">
        <w:rPr>
          <w:color w:val="1F497D" w:themeColor="text2"/>
          <w:sz w:val="20"/>
        </w:rPr>
        <w:t>related investment will subtract from GDP growth in the next few years as the construction of large</w:t>
      </w:r>
      <w:r w:rsidR="005D6F39">
        <w:rPr>
          <w:color w:val="1F497D" w:themeColor="text2"/>
          <w:sz w:val="20"/>
        </w:rPr>
        <w:noBreakHyphen/>
      </w:r>
      <w:r w:rsidRPr="004925B5">
        <w:rPr>
          <w:color w:val="1F497D" w:themeColor="text2"/>
          <w:sz w:val="20"/>
        </w:rPr>
        <w:t>scale projects is gradually completed. As the projects begin to ramp up production, the Bank currently estimates that LNG exports will contribute around ¾ percentage point to GDP growth in</w:t>
      </w:r>
      <w:r w:rsidR="00E714D1">
        <w:rPr>
          <w:color w:val="1F497D" w:themeColor="text2"/>
          <w:sz w:val="20"/>
        </w:rPr>
        <w:t> </w:t>
      </w:r>
      <w:r w:rsidRPr="004925B5">
        <w:rPr>
          <w:color w:val="1F497D" w:themeColor="text2"/>
          <w:sz w:val="20"/>
        </w:rPr>
        <w:t>2016/17. The timing of the boost will depend on whether these projects are completed on schedule and how quickly production is ramped up. As production of LNG gradually stabilises at a higher level, the boost to GDP growth will dissipate although GDP will remain at a higher level</w:t>
      </w:r>
      <w:r w:rsidR="00B46DD6">
        <w:rPr>
          <w:color w:val="1F497D" w:themeColor="text2"/>
          <w:sz w:val="20"/>
        </w:rPr>
        <w:t xml:space="preserve"> </w:t>
      </w:r>
      <w:r w:rsidR="00B46DD6" w:rsidRPr="000A2DD4">
        <w:rPr>
          <w:color w:val="1F497D" w:themeColor="text2"/>
          <w:sz w:val="20"/>
        </w:rPr>
        <w:t>(Cassidy and Kosev, 2015, p. 40).</w:t>
      </w:r>
    </w:p>
    <w:p w14:paraId="302BC2C8" w14:textId="7B025EEE" w:rsidR="00AA7794" w:rsidRDefault="00AA7794" w:rsidP="002E58C4">
      <w:r>
        <w:t>Consultancy firm McKinsey</w:t>
      </w:r>
      <w:r w:rsidR="00185568">
        <w:t xml:space="preserve"> Australia</w:t>
      </w:r>
      <w:r>
        <w:t xml:space="preserve"> </w:t>
      </w:r>
      <w:r w:rsidR="001E2E9A">
        <w:t xml:space="preserve">has commented on </w:t>
      </w:r>
      <w:r>
        <w:t>the potential long term benefits of Australia</w:t>
      </w:r>
      <w:r w:rsidR="005D6F39">
        <w:t>’</w:t>
      </w:r>
      <w:r>
        <w:t>s new LNG projects beyond construction into the production phase:</w:t>
      </w:r>
    </w:p>
    <w:p w14:paraId="3B28AC7B" w14:textId="08E0E8B6" w:rsidR="00AA7794" w:rsidRPr="004925B5" w:rsidRDefault="00AA7794" w:rsidP="004925B5">
      <w:pPr>
        <w:ind w:left="567" w:right="565"/>
        <w:rPr>
          <w:color w:val="1F497D" w:themeColor="text2"/>
          <w:sz w:val="20"/>
        </w:rPr>
      </w:pPr>
      <w:r w:rsidRPr="004925B5">
        <w:rPr>
          <w:color w:val="1F497D" w:themeColor="text2"/>
          <w:sz w:val="20"/>
        </w:rPr>
        <w:t>Based only on projects for which the final investment decision has been taken, 55,000 to 65,000 people are expected to be employed in the wider LNG industry a</w:t>
      </w:r>
      <w:r w:rsidR="00E714D1">
        <w:rPr>
          <w:color w:val="1F497D" w:themeColor="text2"/>
          <w:sz w:val="20"/>
        </w:rPr>
        <w:t>nd its direct supply chain (that is,</w:t>
      </w:r>
      <w:r w:rsidRPr="004925B5">
        <w:rPr>
          <w:color w:val="1F497D" w:themeColor="text2"/>
          <w:sz w:val="20"/>
        </w:rPr>
        <w:t xml:space="preserve"> direct and indirect jobs) during the operations phase. Most of these jobs are highly skilled and remunerated well above Australia</w:t>
      </w:r>
      <w:r w:rsidR="005D6F39">
        <w:rPr>
          <w:color w:val="1F497D" w:themeColor="text2"/>
          <w:sz w:val="20"/>
        </w:rPr>
        <w:t>’</w:t>
      </w:r>
      <w:r w:rsidRPr="004925B5">
        <w:rPr>
          <w:color w:val="1F497D" w:themeColor="text2"/>
          <w:sz w:val="20"/>
        </w:rPr>
        <w:t>s average wage.</w:t>
      </w:r>
      <w:r w:rsidR="00185568">
        <w:rPr>
          <w:color w:val="1F497D" w:themeColor="text2"/>
          <w:sz w:val="20"/>
        </w:rPr>
        <w:t xml:space="preserve"> </w:t>
      </w:r>
      <w:r w:rsidRPr="004925B5">
        <w:rPr>
          <w:color w:val="1F497D" w:themeColor="text2"/>
          <w:sz w:val="20"/>
        </w:rPr>
        <w:t>Throughout the 2020s and beyond, the LNG industry is forecast to add around A$30 billion per annum to Australia</w:t>
      </w:r>
      <w:r w:rsidR="005D6F39">
        <w:rPr>
          <w:color w:val="1F497D" w:themeColor="text2"/>
          <w:sz w:val="20"/>
        </w:rPr>
        <w:t>’</w:t>
      </w:r>
      <w:r w:rsidRPr="004925B5">
        <w:rPr>
          <w:color w:val="1F497D" w:themeColor="text2"/>
          <w:sz w:val="20"/>
        </w:rPr>
        <w:t>s GDP, equivalent to about 2 percent of the total. Depending on realised prices, LNG could contribute up to A$55 billion exports in 2020</w:t>
      </w:r>
      <w:r w:rsidR="005D6F39">
        <w:rPr>
          <w:color w:val="1F497D" w:themeColor="text2"/>
          <w:sz w:val="20"/>
        </w:rPr>
        <w:t xml:space="preserve"> — </w:t>
      </w:r>
      <w:r w:rsidRPr="004925B5">
        <w:rPr>
          <w:color w:val="1F497D" w:themeColor="text2"/>
          <w:sz w:val="20"/>
        </w:rPr>
        <w:t>rivalling iron ore, Australia</w:t>
      </w:r>
      <w:r w:rsidR="005D6F39">
        <w:rPr>
          <w:color w:val="1F497D" w:themeColor="text2"/>
          <w:sz w:val="20"/>
        </w:rPr>
        <w:t>’</w:t>
      </w:r>
      <w:r w:rsidRPr="004925B5">
        <w:rPr>
          <w:color w:val="1F497D" w:themeColor="text2"/>
          <w:sz w:val="20"/>
        </w:rPr>
        <w:t>s bi</w:t>
      </w:r>
      <w:r w:rsidR="00185568">
        <w:rPr>
          <w:color w:val="1F497D" w:themeColor="text2"/>
          <w:sz w:val="20"/>
        </w:rPr>
        <w:t xml:space="preserve">ggest commodity export today </w:t>
      </w:r>
      <w:r w:rsidR="00185568" w:rsidRPr="000A2DD4">
        <w:rPr>
          <w:color w:val="1F497D" w:themeColor="text2"/>
          <w:sz w:val="20"/>
        </w:rPr>
        <w:t>(Dediu et al, 2016, p.</w:t>
      </w:r>
      <w:r w:rsidR="00974844">
        <w:rPr>
          <w:color w:val="1F497D" w:themeColor="text2"/>
          <w:sz w:val="20"/>
        </w:rPr>
        <w:t xml:space="preserve"> </w:t>
      </w:r>
      <w:r w:rsidR="00185568" w:rsidRPr="000A2DD4">
        <w:rPr>
          <w:color w:val="1F497D" w:themeColor="text2"/>
          <w:sz w:val="20"/>
        </w:rPr>
        <w:t>3)</w:t>
      </w:r>
      <w:r w:rsidR="00185568">
        <w:rPr>
          <w:color w:val="1F497D" w:themeColor="text2"/>
          <w:sz w:val="20"/>
        </w:rPr>
        <w:t>.</w:t>
      </w:r>
    </w:p>
    <w:p w14:paraId="226DC640" w14:textId="13119CD3" w:rsidR="00AA7794" w:rsidRDefault="004C28BE" w:rsidP="004925B5">
      <w:pPr>
        <w:pStyle w:val="Heading3"/>
      </w:pPr>
      <w:bookmarkStart w:id="2959" w:name="_Toc476577313"/>
      <w:bookmarkStart w:id="2960" w:name="_Toc476582301"/>
      <w:bookmarkStart w:id="2961" w:name="_Toc476582975"/>
      <w:bookmarkStart w:id="2962" w:name="_Toc476583692"/>
      <w:bookmarkStart w:id="2963" w:name="_Toc476584140"/>
      <w:bookmarkStart w:id="2964" w:name="_Toc476738046"/>
      <w:bookmarkStart w:id="2965" w:name="_Toc476747621"/>
      <w:bookmarkStart w:id="2966" w:name="_Toc476749029"/>
      <w:bookmarkStart w:id="2967" w:name="_Toc476753897"/>
      <w:bookmarkStart w:id="2968" w:name="_Toc476754392"/>
      <w:bookmarkStart w:id="2969" w:name="_Toc476754557"/>
      <w:bookmarkStart w:id="2970" w:name="_Toc476759793"/>
      <w:bookmarkStart w:id="2971" w:name="_Toc476761415"/>
      <w:bookmarkStart w:id="2972" w:name="_Toc476767053"/>
      <w:bookmarkStart w:id="2973" w:name="_Toc476827099"/>
      <w:bookmarkStart w:id="2974" w:name="_Toc476828792"/>
      <w:bookmarkStart w:id="2975" w:name="_Toc476833666"/>
      <w:bookmarkStart w:id="2976" w:name="_Toc476837139"/>
      <w:bookmarkStart w:id="2977" w:name="_Toc476841012"/>
      <w:bookmarkStart w:id="2978" w:name="_Toc476841217"/>
      <w:bookmarkStart w:id="2979" w:name="_Toc476841976"/>
      <w:bookmarkStart w:id="2980" w:name="_Toc476842920"/>
      <w:bookmarkStart w:id="2981" w:name="_Toc476843091"/>
      <w:bookmarkStart w:id="2982" w:name="_Toc476844589"/>
      <w:bookmarkStart w:id="2983" w:name="_Toc476845482"/>
      <w:bookmarkStart w:id="2984" w:name="_Toc476926873"/>
      <w:bookmarkStart w:id="2985" w:name="_Toc476926812"/>
      <w:bookmarkStart w:id="2986" w:name="_Toc476927160"/>
      <w:bookmarkStart w:id="2987" w:name="_Toc476928424"/>
      <w:bookmarkStart w:id="2988" w:name="_Toc476929467"/>
      <w:bookmarkStart w:id="2989" w:name="_Toc476929642"/>
      <w:bookmarkStart w:id="2990" w:name="_Toc476930685"/>
      <w:bookmarkStart w:id="2991" w:name="_Toc476931492"/>
      <w:bookmarkStart w:id="2992" w:name="_Toc477869862"/>
      <w:bookmarkStart w:id="2993" w:name="_Toc477871101"/>
      <w:bookmarkStart w:id="2994" w:name="_Toc477873260"/>
      <w:bookmarkStart w:id="2995" w:name="_Toc477875254"/>
      <w:bookmarkStart w:id="2996" w:name="_Toc477880167"/>
      <w:bookmarkStart w:id="2997" w:name="_Toc477881427"/>
      <w:bookmarkStart w:id="2998" w:name="_Toc477955831"/>
      <w:bookmarkStart w:id="2999" w:name="_Toc477963076"/>
      <w:bookmarkStart w:id="3000" w:name="_Toc477963562"/>
      <w:bookmarkStart w:id="3001" w:name="_Toc477965148"/>
      <w:bookmarkStart w:id="3002" w:name="_Toc477966652"/>
      <w:bookmarkStart w:id="3003" w:name="_Toc477966821"/>
      <w:bookmarkStart w:id="3004" w:name="_Toc477967161"/>
      <w:bookmarkStart w:id="3005" w:name="_Toc478121298"/>
      <w:bookmarkStart w:id="3006" w:name="_Toc478122211"/>
      <w:bookmarkStart w:id="3007" w:name="_Toc478132185"/>
      <w:bookmarkStart w:id="3008" w:name="_Toc478133211"/>
      <w:bookmarkStart w:id="3009" w:name="_Toc478132348"/>
      <w:bookmarkStart w:id="3010" w:name="_Toc478134677"/>
      <w:bookmarkStart w:id="3011" w:name="_Toc478137379"/>
      <w:bookmarkStart w:id="3012" w:name="_Toc478138451"/>
      <w:bookmarkStart w:id="3013" w:name="_Toc478140021"/>
      <w:bookmarkStart w:id="3014" w:name="_Toc478140437"/>
      <w:bookmarkStart w:id="3015" w:name="_Toc478142643"/>
      <w:bookmarkStart w:id="3016" w:name="_Toc478566359"/>
      <w:bookmarkStart w:id="3017" w:name="_Toc478569526"/>
      <w:bookmarkStart w:id="3018" w:name="_Toc478569700"/>
      <w:bookmarkStart w:id="3019" w:name="_Toc478570774"/>
      <w:bookmarkStart w:id="3020" w:name="_Toc478632973"/>
      <w:bookmarkStart w:id="3021" w:name="_Toc478641381"/>
      <w:bookmarkStart w:id="3022" w:name="_Toc478654275"/>
      <w:bookmarkStart w:id="3023" w:name="_Toc478654449"/>
      <w:bookmarkStart w:id="3024" w:name="_Toc478657744"/>
      <w:bookmarkStart w:id="3025" w:name="_Toc478993165"/>
      <w:bookmarkStart w:id="3026" w:name="_Toc479000236"/>
      <w:bookmarkStart w:id="3027" w:name="_Toc479002170"/>
      <w:bookmarkStart w:id="3028" w:name="_Toc479002342"/>
      <w:bookmarkStart w:id="3029" w:name="_Toc479254318"/>
      <w:bookmarkStart w:id="3030" w:name="_Toc479258507"/>
      <w:bookmarkStart w:id="3031" w:name="_Toc479258823"/>
      <w:bookmarkStart w:id="3032" w:name="_Toc479259715"/>
      <w:bookmarkStart w:id="3033" w:name="_Toc479262138"/>
      <w:bookmarkStart w:id="3034" w:name="_Toc479262559"/>
      <w:bookmarkStart w:id="3035" w:name="_Toc479321260"/>
      <w:bookmarkStart w:id="3036" w:name="_Toc479326699"/>
      <w:bookmarkStart w:id="3037" w:name="_Toc479333298"/>
      <w:bookmarkStart w:id="3038" w:name="_Toc479334995"/>
      <w:bookmarkStart w:id="3039" w:name="_Toc479341710"/>
      <w:bookmarkStart w:id="3040" w:name="_Toc479345126"/>
      <w:bookmarkStart w:id="3041" w:name="_Toc479345335"/>
      <w:bookmarkStart w:id="3042" w:name="_Toc479348316"/>
      <w:bookmarkStart w:id="3043" w:name="_Toc479675910"/>
      <w:bookmarkStart w:id="3044" w:name="_Toc479690877"/>
      <w:bookmarkStart w:id="3045" w:name="_Toc479693455"/>
      <w:bookmarkStart w:id="3046" w:name="_Toc479770624"/>
      <w:r>
        <w:t>1.3.2</w:t>
      </w:r>
      <w:r>
        <w:tab/>
      </w:r>
      <w:r w:rsidR="004925B5">
        <w:t xml:space="preserve">Project </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r w:rsidR="00486545">
        <w:t>development c</w:t>
      </w:r>
      <w:r w:rsidR="004925B5">
        <w:t>hallenges</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0E684B93" w14:textId="69F46AD7" w:rsidR="00AA7794" w:rsidRDefault="00AA7794" w:rsidP="002E58C4">
      <w:r>
        <w:t>While the scale of LNG project development in Australia is significant, a number of challenges have arisen during the investment phase and are likely to persist at least in the short to medium term.</w:t>
      </w:r>
      <w:r w:rsidR="00B06F1B">
        <w:t xml:space="preserve"> </w:t>
      </w:r>
      <w:r>
        <w:t>In particular, the scale, scope and remoteness of the projects have contributed to cost pressures. Nearly all projects have reported cost increases on their original estimates.</w:t>
      </w:r>
    </w:p>
    <w:p w14:paraId="5227F6E1" w14:textId="740369E3" w:rsidR="00AA7794" w:rsidRDefault="00AA7794" w:rsidP="002E58C4">
      <w:r>
        <w:t xml:space="preserve">Most notably, the Gorgon project has seen a considerable cost increase. Project operator Chevron announced </w:t>
      </w:r>
      <w:r w:rsidR="0002336E">
        <w:t xml:space="preserve">progressive </w:t>
      </w:r>
      <w:r>
        <w:t>project cost increase</w:t>
      </w:r>
      <w:r w:rsidDel="00684FED">
        <w:t xml:space="preserve">s </w:t>
      </w:r>
      <w:r w:rsidR="00684FED">
        <w:t>from</w:t>
      </w:r>
      <w:r>
        <w:t xml:space="preserve"> the original </w:t>
      </w:r>
      <w:r w:rsidR="00461FD9">
        <w:t>US$37</w:t>
      </w:r>
      <w:r w:rsidR="00371DCD">
        <w:t> </w:t>
      </w:r>
      <w:r w:rsidR="00461FD9">
        <w:t xml:space="preserve">billion </w:t>
      </w:r>
      <w:r>
        <w:t xml:space="preserve">estimate </w:t>
      </w:r>
      <w:r w:rsidR="00684FED">
        <w:t>to</w:t>
      </w:r>
      <w:r>
        <w:t xml:space="preserve"> US$54 billion at </w:t>
      </w:r>
      <w:r w:rsidDel="00684FED">
        <w:t>the</w:t>
      </w:r>
      <w:r>
        <w:t xml:space="preserve"> end </w:t>
      </w:r>
      <w:r w:rsidR="0002336E">
        <w:t>of</w:t>
      </w:r>
      <w:r>
        <w:t xml:space="preserve"> 2013</w:t>
      </w:r>
      <w:r w:rsidR="00E37428">
        <w:t xml:space="preserve"> (</w:t>
      </w:r>
      <w:r w:rsidR="00E37428" w:rsidRPr="000A2DD4">
        <w:t>Chevron</w:t>
      </w:r>
      <w:r w:rsidR="000A2DD4" w:rsidRPr="000A2DD4">
        <w:t>,</w:t>
      </w:r>
      <w:r w:rsidR="00E37428" w:rsidRPr="000A2DD4">
        <w:t xml:space="preserve"> 2012 &amp; 2013</w:t>
      </w:r>
      <w:r w:rsidR="000A2DD4" w:rsidRPr="000A2DD4">
        <w:t>)</w:t>
      </w:r>
      <w:r w:rsidRPr="000A2DD4">
        <w:t>.</w:t>
      </w:r>
    </w:p>
    <w:p w14:paraId="7497C9E9" w14:textId="6FD88F0B" w:rsidR="003E3342" w:rsidRDefault="00684FED" w:rsidP="00684FED">
      <w:pPr>
        <w:rPr>
          <w:rFonts w:ascii="Century Gothic" w:hAnsi="Century Gothic"/>
          <w:b/>
          <w:bCs/>
          <w:color w:val="1F497D" w:themeColor="text2"/>
          <w:szCs w:val="22"/>
        </w:rPr>
      </w:pPr>
      <w:r>
        <w:t>Other projects have also announced cost increases, although not to the same extent as th</w:t>
      </w:r>
      <w:r w:rsidR="0002336E">
        <w:t xml:space="preserve">at for </w:t>
      </w:r>
      <w:r>
        <w:t xml:space="preserve">Gorgon </w:t>
      </w:r>
      <w:r w:rsidR="003A1AB1">
        <w:t>(</w:t>
      </w:r>
      <w:r w:rsidR="0002336E">
        <w:t>s</w:t>
      </w:r>
      <w:r>
        <w:t xml:space="preserve">ee </w:t>
      </w:r>
      <w:r w:rsidRPr="007D4B54">
        <w:rPr>
          <w:color w:val="auto"/>
        </w:rPr>
        <w:t xml:space="preserve">Table </w:t>
      </w:r>
      <w:r w:rsidR="00920917" w:rsidRPr="007D4B54">
        <w:rPr>
          <w:color w:val="auto"/>
        </w:rPr>
        <w:t>1</w:t>
      </w:r>
      <w:r w:rsidR="0002336E" w:rsidRPr="007D4B54">
        <w:rPr>
          <w:color w:val="auto"/>
        </w:rPr>
        <w:t>.</w:t>
      </w:r>
      <w:r w:rsidR="00920917" w:rsidRPr="007D4B54">
        <w:rPr>
          <w:color w:val="auto"/>
        </w:rPr>
        <w:t>1</w:t>
      </w:r>
      <w:r w:rsidR="003A1AB1" w:rsidRPr="007D4B54">
        <w:rPr>
          <w:color w:val="auto"/>
        </w:rPr>
        <w:t>)</w:t>
      </w:r>
      <w:r w:rsidR="0002336E" w:rsidRPr="007D4B54">
        <w:rPr>
          <w:color w:val="auto"/>
        </w:rPr>
        <w:t>.</w:t>
      </w:r>
      <w:r w:rsidR="00AA7794" w:rsidRPr="00105048">
        <w:rPr>
          <w:color w:val="auto"/>
        </w:rPr>
        <w:t xml:space="preserve"> </w:t>
      </w:r>
      <w:r w:rsidR="00AA7794">
        <w:t>Reported cost increases across Australia</w:t>
      </w:r>
      <w:r w:rsidR="005D6F39">
        <w:t>’</w:t>
      </w:r>
      <w:r w:rsidR="00AA7794">
        <w:t>s seven new LNG projects a</w:t>
      </w:r>
      <w:r w:rsidR="00EF6C2E">
        <w:t>verage around</w:t>
      </w:r>
      <w:r w:rsidR="00AA7794">
        <w:t xml:space="preserve"> 24</w:t>
      </w:r>
      <w:r w:rsidR="00663979">
        <w:t xml:space="preserve"> per cent</w:t>
      </w:r>
      <w:r w:rsidR="005D6F39">
        <w:t xml:space="preserve"> — </w:t>
      </w:r>
      <w:r w:rsidR="00AA7794">
        <w:t>however</w:t>
      </w:r>
      <w:r w:rsidR="00461FD9">
        <w:t>,</w:t>
      </w:r>
      <w:r w:rsidR="00AA7794">
        <w:t xml:space="preserve"> this </w:t>
      </w:r>
      <w:r w:rsidR="0002336E">
        <w:t>could</w:t>
      </w:r>
      <w:r w:rsidR="00AA7794">
        <w:t xml:space="preserve"> be understated as more cost revisions </w:t>
      </w:r>
      <w:r w:rsidR="00EF6C2E">
        <w:t>may be</w:t>
      </w:r>
      <w:r w:rsidR="00AA7794">
        <w:t xml:space="preserve"> released as construction transitions to completion. All projects have also been subject to delays on scheduled commencement</w:t>
      </w:r>
      <w:r w:rsidR="00EF6C2E">
        <w:t xml:space="preserve"> which impacts project economics</w:t>
      </w:r>
      <w:r w:rsidR="00AA7794">
        <w:t>.</w:t>
      </w:r>
    </w:p>
    <w:p w14:paraId="73914FE8" w14:textId="6CE34A05" w:rsidR="00AA7794" w:rsidRDefault="004925B5" w:rsidP="00221C2A">
      <w:pPr>
        <w:pStyle w:val="TableMainHeading"/>
      </w:pPr>
      <w:r w:rsidRPr="007D4B54">
        <w:t xml:space="preserve">Table </w:t>
      </w:r>
      <w:r w:rsidR="00920917" w:rsidRPr="007D4B54">
        <w:t xml:space="preserve">1.1 </w:t>
      </w:r>
      <w:r>
        <w:t xml:space="preserve">— </w:t>
      </w:r>
      <w:r w:rsidR="00AA7794">
        <w:t>New Austr</w:t>
      </w:r>
      <w:r>
        <w:t>alian LNG projects</w:t>
      </w:r>
      <w:r w:rsidR="00974844">
        <w:t>:</w:t>
      </w:r>
      <w:r>
        <w:t xml:space="preserve"> </w:t>
      </w:r>
      <w:r w:rsidR="004D11C8">
        <w:t>c</w:t>
      </w:r>
      <w:r w:rsidR="00AA7794">
        <w:t xml:space="preserve">ost </w:t>
      </w:r>
      <w:r w:rsidR="00486545">
        <w:t>escalations</w:t>
      </w:r>
      <w:r>
        <w:t xml:space="preserve"> and </w:t>
      </w:r>
      <w:r w:rsidR="00486545">
        <w:t>d</w:t>
      </w:r>
      <w:r w:rsidR="00AA7794">
        <w:t>elays</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276"/>
        <w:gridCol w:w="1701"/>
        <w:gridCol w:w="1134"/>
        <w:gridCol w:w="1134"/>
        <w:gridCol w:w="1275"/>
      </w:tblGrid>
      <w:tr w:rsidR="004925B5" w:rsidRPr="00333171" w14:paraId="7188B70D" w14:textId="77777777" w:rsidTr="00E714D1">
        <w:trPr>
          <w:trHeight w:val="1003"/>
        </w:trPr>
        <w:tc>
          <w:tcPr>
            <w:tcW w:w="1418" w:type="dxa"/>
            <w:shd w:val="clear" w:color="auto" w:fill="auto"/>
            <w:noWrap/>
            <w:hideMark/>
          </w:tcPr>
          <w:p w14:paraId="1BFFD188" w14:textId="77777777" w:rsidR="004925B5" w:rsidRPr="00371DCD" w:rsidRDefault="004925B5" w:rsidP="00E714D1">
            <w:pPr>
              <w:pStyle w:val="TableColumnHeadingCentred"/>
            </w:pPr>
            <w:r w:rsidRPr="00371DCD">
              <w:t>Project</w:t>
            </w:r>
          </w:p>
        </w:tc>
        <w:tc>
          <w:tcPr>
            <w:tcW w:w="1134" w:type="dxa"/>
            <w:shd w:val="clear" w:color="auto" w:fill="auto"/>
          </w:tcPr>
          <w:p w14:paraId="4016113E" w14:textId="77777777" w:rsidR="004925B5" w:rsidRPr="00371DCD" w:rsidRDefault="004925B5" w:rsidP="00E714D1">
            <w:pPr>
              <w:pStyle w:val="TableColumnHeadingCentred"/>
            </w:pPr>
            <w:r w:rsidRPr="00371DCD">
              <w:t>Capacity (mtpa)</w:t>
            </w:r>
          </w:p>
        </w:tc>
        <w:tc>
          <w:tcPr>
            <w:tcW w:w="1276" w:type="dxa"/>
            <w:shd w:val="clear" w:color="auto" w:fill="auto"/>
            <w:noWrap/>
            <w:hideMark/>
          </w:tcPr>
          <w:p w14:paraId="29A05243" w14:textId="456D649F" w:rsidR="004925B5" w:rsidRPr="00371DCD" w:rsidRDefault="004925B5" w:rsidP="00E714D1">
            <w:pPr>
              <w:pStyle w:val="TableColumnHeadingCentred"/>
            </w:pPr>
            <w:r w:rsidRPr="00371DCD">
              <w:t xml:space="preserve">Est. </w:t>
            </w:r>
            <w:r w:rsidR="00631DBB" w:rsidRPr="00371DCD">
              <w:t>Cost</w:t>
            </w:r>
            <w:r w:rsidRPr="00371DCD">
              <w:t xml:space="preserve"> at FID</w:t>
            </w:r>
            <w:r w:rsidR="00631DBB" w:rsidRPr="00371DCD">
              <w:br/>
              <w:t>($</w:t>
            </w:r>
            <w:r w:rsidRPr="00371DCD">
              <w:t>US billion)</w:t>
            </w:r>
          </w:p>
        </w:tc>
        <w:tc>
          <w:tcPr>
            <w:tcW w:w="1701" w:type="dxa"/>
            <w:shd w:val="clear" w:color="auto" w:fill="auto"/>
            <w:noWrap/>
            <w:hideMark/>
          </w:tcPr>
          <w:p w14:paraId="0680ACE9" w14:textId="2F4F0ED7" w:rsidR="004925B5" w:rsidRPr="00371DCD" w:rsidRDefault="004925B5" w:rsidP="00E714D1">
            <w:pPr>
              <w:pStyle w:val="TableColumnHeadingCentred"/>
            </w:pPr>
            <w:r w:rsidRPr="00371DCD">
              <w:t xml:space="preserve">Est. </w:t>
            </w:r>
            <w:r w:rsidR="00631DBB" w:rsidRPr="00371DCD">
              <w:t>Cost</w:t>
            </w:r>
            <w:r w:rsidRPr="00371DCD">
              <w:t xml:space="preserve"> </w:t>
            </w:r>
            <w:r w:rsidR="00C00590" w:rsidRPr="00371DCD">
              <w:t>Mar</w:t>
            </w:r>
            <w:r w:rsidRPr="00371DCD">
              <w:t xml:space="preserve"> 2017</w:t>
            </w:r>
            <w:r w:rsidR="00631DBB" w:rsidRPr="00371DCD">
              <w:br/>
            </w:r>
            <w:r w:rsidRPr="00371DCD">
              <w:t>(US$ billion)</w:t>
            </w:r>
          </w:p>
        </w:tc>
        <w:tc>
          <w:tcPr>
            <w:tcW w:w="1134" w:type="dxa"/>
            <w:shd w:val="clear" w:color="auto" w:fill="auto"/>
            <w:noWrap/>
            <w:hideMark/>
          </w:tcPr>
          <w:p w14:paraId="11760E96" w14:textId="77777777" w:rsidR="004925B5" w:rsidRPr="00371DCD" w:rsidRDefault="004925B5" w:rsidP="00E714D1">
            <w:pPr>
              <w:pStyle w:val="TableColumnHeadingCentred"/>
            </w:pPr>
            <w:r w:rsidRPr="00371DCD">
              <w:t>Cost increase (%)</w:t>
            </w:r>
          </w:p>
        </w:tc>
        <w:tc>
          <w:tcPr>
            <w:tcW w:w="1134" w:type="dxa"/>
            <w:shd w:val="clear" w:color="auto" w:fill="auto"/>
            <w:noWrap/>
            <w:hideMark/>
          </w:tcPr>
          <w:p w14:paraId="791A3CD9" w14:textId="224B904D" w:rsidR="004925B5" w:rsidRPr="00371DCD" w:rsidRDefault="004925B5" w:rsidP="00E714D1">
            <w:pPr>
              <w:pStyle w:val="TableColumnHeadingCentred"/>
            </w:pPr>
            <w:r w:rsidRPr="00371DCD">
              <w:t xml:space="preserve">Est. </w:t>
            </w:r>
            <w:r w:rsidR="00631DBB" w:rsidRPr="00371DCD">
              <w:t>First G</w:t>
            </w:r>
            <w:r w:rsidRPr="00371DCD">
              <w:t>as at FID</w:t>
            </w:r>
          </w:p>
        </w:tc>
        <w:tc>
          <w:tcPr>
            <w:tcW w:w="1275" w:type="dxa"/>
            <w:shd w:val="clear" w:color="auto" w:fill="auto"/>
            <w:noWrap/>
            <w:hideMark/>
          </w:tcPr>
          <w:p w14:paraId="7E9D3F0C" w14:textId="5D7E6560" w:rsidR="004925B5" w:rsidRPr="00371DCD" w:rsidRDefault="004925B5" w:rsidP="00E714D1">
            <w:pPr>
              <w:pStyle w:val="TableColumnHeadingCentred"/>
            </w:pPr>
            <w:r w:rsidRPr="00371DCD">
              <w:t xml:space="preserve">First </w:t>
            </w:r>
            <w:r w:rsidR="00631DBB" w:rsidRPr="00371DCD">
              <w:t>G</w:t>
            </w:r>
            <w:r w:rsidRPr="00371DCD">
              <w:t xml:space="preserve">as at </w:t>
            </w:r>
            <w:r w:rsidR="00C00590" w:rsidRPr="00371DCD">
              <w:t>Mar</w:t>
            </w:r>
            <w:r w:rsidRPr="00371DCD">
              <w:t xml:space="preserve"> 2017</w:t>
            </w:r>
          </w:p>
        </w:tc>
      </w:tr>
      <w:tr w:rsidR="004925B5" w:rsidRPr="00333171" w14:paraId="2B11DB48" w14:textId="77777777" w:rsidTr="00E714D1">
        <w:trPr>
          <w:trHeight w:val="300"/>
        </w:trPr>
        <w:tc>
          <w:tcPr>
            <w:tcW w:w="1418" w:type="dxa"/>
            <w:shd w:val="clear" w:color="auto" w:fill="auto"/>
            <w:noWrap/>
            <w:hideMark/>
          </w:tcPr>
          <w:p w14:paraId="24E36C21" w14:textId="77777777" w:rsidR="004925B5" w:rsidRPr="00371DCD" w:rsidRDefault="004925B5" w:rsidP="00E714D1">
            <w:pPr>
              <w:pStyle w:val="TableColumnHeadingLeft"/>
            </w:pPr>
            <w:r w:rsidRPr="00371DCD">
              <w:t>QCLNG</w:t>
            </w:r>
          </w:p>
        </w:tc>
        <w:tc>
          <w:tcPr>
            <w:tcW w:w="1134" w:type="dxa"/>
            <w:shd w:val="clear" w:color="auto" w:fill="auto"/>
          </w:tcPr>
          <w:p w14:paraId="43B7F1F3" w14:textId="77777777" w:rsidR="004925B5" w:rsidRPr="00FD042D" w:rsidRDefault="004925B5" w:rsidP="00E714D1">
            <w:pPr>
              <w:pStyle w:val="TableTextRight"/>
            </w:pPr>
            <w:r w:rsidRPr="00FD042D">
              <w:t>8.5</w:t>
            </w:r>
          </w:p>
        </w:tc>
        <w:tc>
          <w:tcPr>
            <w:tcW w:w="1276" w:type="dxa"/>
            <w:shd w:val="clear" w:color="auto" w:fill="auto"/>
            <w:noWrap/>
            <w:hideMark/>
          </w:tcPr>
          <w:p w14:paraId="02C9C774" w14:textId="73CAAA0D" w:rsidR="004925B5" w:rsidRPr="00FD042D" w:rsidRDefault="004925B5" w:rsidP="00E714D1">
            <w:pPr>
              <w:pStyle w:val="TableTextRight"/>
            </w:pPr>
            <w:r w:rsidRPr="00FD042D">
              <w:t>15</w:t>
            </w:r>
          </w:p>
        </w:tc>
        <w:tc>
          <w:tcPr>
            <w:tcW w:w="1701" w:type="dxa"/>
            <w:shd w:val="clear" w:color="auto" w:fill="auto"/>
            <w:noWrap/>
            <w:hideMark/>
          </w:tcPr>
          <w:p w14:paraId="11F56E42" w14:textId="77777777" w:rsidR="004925B5" w:rsidRPr="00FD042D" w:rsidRDefault="004925B5" w:rsidP="00E714D1">
            <w:pPr>
              <w:pStyle w:val="TableTextRight"/>
            </w:pPr>
            <w:r w:rsidRPr="00FD042D">
              <w:t>20.4</w:t>
            </w:r>
          </w:p>
        </w:tc>
        <w:tc>
          <w:tcPr>
            <w:tcW w:w="1134" w:type="dxa"/>
            <w:shd w:val="clear" w:color="auto" w:fill="auto"/>
            <w:noWrap/>
            <w:hideMark/>
          </w:tcPr>
          <w:p w14:paraId="0F93878A" w14:textId="40EA9814" w:rsidR="004925B5" w:rsidRPr="00FD042D" w:rsidRDefault="004925B5" w:rsidP="00E714D1">
            <w:pPr>
              <w:pStyle w:val="TableTextRight"/>
            </w:pPr>
            <w:r w:rsidRPr="00FD042D">
              <w:t>36</w:t>
            </w:r>
          </w:p>
        </w:tc>
        <w:tc>
          <w:tcPr>
            <w:tcW w:w="1134" w:type="dxa"/>
            <w:shd w:val="clear" w:color="auto" w:fill="auto"/>
            <w:noWrap/>
            <w:hideMark/>
          </w:tcPr>
          <w:p w14:paraId="29C36E09" w14:textId="77777777" w:rsidR="004925B5" w:rsidRPr="00FD042D" w:rsidRDefault="004925B5" w:rsidP="00E714D1">
            <w:pPr>
              <w:pStyle w:val="TableTextRight"/>
            </w:pPr>
            <w:r w:rsidRPr="00FD042D">
              <w:t>end 2014</w:t>
            </w:r>
          </w:p>
        </w:tc>
        <w:tc>
          <w:tcPr>
            <w:tcW w:w="1275" w:type="dxa"/>
            <w:shd w:val="clear" w:color="auto" w:fill="auto"/>
            <w:noWrap/>
            <w:hideMark/>
          </w:tcPr>
          <w:p w14:paraId="49610BE3" w14:textId="4E0D0D38" w:rsidR="004925B5" w:rsidRPr="00FD042D" w:rsidRDefault="004925B5" w:rsidP="00E714D1">
            <w:pPr>
              <w:pStyle w:val="TableTextRight"/>
            </w:pPr>
            <w:r w:rsidRPr="00FD042D">
              <w:t>Jan</w:t>
            </w:r>
            <w:r w:rsidR="005D6F39">
              <w:noBreakHyphen/>
            </w:r>
            <w:r w:rsidRPr="00FD042D">
              <w:t>15</w:t>
            </w:r>
          </w:p>
        </w:tc>
      </w:tr>
      <w:tr w:rsidR="004925B5" w:rsidRPr="00333171" w14:paraId="675285EF" w14:textId="77777777" w:rsidTr="00E714D1">
        <w:trPr>
          <w:trHeight w:val="300"/>
        </w:trPr>
        <w:tc>
          <w:tcPr>
            <w:tcW w:w="1418" w:type="dxa"/>
            <w:shd w:val="clear" w:color="auto" w:fill="auto"/>
            <w:noWrap/>
            <w:hideMark/>
          </w:tcPr>
          <w:p w14:paraId="67162E7F" w14:textId="77777777" w:rsidR="004925B5" w:rsidRPr="00371DCD" w:rsidRDefault="004925B5" w:rsidP="00E714D1">
            <w:pPr>
              <w:pStyle w:val="TableColumnHeadingLeft"/>
            </w:pPr>
            <w:r w:rsidRPr="00371DCD">
              <w:t>GLNG</w:t>
            </w:r>
          </w:p>
        </w:tc>
        <w:tc>
          <w:tcPr>
            <w:tcW w:w="1134" w:type="dxa"/>
            <w:shd w:val="clear" w:color="auto" w:fill="auto"/>
          </w:tcPr>
          <w:p w14:paraId="5902BA11" w14:textId="77777777" w:rsidR="004925B5" w:rsidRPr="00FD042D" w:rsidRDefault="004925B5" w:rsidP="00E714D1">
            <w:pPr>
              <w:pStyle w:val="TableTextRight"/>
            </w:pPr>
            <w:r w:rsidRPr="00FD042D">
              <w:t>7.8</w:t>
            </w:r>
          </w:p>
        </w:tc>
        <w:tc>
          <w:tcPr>
            <w:tcW w:w="1276" w:type="dxa"/>
            <w:shd w:val="clear" w:color="auto" w:fill="auto"/>
            <w:noWrap/>
            <w:hideMark/>
          </w:tcPr>
          <w:p w14:paraId="58A908A6" w14:textId="02D90B90" w:rsidR="004925B5" w:rsidRPr="00FD042D" w:rsidRDefault="004925B5" w:rsidP="00E714D1">
            <w:pPr>
              <w:pStyle w:val="TableTextRight"/>
            </w:pPr>
            <w:r w:rsidRPr="00FD042D">
              <w:t>16</w:t>
            </w:r>
          </w:p>
        </w:tc>
        <w:tc>
          <w:tcPr>
            <w:tcW w:w="1701" w:type="dxa"/>
            <w:shd w:val="clear" w:color="auto" w:fill="auto"/>
            <w:noWrap/>
            <w:hideMark/>
          </w:tcPr>
          <w:p w14:paraId="67BDA66A" w14:textId="77777777" w:rsidR="004925B5" w:rsidRPr="00FD042D" w:rsidRDefault="004925B5" w:rsidP="00E714D1">
            <w:pPr>
              <w:pStyle w:val="TableTextRight"/>
            </w:pPr>
            <w:r w:rsidRPr="00FD042D">
              <w:t>18.5</w:t>
            </w:r>
          </w:p>
        </w:tc>
        <w:tc>
          <w:tcPr>
            <w:tcW w:w="1134" w:type="dxa"/>
            <w:shd w:val="clear" w:color="auto" w:fill="auto"/>
            <w:noWrap/>
            <w:hideMark/>
          </w:tcPr>
          <w:p w14:paraId="71A60FBD" w14:textId="77777777" w:rsidR="004925B5" w:rsidRPr="00FD042D" w:rsidRDefault="004925B5" w:rsidP="00E714D1">
            <w:pPr>
              <w:pStyle w:val="TableTextRight"/>
            </w:pPr>
            <w:r w:rsidRPr="00FD042D">
              <w:t>15.6</w:t>
            </w:r>
          </w:p>
        </w:tc>
        <w:tc>
          <w:tcPr>
            <w:tcW w:w="1134" w:type="dxa"/>
            <w:shd w:val="clear" w:color="auto" w:fill="auto"/>
            <w:noWrap/>
            <w:hideMark/>
          </w:tcPr>
          <w:p w14:paraId="0AB6C0B2" w14:textId="77777777" w:rsidR="004925B5" w:rsidRPr="00FD042D" w:rsidRDefault="004925B5" w:rsidP="00E714D1">
            <w:pPr>
              <w:pStyle w:val="TableTextRight"/>
            </w:pPr>
            <w:r w:rsidRPr="00FD042D">
              <w:t>end 2015</w:t>
            </w:r>
          </w:p>
        </w:tc>
        <w:tc>
          <w:tcPr>
            <w:tcW w:w="1275" w:type="dxa"/>
            <w:shd w:val="clear" w:color="auto" w:fill="auto"/>
            <w:noWrap/>
            <w:hideMark/>
          </w:tcPr>
          <w:p w14:paraId="200B29E2" w14:textId="354DC977" w:rsidR="004925B5" w:rsidRPr="00FD042D" w:rsidRDefault="004925B5" w:rsidP="00E714D1">
            <w:pPr>
              <w:pStyle w:val="TableTextRight"/>
            </w:pPr>
            <w:r w:rsidRPr="00FD042D">
              <w:t>Oct</w:t>
            </w:r>
            <w:r w:rsidR="005D6F39">
              <w:noBreakHyphen/>
            </w:r>
            <w:r w:rsidRPr="00FD042D">
              <w:t>15</w:t>
            </w:r>
          </w:p>
        </w:tc>
      </w:tr>
      <w:tr w:rsidR="004925B5" w:rsidRPr="00333171" w14:paraId="19506A4F" w14:textId="77777777" w:rsidTr="00E714D1">
        <w:trPr>
          <w:trHeight w:val="300"/>
        </w:trPr>
        <w:tc>
          <w:tcPr>
            <w:tcW w:w="1418" w:type="dxa"/>
            <w:shd w:val="clear" w:color="auto" w:fill="auto"/>
            <w:noWrap/>
            <w:hideMark/>
          </w:tcPr>
          <w:p w14:paraId="63E922EC" w14:textId="77777777" w:rsidR="004925B5" w:rsidRPr="00371DCD" w:rsidRDefault="004925B5" w:rsidP="00E714D1">
            <w:pPr>
              <w:pStyle w:val="TableColumnHeadingLeft"/>
            </w:pPr>
            <w:r w:rsidRPr="00371DCD">
              <w:t>APLNG</w:t>
            </w:r>
          </w:p>
        </w:tc>
        <w:tc>
          <w:tcPr>
            <w:tcW w:w="1134" w:type="dxa"/>
            <w:shd w:val="clear" w:color="auto" w:fill="auto"/>
          </w:tcPr>
          <w:p w14:paraId="01EDB6AB" w14:textId="77777777" w:rsidR="004925B5" w:rsidRPr="00FD042D" w:rsidRDefault="004925B5" w:rsidP="00E714D1">
            <w:pPr>
              <w:pStyle w:val="TableTextRight"/>
            </w:pPr>
            <w:r w:rsidRPr="00FD042D">
              <w:t>9</w:t>
            </w:r>
          </w:p>
        </w:tc>
        <w:tc>
          <w:tcPr>
            <w:tcW w:w="1276" w:type="dxa"/>
            <w:shd w:val="clear" w:color="auto" w:fill="auto"/>
            <w:noWrap/>
            <w:hideMark/>
          </w:tcPr>
          <w:p w14:paraId="17856610" w14:textId="5B9D540D" w:rsidR="004925B5" w:rsidRPr="00FD042D" w:rsidRDefault="004925B5" w:rsidP="00E714D1">
            <w:pPr>
              <w:pStyle w:val="TableTextRight"/>
            </w:pPr>
            <w:r w:rsidRPr="00FD042D">
              <w:t>20</w:t>
            </w:r>
          </w:p>
        </w:tc>
        <w:tc>
          <w:tcPr>
            <w:tcW w:w="1701" w:type="dxa"/>
            <w:shd w:val="clear" w:color="auto" w:fill="auto"/>
            <w:noWrap/>
            <w:hideMark/>
          </w:tcPr>
          <w:p w14:paraId="73A9202B" w14:textId="77777777" w:rsidR="004925B5" w:rsidRPr="00FD042D" w:rsidRDefault="004925B5" w:rsidP="00E714D1">
            <w:pPr>
              <w:pStyle w:val="TableTextRight"/>
            </w:pPr>
            <w:r w:rsidRPr="00FD042D">
              <w:t>22.5</w:t>
            </w:r>
          </w:p>
        </w:tc>
        <w:tc>
          <w:tcPr>
            <w:tcW w:w="1134" w:type="dxa"/>
            <w:shd w:val="clear" w:color="auto" w:fill="auto"/>
            <w:noWrap/>
            <w:hideMark/>
          </w:tcPr>
          <w:p w14:paraId="3A4416D8" w14:textId="77777777" w:rsidR="004925B5" w:rsidRPr="00FD042D" w:rsidRDefault="004925B5" w:rsidP="00E714D1">
            <w:pPr>
              <w:pStyle w:val="TableTextRight"/>
            </w:pPr>
            <w:r w:rsidRPr="00FD042D">
              <w:t>12.5</w:t>
            </w:r>
          </w:p>
        </w:tc>
        <w:tc>
          <w:tcPr>
            <w:tcW w:w="1134" w:type="dxa"/>
            <w:shd w:val="clear" w:color="auto" w:fill="auto"/>
            <w:noWrap/>
            <w:hideMark/>
          </w:tcPr>
          <w:p w14:paraId="612D34A8" w14:textId="77777777" w:rsidR="004925B5" w:rsidRPr="00FD042D" w:rsidRDefault="004925B5" w:rsidP="00E714D1">
            <w:pPr>
              <w:pStyle w:val="TableTextRight"/>
            </w:pPr>
            <w:r w:rsidRPr="00FD042D">
              <w:t>2015</w:t>
            </w:r>
          </w:p>
        </w:tc>
        <w:tc>
          <w:tcPr>
            <w:tcW w:w="1275" w:type="dxa"/>
            <w:shd w:val="clear" w:color="auto" w:fill="auto"/>
            <w:noWrap/>
            <w:hideMark/>
          </w:tcPr>
          <w:p w14:paraId="1E4A0938" w14:textId="3FF4DBBD" w:rsidR="004925B5" w:rsidRPr="00FD042D" w:rsidRDefault="004925B5" w:rsidP="00E714D1">
            <w:pPr>
              <w:pStyle w:val="TableTextRight"/>
            </w:pPr>
            <w:r w:rsidRPr="00FD042D">
              <w:t>Jan</w:t>
            </w:r>
            <w:r w:rsidR="005D6F39">
              <w:noBreakHyphen/>
            </w:r>
            <w:r w:rsidRPr="00FD042D">
              <w:t>16</w:t>
            </w:r>
          </w:p>
        </w:tc>
      </w:tr>
      <w:tr w:rsidR="004925B5" w:rsidRPr="00333171" w14:paraId="7C39E81A" w14:textId="77777777" w:rsidTr="00E714D1">
        <w:trPr>
          <w:trHeight w:val="300"/>
        </w:trPr>
        <w:tc>
          <w:tcPr>
            <w:tcW w:w="1418" w:type="dxa"/>
            <w:shd w:val="clear" w:color="auto" w:fill="auto"/>
            <w:noWrap/>
            <w:hideMark/>
          </w:tcPr>
          <w:p w14:paraId="3D0B1EAF" w14:textId="77777777" w:rsidR="004925B5" w:rsidRPr="00371DCD" w:rsidRDefault="004925B5" w:rsidP="00E714D1">
            <w:pPr>
              <w:pStyle w:val="TableColumnHeadingLeft"/>
            </w:pPr>
            <w:r w:rsidRPr="00371DCD">
              <w:t>Gorgon</w:t>
            </w:r>
          </w:p>
        </w:tc>
        <w:tc>
          <w:tcPr>
            <w:tcW w:w="1134" w:type="dxa"/>
            <w:shd w:val="clear" w:color="auto" w:fill="auto"/>
          </w:tcPr>
          <w:p w14:paraId="6EA4EC13" w14:textId="77777777" w:rsidR="004925B5" w:rsidRPr="00FD042D" w:rsidRDefault="004925B5" w:rsidP="00E714D1">
            <w:pPr>
              <w:pStyle w:val="TableTextRight"/>
            </w:pPr>
            <w:r w:rsidRPr="00FD042D">
              <w:t>15.6</w:t>
            </w:r>
          </w:p>
        </w:tc>
        <w:tc>
          <w:tcPr>
            <w:tcW w:w="1276" w:type="dxa"/>
            <w:shd w:val="clear" w:color="auto" w:fill="auto"/>
            <w:noWrap/>
            <w:hideMark/>
          </w:tcPr>
          <w:p w14:paraId="48018033" w14:textId="3DAE4E2B" w:rsidR="004925B5" w:rsidRPr="00FD042D" w:rsidRDefault="004925B5" w:rsidP="00E714D1">
            <w:pPr>
              <w:pStyle w:val="TableTextRight"/>
            </w:pPr>
            <w:r w:rsidRPr="00FD042D">
              <w:t>37</w:t>
            </w:r>
          </w:p>
        </w:tc>
        <w:tc>
          <w:tcPr>
            <w:tcW w:w="1701" w:type="dxa"/>
            <w:shd w:val="clear" w:color="auto" w:fill="auto"/>
            <w:noWrap/>
            <w:hideMark/>
          </w:tcPr>
          <w:p w14:paraId="7CA0028F" w14:textId="46A31540" w:rsidR="004925B5" w:rsidRPr="00FD042D" w:rsidRDefault="004925B5" w:rsidP="00E714D1">
            <w:pPr>
              <w:pStyle w:val="TableTextRight"/>
            </w:pPr>
            <w:r w:rsidRPr="00FD042D">
              <w:t>54</w:t>
            </w:r>
          </w:p>
        </w:tc>
        <w:tc>
          <w:tcPr>
            <w:tcW w:w="1134" w:type="dxa"/>
            <w:shd w:val="clear" w:color="auto" w:fill="auto"/>
            <w:noWrap/>
            <w:hideMark/>
          </w:tcPr>
          <w:p w14:paraId="218F2695" w14:textId="77777777" w:rsidR="004925B5" w:rsidRPr="00FD042D" w:rsidRDefault="004925B5" w:rsidP="00E714D1">
            <w:pPr>
              <w:pStyle w:val="TableTextRight"/>
            </w:pPr>
            <w:r w:rsidRPr="00FD042D">
              <w:t>45.9</w:t>
            </w:r>
          </w:p>
        </w:tc>
        <w:tc>
          <w:tcPr>
            <w:tcW w:w="1134" w:type="dxa"/>
            <w:shd w:val="clear" w:color="auto" w:fill="auto"/>
            <w:noWrap/>
            <w:hideMark/>
          </w:tcPr>
          <w:p w14:paraId="0BC7D48F" w14:textId="77777777" w:rsidR="004925B5" w:rsidRPr="00FD042D" w:rsidRDefault="004925B5" w:rsidP="00E714D1">
            <w:pPr>
              <w:pStyle w:val="TableTextRight"/>
            </w:pPr>
            <w:r w:rsidRPr="00FD042D">
              <w:t>2015</w:t>
            </w:r>
          </w:p>
        </w:tc>
        <w:tc>
          <w:tcPr>
            <w:tcW w:w="1275" w:type="dxa"/>
            <w:shd w:val="clear" w:color="auto" w:fill="auto"/>
            <w:noWrap/>
            <w:hideMark/>
          </w:tcPr>
          <w:p w14:paraId="0C322ECB" w14:textId="78BF8155" w:rsidR="004925B5" w:rsidRPr="00FD042D" w:rsidRDefault="004925B5" w:rsidP="00E714D1">
            <w:pPr>
              <w:pStyle w:val="TableTextRight"/>
            </w:pPr>
            <w:r w:rsidRPr="00FD042D">
              <w:t>Mar</w:t>
            </w:r>
            <w:r w:rsidR="005D6F39">
              <w:noBreakHyphen/>
            </w:r>
            <w:r w:rsidRPr="00FD042D">
              <w:t>16</w:t>
            </w:r>
          </w:p>
        </w:tc>
      </w:tr>
      <w:tr w:rsidR="004925B5" w:rsidRPr="00333171" w14:paraId="5D954154" w14:textId="77777777" w:rsidTr="00E714D1">
        <w:trPr>
          <w:trHeight w:val="300"/>
        </w:trPr>
        <w:tc>
          <w:tcPr>
            <w:tcW w:w="1418" w:type="dxa"/>
            <w:shd w:val="clear" w:color="auto" w:fill="auto"/>
            <w:noWrap/>
            <w:hideMark/>
          </w:tcPr>
          <w:p w14:paraId="548A1CCA" w14:textId="77777777" w:rsidR="004925B5" w:rsidRPr="00371DCD" w:rsidRDefault="004925B5" w:rsidP="00E714D1">
            <w:pPr>
              <w:pStyle w:val="TableColumnHeadingLeft"/>
            </w:pPr>
            <w:r w:rsidRPr="00371DCD">
              <w:t>Wheatstone</w:t>
            </w:r>
          </w:p>
        </w:tc>
        <w:tc>
          <w:tcPr>
            <w:tcW w:w="1134" w:type="dxa"/>
            <w:shd w:val="clear" w:color="auto" w:fill="auto"/>
          </w:tcPr>
          <w:p w14:paraId="517F4813" w14:textId="77777777" w:rsidR="004925B5" w:rsidRPr="00FD042D" w:rsidRDefault="004925B5" w:rsidP="00E714D1">
            <w:pPr>
              <w:pStyle w:val="TableTextRight"/>
            </w:pPr>
            <w:r w:rsidRPr="00FD042D">
              <w:t>8.9</w:t>
            </w:r>
          </w:p>
        </w:tc>
        <w:tc>
          <w:tcPr>
            <w:tcW w:w="1276" w:type="dxa"/>
            <w:shd w:val="clear" w:color="auto" w:fill="auto"/>
            <w:noWrap/>
            <w:hideMark/>
          </w:tcPr>
          <w:p w14:paraId="1AFCE0D0" w14:textId="77777777" w:rsidR="004925B5" w:rsidRPr="00FD042D" w:rsidRDefault="004925B5" w:rsidP="00E714D1">
            <w:pPr>
              <w:pStyle w:val="TableTextRight"/>
            </w:pPr>
            <w:r w:rsidRPr="00FD042D">
              <w:t>26.4</w:t>
            </w:r>
          </w:p>
        </w:tc>
        <w:tc>
          <w:tcPr>
            <w:tcW w:w="1701" w:type="dxa"/>
            <w:shd w:val="clear" w:color="auto" w:fill="auto"/>
            <w:noWrap/>
            <w:hideMark/>
          </w:tcPr>
          <w:p w14:paraId="72495238" w14:textId="22784727" w:rsidR="004925B5" w:rsidRPr="00FD042D" w:rsidRDefault="004925B5" w:rsidP="00E714D1">
            <w:pPr>
              <w:pStyle w:val="TableTextRight"/>
            </w:pPr>
            <w:r w:rsidRPr="00FD042D">
              <w:t>34</w:t>
            </w:r>
          </w:p>
        </w:tc>
        <w:tc>
          <w:tcPr>
            <w:tcW w:w="1134" w:type="dxa"/>
            <w:shd w:val="clear" w:color="auto" w:fill="auto"/>
            <w:noWrap/>
            <w:hideMark/>
          </w:tcPr>
          <w:p w14:paraId="01E41334" w14:textId="77777777" w:rsidR="004925B5" w:rsidRPr="00FD042D" w:rsidRDefault="004925B5" w:rsidP="00E714D1">
            <w:pPr>
              <w:pStyle w:val="TableTextRight"/>
            </w:pPr>
            <w:r w:rsidRPr="00FD042D">
              <w:t>28.8</w:t>
            </w:r>
          </w:p>
        </w:tc>
        <w:tc>
          <w:tcPr>
            <w:tcW w:w="1134" w:type="dxa"/>
            <w:shd w:val="clear" w:color="auto" w:fill="auto"/>
            <w:noWrap/>
            <w:hideMark/>
          </w:tcPr>
          <w:p w14:paraId="25C151BD" w14:textId="77777777" w:rsidR="004925B5" w:rsidRPr="00FD042D" w:rsidRDefault="004925B5" w:rsidP="00E714D1">
            <w:pPr>
              <w:pStyle w:val="TableTextRight"/>
            </w:pPr>
            <w:r w:rsidRPr="00FD042D">
              <w:t>2016</w:t>
            </w:r>
          </w:p>
        </w:tc>
        <w:tc>
          <w:tcPr>
            <w:tcW w:w="1275" w:type="dxa"/>
            <w:shd w:val="clear" w:color="auto" w:fill="auto"/>
            <w:noWrap/>
            <w:hideMark/>
          </w:tcPr>
          <w:p w14:paraId="04697AB6" w14:textId="77777777" w:rsidR="004925B5" w:rsidRPr="00FD042D" w:rsidRDefault="004925B5" w:rsidP="00E714D1">
            <w:pPr>
              <w:pStyle w:val="TableTextRight"/>
            </w:pPr>
            <w:r w:rsidRPr="00FD042D">
              <w:t>est. 2H 2017</w:t>
            </w:r>
          </w:p>
        </w:tc>
      </w:tr>
      <w:tr w:rsidR="004925B5" w:rsidRPr="00333171" w14:paraId="66D894B7" w14:textId="77777777" w:rsidTr="00E714D1">
        <w:trPr>
          <w:trHeight w:val="300"/>
        </w:trPr>
        <w:tc>
          <w:tcPr>
            <w:tcW w:w="1418" w:type="dxa"/>
            <w:shd w:val="clear" w:color="auto" w:fill="auto"/>
            <w:noWrap/>
            <w:hideMark/>
          </w:tcPr>
          <w:p w14:paraId="41F8099C" w14:textId="77777777" w:rsidR="004925B5" w:rsidRPr="00371DCD" w:rsidRDefault="004925B5" w:rsidP="00E714D1">
            <w:pPr>
              <w:pStyle w:val="TableColumnHeadingLeft"/>
            </w:pPr>
            <w:r w:rsidRPr="00371DCD">
              <w:t>Ichthys</w:t>
            </w:r>
          </w:p>
        </w:tc>
        <w:tc>
          <w:tcPr>
            <w:tcW w:w="1134" w:type="dxa"/>
            <w:shd w:val="clear" w:color="auto" w:fill="auto"/>
          </w:tcPr>
          <w:p w14:paraId="63957432" w14:textId="77777777" w:rsidR="004925B5" w:rsidRPr="00FD042D" w:rsidRDefault="004925B5" w:rsidP="00E714D1">
            <w:pPr>
              <w:pStyle w:val="TableTextRight"/>
            </w:pPr>
            <w:r w:rsidRPr="00FD042D">
              <w:t>8.9</w:t>
            </w:r>
          </w:p>
        </w:tc>
        <w:tc>
          <w:tcPr>
            <w:tcW w:w="1276" w:type="dxa"/>
            <w:shd w:val="clear" w:color="auto" w:fill="auto"/>
            <w:noWrap/>
            <w:hideMark/>
          </w:tcPr>
          <w:p w14:paraId="779789C9" w14:textId="62F99120" w:rsidR="004925B5" w:rsidRPr="00FD042D" w:rsidRDefault="004925B5" w:rsidP="00E714D1">
            <w:pPr>
              <w:pStyle w:val="TableTextRight"/>
            </w:pPr>
            <w:r w:rsidRPr="00FD042D">
              <w:t>34</w:t>
            </w:r>
          </w:p>
        </w:tc>
        <w:tc>
          <w:tcPr>
            <w:tcW w:w="1701" w:type="dxa"/>
            <w:shd w:val="clear" w:color="auto" w:fill="auto"/>
            <w:noWrap/>
            <w:hideMark/>
          </w:tcPr>
          <w:p w14:paraId="0B8DEC3E" w14:textId="77777777" w:rsidR="004925B5" w:rsidRPr="00FD042D" w:rsidRDefault="004925B5" w:rsidP="00E714D1">
            <w:pPr>
              <w:pStyle w:val="TableTextRight"/>
            </w:pPr>
            <w:r w:rsidRPr="00FD042D">
              <w:t>37.4</w:t>
            </w:r>
          </w:p>
        </w:tc>
        <w:tc>
          <w:tcPr>
            <w:tcW w:w="1134" w:type="dxa"/>
            <w:shd w:val="clear" w:color="auto" w:fill="auto"/>
            <w:noWrap/>
            <w:hideMark/>
          </w:tcPr>
          <w:p w14:paraId="5EACC28A" w14:textId="1B4159BC" w:rsidR="004925B5" w:rsidRPr="00FD042D" w:rsidRDefault="004925B5" w:rsidP="00E714D1">
            <w:pPr>
              <w:pStyle w:val="TableTextRight"/>
            </w:pPr>
            <w:r w:rsidRPr="00FD042D">
              <w:t>10</w:t>
            </w:r>
          </w:p>
        </w:tc>
        <w:tc>
          <w:tcPr>
            <w:tcW w:w="1134" w:type="dxa"/>
            <w:shd w:val="clear" w:color="auto" w:fill="auto"/>
            <w:noWrap/>
            <w:hideMark/>
          </w:tcPr>
          <w:p w14:paraId="24B014EE" w14:textId="77777777" w:rsidR="004925B5" w:rsidRPr="00FD042D" w:rsidRDefault="004925B5" w:rsidP="00E714D1">
            <w:pPr>
              <w:pStyle w:val="TableTextRight"/>
            </w:pPr>
            <w:r w:rsidRPr="00FD042D">
              <w:t>2017</w:t>
            </w:r>
          </w:p>
        </w:tc>
        <w:tc>
          <w:tcPr>
            <w:tcW w:w="1275" w:type="dxa"/>
            <w:shd w:val="clear" w:color="auto" w:fill="auto"/>
            <w:noWrap/>
            <w:hideMark/>
          </w:tcPr>
          <w:p w14:paraId="121FBE6A" w14:textId="77777777" w:rsidR="004925B5" w:rsidRPr="00FD042D" w:rsidRDefault="004925B5" w:rsidP="00E714D1">
            <w:pPr>
              <w:pStyle w:val="TableTextRight"/>
            </w:pPr>
            <w:r w:rsidRPr="00FD042D">
              <w:t>est. 2H 2017</w:t>
            </w:r>
          </w:p>
        </w:tc>
      </w:tr>
      <w:tr w:rsidR="004925B5" w:rsidRPr="00333171" w14:paraId="634A6B98" w14:textId="77777777" w:rsidTr="00E714D1">
        <w:trPr>
          <w:trHeight w:val="300"/>
        </w:trPr>
        <w:tc>
          <w:tcPr>
            <w:tcW w:w="1418" w:type="dxa"/>
            <w:shd w:val="clear" w:color="auto" w:fill="auto"/>
            <w:noWrap/>
            <w:hideMark/>
          </w:tcPr>
          <w:p w14:paraId="1DCE10C4" w14:textId="77777777" w:rsidR="004925B5" w:rsidRPr="00371DCD" w:rsidRDefault="004925B5" w:rsidP="00E714D1">
            <w:pPr>
              <w:pStyle w:val="TableColumnHeadingLeft"/>
            </w:pPr>
            <w:r w:rsidRPr="00371DCD">
              <w:t>Prelude</w:t>
            </w:r>
          </w:p>
        </w:tc>
        <w:tc>
          <w:tcPr>
            <w:tcW w:w="1134" w:type="dxa"/>
            <w:shd w:val="clear" w:color="auto" w:fill="auto"/>
          </w:tcPr>
          <w:p w14:paraId="0565F258" w14:textId="77777777" w:rsidR="004925B5" w:rsidRPr="00FD042D" w:rsidRDefault="004925B5" w:rsidP="00E714D1">
            <w:pPr>
              <w:pStyle w:val="TableTextRight"/>
            </w:pPr>
            <w:r w:rsidRPr="00FD042D">
              <w:t>3.6</w:t>
            </w:r>
          </w:p>
        </w:tc>
        <w:tc>
          <w:tcPr>
            <w:tcW w:w="1276" w:type="dxa"/>
            <w:shd w:val="clear" w:color="auto" w:fill="auto"/>
            <w:noWrap/>
            <w:hideMark/>
          </w:tcPr>
          <w:p w14:paraId="330EC3DB" w14:textId="77777777" w:rsidR="004925B5" w:rsidRPr="00FD042D" w:rsidRDefault="004925B5" w:rsidP="00E714D1">
            <w:pPr>
              <w:pStyle w:val="TableTextRight"/>
            </w:pPr>
            <w:r w:rsidRPr="00FD042D">
              <w:t>12.6</w:t>
            </w:r>
          </w:p>
        </w:tc>
        <w:tc>
          <w:tcPr>
            <w:tcW w:w="1701" w:type="dxa"/>
            <w:shd w:val="clear" w:color="auto" w:fill="auto"/>
            <w:noWrap/>
            <w:hideMark/>
          </w:tcPr>
          <w:p w14:paraId="587C70A3" w14:textId="77777777" w:rsidR="004925B5" w:rsidRPr="00FD042D" w:rsidRDefault="004925B5" w:rsidP="00E714D1">
            <w:pPr>
              <w:pStyle w:val="TableTextRight"/>
            </w:pPr>
            <w:r w:rsidRPr="00FD042D">
              <w:t>12.6</w:t>
            </w:r>
          </w:p>
        </w:tc>
        <w:tc>
          <w:tcPr>
            <w:tcW w:w="1134" w:type="dxa"/>
            <w:shd w:val="clear" w:color="auto" w:fill="auto"/>
            <w:noWrap/>
            <w:hideMark/>
          </w:tcPr>
          <w:p w14:paraId="38FA1361" w14:textId="351C445C" w:rsidR="004925B5" w:rsidRPr="00FD042D" w:rsidRDefault="004925B5" w:rsidP="00E714D1">
            <w:pPr>
              <w:pStyle w:val="TableTextRight"/>
            </w:pPr>
            <w:r w:rsidRPr="00FD042D">
              <w:t>0</w:t>
            </w:r>
          </w:p>
        </w:tc>
        <w:tc>
          <w:tcPr>
            <w:tcW w:w="1134" w:type="dxa"/>
            <w:shd w:val="clear" w:color="auto" w:fill="auto"/>
            <w:noWrap/>
            <w:hideMark/>
          </w:tcPr>
          <w:p w14:paraId="6CC634DF" w14:textId="77777777" w:rsidR="004925B5" w:rsidRPr="00FD042D" w:rsidRDefault="004925B5" w:rsidP="00E714D1">
            <w:pPr>
              <w:pStyle w:val="TableTextRight"/>
            </w:pPr>
            <w:r w:rsidRPr="00FD042D">
              <w:t>2017</w:t>
            </w:r>
          </w:p>
        </w:tc>
        <w:tc>
          <w:tcPr>
            <w:tcW w:w="1275" w:type="dxa"/>
            <w:shd w:val="clear" w:color="auto" w:fill="auto"/>
            <w:noWrap/>
            <w:hideMark/>
          </w:tcPr>
          <w:p w14:paraId="0AE7378A" w14:textId="32286ACC" w:rsidR="004925B5" w:rsidRPr="00FD042D" w:rsidRDefault="004925B5" w:rsidP="00E714D1">
            <w:pPr>
              <w:pStyle w:val="TableTextRight"/>
            </w:pPr>
            <w:r w:rsidRPr="00FD042D">
              <w:t>est. 2017</w:t>
            </w:r>
            <w:r w:rsidR="005D6F39">
              <w:noBreakHyphen/>
            </w:r>
            <w:r w:rsidRPr="00FD042D">
              <w:t>18</w:t>
            </w:r>
          </w:p>
        </w:tc>
      </w:tr>
      <w:tr w:rsidR="004925B5" w:rsidRPr="00333171" w14:paraId="3CC2411A" w14:textId="77777777" w:rsidTr="00E714D1">
        <w:trPr>
          <w:trHeight w:val="300"/>
        </w:trPr>
        <w:tc>
          <w:tcPr>
            <w:tcW w:w="1418" w:type="dxa"/>
            <w:shd w:val="clear" w:color="auto" w:fill="auto"/>
            <w:noWrap/>
            <w:hideMark/>
          </w:tcPr>
          <w:p w14:paraId="390E847B" w14:textId="77777777" w:rsidR="004925B5" w:rsidRPr="00371DCD" w:rsidRDefault="004925B5" w:rsidP="00E714D1">
            <w:pPr>
              <w:pStyle w:val="TableColumnHeadingLeft"/>
            </w:pPr>
            <w:r w:rsidRPr="00371DCD">
              <w:t>Total</w:t>
            </w:r>
          </w:p>
        </w:tc>
        <w:tc>
          <w:tcPr>
            <w:tcW w:w="1134" w:type="dxa"/>
            <w:shd w:val="clear" w:color="auto" w:fill="auto"/>
          </w:tcPr>
          <w:p w14:paraId="7CFD297D" w14:textId="77777777" w:rsidR="004925B5" w:rsidRPr="00FD042D" w:rsidRDefault="004925B5" w:rsidP="00E714D1">
            <w:pPr>
              <w:pStyle w:val="TableTextRight"/>
            </w:pPr>
            <w:r w:rsidRPr="00FD042D">
              <w:t>62.3</w:t>
            </w:r>
          </w:p>
        </w:tc>
        <w:tc>
          <w:tcPr>
            <w:tcW w:w="1276" w:type="dxa"/>
            <w:shd w:val="clear" w:color="auto" w:fill="auto"/>
            <w:noWrap/>
            <w:hideMark/>
          </w:tcPr>
          <w:p w14:paraId="172D9334" w14:textId="77777777" w:rsidR="004925B5" w:rsidRPr="00FD042D" w:rsidRDefault="004925B5" w:rsidP="00E714D1">
            <w:pPr>
              <w:pStyle w:val="TableTextRight"/>
            </w:pPr>
            <w:r w:rsidRPr="00FD042D">
              <w:t>161.0</w:t>
            </w:r>
          </w:p>
        </w:tc>
        <w:tc>
          <w:tcPr>
            <w:tcW w:w="1701" w:type="dxa"/>
            <w:shd w:val="clear" w:color="auto" w:fill="auto"/>
            <w:noWrap/>
            <w:hideMark/>
          </w:tcPr>
          <w:p w14:paraId="4A74EFDB" w14:textId="77777777" w:rsidR="004925B5" w:rsidRPr="00FD042D" w:rsidRDefault="004925B5" w:rsidP="00E714D1">
            <w:pPr>
              <w:pStyle w:val="TableTextRight"/>
            </w:pPr>
            <w:r w:rsidRPr="00FD042D">
              <w:t>199.4</w:t>
            </w:r>
          </w:p>
        </w:tc>
        <w:tc>
          <w:tcPr>
            <w:tcW w:w="1134" w:type="dxa"/>
            <w:shd w:val="clear" w:color="auto" w:fill="auto"/>
            <w:noWrap/>
            <w:hideMark/>
          </w:tcPr>
          <w:p w14:paraId="032286B8" w14:textId="7A2BF845" w:rsidR="004925B5" w:rsidRPr="00FD042D" w:rsidRDefault="004925B5" w:rsidP="00E714D1">
            <w:pPr>
              <w:pStyle w:val="TableTextRight"/>
            </w:pPr>
            <w:r w:rsidRPr="00FD042D">
              <w:t xml:space="preserve">23.9 </w:t>
            </w:r>
            <w:r w:rsidR="00974844">
              <w:t>Av</w:t>
            </w:r>
          </w:p>
        </w:tc>
        <w:tc>
          <w:tcPr>
            <w:tcW w:w="1134" w:type="dxa"/>
            <w:shd w:val="clear" w:color="auto" w:fill="auto"/>
            <w:noWrap/>
            <w:hideMark/>
          </w:tcPr>
          <w:p w14:paraId="5E96F25F" w14:textId="77777777" w:rsidR="004925B5" w:rsidRPr="00FD042D" w:rsidRDefault="004925B5" w:rsidP="00E714D1">
            <w:pPr>
              <w:pStyle w:val="TableTextRight"/>
            </w:pPr>
          </w:p>
        </w:tc>
        <w:tc>
          <w:tcPr>
            <w:tcW w:w="1275" w:type="dxa"/>
            <w:shd w:val="clear" w:color="auto" w:fill="auto"/>
            <w:noWrap/>
            <w:hideMark/>
          </w:tcPr>
          <w:p w14:paraId="5FDD02D3" w14:textId="77777777" w:rsidR="004925B5" w:rsidRPr="00FD042D" w:rsidRDefault="004925B5" w:rsidP="00E714D1">
            <w:pPr>
              <w:pStyle w:val="TableTextRight"/>
            </w:pPr>
          </w:p>
        </w:tc>
      </w:tr>
    </w:tbl>
    <w:p w14:paraId="069F025D" w14:textId="5191C814" w:rsidR="00AA7794" w:rsidRDefault="00AA7794" w:rsidP="00E714D1">
      <w:pPr>
        <w:pStyle w:val="ChartorTableNote"/>
      </w:pPr>
      <w:r w:rsidRPr="000A2DD4">
        <w:t>Source: Various company statements and reports</w:t>
      </w:r>
      <w:r w:rsidR="000A2DD4">
        <w:t>.</w:t>
      </w:r>
    </w:p>
    <w:p w14:paraId="374C3EAC" w14:textId="77777777" w:rsidR="00E714D1" w:rsidRPr="00E714D1" w:rsidRDefault="00E714D1" w:rsidP="00E714D1">
      <w:pPr>
        <w:pStyle w:val="SingleParagraph"/>
      </w:pPr>
    </w:p>
    <w:p w14:paraId="1D2A53AC" w14:textId="2C66951E" w:rsidR="00AA7794" w:rsidRDefault="00AA7794" w:rsidP="002E58C4">
      <w:r>
        <w:t>While each project has its own specific circumstances contributing to these cost increases and delays, industry has cited the common factors as: the strong Australian dollar, high labour costs and ongoing productivity issues. Logistical challenges and weather delays are also cited as factors.</w:t>
      </w:r>
    </w:p>
    <w:p w14:paraId="43BA4B79" w14:textId="7C350981" w:rsidR="00AA7794" w:rsidRDefault="00684FED" w:rsidP="002E58C4">
      <w:r>
        <w:t>P</w:t>
      </w:r>
      <w:r w:rsidR="00AA7794">
        <w:t xml:space="preserve">ressures from the concurrent construction of several LNG projects in Australia </w:t>
      </w:r>
      <w:r>
        <w:t>h</w:t>
      </w:r>
      <w:r w:rsidR="003A1AB1">
        <w:t>ave</w:t>
      </w:r>
      <w:r>
        <w:t xml:space="preserve"> been a significant factor behind increases in</w:t>
      </w:r>
      <w:r w:rsidR="00AA7794" w:rsidDel="00684FED">
        <w:t xml:space="preserve"> </w:t>
      </w:r>
      <w:r w:rsidR="00AA7794">
        <w:t>labour and material costs.</w:t>
      </w:r>
      <w:r w:rsidR="0045360F">
        <w:t xml:space="preserve"> </w:t>
      </w:r>
      <w:r w:rsidR="00AA7794">
        <w:t>Some industry commentators contend that better collaboration between project proponents would have resulted in substantial expenditure reductions across the projects</w:t>
      </w:r>
      <w:r w:rsidR="00D83377">
        <w:t>.</w:t>
      </w:r>
    </w:p>
    <w:p w14:paraId="3CE79809" w14:textId="4EDC28EF" w:rsidR="00AA7794" w:rsidRDefault="00C010F1" w:rsidP="002E58C4">
      <w:r>
        <w:t xml:space="preserve">Cost overruns </w:t>
      </w:r>
      <w:r w:rsidR="00AA7794">
        <w:t>have focussed attention on the future competitiveness of Australia as an LNG exporter.</w:t>
      </w:r>
      <w:r>
        <w:t xml:space="preserve"> </w:t>
      </w:r>
      <w:r w:rsidR="00011015">
        <w:t>Australian projects face</w:t>
      </w:r>
      <w:r w:rsidR="00AA7794">
        <w:t xml:space="preserve"> new and competing sources of supply</w:t>
      </w:r>
      <w:r w:rsidR="00D046F1">
        <w:t xml:space="preserve">, which will place added </w:t>
      </w:r>
      <w:r w:rsidR="00AA7794">
        <w:t>pressure on the competitiveness of projects, especially those supplying to the Asia region.</w:t>
      </w:r>
    </w:p>
    <w:p w14:paraId="1BC075E7" w14:textId="47185F52" w:rsidR="00AA7794" w:rsidRDefault="00AA7794" w:rsidP="002E58C4">
      <w:r>
        <w:t xml:space="preserve">These challenges </w:t>
      </w:r>
      <w:r w:rsidR="00461FD9">
        <w:t>have implications for</w:t>
      </w:r>
      <w:r>
        <w:t xml:space="preserve"> Australia</w:t>
      </w:r>
      <w:r w:rsidR="005D6F39">
        <w:t>’</w:t>
      </w:r>
      <w:r w:rsidR="00461FD9">
        <w:t xml:space="preserve">s attractiveness </w:t>
      </w:r>
      <w:r w:rsidR="00461FD9" w:rsidDel="00B107A9">
        <w:t xml:space="preserve">to </w:t>
      </w:r>
      <w:r w:rsidR="00461FD9">
        <w:t>foreign i</w:t>
      </w:r>
      <w:r>
        <w:t>nvest</w:t>
      </w:r>
      <w:r w:rsidR="00461FD9">
        <w:t>ment</w:t>
      </w:r>
      <w:r>
        <w:t xml:space="preserve"> in major oil and gas projects. </w:t>
      </w:r>
      <w:r w:rsidR="00B107A9">
        <w:t>I</w:t>
      </w:r>
      <w:r>
        <w:t xml:space="preserve">n the short to medium term, investment in </w:t>
      </w:r>
      <w:r w:rsidR="00274AD2">
        <w:t xml:space="preserve">major </w:t>
      </w:r>
      <w:r>
        <w:t xml:space="preserve">projects will </w:t>
      </w:r>
      <w:r w:rsidR="009B63A0">
        <w:t xml:space="preserve">likely </w:t>
      </w:r>
      <w:r>
        <w:t>be</w:t>
      </w:r>
      <w:r w:rsidR="00B107A9">
        <w:t xml:space="preserve"> </w:t>
      </w:r>
      <w:r w:rsidR="00077B74">
        <w:t xml:space="preserve">largely </w:t>
      </w:r>
      <w:r w:rsidR="00B107A9">
        <w:t xml:space="preserve">limited to </w:t>
      </w:r>
      <w:r>
        <w:t>brownfield expansions rather than new greenfield projects. The</w:t>
      </w:r>
      <w:r w:rsidR="00274AD2">
        <w:t xml:space="preserve"> </w:t>
      </w:r>
      <w:r>
        <w:t xml:space="preserve">cost of </w:t>
      </w:r>
      <w:r w:rsidDel="000A599E">
        <w:t xml:space="preserve">utilising and/or </w:t>
      </w:r>
      <w:r>
        <w:t xml:space="preserve">expanding existing infrastructure capacity is expected to be more cost competitive than building new </w:t>
      </w:r>
      <w:r w:rsidR="00ED4A22">
        <w:t>capital intensive</w:t>
      </w:r>
      <w:r>
        <w:t xml:space="preserve"> projects</w:t>
      </w:r>
      <w:r w:rsidR="00974844">
        <w:t>,</w:t>
      </w:r>
      <w:r>
        <w:t xml:space="preserve"> </w:t>
      </w:r>
      <w:r w:rsidR="00461FD9">
        <w:t>particularly given that</w:t>
      </w:r>
      <w:r>
        <w:t xml:space="preserve"> the current phase of LNG project investment </w:t>
      </w:r>
      <w:r w:rsidR="00461FD9">
        <w:t xml:space="preserve">will </w:t>
      </w:r>
      <w:r>
        <w:t>fully transition to production over the next year or so.</w:t>
      </w:r>
    </w:p>
    <w:p w14:paraId="4177D039" w14:textId="4B238A46" w:rsidR="00AA7794" w:rsidRDefault="004C28BE" w:rsidP="004C28BE">
      <w:pPr>
        <w:pStyle w:val="Heading2"/>
      </w:pPr>
      <w:bookmarkStart w:id="3047" w:name="_Toc476577314"/>
      <w:bookmarkStart w:id="3048" w:name="_Toc476582302"/>
      <w:bookmarkStart w:id="3049" w:name="_Toc476582976"/>
      <w:bookmarkStart w:id="3050" w:name="_Toc476583693"/>
      <w:bookmarkStart w:id="3051" w:name="_Toc476584141"/>
      <w:bookmarkStart w:id="3052" w:name="_Toc476738047"/>
      <w:bookmarkStart w:id="3053" w:name="_Toc476747622"/>
      <w:bookmarkStart w:id="3054" w:name="_Toc476749030"/>
      <w:bookmarkStart w:id="3055" w:name="_Toc476753898"/>
      <w:bookmarkStart w:id="3056" w:name="_Toc476754393"/>
      <w:bookmarkStart w:id="3057" w:name="_Toc476754558"/>
      <w:bookmarkStart w:id="3058" w:name="_Toc476759794"/>
      <w:bookmarkStart w:id="3059" w:name="_Toc476761416"/>
      <w:bookmarkStart w:id="3060" w:name="_Toc476767054"/>
      <w:bookmarkStart w:id="3061" w:name="_Toc476827100"/>
      <w:bookmarkStart w:id="3062" w:name="_Toc476828793"/>
      <w:bookmarkStart w:id="3063" w:name="_Toc476833667"/>
      <w:bookmarkStart w:id="3064" w:name="_Toc476837140"/>
      <w:bookmarkStart w:id="3065" w:name="_Toc476841013"/>
      <w:bookmarkStart w:id="3066" w:name="_Toc476841218"/>
      <w:bookmarkStart w:id="3067" w:name="_Toc476841977"/>
      <w:bookmarkStart w:id="3068" w:name="_Toc476842921"/>
      <w:bookmarkStart w:id="3069" w:name="_Toc476843092"/>
      <w:bookmarkStart w:id="3070" w:name="_Toc476844590"/>
      <w:bookmarkStart w:id="3071" w:name="_Toc476845483"/>
      <w:bookmarkStart w:id="3072" w:name="_Toc476926874"/>
      <w:bookmarkStart w:id="3073" w:name="_Toc476926813"/>
      <w:bookmarkStart w:id="3074" w:name="_Toc476927161"/>
      <w:bookmarkStart w:id="3075" w:name="_Toc476928425"/>
      <w:bookmarkStart w:id="3076" w:name="_Toc476929468"/>
      <w:bookmarkStart w:id="3077" w:name="_Toc476929643"/>
      <w:bookmarkStart w:id="3078" w:name="_Toc476930686"/>
      <w:bookmarkStart w:id="3079" w:name="_Toc476931493"/>
      <w:bookmarkStart w:id="3080" w:name="_Toc477869863"/>
      <w:bookmarkStart w:id="3081" w:name="_Toc477871102"/>
      <w:bookmarkStart w:id="3082" w:name="_Toc477873261"/>
      <w:bookmarkStart w:id="3083" w:name="_Toc477875255"/>
      <w:bookmarkStart w:id="3084" w:name="_Toc477880168"/>
      <w:bookmarkStart w:id="3085" w:name="_Toc477881428"/>
      <w:bookmarkStart w:id="3086" w:name="_Toc477955832"/>
      <w:bookmarkStart w:id="3087" w:name="_Toc477963077"/>
      <w:bookmarkStart w:id="3088" w:name="_Toc477963563"/>
      <w:bookmarkStart w:id="3089" w:name="_Toc477965149"/>
      <w:bookmarkStart w:id="3090" w:name="_Toc477966653"/>
      <w:bookmarkStart w:id="3091" w:name="_Toc477966822"/>
      <w:bookmarkStart w:id="3092" w:name="_Toc477967162"/>
      <w:bookmarkStart w:id="3093" w:name="_Toc478121299"/>
      <w:bookmarkStart w:id="3094" w:name="_Toc478122212"/>
      <w:bookmarkStart w:id="3095" w:name="_Toc478132186"/>
      <w:bookmarkStart w:id="3096" w:name="_Toc478133212"/>
      <w:bookmarkStart w:id="3097" w:name="_Toc478132349"/>
      <w:bookmarkStart w:id="3098" w:name="_Toc478134678"/>
      <w:bookmarkStart w:id="3099" w:name="_Toc478137380"/>
      <w:bookmarkStart w:id="3100" w:name="_Toc478138452"/>
      <w:bookmarkStart w:id="3101" w:name="_Toc478140022"/>
      <w:bookmarkStart w:id="3102" w:name="_Toc478140438"/>
      <w:bookmarkStart w:id="3103" w:name="_Toc478142644"/>
      <w:bookmarkStart w:id="3104" w:name="_Toc478566360"/>
      <w:bookmarkStart w:id="3105" w:name="_Toc478569527"/>
      <w:bookmarkStart w:id="3106" w:name="_Toc478569701"/>
      <w:bookmarkStart w:id="3107" w:name="_Toc478570775"/>
      <w:bookmarkStart w:id="3108" w:name="_Toc478632974"/>
      <w:bookmarkStart w:id="3109" w:name="_Toc478641382"/>
      <w:bookmarkStart w:id="3110" w:name="_Toc478654276"/>
      <w:bookmarkStart w:id="3111" w:name="_Toc478654450"/>
      <w:bookmarkStart w:id="3112" w:name="_Toc478657745"/>
      <w:bookmarkStart w:id="3113" w:name="_Toc478993166"/>
      <w:bookmarkStart w:id="3114" w:name="_Toc479000237"/>
      <w:bookmarkStart w:id="3115" w:name="_Toc479002171"/>
      <w:bookmarkStart w:id="3116" w:name="_Toc479002343"/>
      <w:bookmarkStart w:id="3117" w:name="_Toc479254319"/>
      <w:bookmarkStart w:id="3118" w:name="_Toc479258508"/>
      <w:bookmarkStart w:id="3119" w:name="_Toc479258824"/>
      <w:bookmarkStart w:id="3120" w:name="_Toc479259716"/>
      <w:bookmarkStart w:id="3121" w:name="_Toc479262139"/>
      <w:bookmarkStart w:id="3122" w:name="_Toc479262560"/>
      <w:bookmarkStart w:id="3123" w:name="_Toc479321261"/>
      <w:bookmarkStart w:id="3124" w:name="_Toc479326700"/>
      <w:bookmarkStart w:id="3125" w:name="_Toc479333299"/>
      <w:bookmarkStart w:id="3126" w:name="_Toc479334996"/>
      <w:bookmarkStart w:id="3127" w:name="_Toc479341711"/>
      <w:bookmarkStart w:id="3128" w:name="_Toc479345127"/>
      <w:bookmarkStart w:id="3129" w:name="_Toc479345336"/>
      <w:bookmarkStart w:id="3130" w:name="_Toc479348317"/>
      <w:bookmarkStart w:id="3131" w:name="_Toc479675911"/>
      <w:bookmarkStart w:id="3132" w:name="_Toc479690878"/>
      <w:bookmarkStart w:id="3133" w:name="_Toc479693456"/>
      <w:bookmarkStart w:id="3134" w:name="_Toc479770625"/>
      <w:r>
        <w:t>1.4</w:t>
      </w:r>
      <w:r>
        <w:tab/>
        <w:t xml:space="preserve">Outlook for the Oil and Gas </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r w:rsidR="00284562">
        <w:t>Industry</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2C7BE21D" w14:textId="27724897" w:rsidR="00AA7794" w:rsidRDefault="004C28BE" w:rsidP="004C28BE">
      <w:pPr>
        <w:pStyle w:val="Heading3"/>
      </w:pPr>
      <w:bookmarkStart w:id="3135" w:name="_Toc476577315"/>
      <w:bookmarkStart w:id="3136" w:name="_Toc476582303"/>
      <w:bookmarkStart w:id="3137" w:name="_Toc476582977"/>
      <w:bookmarkStart w:id="3138" w:name="_Toc476583694"/>
      <w:bookmarkStart w:id="3139" w:name="_Toc476584142"/>
      <w:bookmarkStart w:id="3140" w:name="_Toc476738048"/>
      <w:bookmarkStart w:id="3141" w:name="_Toc476747623"/>
      <w:bookmarkStart w:id="3142" w:name="_Toc476749031"/>
      <w:bookmarkStart w:id="3143" w:name="_Toc476753899"/>
      <w:bookmarkStart w:id="3144" w:name="_Toc476754394"/>
      <w:bookmarkStart w:id="3145" w:name="_Toc476754559"/>
      <w:bookmarkStart w:id="3146" w:name="_Toc476759795"/>
      <w:bookmarkStart w:id="3147" w:name="_Toc476761417"/>
      <w:bookmarkStart w:id="3148" w:name="_Toc476767055"/>
      <w:bookmarkStart w:id="3149" w:name="_Toc476827101"/>
      <w:bookmarkStart w:id="3150" w:name="_Toc476828794"/>
      <w:bookmarkStart w:id="3151" w:name="_Toc476833668"/>
      <w:bookmarkStart w:id="3152" w:name="_Toc476837141"/>
      <w:bookmarkStart w:id="3153" w:name="_Toc476841014"/>
      <w:bookmarkStart w:id="3154" w:name="_Toc476841219"/>
      <w:bookmarkStart w:id="3155" w:name="_Toc476841978"/>
      <w:bookmarkStart w:id="3156" w:name="_Toc476842922"/>
      <w:bookmarkStart w:id="3157" w:name="_Toc476843093"/>
      <w:bookmarkStart w:id="3158" w:name="_Toc476844591"/>
      <w:bookmarkStart w:id="3159" w:name="_Toc476845484"/>
      <w:bookmarkStart w:id="3160" w:name="_Toc476926875"/>
      <w:bookmarkStart w:id="3161" w:name="_Toc476926814"/>
      <w:bookmarkStart w:id="3162" w:name="_Toc476927162"/>
      <w:bookmarkStart w:id="3163" w:name="_Toc476928426"/>
      <w:bookmarkStart w:id="3164" w:name="_Toc476929469"/>
      <w:bookmarkStart w:id="3165" w:name="_Toc476929644"/>
      <w:bookmarkStart w:id="3166" w:name="_Toc476930687"/>
      <w:bookmarkStart w:id="3167" w:name="_Toc476931494"/>
      <w:bookmarkStart w:id="3168" w:name="_Toc477869864"/>
      <w:bookmarkStart w:id="3169" w:name="_Toc477871103"/>
      <w:bookmarkStart w:id="3170" w:name="_Toc477873262"/>
      <w:bookmarkStart w:id="3171" w:name="_Toc477875256"/>
      <w:bookmarkStart w:id="3172" w:name="_Toc477880169"/>
      <w:bookmarkStart w:id="3173" w:name="_Toc477881429"/>
      <w:bookmarkStart w:id="3174" w:name="_Toc477955833"/>
      <w:bookmarkStart w:id="3175" w:name="_Toc477963078"/>
      <w:bookmarkStart w:id="3176" w:name="_Toc477963564"/>
      <w:bookmarkStart w:id="3177" w:name="_Toc477965150"/>
      <w:bookmarkStart w:id="3178" w:name="_Toc477966654"/>
      <w:bookmarkStart w:id="3179" w:name="_Toc477966823"/>
      <w:bookmarkStart w:id="3180" w:name="_Toc477967163"/>
      <w:bookmarkStart w:id="3181" w:name="_Toc478121300"/>
      <w:bookmarkStart w:id="3182" w:name="_Toc478122213"/>
      <w:bookmarkStart w:id="3183" w:name="_Toc478132187"/>
      <w:bookmarkStart w:id="3184" w:name="_Toc478133213"/>
      <w:bookmarkStart w:id="3185" w:name="_Toc478132350"/>
      <w:bookmarkStart w:id="3186" w:name="_Toc478134679"/>
      <w:bookmarkStart w:id="3187" w:name="_Toc478137381"/>
      <w:bookmarkStart w:id="3188" w:name="_Toc478138453"/>
      <w:bookmarkStart w:id="3189" w:name="_Toc478140023"/>
      <w:bookmarkStart w:id="3190" w:name="_Toc478140439"/>
      <w:bookmarkStart w:id="3191" w:name="_Toc478142645"/>
      <w:bookmarkStart w:id="3192" w:name="_Toc478566361"/>
      <w:bookmarkStart w:id="3193" w:name="_Toc478569528"/>
      <w:bookmarkStart w:id="3194" w:name="_Toc478569702"/>
      <w:bookmarkStart w:id="3195" w:name="_Toc478570776"/>
      <w:bookmarkStart w:id="3196" w:name="_Toc478632975"/>
      <w:bookmarkStart w:id="3197" w:name="_Toc478641383"/>
      <w:bookmarkStart w:id="3198" w:name="_Toc478654277"/>
      <w:bookmarkStart w:id="3199" w:name="_Toc478654451"/>
      <w:bookmarkStart w:id="3200" w:name="_Toc478657746"/>
      <w:bookmarkStart w:id="3201" w:name="_Toc478993167"/>
      <w:bookmarkStart w:id="3202" w:name="_Toc479000238"/>
      <w:bookmarkStart w:id="3203" w:name="_Toc479002172"/>
      <w:bookmarkStart w:id="3204" w:name="_Toc479002344"/>
      <w:bookmarkStart w:id="3205" w:name="_Toc479254320"/>
      <w:bookmarkStart w:id="3206" w:name="_Toc479258509"/>
      <w:bookmarkStart w:id="3207" w:name="_Toc479258825"/>
      <w:bookmarkStart w:id="3208" w:name="_Toc479259717"/>
      <w:bookmarkStart w:id="3209" w:name="_Toc479262140"/>
      <w:bookmarkStart w:id="3210" w:name="_Toc479262561"/>
      <w:bookmarkStart w:id="3211" w:name="_Toc479321262"/>
      <w:bookmarkStart w:id="3212" w:name="_Toc479326701"/>
      <w:bookmarkStart w:id="3213" w:name="_Toc479333300"/>
      <w:bookmarkStart w:id="3214" w:name="_Toc479334997"/>
      <w:bookmarkStart w:id="3215" w:name="_Toc479341712"/>
      <w:bookmarkStart w:id="3216" w:name="_Toc479345128"/>
      <w:bookmarkStart w:id="3217" w:name="_Toc479345337"/>
      <w:bookmarkStart w:id="3218" w:name="_Toc479348318"/>
      <w:bookmarkStart w:id="3219" w:name="_Toc479675912"/>
      <w:bookmarkStart w:id="3220" w:name="_Toc479690879"/>
      <w:bookmarkStart w:id="3221" w:name="_Toc479693457"/>
      <w:bookmarkStart w:id="3222" w:name="_Toc479770626"/>
      <w:r>
        <w:t>1.4.1</w:t>
      </w:r>
      <w:r>
        <w:tab/>
        <w:t xml:space="preserve">Oil and </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r w:rsidR="00486545">
        <w:t>gas p</w:t>
      </w:r>
      <w:r>
        <w:t>rices</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14:paraId="7F7D29B0" w14:textId="77777777" w:rsidR="00AA7794" w:rsidRDefault="00AA7794" w:rsidP="002E58C4">
      <w:r>
        <w:t>Fluctuations in oil and gas prices affect the global oil and gas industry in a variety ways. Historically, limited global oil supply has led to price shocks stimulating expenditure to expand supply and rebalance the market.</w:t>
      </w:r>
    </w:p>
    <w:p w14:paraId="7FB55073" w14:textId="2090F54D" w:rsidR="00AA7794" w:rsidRDefault="00AA7794" w:rsidP="002E58C4">
      <w:r>
        <w:t xml:space="preserve">The </w:t>
      </w:r>
      <w:r w:rsidDel="00560DF7">
        <w:t xml:space="preserve">recent </w:t>
      </w:r>
      <w:r>
        <w:t xml:space="preserve">fall in world oil prices largely reflects the strength of supply, particularly the rise in production of </w:t>
      </w:r>
      <w:r w:rsidR="005D6F39">
        <w:t>‘</w:t>
      </w:r>
      <w:r>
        <w:t>unconventional</w:t>
      </w:r>
      <w:r w:rsidR="005D6F39">
        <w:t>’</w:t>
      </w:r>
      <w:r>
        <w:t xml:space="preserve"> oil from the United States. The effect on prices was not immediate, but prices have fallen </w:t>
      </w:r>
      <w:r w:rsidR="00077B74">
        <w:t xml:space="preserve">significantly in recent years </w:t>
      </w:r>
      <w:r>
        <w:t xml:space="preserve">and investment in the oil and gas sector </w:t>
      </w:r>
      <w:r w:rsidR="00077B74">
        <w:t xml:space="preserve">has been </w:t>
      </w:r>
      <w:r>
        <w:t xml:space="preserve">curtailed. As shown </w:t>
      </w:r>
      <w:r w:rsidRPr="00633B5F">
        <w:t xml:space="preserve">in </w:t>
      </w:r>
      <w:r w:rsidRPr="007D4B54">
        <w:t xml:space="preserve">Figure </w:t>
      </w:r>
      <w:r w:rsidR="00920917" w:rsidRPr="007D4B54">
        <w:t>1.6</w:t>
      </w:r>
      <w:r>
        <w:t>, global oil prices rose steadily from around the early 2000s</w:t>
      </w:r>
      <w:r w:rsidR="00974844">
        <w:t>,</w:t>
      </w:r>
      <w:r>
        <w:t xml:space="preserve"> with some dips along the way before the sharp decline in prices that occurred from 2014.</w:t>
      </w:r>
    </w:p>
    <w:p w14:paraId="69DC5438" w14:textId="2B0A1AFB" w:rsidR="00AA7794" w:rsidRDefault="005A428C" w:rsidP="00221C2A">
      <w:pPr>
        <w:pStyle w:val="ChartMainHeading"/>
      </w:pPr>
      <w:r w:rsidRPr="007D4B54">
        <w:t>Figure</w:t>
      </w:r>
      <w:r w:rsidR="004C28BE" w:rsidRPr="007D4B54">
        <w:t xml:space="preserve"> </w:t>
      </w:r>
      <w:r w:rsidR="00920917" w:rsidRPr="007D4B54">
        <w:t>1.6</w:t>
      </w:r>
      <w:r w:rsidR="004C28BE" w:rsidRPr="000A2DD4">
        <w:t xml:space="preserve"> — </w:t>
      </w:r>
      <w:r w:rsidR="00AA7794" w:rsidRPr="000A2DD4">
        <w:t xml:space="preserve">Movements in the </w:t>
      </w:r>
      <w:r w:rsidR="00486545">
        <w:t>g</w:t>
      </w:r>
      <w:r w:rsidR="00AA7794" w:rsidRPr="000A2DD4">
        <w:t xml:space="preserve">lobal </w:t>
      </w:r>
      <w:r w:rsidR="00486545">
        <w:t>o</w:t>
      </w:r>
      <w:r w:rsidR="00AA7794" w:rsidRPr="000A2DD4">
        <w:t xml:space="preserve">il </w:t>
      </w:r>
      <w:r w:rsidR="00486545">
        <w:t>p</w:t>
      </w:r>
      <w:r w:rsidR="00AA7794" w:rsidRPr="000A2DD4">
        <w:t>rice</w:t>
      </w:r>
    </w:p>
    <w:p w14:paraId="0CB52029" w14:textId="140B31BA" w:rsidR="00CE26E6" w:rsidRDefault="00E714D1" w:rsidP="00EB04BF">
      <w:pPr>
        <w:pStyle w:val="TableGraphic"/>
        <w:rPr>
          <w:highlight w:val="green"/>
        </w:rPr>
      </w:pPr>
      <w:r>
        <w:rPr>
          <w:noProof/>
        </w:rPr>
        <w:object w:dxaOrig="8775" w:dyaOrig="4516" w14:anchorId="27B9CDDB">
          <v:shape id="_x0000_i1028" type="#_x0000_t75" alt="Figure 1.6 shows movements in the West Texas Intermediate and Brent oil prices from 1987 to 2015." style="width:439.5pt;height:227.25pt" o:ole="">
            <v:imagedata r:id="rId35" o:title=""/>
          </v:shape>
          <o:OLEObject Type="Link" ProgID="Excel.Sheet.12" ShapeID="_x0000_i1028" DrawAspect="Content" r:id="rId36" UpdateMode="Always">
            <o:LinkType>EnhancedMetaFile</o:LinkType>
            <o:LockedField>false</o:LockedField>
          </o:OLEObject>
        </w:object>
      </w:r>
    </w:p>
    <w:p w14:paraId="116DE3CB" w14:textId="67AA0DC7" w:rsidR="00AA7794" w:rsidRDefault="00AA7794" w:rsidP="00E714D1">
      <w:pPr>
        <w:pStyle w:val="ChartorTableNote"/>
      </w:pPr>
      <w:r w:rsidRPr="000A2DD4">
        <w:t>Source: US Energy Information Administration</w:t>
      </w:r>
      <w:r w:rsidR="00657AFB" w:rsidRPr="000A2DD4">
        <w:t>, 2017</w:t>
      </w:r>
      <w:r w:rsidR="000A2DD4">
        <w:t>.</w:t>
      </w:r>
    </w:p>
    <w:p w14:paraId="268C8584" w14:textId="77777777" w:rsidR="00E714D1" w:rsidRPr="00E714D1" w:rsidRDefault="00E714D1" w:rsidP="00E714D1">
      <w:pPr>
        <w:pStyle w:val="SingleParagraph"/>
      </w:pPr>
    </w:p>
    <w:p w14:paraId="3FC8AFB3" w14:textId="6E524BF2" w:rsidR="00AA7794" w:rsidRDefault="00AA7794" w:rsidP="002E58C4">
      <w:r>
        <w:t xml:space="preserve">As a net importer of oil, falling oil prices would be expected to </w:t>
      </w:r>
      <w:r w:rsidR="00461FD9">
        <w:t xml:space="preserve">contribute to </w:t>
      </w:r>
      <w:r>
        <w:t>a rise in Australia</w:t>
      </w:r>
      <w:r w:rsidR="005D6F39">
        <w:t>’</w:t>
      </w:r>
      <w:r>
        <w:t>s terms of trade</w:t>
      </w:r>
      <w:r w:rsidR="007F2EED">
        <w:t xml:space="preserve">, </w:t>
      </w:r>
      <w:r w:rsidR="007F3A46">
        <w:t>lower inflation and potentially net positive economic growth</w:t>
      </w:r>
      <w:r>
        <w:t xml:space="preserve">. However, this is offset to some degree by falling LNG prices, which are linked to the price of oil, </w:t>
      </w:r>
      <w:r w:rsidR="00A54DC2">
        <w:t>resulting in reduced</w:t>
      </w:r>
      <w:r w:rsidR="007F3A46">
        <w:t xml:space="preserve"> profits </w:t>
      </w:r>
      <w:r w:rsidR="00A54DC2">
        <w:t>that</w:t>
      </w:r>
      <w:r w:rsidR="007F3A46">
        <w:t xml:space="preserve"> will have an impact on government revenue</w:t>
      </w:r>
      <w:r>
        <w:t>.</w:t>
      </w:r>
    </w:p>
    <w:p w14:paraId="11092E69" w14:textId="05690EBD" w:rsidR="00AA7794" w:rsidRDefault="004C28BE" w:rsidP="004C28BE">
      <w:pPr>
        <w:pStyle w:val="Heading3"/>
      </w:pPr>
      <w:bookmarkStart w:id="3223" w:name="_Toc476577316"/>
      <w:bookmarkStart w:id="3224" w:name="_Toc476582304"/>
      <w:bookmarkStart w:id="3225" w:name="_Toc476582978"/>
      <w:bookmarkStart w:id="3226" w:name="_Toc476583695"/>
      <w:bookmarkStart w:id="3227" w:name="_Toc476584143"/>
      <w:bookmarkStart w:id="3228" w:name="_Toc476738049"/>
      <w:bookmarkStart w:id="3229" w:name="_Toc476747624"/>
      <w:bookmarkStart w:id="3230" w:name="_Toc476749032"/>
      <w:bookmarkStart w:id="3231" w:name="_Toc476753900"/>
      <w:bookmarkStart w:id="3232" w:name="_Toc476754395"/>
      <w:bookmarkStart w:id="3233" w:name="_Toc476754560"/>
      <w:bookmarkStart w:id="3234" w:name="_Toc476759796"/>
      <w:bookmarkStart w:id="3235" w:name="_Toc476761418"/>
      <w:bookmarkStart w:id="3236" w:name="_Toc476767056"/>
      <w:bookmarkStart w:id="3237" w:name="_Toc476827102"/>
      <w:bookmarkStart w:id="3238" w:name="_Toc476828795"/>
      <w:bookmarkStart w:id="3239" w:name="_Toc476833669"/>
      <w:bookmarkStart w:id="3240" w:name="_Toc476837142"/>
      <w:bookmarkStart w:id="3241" w:name="_Toc476841015"/>
      <w:bookmarkStart w:id="3242" w:name="_Toc476841220"/>
      <w:bookmarkStart w:id="3243" w:name="_Toc476841979"/>
      <w:bookmarkStart w:id="3244" w:name="_Toc476842923"/>
      <w:bookmarkStart w:id="3245" w:name="_Toc476843094"/>
      <w:bookmarkStart w:id="3246" w:name="_Toc476844592"/>
      <w:bookmarkStart w:id="3247" w:name="_Toc476845485"/>
      <w:bookmarkStart w:id="3248" w:name="_Toc476926876"/>
      <w:bookmarkStart w:id="3249" w:name="_Toc476926815"/>
      <w:bookmarkStart w:id="3250" w:name="_Toc476927163"/>
      <w:bookmarkStart w:id="3251" w:name="_Toc476928427"/>
      <w:bookmarkStart w:id="3252" w:name="_Toc476929470"/>
      <w:bookmarkStart w:id="3253" w:name="_Toc476929645"/>
      <w:bookmarkStart w:id="3254" w:name="_Toc476930688"/>
      <w:bookmarkStart w:id="3255" w:name="_Toc476931495"/>
      <w:bookmarkStart w:id="3256" w:name="_Toc477869865"/>
      <w:bookmarkStart w:id="3257" w:name="_Toc477871104"/>
      <w:bookmarkStart w:id="3258" w:name="_Toc477873263"/>
      <w:bookmarkStart w:id="3259" w:name="_Toc477875257"/>
      <w:bookmarkStart w:id="3260" w:name="_Toc477880170"/>
      <w:bookmarkStart w:id="3261" w:name="_Toc477881430"/>
      <w:bookmarkStart w:id="3262" w:name="_Toc477955834"/>
      <w:bookmarkStart w:id="3263" w:name="_Toc477963079"/>
      <w:bookmarkStart w:id="3264" w:name="_Toc477963565"/>
      <w:bookmarkStart w:id="3265" w:name="_Toc477965151"/>
      <w:bookmarkStart w:id="3266" w:name="_Toc477966655"/>
      <w:bookmarkStart w:id="3267" w:name="_Toc477966824"/>
      <w:bookmarkStart w:id="3268" w:name="_Toc477967164"/>
      <w:bookmarkStart w:id="3269" w:name="_Toc478121301"/>
      <w:bookmarkStart w:id="3270" w:name="_Toc478122214"/>
      <w:bookmarkStart w:id="3271" w:name="_Toc478132188"/>
      <w:bookmarkStart w:id="3272" w:name="_Toc478133214"/>
      <w:bookmarkStart w:id="3273" w:name="_Toc478132351"/>
      <w:bookmarkStart w:id="3274" w:name="_Toc478134680"/>
      <w:bookmarkStart w:id="3275" w:name="_Toc478137382"/>
      <w:bookmarkStart w:id="3276" w:name="_Toc478138454"/>
      <w:bookmarkStart w:id="3277" w:name="_Toc478140024"/>
      <w:bookmarkStart w:id="3278" w:name="_Toc478140440"/>
      <w:bookmarkStart w:id="3279" w:name="_Toc478142646"/>
      <w:bookmarkStart w:id="3280" w:name="_Toc478566362"/>
      <w:bookmarkStart w:id="3281" w:name="_Toc478569529"/>
      <w:bookmarkStart w:id="3282" w:name="_Toc478569703"/>
      <w:bookmarkStart w:id="3283" w:name="_Toc478570777"/>
      <w:bookmarkStart w:id="3284" w:name="_Toc478632976"/>
      <w:bookmarkStart w:id="3285" w:name="_Toc478641384"/>
      <w:bookmarkStart w:id="3286" w:name="_Toc478654278"/>
      <w:bookmarkStart w:id="3287" w:name="_Toc478654452"/>
      <w:bookmarkStart w:id="3288" w:name="_Toc478657747"/>
      <w:bookmarkStart w:id="3289" w:name="_Toc478993168"/>
      <w:bookmarkStart w:id="3290" w:name="_Toc479000239"/>
      <w:bookmarkStart w:id="3291" w:name="_Toc479002173"/>
      <w:bookmarkStart w:id="3292" w:name="_Toc479002345"/>
      <w:bookmarkStart w:id="3293" w:name="_Toc479254321"/>
      <w:bookmarkStart w:id="3294" w:name="_Toc479258510"/>
      <w:bookmarkStart w:id="3295" w:name="_Toc479258826"/>
      <w:bookmarkStart w:id="3296" w:name="_Toc479259718"/>
      <w:bookmarkStart w:id="3297" w:name="_Toc479262141"/>
      <w:bookmarkStart w:id="3298" w:name="_Toc479262562"/>
      <w:bookmarkStart w:id="3299" w:name="_Toc479321263"/>
      <w:bookmarkStart w:id="3300" w:name="_Toc479326702"/>
      <w:bookmarkStart w:id="3301" w:name="_Toc479333301"/>
      <w:bookmarkStart w:id="3302" w:name="_Toc479334998"/>
      <w:bookmarkStart w:id="3303" w:name="_Toc479341713"/>
      <w:bookmarkStart w:id="3304" w:name="_Toc479345129"/>
      <w:bookmarkStart w:id="3305" w:name="_Toc479345338"/>
      <w:bookmarkStart w:id="3306" w:name="_Toc479348319"/>
      <w:bookmarkStart w:id="3307" w:name="_Toc479675913"/>
      <w:bookmarkStart w:id="3308" w:name="_Toc479690880"/>
      <w:bookmarkStart w:id="3309" w:name="_Toc479693458"/>
      <w:bookmarkStart w:id="3310" w:name="_Toc479770627"/>
      <w:r>
        <w:t>1.4.2</w:t>
      </w:r>
      <w:r>
        <w:tab/>
        <w:t xml:space="preserve">LNG </w:t>
      </w:r>
      <w:r w:rsidR="00486545">
        <w:t>market structure</w:t>
      </w:r>
      <w:r>
        <w:t xml:space="preserve"> and </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r w:rsidR="00486545">
        <w:t>p</w:t>
      </w:r>
      <w:r>
        <w:t>ricing</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28CA37A8" w14:textId="5D5F55AD" w:rsidR="00AA7794" w:rsidRDefault="00AA7794" w:rsidP="002E58C4">
      <w:r>
        <w:t>The vast majority of Australian LNG is sold into the Asia Pacific market under long</w:t>
      </w:r>
      <w:r w:rsidR="005D6F39">
        <w:noBreakHyphen/>
      </w:r>
      <w:r>
        <w:t>term bilateral contracts, typically 15 to 20 years, which are linked to the price of oil. This provides producers with a level of certainty on the recovery of significant upfront LNG project investment</w:t>
      </w:r>
      <w:r w:rsidR="008950AD">
        <w:t>,</w:t>
      </w:r>
      <w:r>
        <w:t xml:space="preserve"> and is important to Asian purchasers in terms of long</w:t>
      </w:r>
      <w:r w:rsidR="005D6F39">
        <w:noBreakHyphen/>
      </w:r>
      <w:r>
        <w:t>term security of energy supply.</w:t>
      </w:r>
    </w:p>
    <w:p w14:paraId="70C5EBB0" w14:textId="4AC0CBEF" w:rsidR="00AA7794" w:rsidRDefault="00AA7794" w:rsidP="002E58C4">
      <w:r>
        <w:t>The oil price linkage in the Asia</w:t>
      </w:r>
      <w:r w:rsidR="008950AD">
        <w:t xml:space="preserve"> </w:t>
      </w:r>
      <w:r>
        <w:t>Pacific LNG market is long standing practice. It was established for Japan</w:t>
      </w:r>
      <w:r w:rsidR="005D6F39">
        <w:t>’</w:t>
      </w:r>
      <w:r>
        <w:t>s first LNG imports in the late 1960s when oil was a major competing fuel source for electricity generation</w:t>
      </w:r>
      <w:r w:rsidR="00461FD9">
        <w:t>. This linkage</w:t>
      </w:r>
      <w:r>
        <w:t xml:space="preserve"> has since been adopted by other Asian economies. This contrasts with the spot market pricing of natural gas in North America, and to a lesser extent Europe, where competing sources of gas (pipeline and LNG) are priced in hubs.</w:t>
      </w:r>
    </w:p>
    <w:p w14:paraId="73EFBFF6" w14:textId="67BAB5DD" w:rsidR="00AA7794" w:rsidRDefault="00AA7794" w:rsidP="002E58C4">
      <w:r>
        <w:t xml:space="preserve">While </w:t>
      </w:r>
      <w:r w:rsidR="00461FD9">
        <w:t xml:space="preserve">the exact terms of </w:t>
      </w:r>
      <w:r>
        <w:t>the oil price linkage in Asian LNG contracts is negotiated confidentially between buyers and sellers, it is commonly linked to the price of Japanese customs cleared crude oil. This reflects the average price of crude oil imported into Japan which closely correlates to the lagged price of Brent oil.</w:t>
      </w:r>
    </w:p>
    <w:p w14:paraId="4FA43854" w14:textId="0CF23EDE" w:rsidR="00AA7794" w:rsidRDefault="00AA7794" w:rsidP="002E58C4">
      <w:r>
        <w:t>Long</w:t>
      </w:r>
      <w:r w:rsidR="005D6F39">
        <w:noBreakHyphen/>
      </w:r>
      <w:r>
        <w:t>term contract price arrangements are often subject to periodic renegotiations which may occur through bilateral agreement or be triggered contractually by significant oil price movements. Some contracts also include a non</w:t>
      </w:r>
      <w:r w:rsidR="005D6F39">
        <w:noBreakHyphen/>
      </w:r>
      <w:r>
        <w:t>linear pric</w:t>
      </w:r>
      <w:r w:rsidR="00B76A41">
        <w:t xml:space="preserve">ing slope, referred to as an </w:t>
      </w:r>
      <w:r w:rsidR="005D6F39">
        <w:t>‘</w:t>
      </w:r>
      <w:r w:rsidR="00B76A41">
        <w:t>s</w:t>
      </w:r>
      <w:r w:rsidR="005D6F39">
        <w:noBreakHyphen/>
      </w:r>
      <w:r>
        <w:t>curve</w:t>
      </w:r>
      <w:r w:rsidR="005D6F39">
        <w:t>’</w:t>
      </w:r>
      <w:r>
        <w:t>. With an s</w:t>
      </w:r>
      <w:r w:rsidR="005D6F39">
        <w:noBreakHyphen/>
      </w:r>
      <w:r>
        <w:t>curve agreement, the sensitivity of LNG prices to oil price movements varies, protecting producers</w:t>
      </w:r>
      <w:r w:rsidR="005D6F39">
        <w:t>’</w:t>
      </w:r>
      <w:r>
        <w:t xml:space="preserve"> earnings at low levels of oil prices and limiting the impact on purchasers</w:t>
      </w:r>
      <w:r w:rsidR="005D6F39">
        <w:t>’</w:t>
      </w:r>
      <w:r>
        <w:t xml:space="preserve"> energy costs when oil prices are high.</w:t>
      </w:r>
    </w:p>
    <w:p w14:paraId="6A11C102" w14:textId="2A14D6EB" w:rsidR="00AA7794" w:rsidRDefault="00AA7794" w:rsidP="002E58C4">
      <w:r>
        <w:t>While the vast majority of Australia</w:t>
      </w:r>
      <w:r w:rsidR="005D6F39">
        <w:t>’</w:t>
      </w:r>
      <w:r>
        <w:t xml:space="preserve">s LNG production continues to </w:t>
      </w:r>
      <w:r w:rsidR="00011015">
        <w:t xml:space="preserve">be </w:t>
      </w:r>
      <w:r>
        <w:t>traded via long</w:t>
      </w:r>
      <w:r w:rsidR="005D6F39">
        <w:noBreakHyphen/>
      </w:r>
      <w:r>
        <w:t>term contracts, there has been an increase in shorter</w:t>
      </w:r>
      <w:r w:rsidR="005D6F39">
        <w:noBreakHyphen/>
      </w:r>
      <w:r>
        <w:t>term</w:t>
      </w:r>
      <w:r w:rsidR="00E714D1">
        <w:t xml:space="preserve"> LNG trade (that is, spot and short-</w:t>
      </w:r>
      <w:r>
        <w:t xml:space="preserve">term contract sales) globally. </w:t>
      </w:r>
      <w:r w:rsidR="00461FD9">
        <w:t xml:space="preserve">A key contributing factor is the </w:t>
      </w:r>
      <w:r>
        <w:t xml:space="preserve">greater flexibility </w:t>
      </w:r>
      <w:r w:rsidR="00E714D1">
        <w:t>that short-</w:t>
      </w:r>
      <w:r w:rsidR="004A51CB">
        <w:t>term</w:t>
      </w:r>
      <w:r>
        <w:t xml:space="preserve"> contracts </w:t>
      </w:r>
      <w:r w:rsidR="004A51CB">
        <w:t xml:space="preserve">can provide in terms of responding to changes in </w:t>
      </w:r>
      <w:r>
        <w:t>sources of supply and demand for LNG.</w:t>
      </w:r>
    </w:p>
    <w:p w14:paraId="46266968" w14:textId="31F1F3DE" w:rsidR="00AA7794" w:rsidRDefault="004C28BE" w:rsidP="004C28BE">
      <w:pPr>
        <w:pStyle w:val="Heading3"/>
      </w:pPr>
      <w:bookmarkStart w:id="3311" w:name="_Toc476577317"/>
      <w:bookmarkStart w:id="3312" w:name="_Toc476582305"/>
      <w:bookmarkStart w:id="3313" w:name="_Toc476582979"/>
      <w:bookmarkStart w:id="3314" w:name="_Toc476583696"/>
      <w:bookmarkStart w:id="3315" w:name="_Toc476584144"/>
      <w:bookmarkStart w:id="3316" w:name="_Toc476738050"/>
      <w:bookmarkStart w:id="3317" w:name="_Toc476747625"/>
      <w:bookmarkStart w:id="3318" w:name="_Toc476749033"/>
      <w:bookmarkStart w:id="3319" w:name="_Toc476753901"/>
      <w:bookmarkStart w:id="3320" w:name="_Toc476754396"/>
      <w:bookmarkStart w:id="3321" w:name="_Toc476754561"/>
      <w:bookmarkStart w:id="3322" w:name="_Toc476759797"/>
      <w:bookmarkStart w:id="3323" w:name="_Toc476761419"/>
      <w:bookmarkStart w:id="3324" w:name="_Toc476767057"/>
      <w:bookmarkStart w:id="3325" w:name="_Toc476827103"/>
      <w:bookmarkStart w:id="3326" w:name="_Toc476828796"/>
      <w:bookmarkStart w:id="3327" w:name="_Toc476833670"/>
      <w:bookmarkStart w:id="3328" w:name="_Toc476837143"/>
      <w:bookmarkStart w:id="3329" w:name="_Toc476841016"/>
      <w:bookmarkStart w:id="3330" w:name="_Toc476841221"/>
      <w:bookmarkStart w:id="3331" w:name="_Toc476841980"/>
      <w:bookmarkStart w:id="3332" w:name="_Toc476842924"/>
      <w:bookmarkStart w:id="3333" w:name="_Toc476843095"/>
      <w:bookmarkStart w:id="3334" w:name="_Toc476844593"/>
      <w:bookmarkStart w:id="3335" w:name="_Toc476845486"/>
      <w:bookmarkStart w:id="3336" w:name="_Toc476926877"/>
      <w:bookmarkStart w:id="3337" w:name="_Toc476926816"/>
      <w:bookmarkStart w:id="3338" w:name="_Toc476927164"/>
      <w:bookmarkStart w:id="3339" w:name="_Toc476928428"/>
      <w:bookmarkStart w:id="3340" w:name="_Toc476929471"/>
      <w:bookmarkStart w:id="3341" w:name="_Toc476929646"/>
      <w:bookmarkStart w:id="3342" w:name="_Toc476930689"/>
      <w:bookmarkStart w:id="3343" w:name="_Toc476931496"/>
      <w:bookmarkStart w:id="3344" w:name="_Toc477869866"/>
      <w:bookmarkStart w:id="3345" w:name="_Toc477871105"/>
      <w:bookmarkStart w:id="3346" w:name="_Toc477873264"/>
      <w:bookmarkStart w:id="3347" w:name="_Toc477875258"/>
      <w:bookmarkStart w:id="3348" w:name="_Toc477880171"/>
      <w:bookmarkStart w:id="3349" w:name="_Toc477881431"/>
      <w:bookmarkStart w:id="3350" w:name="_Toc477955835"/>
      <w:bookmarkStart w:id="3351" w:name="_Toc477963080"/>
      <w:bookmarkStart w:id="3352" w:name="_Toc477963566"/>
      <w:bookmarkStart w:id="3353" w:name="_Toc477965152"/>
      <w:bookmarkStart w:id="3354" w:name="_Toc477966656"/>
      <w:bookmarkStart w:id="3355" w:name="_Toc477966825"/>
      <w:bookmarkStart w:id="3356" w:name="_Toc477967165"/>
      <w:bookmarkStart w:id="3357" w:name="_Toc478121302"/>
      <w:bookmarkStart w:id="3358" w:name="_Toc478122215"/>
      <w:bookmarkStart w:id="3359" w:name="_Toc478132189"/>
      <w:bookmarkStart w:id="3360" w:name="_Toc478133215"/>
      <w:bookmarkStart w:id="3361" w:name="_Toc478132352"/>
      <w:bookmarkStart w:id="3362" w:name="_Toc478134681"/>
      <w:bookmarkStart w:id="3363" w:name="_Toc478137383"/>
      <w:bookmarkStart w:id="3364" w:name="_Toc478138455"/>
      <w:bookmarkStart w:id="3365" w:name="_Toc478140025"/>
      <w:bookmarkStart w:id="3366" w:name="_Toc478140441"/>
      <w:bookmarkStart w:id="3367" w:name="_Toc478142647"/>
      <w:bookmarkStart w:id="3368" w:name="_Toc478566363"/>
      <w:bookmarkStart w:id="3369" w:name="_Toc478569530"/>
      <w:bookmarkStart w:id="3370" w:name="_Toc478569704"/>
      <w:bookmarkStart w:id="3371" w:name="_Toc478570778"/>
      <w:bookmarkStart w:id="3372" w:name="_Toc478632977"/>
      <w:bookmarkStart w:id="3373" w:name="_Toc478641385"/>
      <w:bookmarkStart w:id="3374" w:name="_Toc478654279"/>
      <w:bookmarkStart w:id="3375" w:name="_Toc478654453"/>
      <w:bookmarkStart w:id="3376" w:name="_Toc478657748"/>
      <w:bookmarkStart w:id="3377" w:name="_Toc478993169"/>
      <w:bookmarkStart w:id="3378" w:name="_Toc479000240"/>
      <w:bookmarkStart w:id="3379" w:name="_Toc479002174"/>
      <w:bookmarkStart w:id="3380" w:name="_Toc479002346"/>
      <w:bookmarkStart w:id="3381" w:name="_Toc479254322"/>
      <w:bookmarkStart w:id="3382" w:name="_Toc479258511"/>
      <w:bookmarkStart w:id="3383" w:name="_Toc479258827"/>
      <w:bookmarkStart w:id="3384" w:name="_Toc479259719"/>
      <w:bookmarkStart w:id="3385" w:name="_Toc479262142"/>
      <w:bookmarkStart w:id="3386" w:name="_Toc479262563"/>
      <w:bookmarkStart w:id="3387" w:name="_Toc479321264"/>
      <w:bookmarkStart w:id="3388" w:name="_Toc479326703"/>
      <w:bookmarkStart w:id="3389" w:name="_Toc479333302"/>
      <w:bookmarkStart w:id="3390" w:name="_Toc479334999"/>
      <w:bookmarkStart w:id="3391" w:name="_Toc479341714"/>
      <w:bookmarkStart w:id="3392" w:name="_Toc479345130"/>
      <w:bookmarkStart w:id="3393" w:name="_Toc479345339"/>
      <w:bookmarkStart w:id="3394" w:name="_Toc479348320"/>
      <w:bookmarkStart w:id="3395" w:name="_Toc479675914"/>
      <w:bookmarkStart w:id="3396" w:name="_Toc479690881"/>
      <w:bookmarkStart w:id="3397" w:name="_Toc479693459"/>
      <w:bookmarkStart w:id="3398" w:name="_Toc479770628"/>
      <w:r>
        <w:t>1.4.3</w:t>
      </w:r>
      <w:r>
        <w:tab/>
        <w:t xml:space="preserve">Falling </w:t>
      </w:r>
      <w:r w:rsidR="00486545">
        <w:t>prices</w:t>
      </w:r>
      <w:r>
        <w:t xml:space="preserve"> and Australia</w:t>
      </w:r>
      <w:r w:rsidR="005D6F39">
        <w:t>’</w:t>
      </w:r>
      <w:r>
        <w:t xml:space="preserve">s LNG </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r w:rsidR="00486545">
        <w:t>i</w:t>
      </w:r>
      <w:r>
        <w:t>ndustry</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70D78981" w14:textId="10907A9F" w:rsidR="00AA7794" w:rsidRDefault="00481D07" w:rsidP="002E58C4">
      <w:r>
        <w:t>The investment decision for many of Australia</w:t>
      </w:r>
      <w:r w:rsidR="005D6F39">
        <w:t>’</w:t>
      </w:r>
      <w:r>
        <w:t xml:space="preserve">s major LNG projects was taken when oil and gas prices were </w:t>
      </w:r>
      <w:r w:rsidR="00284562">
        <w:t>high</w:t>
      </w:r>
      <w:r w:rsidR="00755941">
        <w:t xml:space="preserve">. </w:t>
      </w:r>
      <w:r>
        <w:t xml:space="preserve">Subsequent </w:t>
      </w:r>
      <w:r w:rsidR="00AA7794">
        <w:t>falls in global oil prices are affecting Australia</w:t>
      </w:r>
      <w:r w:rsidR="005D6F39">
        <w:t>’</w:t>
      </w:r>
      <w:r w:rsidR="00AA7794">
        <w:t>s LNG industry in a variety of ways</w:t>
      </w:r>
      <w:r>
        <w:t>, as are movements in the Australian dollar</w:t>
      </w:r>
      <w:r w:rsidR="00AA7794">
        <w:t>. Since the oil price began to fall in August 2014, the Asian LNG contract price has fallen at a similar rate with only a short lag due to the oil price linkage in most contracts. At the same time, the LNG spot price has also collapsed in line with contract prices, and as a result of the emerging excess supply capacity</w:t>
      </w:r>
      <w:r w:rsidR="00920917">
        <w:t xml:space="preserve"> </w:t>
      </w:r>
      <w:r w:rsidR="008950AD">
        <w:t>(</w:t>
      </w:r>
      <w:r w:rsidR="00920917">
        <w:t xml:space="preserve">see </w:t>
      </w:r>
      <w:r w:rsidR="00920917" w:rsidRPr="007D4B54">
        <w:t>Figure 1.7</w:t>
      </w:r>
      <w:r w:rsidR="00920917">
        <w:t xml:space="preserve"> below</w:t>
      </w:r>
      <w:r w:rsidR="008950AD">
        <w:t>)</w:t>
      </w:r>
      <w:r w:rsidR="00AA7794">
        <w:t>.</w:t>
      </w:r>
    </w:p>
    <w:p w14:paraId="30A9A87F" w14:textId="57812E20" w:rsidR="00AA7794" w:rsidRDefault="005A428C" w:rsidP="00221C2A">
      <w:pPr>
        <w:pStyle w:val="ChartMainHeading"/>
      </w:pPr>
      <w:r w:rsidRPr="007D4B54">
        <w:t>Figure</w:t>
      </w:r>
      <w:r w:rsidR="004C28BE" w:rsidRPr="007D4B54">
        <w:t xml:space="preserve"> </w:t>
      </w:r>
      <w:r w:rsidR="00920917" w:rsidRPr="007D4B54">
        <w:t>1.7</w:t>
      </w:r>
      <w:r w:rsidR="004C28BE" w:rsidRPr="007D4B54">
        <w:t xml:space="preserve"> — LNG </w:t>
      </w:r>
      <w:r w:rsidR="00455604" w:rsidRPr="007D4B54">
        <w:t>p</w:t>
      </w:r>
      <w:r w:rsidR="004C28BE" w:rsidRPr="007D4B54">
        <w:t xml:space="preserve">rice </w:t>
      </w:r>
      <w:r w:rsidR="00455604" w:rsidRPr="007D4B54">
        <w:t>i</w:t>
      </w:r>
      <w:r w:rsidR="00AA7794" w:rsidRPr="007D4B54">
        <w:t>ndices</w:t>
      </w:r>
    </w:p>
    <w:bookmarkStart w:id="3399" w:name="_1553413863"/>
    <w:bookmarkStart w:id="3400" w:name="_1553502181"/>
    <w:bookmarkEnd w:id="3399"/>
    <w:bookmarkEnd w:id="3400"/>
    <w:p w14:paraId="3D9A8FCA" w14:textId="03B9E20A" w:rsidR="00681FA0" w:rsidRDefault="00E714D1" w:rsidP="00933AEA">
      <w:pPr>
        <w:pStyle w:val="ChartGraphic"/>
        <w:rPr>
          <w:highlight w:val="green"/>
        </w:rPr>
      </w:pPr>
      <w:r>
        <w:rPr>
          <w:noProof/>
        </w:rPr>
        <w:object w:dxaOrig="8775" w:dyaOrig="4935" w14:anchorId="588CC7FE">
          <v:shape id="_x0000_i1029" type="#_x0000_t75" alt="Figure 1.7 shows four different LNG price indices (North East Asia Spot Price, Australian LNG to China, Australian LNG to Japan and Japanese Customs-cleared Crude). Since 2014, LNG prices have been declining." style="width:438.75pt;height:246.75pt" o:ole="">
            <v:imagedata r:id="rId37" o:title=""/>
          </v:shape>
          <o:OLEObject Type="Link" ProgID="Excel.Sheet.12" ShapeID="_x0000_i1029" DrawAspect="Content" r:id="rId38" UpdateMode="Always">
            <o:LinkType>EnhancedMetaFile</o:LinkType>
            <o:LockedField/>
          </o:OLEObject>
        </w:object>
      </w:r>
    </w:p>
    <w:p w14:paraId="7CFFE94B" w14:textId="46415DD2" w:rsidR="00AA7794" w:rsidRDefault="00AA7794" w:rsidP="00E714D1">
      <w:pPr>
        <w:pStyle w:val="ChartorTableNote"/>
      </w:pPr>
      <w:r w:rsidRPr="000A2DD4">
        <w:t xml:space="preserve">Source: </w:t>
      </w:r>
      <w:r w:rsidR="008E1EA6" w:rsidRPr="000A2DD4">
        <w:t>Department of Industry, Innovation and Science</w:t>
      </w:r>
      <w:r w:rsidRPr="000A2DD4">
        <w:t>, 201</w:t>
      </w:r>
      <w:r w:rsidR="00933AEA">
        <w:t>7</w:t>
      </w:r>
      <w:r w:rsidR="00455604">
        <w:t>.</w:t>
      </w:r>
    </w:p>
    <w:p w14:paraId="4D231A02" w14:textId="77777777" w:rsidR="00E714D1" w:rsidRPr="00E714D1" w:rsidRDefault="00E714D1" w:rsidP="00E714D1">
      <w:pPr>
        <w:pStyle w:val="SingleParagraph"/>
      </w:pPr>
    </w:p>
    <w:p w14:paraId="00A5E5C0" w14:textId="39FD73E0" w:rsidR="00AA7794" w:rsidRDefault="00AA7794" w:rsidP="002E58C4">
      <w:r>
        <w:t xml:space="preserve">Lower oil prices are impacting Australian LNG producers as they reduce the </w:t>
      </w:r>
      <w:r w:rsidR="008950AD">
        <w:t xml:space="preserve">cash flow and </w:t>
      </w:r>
      <w:r w:rsidR="004A51CB">
        <w:t>profitability</w:t>
      </w:r>
      <w:r>
        <w:t xml:space="preserve"> of projects, a number of which are already over budget. The challenge for many new Australian LNG projects is that cost overruns will have raised the </w:t>
      </w:r>
      <w:r w:rsidR="004A51CB">
        <w:t xml:space="preserve">profit </w:t>
      </w:r>
      <w:r>
        <w:t xml:space="preserve">breakeven point higher than </w:t>
      </w:r>
      <w:r w:rsidR="00284562">
        <w:t xml:space="preserve">it was </w:t>
      </w:r>
      <w:r>
        <w:t xml:space="preserve">when contracts were executed. Despite this, projects under construction are progressing to production, given capital investments and contractual obligations. </w:t>
      </w:r>
      <w:r w:rsidR="00065610">
        <w:t>A</w:t>
      </w:r>
      <w:r>
        <w:t xml:space="preserve"> </w:t>
      </w:r>
      <w:r w:rsidR="00065610">
        <w:t>lower</w:t>
      </w:r>
      <w:r>
        <w:t xml:space="preserve"> Australian dollar </w:t>
      </w:r>
      <w:r w:rsidR="00065610">
        <w:t xml:space="preserve">can </w:t>
      </w:r>
      <w:r>
        <w:t>cushion the impact of lower oil prices as contracts are almost uniformly priced in US dollars.</w:t>
      </w:r>
    </w:p>
    <w:p w14:paraId="3D55051F" w14:textId="7AF5C217" w:rsidR="00607474" w:rsidRDefault="00AA7794" w:rsidP="002E58C4">
      <w:r>
        <w:t>Over the medium term, lower oil prices will have broader effects on the LNG market. Producers</w:t>
      </w:r>
      <w:r w:rsidR="00011015">
        <w:t xml:space="preserve"> are expected to</w:t>
      </w:r>
      <w:r>
        <w:t xml:space="preserve"> focus on efficiency improvements and savings, but lower prices could also stimulate demand for LNG as its competitiveness against other fuels</w:t>
      </w:r>
      <w:r w:rsidR="008950AD">
        <w:t xml:space="preserve"> </w:t>
      </w:r>
      <w:r w:rsidR="00284562">
        <w:t>(</w:t>
      </w:r>
      <w:r>
        <w:t>excluding oil</w:t>
      </w:r>
      <w:r w:rsidR="00284562">
        <w:t>)</w:t>
      </w:r>
      <w:r>
        <w:t xml:space="preserve"> increases. </w:t>
      </w:r>
      <w:r w:rsidR="00065610">
        <w:t>If</w:t>
      </w:r>
      <w:r>
        <w:t xml:space="preserve"> competing projects yet to make a </w:t>
      </w:r>
      <w:r w:rsidR="000F33E2">
        <w:t>FID</w:t>
      </w:r>
      <w:r>
        <w:t xml:space="preserve"> are deferred or cancelled</w:t>
      </w:r>
      <w:r w:rsidR="00065610">
        <w:t>, this</w:t>
      </w:r>
      <w:r>
        <w:t xml:space="preserve"> may reduce competition in the medium to longer term.</w:t>
      </w:r>
    </w:p>
    <w:p w14:paraId="0073B48F" w14:textId="16D81476" w:rsidR="00481D07" w:rsidRDefault="00540CFF" w:rsidP="002E58C4">
      <w:r>
        <w:t>Further detail on the global LNG market and Australia</w:t>
      </w:r>
      <w:r w:rsidR="005D6F39">
        <w:t>’</w:t>
      </w:r>
      <w:r>
        <w:t xml:space="preserve">s domestic gas market is at </w:t>
      </w:r>
      <w:r w:rsidRPr="007D4B54">
        <w:t>Appendix</w:t>
      </w:r>
      <w:r w:rsidR="00755941" w:rsidRPr="007D4B54">
        <w:t> </w:t>
      </w:r>
      <w:r w:rsidR="009C065A" w:rsidRPr="007D4B54">
        <w:t>F</w:t>
      </w:r>
      <w:r w:rsidR="009C065A" w:rsidRPr="007D4B54">
        <w:rPr>
          <w:color w:val="auto"/>
        </w:rPr>
        <w:t>.</w:t>
      </w:r>
    </w:p>
    <w:p w14:paraId="30ECAE18" w14:textId="5994FD05" w:rsidR="00AA7794" w:rsidRDefault="004C28BE" w:rsidP="004C28BE">
      <w:pPr>
        <w:pStyle w:val="Heading2"/>
      </w:pPr>
      <w:bookmarkStart w:id="3401" w:name="_Toc476577320"/>
      <w:bookmarkStart w:id="3402" w:name="_Toc476582308"/>
      <w:bookmarkStart w:id="3403" w:name="_Toc476582982"/>
      <w:bookmarkStart w:id="3404" w:name="_Toc476583699"/>
      <w:bookmarkStart w:id="3405" w:name="_Toc476584147"/>
      <w:bookmarkStart w:id="3406" w:name="_Toc476738053"/>
      <w:bookmarkStart w:id="3407" w:name="_Toc476747628"/>
      <w:bookmarkStart w:id="3408" w:name="_Toc476749036"/>
      <w:bookmarkStart w:id="3409" w:name="_Toc476753904"/>
      <w:bookmarkStart w:id="3410" w:name="_Toc476754399"/>
      <w:bookmarkStart w:id="3411" w:name="_Toc476754564"/>
      <w:bookmarkStart w:id="3412" w:name="_Toc476759800"/>
      <w:bookmarkStart w:id="3413" w:name="_Toc476761422"/>
      <w:bookmarkStart w:id="3414" w:name="_Toc476767060"/>
      <w:bookmarkStart w:id="3415" w:name="_Toc476827106"/>
      <w:bookmarkStart w:id="3416" w:name="_Toc476828799"/>
      <w:bookmarkStart w:id="3417" w:name="_Toc476833673"/>
      <w:bookmarkStart w:id="3418" w:name="_Toc476837146"/>
      <w:bookmarkStart w:id="3419" w:name="_Toc476841019"/>
      <w:bookmarkStart w:id="3420" w:name="_Toc476841224"/>
      <w:bookmarkStart w:id="3421" w:name="_Toc476841983"/>
      <w:bookmarkStart w:id="3422" w:name="_Toc476842927"/>
      <w:bookmarkStart w:id="3423" w:name="_Toc476843098"/>
      <w:bookmarkStart w:id="3424" w:name="_Toc476844596"/>
      <w:bookmarkStart w:id="3425" w:name="_Toc476845489"/>
      <w:bookmarkStart w:id="3426" w:name="_Toc476926880"/>
      <w:bookmarkStart w:id="3427" w:name="_Toc476926819"/>
      <w:bookmarkStart w:id="3428" w:name="_Toc476927167"/>
      <w:bookmarkStart w:id="3429" w:name="_Toc476928431"/>
      <w:bookmarkStart w:id="3430" w:name="_Toc476929474"/>
      <w:bookmarkStart w:id="3431" w:name="_Toc476929649"/>
      <w:bookmarkStart w:id="3432" w:name="_Toc476930692"/>
      <w:bookmarkStart w:id="3433" w:name="_Toc476931499"/>
      <w:bookmarkStart w:id="3434" w:name="_Toc477869867"/>
      <w:bookmarkStart w:id="3435" w:name="_Toc477871106"/>
      <w:bookmarkStart w:id="3436" w:name="_Toc477873265"/>
      <w:bookmarkStart w:id="3437" w:name="_Toc477875259"/>
      <w:bookmarkStart w:id="3438" w:name="_Toc477880172"/>
      <w:bookmarkStart w:id="3439" w:name="_Toc477881432"/>
      <w:bookmarkStart w:id="3440" w:name="_Toc477955836"/>
      <w:bookmarkStart w:id="3441" w:name="_Toc477963081"/>
      <w:bookmarkStart w:id="3442" w:name="_Toc477963567"/>
      <w:bookmarkStart w:id="3443" w:name="_Toc477965153"/>
      <w:bookmarkStart w:id="3444" w:name="_Toc477966657"/>
      <w:bookmarkStart w:id="3445" w:name="_Toc477966826"/>
      <w:bookmarkStart w:id="3446" w:name="_Toc477967166"/>
      <w:bookmarkStart w:id="3447" w:name="_Toc478121303"/>
      <w:bookmarkStart w:id="3448" w:name="_Toc478122216"/>
      <w:bookmarkStart w:id="3449" w:name="_Toc478132190"/>
      <w:bookmarkStart w:id="3450" w:name="_Toc478133216"/>
      <w:bookmarkStart w:id="3451" w:name="_Toc478132353"/>
      <w:bookmarkStart w:id="3452" w:name="_Toc478134682"/>
      <w:bookmarkStart w:id="3453" w:name="_Toc478137384"/>
      <w:bookmarkStart w:id="3454" w:name="_Toc478138456"/>
      <w:bookmarkStart w:id="3455" w:name="_Toc478140026"/>
      <w:bookmarkStart w:id="3456" w:name="_Toc478140442"/>
      <w:bookmarkStart w:id="3457" w:name="_Toc478142648"/>
      <w:bookmarkStart w:id="3458" w:name="_Toc478566364"/>
      <w:bookmarkStart w:id="3459" w:name="_Toc478569531"/>
      <w:bookmarkStart w:id="3460" w:name="_Toc478569705"/>
      <w:bookmarkStart w:id="3461" w:name="_Toc478570779"/>
      <w:bookmarkStart w:id="3462" w:name="_Toc478632978"/>
      <w:bookmarkStart w:id="3463" w:name="_Toc478641386"/>
      <w:bookmarkStart w:id="3464" w:name="_Toc478654280"/>
      <w:bookmarkStart w:id="3465" w:name="_Toc478654454"/>
      <w:bookmarkStart w:id="3466" w:name="_Toc478657749"/>
      <w:bookmarkStart w:id="3467" w:name="_Toc478993170"/>
      <w:bookmarkStart w:id="3468" w:name="_Toc479000241"/>
      <w:bookmarkStart w:id="3469" w:name="_Toc479002175"/>
      <w:bookmarkStart w:id="3470" w:name="_Toc479002347"/>
      <w:bookmarkStart w:id="3471" w:name="_Toc479254323"/>
      <w:bookmarkStart w:id="3472" w:name="_Toc479258512"/>
      <w:bookmarkStart w:id="3473" w:name="_Toc479258828"/>
      <w:bookmarkStart w:id="3474" w:name="_Toc479259720"/>
      <w:bookmarkStart w:id="3475" w:name="_Toc479262143"/>
      <w:bookmarkStart w:id="3476" w:name="_Toc479262564"/>
      <w:bookmarkStart w:id="3477" w:name="_Toc479321265"/>
      <w:bookmarkStart w:id="3478" w:name="_Toc479326704"/>
      <w:bookmarkStart w:id="3479" w:name="_Toc479333303"/>
      <w:bookmarkStart w:id="3480" w:name="_Toc479335000"/>
      <w:bookmarkStart w:id="3481" w:name="_Toc479341715"/>
      <w:bookmarkStart w:id="3482" w:name="_Toc479345131"/>
      <w:bookmarkStart w:id="3483" w:name="_Toc479345340"/>
      <w:bookmarkStart w:id="3484" w:name="_Toc479348321"/>
      <w:bookmarkStart w:id="3485" w:name="_Toc479675915"/>
      <w:bookmarkStart w:id="3486" w:name="_Toc479690882"/>
      <w:bookmarkStart w:id="3487" w:name="_Toc479693460"/>
      <w:bookmarkStart w:id="3488" w:name="_Toc479770629"/>
      <w:r>
        <w:t>1.5</w:t>
      </w:r>
      <w:r>
        <w:tab/>
        <w:t>Determinants of Oil and Gas Exploration and Development in Australia</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6BD1C554" w14:textId="48FF12AE" w:rsidR="00AA7794" w:rsidRDefault="00AA7794" w:rsidP="002E58C4">
      <w:r>
        <w:t xml:space="preserve">A number of factors determine the destination, timing and extent of investment in oil and gas exploration and development in Australia and globally. </w:t>
      </w:r>
      <w:r w:rsidR="00284562">
        <w:t>P</w:t>
      </w:r>
      <w:r>
        <w:t>revailing market condition</w:t>
      </w:r>
      <w:r w:rsidR="00284562">
        <w:t>s</w:t>
      </w:r>
      <w:r>
        <w:t xml:space="preserve"> </w:t>
      </w:r>
      <w:r w:rsidR="00284562">
        <w:t>are</w:t>
      </w:r>
      <w:r>
        <w:t xml:space="preserve"> the single most important factor</w:t>
      </w:r>
      <w:r w:rsidR="00011015">
        <w:t>,</w:t>
      </w:r>
      <w:r>
        <w:t xml:space="preserve"> particularly with respect to the timing and extent of investment, while country specific conditions have a major bearing on the choice of investment destination by </w:t>
      </w:r>
      <w:r w:rsidR="008950AD">
        <w:t>multi</w:t>
      </w:r>
      <w:r>
        <w:t>national oil and gas companies.</w:t>
      </w:r>
    </w:p>
    <w:p w14:paraId="698C229F" w14:textId="6D28EED0" w:rsidR="00AA7794" w:rsidRDefault="004C28BE" w:rsidP="004C28BE">
      <w:pPr>
        <w:pStyle w:val="Heading3"/>
      </w:pPr>
      <w:bookmarkStart w:id="3489" w:name="_Toc476577321"/>
      <w:bookmarkStart w:id="3490" w:name="_Toc476582309"/>
      <w:bookmarkStart w:id="3491" w:name="_Toc476582983"/>
      <w:bookmarkStart w:id="3492" w:name="_Toc476583700"/>
      <w:bookmarkStart w:id="3493" w:name="_Toc476584148"/>
      <w:bookmarkStart w:id="3494" w:name="_Toc476738054"/>
      <w:bookmarkStart w:id="3495" w:name="_Toc476747629"/>
      <w:bookmarkStart w:id="3496" w:name="_Toc476749037"/>
      <w:bookmarkStart w:id="3497" w:name="_Toc476753905"/>
      <w:bookmarkStart w:id="3498" w:name="_Toc476754400"/>
      <w:bookmarkStart w:id="3499" w:name="_Toc476754565"/>
      <w:bookmarkStart w:id="3500" w:name="_Toc476759801"/>
      <w:bookmarkStart w:id="3501" w:name="_Toc476761423"/>
      <w:bookmarkStart w:id="3502" w:name="_Toc476767061"/>
      <w:bookmarkStart w:id="3503" w:name="_Toc476827107"/>
      <w:bookmarkStart w:id="3504" w:name="_Toc476828800"/>
      <w:bookmarkStart w:id="3505" w:name="_Toc476833674"/>
      <w:bookmarkStart w:id="3506" w:name="_Toc476837147"/>
      <w:bookmarkStart w:id="3507" w:name="_Toc476841020"/>
      <w:bookmarkStart w:id="3508" w:name="_Toc476841225"/>
      <w:bookmarkStart w:id="3509" w:name="_Toc476841984"/>
      <w:bookmarkStart w:id="3510" w:name="_Toc476842928"/>
      <w:bookmarkStart w:id="3511" w:name="_Toc476843099"/>
      <w:bookmarkStart w:id="3512" w:name="_Toc476844597"/>
      <w:bookmarkStart w:id="3513" w:name="_Toc476845490"/>
      <w:bookmarkStart w:id="3514" w:name="_Toc476926881"/>
      <w:bookmarkStart w:id="3515" w:name="_Toc476926820"/>
      <w:bookmarkStart w:id="3516" w:name="_Toc476927168"/>
      <w:bookmarkStart w:id="3517" w:name="_Toc476928432"/>
      <w:bookmarkStart w:id="3518" w:name="_Toc476929475"/>
      <w:bookmarkStart w:id="3519" w:name="_Toc476929650"/>
      <w:bookmarkStart w:id="3520" w:name="_Toc476930693"/>
      <w:bookmarkStart w:id="3521" w:name="_Toc476931500"/>
      <w:bookmarkStart w:id="3522" w:name="_Toc477869868"/>
      <w:bookmarkStart w:id="3523" w:name="_Toc477871107"/>
      <w:bookmarkStart w:id="3524" w:name="_Toc477873266"/>
      <w:bookmarkStart w:id="3525" w:name="_Toc477875260"/>
      <w:bookmarkStart w:id="3526" w:name="_Toc477880173"/>
      <w:bookmarkStart w:id="3527" w:name="_Toc477881433"/>
      <w:bookmarkStart w:id="3528" w:name="_Toc477955837"/>
      <w:bookmarkStart w:id="3529" w:name="_Toc477963082"/>
      <w:bookmarkStart w:id="3530" w:name="_Toc477963568"/>
      <w:bookmarkStart w:id="3531" w:name="_Toc477965154"/>
      <w:bookmarkStart w:id="3532" w:name="_Toc477966658"/>
      <w:bookmarkStart w:id="3533" w:name="_Toc477966827"/>
      <w:bookmarkStart w:id="3534" w:name="_Toc477967167"/>
      <w:bookmarkStart w:id="3535" w:name="_Toc478121304"/>
      <w:bookmarkStart w:id="3536" w:name="_Toc478122217"/>
      <w:bookmarkStart w:id="3537" w:name="_Toc478132191"/>
      <w:bookmarkStart w:id="3538" w:name="_Toc478133217"/>
      <w:bookmarkStart w:id="3539" w:name="_Toc478132354"/>
      <w:bookmarkStart w:id="3540" w:name="_Toc478134683"/>
      <w:bookmarkStart w:id="3541" w:name="_Toc478137385"/>
      <w:bookmarkStart w:id="3542" w:name="_Toc478138457"/>
      <w:bookmarkStart w:id="3543" w:name="_Toc478140027"/>
      <w:bookmarkStart w:id="3544" w:name="_Toc478140443"/>
      <w:bookmarkStart w:id="3545" w:name="_Toc478142649"/>
      <w:bookmarkStart w:id="3546" w:name="_Toc478566365"/>
      <w:bookmarkStart w:id="3547" w:name="_Toc478569532"/>
      <w:bookmarkStart w:id="3548" w:name="_Toc478569706"/>
      <w:bookmarkStart w:id="3549" w:name="_Toc478570780"/>
      <w:bookmarkStart w:id="3550" w:name="_Toc478632979"/>
      <w:bookmarkStart w:id="3551" w:name="_Toc478641387"/>
      <w:bookmarkStart w:id="3552" w:name="_Toc478654281"/>
      <w:bookmarkStart w:id="3553" w:name="_Toc478654455"/>
      <w:bookmarkStart w:id="3554" w:name="_Toc478657750"/>
      <w:bookmarkStart w:id="3555" w:name="_Toc478993171"/>
      <w:bookmarkStart w:id="3556" w:name="_Toc479000242"/>
      <w:bookmarkStart w:id="3557" w:name="_Toc479002176"/>
      <w:bookmarkStart w:id="3558" w:name="_Toc479002348"/>
      <w:bookmarkStart w:id="3559" w:name="_Toc479254324"/>
      <w:bookmarkStart w:id="3560" w:name="_Toc479258513"/>
      <w:bookmarkStart w:id="3561" w:name="_Toc479258829"/>
      <w:bookmarkStart w:id="3562" w:name="_Toc479259721"/>
      <w:bookmarkStart w:id="3563" w:name="_Toc479262144"/>
      <w:bookmarkStart w:id="3564" w:name="_Toc479262565"/>
      <w:bookmarkStart w:id="3565" w:name="_Toc479321266"/>
      <w:bookmarkStart w:id="3566" w:name="_Toc479326705"/>
      <w:bookmarkStart w:id="3567" w:name="_Toc479333304"/>
      <w:bookmarkStart w:id="3568" w:name="_Toc479335001"/>
      <w:bookmarkStart w:id="3569" w:name="_Toc479341716"/>
      <w:bookmarkStart w:id="3570" w:name="_Toc479345132"/>
      <w:bookmarkStart w:id="3571" w:name="_Toc479345341"/>
      <w:bookmarkStart w:id="3572" w:name="_Toc479348322"/>
      <w:bookmarkStart w:id="3573" w:name="_Toc479675916"/>
      <w:bookmarkStart w:id="3574" w:name="_Toc479690883"/>
      <w:bookmarkStart w:id="3575" w:name="_Toc479693461"/>
      <w:bookmarkStart w:id="3576" w:name="_Toc479770630"/>
      <w:r>
        <w:t>1.5.1</w:t>
      </w:r>
      <w:r>
        <w:tab/>
        <w:t xml:space="preserve">Exploration </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rsidR="00B34ABB">
        <w:t>i</w:t>
      </w:r>
      <w:r>
        <w:t>nfluences</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4F9ADE4C" w14:textId="35DBFE4F" w:rsidR="00AA7794" w:rsidRDefault="00AA7794" w:rsidP="002E58C4">
      <w:r>
        <w:t>The Australian Government administers policy which encourages petroleum exploration in Australia</w:t>
      </w:r>
      <w:r w:rsidR="005D6F39">
        <w:t>’</w:t>
      </w:r>
      <w:r>
        <w:t>s offshore areas. Underpinning this is the Government</w:t>
      </w:r>
      <w:r w:rsidR="005D6F39">
        <w:t>’</w:t>
      </w:r>
      <w:r>
        <w:t>s annual release of offshore petroleum acreage. All released areas are supported by pre</w:t>
      </w:r>
      <w:r w:rsidR="005D6F39">
        <w:noBreakHyphen/>
      </w:r>
      <w:r>
        <w:t>competitive geological and geophysical data and analysis undertaken by Geoscience Australia</w:t>
      </w:r>
      <w:r w:rsidR="008950AD">
        <w:t>,</w:t>
      </w:r>
      <w:r>
        <w:t xml:space="preserve"> which aims to reduce exploration uncertainties and promote prospectivity.</w:t>
      </w:r>
    </w:p>
    <w:p w14:paraId="52161689" w14:textId="5C17572A" w:rsidR="00AD15C6" w:rsidRDefault="00AA7794" w:rsidP="002E58C4">
      <w:r>
        <w:t>Work program bidding is predominantly used by the Joint Authority</w:t>
      </w:r>
      <w:r w:rsidR="00EF2472">
        <w:rPr>
          <w:rStyle w:val="FootnoteReference"/>
        </w:rPr>
        <w:footnoteReference w:id="2"/>
      </w:r>
      <w:r>
        <w:t xml:space="preserve"> to award exploration permits to the applicant who proposes the optimal exploration strategy and work program, demonstrates technical and financial capacity and has a record of past performance. Some exploration permits may also be awarded via cash bidding</w:t>
      </w:r>
      <w:r w:rsidR="00011015">
        <w:t>,</w:t>
      </w:r>
      <w:r>
        <w:t xml:space="preserve"> which the Australian Government reintroduced from 2014 to cover selected known and mature areas and as an efficient means of preventing over exploration in these areas.</w:t>
      </w:r>
    </w:p>
    <w:p w14:paraId="355BBBA4" w14:textId="71663846" w:rsidR="00561F32" w:rsidRDefault="003B3BF0" w:rsidP="00561F32">
      <w:r>
        <w:t>Market conditions, however, are a predominant influence on investment cycles in petroleum exploration in Australia and globally</w:t>
      </w:r>
      <w:r w:rsidR="00C82A60">
        <w:t>.</w:t>
      </w:r>
      <w:r>
        <w:t xml:space="preserve"> In a</w:t>
      </w:r>
      <w:r w:rsidR="00520BBB">
        <w:t>d</w:t>
      </w:r>
      <w:r>
        <w:t>dition, e</w:t>
      </w:r>
      <w:r w:rsidR="00AA7794">
        <w:t>fficient</w:t>
      </w:r>
      <w:r w:rsidR="00AD15C6">
        <w:t>,</w:t>
      </w:r>
      <w:r w:rsidR="00AA7794">
        <w:t xml:space="preserve"> effective </w:t>
      </w:r>
      <w:r w:rsidR="00AD15C6">
        <w:t xml:space="preserve">and stable </w:t>
      </w:r>
      <w:r w:rsidR="00AA7794">
        <w:t xml:space="preserve">regulatory and fiscal frameworks are </w:t>
      </w:r>
      <w:r w:rsidR="0086509A">
        <w:t>a</w:t>
      </w:r>
      <w:r w:rsidR="000E0C06">
        <w:t>n important</w:t>
      </w:r>
      <w:r w:rsidR="0086509A" w:rsidDel="000E0C06">
        <w:t xml:space="preserve"> </w:t>
      </w:r>
      <w:r w:rsidR="0086509A">
        <w:t xml:space="preserve">influence on </w:t>
      </w:r>
      <w:r w:rsidR="00AA7794">
        <w:t xml:space="preserve">exploration </w:t>
      </w:r>
      <w:r w:rsidR="0086509A">
        <w:t>activity.</w:t>
      </w:r>
      <w:r w:rsidR="00AD15C6">
        <w:t xml:space="preserve"> </w:t>
      </w:r>
      <w:r w:rsidR="00561F32">
        <w:t xml:space="preserve">The Productivity Commission </w:t>
      </w:r>
      <w:r w:rsidR="0086509A" w:rsidRPr="00112013">
        <w:t>h</w:t>
      </w:r>
      <w:r w:rsidR="0086509A" w:rsidRPr="00C82A60">
        <w:t>as</w:t>
      </w:r>
      <w:r w:rsidR="0086509A">
        <w:rPr>
          <w:i/>
        </w:rPr>
        <w:t xml:space="preserve"> </w:t>
      </w:r>
      <w:r w:rsidR="00561F32">
        <w:t>highlighted the influence of market conditions and regulatory settings:</w:t>
      </w:r>
    </w:p>
    <w:p w14:paraId="6C4AE440" w14:textId="27EF0FA0" w:rsidR="00561F32" w:rsidRPr="00EB08B3" w:rsidRDefault="00561F32" w:rsidP="00EB08B3">
      <w:pPr>
        <w:ind w:left="567" w:right="565"/>
        <w:rPr>
          <w:color w:val="1F497D" w:themeColor="text2"/>
          <w:sz w:val="20"/>
        </w:rPr>
      </w:pPr>
      <w:r w:rsidRPr="00F92CEC">
        <w:rPr>
          <w:color w:val="1F497D" w:themeColor="text2"/>
          <w:sz w:val="20"/>
        </w:rPr>
        <w:t>The commercial viability of investing in the upstream petroleum sector is heavily influenced by the end product prices and overall costs. Oil and gas prices are volatile and hard to predict in the longer term. Governments cannot change some negative influences, such as low oil prospectivity and geographical remoteness. On the other hand, improving regulatory performance can be a key to reducing regulatory costs and offsetting those adverse influences on investment ret</w:t>
      </w:r>
      <w:r w:rsidR="00EB08B3">
        <w:rPr>
          <w:color w:val="1F497D" w:themeColor="text2"/>
          <w:sz w:val="20"/>
        </w:rPr>
        <w:t xml:space="preserve">urns in the sector in Australia </w:t>
      </w:r>
      <w:r w:rsidR="00EB08B3" w:rsidRPr="009C065A">
        <w:rPr>
          <w:color w:val="1F497D" w:themeColor="text2"/>
          <w:sz w:val="20"/>
        </w:rPr>
        <w:t>(Productivity Commission, 2009, p. 224)</w:t>
      </w:r>
      <w:r w:rsidR="00EB08B3">
        <w:rPr>
          <w:color w:val="1F497D" w:themeColor="text2"/>
          <w:sz w:val="20"/>
        </w:rPr>
        <w:t>.</w:t>
      </w:r>
    </w:p>
    <w:p w14:paraId="1C6C2B0F" w14:textId="549F109D" w:rsidR="00E04669" w:rsidRDefault="001B286D" w:rsidP="00E04669">
      <w:pPr>
        <w:rPr>
          <w:highlight w:val="yellow"/>
        </w:rPr>
      </w:pPr>
      <w:r>
        <w:t xml:space="preserve">The influence of market conditions on </w:t>
      </w:r>
      <w:r w:rsidR="00AA7794">
        <w:t>exploration expenditure in Australia has been highlighted by the recent fall in Australia</w:t>
      </w:r>
      <w:r w:rsidR="005D6F39">
        <w:t>’</w:t>
      </w:r>
      <w:r w:rsidR="00AA7794">
        <w:t>s petroleum exploration expenditure which recorded its largest ever annual decrease in 2015, falling by 42</w:t>
      </w:r>
      <w:r w:rsidR="00915650">
        <w:t> </w:t>
      </w:r>
      <w:r w:rsidR="00AA7794">
        <w:t>per</w:t>
      </w:r>
      <w:r w:rsidR="00915650">
        <w:t> </w:t>
      </w:r>
      <w:r w:rsidR="00AA7794">
        <w:t>cent to $2.7 billion (</w:t>
      </w:r>
      <w:r w:rsidR="00AA7794" w:rsidRPr="009C065A">
        <w:t>A</w:t>
      </w:r>
      <w:r w:rsidR="005B47EA" w:rsidRPr="009C065A">
        <w:t xml:space="preserve">ustralian </w:t>
      </w:r>
      <w:r w:rsidR="00AA7794" w:rsidRPr="009C065A">
        <w:t>B</w:t>
      </w:r>
      <w:r w:rsidR="005B47EA" w:rsidRPr="009C065A">
        <w:t xml:space="preserve">ureau of </w:t>
      </w:r>
      <w:r w:rsidR="00AA7794" w:rsidRPr="009C065A">
        <w:t>S</w:t>
      </w:r>
      <w:r w:rsidR="005B47EA" w:rsidRPr="009C065A">
        <w:t>tatistics</w:t>
      </w:r>
      <w:r w:rsidR="00C82A60" w:rsidRPr="009C065A">
        <w:t>, 2016</w:t>
      </w:r>
      <w:r w:rsidR="00AA7794">
        <w:t xml:space="preserve">). Both onshore and offshore exploration in Australia recorded sharp declines. The main contributing factors include low </w:t>
      </w:r>
      <w:r>
        <w:t>oil</w:t>
      </w:r>
      <w:r w:rsidR="00AA7794">
        <w:t xml:space="preserve"> prices and expectations of further strong future supply growth. </w:t>
      </w:r>
      <w:r w:rsidR="005A428C" w:rsidRPr="007D4B54">
        <w:t>Figure</w:t>
      </w:r>
      <w:r w:rsidR="00AA7794" w:rsidRPr="007D4B54">
        <w:t xml:space="preserve"> </w:t>
      </w:r>
      <w:r w:rsidR="00920917" w:rsidRPr="007D4B54">
        <w:t>1.8</w:t>
      </w:r>
      <w:r w:rsidR="00AA7794">
        <w:t xml:space="preserve"> </w:t>
      </w:r>
      <w:r w:rsidR="00915650">
        <w:t>illustrates</w:t>
      </w:r>
      <w:r w:rsidR="00AA7794">
        <w:t xml:space="preserve"> the strong correlation between petroleum </w:t>
      </w:r>
      <w:r w:rsidR="0059730C">
        <w:t>exploration</w:t>
      </w:r>
      <w:r w:rsidR="00AA7794">
        <w:t xml:space="preserve"> expenditure and the oil price with a small time lag</w:t>
      </w:r>
      <w:r w:rsidR="00666DD8">
        <w:t xml:space="preserve">, </w:t>
      </w:r>
      <w:r w:rsidR="00AA7794">
        <w:t xml:space="preserve">typically around </w:t>
      </w:r>
      <w:r w:rsidR="00332EB7">
        <w:t>one</w:t>
      </w:r>
      <w:r w:rsidR="00AA7794">
        <w:t xml:space="preserve"> year.</w:t>
      </w:r>
    </w:p>
    <w:p w14:paraId="3443A19F" w14:textId="2D86D0FB" w:rsidR="00AA7794" w:rsidRDefault="004C28BE" w:rsidP="00221C2A">
      <w:pPr>
        <w:pStyle w:val="ChartMainHeading"/>
      </w:pPr>
      <w:r w:rsidRPr="009C065A">
        <w:t xml:space="preserve">Figure </w:t>
      </w:r>
      <w:r w:rsidR="00920917">
        <w:t>1.8</w:t>
      </w:r>
      <w:r w:rsidRPr="009C065A">
        <w:t xml:space="preserve"> — Australia</w:t>
      </w:r>
      <w:r w:rsidR="005D6F39">
        <w:t>’</w:t>
      </w:r>
      <w:r w:rsidRPr="009C065A">
        <w:t xml:space="preserve">s </w:t>
      </w:r>
      <w:r w:rsidR="00B34ABB">
        <w:t>petroleum exploration e</w:t>
      </w:r>
      <w:r w:rsidR="00AA7794" w:rsidRPr="009C065A">
        <w:t xml:space="preserve">xpenditure and </w:t>
      </w:r>
      <w:r w:rsidR="00B34ABB">
        <w:t>o</w:t>
      </w:r>
      <w:r w:rsidR="00AA7794" w:rsidRPr="009C065A">
        <w:t xml:space="preserve">il </w:t>
      </w:r>
      <w:r w:rsidR="00B34ABB">
        <w:t>p</w:t>
      </w:r>
      <w:r w:rsidR="00AA7794" w:rsidRPr="009C065A">
        <w:t>rice</w:t>
      </w:r>
    </w:p>
    <w:p w14:paraId="0C2A112C" w14:textId="6764681F" w:rsidR="00CE26E6" w:rsidRDefault="007A5E75" w:rsidP="007A5E75">
      <w:pPr>
        <w:pStyle w:val="ChartGraphic"/>
        <w:rPr>
          <w:highlight w:val="green"/>
        </w:rPr>
      </w:pPr>
      <w:r>
        <w:rPr>
          <w:highlight w:val="green"/>
        </w:rPr>
        <w:fldChar w:fldCharType="begin"/>
      </w:r>
      <w:r>
        <w:rPr>
          <w:highlight w:val="green"/>
        </w:rPr>
        <w:instrText xml:space="preserve"> LINK Excel.Sheet.12 "http://tweb/sites/rg/prrtsecretariat/Format copy - Chapter 1 data.xlsx!Exploration expenditure![Format copy - Chapter 1 data.xlsx]Exploration expenditure Chart 6" "" \a \p </w:instrText>
      </w:r>
      <w:r>
        <w:rPr>
          <w:highlight w:val="green"/>
        </w:rPr>
        <w:fldChar w:fldCharType="separate"/>
      </w:r>
      <w:r w:rsidR="00C46B37">
        <w:rPr>
          <w:highlight w:val="green"/>
        </w:rPr>
        <w:object w:dxaOrig="8775" w:dyaOrig="4515" w14:anchorId="11FB4BAD">
          <v:shape id="_x0000_i1030" type="#_x0000_t75" alt="Figure 1.8 shows Australia’s petroleum exploration expenditure and the West Texas Intermediate oil price. There is a strong correlation between exploration expenditure and the oil price." style="width:441pt;height:227.25pt">
            <v:imagedata r:id="rId39" o:title=""/>
          </v:shape>
        </w:object>
      </w:r>
      <w:r>
        <w:rPr>
          <w:highlight w:val="green"/>
        </w:rPr>
        <w:fldChar w:fldCharType="end"/>
      </w:r>
    </w:p>
    <w:p w14:paraId="7D7FEC1A" w14:textId="2690B427" w:rsidR="00AA7794" w:rsidRDefault="00AA7794" w:rsidP="00E714D1">
      <w:pPr>
        <w:pStyle w:val="ChartorTableNote"/>
      </w:pPr>
      <w:r w:rsidRPr="009C065A">
        <w:t>Source: US Energy Information Administration</w:t>
      </w:r>
      <w:r w:rsidR="00780DA3" w:rsidRPr="009C065A">
        <w:t xml:space="preserve"> (2017)</w:t>
      </w:r>
      <w:r w:rsidR="009C065A">
        <w:t xml:space="preserve"> and</w:t>
      </w:r>
      <w:r w:rsidRPr="009C065A">
        <w:t xml:space="preserve"> Australian Bureau of Statistics</w:t>
      </w:r>
      <w:r w:rsidR="00780DA3" w:rsidRPr="009C065A">
        <w:t xml:space="preserve"> (2016)</w:t>
      </w:r>
      <w:r w:rsidR="009C065A">
        <w:t>.</w:t>
      </w:r>
    </w:p>
    <w:p w14:paraId="28A0598E" w14:textId="77777777" w:rsidR="00E714D1" w:rsidRPr="00E714D1" w:rsidRDefault="00E714D1" w:rsidP="00E714D1">
      <w:pPr>
        <w:pStyle w:val="SingleParagraph"/>
      </w:pPr>
    </w:p>
    <w:p w14:paraId="2F919AD5" w14:textId="60EA0FF9" w:rsidR="00AA7794" w:rsidRDefault="004C28BE" w:rsidP="004C28BE">
      <w:pPr>
        <w:pStyle w:val="Heading3"/>
      </w:pPr>
      <w:bookmarkStart w:id="3577" w:name="_Toc476577322"/>
      <w:bookmarkStart w:id="3578" w:name="_Toc476582310"/>
      <w:bookmarkStart w:id="3579" w:name="_Toc476582984"/>
      <w:bookmarkStart w:id="3580" w:name="_Toc476583701"/>
      <w:bookmarkStart w:id="3581" w:name="_Toc476584149"/>
      <w:bookmarkStart w:id="3582" w:name="_Toc476738055"/>
      <w:bookmarkStart w:id="3583" w:name="_Toc476747630"/>
      <w:bookmarkStart w:id="3584" w:name="_Toc476749038"/>
      <w:bookmarkStart w:id="3585" w:name="_Toc476753906"/>
      <w:bookmarkStart w:id="3586" w:name="_Toc476754401"/>
      <w:bookmarkStart w:id="3587" w:name="_Toc476754566"/>
      <w:bookmarkStart w:id="3588" w:name="_Toc476759802"/>
      <w:bookmarkStart w:id="3589" w:name="_Toc476761424"/>
      <w:bookmarkStart w:id="3590" w:name="_Toc476767062"/>
      <w:bookmarkStart w:id="3591" w:name="_Toc476827108"/>
      <w:bookmarkStart w:id="3592" w:name="_Toc476828801"/>
      <w:bookmarkStart w:id="3593" w:name="_Toc476833675"/>
      <w:bookmarkStart w:id="3594" w:name="_Toc476837148"/>
      <w:bookmarkStart w:id="3595" w:name="_Toc476841021"/>
      <w:bookmarkStart w:id="3596" w:name="_Toc476841226"/>
      <w:bookmarkStart w:id="3597" w:name="_Toc476841985"/>
      <w:bookmarkStart w:id="3598" w:name="_Toc476842929"/>
      <w:bookmarkStart w:id="3599" w:name="_Toc476843100"/>
      <w:bookmarkStart w:id="3600" w:name="_Toc476844598"/>
      <w:bookmarkStart w:id="3601" w:name="_Toc476845491"/>
      <w:bookmarkStart w:id="3602" w:name="_Toc476926882"/>
      <w:bookmarkStart w:id="3603" w:name="_Toc476926821"/>
      <w:bookmarkStart w:id="3604" w:name="_Toc476927169"/>
      <w:bookmarkStart w:id="3605" w:name="_Toc476928433"/>
      <w:bookmarkStart w:id="3606" w:name="_Toc476929476"/>
      <w:bookmarkStart w:id="3607" w:name="_Toc476929651"/>
      <w:bookmarkStart w:id="3608" w:name="_Toc476930694"/>
      <w:bookmarkStart w:id="3609" w:name="_Toc476931501"/>
      <w:bookmarkStart w:id="3610" w:name="_Toc477869869"/>
      <w:bookmarkStart w:id="3611" w:name="_Toc477871108"/>
      <w:bookmarkStart w:id="3612" w:name="_Toc477873267"/>
      <w:bookmarkStart w:id="3613" w:name="_Toc477875261"/>
      <w:bookmarkStart w:id="3614" w:name="_Toc477880174"/>
      <w:bookmarkStart w:id="3615" w:name="_Toc477881434"/>
      <w:bookmarkStart w:id="3616" w:name="_Toc477955838"/>
      <w:bookmarkStart w:id="3617" w:name="_Toc477963083"/>
      <w:bookmarkStart w:id="3618" w:name="_Toc477963569"/>
      <w:bookmarkStart w:id="3619" w:name="_Toc477965155"/>
      <w:bookmarkStart w:id="3620" w:name="_Toc477966659"/>
      <w:bookmarkStart w:id="3621" w:name="_Toc477966828"/>
      <w:bookmarkStart w:id="3622" w:name="_Toc477967168"/>
      <w:bookmarkStart w:id="3623" w:name="_Toc478121305"/>
      <w:bookmarkStart w:id="3624" w:name="_Toc478122218"/>
      <w:bookmarkStart w:id="3625" w:name="_Toc478132192"/>
      <w:bookmarkStart w:id="3626" w:name="_Toc478133218"/>
      <w:bookmarkStart w:id="3627" w:name="_Toc478132355"/>
      <w:bookmarkStart w:id="3628" w:name="_Toc478134684"/>
      <w:bookmarkStart w:id="3629" w:name="_Toc478137386"/>
      <w:bookmarkStart w:id="3630" w:name="_Toc478138458"/>
      <w:bookmarkStart w:id="3631" w:name="_Toc478140028"/>
      <w:bookmarkStart w:id="3632" w:name="_Toc478140444"/>
      <w:bookmarkStart w:id="3633" w:name="_Toc478142650"/>
      <w:bookmarkStart w:id="3634" w:name="_Toc478566366"/>
      <w:bookmarkStart w:id="3635" w:name="_Toc478569533"/>
      <w:bookmarkStart w:id="3636" w:name="_Toc478569707"/>
      <w:bookmarkStart w:id="3637" w:name="_Toc478570781"/>
      <w:bookmarkStart w:id="3638" w:name="_Toc478632980"/>
      <w:bookmarkStart w:id="3639" w:name="_Toc478641388"/>
      <w:bookmarkStart w:id="3640" w:name="_Toc478654282"/>
      <w:bookmarkStart w:id="3641" w:name="_Toc478654456"/>
      <w:bookmarkStart w:id="3642" w:name="_Toc478657751"/>
      <w:bookmarkStart w:id="3643" w:name="_Toc478993172"/>
      <w:bookmarkStart w:id="3644" w:name="_Toc479000243"/>
      <w:bookmarkStart w:id="3645" w:name="_Toc479002177"/>
      <w:bookmarkStart w:id="3646" w:name="_Toc479002349"/>
      <w:bookmarkStart w:id="3647" w:name="_Toc479254325"/>
      <w:bookmarkStart w:id="3648" w:name="_Toc479258514"/>
      <w:bookmarkStart w:id="3649" w:name="_Toc479258830"/>
      <w:bookmarkStart w:id="3650" w:name="_Toc479259722"/>
      <w:bookmarkStart w:id="3651" w:name="_Toc479262145"/>
      <w:bookmarkStart w:id="3652" w:name="_Toc479262566"/>
      <w:bookmarkStart w:id="3653" w:name="_Toc479321267"/>
      <w:bookmarkStart w:id="3654" w:name="_Toc479326706"/>
      <w:bookmarkStart w:id="3655" w:name="_Toc479333305"/>
      <w:bookmarkStart w:id="3656" w:name="_Toc479335002"/>
      <w:bookmarkStart w:id="3657" w:name="_Toc479341717"/>
      <w:bookmarkStart w:id="3658" w:name="_Toc479345133"/>
      <w:bookmarkStart w:id="3659" w:name="_Toc479345342"/>
      <w:bookmarkStart w:id="3660" w:name="_Toc479348323"/>
      <w:bookmarkStart w:id="3661" w:name="_Toc479675917"/>
      <w:bookmarkStart w:id="3662" w:name="_Toc479690884"/>
      <w:bookmarkStart w:id="3663" w:name="_Toc479693462"/>
      <w:bookmarkStart w:id="3664" w:name="_Toc479770631"/>
      <w:r>
        <w:t>1.5.2</w:t>
      </w:r>
      <w:r>
        <w:tab/>
        <w:t xml:space="preserve">Determinants and </w:t>
      </w:r>
      <w:bookmarkEnd w:id="3577"/>
      <w:bookmarkEnd w:id="3578"/>
      <w:bookmarkEnd w:id="3579"/>
      <w:bookmarkEnd w:id="3580"/>
      <w:bookmarkEnd w:id="3581"/>
      <w:bookmarkEnd w:id="3582"/>
      <w:bookmarkEnd w:id="3583"/>
      <w:r w:rsidR="00B34ABB">
        <w:t>c</w:t>
      </w:r>
      <w:r w:rsidR="00FD7033">
        <w:t xml:space="preserve">osts of </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r w:rsidR="00B34ABB">
        <w:t>d</w:t>
      </w:r>
      <w:r w:rsidR="00FD7033">
        <w:t>evelopment</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7FED9ABE" w14:textId="2ACE0805" w:rsidR="00AA7794" w:rsidRDefault="00AA7794" w:rsidP="002E58C4">
      <w:r>
        <w:t xml:space="preserve">Favourable market conditions are equally important to facilitating the commercial development of discovered petroleum resources. This has been evident </w:t>
      </w:r>
      <w:r w:rsidR="00332EB7">
        <w:t>in</w:t>
      </w:r>
      <w:r>
        <w:t xml:space="preserve"> the latest global LNG investment phase</w:t>
      </w:r>
      <w:r w:rsidR="00915650">
        <w:t>,</w:t>
      </w:r>
      <w:r>
        <w:t xml:space="preserve"> whereby all of the </w:t>
      </w:r>
      <w:r w:rsidR="000F33E2">
        <w:t>FIDs</w:t>
      </w:r>
      <w:r>
        <w:t xml:space="preserve"> for Australia</w:t>
      </w:r>
      <w:r w:rsidR="005D6F39">
        <w:t>’</w:t>
      </w:r>
      <w:r>
        <w:t xml:space="preserve">s seven latest LNG projects occurred between 2009 and 2012, a period when the global oil price rose to over </w:t>
      </w:r>
      <w:r w:rsidR="00915650">
        <w:t>US</w:t>
      </w:r>
      <w:r>
        <w:t>$100</w:t>
      </w:r>
      <w:r w:rsidR="00E714D1">
        <w:t> </w:t>
      </w:r>
      <w:r>
        <w:t>per</w:t>
      </w:r>
      <w:r w:rsidR="00E714D1">
        <w:t> </w:t>
      </w:r>
      <w:r>
        <w:t>barrel.</w:t>
      </w:r>
    </w:p>
    <w:p w14:paraId="59566228" w14:textId="3652C65B" w:rsidR="00AA7794" w:rsidRDefault="00AA7794" w:rsidP="002E58C4">
      <w:r>
        <w:t xml:space="preserve">Notwithstanding </w:t>
      </w:r>
      <w:r w:rsidR="00A239BA">
        <w:t xml:space="preserve">the influence of </w:t>
      </w:r>
      <w:r w:rsidR="00AD15C6">
        <w:t xml:space="preserve">general </w:t>
      </w:r>
      <w:r>
        <w:t>market conditions</w:t>
      </w:r>
      <w:r w:rsidR="00A239BA">
        <w:t xml:space="preserve"> on the timing and extent of investment in petroleum exploration and development</w:t>
      </w:r>
      <w:r>
        <w:t xml:space="preserve">, the high concentration </w:t>
      </w:r>
      <w:r w:rsidR="00AD15C6">
        <w:t xml:space="preserve">in Australia </w:t>
      </w:r>
      <w:r>
        <w:t>of</w:t>
      </w:r>
      <w:r w:rsidR="00A239BA">
        <w:t xml:space="preserve"> </w:t>
      </w:r>
      <w:r>
        <w:t>mobile global investment reflects, at least in part, a number of country specific advantages</w:t>
      </w:r>
      <w:r w:rsidR="00666DD8">
        <w:t xml:space="preserve">. These </w:t>
      </w:r>
      <w:r>
        <w:t>includ</w:t>
      </w:r>
      <w:r w:rsidR="00666DD8">
        <w:t>e</w:t>
      </w:r>
      <w:r>
        <w:t>:</w:t>
      </w:r>
    </w:p>
    <w:p w14:paraId="62009164" w14:textId="2FD4B0E6" w:rsidR="00AA7794" w:rsidRDefault="00AA7794" w:rsidP="009C065A">
      <w:pPr>
        <w:pStyle w:val="Bullet"/>
      </w:pPr>
      <w:r>
        <w:t>Australia</w:t>
      </w:r>
      <w:r w:rsidR="005D6F39">
        <w:t>’</w:t>
      </w:r>
      <w:r>
        <w:t xml:space="preserve">s significant </w:t>
      </w:r>
      <w:r w:rsidR="00FE2DBD">
        <w:t>petroleum</w:t>
      </w:r>
      <w:r>
        <w:t xml:space="preserve"> reserves</w:t>
      </w:r>
      <w:r w:rsidR="00AD15C6">
        <w:t>. A</w:t>
      </w:r>
      <w:r>
        <w:t xml:space="preserve">s </w:t>
      </w:r>
      <w:r w:rsidR="00631DBB">
        <w:t>noted</w:t>
      </w:r>
      <w:r>
        <w:t xml:space="preserve"> in </w:t>
      </w:r>
      <w:r w:rsidR="00125DA6" w:rsidRPr="007D4B54">
        <w:t>s</w:t>
      </w:r>
      <w:r w:rsidRPr="007D4B54">
        <w:t>ection 1.1</w:t>
      </w:r>
      <w:r>
        <w:t xml:space="preserve"> large oil discoveries underpinned early growth in Australia</w:t>
      </w:r>
      <w:r w:rsidR="005D6F39">
        <w:t>’</w:t>
      </w:r>
      <w:r>
        <w:t>s oil and gas industry while the more recent commercialisation of large gas discoveries is seeing the rapid expansion of Australia</w:t>
      </w:r>
      <w:r w:rsidR="005D6F39">
        <w:t>’</w:t>
      </w:r>
      <w:r>
        <w:t>s LNG sector.</w:t>
      </w:r>
    </w:p>
    <w:p w14:paraId="4AD682A4" w14:textId="4E80780A" w:rsidR="00AA7794" w:rsidRDefault="00AA7794" w:rsidP="009C065A">
      <w:pPr>
        <w:pStyle w:val="Bullet"/>
      </w:pPr>
      <w:r>
        <w:t>Policy and regulatory certainty</w:t>
      </w:r>
      <w:r w:rsidR="00114BAD">
        <w:t xml:space="preserve">. </w:t>
      </w:r>
      <w:r>
        <w:t>Australia offers a comparatively stable policy and regulatory environment required to underpin the significant long term investments which characterise the oil and gas industry.</w:t>
      </w:r>
    </w:p>
    <w:p w14:paraId="225EBB33" w14:textId="632FA928" w:rsidR="00AA7794" w:rsidRDefault="00AA7794" w:rsidP="009C065A">
      <w:pPr>
        <w:pStyle w:val="Bullet"/>
      </w:pPr>
      <w:r>
        <w:t>Stable fiscal settings</w:t>
      </w:r>
      <w:r w:rsidR="00114BAD">
        <w:t xml:space="preserve">. </w:t>
      </w:r>
      <w:r>
        <w:t xml:space="preserve">A number of industry submissions to </w:t>
      </w:r>
      <w:r w:rsidR="00915650">
        <w:t>the</w:t>
      </w:r>
      <w:r>
        <w:t xml:space="preserve"> </w:t>
      </w:r>
      <w:r w:rsidR="000E0C06">
        <w:t>r</w:t>
      </w:r>
      <w:r>
        <w:t>eview emphasised the importance of ongoing stability of Australia</w:t>
      </w:r>
      <w:r w:rsidR="005D6F39">
        <w:t>’</w:t>
      </w:r>
      <w:r>
        <w:t>s taxation arrangements</w:t>
      </w:r>
      <w:r w:rsidR="00915650">
        <w:t>,</w:t>
      </w:r>
      <w:r>
        <w:t xml:space="preserve"> and how this has been a major factor in Australia attracting significant recent investment in LNG supply capacity.</w:t>
      </w:r>
    </w:p>
    <w:p w14:paraId="27406367" w14:textId="781AF1C3" w:rsidR="00AA7794" w:rsidRDefault="004C28BE" w:rsidP="009C065A">
      <w:pPr>
        <w:pStyle w:val="Bullet"/>
      </w:pPr>
      <w:r>
        <w:t>E</w:t>
      </w:r>
      <w:r w:rsidR="00AA7794">
        <w:t>xperience with and proximity to growing Asian energy markets</w:t>
      </w:r>
      <w:r w:rsidR="00114BAD">
        <w:t xml:space="preserve">. </w:t>
      </w:r>
      <w:r w:rsidR="00AA7794">
        <w:t xml:space="preserve">Australia has a </w:t>
      </w:r>
      <w:r w:rsidR="00332EB7">
        <w:t>long</w:t>
      </w:r>
      <w:r w:rsidR="00AA7794">
        <w:t>standing record as a reliable supplier of energy to nearby Asian markets and has developed extensive market and contract experience over this period.</w:t>
      </w:r>
    </w:p>
    <w:p w14:paraId="6C323205" w14:textId="20DB94BA" w:rsidR="00AA7794" w:rsidRDefault="00AA7794" w:rsidP="002E58C4">
      <w:r>
        <w:t xml:space="preserve">Despite these advantages, a number of </w:t>
      </w:r>
      <w:r w:rsidR="00A239BA">
        <w:t xml:space="preserve">major </w:t>
      </w:r>
      <w:r>
        <w:t>challenges confront the development of oil and gas projects in Australia. In particular, the development of Australia</w:t>
      </w:r>
      <w:r w:rsidR="005D6F39">
        <w:t>’</w:t>
      </w:r>
      <w:r>
        <w:t>s gas resources</w:t>
      </w:r>
      <w:r w:rsidR="00FE2DBD">
        <w:t>, especially offshore,</w:t>
      </w:r>
      <w:r>
        <w:t xml:space="preserve"> is challenged by its remoteness, a lack of available infrastructure, geological uncertainties and the significant capital costs and long lead times required to facilitate </w:t>
      </w:r>
      <w:r w:rsidR="00B243F4">
        <w:t>resource</w:t>
      </w:r>
      <w:r>
        <w:t xml:space="preserve"> recovery.</w:t>
      </w:r>
      <w:r w:rsidR="00A67218">
        <w:t xml:space="preserve"> A</w:t>
      </w:r>
      <w:r>
        <w:t xml:space="preserve">ustralia </w:t>
      </w:r>
      <w:r w:rsidR="00A239BA">
        <w:t xml:space="preserve">is </w:t>
      </w:r>
      <w:r>
        <w:t xml:space="preserve">a high cost destination for LNG project investment. </w:t>
      </w:r>
      <w:r w:rsidRPr="007D4B54">
        <w:t xml:space="preserve">Figure </w:t>
      </w:r>
      <w:r w:rsidR="00920917" w:rsidRPr="007D4B54">
        <w:t>1.9</w:t>
      </w:r>
      <w:r>
        <w:t xml:space="preserve"> shows the high cost of Australia</w:t>
      </w:r>
      <w:r w:rsidR="005D6F39">
        <w:t>’</w:t>
      </w:r>
      <w:r>
        <w:t>s new LNG projects compared to other projects around the world.</w:t>
      </w:r>
    </w:p>
    <w:p w14:paraId="5CB5CE38" w14:textId="7DDC928F" w:rsidR="00335673" w:rsidRPr="009C065A" w:rsidRDefault="00AA7794" w:rsidP="00221C2A">
      <w:pPr>
        <w:pStyle w:val="ChartMainHeading"/>
      </w:pPr>
      <w:r w:rsidRPr="009C065A">
        <w:t xml:space="preserve">Figure </w:t>
      </w:r>
      <w:r w:rsidR="00920917">
        <w:t>1.9</w:t>
      </w:r>
      <w:r w:rsidR="009C065A">
        <w:t xml:space="preserve"> —</w:t>
      </w:r>
      <w:r w:rsidRPr="009C065A">
        <w:t xml:space="preserve"> Global LNG </w:t>
      </w:r>
      <w:r w:rsidR="00B34ABB">
        <w:t>p</w:t>
      </w:r>
      <w:r w:rsidRPr="009C065A">
        <w:t xml:space="preserve">roject </w:t>
      </w:r>
      <w:r w:rsidR="00B34ABB">
        <w:t>c</w:t>
      </w:r>
      <w:r w:rsidRPr="009C065A">
        <w:t xml:space="preserve">ost </w:t>
      </w:r>
      <w:r w:rsidR="00B34ABB">
        <w:t>c</w:t>
      </w:r>
      <w:r w:rsidRPr="009C065A">
        <w:t>urve ($ per mmbtu)</w:t>
      </w:r>
    </w:p>
    <w:p w14:paraId="2D9EF725" w14:textId="61A28923" w:rsidR="00755941" w:rsidRPr="00755941" w:rsidRDefault="009C065A" w:rsidP="00221C2A">
      <w:pPr>
        <w:pStyle w:val="ChartGraphic"/>
      </w:pPr>
      <w:r w:rsidRPr="00FD042D">
        <w:rPr>
          <w:noProof/>
          <w:highlight w:val="green"/>
        </w:rPr>
        <w:drawing>
          <wp:inline distT="0" distB="0" distL="0" distR="0" wp14:anchorId="4A2B6156" wp14:editId="0BF3406C">
            <wp:extent cx="4664149" cy="2580167"/>
            <wp:effectExtent l="0" t="0" r="3175" b="0"/>
            <wp:docPr id="25" name="Picture 25" descr="Figure 1.9 compares the costs of Australia’s LNG projects with other projects around the world on a $ per million British Thermal Uni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 Global LNG Production Cost Curve.png"/>
                    <pic:cNvPicPr/>
                  </pic:nvPicPr>
                  <pic:blipFill rotWithShape="1">
                    <a:blip r:embed="rId40">
                      <a:extLst>
                        <a:ext uri="{28A0092B-C50C-407E-A947-70E740481C1C}">
                          <a14:useLocalDpi xmlns:a14="http://schemas.microsoft.com/office/drawing/2010/main" val="0"/>
                        </a:ext>
                      </a:extLst>
                    </a:blip>
                    <a:srcRect l="889" t="1313" r="1506" b="2894"/>
                    <a:stretch/>
                  </pic:blipFill>
                  <pic:spPr bwMode="auto">
                    <a:xfrm>
                      <a:off x="0" y="0"/>
                      <a:ext cx="4667679" cy="2582120"/>
                    </a:xfrm>
                    <a:prstGeom prst="rect">
                      <a:avLst/>
                    </a:prstGeom>
                    <a:ln>
                      <a:noFill/>
                    </a:ln>
                    <a:extLst>
                      <a:ext uri="{53640926-AAD7-44D8-BBD7-CCE9431645EC}">
                        <a14:shadowObscured xmlns:a14="http://schemas.microsoft.com/office/drawing/2010/main"/>
                      </a:ext>
                    </a:extLst>
                  </pic:spPr>
                </pic:pic>
              </a:graphicData>
            </a:graphic>
          </wp:inline>
        </w:drawing>
      </w:r>
    </w:p>
    <w:p w14:paraId="511E865D" w14:textId="52A7D496" w:rsidR="00AA7794" w:rsidRDefault="00AA7794" w:rsidP="005137C0">
      <w:pPr>
        <w:pStyle w:val="ChartorTableNote"/>
      </w:pPr>
      <w:r w:rsidRPr="009C065A">
        <w:t>Source: Macrobusiness, 2016</w:t>
      </w:r>
      <w:r w:rsidR="00455604">
        <w:t>.</w:t>
      </w:r>
    </w:p>
    <w:p w14:paraId="20E77A94" w14:textId="77777777" w:rsidR="005137C0" w:rsidRPr="005137C0" w:rsidRDefault="005137C0" w:rsidP="005137C0">
      <w:pPr>
        <w:pStyle w:val="SingleParagraph"/>
      </w:pPr>
    </w:p>
    <w:p w14:paraId="747EDB53" w14:textId="56DBEB8C" w:rsidR="00FD7033" w:rsidRDefault="00FD7033" w:rsidP="00FD7033">
      <w:bookmarkStart w:id="3665" w:name="_Toc476577323"/>
      <w:bookmarkStart w:id="3666" w:name="_Toc476582311"/>
      <w:bookmarkStart w:id="3667" w:name="_Toc476582985"/>
      <w:bookmarkStart w:id="3668" w:name="_Toc476583702"/>
      <w:bookmarkStart w:id="3669" w:name="_Toc476584150"/>
      <w:bookmarkStart w:id="3670" w:name="_Toc476738056"/>
      <w:r>
        <w:t>The Business Council of Australia</w:t>
      </w:r>
      <w:r w:rsidR="005D6F39">
        <w:t>’</w:t>
      </w:r>
      <w:r>
        <w:t xml:space="preserve">s </w:t>
      </w:r>
      <w:r w:rsidR="0059730C">
        <w:t xml:space="preserve">submission </w:t>
      </w:r>
      <w:r>
        <w:t>noted research that</w:t>
      </w:r>
      <w:r w:rsidRPr="00B33D05">
        <w:t xml:space="preserve"> </w:t>
      </w:r>
      <w:r w:rsidR="005D6F39">
        <w:t>‘</w:t>
      </w:r>
      <w:r w:rsidRPr="00B33D05">
        <w:t>found that resource projects are 40</w:t>
      </w:r>
      <w:r>
        <w:t> </w:t>
      </w:r>
      <w:r w:rsidRPr="00B33D05">
        <w:t>per</w:t>
      </w:r>
      <w:r w:rsidR="00915650">
        <w:t> </w:t>
      </w:r>
      <w:r w:rsidRPr="00B33D05">
        <w:t>cent more expensive to deliver in Australia than i</w:t>
      </w:r>
      <w:r>
        <w:t>n the United States Gulf Coast</w:t>
      </w:r>
      <w:r w:rsidRPr="00B33D05">
        <w:t xml:space="preserve"> </w:t>
      </w:r>
      <w:r w:rsidRPr="009C065A">
        <w:t>(Business Council of Australia Submission, p 6)</w:t>
      </w:r>
      <w:r w:rsidR="005D6F39">
        <w:t>’</w:t>
      </w:r>
      <w:r w:rsidRPr="00B33D05">
        <w:t>.</w:t>
      </w:r>
      <w:r>
        <w:t xml:space="preserve"> In addition, complying with regulation across jurisdictions is also </w:t>
      </w:r>
      <w:r w:rsidR="00A239BA">
        <w:t xml:space="preserve">cited as being </w:t>
      </w:r>
      <w:r>
        <w:t>costly and timely:</w:t>
      </w:r>
    </w:p>
    <w:p w14:paraId="41B0E967" w14:textId="4437420D" w:rsidR="00FD7033" w:rsidRPr="009136D8" w:rsidRDefault="00FD7033" w:rsidP="00FD7033">
      <w:pPr>
        <w:ind w:left="567" w:right="565"/>
        <w:rPr>
          <w:color w:val="1F497D" w:themeColor="text2"/>
          <w:sz w:val="20"/>
        </w:rPr>
      </w:pPr>
      <w:r w:rsidRPr="009136D8">
        <w:rPr>
          <w:color w:val="1F497D" w:themeColor="text2"/>
          <w:sz w:val="20"/>
        </w:rPr>
        <w:t>The environmental assessment done under federal and state legislation took more than two years, involved over 4000 meetings, briefings and presentations across interest groups and resulted in a 12,000</w:t>
      </w:r>
      <w:r w:rsidR="005D6F39">
        <w:rPr>
          <w:color w:val="1F497D" w:themeColor="text2"/>
          <w:sz w:val="20"/>
        </w:rPr>
        <w:noBreakHyphen/>
      </w:r>
      <w:r w:rsidRPr="009136D8">
        <w:rPr>
          <w:color w:val="1F497D" w:themeColor="text2"/>
          <w:sz w:val="20"/>
        </w:rPr>
        <w:t>page report. When approved, more than 1500 conditions (1200 state and 300 federal) were imposed. These conditions had a further 8000 sub</w:t>
      </w:r>
      <w:r w:rsidR="005D6F39">
        <w:rPr>
          <w:color w:val="1F497D" w:themeColor="text2"/>
          <w:sz w:val="20"/>
        </w:rPr>
        <w:noBreakHyphen/>
      </w:r>
      <w:r w:rsidRPr="009136D8">
        <w:rPr>
          <w:color w:val="1F497D" w:themeColor="text2"/>
          <w:sz w:val="20"/>
        </w:rPr>
        <w:t>conditions and the company invested more than $25 million in the environ</w:t>
      </w:r>
      <w:r>
        <w:rPr>
          <w:color w:val="1F497D" w:themeColor="text2"/>
          <w:sz w:val="20"/>
        </w:rPr>
        <w:t xml:space="preserve">mental impact assessment alone </w:t>
      </w:r>
      <w:r w:rsidRPr="009C065A">
        <w:rPr>
          <w:color w:val="1F497D" w:themeColor="text2"/>
          <w:sz w:val="20"/>
        </w:rPr>
        <w:t>(Business Council of Australia Submission, p. 7)</w:t>
      </w:r>
      <w:r>
        <w:rPr>
          <w:color w:val="1F497D" w:themeColor="text2"/>
          <w:sz w:val="20"/>
        </w:rPr>
        <w:t>.</w:t>
      </w:r>
    </w:p>
    <w:p w14:paraId="0DD75922" w14:textId="5FE06E07" w:rsidR="00B0390D" w:rsidRDefault="00B0390D" w:rsidP="00D10118">
      <w:r>
        <w:t xml:space="preserve">ExxonMobil Australia provided information </w:t>
      </w:r>
      <w:r w:rsidR="00A239BA">
        <w:t>(</w:t>
      </w:r>
      <w:r w:rsidR="00A67218">
        <w:t>s</w:t>
      </w:r>
      <w:r w:rsidR="00A239BA">
        <w:t xml:space="preserve">ee </w:t>
      </w:r>
      <w:r w:rsidR="00A239BA" w:rsidRPr="007D4B54">
        <w:rPr>
          <w:color w:val="auto"/>
        </w:rPr>
        <w:t xml:space="preserve">Figure </w:t>
      </w:r>
      <w:r w:rsidR="00920917" w:rsidRPr="007D4B54">
        <w:rPr>
          <w:color w:val="auto"/>
        </w:rPr>
        <w:t>1.10</w:t>
      </w:r>
      <w:r w:rsidR="00A67218">
        <w:rPr>
          <w:color w:val="auto"/>
        </w:rPr>
        <w:t>)</w:t>
      </w:r>
      <w:r w:rsidR="00A239BA" w:rsidRPr="00A67218">
        <w:rPr>
          <w:color w:val="auto"/>
        </w:rPr>
        <w:t xml:space="preserve"> </w:t>
      </w:r>
      <w:r>
        <w:t>comparing Australia</w:t>
      </w:r>
      <w:r w:rsidR="005D6F39">
        <w:t>’</w:t>
      </w:r>
      <w:r>
        <w:t xml:space="preserve">s relative costs of onshore construction for the components </w:t>
      </w:r>
      <w:r w:rsidR="00CF72A2">
        <w:t>of</w:t>
      </w:r>
      <w:r>
        <w:t xml:space="preserve"> engineering, fabrication and construction with equivalents in Norway, the United Kingdom, Canada, Qatar and the United States. Across all components, Australia is most costly, but </w:t>
      </w:r>
      <w:r w:rsidR="00A4398C">
        <w:t>is equivalent</w:t>
      </w:r>
      <w:r>
        <w:t xml:space="preserve"> to</w:t>
      </w:r>
      <w:r w:rsidR="00A4398C">
        <w:t xml:space="preserve"> both</w:t>
      </w:r>
      <w:r>
        <w:t xml:space="preserve"> the United Kingdom and Norway in engineering costs</w:t>
      </w:r>
      <w:r w:rsidR="00755941">
        <w:t>.</w:t>
      </w:r>
    </w:p>
    <w:p w14:paraId="51A36349" w14:textId="77777777" w:rsidR="009C065A" w:rsidRDefault="009C065A">
      <w:pPr>
        <w:spacing w:after="0" w:line="240" w:lineRule="auto"/>
        <w:jc w:val="left"/>
        <w:rPr>
          <w:rFonts w:ascii="Century Gothic" w:hAnsi="Century Gothic"/>
          <w:b/>
          <w:bCs/>
          <w:color w:val="1F497D" w:themeColor="text2"/>
          <w:szCs w:val="22"/>
        </w:rPr>
      </w:pPr>
      <w:bookmarkStart w:id="3671" w:name="_Toc476926883"/>
      <w:bookmarkStart w:id="3672" w:name="_Toc476926822"/>
      <w:bookmarkStart w:id="3673" w:name="_Toc476927170"/>
      <w:bookmarkStart w:id="3674" w:name="_Toc476928434"/>
      <w:bookmarkStart w:id="3675" w:name="_Toc476929477"/>
      <w:bookmarkStart w:id="3676" w:name="_Toc476929652"/>
      <w:bookmarkStart w:id="3677" w:name="_Toc476930695"/>
      <w:bookmarkStart w:id="3678" w:name="_Toc476931502"/>
      <w:r>
        <w:br w:type="page"/>
      </w:r>
    </w:p>
    <w:p w14:paraId="5A3455E9" w14:textId="2988458E" w:rsidR="00B0390D" w:rsidRPr="00335673" w:rsidRDefault="00B0390D" w:rsidP="00221C2A">
      <w:pPr>
        <w:pStyle w:val="ChartMainHeading"/>
      </w:pPr>
      <w:r w:rsidRPr="00335673">
        <w:t xml:space="preserve">Figure </w:t>
      </w:r>
      <w:r w:rsidR="00920917">
        <w:t>1.10</w:t>
      </w:r>
      <w:r w:rsidR="00105048" w:rsidRPr="00335673">
        <w:t xml:space="preserve"> </w:t>
      </w:r>
      <w:r w:rsidR="009C065A">
        <w:t>—</w:t>
      </w:r>
      <w:r w:rsidR="00105048" w:rsidRPr="00335673">
        <w:t xml:space="preserve"> ExxonMobil </w:t>
      </w:r>
      <w:bookmarkEnd w:id="3671"/>
      <w:bookmarkEnd w:id="3672"/>
      <w:bookmarkEnd w:id="3673"/>
      <w:bookmarkEnd w:id="3674"/>
      <w:bookmarkEnd w:id="3675"/>
      <w:bookmarkEnd w:id="3676"/>
      <w:bookmarkEnd w:id="3677"/>
      <w:bookmarkEnd w:id="3678"/>
      <w:r w:rsidR="00B34ABB">
        <w:t>o</w:t>
      </w:r>
      <w:r w:rsidR="005826CC" w:rsidRPr="00335673">
        <w:t xml:space="preserve">nshore </w:t>
      </w:r>
      <w:r w:rsidR="00B34ABB">
        <w:t>c</w:t>
      </w:r>
      <w:r w:rsidR="005826CC" w:rsidRPr="00335673">
        <w:t xml:space="preserve">onstruction </w:t>
      </w:r>
      <w:r w:rsidR="00B34ABB">
        <w:t>c</w:t>
      </w:r>
      <w:r w:rsidR="005826CC" w:rsidRPr="00335673">
        <w:t xml:space="preserve">ost </w:t>
      </w:r>
      <w:r w:rsidR="00B34ABB">
        <w:t>c</w:t>
      </w:r>
      <w:r w:rsidR="005826CC" w:rsidRPr="00335673">
        <w:t>omparison</w:t>
      </w:r>
    </w:p>
    <w:p w14:paraId="5E9CE57F" w14:textId="59DC6448" w:rsidR="00B0390D" w:rsidRDefault="009C065A" w:rsidP="005137C0">
      <w:pPr>
        <w:pStyle w:val="ChartorTableNote"/>
      </w:pPr>
      <w:r w:rsidRPr="00335673">
        <w:rPr>
          <w:noProof/>
        </w:rPr>
        <w:drawing>
          <wp:anchor distT="0" distB="0" distL="114300" distR="114300" simplePos="0" relativeHeight="251658250" behindDoc="0" locked="0" layoutInCell="1" allowOverlap="1" wp14:anchorId="7A76046C" wp14:editId="46C3671F">
            <wp:simplePos x="0" y="0"/>
            <wp:positionH relativeFrom="margin">
              <wp:posOffset>197485</wp:posOffset>
            </wp:positionH>
            <wp:positionV relativeFrom="margin">
              <wp:posOffset>219710</wp:posOffset>
            </wp:positionV>
            <wp:extent cx="5406390" cy="3390265"/>
            <wp:effectExtent l="0" t="0" r="3810" b="635"/>
            <wp:wrapSquare wrapText="bothSides"/>
            <wp:docPr id="16" name="Picture 16" descr="Figure 1.10 shows the relative cost of engineering, fabrication and construction in Australia compared to Norway, the United Kingdom, Canada, Qatar and the USA. Austria has equivalent engineering costs to Norway and the United Kingdom, slightly higher than those in the United States. Engineering costs in Canada and Qatar are approximately two thirds of Australia. Fabrication costs in Norway are approximately 80% of Australia. Fabrication costs are lower for the United Kingdom, Canada and Qatar; with the United States having the lowest at approximately 50% of Australia. Norway’s construction costs are almost equivalent to Australia but are costs are lower for the United Kingdom (approximately 80%), Canada, the United States and Qatar (just unde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6390" cy="3390265"/>
                    </a:xfrm>
                    <a:prstGeom prst="rect">
                      <a:avLst/>
                    </a:prstGeom>
                    <a:noFill/>
                    <a:ln>
                      <a:noFill/>
                    </a:ln>
                  </pic:spPr>
                </pic:pic>
              </a:graphicData>
            </a:graphic>
          </wp:anchor>
        </w:drawing>
      </w:r>
      <w:r w:rsidR="005826CC" w:rsidRPr="006C5D86">
        <w:t xml:space="preserve">Source: ExxonMobil Australia Additional Information </w:t>
      </w:r>
      <w:r w:rsidR="00335673" w:rsidRPr="006C5D86">
        <w:t>S</w:t>
      </w:r>
      <w:r w:rsidR="005826CC" w:rsidRPr="006C5D86">
        <w:t>ubmission, p.2</w:t>
      </w:r>
      <w:r w:rsidR="00455604">
        <w:t>.</w:t>
      </w:r>
    </w:p>
    <w:p w14:paraId="3558DF24" w14:textId="77777777" w:rsidR="005137C0" w:rsidRPr="005137C0" w:rsidRDefault="005137C0" w:rsidP="005137C0">
      <w:pPr>
        <w:pStyle w:val="SingleParagraph"/>
      </w:pPr>
    </w:p>
    <w:p w14:paraId="3BD78AC9" w14:textId="5B3C35BD" w:rsidR="00FD7033" w:rsidRDefault="00E46755" w:rsidP="00D10118">
      <w:r>
        <w:t>H</w:t>
      </w:r>
      <w:r w:rsidR="00B0390D">
        <w:t>igh</w:t>
      </w:r>
      <w:r w:rsidR="005826CC">
        <w:t>er</w:t>
      </w:r>
      <w:r w:rsidR="00FD7033">
        <w:t xml:space="preserve"> costs </w:t>
      </w:r>
      <w:r>
        <w:t>will</w:t>
      </w:r>
      <w:r w:rsidR="00FD7033">
        <w:t xml:space="preserve"> impact the overall profitability and rates of return achievable by a project</w:t>
      </w:r>
      <w:r w:rsidR="00114BAD">
        <w:t xml:space="preserve">, </w:t>
      </w:r>
      <w:r w:rsidR="00255303">
        <w:t xml:space="preserve">which will in turn influence </w:t>
      </w:r>
      <w:r w:rsidR="00114BAD">
        <w:t>tax collections</w:t>
      </w:r>
      <w:r w:rsidR="00FD042D">
        <w:t>.</w:t>
      </w:r>
    </w:p>
    <w:p w14:paraId="1B157A79" w14:textId="094ABE27" w:rsidR="00AA7794" w:rsidRDefault="00F92CEC" w:rsidP="00F92CEC">
      <w:pPr>
        <w:pStyle w:val="Heading3"/>
      </w:pPr>
      <w:bookmarkStart w:id="3679" w:name="_Toc476747631"/>
      <w:bookmarkStart w:id="3680" w:name="_Toc476749039"/>
      <w:bookmarkStart w:id="3681" w:name="_Toc476753907"/>
      <w:bookmarkStart w:id="3682" w:name="_Toc476754402"/>
      <w:bookmarkStart w:id="3683" w:name="_Toc476754567"/>
      <w:bookmarkStart w:id="3684" w:name="_Toc476759803"/>
      <w:bookmarkStart w:id="3685" w:name="_Toc476761425"/>
      <w:bookmarkStart w:id="3686" w:name="_Toc476767063"/>
      <w:bookmarkStart w:id="3687" w:name="_Toc476827109"/>
      <w:bookmarkStart w:id="3688" w:name="_Toc476828802"/>
      <w:bookmarkStart w:id="3689" w:name="_Toc476833676"/>
      <w:bookmarkStart w:id="3690" w:name="_Toc476837149"/>
      <w:bookmarkStart w:id="3691" w:name="_Toc476841022"/>
      <w:bookmarkStart w:id="3692" w:name="_Toc476841227"/>
      <w:bookmarkStart w:id="3693" w:name="_Toc476841986"/>
      <w:bookmarkStart w:id="3694" w:name="_Toc476842930"/>
      <w:bookmarkStart w:id="3695" w:name="_Toc476843101"/>
      <w:bookmarkStart w:id="3696" w:name="_Toc476844599"/>
      <w:bookmarkStart w:id="3697" w:name="_Toc476845492"/>
      <w:bookmarkStart w:id="3698" w:name="_Toc476926884"/>
      <w:bookmarkStart w:id="3699" w:name="_Toc476926823"/>
      <w:bookmarkStart w:id="3700" w:name="_Toc476927171"/>
      <w:bookmarkStart w:id="3701" w:name="_Toc476928435"/>
      <w:bookmarkStart w:id="3702" w:name="_Toc476929478"/>
      <w:bookmarkStart w:id="3703" w:name="_Toc476929653"/>
      <w:bookmarkStart w:id="3704" w:name="_Toc476930696"/>
      <w:bookmarkStart w:id="3705" w:name="_Toc476931503"/>
      <w:bookmarkStart w:id="3706" w:name="_Toc477869870"/>
      <w:bookmarkStart w:id="3707" w:name="_Toc477871109"/>
      <w:bookmarkStart w:id="3708" w:name="_Toc477873268"/>
      <w:bookmarkStart w:id="3709" w:name="_Toc477875262"/>
      <w:bookmarkStart w:id="3710" w:name="_Toc477880175"/>
      <w:bookmarkStart w:id="3711" w:name="_Toc477881435"/>
      <w:bookmarkStart w:id="3712" w:name="_Toc477955839"/>
      <w:bookmarkStart w:id="3713" w:name="_Toc477963084"/>
      <w:bookmarkStart w:id="3714" w:name="_Toc477963570"/>
      <w:bookmarkStart w:id="3715" w:name="_Toc477965156"/>
      <w:bookmarkStart w:id="3716" w:name="_Toc477966660"/>
      <w:bookmarkStart w:id="3717" w:name="_Toc477966829"/>
      <w:bookmarkStart w:id="3718" w:name="_Toc477967169"/>
      <w:bookmarkStart w:id="3719" w:name="_Toc478121306"/>
      <w:bookmarkStart w:id="3720" w:name="_Toc478122219"/>
      <w:bookmarkStart w:id="3721" w:name="_Toc478132193"/>
      <w:bookmarkStart w:id="3722" w:name="_Toc478133219"/>
      <w:bookmarkStart w:id="3723" w:name="_Toc478132356"/>
      <w:bookmarkStart w:id="3724" w:name="_Toc478134685"/>
      <w:bookmarkStart w:id="3725" w:name="_Toc478137387"/>
      <w:bookmarkStart w:id="3726" w:name="_Toc478138459"/>
      <w:bookmarkStart w:id="3727" w:name="_Toc478140029"/>
      <w:bookmarkStart w:id="3728" w:name="_Toc478140445"/>
      <w:bookmarkStart w:id="3729" w:name="_Toc478142651"/>
      <w:bookmarkStart w:id="3730" w:name="_Toc478566367"/>
      <w:bookmarkStart w:id="3731" w:name="_Toc478569534"/>
      <w:bookmarkStart w:id="3732" w:name="_Toc478569708"/>
      <w:bookmarkStart w:id="3733" w:name="_Toc478570782"/>
      <w:bookmarkStart w:id="3734" w:name="_Toc478632981"/>
      <w:bookmarkStart w:id="3735" w:name="_Toc478641389"/>
      <w:bookmarkStart w:id="3736" w:name="_Toc478654283"/>
      <w:bookmarkStart w:id="3737" w:name="_Toc478654457"/>
      <w:bookmarkStart w:id="3738" w:name="_Toc478657752"/>
      <w:bookmarkStart w:id="3739" w:name="_Toc478993173"/>
      <w:bookmarkStart w:id="3740" w:name="_Toc479000244"/>
      <w:bookmarkStart w:id="3741" w:name="_Toc479002178"/>
      <w:bookmarkStart w:id="3742" w:name="_Toc479002350"/>
      <w:bookmarkStart w:id="3743" w:name="_Toc479254326"/>
      <w:bookmarkStart w:id="3744" w:name="_Toc479258515"/>
      <w:bookmarkStart w:id="3745" w:name="_Toc479258831"/>
      <w:bookmarkStart w:id="3746" w:name="_Toc479259723"/>
      <w:bookmarkStart w:id="3747" w:name="_Toc479262146"/>
      <w:bookmarkStart w:id="3748" w:name="_Toc479262567"/>
      <w:bookmarkStart w:id="3749" w:name="_Toc479321268"/>
      <w:bookmarkStart w:id="3750" w:name="_Toc479326707"/>
      <w:bookmarkStart w:id="3751" w:name="_Toc479333306"/>
      <w:bookmarkStart w:id="3752" w:name="_Toc479335003"/>
      <w:bookmarkStart w:id="3753" w:name="_Toc479341718"/>
      <w:bookmarkStart w:id="3754" w:name="_Toc479345134"/>
      <w:bookmarkStart w:id="3755" w:name="_Toc479345343"/>
      <w:bookmarkStart w:id="3756" w:name="_Toc479348324"/>
      <w:bookmarkStart w:id="3757" w:name="_Toc479675918"/>
      <w:bookmarkStart w:id="3758" w:name="_Toc479690885"/>
      <w:bookmarkStart w:id="3759" w:name="_Toc479693463"/>
      <w:bookmarkStart w:id="3760" w:name="_Toc479770632"/>
      <w:r>
        <w:t>1.5.3</w:t>
      </w:r>
      <w:r>
        <w:tab/>
        <w:t xml:space="preserve">Fiscal </w:t>
      </w:r>
      <w:bookmarkEnd w:id="3665"/>
      <w:bookmarkEnd w:id="3666"/>
      <w:bookmarkEnd w:id="3667"/>
      <w:bookmarkEnd w:id="3668"/>
      <w:bookmarkEnd w:id="3669"/>
      <w:bookmarkEnd w:id="3670"/>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r w:rsidR="00B34ABB">
        <w:t>r</w:t>
      </w:r>
      <w:r>
        <w:t>isks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220841E2" w14:textId="09457273" w:rsidR="00AA7794" w:rsidRDefault="00BD1B61" w:rsidP="002E58C4">
      <w:r>
        <w:t xml:space="preserve">Nearly all industry submissions emphasised that given </w:t>
      </w:r>
      <w:r w:rsidR="00AA7794">
        <w:t>Australia</w:t>
      </w:r>
      <w:r w:rsidR="005D6F39">
        <w:t>’</w:t>
      </w:r>
      <w:r w:rsidR="00AA7794">
        <w:t xml:space="preserve">s comparatively high cost environment, </w:t>
      </w:r>
      <w:r>
        <w:t xml:space="preserve">it was important that it ensure ongoing regulatory and fiscal stability in order to compete with other countries as a </w:t>
      </w:r>
      <w:r w:rsidR="008A0C30">
        <w:t>destination for global oil and gas investments</w:t>
      </w:r>
      <w:r w:rsidR="00AA7794">
        <w:t xml:space="preserve">. APPEA </w:t>
      </w:r>
      <w:r w:rsidR="00915650">
        <w:t>noted</w:t>
      </w:r>
      <w:r w:rsidR="00AA7794">
        <w:t>:</w:t>
      </w:r>
    </w:p>
    <w:p w14:paraId="31D45158" w14:textId="653EF95C" w:rsidR="00AA7794" w:rsidRPr="00F92CEC" w:rsidRDefault="00AA7794" w:rsidP="00F92CEC">
      <w:pPr>
        <w:ind w:left="567" w:right="565"/>
        <w:rPr>
          <w:color w:val="1F497D" w:themeColor="text2"/>
          <w:sz w:val="20"/>
        </w:rPr>
      </w:pPr>
      <w:r w:rsidRPr="00F92CEC">
        <w:rPr>
          <w:color w:val="1F497D" w:themeColor="text2"/>
          <w:sz w:val="20"/>
        </w:rPr>
        <w:t>Changes to cost structures and investor sentiment as a result of negative tax modifications can have significant implications in capital intensive projects with long lead times, impacting on exploration, develo</w:t>
      </w:r>
      <w:r w:rsidR="00F92CEC">
        <w:rPr>
          <w:color w:val="1F497D" w:themeColor="text2"/>
          <w:sz w:val="20"/>
        </w:rPr>
        <w:t>pment and production decisions</w:t>
      </w:r>
      <w:r w:rsidR="00B14A02">
        <w:rPr>
          <w:color w:val="1F497D" w:themeColor="text2"/>
          <w:sz w:val="20"/>
        </w:rPr>
        <w:t xml:space="preserve"> </w:t>
      </w:r>
      <w:r w:rsidR="00B14A02" w:rsidRPr="00CB4E50">
        <w:rPr>
          <w:color w:val="1F497D" w:themeColor="text2"/>
          <w:sz w:val="20"/>
        </w:rPr>
        <w:t>(APPEA Submission, p</w:t>
      </w:r>
      <w:r w:rsidR="00755941" w:rsidRPr="00CB4E50">
        <w:rPr>
          <w:color w:val="1F497D" w:themeColor="text2"/>
          <w:sz w:val="20"/>
        </w:rPr>
        <w:t xml:space="preserve">. </w:t>
      </w:r>
      <w:r w:rsidR="00B14A02" w:rsidRPr="00CB4E50">
        <w:rPr>
          <w:color w:val="1F497D" w:themeColor="text2"/>
          <w:sz w:val="20"/>
        </w:rPr>
        <w:t>5)</w:t>
      </w:r>
      <w:r w:rsidR="00B14A02">
        <w:rPr>
          <w:color w:val="1F497D" w:themeColor="text2"/>
          <w:sz w:val="20"/>
        </w:rPr>
        <w:t>.</w:t>
      </w:r>
    </w:p>
    <w:p w14:paraId="3941796E" w14:textId="04697A21" w:rsidR="00AA7794" w:rsidRPr="00F92CEC" w:rsidRDefault="00AA7794" w:rsidP="00F92CEC">
      <w:pPr>
        <w:ind w:left="567" w:right="565"/>
        <w:rPr>
          <w:color w:val="1F497D" w:themeColor="text2"/>
          <w:sz w:val="20"/>
        </w:rPr>
      </w:pPr>
      <w:r w:rsidRPr="00F92CEC">
        <w:rPr>
          <w:color w:val="1F497D" w:themeColor="text2"/>
          <w:sz w:val="20"/>
        </w:rPr>
        <w:t>For the industry to capture the next wave of developments in the sector, a stable and balanced fiscal framework is essential. Australia has a proven, successful model (including the PRRT) which should be retained</w:t>
      </w:r>
      <w:r w:rsidR="00B14A02">
        <w:rPr>
          <w:color w:val="1F497D" w:themeColor="text2"/>
          <w:sz w:val="20"/>
        </w:rPr>
        <w:t xml:space="preserve"> </w:t>
      </w:r>
      <w:r w:rsidR="00B14A02" w:rsidRPr="007D4B54">
        <w:rPr>
          <w:color w:val="1F497D" w:themeColor="text2"/>
          <w:sz w:val="20"/>
        </w:rPr>
        <w:t>(APPEA Submission, p. 3)</w:t>
      </w:r>
      <w:r w:rsidRPr="00F92CEC">
        <w:rPr>
          <w:color w:val="1F497D" w:themeColor="text2"/>
          <w:sz w:val="20"/>
        </w:rPr>
        <w:t>.</w:t>
      </w:r>
    </w:p>
    <w:p w14:paraId="1FDC5059" w14:textId="50588032" w:rsidR="00AA7794" w:rsidRDefault="00AA7794" w:rsidP="002E58C4">
      <w:r>
        <w:t xml:space="preserve">Similarly, Japan Australia LNG (MIMI) Pty Ltd </w:t>
      </w:r>
      <w:r w:rsidR="00915650">
        <w:t>noted</w:t>
      </w:r>
      <w:r>
        <w:t>:</w:t>
      </w:r>
    </w:p>
    <w:p w14:paraId="62032293" w14:textId="1606E2F2" w:rsidR="00AA7794" w:rsidRPr="00F92CEC" w:rsidRDefault="00AA7794" w:rsidP="00F92CEC">
      <w:pPr>
        <w:ind w:left="567" w:right="565"/>
        <w:rPr>
          <w:color w:val="1F497D" w:themeColor="text2"/>
          <w:sz w:val="20"/>
        </w:rPr>
      </w:pPr>
      <w:r w:rsidRPr="00F92CEC">
        <w:rPr>
          <w:color w:val="1F497D" w:themeColor="text2"/>
          <w:sz w:val="20"/>
        </w:rPr>
        <w:t xml:space="preserve">A stable and neutral taxation regime is essential to encourage development of resources by allowing a return on investment commensurate with the risk of exploration and development. Adverse fiscal regime changes may discourage already challenging projects to remain undeveloped when </w:t>
      </w:r>
      <w:r w:rsidR="00B14A02">
        <w:rPr>
          <w:color w:val="1F497D" w:themeColor="text2"/>
          <w:sz w:val="20"/>
        </w:rPr>
        <w:t xml:space="preserve">market conditions are difficult </w:t>
      </w:r>
      <w:r w:rsidR="00B14A02" w:rsidRPr="00CB4E50">
        <w:rPr>
          <w:color w:val="1F497D" w:themeColor="text2"/>
          <w:sz w:val="20"/>
        </w:rPr>
        <w:t>(Japan Australia LNG Submission, p. 2)</w:t>
      </w:r>
      <w:r w:rsidR="00B14A02">
        <w:rPr>
          <w:color w:val="1F497D" w:themeColor="text2"/>
          <w:sz w:val="20"/>
        </w:rPr>
        <w:t>.</w:t>
      </w:r>
    </w:p>
    <w:p w14:paraId="46F1089C" w14:textId="397484AB" w:rsidR="00AA7794" w:rsidRDefault="008A0C30" w:rsidP="002E58C4">
      <w:r>
        <w:t xml:space="preserve">Industry submissions noted that the recent substantial investment in </w:t>
      </w:r>
      <w:r w:rsidR="00AA7794">
        <w:t>long</w:t>
      </w:r>
      <w:r w:rsidR="005D6F39">
        <w:noBreakHyphen/>
      </w:r>
      <w:r w:rsidR="00AA7794">
        <w:t>term Australian LNG projects</w:t>
      </w:r>
      <w:r>
        <w:t xml:space="preserve"> were undertaken on the basis that </w:t>
      </w:r>
      <w:r w:rsidR="00AA7794">
        <w:t xml:space="preserve">long standing taxation arrangements </w:t>
      </w:r>
      <w:r>
        <w:t>would be maintained.</w:t>
      </w:r>
      <w:r w:rsidR="00EC79FD">
        <w:t xml:space="preserve"> </w:t>
      </w:r>
      <w:r w:rsidR="000E0C06">
        <w:t>T</w:t>
      </w:r>
      <w:r w:rsidR="00AA7794">
        <w:t xml:space="preserve">he Business Council of Australia </w:t>
      </w:r>
      <w:r w:rsidR="00915650">
        <w:t>noted</w:t>
      </w:r>
      <w:r w:rsidR="00AA7794">
        <w:t>:</w:t>
      </w:r>
    </w:p>
    <w:p w14:paraId="27E41C5E" w14:textId="708CF23D" w:rsidR="00AA7794" w:rsidRPr="00F92CEC" w:rsidRDefault="00AA7794" w:rsidP="00F92CEC">
      <w:pPr>
        <w:ind w:left="567" w:right="565"/>
        <w:rPr>
          <w:color w:val="1F497D" w:themeColor="text2"/>
          <w:sz w:val="20"/>
        </w:rPr>
      </w:pPr>
      <w:r w:rsidRPr="00F92CEC">
        <w:rPr>
          <w:color w:val="1F497D" w:themeColor="text2"/>
          <w:sz w:val="20"/>
        </w:rPr>
        <w:t>It is also critical to recognise that investment decisions are undertaken based on the tax and policy settings at the time, with consideration for stability in these settings. Australia has traditionally been considered a safe environment for oil and gas investment, with a low level of sovereign risk. Indeed, this reputation helped foster the recent $200 billion investment boo</w:t>
      </w:r>
      <w:r w:rsidR="00B14A02">
        <w:rPr>
          <w:color w:val="1F497D" w:themeColor="text2"/>
          <w:sz w:val="20"/>
        </w:rPr>
        <w:t xml:space="preserve">m and should be maintained </w:t>
      </w:r>
      <w:r w:rsidR="00B14A02" w:rsidRPr="00CB4E50">
        <w:rPr>
          <w:color w:val="1F497D" w:themeColor="text2"/>
          <w:sz w:val="20"/>
        </w:rPr>
        <w:t>(Business Council of Australia Submission, p. 10)</w:t>
      </w:r>
      <w:r w:rsidR="00B14A02">
        <w:rPr>
          <w:color w:val="1F497D" w:themeColor="text2"/>
          <w:sz w:val="20"/>
        </w:rPr>
        <w:t>.</w:t>
      </w:r>
    </w:p>
    <w:p w14:paraId="739B1077" w14:textId="498D70EC" w:rsidR="00C86124" w:rsidRDefault="00C86124" w:rsidP="002E58C4">
      <w:r>
        <w:t xml:space="preserve">Some industry submissions provided examples of </w:t>
      </w:r>
      <w:r w:rsidR="00747BC7">
        <w:t xml:space="preserve">negative impacts on oil and gas investments when </w:t>
      </w:r>
      <w:r>
        <w:t xml:space="preserve">other jurisdictions </w:t>
      </w:r>
      <w:r w:rsidR="00747BC7">
        <w:t>made changes to fiscal regimes</w:t>
      </w:r>
      <w:r>
        <w:t>. For example, BHP</w:t>
      </w:r>
      <w:r w:rsidR="00F5659C">
        <w:t> </w:t>
      </w:r>
      <w:r w:rsidR="00A730F1">
        <w:t>Billiton</w:t>
      </w:r>
      <w:r w:rsidR="00374A94">
        <w:t xml:space="preserve"> referred to tax changes in the U</w:t>
      </w:r>
      <w:r w:rsidR="00074D4D">
        <w:t xml:space="preserve">nited </w:t>
      </w:r>
      <w:r w:rsidR="00374A94">
        <w:t>K</w:t>
      </w:r>
      <w:r w:rsidR="00074D4D">
        <w:t>ingdom</w:t>
      </w:r>
      <w:r w:rsidR="00374A94">
        <w:t xml:space="preserve"> impacting adversely on o</w:t>
      </w:r>
      <w:r w:rsidR="00E55348">
        <w:t>i</w:t>
      </w:r>
      <w:r w:rsidR="00374A94">
        <w:t>l exploration in the North Sea.</w:t>
      </w:r>
    </w:p>
    <w:p w14:paraId="1F4C25CC" w14:textId="0FCDB4E3" w:rsidR="00C86124" w:rsidRPr="000252AD" w:rsidRDefault="00C86124" w:rsidP="00C86124">
      <w:pPr>
        <w:ind w:left="567" w:right="565"/>
        <w:rPr>
          <w:color w:val="1F497D" w:themeColor="text2"/>
          <w:sz w:val="20"/>
        </w:rPr>
      </w:pPr>
      <w:r w:rsidRPr="000252AD">
        <w:rPr>
          <w:color w:val="1F497D" w:themeColor="text2"/>
          <w:sz w:val="20"/>
        </w:rPr>
        <w:t>The evidence suggests that tax instability in 2011 significantly discouraged investment (especially in exploration) and incentivised production declines which will take years</w:t>
      </w:r>
      <w:r w:rsidR="005D6F39">
        <w:rPr>
          <w:color w:val="1F497D" w:themeColor="text2"/>
          <w:sz w:val="20"/>
        </w:rPr>
        <w:t xml:space="preserve"> — </w:t>
      </w:r>
      <w:r w:rsidRPr="000252AD">
        <w:rPr>
          <w:color w:val="1F497D" w:themeColor="text2"/>
          <w:sz w:val="20"/>
        </w:rPr>
        <w:t>if ever</w:t>
      </w:r>
      <w:r w:rsidR="005D6F39">
        <w:rPr>
          <w:color w:val="1F497D" w:themeColor="text2"/>
          <w:sz w:val="20"/>
        </w:rPr>
        <w:t xml:space="preserve"> — </w:t>
      </w:r>
      <w:r w:rsidRPr="000252AD">
        <w:rPr>
          <w:color w:val="1F497D" w:themeColor="text2"/>
          <w:sz w:val="20"/>
        </w:rPr>
        <w:t>to recover. The UK must now offer some of the most competitive terms globally in order to attract the investment required to address the impact of the 2011 fiscal policy changes</w:t>
      </w:r>
      <w:r w:rsidR="00CB4E50">
        <w:rPr>
          <w:color w:val="1F497D" w:themeColor="text2"/>
          <w:sz w:val="20"/>
        </w:rPr>
        <w:t xml:space="preserve"> </w:t>
      </w:r>
      <w:r w:rsidR="00CB4E50" w:rsidRPr="00CB4E50">
        <w:rPr>
          <w:color w:val="1F497D" w:themeColor="text2"/>
          <w:sz w:val="20"/>
        </w:rPr>
        <w:t>(</w:t>
      </w:r>
      <w:r w:rsidRPr="00CB4E50">
        <w:rPr>
          <w:color w:val="1F497D" w:themeColor="text2"/>
          <w:sz w:val="20"/>
        </w:rPr>
        <w:t>BHP Billiton Submission, Appendix 4: Taxing North Sea Oil, p</w:t>
      </w:r>
      <w:r w:rsidR="00E501BA" w:rsidRPr="00CB4E50">
        <w:rPr>
          <w:color w:val="1F497D" w:themeColor="text2"/>
          <w:sz w:val="20"/>
        </w:rPr>
        <w:t>.</w:t>
      </w:r>
      <w:r w:rsidRPr="00CB4E50">
        <w:rPr>
          <w:color w:val="1F497D" w:themeColor="text2"/>
          <w:sz w:val="20"/>
        </w:rPr>
        <w:t xml:space="preserve"> 21</w:t>
      </w:r>
      <w:r w:rsidR="00CB4E50" w:rsidRPr="00CB4E50">
        <w:rPr>
          <w:color w:val="1F497D" w:themeColor="text2"/>
          <w:sz w:val="20"/>
        </w:rPr>
        <w:t>).</w:t>
      </w:r>
    </w:p>
    <w:p w14:paraId="77761661" w14:textId="122CF5CB" w:rsidR="00C86124" w:rsidRDefault="00D87835" w:rsidP="002E58C4">
      <w:r>
        <w:t>Woodside and t</w:t>
      </w:r>
      <w:r w:rsidR="00C86124">
        <w:t>he Business Council of Australia</w:t>
      </w:r>
      <w:r w:rsidR="00374A94">
        <w:t xml:space="preserve"> also referred to </w:t>
      </w:r>
      <w:r w:rsidR="00C86124">
        <w:t xml:space="preserve">examples </w:t>
      </w:r>
      <w:r w:rsidR="00374A94">
        <w:t xml:space="preserve">of the consequence of fiscal policy changes </w:t>
      </w:r>
      <w:r w:rsidR="00C86124">
        <w:t xml:space="preserve">provided in a </w:t>
      </w:r>
      <w:r w:rsidR="00C86124" w:rsidRPr="00553944">
        <w:t xml:space="preserve">2011 </w:t>
      </w:r>
      <w:r w:rsidR="00553944" w:rsidRPr="00553944">
        <w:t xml:space="preserve">report </w:t>
      </w:r>
      <w:r w:rsidR="00F5659C">
        <w:t>prepared for</w:t>
      </w:r>
      <w:r w:rsidR="00553944" w:rsidRPr="00553944">
        <w:t xml:space="preserve"> the US</w:t>
      </w:r>
      <w:r w:rsidR="00F5659C">
        <w:t> </w:t>
      </w:r>
      <w:r w:rsidR="00553944" w:rsidRPr="00553944">
        <w:t xml:space="preserve">Department of the Interior, </w:t>
      </w:r>
      <w:r w:rsidR="00C86124" w:rsidRPr="00553944">
        <w:rPr>
          <w:i/>
        </w:rPr>
        <w:t xml:space="preserve">Comparative </w:t>
      </w:r>
      <w:r w:rsidR="00553944" w:rsidRPr="00553944">
        <w:rPr>
          <w:i/>
        </w:rPr>
        <w:t>Assessment of the Federal Oil</w:t>
      </w:r>
      <w:r w:rsidR="00EC79FD" w:rsidRPr="00553944">
        <w:rPr>
          <w:i/>
        </w:rPr>
        <w:t xml:space="preserve"> and </w:t>
      </w:r>
      <w:r w:rsidR="00553944" w:rsidRPr="00553944">
        <w:rPr>
          <w:i/>
        </w:rPr>
        <w:t>Gas Fiscal System</w:t>
      </w:r>
      <w:r w:rsidR="00EC79FD" w:rsidRPr="00553944">
        <w:t>:</w:t>
      </w:r>
    </w:p>
    <w:p w14:paraId="6C8CBD01" w14:textId="3FA6D163" w:rsidR="00C86124" w:rsidRPr="00C86124" w:rsidRDefault="00C86124" w:rsidP="00C86124">
      <w:pPr>
        <w:ind w:left="567" w:right="565"/>
        <w:rPr>
          <w:color w:val="1F497D" w:themeColor="text2"/>
          <w:sz w:val="20"/>
        </w:rPr>
      </w:pPr>
      <w:r w:rsidRPr="000252AD">
        <w:rPr>
          <w:color w:val="1F497D" w:themeColor="text2"/>
          <w:sz w:val="20"/>
        </w:rPr>
        <w:t>For example, policy changes in Alaska and Alberta contributed to a decline in petroleum</w:t>
      </w:r>
      <w:r w:rsidR="005D6F39">
        <w:rPr>
          <w:color w:val="1F497D" w:themeColor="text2"/>
          <w:sz w:val="20"/>
        </w:rPr>
        <w:noBreakHyphen/>
      </w:r>
      <w:r w:rsidRPr="000252AD">
        <w:rPr>
          <w:color w:val="1F497D" w:themeColor="text2"/>
          <w:sz w:val="20"/>
        </w:rPr>
        <w:t>related activity and a loss of investor confidence in the stability and predictability of their regimes. Short</w:t>
      </w:r>
      <w:r w:rsidR="005D6F39">
        <w:rPr>
          <w:color w:val="1F497D" w:themeColor="text2"/>
          <w:sz w:val="20"/>
        </w:rPr>
        <w:noBreakHyphen/>
      </w:r>
      <w:r w:rsidRPr="000252AD">
        <w:rPr>
          <w:color w:val="1F497D" w:themeColor="text2"/>
          <w:sz w:val="20"/>
        </w:rPr>
        <w:t>sighted changes that seek to extract more revenue from existing projects also risk deterring new investments or expansions of existing investments. Critically, this would come at a time when the next wave of investment needs to be encouraged and unlocked</w:t>
      </w:r>
      <w:r w:rsidR="00553944">
        <w:rPr>
          <w:color w:val="1F497D" w:themeColor="text2"/>
          <w:sz w:val="20"/>
        </w:rPr>
        <w:t xml:space="preserve"> (</w:t>
      </w:r>
      <w:r w:rsidRPr="00CB4E50">
        <w:rPr>
          <w:color w:val="1F497D" w:themeColor="text2"/>
          <w:sz w:val="20"/>
        </w:rPr>
        <w:t>Business Council of Australia</w:t>
      </w:r>
      <w:r w:rsidR="00E501BA" w:rsidRPr="00CB4E50">
        <w:rPr>
          <w:color w:val="1F497D" w:themeColor="text2"/>
          <w:sz w:val="20"/>
        </w:rPr>
        <w:t xml:space="preserve"> Submission</w:t>
      </w:r>
      <w:r w:rsidRPr="00CB4E50">
        <w:rPr>
          <w:color w:val="1F497D" w:themeColor="text2"/>
          <w:sz w:val="20"/>
        </w:rPr>
        <w:t>, p</w:t>
      </w:r>
      <w:r w:rsidR="00E501BA" w:rsidRPr="00CB4E50">
        <w:rPr>
          <w:color w:val="1F497D" w:themeColor="text2"/>
          <w:sz w:val="20"/>
        </w:rPr>
        <w:t>.</w:t>
      </w:r>
      <w:r w:rsidR="00553944" w:rsidRPr="00CB4E50">
        <w:rPr>
          <w:color w:val="1F497D" w:themeColor="text2"/>
          <w:sz w:val="20"/>
        </w:rPr>
        <w:t xml:space="preserve"> </w:t>
      </w:r>
      <w:r w:rsidRPr="00CB4E50">
        <w:rPr>
          <w:color w:val="1F497D" w:themeColor="text2"/>
          <w:sz w:val="20"/>
        </w:rPr>
        <w:t>11</w:t>
      </w:r>
      <w:r w:rsidR="00553944">
        <w:rPr>
          <w:color w:val="1F497D" w:themeColor="text2"/>
          <w:sz w:val="20"/>
        </w:rPr>
        <w:t>)</w:t>
      </w:r>
      <w:r w:rsidRPr="000252AD">
        <w:rPr>
          <w:color w:val="1F497D" w:themeColor="text2"/>
          <w:sz w:val="20"/>
        </w:rPr>
        <w:t>.</w:t>
      </w:r>
    </w:p>
    <w:p w14:paraId="601F8F9B" w14:textId="2C0B5BC3" w:rsidR="00AA7794" w:rsidRDefault="009F2FF7" w:rsidP="002E58C4">
      <w:r>
        <w:t xml:space="preserve">In </w:t>
      </w:r>
      <w:r w:rsidR="00AA7794">
        <w:t xml:space="preserve">its </w:t>
      </w:r>
      <w:r w:rsidR="00AA7794" w:rsidRPr="00D1734F">
        <w:rPr>
          <w:i/>
        </w:rPr>
        <w:t>Global Petroleum Survey 2016</w:t>
      </w:r>
      <w:r>
        <w:rPr>
          <w:i/>
        </w:rPr>
        <w:t xml:space="preserve"> </w:t>
      </w:r>
      <w:r>
        <w:t xml:space="preserve">the Fraser Institute rated </w:t>
      </w:r>
      <w:r w:rsidR="00AA7794">
        <w:t>Australia as an attractive investment destination second only to the U</w:t>
      </w:r>
      <w:r w:rsidR="00915650">
        <w:t>nited States</w:t>
      </w:r>
      <w:r w:rsidR="00AA7794">
        <w:t>. The survey across the global oil and gas industry ranks countries</w:t>
      </w:r>
      <w:r w:rsidR="005D6F39">
        <w:t>’</w:t>
      </w:r>
      <w:r w:rsidR="00AA7794">
        <w:t xml:space="preserve"> investment potential based on petroleum reserves and quantified barriers to investment including tax rates, regulat</w:t>
      </w:r>
      <w:r>
        <w:t>ory certainty</w:t>
      </w:r>
      <w:r w:rsidR="00AA7794">
        <w:t>, and political stability. Supporting Australia</w:t>
      </w:r>
      <w:r w:rsidR="005D6F39">
        <w:t>’</w:t>
      </w:r>
      <w:r w:rsidR="00AA7794">
        <w:t>s standing as a desirable investment destination, the survey ranked Australia well against other jurisdictions in terms of its fiscal and taxation settings</w:t>
      </w:r>
      <w:r w:rsidR="008627F7">
        <w:t xml:space="preserve"> (</w:t>
      </w:r>
      <w:r w:rsidR="008627F7" w:rsidRPr="00CB4E50">
        <w:t>Fraser Institute, 2016a</w:t>
      </w:r>
      <w:r w:rsidR="008627F7">
        <w:t>)</w:t>
      </w:r>
      <w:r w:rsidR="00AA7794">
        <w:t>.</w:t>
      </w:r>
    </w:p>
    <w:p w14:paraId="4A7717D8" w14:textId="12045B1B" w:rsidR="00AA7794" w:rsidRDefault="00AA7794" w:rsidP="002E58C4">
      <w:r>
        <w:t>Interestingly</w:t>
      </w:r>
      <w:r w:rsidR="00332EB7">
        <w:t>,</w:t>
      </w:r>
      <w:r w:rsidR="009F2FF7">
        <w:t xml:space="preserve"> </w:t>
      </w:r>
      <w:r>
        <w:t xml:space="preserve">Australia moved ahead of Canada </w:t>
      </w:r>
      <w:r w:rsidR="009F2FF7">
        <w:t xml:space="preserve">in the 2016 survey </w:t>
      </w:r>
      <w:r>
        <w:t xml:space="preserve">as an attractive investment destination. The </w:t>
      </w:r>
      <w:r w:rsidR="009F2FF7">
        <w:t xml:space="preserve">Fraser </w:t>
      </w:r>
      <w:r>
        <w:t>Institute cited regulatory uncertainty in Canada</w:t>
      </w:r>
      <w:r w:rsidR="005D6F39">
        <w:t>’</w:t>
      </w:r>
      <w:r>
        <w:t>s Alberta province as a major contributor:</w:t>
      </w:r>
    </w:p>
    <w:p w14:paraId="3E68E2D4" w14:textId="0586D723" w:rsidR="00AA7794" w:rsidRPr="00F92CEC" w:rsidRDefault="00AA7794" w:rsidP="00F92CEC">
      <w:pPr>
        <w:ind w:left="567" w:right="565"/>
        <w:rPr>
          <w:color w:val="1F497D" w:themeColor="text2"/>
          <w:sz w:val="20"/>
        </w:rPr>
      </w:pPr>
      <w:r w:rsidRPr="00F92CEC">
        <w:rPr>
          <w:color w:val="1F497D" w:themeColor="text2"/>
          <w:sz w:val="20"/>
        </w:rPr>
        <w:t>Canada</w:t>
      </w:r>
      <w:r w:rsidR="005D6F39">
        <w:rPr>
          <w:color w:val="1F497D" w:themeColor="text2"/>
          <w:sz w:val="20"/>
        </w:rPr>
        <w:t>’</w:t>
      </w:r>
      <w:r w:rsidRPr="00F92CEC">
        <w:rPr>
          <w:color w:val="1F497D" w:themeColor="text2"/>
          <w:sz w:val="20"/>
        </w:rPr>
        <w:t>s fall to the third most attractive region in the world for investment is reflective of Alberta</w:t>
      </w:r>
      <w:r w:rsidR="005D6F39">
        <w:rPr>
          <w:color w:val="1F497D" w:themeColor="text2"/>
          <w:sz w:val="20"/>
        </w:rPr>
        <w:t>’</w:t>
      </w:r>
      <w:r w:rsidRPr="00F92CEC">
        <w:rPr>
          <w:color w:val="1F497D" w:themeColor="text2"/>
          <w:sz w:val="20"/>
        </w:rPr>
        <w:t>s continued deterioration, as investors continue to view the province as less attractive for investment</w:t>
      </w:r>
      <w:r w:rsidR="005137C0">
        <w:rPr>
          <w:color w:val="1F497D" w:themeColor="text2"/>
          <w:sz w:val="20"/>
        </w:rPr>
        <w:t xml:space="preserve"> … </w:t>
      </w:r>
      <w:r w:rsidRPr="00F92CEC">
        <w:rPr>
          <w:color w:val="1F497D" w:themeColor="text2"/>
          <w:sz w:val="20"/>
        </w:rPr>
        <w:t>the Alberta government has introduced policies that are confusing and possibly costly, creating uncertainty for the oil and gas industry, which can invest elsewhere</w:t>
      </w:r>
      <w:r w:rsidR="005137C0">
        <w:rPr>
          <w:color w:val="1F497D" w:themeColor="text2"/>
          <w:sz w:val="20"/>
        </w:rPr>
        <w:t xml:space="preserve"> … </w:t>
      </w:r>
      <w:r w:rsidRPr="00F92CEC">
        <w:rPr>
          <w:color w:val="1F497D" w:themeColor="text2"/>
          <w:sz w:val="20"/>
        </w:rPr>
        <w:t>Alberta earned low marks for regulatory duplication and inconsistencies, high taxation, and uncertain environmental regulations</w:t>
      </w:r>
      <w:r w:rsidR="005137C0">
        <w:rPr>
          <w:color w:val="1F497D" w:themeColor="text2"/>
          <w:sz w:val="20"/>
        </w:rPr>
        <w:t xml:space="preserve"> … </w:t>
      </w:r>
      <w:r w:rsidRPr="00F92CEC">
        <w:rPr>
          <w:color w:val="1F497D" w:themeColor="text2"/>
          <w:sz w:val="20"/>
        </w:rPr>
        <w:t>Alberta dropped 18 spots to 43rd out of 96 jurisdictions worldwide on the Policy Perception Index, a comprehensive measure of the extent to which policy deters oil and gas investment</w:t>
      </w:r>
      <w:r w:rsidR="00D1734F">
        <w:rPr>
          <w:color w:val="1F497D" w:themeColor="text2"/>
          <w:sz w:val="20"/>
        </w:rPr>
        <w:t xml:space="preserve"> (</w:t>
      </w:r>
      <w:r w:rsidR="00D1734F" w:rsidRPr="00CB4E50">
        <w:rPr>
          <w:color w:val="1F497D" w:themeColor="text2"/>
          <w:sz w:val="20"/>
        </w:rPr>
        <w:t>Fraser Institute, 2016</w:t>
      </w:r>
      <w:r w:rsidR="008627F7" w:rsidRPr="00CB4E50">
        <w:rPr>
          <w:color w:val="1F497D" w:themeColor="text2"/>
          <w:sz w:val="20"/>
        </w:rPr>
        <w:t>b</w:t>
      </w:r>
      <w:r w:rsidR="00D1734F" w:rsidRPr="00553944">
        <w:rPr>
          <w:color w:val="1F497D" w:themeColor="text2"/>
          <w:sz w:val="20"/>
        </w:rPr>
        <w:t>)</w:t>
      </w:r>
      <w:r w:rsidRPr="00F92CEC">
        <w:rPr>
          <w:color w:val="1F497D" w:themeColor="text2"/>
          <w:sz w:val="20"/>
        </w:rPr>
        <w:t>.</w:t>
      </w:r>
    </w:p>
    <w:p w14:paraId="04423300" w14:textId="0322EAAE" w:rsidR="00A54324" w:rsidRPr="007D4B54" w:rsidRDefault="00A54324" w:rsidP="0066468A">
      <w:r>
        <w:t>Further information comparing Australia</w:t>
      </w:r>
      <w:r w:rsidR="005D6F39">
        <w:t>’</w:t>
      </w:r>
      <w:r>
        <w:t xml:space="preserve">s fiscal and taxation settings internationally is provided in </w:t>
      </w:r>
      <w:r w:rsidRPr="007D4B54">
        <w:t>section</w:t>
      </w:r>
      <w:r w:rsidR="009D2B37" w:rsidRPr="007D4B54">
        <w:t>s</w:t>
      </w:r>
      <w:r w:rsidRPr="007D4B54">
        <w:t xml:space="preserve"> 2.4</w:t>
      </w:r>
      <w:r w:rsidR="009D2B37" w:rsidRPr="007D4B54">
        <w:t xml:space="preserve"> </w:t>
      </w:r>
      <w:r w:rsidR="009D2B37" w:rsidRPr="00755941">
        <w:t xml:space="preserve">and </w:t>
      </w:r>
      <w:r w:rsidR="009D2B37" w:rsidRPr="007D4B54">
        <w:t xml:space="preserve">2.5, </w:t>
      </w:r>
      <w:r w:rsidR="009D2B37" w:rsidRPr="00755941">
        <w:t xml:space="preserve">and in </w:t>
      </w:r>
      <w:r w:rsidR="009C1498" w:rsidRPr="007D4B54">
        <w:t>Appendix E</w:t>
      </w:r>
      <w:r w:rsidRPr="007D4B54">
        <w:t>.</w:t>
      </w:r>
    </w:p>
    <w:p w14:paraId="7830378C" w14:textId="03498C87" w:rsidR="009D2B37" w:rsidRDefault="009D2B37" w:rsidP="009D2B37">
      <w:bookmarkStart w:id="3761" w:name="_Toc476582312"/>
      <w:bookmarkStart w:id="3762" w:name="_Toc476582986"/>
      <w:bookmarkStart w:id="3763" w:name="_Toc476583703"/>
      <w:bookmarkStart w:id="3764" w:name="_Toc476584151"/>
      <w:bookmarkStart w:id="3765" w:name="_Toc476738057"/>
      <w:r>
        <w:t>The</w:t>
      </w:r>
      <w:r w:rsidR="006D1539">
        <w:t xml:space="preserve"> view was also raised</w:t>
      </w:r>
      <w:r>
        <w:t xml:space="preserve"> that an important part of ensuring a stable fiscal arrangement is ensuring that the community receives an equitable return for the use of its resources. If the community believes that this is not the case, then there will be pressure on governments to change the arrangements to ensure that the community is adequately compensated. </w:t>
      </w:r>
      <w:r w:rsidR="008E1987">
        <w:t>T</w:t>
      </w:r>
      <w:r>
        <w:t xml:space="preserve">he Tax Justice Network </w:t>
      </w:r>
      <w:r w:rsidR="000A33FC">
        <w:t>Australia</w:t>
      </w:r>
      <w:r>
        <w:t xml:space="preserve"> </w:t>
      </w:r>
      <w:r w:rsidR="008E1987">
        <w:t xml:space="preserve">called for the introduction of a royalty on existing offshore projects in order to ensure that the Australian community was appropriately compensated, arguing that such </w:t>
      </w:r>
      <w:r>
        <w:t xml:space="preserve">a royalty </w:t>
      </w:r>
      <w:r w:rsidR="008E1987">
        <w:t>would not be</w:t>
      </w:r>
      <w:r>
        <w:t xml:space="preserve"> retrospective in nature or create sovereign risk:</w:t>
      </w:r>
    </w:p>
    <w:p w14:paraId="00C2F52E" w14:textId="49C5125A" w:rsidR="009D2B37" w:rsidRDefault="009D2B37">
      <w:pPr>
        <w:ind w:left="567" w:right="565"/>
      </w:pPr>
      <w:r w:rsidRPr="00F92CEC">
        <w:rPr>
          <w:color w:val="1F497D" w:themeColor="text2"/>
          <w:sz w:val="20"/>
        </w:rPr>
        <w:t>This proposal would not be retrospective, would not create sovereign risk, would equalise royalty regimes across the oil and gas sector, would maintain a stable investment climate, and not be a deterrent to future investment</w:t>
      </w:r>
      <w:r>
        <w:rPr>
          <w:color w:val="1F497D" w:themeColor="text2"/>
          <w:sz w:val="20"/>
        </w:rPr>
        <w:t xml:space="preserve"> </w:t>
      </w:r>
      <w:r w:rsidRPr="00CB4E50">
        <w:rPr>
          <w:color w:val="1F497D" w:themeColor="text2"/>
          <w:sz w:val="20"/>
        </w:rPr>
        <w:t xml:space="preserve">(Tax Justice Network </w:t>
      </w:r>
      <w:r w:rsidR="00CB4E50" w:rsidRPr="00CB4E50">
        <w:rPr>
          <w:color w:val="1F497D" w:themeColor="text2"/>
          <w:sz w:val="20"/>
        </w:rPr>
        <w:t xml:space="preserve">Australia </w:t>
      </w:r>
      <w:r w:rsidRPr="00CB4E50">
        <w:rPr>
          <w:color w:val="1F497D" w:themeColor="text2"/>
          <w:sz w:val="20"/>
        </w:rPr>
        <w:t>Submission, p.</w:t>
      </w:r>
      <w:r w:rsidR="00CB4E50" w:rsidRPr="00CB4E50">
        <w:rPr>
          <w:color w:val="1F497D" w:themeColor="text2"/>
          <w:sz w:val="20"/>
        </w:rPr>
        <w:t xml:space="preserve"> </w:t>
      </w:r>
      <w:r w:rsidRPr="00CB4E50">
        <w:rPr>
          <w:color w:val="1F497D" w:themeColor="text2"/>
          <w:sz w:val="20"/>
        </w:rPr>
        <w:t>6)</w:t>
      </w:r>
      <w:r>
        <w:rPr>
          <w:color w:val="1F497D" w:themeColor="text2"/>
          <w:sz w:val="20"/>
        </w:rPr>
        <w:t>.</w:t>
      </w:r>
    </w:p>
    <w:p w14:paraId="5739FB03" w14:textId="3D157FEE" w:rsidR="00F92CEC" w:rsidRDefault="00F92CEC" w:rsidP="0066468A">
      <w:r>
        <w:br w:type="page"/>
      </w:r>
      <w:bookmarkEnd w:id="3761"/>
      <w:bookmarkEnd w:id="3762"/>
      <w:bookmarkEnd w:id="3763"/>
      <w:bookmarkEnd w:id="3764"/>
      <w:bookmarkEnd w:id="3765"/>
    </w:p>
    <w:p w14:paraId="44C369F1" w14:textId="0A5755F0" w:rsidR="00AA7794" w:rsidRDefault="00CD567A" w:rsidP="00CD567A">
      <w:pPr>
        <w:pStyle w:val="Heading1"/>
      </w:pPr>
      <w:bookmarkStart w:id="3766" w:name="_Toc476577324"/>
      <w:bookmarkStart w:id="3767" w:name="_Toc476582313"/>
      <w:bookmarkStart w:id="3768" w:name="_Toc476582987"/>
      <w:bookmarkStart w:id="3769" w:name="_Toc476583704"/>
      <w:bookmarkStart w:id="3770" w:name="_Toc476584152"/>
      <w:bookmarkStart w:id="3771" w:name="_Toc476738058"/>
      <w:bookmarkStart w:id="3772" w:name="_Toc476747633"/>
      <w:bookmarkStart w:id="3773" w:name="_Toc476749041"/>
      <w:bookmarkStart w:id="3774" w:name="_Toc476753908"/>
      <w:bookmarkStart w:id="3775" w:name="_Toc476754403"/>
      <w:bookmarkStart w:id="3776" w:name="_Toc476754568"/>
      <w:bookmarkStart w:id="3777" w:name="_Toc476759804"/>
      <w:bookmarkStart w:id="3778" w:name="_Toc476761426"/>
      <w:bookmarkStart w:id="3779" w:name="_Toc476767064"/>
      <w:bookmarkStart w:id="3780" w:name="_Toc476827110"/>
      <w:bookmarkStart w:id="3781" w:name="_Toc476828803"/>
      <w:bookmarkStart w:id="3782" w:name="_Toc476833677"/>
      <w:bookmarkStart w:id="3783" w:name="_Toc476837150"/>
      <w:bookmarkStart w:id="3784" w:name="_Toc476841023"/>
      <w:bookmarkStart w:id="3785" w:name="_Toc476841228"/>
      <w:bookmarkStart w:id="3786" w:name="_Toc476841987"/>
      <w:bookmarkStart w:id="3787" w:name="_Toc476842931"/>
      <w:bookmarkStart w:id="3788" w:name="_Toc476843102"/>
      <w:bookmarkStart w:id="3789" w:name="_Toc476844600"/>
      <w:bookmarkStart w:id="3790" w:name="_Toc476845493"/>
      <w:bookmarkStart w:id="3791" w:name="_Toc476926885"/>
      <w:bookmarkStart w:id="3792" w:name="_Toc476926824"/>
      <w:bookmarkStart w:id="3793" w:name="_Toc476927172"/>
      <w:bookmarkStart w:id="3794" w:name="_Toc476928436"/>
      <w:bookmarkStart w:id="3795" w:name="_Toc476929479"/>
      <w:bookmarkStart w:id="3796" w:name="_Toc476929654"/>
      <w:bookmarkStart w:id="3797" w:name="_Toc476930697"/>
      <w:bookmarkStart w:id="3798" w:name="_Toc476931504"/>
      <w:bookmarkStart w:id="3799" w:name="_Toc477869871"/>
      <w:bookmarkStart w:id="3800" w:name="_Toc477871110"/>
      <w:bookmarkStart w:id="3801" w:name="_Toc477873269"/>
      <w:bookmarkStart w:id="3802" w:name="_Toc477875263"/>
      <w:bookmarkStart w:id="3803" w:name="_Toc477880176"/>
      <w:bookmarkStart w:id="3804" w:name="_Toc477881436"/>
      <w:bookmarkStart w:id="3805" w:name="_Toc477955840"/>
      <w:bookmarkStart w:id="3806" w:name="_Toc477963085"/>
      <w:bookmarkStart w:id="3807" w:name="_Toc477963571"/>
      <w:bookmarkStart w:id="3808" w:name="_Toc477965157"/>
      <w:bookmarkStart w:id="3809" w:name="_Toc477966661"/>
      <w:bookmarkStart w:id="3810" w:name="_Toc477966830"/>
      <w:bookmarkStart w:id="3811" w:name="_Toc477967170"/>
      <w:bookmarkStart w:id="3812" w:name="_Toc478121307"/>
      <w:bookmarkStart w:id="3813" w:name="_Toc478122220"/>
      <w:bookmarkStart w:id="3814" w:name="_Toc478132194"/>
      <w:bookmarkStart w:id="3815" w:name="_Toc478133220"/>
      <w:bookmarkStart w:id="3816" w:name="_Toc478132357"/>
      <w:bookmarkStart w:id="3817" w:name="_Toc478134686"/>
      <w:bookmarkStart w:id="3818" w:name="_Toc478137388"/>
      <w:bookmarkStart w:id="3819" w:name="_Toc478138460"/>
      <w:bookmarkStart w:id="3820" w:name="_Toc478140030"/>
      <w:bookmarkStart w:id="3821" w:name="_Toc478140446"/>
      <w:bookmarkStart w:id="3822" w:name="_Toc478142652"/>
      <w:bookmarkStart w:id="3823" w:name="_Toc478566368"/>
      <w:bookmarkStart w:id="3824" w:name="_Toc478569535"/>
      <w:bookmarkStart w:id="3825" w:name="_Toc478569709"/>
      <w:bookmarkStart w:id="3826" w:name="_Toc478570783"/>
      <w:bookmarkStart w:id="3827" w:name="_Toc478632982"/>
      <w:bookmarkStart w:id="3828" w:name="_Toc478641390"/>
      <w:bookmarkStart w:id="3829" w:name="_Toc478654284"/>
      <w:bookmarkStart w:id="3830" w:name="_Toc478654458"/>
      <w:bookmarkStart w:id="3831" w:name="_Toc478657753"/>
      <w:bookmarkStart w:id="3832" w:name="_Toc478993174"/>
      <w:bookmarkStart w:id="3833" w:name="_Toc479000245"/>
      <w:bookmarkStart w:id="3834" w:name="_Toc479002179"/>
      <w:bookmarkStart w:id="3835" w:name="_Toc479002351"/>
      <w:bookmarkStart w:id="3836" w:name="_Toc479254327"/>
      <w:bookmarkStart w:id="3837" w:name="_Toc479258516"/>
      <w:bookmarkStart w:id="3838" w:name="_Toc479258832"/>
      <w:bookmarkStart w:id="3839" w:name="_Toc479259724"/>
      <w:bookmarkStart w:id="3840" w:name="_Toc479262147"/>
      <w:bookmarkStart w:id="3841" w:name="_Toc479262568"/>
      <w:bookmarkStart w:id="3842" w:name="_Toc479321269"/>
      <w:bookmarkStart w:id="3843" w:name="_Toc479326708"/>
      <w:bookmarkStart w:id="3844" w:name="_Toc479333307"/>
      <w:bookmarkStart w:id="3845" w:name="_Toc479335004"/>
      <w:bookmarkStart w:id="3846" w:name="_Toc479341719"/>
      <w:bookmarkStart w:id="3847" w:name="_Toc479345135"/>
      <w:bookmarkStart w:id="3848" w:name="_Toc479345344"/>
      <w:bookmarkStart w:id="3849" w:name="_Toc479348325"/>
      <w:bookmarkStart w:id="3850" w:name="_Toc479675919"/>
      <w:bookmarkStart w:id="3851" w:name="_Toc479690886"/>
      <w:bookmarkStart w:id="3852" w:name="_Toc479693464"/>
      <w:bookmarkStart w:id="3853" w:name="_Toc479770633"/>
      <w:r>
        <w:t>2.</w:t>
      </w:r>
      <w:r>
        <w:tab/>
        <w:t>Taxing Australia</w:t>
      </w:r>
      <w:r w:rsidR="005D6F39">
        <w:t>’</w:t>
      </w:r>
      <w:r>
        <w:t xml:space="preserve">s </w:t>
      </w:r>
      <w:r w:rsidR="004D0375">
        <w:t xml:space="preserve">Oil and Gas </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r w:rsidR="004D0375">
        <w:t>Industry</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15F2E912" w14:textId="77777777" w:rsidR="00FB7351" w:rsidRDefault="00CD567A" w:rsidP="00FB7351">
      <w:pPr>
        <w:pStyle w:val="Heading2"/>
      </w:pPr>
      <w:bookmarkStart w:id="3854" w:name="_Toc476577325"/>
      <w:bookmarkStart w:id="3855" w:name="_Toc476582314"/>
      <w:bookmarkStart w:id="3856" w:name="_Toc476582988"/>
      <w:bookmarkStart w:id="3857" w:name="_Toc476583705"/>
      <w:bookmarkStart w:id="3858" w:name="_Toc476584153"/>
      <w:bookmarkStart w:id="3859" w:name="_Toc476735789"/>
      <w:bookmarkStart w:id="3860" w:name="_Toc476738059"/>
      <w:bookmarkStart w:id="3861" w:name="_Toc476747634"/>
      <w:bookmarkStart w:id="3862" w:name="_Toc476749042"/>
      <w:bookmarkStart w:id="3863" w:name="_Toc476753909"/>
      <w:bookmarkStart w:id="3864" w:name="_Toc476754404"/>
      <w:bookmarkStart w:id="3865" w:name="_Toc476754569"/>
      <w:bookmarkStart w:id="3866" w:name="_Toc476759805"/>
      <w:bookmarkStart w:id="3867" w:name="_Toc476761427"/>
      <w:bookmarkStart w:id="3868" w:name="_Toc476767065"/>
      <w:bookmarkStart w:id="3869" w:name="_Toc476827111"/>
      <w:bookmarkStart w:id="3870" w:name="_Toc476828804"/>
      <w:bookmarkStart w:id="3871" w:name="_Toc476833678"/>
      <w:bookmarkStart w:id="3872" w:name="_Toc476837151"/>
      <w:bookmarkStart w:id="3873" w:name="_Toc476841024"/>
      <w:bookmarkStart w:id="3874" w:name="_Toc476841229"/>
      <w:bookmarkStart w:id="3875" w:name="_Toc476841988"/>
      <w:bookmarkStart w:id="3876" w:name="_Toc476842932"/>
      <w:bookmarkStart w:id="3877" w:name="_Toc476843103"/>
      <w:bookmarkStart w:id="3878" w:name="_Toc476844601"/>
      <w:bookmarkStart w:id="3879" w:name="_Toc476845494"/>
      <w:bookmarkStart w:id="3880" w:name="_Toc476926886"/>
      <w:bookmarkStart w:id="3881" w:name="_Toc476926825"/>
      <w:bookmarkStart w:id="3882" w:name="_Toc476927173"/>
      <w:bookmarkStart w:id="3883" w:name="_Toc476928437"/>
      <w:bookmarkStart w:id="3884" w:name="_Toc476929480"/>
      <w:bookmarkStart w:id="3885" w:name="_Toc476929655"/>
      <w:bookmarkStart w:id="3886" w:name="_Toc476930698"/>
      <w:bookmarkStart w:id="3887" w:name="_Toc476931505"/>
      <w:bookmarkStart w:id="3888" w:name="_Toc477869872"/>
      <w:bookmarkStart w:id="3889" w:name="_Toc477871111"/>
      <w:bookmarkStart w:id="3890" w:name="_Toc477873270"/>
      <w:bookmarkStart w:id="3891" w:name="_Toc477875264"/>
      <w:bookmarkStart w:id="3892" w:name="_Toc477880177"/>
      <w:bookmarkStart w:id="3893" w:name="_Toc477881437"/>
      <w:bookmarkStart w:id="3894" w:name="_Toc477955841"/>
      <w:bookmarkStart w:id="3895" w:name="_Toc477963086"/>
      <w:bookmarkStart w:id="3896" w:name="_Toc477963572"/>
      <w:bookmarkStart w:id="3897" w:name="_Toc477965158"/>
      <w:bookmarkStart w:id="3898" w:name="_Toc477966662"/>
      <w:bookmarkStart w:id="3899" w:name="_Toc477966831"/>
      <w:bookmarkStart w:id="3900" w:name="_Toc477967171"/>
      <w:bookmarkStart w:id="3901" w:name="_Toc478121308"/>
      <w:bookmarkStart w:id="3902" w:name="_Toc478122221"/>
      <w:bookmarkStart w:id="3903" w:name="_Toc478132195"/>
      <w:bookmarkStart w:id="3904" w:name="_Toc478133221"/>
      <w:bookmarkStart w:id="3905" w:name="_Toc478132358"/>
      <w:bookmarkStart w:id="3906" w:name="_Toc478134687"/>
      <w:bookmarkStart w:id="3907" w:name="_Toc478137389"/>
      <w:bookmarkStart w:id="3908" w:name="_Toc478138461"/>
      <w:bookmarkStart w:id="3909" w:name="_Toc478140031"/>
      <w:bookmarkStart w:id="3910" w:name="_Toc478140447"/>
      <w:bookmarkStart w:id="3911" w:name="_Toc478142653"/>
      <w:bookmarkStart w:id="3912" w:name="_Toc478566369"/>
      <w:bookmarkStart w:id="3913" w:name="_Toc478569536"/>
      <w:bookmarkStart w:id="3914" w:name="_Toc478569710"/>
      <w:bookmarkStart w:id="3915" w:name="_Toc478570784"/>
      <w:bookmarkStart w:id="3916" w:name="_Toc478632983"/>
      <w:bookmarkStart w:id="3917" w:name="_Toc478641391"/>
      <w:bookmarkStart w:id="3918" w:name="_Toc478654285"/>
      <w:bookmarkStart w:id="3919" w:name="_Toc478654459"/>
      <w:bookmarkStart w:id="3920" w:name="_Toc478657754"/>
      <w:bookmarkStart w:id="3921" w:name="_Toc478993175"/>
      <w:bookmarkStart w:id="3922" w:name="_Toc479000246"/>
      <w:bookmarkStart w:id="3923" w:name="_Toc479002180"/>
      <w:bookmarkStart w:id="3924" w:name="_Toc479002352"/>
      <w:bookmarkStart w:id="3925" w:name="_Toc479254328"/>
      <w:bookmarkStart w:id="3926" w:name="_Toc479258517"/>
      <w:bookmarkStart w:id="3927" w:name="_Toc479258833"/>
      <w:bookmarkStart w:id="3928" w:name="_Toc479259725"/>
      <w:bookmarkStart w:id="3929" w:name="_Toc479262148"/>
      <w:bookmarkStart w:id="3930" w:name="_Toc479262569"/>
      <w:bookmarkStart w:id="3931" w:name="_Toc479321270"/>
      <w:bookmarkStart w:id="3932" w:name="_Toc479326709"/>
      <w:bookmarkStart w:id="3933" w:name="_Toc479333308"/>
      <w:bookmarkStart w:id="3934" w:name="_Toc479335005"/>
      <w:bookmarkStart w:id="3935" w:name="_Toc479341720"/>
      <w:bookmarkStart w:id="3936" w:name="_Toc479345136"/>
      <w:bookmarkStart w:id="3937" w:name="_Toc479345345"/>
      <w:bookmarkStart w:id="3938" w:name="_Toc479348326"/>
      <w:bookmarkStart w:id="3939" w:name="_Toc479675920"/>
      <w:bookmarkStart w:id="3940" w:name="_Toc479690887"/>
      <w:bookmarkStart w:id="3941" w:name="_Toc479693465"/>
      <w:bookmarkStart w:id="3942" w:name="_Toc479770634"/>
      <w:r>
        <w:t>2.1</w:t>
      </w:r>
      <w:r>
        <w:tab/>
        <w:t>Overview of Resource Taxation</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5E3CA45D" w14:textId="2AB7D2F7" w:rsidR="00AA7794" w:rsidRDefault="00AA7794" w:rsidP="002E58C4">
      <w:r>
        <w:t>Governments around the world typically tax resource extraction industries differently to other industries</w:t>
      </w:r>
      <w:r w:rsidR="00D27775">
        <w:t>,</w:t>
      </w:r>
      <w:r>
        <w:t xml:space="preserve"> such as manufacturing or services. This is done most commonly by applying additional taxes or charges on top of general taxes</w:t>
      </w:r>
      <w:r w:rsidR="009222FE">
        <w:t>.</w:t>
      </w:r>
      <w:r>
        <w:t xml:space="preserve"> Additional taxes are applied for two</w:t>
      </w:r>
      <w:r w:rsidR="00692B27">
        <w:t xml:space="preserve"> main</w:t>
      </w:r>
      <w:r>
        <w:t xml:space="preserve"> reasons</w:t>
      </w:r>
      <w:r w:rsidR="00022E56">
        <w:t xml:space="preserve">: </w:t>
      </w:r>
    </w:p>
    <w:p w14:paraId="577A6CD5" w14:textId="20D1C424" w:rsidR="00AA7794" w:rsidRDefault="00AA7794" w:rsidP="00AF3BD6">
      <w:pPr>
        <w:pStyle w:val="Bullet"/>
      </w:pPr>
      <w:r>
        <w:t xml:space="preserve">First, </w:t>
      </w:r>
      <w:r w:rsidR="00D27775">
        <w:t>non</w:t>
      </w:r>
      <w:r w:rsidR="005D6F39">
        <w:noBreakHyphen/>
      </w:r>
      <w:r w:rsidR="00D27775">
        <w:t>renewable mineral and petroleum</w:t>
      </w:r>
      <w:r>
        <w:t xml:space="preserve"> resources in most countries are publicly or government owned and so a tax or charge is applied</w:t>
      </w:r>
      <w:r w:rsidR="009222FE">
        <w:t xml:space="preserve"> to ensure</w:t>
      </w:r>
      <w:r>
        <w:t xml:space="preserve"> </w:t>
      </w:r>
      <w:r w:rsidR="00AF3BD6">
        <w:t xml:space="preserve">that </w:t>
      </w:r>
      <w:r>
        <w:t xml:space="preserve">the </w:t>
      </w:r>
      <w:r w:rsidR="009222FE">
        <w:t>community receives an adequate return for</w:t>
      </w:r>
      <w:r w:rsidR="006823BD">
        <w:t xml:space="preserve"> the extraction of</w:t>
      </w:r>
      <w:r w:rsidR="009222FE">
        <w:t xml:space="preserve"> its resources</w:t>
      </w:r>
      <w:r w:rsidR="000B3F3B">
        <w:t>.</w:t>
      </w:r>
    </w:p>
    <w:p w14:paraId="7837DA3B" w14:textId="780D4208" w:rsidR="009222FE" w:rsidRDefault="00022E56" w:rsidP="00AF3BD6">
      <w:pPr>
        <w:pStyle w:val="Bullet"/>
      </w:pPr>
      <w:r>
        <w:t>Second</w:t>
      </w:r>
      <w:r w:rsidR="009222FE">
        <w:t xml:space="preserve">, readily accessible, high quality resources may offer high levels of </w:t>
      </w:r>
      <w:r w:rsidR="005D6F39">
        <w:t>‘</w:t>
      </w:r>
      <w:r w:rsidR="009222FE">
        <w:t>economic rent</w:t>
      </w:r>
      <w:r w:rsidR="005D6F39">
        <w:t>’</w:t>
      </w:r>
      <w:r w:rsidR="009222FE" w:rsidRPr="00731832">
        <w:rPr>
          <w:vertAlign w:val="superscript"/>
        </w:rPr>
        <w:footnoteReference w:id="3"/>
      </w:r>
      <w:r w:rsidR="009222FE">
        <w:t xml:space="preserve"> or profit well above a level necessary to attract capital, labour and other inputs to find and extract the resources</w:t>
      </w:r>
      <w:r w:rsidR="00692B27">
        <w:t>.</w:t>
      </w:r>
      <w:r w:rsidR="009222FE" w:rsidRPr="00BE0B2E">
        <w:rPr>
          <w:vertAlign w:val="superscript"/>
        </w:rPr>
        <w:footnoteReference w:id="4"/>
      </w:r>
      <w:r w:rsidR="009222FE">
        <w:t xml:space="preserve"> Additional taxation that just taxes economic rent should have </w:t>
      </w:r>
      <w:r>
        <w:t xml:space="preserve">a </w:t>
      </w:r>
      <w:r w:rsidR="009222FE">
        <w:t>neutral impact on investment as it only taxes profit above that necessary to undertake investment.</w:t>
      </w:r>
    </w:p>
    <w:p w14:paraId="11BC0FDC" w14:textId="585CC7C0" w:rsidR="009222FE" w:rsidRPr="00A156A6" w:rsidRDefault="00AF557E" w:rsidP="009222FE">
      <w:pPr>
        <w:rPr>
          <w:szCs w:val="22"/>
        </w:rPr>
      </w:pPr>
      <w:r>
        <w:rPr>
          <w:szCs w:val="22"/>
        </w:rPr>
        <w:t>In theory, a</w:t>
      </w:r>
      <w:r w:rsidR="009222FE" w:rsidRPr="00A156A6">
        <w:rPr>
          <w:szCs w:val="22"/>
        </w:rPr>
        <w:t xml:space="preserve">bsent taxation of any variety, investors </w:t>
      </w:r>
      <w:r w:rsidR="009222FE">
        <w:rPr>
          <w:szCs w:val="22"/>
        </w:rPr>
        <w:t>seek out</w:t>
      </w:r>
      <w:r w:rsidR="009222FE" w:rsidRPr="00A156A6">
        <w:rPr>
          <w:szCs w:val="22"/>
        </w:rPr>
        <w:t xml:space="preserve"> </w:t>
      </w:r>
      <w:r w:rsidR="00AF3BD6">
        <w:rPr>
          <w:szCs w:val="22"/>
        </w:rPr>
        <w:t xml:space="preserve">the </w:t>
      </w:r>
      <w:r w:rsidR="009222FE" w:rsidRPr="00A156A6">
        <w:rPr>
          <w:szCs w:val="22"/>
        </w:rPr>
        <w:t>best returns which, in turn, maximise</w:t>
      </w:r>
      <w:r w:rsidR="00692B27">
        <w:rPr>
          <w:szCs w:val="22"/>
        </w:rPr>
        <w:t>s</w:t>
      </w:r>
      <w:r w:rsidR="009222FE" w:rsidRPr="00A156A6">
        <w:rPr>
          <w:szCs w:val="22"/>
        </w:rPr>
        <w:t xml:space="preserve"> overall productivity and therefore long</w:t>
      </w:r>
      <w:r w:rsidR="005D6F39">
        <w:rPr>
          <w:szCs w:val="22"/>
        </w:rPr>
        <w:noBreakHyphen/>
      </w:r>
      <w:r w:rsidR="009222FE" w:rsidRPr="00A156A6">
        <w:rPr>
          <w:szCs w:val="22"/>
        </w:rPr>
        <w:t>term growth. Ideally</w:t>
      </w:r>
      <w:r w:rsidR="009222FE">
        <w:rPr>
          <w:szCs w:val="22"/>
        </w:rPr>
        <w:t>,</w:t>
      </w:r>
      <w:r w:rsidR="009222FE" w:rsidRPr="00A156A6">
        <w:rPr>
          <w:szCs w:val="22"/>
        </w:rPr>
        <w:t xml:space="preserve"> imposition of </w:t>
      </w:r>
      <w:r w:rsidR="009222FE">
        <w:rPr>
          <w:szCs w:val="22"/>
        </w:rPr>
        <w:t xml:space="preserve">secondary taxes on resources </w:t>
      </w:r>
      <w:r w:rsidR="00692B27">
        <w:rPr>
          <w:szCs w:val="22"/>
        </w:rPr>
        <w:t xml:space="preserve">would raise </w:t>
      </w:r>
      <w:r w:rsidR="009222FE" w:rsidRPr="00A156A6">
        <w:rPr>
          <w:szCs w:val="22"/>
        </w:rPr>
        <w:t>tax revenue in a way that does not interfere with investors</w:t>
      </w:r>
      <w:r w:rsidR="005D6F39">
        <w:rPr>
          <w:szCs w:val="22"/>
        </w:rPr>
        <w:t>’</w:t>
      </w:r>
      <w:r w:rsidR="009222FE" w:rsidRPr="00A156A6">
        <w:rPr>
          <w:szCs w:val="22"/>
        </w:rPr>
        <w:t xml:space="preserve"> search for </w:t>
      </w:r>
      <w:r w:rsidR="00692B27">
        <w:rPr>
          <w:szCs w:val="22"/>
        </w:rPr>
        <w:t xml:space="preserve">the </w:t>
      </w:r>
      <w:r w:rsidR="009222FE" w:rsidRPr="00A156A6">
        <w:rPr>
          <w:szCs w:val="22"/>
        </w:rPr>
        <w:t>best returns</w:t>
      </w:r>
      <w:r w:rsidR="00AF3BD6">
        <w:rPr>
          <w:szCs w:val="22"/>
        </w:rPr>
        <w:t>,</w:t>
      </w:r>
      <w:r w:rsidR="009222FE" w:rsidRPr="00A156A6">
        <w:rPr>
          <w:szCs w:val="22"/>
        </w:rPr>
        <w:t xml:space="preserve"> so that </w:t>
      </w:r>
      <w:r w:rsidR="009222FE">
        <w:rPr>
          <w:szCs w:val="22"/>
        </w:rPr>
        <w:t>Australia</w:t>
      </w:r>
      <w:r w:rsidR="005D6F39">
        <w:rPr>
          <w:szCs w:val="22"/>
        </w:rPr>
        <w:t>’</w:t>
      </w:r>
      <w:r w:rsidR="009222FE">
        <w:rPr>
          <w:szCs w:val="22"/>
        </w:rPr>
        <w:t xml:space="preserve">s </w:t>
      </w:r>
      <w:r w:rsidR="009222FE" w:rsidRPr="00A156A6">
        <w:rPr>
          <w:szCs w:val="22"/>
        </w:rPr>
        <w:t>overall productivity and long</w:t>
      </w:r>
      <w:r w:rsidR="005D6F39">
        <w:rPr>
          <w:szCs w:val="22"/>
        </w:rPr>
        <w:noBreakHyphen/>
      </w:r>
      <w:r w:rsidR="009222FE" w:rsidRPr="00A156A6">
        <w:rPr>
          <w:szCs w:val="22"/>
        </w:rPr>
        <w:t xml:space="preserve">term growth </w:t>
      </w:r>
      <w:r w:rsidR="009222FE">
        <w:rPr>
          <w:szCs w:val="22"/>
        </w:rPr>
        <w:t>are</w:t>
      </w:r>
      <w:r w:rsidR="009222FE" w:rsidRPr="00A156A6">
        <w:rPr>
          <w:szCs w:val="22"/>
        </w:rPr>
        <w:t xml:space="preserve"> not adversely impacted.</w:t>
      </w:r>
    </w:p>
    <w:p w14:paraId="3606C9C8" w14:textId="4BED4A44" w:rsidR="009222FE" w:rsidRPr="00DC2BD4" w:rsidRDefault="009222FE" w:rsidP="00CC6FB5">
      <w:pPr>
        <w:rPr>
          <w:color w:val="1F497D" w:themeColor="text2"/>
          <w:sz w:val="20"/>
        </w:rPr>
      </w:pPr>
      <w:r>
        <w:t>Consistent with this ideal, the review</w:t>
      </w:r>
      <w:r w:rsidR="005D6F39">
        <w:t>’</w:t>
      </w:r>
      <w:r w:rsidR="00692B27">
        <w:t>s terms of reference</w:t>
      </w:r>
      <w:r>
        <w:t xml:space="preserve"> </w:t>
      </w:r>
      <w:r w:rsidR="00692B27">
        <w:t>require the review</w:t>
      </w:r>
      <w:r>
        <w:t xml:space="preserve"> to </w:t>
      </w:r>
      <w:r w:rsidR="005D6F39">
        <w:t>‘</w:t>
      </w:r>
      <w:r>
        <w:t>have regard to</w:t>
      </w:r>
      <w:r w:rsidR="00CC6FB5">
        <w:t xml:space="preserve"> </w:t>
      </w:r>
      <w:r w:rsidRPr="00CC6FB5">
        <w:rPr>
          <w:color w:val="auto"/>
        </w:rPr>
        <w:t xml:space="preserve">the need to provide an </w:t>
      </w:r>
      <w:r w:rsidR="00D6408C">
        <w:rPr>
          <w:color w:val="auto"/>
        </w:rPr>
        <w:t>appropriate</w:t>
      </w:r>
      <w:r w:rsidRPr="00CC6FB5">
        <w:rPr>
          <w:color w:val="auto"/>
        </w:rPr>
        <w:t xml:space="preserve"> return to community </w:t>
      </w:r>
      <w:r w:rsidR="00D6408C" w:rsidRPr="005F00DA">
        <w:t>on Australia</w:t>
      </w:r>
      <w:r w:rsidR="005D6F39">
        <w:t>’</w:t>
      </w:r>
      <w:r w:rsidR="00D6408C" w:rsidRPr="005F00DA">
        <w:t>s finite oil</w:t>
      </w:r>
      <w:r w:rsidRPr="005F00DA">
        <w:t xml:space="preserve"> and </w:t>
      </w:r>
      <w:r w:rsidR="00D6408C" w:rsidRPr="005F00DA">
        <w:t>gas</w:t>
      </w:r>
      <w:r w:rsidRPr="005F00DA">
        <w:t xml:space="preserve"> resources </w:t>
      </w:r>
      <w:r w:rsidR="00D6408C" w:rsidRPr="005F00DA">
        <w:t>while supporting the development of those resources, including industry exploration,</w:t>
      </w:r>
      <w:r w:rsidRPr="005F00DA">
        <w:t xml:space="preserve"> investment and </w:t>
      </w:r>
      <w:r w:rsidR="00D6408C" w:rsidRPr="005F00DA">
        <w:t>growth</w:t>
      </w:r>
      <w:r w:rsidR="005D6F39">
        <w:rPr>
          <w:color w:val="auto"/>
          <w:szCs w:val="22"/>
        </w:rPr>
        <w:t>’</w:t>
      </w:r>
      <w:r w:rsidR="000B3F3B">
        <w:rPr>
          <w:color w:val="auto"/>
          <w:szCs w:val="22"/>
        </w:rPr>
        <w:t>.</w:t>
      </w:r>
    </w:p>
    <w:p w14:paraId="0B5C959F" w14:textId="4F3D5D4A" w:rsidR="005D5229" w:rsidRPr="005D5229" w:rsidRDefault="009222FE" w:rsidP="005D5229">
      <w:pPr>
        <w:pStyle w:val="Heading3"/>
      </w:pPr>
      <w:bookmarkStart w:id="3943" w:name="_Toc476584295"/>
      <w:bookmarkStart w:id="3944" w:name="_Toc476738060"/>
      <w:bookmarkStart w:id="3945" w:name="_Toc476747635"/>
      <w:bookmarkStart w:id="3946" w:name="_Toc476749043"/>
      <w:bookmarkStart w:id="3947" w:name="_Toc476753910"/>
      <w:bookmarkStart w:id="3948" w:name="_Toc476754405"/>
      <w:bookmarkStart w:id="3949" w:name="_Toc476754570"/>
      <w:bookmarkStart w:id="3950" w:name="_Toc476759806"/>
      <w:bookmarkStart w:id="3951" w:name="_Toc476761428"/>
      <w:bookmarkStart w:id="3952" w:name="_Toc476767066"/>
      <w:bookmarkStart w:id="3953" w:name="_Toc476827112"/>
      <w:bookmarkStart w:id="3954" w:name="_Toc476828805"/>
      <w:bookmarkStart w:id="3955" w:name="_Toc476833679"/>
      <w:bookmarkStart w:id="3956" w:name="_Toc476837152"/>
      <w:bookmarkStart w:id="3957" w:name="_Toc476841025"/>
      <w:bookmarkStart w:id="3958" w:name="_Toc476841230"/>
      <w:bookmarkStart w:id="3959" w:name="_Toc476841989"/>
      <w:bookmarkStart w:id="3960" w:name="_Toc476842933"/>
      <w:bookmarkStart w:id="3961" w:name="_Toc476843104"/>
      <w:bookmarkStart w:id="3962" w:name="_Toc476844602"/>
      <w:bookmarkStart w:id="3963" w:name="_Toc476845495"/>
      <w:bookmarkStart w:id="3964" w:name="_Toc476926887"/>
      <w:bookmarkStart w:id="3965" w:name="_Toc476926826"/>
      <w:bookmarkStart w:id="3966" w:name="_Toc476927174"/>
      <w:bookmarkStart w:id="3967" w:name="_Toc476928438"/>
      <w:bookmarkStart w:id="3968" w:name="_Toc476929481"/>
      <w:bookmarkStart w:id="3969" w:name="_Toc476929656"/>
      <w:bookmarkStart w:id="3970" w:name="_Toc476930699"/>
      <w:bookmarkStart w:id="3971" w:name="_Toc476931506"/>
      <w:bookmarkStart w:id="3972" w:name="_Toc477869873"/>
      <w:bookmarkStart w:id="3973" w:name="_Toc477871112"/>
      <w:bookmarkStart w:id="3974" w:name="_Toc477873271"/>
      <w:bookmarkStart w:id="3975" w:name="_Toc477875265"/>
      <w:bookmarkStart w:id="3976" w:name="_Toc477880178"/>
      <w:bookmarkStart w:id="3977" w:name="_Toc477881438"/>
      <w:bookmarkStart w:id="3978" w:name="_Toc477955842"/>
      <w:bookmarkStart w:id="3979" w:name="_Toc477963087"/>
      <w:bookmarkStart w:id="3980" w:name="_Toc477963573"/>
      <w:bookmarkStart w:id="3981" w:name="_Toc477965159"/>
      <w:bookmarkStart w:id="3982" w:name="_Toc477966663"/>
      <w:bookmarkStart w:id="3983" w:name="_Toc477966832"/>
      <w:bookmarkStart w:id="3984" w:name="_Toc477967172"/>
      <w:bookmarkStart w:id="3985" w:name="_Toc478121309"/>
      <w:bookmarkStart w:id="3986" w:name="_Toc478122222"/>
      <w:bookmarkStart w:id="3987" w:name="_Toc478132196"/>
      <w:bookmarkStart w:id="3988" w:name="_Toc478133222"/>
      <w:bookmarkStart w:id="3989" w:name="_Toc478132359"/>
      <w:bookmarkStart w:id="3990" w:name="_Toc478134688"/>
      <w:bookmarkStart w:id="3991" w:name="_Toc478137390"/>
      <w:bookmarkStart w:id="3992" w:name="_Toc478138462"/>
      <w:bookmarkStart w:id="3993" w:name="_Toc478140032"/>
      <w:bookmarkStart w:id="3994" w:name="_Toc478140448"/>
      <w:bookmarkStart w:id="3995" w:name="_Toc478142654"/>
      <w:bookmarkStart w:id="3996" w:name="_Toc478566370"/>
      <w:bookmarkStart w:id="3997" w:name="_Toc478569537"/>
      <w:bookmarkStart w:id="3998" w:name="_Toc478569711"/>
      <w:bookmarkStart w:id="3999" w:name="_Toc478570785"/>
      <w:bookmarkStart w:id="4000" w:name="_Toc478632984"/>
      <w:bookmarkStart w:id="4001" w:name="_Toc478641392"/>
      <w:bookmarkStart w:id="4002" w:name="_Toc478654286"/>
      <w:bookmarkStart w:id="4003" w:name="_Toc478654460"/>
      <w:bookmarkStart w:id="4004" w:name="_Toc478657755"/>
      <w:bookmarkStart w:id="4005" w:name="_Toc478993176"/>
      <w:bookmarkStart w:id="4006" w:name="_Toc479000247"/>
      <w:bookmarkStart w:id="4007" w:name="_Toc479002181"/>
      <w:bookmarkStart w:id="4008" w:name="_Toc479002353"/>
      <w:bookmarkStart w:id="4009" w:name="_Toc479254329"/>
      <w:bookmarkStart w:id="4010" w:name="_Toc479258518"/>
      <w:bookmarkStart w:id="4011" w:name="_Toc479258834"/>
      <w:bookmarkStart w:id="4012" w:name="_Toc479259726"/>
      <w:bookmarkStart w:id="4013" w:name="_Toc479262149"/>
      <w:bookmarkStart w:id="4014" w:name="_Toc479262570"/>
      <w:bookmarkStart w:id="4015" w:name="_Toc479321271"/>
      <w:bookmarkStart w:id="4016" w:name="_Toc479326710"/>
      <w:bookmarkStart w:id="4017" w:name="_Toc479333309"/>
      <w:bookmarkStart w:id="4018" w:name="_Toc479335006"/>
      <w:bookmarkStart w:id="4019" w:name="_Toc479341721"/>
      <w:bookmarkStart w:id="4020" w:name="_Toc479345137"/>
      <w:bookmarkStart w:id="4021" w:name="_Toc479345346"/>
      <w:bookmarkStart w:id="4022" w:name="_Toc479348327"/>
      <w:bookmarkStart w:id="4023" w:name="_Toc479675921"/>
      <w:bookmarkStart w:id="4024" w:name="_Toc479690888"/>
      <w:bookmarkStart w:id="4025" w:name="_Toc479693466"/>
      <w:bookmarkStart w:id="4026" w:name="_Toc479770635"/>
      <w:r>
        <w:t>2.1.1</w:t>
      </w:r>
      <w:r>
        <w:tab/>
        <w:t xml:space="preserve">Types of </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r w:rsidR="006D6467">
        <w:t>resource t</w:t>
      </w:r>
      <w:r>
        <w:t>axes</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48764624" w14:textId="4C159448" w:rsidR="009222FE" w:rsidRDefault="00692B27" w:rsidP="009222FE">
      <w:r>
        <w:t>Of the most common</w:t>
      </w:r>
      <w:r w:rsidR="009222FE">
        <w:t xml:space="preserve"> ways of imposing additional taxes on mineral </w:t>
      </w:r>
      <w:r w:rsidR="00D6408C">
        <w:t xml:space="preserve">and petroleum </w:t>
      </w:r>
      <w:r w:rsidR="009222FE">
        <w:t xml:space="preserve">resources, cash flow taxation specifically targets economic rent </w:t>
      </w:r>
      <w:r>
        <w:t>and may have</w:t>
      </w:r>
      <w:r w:rsidR="009222FE">
        <w:t xml:space="preserve"> neutrality benefits</w:t>
      </w:r>
      <w:r w:rsidR="00D6408C">
        <w:t>. The</w:t>
      </w:r>
      <w:r w:rsidR="009222FE">
        <w:t xml:space="preserve"> PRRT seeks to emulate those neutrality benefits, but not the tax rev</w:t>
      </w:r>
      <w:r w:rsidR="000B3F3B">
        <w:t>enue risks, of a cash flow tax.</w:t>
      </w:r>
    </w:p>
    <w:p w14:paraId="2B074470" w14:textId="3243BF3C" w:rsidR="005D5229" w:rsidRPr="00CD567A" w:rsidRDefault="005D5229" w:rsidP="005D5229">
      <w:pPr>
        <w:rPr>
          <w:color w:val="1F497D" w:themeColor="text2"/>
          <w:sz w:val="20"/>
        </w:rPr>
      </w:pPr>
      <w:r>
        <w:t>There are a number of forms of additional taxes applied to non</w:t>
      </w:r>
      <w:r w:rsidR="005D6F39">
        <w:noBreakHyphen/>
      </w:r>
      <w:r>
        <w:t xml:space="preserve">renewable mineral </w:t>
      </w:r>
      <w:r w:rsidR="00D6408C">
        <w:t xml:space="preserve">and petroleum </w:t>
      </w:r>
      <w:r>
        <w:t>resources. They can be compared on their revenue</w:t>
      </w:r>
      <w:r w:rsidR="005D6F39">
        <w:noBreakHyphen/>
      </w:r>
      <w:r>
        <w:t>raising strengths and weaknesses, as well their effect on investment decision</w:t>
      </w:r>
      <w:r w:rsidR="005D6F39">
        <w:noBreakHyphen/>
      </w:r>
      <w:r>
        <w:t>making.</w:t>
      </w:r>
    </w:p>
    <w:p w14:paraId="7C6DB5FB" w14:textId="7A6B4E66" w:rsidR="009222FE" w:rsidRPr="00F72D71" w:rsidRDefault="009222FE" w:rsidP="00575E88">
      <w:pPr>
        <w:pStyle w:val="Heading4"/>
      </w:pPr>
      <w:r w:rsidRPr="00F72D71">
        <w:t xml:space="preserve">Bids </w:t>
      </w:r>
      <w:r w:rsidR="00575E88">
        <w:t>f</w:t>
      </w:r>
      <w:r w:rsidR="006D6467">
        <w:t>or exploration</w:t>
      </w:r>
      <w:r w:rsidR="00022E56">
        <w:t xml:space="preserve"> and </w:t>
      </w:r>
      <w:r w:rsidR="006D6467">
        <w:t>p</w:t>
      </w:r>
      <w:r w:rsidR="00575E88" w:rsidRPr="00F72D71">
        <w:t>roduct</w:t>
      </w:r>
      <w:r w:rsidR="006D6467">
        <w:t>ion r</w:t>
      </w:r>
      <w:r w:rsidR="00575E88" w:rsidRPr="00F72D71">
        <w:t>ights</w:t>
      </w:r>
    </w:p>
    <w:p w14:paraId="17EB5566" w14:textId="2B8018E8" w:rsidR="009222FE" w:rsidRDefault="009222FE" w:rsidP="009222FE">
      <w:pPr>
        <w:rPr>
          <w:szCs w:val="22"/>
        </w:rPr>
      </w:pPr>
      <w:r>
        <w:rPr>
          <w:szCs w:val="22"/>
        </w:rPr>
        <w:t xml:space="preserve">Exploration </w:t>
      </w:r>
      <w:r w:rsidR="00022E56">
        <w:rPr>
          <w:szCs w:val="22"/>
        </w:rPr>
        <w:t>and</w:t>
      </w:r>
      <w:r>
        <w:rPr>
          <w:szCs w:val="22"/>
        </w:rPr>
        <w:t xml:space="preserve"> production rights are commonly acquired via work</w:t>
      </w:r>
      <w:r w:rsidR="005D6F39">
        <w:rPr>
          <w:szCs w:val="22"/>
        </w:rPr>
        <w:noBreakHyphen/>
      </w:r>
      <w:r>
        <w:rPr>
          <w:szCs w:val="22"/>
        </w:rPr>
        <w:t>program bidding or cash bidding.</w:t>
      </w:r>
    </w:p>
    <w:p w14:paraId="3A37DD3B" w14:textId="7B9C043C" w:rsidR="009222FE" w:rsidRPr="008374FE" w:rsidRDefault="009222FE" w:rsidP="009222FE">
      <w:pPr>
        <w:rPr>
          <w:szCs w:val="22"/>
        </w:rPr>
      </w:pPr>
      <w:r w:rsidRPr="008374FE">
        <w:rPr>
          <w:szCs w:val="22"/>
        </w:rPr>
        <w:t>Under work</w:t>
      </w:r>
      <w:r w:rsidR="005D6F39">
        <w:rPr>
          <w:szCs w:val="22"/>
        </w:rPr>
        <w:noBreakHyphen/>
      </w:r>
      <w:r w:rsidRPr="008374FE">
        <w:rPr>
          <w:szCs w:val="22"/>
        </w:rPr>
        <w:t xml:space="preserve">program bidding, investors </w:t>
      </w:r>
      <w:r w:rsidR="005D5229">
        <w:rPr>
          <w:szCs w:val="22"/>
        </w:rPr>
        <w:t>may</w:t>
      </w:r>
      <w:r w:rsidRPr="008374FE">
        <w:rPr>
          <w:szCs w:val="22"/>
        </w:rPr>
        <w:t xml:space="preserve"> bid away prospective high profitability by offering to over</w:t>
      </w:r>
      <w:r w:rsidR="005D6F39">
        <w:rPr>
          <w:szCs w:val="22"/>
        </w:rPr>
        <w:noBreakHyphen/>
      </w:r>
      <w:r w:rsidRPr="008374FE">
        <w:rPr>
          <w:szCs w:val="22"/>
        </w:rPr>
        <w:t>spend and over</w:t>
      </w:r>
      <w:r w:rsidR="005D6F39">
        <w:rPr>
          <w:szCs w:val="22"/>
        </w:rPr>
        <w:noBreakHyphen/>
      </w:r>
      <w:r w:rsidRPr="008374FE">
        <w:rPr>
          <w:szCs w:val="22"/>
        </w:rPr>
        <w:t xml:space="preserve">capitalise. Investment decisions </w:t>
      </w:r>
      <w:r>
        <w:rPr>
          <w:szCs w:val="22"/>
        </w:rPr>
        <w:t>can be</w:t>
      </w:r>
      <w:r w:rsidRPr="008374FE">
        <w:rPr>
          <w:szCs w:val="22"/>
        </w:rPr>
        <w:t xml:space="preserve"> immediately adversely </w:t>
      </w:r>
      <w:r w:rsidR="00022E56" w:rsidRPr="008374FE">
        <w:rPr>
          <w:szCs w:val="22"/>
        </w:rPr>
        <w:t xml:space="preserve">impacted </w:t>
      </w:r>
      <w:r w:rsidRPr="008374FE">
        <w:rPr>
          <w:szCs w:val="22"/>
        </w:rPr>
        <w:t>without any financial return to the community. Moreover, over</w:t>
      </w:r>
      <w:r w:rsidR="005D6F39">
        <w:rPr>
          <w:szCs w:val="22"/>
        </w:rPr>
        <w:noBreakHyphen/>
      </w:r>
      <w:r w:rsidRPr="008374FE">
        <w:rPr>
          <w:szCs w:val="22"/>
        </w:rPr>
        <w:t xml:space="preserve">capitalisation diminishes </w:t>
      </w:r>
      <w:r>
        <w:rPr>
          <w:szCs w:val="22"/>
        </w:rPr>
        <w:t xml:space="preserve">the </w:t>
      </w:r>
      <w:r w:rsidRPr="008374FE">
        <w:rPr>
          <w:szCs w:val="22"/>
        </w:rPr>
        <w:t xml:space="preserve">prospects </w:t>
      </w:r>
      <w:r>
        <w:rPr>
          <w:szCs w:val="22"/>
        </w:rPr>
        <w:t>of</w:t>
      </w:r>
      <w:r w:rsidRPr="008374FE">
        <w:rPr>
          <w:szCs w:val="22"/>
        </w:rPr>
        <w:t xml:space="preserve"> tax revenue from profit</w:t>
      </w:r>
      <w:r w:rsidR="005D6F39">
        <w:rPr>
          <w:szCs w:val="22"/>
        </w:rPr>
        <w:noBreakHyphen/>
      </w:r>
      <w:r w:rsidRPr="008374FE">
        <w:rPr>
          <w:szCs w:val="22"/>
        </w:rPr>
        <w:t>related taxes</w:t>
      </w:r>
      <w:r>
        <w:rPr>
          <w:szCs w:val="22"/>
        </w:rPr>
        <w:t xml:space="preserve"> also applying to the resources</w:t>
      </w:r>
      <w:r w:rsidRPr="008374FE">
        <w:rPr>
          <w:szCs w:val="22"/>
        </w:rPr>
        <w:t>.</w:t>
      </w:r>
    </w:p>
    <w:p w14:paraId="0C2EFC99" w14:textId="1C0348D2" w:rsidR="009222FE" w:rsidRDefault="009222FE" w:rsidP="009222FE">
      <w:pPr>
        <w:rPr>
          <w:szCs w:val="22"/>
        </w:rPr>
      </w:pPr>
      <w:r w:rsidRPr="008374FE">
        <w:rPr>
          <w:szCs w:val="22"/>
        </w:rPr>
        <w:t>In contrast, competitive cash bi</w:t>
      </w:r>
      <w:r w:rsidR="00692B27">
        <w:rPr>
          <w:szCs w:val="22"/>
        </w:rPr>
        <w:t>dding offers the prospect of up</w:t>
      </w:r>
      <w:r w:rsidR="005D6F39">
        <w:rPr>
          <w:szCs w:val="22"/>
        </w:rPr>
        <w:noBreakHyphen/>
      </w:r>
      <w:r w:rsidRPr="008374FE">
        <w:rPr>
          <w:szCs w:val="22"/>
        </w:rPr>
        <w:t>front community return reflecting investor expectation</w:t>
      </w:r>
      <w:r w:rsidR="00692B27">
        <w:rPr>
          <w:szCs w:val="22"/>
        </w:rPr>
        <w:t>s</w:t>
      </w:r>
      <w:r w:rsidRPr="008374FE">
        <w:rPr>
          <w:szCs w:val="22"/>
        </w:rPr>
        <w:t xml:space="preserve"> of future high profitability</w:t>
      </w:r>
      <w:r>
        <w:rPr>
          <w:szCs w:val="22"/>
        </w:rPr>
        <w:t xml:space="preserve"> without distorting investment decisions</w:t>
      </w:r>
      <w:r w:rsidRPr="008374FE">
        <w:rPr>
          <w:szCs w:val="22"/>
        </w:rPr>
        <w:t>. Profit</w:t>
      </w:r>
      <w:r w:rsidR="005D6F39">
        <w:rPr>
          <w:szCs w:val="22"/>
        </w:rPr>
        <w:noBreakHyphen/>
      </w:r>
      <w:r w:rsidRPr="008374FE">
        <w:rPr>
          <w:szCs w:val="22"/>
        </w:rPr>
        <w:t>related secondary taxes applied in conjunction with cash bids would yield additional tax revenue from unexpectedly high future profits</w:t>
      </w:r>
      <w:r>
        <w:rPr>
          <w:szCs w:val="22"/>
        </w:rPr>
        <w:t>.</w:t>
      </w:r>
    </w:p>
    <w:p w14:paraId="019D3D19" w14:textId="35733F56" w:rsidR="009222FE" w:rsidRPr="00F72D71" w:rsidRDefault="009222FE" w:rsidP="00575E88">
      <w:pPr>
        <w:pStyle w:val="Heading4"/>
        <w:rPr>
          <w:i/>
        </w:rPr>
      </w:pPr>
      <w:r w:rsidRPr="00F72D71">
        <w:t xml:space="preserve">Higher </w:t>
      </w:r>
      <w:r w:rsidR="006D6467">
        <w:t>r</w:t>
      </w:r>
      <w:r w:rsidR="00575E88">
        <w:t>ates o</w:t>
      </w:r>
      <w:r w:rsidR="00575E88" w:rsidRPr="00F72D71">
        <w:t xml:space="preserve">f </w:t>
      </w:r>
      <w:r w:rsidR="006D6467">
        <w:t>income t</w:t>
      </w:r>
      <w:r w:rsidR="00575E88" w:rsidRPr="00F72D71">
        <w:t xml:space="preserve">ax </w:t>
      </w:r>
    </w:p>
    <w:p w14:paraId="083D8E73" w14:textId="528CF7A0" w:rsidR="009222FE" w:rsidRDefault="009222FE" w:rsidP="009222FE">
      <w:pPr>
        <w:rPr>
          <w:szCs w:val="22"/>
        </w:rPr>
      </w:pPr>
      <w:r>
        <w:rPr>
          <w:szCs w:val="22"/>
        </w:rPr>
        <w:t xml:space="preserve">A higher rate, or additional progressive rates, of tax are sometimes applied to the conventional income tax system to achieve additional tax revenue from mineral </w:t>
      </w:r>
      <w:r w:rsidR="00D6408C">
        <w:rPr>
          <w:szCs w:val="22"/>
        </w:rPr>
        <w:t xml:space="preserve">and petroleum </w:t>
      </w:r>
      <w:r w:rsidR="000B3F3B">
        <w:rPr>
          <w:szCs w:val="22"/>
        </w:rPr>
        <w:t>resources.</w:t>
      </w:r>
    </w:p>
    <w:p w14:paraId="3C8E8541" w14:textId="75C5A698" w:rsidR="009222FE" w:rsidRPr="001C7131" w:rsidRDefault="009222FE" w:rsidP="009222FE">
      <w:pPr>
        <w:rPr>
          <w:szCs w:val="22"/>
        </w:rPr>
      </w:pPr>
      <w:r>
        <w:rPr>
          <w:szCs w:val="22"/>
        </w:rPr>
        <w:t>Conventional income taxation applies tax at investors</w:t>
      </w:r>
      <w:r w:rsidR="005D6F39">
        <w:rPr>
          <w:szCs w:val="22"/>
        </w:rPr>
        <w:t>’</w:t>
      </w:r>
      <w:r>
        <w:rPr>
          <w:szCs w:val="22"/>
        </w:rPr>
        <w:t xml:space="preserve"> marginal income tax rates on their o</w:t>
      </w:r>
      <w:r w:rsidRPr="001C7131">
        <w:rPr>
          <w:szCs w:val="22"/>
        </w:rPr>
        <w:t xml:space="preserve">verall </w:t>
      </w:r>
      <w:r>
        <w:rPr>
          <w:szCs w:val="22"/>
        </w:rPr>
        <w:t>income</w:t>
      </w:r>
      <w:r w:rsidRPr="001C7131">
        <w:rPr>
          <w:szCs w:val="22"/>
        </w:rPr>
        <w:t xml:space="preserve"> from </w:t>
      </w:r>
      <w:r w:rsidR="00D6408C">
        <w:rPr>
          <w:szCs w:val="22"/>
        </w:rPr>
        <w:t>extraction</w:t>
      </w:r>
      <w:r w:rsidRPr="001C7131">
        <w:rPr>
          <w:szCs w:val="22"/>
        </w:rPr>
        <w:t xml:space="preserve"> activities</w:t>
      </w:r>
      <w:r>
        <w:rPr>
          <w:szCs w:val="22"/>
        </w:rPr>
        <w:t xml:space="preserve">, regardless of </w:t>
      </w:r>
      <w:r w:rsidR="00D6408C">
        <w:rPr>
          <w:szCs w:val="22"/>
        </w:rPr>
        <w:t xml:space="preserve">the </w:t>
      </w:r>
      <w:r>
        <w:rPr>
          <w:szCs w:val="22"/>
        </w:rPr>
        <w:t>level of profitability, as well as from other taxable activities</w:t>
      </w:r>
      <w:r w:rsidRPr="001C7131">
        <w:rPr>
          <w:szCs w:val="22"/>
        </w:rPr>
        <w:t xml:space="preserve">. </w:t>
      </w:r>
      <w:r>
        <w:rPr>
          <w:szCs w:val="22"/>
        </w:rPr>
        <w:t>A higher rate (or additional progressive rates) of tax</w:t>
      </w:r>
      <w:r w:rsidRPr="001C7131">
        <w:rPr>
          <w:szCs w:val="22"/>
        </w:rPr>
        <w:t xml:space="preserve"> </w:t>
      </w:r>
      <w:r w:rsidR="00692B27">
        <w:rPr>
          <w:szCs w:val="22"/>
        </w:rPr>
        <w:t>targeted as a secondary tax</w:t>
      </w:r>
      <w:r>
        <w:rPr>
          <w:szCs w:val="22"/>
        </w:rPr>
        <w:t xml:space="preserve"> on investors</w:t>
      </w:r>
      <w:r w:rsidR="005D6F39">
        <w:rPr>
          <w:szCs w:val="22"/>
        </w:rPr>
        <w:t>’</w:t>
      </w:r>
      <w:r>
        <w:rPr>
          <w:szCs w:val="22"/>
        </w:rPr>
        <w:t xml:space="preserve"> resource income </w:t>
      </w:r>
      <w:r w:rsidRPr="001C7131">
        <w:rPr>
          <w:szCs w:val="22"/>
        </w:rPr>
        <w:t>involve</w:t>
      </w:r>
      <w:r>
        <w:rPr>
          <w:szCs w:val="22"/>
        </w:rPr>
        <w:t>s</w:t>
      </w:r>
      <w:r w:rsidRPr="001C7131">
        <w:rPr>
          <w:szCs w:val="22"/>
        </w:rPr>
        <w:t xml:space="preserve"> practical difficulties and </w:t>
      </w:r>
      <w:r>
        <w:rPr>
          <w:szCs w:val="22"/>
        </w:rPr>
        <w:t xml:space="preserve">inevitably </w:t>
      </w:r>
      <w:r w:rsidRPr="001C7131">
        <w:rPr>
          <w:szCs w:val="22"/>
        </w:rPr>
        <w:t>impose</w:t>
      </w:r>
      <w:r>
        <w:rPr>
          <w:szCs w:val="22"/>
        </w:rPr>
        <w:t>s</w:t>
      </w:r>
      <w:r w:rsidR="000B3F3B">
        <w:rPr>
          <w:szCs w:val="22"/>
        </w:rPr>
        <w:t xml:space="preserve"> investment distortions.</w:t>
      </w:r>
    </w:p>
    <w:p w14:paraId="429AEBC9" w14:textId="62AC550F" w:rsidR="009222FE" w:rsidRPr="001C7131" w:rsidRDefault="009222FE" w:rsidP="009222FE">
      <w:pPr>
        <w:rPr>
          <w:szCs w:val="22"/>
        </w:rPr>
      </w:pPr>
      <w:r w:rsidRPr="001C7131">
        <w:rPr>
          <w:szCs w:val="22"/>
        </w:rPr>
        <w:t xml:space="preserve">At the practical level, for example, complications </w:t>
      </w:r>
      <w:r w:rsidR="00D6408C">
        <w:rPr>
          <w:szCs w:val="22"/>
        </w:rPr>
        <w:t>arise</w:t>
      </w:r>
      <w:r w:rsidRPr="001C7131">
        <w:rPr>
          <w:szCs w:val="22"/>
        </w:rPr>
        <w:t xml:space="preserve"> with ring</w:t>
      </w:r>
      <w:r w:rsidR="005D6F39">
        <w:rPr>
          <w:szCs w:val="22"/>
        </w:rPr>
        <w:noBreakHyphen/>
      </w:r>
      <w:r w:rsidRPr="001C7131">
        <w:rPr>
          <w:szCs w:val="22"/>
        </w:rPr>
        <w:t>fencing taxpayers</w:t>
      </w:r>
      <w:r w:rsidR="005D6F39">
        <w:rPr>
          <w:szCs w:val="22"/>
        </w:rPr>
        <w:t>’</w:t>
      </w:r>
      <w:r w:rsidRPr="001C7131">
        <w:rPr>
          <w:szCs w:val="22"/>
        </w:rPr>
        <w:t xml:space="preserve"> taxable income associated with </w:t>
      </w:r>
      <w:r w:rsidR="00D6408C">
        <w:rPr>
          <w:szCs w:val="22"/>
        </w:rPr>
        <w:t>extraction</w:t>
      </w:r>
      <w:r w:rsidRPr="001C7131">
        <w:rPr>
          <w:szCs w:val="22"/>
        </w:rPr>
        <w:t xml:space="preserve"> activities from their broader taxable income, </w:t>
      </w:r>
      <w:r>
        <w:rPr>
          <w:szCs w:val="22"/>
        </w:rPr>
        <w:t xml:space="preserve">as well as </w:t>
      </w:r>
      <w:r w:rsidRPr="001C7131">
        <w:rPr>
          <w:szCs w:val="22"/>
        </w:rPr>
        <w:t>managing profit shifting between the two categories of income. In terms of impact on investment decisions, investment neutral income taxation requires investors to be facing the same marginal tax rate across alternative investment opportunities. Investment decisions will inevitably be affected if pre</w:t>
      </w:r>
      <w:r w:rsidR="005D6F39">
        <w:rPr>
          <w:szCs w:val="22"/>
        </w:rPr>
        <w:noBreakHyphen/>
      </w:r>
      <w:r w:rsidRPr="001C7131">
        <w:rPr>
          <w:szCs w:val="22"/>
        </w:rPr>
        <w:t>tax returns from resource opportunities are reduced proportionally more than those from other investment opportunities.</w:t>
      </w:r>
    </w:p>
    <w:p w14:paraId="4C546618" w14:textId="1550A258" w:rsidR="009222FE" w:rsidRPr="00F72D71" w:rsidRDefault="009222FE" w:rsidP="00575E88">
      <w:pPr>
        <w:pStyle w:val="Heading4"/>
      </w:pPr>
      <w:r w:rsidRPr="00F72D71">
        <w:t>Production</w:t>
      </w:r>
      <w:r w:rsidR="005D6F39">
        <w:noBreakHyphen/>
      </w:r>
      <w:r w:rsidR="006D6467">
        <w:t>b</w:t>
      </w:r>
      <w:r w:rsidR="00575E88">
        <w:t>a</w:t>
      </w:r>
      <w:r w:rsidR="006D6467">
        <w:t>sed r</w:t>
      </w:r>
      <w:r w:rsidR="00575E88">
        <w:t>oyalties a</w:t>
      </w:r>
      <w:r w:rsidR="005D39D2">
        <w:t xml:space="preserve">nd </w:t>
      </w:r>
      <w:r w:rsidR="006D6467">
        <w:t>e</w:t>
      </w:r>
      <w:r w:rsidR="005D39D2">
        <w:t>xcises</w:t>
      </w:r>
    </w:p>
    <w:p w14:paraId="5CDD8C05" w14:textId="2BAF53BF" w:rsidR="009222FE" w:rsidRDefault="009222FE" w:rsidP="009222FE">
      <w:r>
        <w:t xml:space="preserve">Royalties and excises applied to the volume or value of production (sometimes with specific cost deductions) are the most common form </w:t>
      </w:r>
      <w:r w:rsidR="000B3F3B">
        <w:t>of secondary resource taxation.</w:t>
      </w:r>
    </w:p>
    <w:p w14:paraId="3A518BD6" w14:textId="76AEA300" w:rsidR="009222FE" w:rsidRDefault="009222FE" w:rsidP="009222FE">
      <w:pPr>
        <w:rPr>
          <w:szCs w:val="22"/>
        </w:rPr>
      </w:pPr>
      <w:r>
        <w:t>These imposts are typically eas</w:t>
      </w:r>
      <w:r w:rsidR="00B359A9">
        <w:t>ier</w:t>
      </w:r>
      <w:r>
        <w:t xml:space="preserve"> to administer</w:t>
      </w:r>
      <w:r w:rsidR="00B359A9">
        <w:t xml:space="preserve"> than other forms of resource taxation</w:t>
      </w:r>
      <w:r>
        <w:t>, difficult to avoid and provide a transparent and early stream of revenue from the extraction of resources. However, the t</w:t>
      </w:r>
      <w:r w:rsidRPr="0054005F">
        <w:rPr>
          <w:szCs w:val="22"/>
        </w:rPr>
        <w:t xml:space="preserve">ax take </w:t>
      </w:r>
      <w:r>
        <w:rPr>
          <w:szCs w:val="22"/>
        </w:rPr>
        <w:t xml:space="preserve">from </w:t>
      </w:r>
      <w:r w:rsidR="00A07400">
        <w:rPr>
          <w:szCs w:val="22"/>
        </w:rPr>
        <w:t>royalties</w:t>
      </w:r>
      <w:r>
        <w:rPr>
          <w:szCs w:val="22"/>
        </w:rPr>
        <w:t xml:space="preserve"> is </w:t>
      </w:r>
      <w:r w:rsidRPr="0054005F">
        <w:rPr>
          <w:szCs w:val="22"/>
        </w:rPr>
        <w:t xml:space="preserve">relatively high when profitability </w:t>
      </w:r>
      <w:r>
        <w:rPr>
          <w:szCs w:val="22"/>
        </w:rPr>
        <w:t xml:space="preserve">is </w:t>
      </w:r>
      <w:r w:rsidRPr="0054005F">
        <w:rPr>
          <w:szCs w:val="22"/>
        </w:rPr>
        <w:t xml:space="preserve">low or negative and relatively low when profitability </w:t>
      </w:r>
      <w:r>
        <w:rPr>
          <w:szCs w:val="22"/>
        </w:rPr>
        <w:t xml:space="preserve">is </w:t>
      </w:r>
      <w:r w:rsidRPr="0054005F">
        <w:rPr>
          <w:szCs w:val="22"/>
        </w:rPr>
        <w:t>high</w:t>
      </w:r>
      <w:r>
        <w:rPr>
          <w:szCs w:val="22"/>
        </w:rPr>
        <w:t xml:space="preserve">. </w:t>
      </w:r>
    </w:p>
    <w:p w14:paraId="656E596C" w14:textId="6BF524DD" w:rsidR="009222FE" w:rsidRDefault="009222FE" w:rsidP="009222FE">
      <w:r>
        <w:rPr>
          <w:szCs w:val="22"/>
        </w:rPr>
        <w:t>A range of related</w:t>
      </w:r>
      <w:r w:rsidRPr="0054005F">
        <w:rPr>
          <w:szCs w:val="22"/>
        </w:rPr>
        <w:t xml:space="preserve"> </w:t>
      </w:r>
      <w:r w:rsidRPr="00577CB8">
        <w:t xml:space="preserve">deficiencies </w:t>
      </w:r>
      <w:r>
        <w:t xml:space="preserve">have been commonly cited </w:t>
      </w:r>
      <w:r w:rsidRPr="00577CB8">
        <w:t xml:space="preserve">with excise and royalty regimes applying to petroleum </w:t>
      </w:r>
      <w:r>
        <w:t>resources</w:t>
      </w:r>
      <w:r w:rsidRPr="00577CB8">
        <w:t>. These deficiencies include: projects that earn comparable profits paying very different levels of tax; discouragement of exploration activity and marginal projects which would otherwise hav</w:t>
      </w:r>
      <w:r w:rsidR="00692B27">
        <w:t>e been developed; and</w:t>
      </w:r>
      <w:r w:rsidRPr="00577CB8">
        <w:t xml:space="preserve"> </w:t>
      </w:r>
      <w:r w:rsidR="00A07400">
        <w:t>resources</w:t>
      </w:r>
      <w:r w:rsidRPr="00577CB8">
        <w:t xml:space="preserve"> left in the ground that would</w:t>
      </w:r>
      <w:r w:rsidR="000B3F3B">
        <w:t xml:space="preserve"> have otherwise been extracted.</w:t>
      </w:r>
    </w:p>
    <w:p w14:paraId="5569656A" w14:textId="7C3C077F" w:rsidR="009222FE" w:rsidRDefault="00C84AC5" w:rsidP="009222FE">
      <w:r>
        <w:t>R</w:t>
      </w:r>
      <w:r w:rsidR="009222FE">
        <w:t>oyalties and excises can be adjusted</w:t>
      </w:r>
      <w:r w:rsidR="00692B27">
        <w:t xml:space="preserve">, </w:t>
      </w:r>
      <w:r w:rsidR="009222FE">
        <w:t>either in their design o</w:t>
      </w:r>
      <w:r w:rsidR="00E519FB">
        <w:t>r</w:t>
      </w:r>
      <w:r w:rsidR="009222FE">
        <w:t xml:space="preserve"> on an </w:t>
      </w:r>
      <w:r w:rsidR="009222FE" w:rsidRPr="00692B27">
        <w:t>ad hoc</w:t>
      </w:r>
      <w:r w:rsidR="009222FE">
        <w:t xml:space="preserve"> basis</w:t>
      </w:r>
      <w:r w:rsidR="00692B27">
        <w:t>,</w:t>
      </w:r>
      <w:r w:rsidR="009222FE">
        <w:t xml:space="preserve"> to reflect changes in price or volume of production in an attempt to be more sympathetic to changes in profitability</w:t>
      </w:r>
      <w:r>
        <w:t>. However, such arrangements cannot neatly track profitability</w:t>
      </w:r>
      <w:r w:rsidR="005D32F2">
        <w:t xml:space="preserve"> and inevitably</w:t>
      </w:r>
      <w:r w:rsidR="009222FE">
        <w:t xml:space="preserve"> create invest</w:t>
      </w:r>
      <w:r w:rsidR="005D32F2">
        <w:t>or uncertainty</w:t>
      </w:r>
      <w:r w:rsidR="000B3F3B">
        <w:t>.</w:t>
      </w:r>
    </w:p>
    <w:p w14:paraId="476483E6" w14:textId="2EBD3B42" w:rsidR="009222FE" w:rsidRPr="00F72D71" w:rsidRDefault="009222FE" w:rsidP="00575E88">
      <w:pPr>
        <w:pStyle w:val="Heading4"/>
      </w:pPr>
      <w:r w:rsidRPr="00F72D71">
        <w:t xml:space="preserve">Cash </w:t>
      </w:r>
      <w:r w:rsidR="00A841FA">
        <w:t>f</w:t>
      </w:r>
      <w:r w:rsidR="00575E88" w:rsidRPr="00F72D71">
        <w:t>lo</w:t>
      </w:r>
      <w:r w:rsidR="00A841FA">
        <w:t>w t</w:t>
      </w:r>
      <w:r w:rsidR="00575E88" w:rsidRPr="00F72D71">
        <w:t>axation</w:t>
      </w:r>
    </w:p>
    <w:p w14:paraId="7624FA13" w14:textId="76C325D6" w:rsidR="009222FE" w:rsidRDefault="00335673" w:rsidP="009222FE">
      <w:r>
        <w:t xml:space="preserve">Cash flow taxation </w:t>
      </w:r>
      <w:r w:rsidR="009222FE">
        <w:t>is a form of profit</w:t>
      </w:r>
      <w:r w:rsidR="005D6F39">
        <w:noBreakHyphen/>
      </w:r>
      <w:r w:rsidR="009222FE">
        <w:t xml:space="preserve">related tax that </w:t>
      </w:r>
      <w:r w:rsidR="00692B27">
        <w:t>can have</w:t>
      </w:r>
      <w:r w:rsidR="00507B6E">
        <w:t xml:space="preserve"> a </w:t>
      </w:r>
      <w:r w:rsidR="009222FE">
        <w:t>neutral impact on investment decision</w:t>
      </w:r>
      <w:r w:rsidR="005D6F39">
        <w:noBreakHyphen/>
      </w:r>
      <w:r w:rsidR="009222FE">
        <w:t>making</w:t>
      </w:r>
      <w:r>
        <w:t xml:space="preserve"> (</w:t>
      </w:r>
      <w:r w:rsidRPr="00CB4E50">
        <w:t>Brown, 1948, p</w:t>
      </w:r>
      <w:r w:rsidRPr="00CB4E50">
        <w:rPr>
          <w:color w:val="auto"/>
        </w:rPr>
        <w:t xml:space="preserve">. </w:t>
      </w:r>
      <w:r w:rsidR="00B0596E" w:rsidRPr="00CB4E50">
        <w:rPr>
          <w:color w:val="auto"/>
        </w:rPr>
        <w:t>300</w:t>
      </w:r>
      <w:r w:rsidR="005D6F39">
        <w:rPr>
          <w:color w:val="auto"/>
        </w:rPr>
        <w:noBreakHyphen/>
      </w:r>
      <w:r w:rsidR="00B0596E" w:rsidRPr="00CB4E50">
        <w:rPr>
          <w:color w:val="auto"/>
        </w:rPr>
        <w:t>316</w:t>
      </w:r>
      <w:r w:rsidRPr="00CB4E50">
        <w:t>)</w:t>
      </w:r>
      <w:r w:rsidR="009222FE">
        <w:t>.</w:t>
      </w:r>
    </w:p>
    <w:p w14:paraId="039A9DD9" w14:textId="1051E6B7" w:rsidR="009222FE" w:rsidRDefault="009222FE" w:rsidP="009222FE">
      <w:pPr>
        <w:rPr>
          <w:color w:val="auto"/>
          <w:sz w:val="24"/>
        </w:rPr>
      </w:pPr>
      <w:r>
        <w:t>Under</w:t>
      </w:r>
      <w:r w:rsidR="00692B27">
        <w:t xml:space="preserve"> a pure cash flow tax (also known as a Brown </w:t>
      </w:r>
      <w:r w:rsidR="000E73D8">
        <w:t>t</w:t>
      </w:r>
      <w:r w:rsidR="00692B27">
        <w:t>ax)</w:t>
      </w:r>
      <w:r>
        <w:t xml:space="preserve">, tax at the specified tax rate would be paid on annual positive cash flow (assessable receipts </w:t>
      </w:r>
      <w:r w:rsidR="0029133C">
        <w:t xml:space="preserve">less </w:t>
      </w:r>
      <w:r>
        <w:t>costs) of petroleum projects, as is the case with the PRRT (</w:t>
      </w:r>
      <w:r w:rsidRPr="00335673">
        <w:t xml:space="preserve">see </w:t>
      </w:r>
      <w:r w:rsidR="00117DB3" w:rsidRPr="007D4B54">
        <w:t>s</w:t>
      </w:r>
      <w:r w:rsidR="000B3F3B" w:rsidRPr="007D4B54">
        <w:t>ection</w:t>
      </w:r>
      <w:r w:rsidRPr="007D4B54">
        <w:t xml:space="preserve"> 3</w:t>
      </w:r>
      <w:r w:rsidR="000E73D8" w:rsidRPr="007D4B54">
        <w:t>.1</w:t>
      </w:r>
      <w:r>
        <w:t>). But</w:t>
      </w:r>
      <w:r w:rsidR="00225DA8">
        <w:t>, unlike</w:t>
      </w:r>
      <w:r w:rsidR="001369B5">
        <w:t xml:space="preserve"> the</w:t>
      </w:r>
      <w:r w:rsidR="00225DA8">
        <w:t xml:space="preserve"> PRRT,</w:t>
      </w:r>
      <w:r>
        <w:t xml:space="preserve"> annual negative cash flow, or losses (costs greater than assessable receipts), would attract immediate cash rebates from government equal to the loss </w:t>
      </w:r>
      <w:r w:rsidR="001369B5">
        <w:t>multiplied by</w:t>
      </w:r>
      <w:r>
        <w:t xml:space="preserve"> the tax rate. Cash flow taxation therefore cuts assessable receipts and costs (both capital and recurrent) in proportion to the tax rate.</w:t>
      </w:r>
      <w:r w:rsidR="00D9364B">
        <w:t xml:space="preserve"> The investment neutrality properties of cash flow taxation are outlined in </w:t>
      </w:r>
      <w:r w:rsidR="00D9364B" w:rsidRPr="007D4B54">
        <w:t>Box</w:t>
      </w:r>
      <w:r w:rsidR="00C07C63" w:rsidRPr="007D4B54">
        <w:t xml:space="preserve"> 2.1</w:t>
      </w:r>
      <w:r w:rsidR="00C07C63">
        <w:rPr>
          <w:color w:val="auto"/>
          <w:sz w:val="24"/>
        </w:rPr>
        <w:t>.</w:t>
      </w:r>
    </w:p>
    <w:tbl>
      <w:tblPr>
        <w:tblStyle w:val="TableGrid"/>
        <w:tblW w:w="0" w:type="auto"/>
        <w:tblInd w:w="108" w:type="dxa"/>
        <w:shd w:val="clear" w:color="auto" w:fill="F2F2F2" w:themeFill="background1" w:themeFillShade="F2"/>
        <w:tblLook w:val="04A0" w:firstRow="1" w:lastRow="0" w:firstColumn="1" w:lastColumn="0" w:noHBand="0" w:noVBand="1"/>
      </w:tblPr>
      <w:tblGrid>
        <w:gridCol w:w="9178"/>
      </w:tblGrid>
      <w:tr w:rsidR="001369B5" w14:paraId="6BF86ADA" w14:textId="77777777" w:rsidTr="001369B5">
        <w:tc>
          <w:tcPr>
            <w:tcW w:w="9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86064" w14:textId="5E86180B" w:rsidR="001369B5" w:rsidRPr="005C4726" w:rsidRDefault="001369B5" w:rsidP="00221C2A">
            <w:pPr>
              <w:pStyle w:val="BoxHeadingnonumber"/>
            </w:pPr>
            <w:r w:rsidRPr="005C4726">
              <w:t xml:space="preserve">Box 2.1: Investment Neutrality Properties </w:t>
            </w:r>
            <w:r w:rsidR="00164136">
              <w:t>o</w:t>
            </w:r>
            <w:r w:rsidRPr="005C4726">
              <w:t>f Cash Flow Taxation</w:t>
            </w:r>
          </w:p>
          <w:p w14:paraId="7BD6BEC8" w14:textId="77777777" w:rsidR="001369B5" w:rsidRPr="00221C2A" w:rsidRDefault="001369B5" w:rsidP="00221C2A">
            <w:pPr>
              <w:pStyle w:val="BoxText"/>
              <w:rPr>
                <w:color w:val="000000" w:themeColor="text1"/>
              </w:rPr>
            </w:pPr>
            <w:r w:rsidRPr="00221C2A">
              <w:rPr>
                <w:color w:val="000000" w:themeColor="text1"/>
              </w:rPr>
              <w:t xml:space="preserve">The investment neutrality properties of cash flow taxation can be seen by considering an investor assessing the viability of a petroleum project before and after cash flow tax. </w:t>
            </w:r>
          </w:p>
          <w:p w14:paraId="7861F26B" w14:textId="4BECB113" w:rsidR="001369B5" w:rsidRPr="00221C2A" w:rsidRDefault="001369B5" w:rsidP="00221C2A">
            <w:pPr>
              <w:pStyle w:val="BoxText"/>
              <w:rPr>
                <w:color w:val="000000" w:themeColor="text1"/>
              </w:rPr>
            </w:pPr>
            <w:r w:rsidRPr="00221C2A">
              <w:rPr>
                <w:color w:val="000000" w:themeColor="text1"/>
                <w:u w:val="single"/>
              </w:rPr>
              <w:t>Before cash flow tax</w:t>
            </w:r>
            <w:r w:rsidRPr="00221C2A">
              <w:rPr>
                <w:color w:val="000000" w:themeColor="text1"/>
              </w:rPr>
              <w:t>, the investor assesses project viability by comparing expected return (the discount rate that equates the up</w:t>
            </w:r>
            <w:r w:rsidR="005D6F39" w:rsidRPr="00221C2A">
              <w:rPr>
                <w:color w:val="000000" w:themeColor="text1"/>
              </w:rPr>
              <w:noBreakHyphen/>
            </w:r>
            <w:r w:rsidRPr="00221C2A">
              <w:rPr>
                <w:color w:val="000000" w:themeColor="text1"/>
              </w:rPr>
              <w:t>front value of costs and sales receipts) against the investor</w:t>
            </w:r>
            <w:r w:rsidR="005D6F39" w:rsidRPr="00221C2A">
              <w:rPr>
                <w:color w:val="000000" w:themeColor="text1"/>
              </w:rPr>
              <w:t>’</w:t>
            </w:r>
            <w:r w:rsidRPr="00221C2A">
              <w:rPr>
                <w:color w:val="000000" w:themeColor="text1"/>
              </w:rPr>
              <w:t>s risk</w:t>
            </w:r>
            <w:r w:rsidR="005D6F39" w:rsidRPr="00221C2A">
              <w:rPr>
                <w:color w:val="000000" w:themeColor="text1"/>
              </w:rPr>
              <w:noBreakHyphen/>
            </w:r>
            <w:r w:rsidRPr="00221C2A">
              <w:rPr>
                <w:color w:val="000000" w:themeColor="text1"/>
              </w:rPr>
              <w:t xml:space="preserve">weighted discount (hurdle) rate. The investor may decide to invest if return is greater than </w:t>
            </w:r>
            <w:r w:rsidR="00022E56" w:rsidRPr="00221C2A">
              <w:rPr>
                <w:color w:val="000000" w:themeColor="text1"/>
              </w:rPr>
              <w:t xml:space="preserve">the </w:t>
            </w:r>
            <w:r w:rsidRPr="00221C2A">
              <w:rPr>
                <w:color w:val="000000" w:themeColor="text1"/>
              </w:rPr>
              <w:t>hurdle rate. The investor may also decide to invest on the basis that up</w:t>
            </w:r>
            <w:r w:rsidR="005D6F39" w:rsidRPr="00221C2A">
              <w:rPr>
                <w:color w:val="000000" w:themeColor="text1"/>
              </w:rPr>
              <w:noBreakHyphen/>
            </w:r>
            <w:r w:rsidRPr="00221C2A">
              <w:rPr>
                <w:color w:val="000000" w:themeColor="text1"/>
              </w:rPr>
              <w:t>front value of sales receipts is greater than up</w:t>
            </w:r>
            <w:r w:rsidR="005D6F39" w:rsidRPr="00221C2A">
              <w:rPr>
                <w:color w:val="000000" w:themeColor="text1"/>
              </w:rPr>
              <w:noBreakHyphen/>
            </w:r>
            <w:r w:rsidRPr="00221C2A">
              <w:rPr>
                <w:color w:val="000000" w:themeColor="text1"/>
              </w:rPr>
              <w:t>front value of costs with discounting at the hurdle r</w:t>
            </w:r>
            <w:r w:rsidR="0029133C" w:rsidRPr="00221C2A">
              <w:rPr>
                <w:color w:val="000000" w:themeColor="text1"/>
              </w:rPr>
              <w:t>ate (positive net present value (</w:t>
            </w:r>
            <w:r w:rsidRPr="00221C2A">
              <w:rPr>
                <w:color w:val="000000" w:themeColor="text1"/>
              </w:rPr>
              <w:t>NPV</w:t>
            </w:r>
            <w:r w:rsidR="0029133C" w:rsidRPr="00221C2A">
              <w:rPr>
                <w:color w:val="000000" w:themeColor="text1"/>
              </w:rPr>
              <w:t>)</w:t>
            </w:r>
            <w:r w:rsidRPr="00221C2A">
              <w:rPr>
                <w:color w:val="000000" w:themeColor="text1"/>
              </w:rPr>
              <w:t xml:space="preserve">). Either positive project NPV or the component of project return above </w:t>
            </w:r>
            <w:r w:rsidR="006272D6" w:rsidRPr="00221C2A">
              <w:rPr>
                <w:color w:val="000000" w:themeColor="text1"/>
              </w:rPr>
              <w:t xml:space="preserve">the </w:t>
            </w:r>
            <w:r w:rsidRPr="00221C2A">
              <w:rPr>
                <w:color w:val="000000" w:themeColor="text1"/>
              </w:rPr>
              <w:t>hurdle rate may be considered a measure of economic rent perceived by the particular investor undertaking the viability assessment.</w:t>
            </w:r>
          </w:p>
          <w:p w14:paraId="609DE523" w14:textId="76E7865E" w:rsidR="001369B5" w:rsidRPr="00221C2A" w:rsidRDefault="001369B5" w:rsidP="00221C2A">
            <w:pPr>
              <w:pStyle w:val="BoxBullet"/>
              <w:rPr>
                <w:color w:val="000000" w:themeColor="text1"/>
              </w:rPr>
            </w:pPr>
            <w:r w:rsidRPr="00221C2A">
              <w:rPr>
                <w:color w:val="000000" w:themeColor="text1"/>
              </w:rPr>
              <w:t xml:space="preserve">Some believe, however, that any component of return above hurdle rate (or positive NPV) that comes from innovation, specialised skills, and so on, is not strictly economic rent (Freebairn, 2015, p. </w:t>
            </w:r>
            <w:r w:rsidR="00B0596E" w:rsidRPr="00221C2A">
              <w:rPr>
                <w:color w:val="000000" w:themeColor="text1"/>
              </w:rPr>
              <w:t>586</w:t>
            </w:r>
            <w:r w:rsidR="005D6F39" w:rsidRPr="00221C2A">
              <w:rPr>
                <w:color w:val="000000" w:themeColor="text1"/>
              </w:rPr>
              <w:noBreakHyphen/>
            </w:r>
            <w:r w:rsidR="00B0596E" w:rsidRPr="00221C2A">
              <w:rPr>
                <w:color w:val="000000" w:themeColor="text1"/>
              </w:rPr>
              <w:t>601</w:t>
            </w:r>
            <w:r w:rsidRPr="00221C2A">
              <w:rPr>
                <w:color w:val="000000" w:themeColor="text1"/>
              </w:rPr>
              <w:t xml:space="preserve">). </w:t>
            </w:r>
          </w:p>
          <w:p w14:paraId="246C49B5" w14:textId="4A59222F" w:rsidR="001369B5" w:rsidRPr="00221C2A" w:rsidRDefault="001369B5" w:rsidP="00221C2A">
            <w:pPr>
              <w:pStyle w:val="BoxBullet"/>
              <w:rPr>
                <w:color w:val="000000" w:themeColor="text1"/>
              </w:rPr>
            </w:pPr>
            <w:r w:rsidRPr="00221C2A">
              <w:rPr>
                <w:color w:val="000000" w:themeColor="text1"/>
              </w:rPr>
              <w:t>Against such views, positive NPV or return above hurdle rate (</w:t>
            </w:r>
            <w:r w:rsidR="005D6F39" w:rsidRPr="00221C2A">
              <w:rPr>
                <w:color w:val="000000" w:themeColor="text1"/>
              </w:rPr>
              <w:t>‘</w:t>
            </w:r>
            <w:r w:rsidRPr="00221C2A">
              <w:rPr>
                <w:color w:val="000000" w:themeColor="text1"/>
              </w:rPr>
              <w:t>above</w:t>
            </w:r>
            <w:r w:rsidR="005D6F39" w:rsidRPr="00221C2A">
              <w:rPr>
                <w:color w:val="000000" w:themeColor="text1"/>
              </w:rPr>
              <w:noBreakHyphen/>
            </w:r>
            <w:r w:rsidRPr="00221C2A">
              <w:rPr>
                <w:color w:val="000000" w:themeColor="text1"/>
              </w:rPr>
              <w:t>normal</w:t>
            </w:r>
            <w:r w:rsidR="005D6F39" w:rsidRPr="00221C2A">
              <w:rPr>
                <w:color w:val="000000" w:themeColor="text1"/>
              </w:rPr>
              <w:t>’</w:t>
            </w:r>
            <w:r w:rsidRPr="00221C2A">
              <w:rPr>
                <w:color w:val="000000" w:themeColor="text1"/>
              </w:rPr>
              <w:t xml:space="preserve"> return) would be better viewed more generally as a measure of profitability higher than that needed for any particular investor to screen projects for possible investment.</w:t>
            </w:r>
          </w:p>
          <w:p w14:paraId="58FFE4C6" w14:textId="0037C460" w:rsidR="001369B5" w:rsidRDefault="001369B5" w:rsidP="00221C2A">
            <w:pPr>
              <w:pStyle w:val="BoxText"/>
              <w:rPr>
                <w:color w:val="auto"/>
                <w:sz w:val="24"/>
              </w:rPr>
            </w:pPr>
            <w:r w:rsidRPr="00221C2A">
              <w:rPr>
                <w:color w:val="000000" w:themeColor="text1"/>
                <w:u w:val="single"/>
              </w:rPr>
              <w:t>After cash flow tax</w:t>
            </w:r>
            <w:r w:rsidRPr="00221C2A">
              <w:rPr>
                <w:color w:val="000000" w:themeColor="text1"/>
              </w:rPr>
              <w:t>, because costs and sales receipts are cut in proportion to the tax rate, post</w:t>
            </w:r>
            <w:r w:rsidR="005D6F39" w:rsidRPr="00221C2A">
              <w:rPr>
                <w:color w:val="000000" w:themeColor="text1"/>
              </w:rPr>
              <w:noBreakHyphen/>
            </w:r>
            <w:r w:rsidRPr="00221C2A">
              <w:rPr>
                <w:color w:val="000000" w:themeColor="text1"/>
              </w:rPr>
              <w:t>tax return is the same as pre</w:t>
            </w:r>
            <w:r w:rsidR="005D6F39" w:rsidRPr="00221C2A">
              <w:rPr>
                <w:color w:val="000000" w:themeColor="text1"/>
              </w:rPr>
              <w:noBreakHyphen/>
            </w:r>
            <w:r w:rsidRPr="00221C2A">
              <w:rPr>
                <w:color w:val="000000" w:themeColor="text1"/>
              </w:rPr>
              <w:t xml:space="preserve">tax return (same discount rate equates costs and sale receipts shared proportionally with government). </w:t>
            </w:r>
            <w:r w:rsidR="006272D6" w:rsidRPr="00221C2A">
              <w:rPr>
                <w:color w:val="000000" w:themeColor="text1"/>
              </w:rPr>
              <w:t>The</w:t>
            </w:r>
            <w:r w:rsidRPr="00221C2A">
              <w:rPr>
                <w:color w:val="000000" w:themeColor="text1"/>
              </w:rPr>
              <w:t xml:space="preserve"> up</w:t>
            </w:r>
            <w:r w:rsidR="005D6F39" w:rsidRPr="00221C2A">
              <w:rPr>
                <w:color w:val="000000" w:themeColor="text1"/>
              </w:rPr>
              <w:noBreakHyphen/>
            </w:r>
            <w:r w:rsidRPr="00221C2A">
              <w:rPr>
                <w:color w:val="000000" w:themeColor="text1"/>
              </w:rPr>
              <w:t>front value of receipts and up</w:t>
            </w:r>
            <w:r w:rsidR="005D6F39" w:rsidRPr="00221C2A">
              <w:rPr>
                <w:color w:val="000000" w:themeColor="text1"/>
              </w:rPr>
              <w:noBreakHyphen/>
            </w:r>
            <w:r w:rsidRPr="00221C2A">
              <w:rPr>
                <w:color w:val="000000" w:themeColor="text1"/>
              </w:rPr>
              <w:t xml:space="preserve">front value of costs (with discounting at hurdle rate) are also cut in proportion to the tax rate. Consequently, positive project NPV is also cut in proportion to the tax rate. Project profitability </w:t>
            </w:r>
            <w:r w:rsidR="005A0837" w:rsidRPr="00221C2A">
              <w:rPr>
                <w:color w:val="000000" w:themeColor="text1"/>
              </w:rPr>
              <w:t>measured by NPV</w:t>
            </w:r>
            <w:r w:rsidRPr="00221C2A">
              <w:rPr>
                <w:color w:val="000000" w:themeColor="text1"/>
              </w:rPr>
              <w:t xml:space="preserve"> is therefore reduced by the tax</w:t>
            </w:r>
            <w:r w:rsidR="005D6F39" w:rsidRPr="00221C2A">
              <w:rPr>
                <w:color w:val="000000" w:themeColor="text1"/>
              </w:rPr>
              <w:t xml:space="preserve"> — </w:t>
            </w:r>
            <w:r w:rsidRPr="00221C2A">
              <w:rPr>
                <w:color w:val="000000" w:themeColor="text1"/>
              </w:rPr>
              <w:t>but profitability remains above that needed to screen the project as a potential investment.</w:t>
            </w:r>
          </w:p>
        </w:tc>
      </w:tr>
    </w:tbl>
    <w:p w14:paraId="00A1D28C" w14:textId="3A81B5F4" w:rsidR="009222FE" w:rsidRDefault="009222FE" w:rsidP="001369B5">
      <w:pPr>
        <w:spacing w:before="240"/>
      </w:pPr>
      <w:r>
        <w:t>Despite clear benefits in terms of investment neutrality, cash flow taxation suffers from associated risks to tax revenue</w:t>
      </w:r>
      <w:r w:rsidR="006272D6">
        <w:t>.</w:t>
      </w:r>
      <w:r>
        <w:t xml:space="preserve"> </w:t>
      </w:r>
      <w:r w:rsidR="006272D6">
        <w:t>G</w:t>
      </w:r>
      <w:r w:rsidRPr="00525528">
        <w:rPr>
          <w:szCs w:val="22"/>
        </w:rPr>
        <w:t xml:space="preserve">overnment would, for example, face the risk that the payout of cash rebates for tax losses was </w:t>
      </w:r>
      <w:r w:rsidR="0029133C" w:rsidRPr="005A0837">
        <w:t>greater</w:t>
      </w:r>
      <w:r w:rsidRPr="00525528">
        <w:rPr>
          <w:szCs w:val="22"/>
        </w:rPr>
        <w:t xml:space="preserve"> than tax collections, which </w:t>
      </w:r>
      <w:r w:rsidR="002B14B1">
        <w:rPr>
          <w:szCs w:val="22"/>
        </w:rPr>
        <w:t xml:space="preserve">in turn </w:t>
      </w:r>
      <w:r w:rsidRPr="00525528">
        <w:rPr>
          <w:szCs w:val="22"/>
        </w:rPr>
        <w:t>ultimately depend</w:t>
      </w:r>
      <w:r w:rsidR="0029133C">
        <w:rPr>
          <w:szCs w:val="22"/>
        </w:rPr>
        <w:t>s</w:t>
      </w:r>
      <w:r w:rsidRPr="00525528">
        <w:rPr>
          <w:szCs w:val="22"/>
        </w:rPr>
        <w:t xml:space="preserve"> on </w:t>
      </w:r>
      <w:r w:rsidR="002B14B1">
        <w:rPr>
          <w:szCs w:val="22"/>
        </w:rPr>
        <w:t xml:space="preserve">the </w:t>
      </w:r>
      <w:r w:rsidRPr="00525528">
        <w:rPr>
          <w:szCs w:val="22"/>
        </w:rPr>
        <w:t>profitab</w:t>
      </w:r>
      <w:r w:rsidR="002B14B1">
        <w:rPr>
          <w:szCs w:val="22"/>
        </w:rPr>
        <w:t>ility of the</w:t>
      </w:r>
      <w:r w:rsidRPr="00525528">
        <w:rPr>
          <w:szCs w:val="22"/>
        </w:rPr>
        <w:t xml:space="preserve"> ventures and the associated commercial nous of investors</w:t>
      </w:r>
      <w:r w:rsidR="00755941">
        <w:rPr>
          <w:szCs w:val="22"/>
        </w:rPr>
        <w:t>.</w:t>
      </w:r>
    </w:p>
    <w:p w14:paraId="5B16FC3B" w14:textId="66015721" w:rsidR="009222FE" w:rsidRPr="00F72D71" w:rsidRDefault="00F4334A" w:rsidP="00575E88">
      <w:pPr>
        <w:pStyle w:val="Heading4"/>
      </w:pPr>
      <w:r>
        <w:t xml:space="preserve">Resource </w:t>
      </w:r>
      <w:r w:rsidR="00A841FA">
        <w:t>rent t</w:t>
      </w:r>
      <w:r>
        <w:t>ax</w:t>
      </w:r>
      <w:r w:rsidR="00103B5F">
        <w:t>es</w:t>
      </w:r>
    </w:p>
    <w:p w14:paraId="1BD74631" w14:textId="68DBC528" w:rsidR="009222FE" w:rsidRDefault="009222FE" w:rsidP="009222FE">
      <w:r w:rsidRPr="00F2336E">
        <w:t>The</w:t>
      </w:r>
      <w:r w:rsidR="00A64131">
        <w:t xml:space="preserve">re are a variety of resource rent taxation </w:t>
      </w:r>
      <w:r w:rsidR="00BD029D">
        <w:t xml:space="preserve">(RRT) </w:t>
      </w:r>
      <w:r w:rsidR="00A64131">
        <w:t xml:space="preserve">arrangements that </w:t>
      </w:r>
      <w:r w:rsidRPr="00F2336E">
        <w:t>seek to achieve the tax neutrality benefits</w:t>
      </w:r>
      <w:r w:rsidR="00A64131">
        <w:t xml:space="preserve"> of a cash flow tax</w:t>
      </w:r>
      <w:r w:rsidRPr="00F2336E">
        <w:t>, but without the adverse tax revenue implications</w:t>
      </w:r>
      <w:r w:rsidR="00A64131">
        <w:t>.</w:t>
      </w:r>
      <w:r w:rsidRPr="00F2336E">
        <w:t xml:space="preserve"> The</w:t>
      </w:r>
      <w:r w:rsidRPr="00F2336E" w:rsidDel="00E90B65">
        <w:t xml:space="preserve"> </w:t>
      </w:r>
      <w:r w:rsidR="00E90B65" w:rsidRPr="00F2336E">
        <w:t xml:space="preserve">PRRT </w:t>
      </w:r>
      <w:r w:rsidR="00E90B65">
        <w:t>is</w:t>
      </w:r>
      <w:r w:rsidR="00A64131">
        <w:t xml:space="preserve"> an example of such a tax. The </w:t>
      </w:r>
      <w:r w:rsidR="00E90B65">
        <w:t xml:space="preserve">PRRT </w:t>
      </w:r>
      <w:r w:rsidR="00E90B65" w:rsidRPr="00F2336E">
        <w:t>taxes</w:t>
      </w:r>
      <w:r w:rsidRPr="00F2336E">
        <w:t xml:space="preserve"> </w:t>
      </w:r>
      <w:r>
        <w:t>annual positive cash flow</w:t>
      </w:r>
      <w:r w:rsidRPr="00F2336E">
        <w:t xml:space="preserve"> just like a cash flow tax but does not provide general cash rebates for annual tax losses (negative cash flow). Tax losses are instead carried forward </w:t>
      </w:r>
      <w:r w:rsidR="00A64131">
        <w:t>an</w:t>
      </w:r>
      <w:r w:rsidR="00AE6761">
        <w:t>d uplifted</w:t>
      </w:r>
      <w:r w:rsidR="006272D6">
        <w:t xml:space="preserve"> (</w:t>
      </w:r>
      <w:r w:rsidR="0029133C">
        <w:t>or augmented</w:t>
      </w:r>
      <w:r w:rsidR="006272D6">
        <w:t>)</w:t>
      </w:r>
      <w:r w:rsidR="00AE6761">
        <w:t xml:space="preserve"> annually and</w:t>
      </w:r>
      <w:r w:rsidRPr="00F2336E">
        <w:t xml:space="preserve"> offset against </w:t>
      </w:r>
      <w:r w:rsidR="00AE6761">
        <w:t>any</w:t>
      </w:r>
      <w:r w:rsidR="00A64131">
        <w:t xml:space="preserve"> </w:t>
      </w:r>
      <w:r w:rsidRPr="00F2336E">
        <w:t>future positive cash flow of projects.</w:t>
      </w:r>
    </w:p>
    <w:p w14:paraId="2CAC942D" w14:textId="3698B5D2" w:rsidR="009222FE" w:rsidRDefault="00BD029D" w:rsidP="009222FE">
      <w:r>
        <w:t>This RRT</w:t>
      </w:r>
      <w:r w:rsidR="001107E2">
        <w:t xml:space="preserve"> design seeks to have </w:t>
      </w:r>
      <w:r w:rsidR="009222FE">
        <w:t xml:space="preserve">the investor </w:t>
      </w:r>
      <w:r w:rsidR="001107E2">
        <w:t xml:space="preserve">view </w:t>
      </w:r>
      <w:r w:rsidR="009222FE">
        <w:t xml:space="preserve">the reduction in </w:t>
      </w:r>
      <w:r>
        <w:t>RRT</w:t>
      </w:r>
      <w:r w:rsidR="00E90B65">
        <w:t xml:space="preserve"> payable</w:t>
      </w:r>
      <w:r w:rsidR="009222FE">
        <w:t xml:space="preserve"> </w:t>
      </w:r>
      <w:r>
        <w:t xml:space="preserve">consequent on assessable receipts ultimately absorbing uplifted project losses </w:t>
      </w:r>
      <w:r w:rsidR="001107E2">
        <w:t xml:space="preserve">as being </w:t>
      </w:r>
      <w:r w:rsidR="009222FE">
        <w:t xml:space="preserve">financially equivalent to </w:t>
      </w:r>
      <w:r>
        <w:t>receiving an up</w:t>
      </w:r>
      <w:r w:rsidR="005D6F39">
        <w:noBreakHyphen/>
      </w:r>
      <w:r>
        <w:t>front cash rebate for</w:t>
      </w:r>
      <w:r w:rsidR="009222FE">
        <w:t xml:space="preserve"> the original loss</w:t>
      </w:r>
      <w:r>
        <w:t>es</w:t>
      </w:r>
      <w:r w:rsidR="009222FE">
        <w:t xml:space="preserve">. </w:t>
      </w:r>
      <w:r w:rsidR="00E90B65">
        <w:t xml:space="preserve">In these circumstances, the </w:t>
      </w:r>
      <w:r>
        <w:t>RRT would be viewed as</w:t>
      </w:r>
      <w:r w:rsidR="00E90B65">
        <w:t xml:space="preserve"> match</w:t>
      </w:r>
      <w:r w:rsidR="00217AB2">
        <w:t>ing</w:t>
      </w:r>
      <w:r w:rsidR="00E90B65">
        <w:t xml:space="preserve"> the effect of cash flow taxation on a project</w:t>
      </w:r>
      <w:r w:rsidR="005D6F39">
        <w:t>’</w:t>
      </w:r>
      <w:r w:rsidR="00E90B65">
        <w:t>s negative cash flow</w:t>
      </w:r>
      <w:r w:rsidR="00AE6761">
        <w:t xml:space="preserve"> (</w:t>
      </w:r>
      <w:r w:rsidR="001369B5">
        <w:t xml:space="preserve">see </w:t>
      </w:r>
      <w:r w:rsidR="00AE6761" w:rsidRPr="007D4B54">
        <w:t xml:space="preserve">Box </w:t>
      </w:r>
      <w:r w:rsidR="00E90B65" w:rsidRPr="007D4B54" w:rsidDel="00787E0D">
        <w:t>2.</w:t>
      </w:r>
      <w:r w:rsidR="00AE6761" w:rsidRPr="007D4B54">
        <w:t>1</w:t>
      </w:r>
      <w:r w:rsidR="00E90B65" w:rsidDel="00787E0D">
        <w:t>)</w:t>
      </w:r>
      <w:r w:rsidR="00E90B65" w:rsidDel="008734CA">
        <w:t>.</w:t>
      </w:r>
    </w:p>
    <w:p w14:paraId="73BD5C09" w14:textId="6894069B" w:rsidR="009222FE" w:rsidRDefault="00787E0D" w:rsidP="009222FE">
      <w:r>
        <w:t xml:space="preserve">As discussed in </w:t>
      </w:r>
      <w:r w:rsidR="0029133C" w:rsidRPr="007D4B54">
        <w:t>s</w:t>
      </w:r>
      <w:r w:rsidRPr="007D4B54" w:rsidDel="00487DA8">
        <w:t>ection</w:t>
      </w:r>
      <w:r w:rsidRPr="007D4B54">
        <w:t xml:space="preserve"> 4</w:t>
      </w:r>
      <w:r w:rsidR="0029133C" w:rsidRPr="007D4B54">
        <w:t>.2</w:t>
      </w:r>
      <w:r>
        <w:t>, the rate at which deductions are uplifted is a central feature of the design of a</w:t>
      </w:r>
      <w:r w:rsidR="00217AB2">
        <w:t>n RRT</w:t>
      </w:r>
      <w:r>
        <w:t xml:space="preserve">. </w:t>
      </w:r>
      <w:r w:rsidR="009222FE">
        <w:t>Given the risk of losing deductions varies considerably between projects, uniform uplift rates are necessarily arbitrary and no level of uplift rate can compensate for deductions that are ultimately lost</w:t>
      </w:r>
      <w:r>
        <w:t>.</w:t>
      </w:r>
      <w:r w:rsidR="009222FE" w:rsidDel="00787E0D">
        <w:t xml:space="preserve"> </w:t>
      </w:r>
      <w:r w:rsidR="009222FE">
        <w:t>Practical design</w:t>
      </w:r>
      <w:r>
        <w:t xml:space="preserve"> of </w:t>
      </w:r>
      <w:r w:rsidR="00217AB2">
        <w:t>an RRT</w:t>
      </w:r>
      <w:r w:rsidR="009222FE">
        <w:t xml:space="preserve"> must therefore have some impact on investment decision</w:t>
      </w:r>
      <w:r w:rsidR="005D6F39">
        <w:noBreakHyphen/>
      </w:r>
      <w:r w:rsidR="009222FE">
        <w:t>making. An uplift set too low will deter marginal projects, while an uplift set too high will result in the under</w:t>
      </w:r>
      <w:r w:rsidR="005D6F39">
        <w:noBreakHyphen/>
      </w:r>
      <w:r w:rsidR="009222FE">
        <w:t xml:space="preserve">taxing of highly profitable </w:t>
      </w:r>
      <w:r w:rsidR="009222FE" w:rsidDel="00E90B65">
        <w:t>projects</w:t>
      </w:r>
      <w:r w:rsidR="00E90B65">
        <w:t>.</w:t>
      </w:r>
    </w:p>
    <w:p w14:paraId="2E300A29" w14:textId="4662F03B" w:rsidR="00AA7794" w:rsidRDefault="00CD567A" w:rsidP="00CD567A">
      <w:pPr>
        <w:pStyle w:val="Heading2"/>
      </w:pPr>
      <w:bookmarkStart w:id="4027" w:name="_Toc476577327"/>
      <w:bookmarkStart w:id="4028" w:name="_Toc476582316"/>
      <w:bookmarkStart w:id="4029" w:name="_Toc476582990"/>
      <w:bookmarkStart w:id="4030" w:name="_Toc476583707"/>
      <w:bookmarkStart w:id="4031" w:name="_Toc476584155"/>
      <w:bookmarkStart w:id="4032" w:name="_Toc476738061"/>
      <w:bookmarkStart w:id="4033" w:name="_Toc476747636"/>
      <w:bookmarkStart w:id="4034" w:name="_Toc476749044"/>
      <w:bookmarkStart w:id="4035" w:name="_Toc476753911"/>
      <w:bookmarkStart w:id="4036" w:name="_Toc476754406"/>
      <w:bookmarkStart w:id="4037" w:name="_Toc476754571"/>
      <w:bookmarkStart w:id="4038" w:name="_Toc476759807"/>
      <w:bookmarkStart w:id="4039" w:name="_Toc476761429"/>
      <w:bookmarkStart w:id="4040" w:name="_Toc476767067"/>
      <w:bookmarkStart w:id="4041" w:name="_Toc476827113"/>
      <w:bookmarkStart w:id="4042" w:name="_Toc476828806"/>
      <w:bookmarkStart w:id="4043" w:name="_Toc476833680"/>
      <w:bookmarkStart w:id="4044" w:name="_Toc476837153"/>
      <w:bookmarkStart w:id="4045" w:name="_Toc476841026"/>
      <w:bookmarkStart w:id="4046" w:name="_Toc476841231"/>
      <w:bookmarkStart w:id="4047" w:name="_Toc476841990"/>
      <w:bookmarkStart w:id="4048" w:name="_Toc476842934"/>
      <w:bookmarkStart w:id="4049" w:name="_Toc476843105"/>
      <w:bookmarkStart w:id="4050" w:name="_Toc476844603"/>
      <w:bookmarkStart w:id="4051" w:name="_Toc476845496"/>
      <w:bookmarkStart w:id="4052" w:name="_Toc476926888"/>
      <w:bookmarkStart w:id="4053" w:name="_Toc476926827"/>
      <w:bookmarkStart w:id="4054" w:name="_Toc476927175"/>
      <w:bookmarkStart w:id="4055" w:name="_Toc476928439"/>
      <w:bookmarkStart w:id="4056" w:name="_Toc476929482"/>
      <w:bookmarkStart w:id="4057" w:name="_Toc476929657"/>
      <w:bookmarkStart w:id="4058" w:name="_Toc476930700"/>
      <w:bookmarkStart w:id="4059" w:name="_Toc476931507"/>
      <w:bookmarkStart w:id="4060" w:name="_Toc477869874"/>
      <w:bookmarkStart w:id="4061" w:name="_Toc477871113"/>
      <w:bookmarkStart w:id="4062" w:name="_Toc477873272"/>
      <w:bookmarkStart w:id="4063" w:name="_Toc477875266"/>
      <w:bookmarkStart w:id="4064" w:name="_Toc477880179"/>
      <w:bookmarkStart w:id="4065" w:name="_Toc477881439"/>
      <w:bookmarkStart w:id="4066" w:name="_Toc477955843"/>
      <w:bookmarkStart w:id="4067" w:name="_Toc477963088"/>
      <w:bookmarkStart w:id="4068" w:name="_Toc477963574"/>
      <w:bookmarkStart w:id="4069" w:name="_Toc477965160"/>
      <w:bookmarkStart w:id="4070" w:name="_Toc477966664"/>
      <w:bookmarkStart w:id="4071" w:name="_Toc477966833"/>
      <w:bookmarkStart w:id="4072" w:name="_Toc477967173"/>
      <w:bookmarkStart w:id="4073" w:name="_Toc478121310"/>
      <w:bookmarkStart w:id="4074" w:name="_Toc478122223"/>
      <w:bookmarkStart w:id="4075" w:name="_Toc478132197"/>
      <w:bookmarkStart w:id="4076" w:name="_Toc478133223"/>
      <w:bookmarkStart w:id="4077" w:name="_Toc478132360"/>
      <w:bookmarkStart w:id="4078" w:name="_Toc478134689"/>
      <w:bookmarkStart w:id="4079" w:name="_Toc478137391"/>
      <w:bookmarkStart w:id="4080" w:name="_Toc478138463"/>
      <w:bookmarkStart w:id="4081" w:name="_Toc478140033"/>
      <w:bookmarkStart w:id="4082" w:name="_Toc478140449"/>
      <w:bookmarkStart w:id="4083" w:name="_Toc478142655"/>
      <w:bookmarkStart w:id="4084" w:name="_Toc478566371"/>
      <w:bookmarkStart w:id="4085" w:name="_Toc478569538"/>
      <w:bookmarkStart w:id="4086" w:name="_Toc478569712"/>
      <w:bookmarkStart w:id="4087" w:name="_Toc478570786"/>
      <w:bookmarkStart w:id="4088" w:name="_Toc478632985"/>
      <w:bookmarkStart w:id="4089" w:name="_Toc478641393"/>
      <w:bookmarkStart w:id="4090" w:name="_Toc478654287"/>
      <w:bookmarkStart w:id="4091" w:name="_Toc478654461"/>
      <w:bookmarkStart w:id="4092" w:name="_Toc478657756"/>
      <w:bookmarkStart w:id="4093" w:name="_Toc478993177"/>
      <w:bookmarkStart w:id="4094" w:name="_Toc479000248"/>
      <w:bookmarkStart w:id="4095" w:name="_Toc479002182"/>
      <w:bookmarkStart w:id="4096" w:name="_Toc479002354"/>
      <w:bookmarkStart w:id="4097" w:name="_Toc479254330"/>
      <w:bookmarkStart w:id="4098" w:name="_Toc479258519"/>
      <w:bookmarkStart w:id="4099" w:name="_Toc479258835"/>
      <w:bookmarkStart w:id="4100" w:name="_Toc479259727"/>
      <w:bookmarkStart w:id="4101" w:name="_Toc479262150"/>
      <w:bookmarkStart w:id="4102" w:name="_Toc479262571"/>
      <w:bookmarkStart w:id="4103" w:name="_Toc479321272"/>
      <w:bookmarkStart w:id="4104" w:name="_Toc479326711"/>
      <w:bookmarkStart w:id="4105" w:name="_Toc479333310"/>
      <w:bookmarkStart w:id="4106" w:name="_Toc479335007"/>
      <w:bookmarkStart w:id="4107" w:name="_Toc479341722"/>
      <w:bookmarkStart w:id="4108" w:name="_Toc479345138"/>
      <w:bookmarkStart w:id="4109" w:name="_Toc479345347"/>
      <w:bookmarkStart w:id="4110" w:name="_Toc479348328"/>
      <w:bookmarkStart w:id="4111" w:name="_Toc479675922"/>
      <w:bookmarkStart w:id="4112" w:name="_Toc479690889"/>
      <w:bookmarkStart w:id="4113" w:name="_Toc479693467"/>
      <w:bookmarkStart w:id="4114" w:name="_Toc479770636"/>
      <w:r>
        <w:t>2.2</w:t>
      </w:r>
      <w:r>
        <w:tab/>
        <w:t xml:space="preserve">Resource Charging Arrangements </w:t>
      </w:r>
      <w:r w:rsidR="00823B29">
        <w:t>i</w:t>
      </w:r>
      <w:r>
        <w:t>n Australia</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6F20148B" w14:textId="32FA2463" w:rsidR="00AA7794" w:rsidRDefault="00AA7794" w:rsidP="002E58C4">
      <w:r>
        <w:t>In Australia, governments apply a variety of resource charging arrangements</w:t>
      </w:r>
      <w:r w:rsidR="003B4DB4">
        <w:t xml:space="preserve">. As noted in </w:t>
      </w:r>
      <w:r w:rsidR="00117DB3" w:rsidRPr="007D4B54">
        <w:t>s</w:t>
      </w:r>
      <w:r w:rsidR="003B4DB4" w:rsidRPr="007D4B54">
        <w:t>ection 1.5.1</w:t>
      </w:r>
      <w:r w:rsidR="008873F8">
        <w:t>,</w:t>
      </w:r>
      <w:r w:rsidR="00C048A6">
        <w:t xml:space="preserve"> </w:t>
      </w:r>
      <w:r w:rsidR="003B4DB4">
        <w:t>exploration leases in Australia are awarded on the basis of work</w:t>
      </w:r>
      <w:r w:rsidR="005D6F39">
        <w:noBreakHyphen/>
      </w:r>
      <w:r w:rsidR="003B4DB4">
        <w:t>program bidding although cash bidding was reintroduced for some exploration permits in 2014</w:t>
      </w:r>
      <w:r>
        <w:t xml:space="preserve">. </w:t>
      </w:r>
      <w:r w:rsidR="00410FE9">
        <w:t xml:space="preserve">The main </w:t>
      </w:r>
      <w:r w:rsidR="00E90B65">
        <w:t>resource</w:t>
      </w:r>
      <w:r>
        <w:t xml:space="preserve"> charging arrangements generally consist of the </w:t>
      </w:r>
      <w:r w:rsidR="00527D49">
        <w:t>PRRT</w:t>
      </w:r>
      <w:r>
        <w:t xml:space="preserve">, a </w:t>
      </w:r>
      <w:r w:rsidR="00486B7A">
        <w:t>c</w:t>
      </w:r>
      <w:r>
        <w:t xml:space="preserve">rude </w:t>
      </w:r>
      <w:r w:rsidR="00486B7A">
        <w:t>o</w:t>
      </w:r>
      <w:r>
        <w:t xml:space="preserve">il </w:t>
      </w:r>
      <w:r w:rsidR="00486B7A">
        <w:t>e</w:t>
      </w:r>
      <w:r>
        <w:t xml:space="preserve">xcise, Commonwealth petroleum royalties and state petroleum royalties. </w:t>
      </w:r>
      <w:r w:rsidRPr="007D4B54">
        <w:t xml:space="preserve">Table </w:t>
      </w:r>
      <w:r w:rsidR="0029133C" w:rsidRPr="007D4B54">
        <w:t>2.1</w:t>
      </w:r>
      <w:r>
        <w:t xml:space="preserve"> outlines </w:t>
      </w:r>
      <w:r w:rsidR="008873F8">
        <w:t xml:space="preserve">where </w:t>
      </w:r>
      <w:r>
        <w:t xml:space="preserve">the different types of resource charging arrangements </w:t>
      </w:r>
      <w:r w:rsidR="008873F8">
        <w:t xml:space="preserve">apply </w:t>
      </w:r>
      <w:r>
        <w:t>in Australia.</w:t>
      </w:r>
    </w:p>
    <w:p w14:paraId="6C9DDA18" w14:textId="77777777" w:rsidR="00335673" w:rsidRDefault="00335673">
      <w:pPr>
        <w:spacing w:after="0" w:line="240" w:lineRule="auto"/>
        <w:jc w:val="left"/>
        <w:rPr>
          <w:rFonts w:ascii="Century Gothic" w:hAnsi="Century Gothic"/>
          <w:b/>
          <w:bCs/>
          <w:color w:val="1F497D" w:themeColor="text2"/>
          <w:szCs w:val="22"/>
          <w:highlight w:val="yellow"/>
        </w:rPr>
      </w:pPr>
      <w:r>
        <w:rPr>
          <w:highlight w:val="yellow"/>
        </w:rPr>
        <w:br w:type="page"/>
      </w:r>
    </w:p>
    <w:p w14:paraId="5C09544A" w14:textId="271DD191" w:rsidR="00CD567A" w:rsidRPr="005A192A" w:rsidRDefault="00CD567A" w:rsidP="00221C2A">
      <w:pPr>
        <w:pStyle w:val="TableMainHeading"/>
      </w:pPr>
      <w:r w:rsidRPr="007D4B54">
        <w:t xml:space="preserve">Table </w:t>
      </w:r>
      <w:r w:rsidR="00FF37A8" w:rsidRPr="007D4B54">
        <w:t>2.1</w:t>
      </w:r>
      <w:r w:rsidRPr="00AE5BDF">
        <w:t xml:space="preserve"> — Summary of </w:t>
      </w:r>
      <w:r w:rsidR="006D6467">
        <w:t>resource charging a</w:t>
      </w:r>
      <w:r w:rsidR="00AF557E">
        <w:t>rrangements</w:t>
      </w:r>
      <w:r w:rsidR="006D6467">
        <w:t xml:space="preserve"> </w:t>
      </w:r>
      <w:r w:rsidR="00AF557E">
        <w:t>in Australia</w:t>
      </w:r>
    </w:p>
    <w:tbl>
      <w:tblPr>
        <w:tblStyle w:val="TableGrid"/>
        <w:tblW w:w="918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1530"/>
        <w:gridCol w:w="1530"/>
        <w:gridCol w:w="1530"/>
        <w:gridCol w:w="1530"/>
        <w:gridCol w:w="1530"/>
        <w:gridCol w:w="1530"/>
      </w:tblGrid>
      <w:tr w:rsidR="00CD567A" w:rsidRPr="00112041" w14:paraId="1BBBDF0F" w14:textId="77777777" w:rsidTr="0029133C">
        <w:trPr>
          <w:cantSplit/>
          <w:trHeight w:val="594"/>
        </w:trPr>
        <w:tc>
          <w:tcPr>
            <w:tcW w:w="1530" w:type="dxa"/>
            <w:shd w:val="clear" w:color="auto" w:fill="auto"/>
          </w:tcPr>
          <w:p w14:paraId="6CF3849B" w14:textId="77777777" w:rsidR="00CD567A" w:rsidRPr="007A378C" w:rsidRDefault="00CD567A" w:rsidP="005137C0">
            <w:pPr>
              <w:pStyle w:val="TableColumnHeadingCentred"/>
            </w:pPr>
          </w:p>
        </w:tc>
        <w:tc>
          <w:tcPr>
            <w:tcW w:w="1530" w:type="dxa"/>
            <w:shd w:val="clear" w:color="auto" w:fill="auto"/>
          </w:tcPr>
          <w:p w14:paraId="55331376" w14:textId="77777777" w:rsidR="00CD567A" w:rsidRPr="007A378C" w:rsidRDefault="00CD567A" w:rsidP="005137C0">
            <w:pPr>
              <w:pStyle w:val="TableColumnHeadingCentred"/>
            </w:pPr>
            <w:r w:rsidRPr="007A378C">
              <w:t>PRRT</w:t>
            </w:r>
          </w:p>
        </w:tc>
        <w:tc>
          <w:tcPr>
            <w:tcW w:w="1530" w:type="dxa"/>
            <w:shd w:val="clear" w:color="auto" w:fill="auto"/>
          </w:tcPr>
          <w:p w14:paraId="237E77F3" w14:textId="77777777" w:rsidR="00CD567A" w:rsidRPr="007A378C" w:rsidRDefault="00CD567A" w:rsidP="005137C0">
            <w:pPr>
              <w:pStyle w:val="TableColumnHeadingCentred"/>
            </w:pPr>
            <w:r w:rsidRPr="007A378C">
              <w:t>Excise</w:t>
            </w:r>
          </w:p>
        </w:tc>
        <w:tc>
          <w:tcPr>
            <w:tcW w:w="1530" w:type="dxa"/>
            <w:shd w:val="clear" w:color="auto" w:fill="auto"/>
          </w:tcPr>
          <w:p w14:paraId="45CC7633" w14:textId="77777777" w:rsidR="00CD567A" w:rsidRPr="00D231CA" w:rsidRDefault="00CD567A" w:rsidP="005137C0">
            <w:pPr>
              <w:pStyle w:val="TableColumnHeadingCentred"/>
            </w:pPr>
            <w:r w:rsidRPr="00D231CA">
              <w:t>State Royalties</w:t>
            </w:r>
          </w:p>
        </w:tc>
        <w:tc>
          <w:tcPr>
            <w:tcW w:w="1530" w:type="dxa"/>
            <w:shd w:val="clear" w:color="auto" w:fill="auto"/>
          </w:tcPr>
          <w:p w14:paraId="4FDF62F6" w14:textId="77777777" w:rsidR="00CD567A" w:rsidRPr="00CA4EB8" w:rsidRDefault="00CD567A" w:rsidP="005137C0">
            <w:pPr>
              <w:pStyle w:val="TableColumnHeadingCentred"/>
            </w:pPr>
            <w:r w:rsidRPr="00CA4EB8">
              <w:t>Commonwealth Royalties</w:t>
            </w:r>
          </w:p>
        </w:tc>
        <w:tc>
          <w:tcPr>
            <w:tcW w:w="1530" w:type="dxa"/>
            <w:shd w:val="clear" w:color="auto" w:fill="auto"/>
          </w:tcPr>
          <w:p w14:paraId="47E44870" w14:textId="77777777" w:rsidR="00CD567A" w:rsidRPr="007A378C" w:rsidRDefault="00CD567A" w:rsidP="005137C0">
            <w:pPr>
              <w:pStyle w:val="TableColumnHeadingCentred"/>
            </w:pPr>
            <w:r w:rsidRPr="00CA4EB8">
              <w:t>Resource Rent Royalty (RRR)</w:t>
            </w:r>
          </w:p>
        </w:tc>
      </w:tr>
      <w:tr w:rsidR="00CD567A" w:rsidRPr="00112041" w14:paraId="4D1E8869" w14:textId="77777777" w:rsidTr="0029133C">
        <w:trPr>
          <w:cantSplit/>
          <w:trHeight w:val="2885"/>
        </w:trPr>
        <w:tc>
          <w:tcPr>
            <w:tcW w:w="1530" w:type="dxa"/>
            <w:shd w:val="clear" w:color="auto" w:fill="auto"/>
          </w:tcPr>
          <w:p w14:paraId="11690B48" w14:textId="77777777" w:rsidR="00CD567A" w:rsidRPr="0029133C" w:rsidRDefault="00CD567A" w:rsidP="005137C0">
            <w:pPr>
              <w:pStyle w:val="TableColumnHeadingLeft"/>
            </w:pPr>
            <w:r w:rsidRPr="0029133C">
              <w:t>Commodities</w:t>
            </w:r>
          </w:p>
        </w:tc>
        <w:tc>
          <w:tcPr>
            <w:tcW w:w="1530" w:type="dxa"/>
            <w:shd w:val="clear" w:color="auto" w:fill="FFFFFF" w:themeFill="background1"/>
          </w:tcPr>
          <w:p w14:paraId="05E291EA" w14:textId="54A20CCB" w:rsidR="00CD567A" w:rsidRPr="0029133C" w:rsidRDefault="00CD567A" w:rsidP="005137C0">
            <w:pPr>
              <w:pStyle w:val="TableTextLeft"/>
              <w:jc w:val="left"/>
            </w:pPr>
            <w:r w:rsidRPr="0029133C">
              <w:t>Any naturally occurring hydrocarbon (or naturally o</w:t>
            </w:r>
            <w:r w:rsidR="0029133C">
              <w:t xml:space="preserve">ccurring mixture of hydrocarbons) </w:t>
            </w:r>
            <w:r w:rsidRPr="0029133C">
              <w:t>whether in gaseous, liquid or solid state. Includes oil shale.</w:t>
            </w:r>
          </w:p>
        </w:tc>
        <w:tc>
          <w:tcPr>
            <w:tcW w:w="1530" w:type="dxa"/>
            <w:shd w:val="clear" w:color="auto" w:fill="FFFFFF" w:themeFill="background1"/>
          </w:tcPr>
          <w:p w14:paraId="60047FCB" w14:textId="77777777" w:rsidR="00CD567A" w:rsidRPr="0029133C" w:rsidRDefault="00CD567A" w:rsidP="005137C0">
            <w:pPr>
              <w:pStyle w:val="TableTextLeft"/>
              <w:jc w:val="left"/>
              <w:rPr>
                <w:b/>
              </w:rPr>
            </w:pPr>
            <w:r w:rsidRPr="0029133C">
              <w:t>Crude oil and condensate</w:t>
            </w:r>
          </w:p>
        </w:tc>
        <w:tc>
          <w:tcPr>
            <w:tcW w:w="1530" w:type="dxa"/>
            <w:shd w:val="clear" w:color="auto" w:fill="FFFFFF" w:themeFill="background1"/>
          </w:tcPr>
          <w:p w14:paraId="27A77B05" w14:textId="6F8450EC" w:rsidR="00CD567A" w:rsidRPr="0029133C" w:rsidRDefault="00CD567A" w:rsidP="005137C0">
            <w:pPr>
              <w:pStyle w:val="TableTextLeft"/>
              <w:jc w:val="left"/>
            </w:pPr>
            <w:r w:rsidRPr="0029133C">
              <w:t>Any naturally occurring hydrocarbon (or naturally occurrin</w:t>
            </w:r>
            <w:r w:rsidR="0029133C">
              <w:t>g mixture of hydrocarbons)</w:t>
            </w:r>
            <w:r w:rsidRPr="0029133C">
              <w:t xml:space="preserve"> whether in gaseous, liquid or solid state.</w:t>
            </w:r>
            <w:r w:rsidRPr="0029133C">
              <w:rPr>
                <w:vertAlign w:val="superscript"/>
              </w:rPr>
              <w:t>(a)</w:t>
            </w:r>
          </w:p>
        </w:tc>
        <w:tc>
          <w:tcPr>
            <w:tcW w:w="1530" w:type="dxa"/>
            <w:shd w:val="clear" w:color="auto" w:fill="FFFFFF" w:themeFill="background1"/>
          </w:tcPr>
          <w:p w14:paraId="5F273459" w14:textId="4D5B7060" w:rsidR="00CD567A" w:rsidRPr="0029133C" w:rsidRDefault="00CD567A" w:rsidP="005137C0">
            <w:pPr>
              <w:pStyle w:val="TableTextLeft"/>
              <w:jc w:val="left"/>
            </w:pPr>
            <w:r w:rsidRPr="0029133C">
              <w:t>Any naturally occurring hydrocarbon (or naturally occ</w:t>
            </w:r>
            <w:r w:rsidR="0029133C">
              <w:t>urring mixture of hydrocarbons)</w:t>
            </w:r>
            <w:r w:rsidRPr="0029133C">
              <w:t xml:space="preserve"> whether in gaseous, liquid or solid state.</w:t>
            </w:r>
          </w:p>
        </w:tc>
        <w:tc>
          <w:tcPr>
            <w:tcW w:w="1530" w:type="dxa"/>
            <w:shd w:val="clear" w:color="auto" w:fill="FFFFFF" w:themeFill="background1"/>
          </w:tcPr>
          <w:p w14:paraId="7E1029BF" w14:textId="1BD803D1" w:rsidR="00CD567A" w:rsidRPr="0029133C" w:rsidRDefault="00CD567A" w:rsidP="005137C0">
            <w:pPr>
              <w:pStyle w:val="TableTextLeft"/>
              <w:jc w:val="left"/>
              <w:rPr>
                <w:b/>
              </w:rPr>
            </w:pPr>
            <w:r w:rsidRPr="0029133C">
              <w:t>Any naturally occurring hydrocarbon (or naturally occ</w:t>
            </w:r>
            <w:r w:rsidR="0029133C">
              <w:t>urring mixture of hydrocarbons</w:t>
            </w:r>
            <w:r w:rsidR="00117DB3">
              <w:t>)</w:t>
            </w:r>
            <w:r w:rsidRPr="0029133C">
              <w:t xml:space="preserve"> whether in gaseous, liquid or solid state. Excludes oil shale.</w:t>
            </w:r>
          </w:p>
        </w:tc>
      </w:tr>
      <w:tr w:rsidR="00CD567A" w:rsidRPr="00112041" w14:paraId="06FB19E0" w14:textId="77777777" w:rsidTr="0029133C">
        <w:trPr>
          <w:cantSplit/>
          <w:trHeight w:val="912"/>
        </w:trPr>
        <w:tc>
          <w:tcPr>
            <w:tcW w:w="1530" w:type="dxa"/>
            <w:shd w:val="clear" w:color="auto" w:fill="auto"/>
          </w:tcPr>
          <w:p w14:paraId="2763FFEF" w14:textId="66DE3FD3" w:rsidR="00CD567A" w:rsidRPr="0029133C" w:rsidRDefault="00CD567A" w:rsidP="005137C0">
            <w:pPr>
              <w:pStyle w:val="TableColumnHeadingLeft"/>
            </w:pPr>
            <w:r w:rsidRPr="0029133C">
              <w:t>Onshore</w:t>
            </w:r>
            <w:r w:rsidRPr="0029133C">
              <w:rPr>
                <w:vertAlign w:val="superscript"/>
              </w:rPr>
              <w:t xml:space="preserve"> </w:t>
            </w:r>
            <w:r w:rsidR="004A6F8A" w:rsidRPr="0029133C">
              <w:rPr>
                <w:vertAlign w:val="superscript"/>
              </w:rPr>
              <w:t>(</w:t>
            </w:r>
            <w:r w:rsidRPr="0029133C">
              <w:rPr>
                <w:vertAlign w:val="superscript"/>
              </w:rPr>
              <w:t>b</w:t>
            </w:r>
            <w:r w:rsidR="004A6F8A" w:rsidRPr="0029133C">
              <w:rPr>
                <w:vertAlign w:val="superscript"/>
              </w:rPr>
              <w:t>)</w:t>
            </w:r>
          </w:p>
        </w:tc>
        <w:tc>
          <w:tcPr>
            <w:tcW w:w="1530" w:type="dxa"/>
            <w:shd w:val="clear" w:color="auto" w:fill="DBE5F1" w:themeFill="accent1" w:themeFillTint="33"/>
          </w:tcPr>
          <w:p w14:paraId="425E3ADB" w14:textId="77777777" w:rsidR="00CD567A" w:rsidRPr="0029133C" w:rsidRDefault="00CD567A" w:rsidP="005137C0">
            <w:pPr>
              <w:pStyle w:val="TableTextLeft"/>
              <w:jc w:val="left"/>
            </w:pPr>
            <w:r w:rsidRPr="0029133C">
              <w:t>Yes</w:t>
            </w:r>
            <w:r w:rsidRPr="0029133C">
              <w:br/>
              <w:t>(since 1 July 2012)</w:t>
            </w:r>
          </w:p>
        </w:tc>
        <w:tc>
          <w:tcPr>
            <w:tcW w:w="1530" w:type="dxa"/>
            <w:shd w:val="clear" w:color="auto" w:fill="DBE5F1" w:themeFill="accent1" w:themeFillTint="33"/>
          </w:tcPr>
          <w:p w14:paraId="3404C4E4" w14:textId="1AEB03B5" w:rsidR="00CD567A" w:rsidRPr="0029133C" w:rsidRDefault="0029133C" w:rsidP="005137C0">
            <w:pPr>
              <w:pStyle w:val="TableTextLeft"/>
              <w:jc w:val="left"/>
            </w:pPr>
            <w:r>
              <w:t>Yes</w:t>
            </w:r>
            <w:r>
              <w:br/>
            </w:r>
            <w:r w:rsidR="00693833" w:rsidRPr="0029133C">
              <w:t>(exc</w:t>
            </w:r>
            <w:r>
              <w:t xml:space="preserve">luding </w:t>
            </w:r>
            <w:r w:rsidR="00693833" w:rsidRPr="0029133C">
              <w:t>Barrow Island)</w:t>
            </w:r>
          </w:p>
        </w:tc>
        <w:tc>
          <w:tcPr>
            <w:tcW w:w="1530" w:type="dxa"/>
            <w:shd w:val="clear" w:color="auto" w:fill="DBE5F1" w:themeFill="accent1" w:themeFillTint="33"/>
          </w:tcPr>
          <w:p w14:paraId="360236CB" w14:textId="77777777" w:rsidR="00CD567A" w:rsidRPr="0029133C" w:rsidRDefault="00CD567A" w:rsidP="005137C0">
            <w:pPr>
              <w:pStyle w:val="TableTextLeft"/>
              <w:jc w:val="left"/>
            </w:pPr>
            <w:r w:rsidRPr="0029133C">
              <w:t>Yes</w:t>
            </w:r>
          </w:p>
        </w:tc>
        <w:tc>
          <w:tcPr>
            <w:tcW w:w="1530" w:type="dxa"/>
            <w:shd w:val="clear" w:color="auto" w:fill="FBD4B4" w:themeFill="accent6" w:themeFillTint="66"/>
          </w:tcPr>
          <w:p w14:paraId="0DFCED08" w14:textId="3ED7428C" w:rsidR="00CD567A" w:rsidRPr="0029133C" w:rsidRDefault="00CD567A" w:rsidP="005137C0">
            <w:pPr>
              <w:pStyle w:val="TableTextLeft"/>
              <w:jc w:val="left"/>
              <w:rPr>
                <w:color w:val="F2DBDB" w:themeColor="accent2" w:themeTint="33"/>
              </w:rPr>
            </w:pPr>
            <w:r w:rsidRPr="0029133C">
              <w:t>No</w:t>
            </w:r>
          </w:p>
        </w:tc>
        <w:tc>
          <w:tcPr>
            <w:tcW w:w="1530" w:type="dxa"/>
            <w:shd w:val="clear" w:color="auto" w:fill="FBD4B4" w:themeFill="accent6" w:themeFillTint="66"/>
          </w:tcPr>
          <w:p w14:paraId="3B1DF2DF" w14:textId="77777777" w:rsidR="00CD567A" w:rsidRPr="0029133C" w:rsidRDefault="00CD567A" w:rsidP="005137C0">
            <w:pPr>
              <w:pStyle w:val="TableTextLeft"/>
              <w:jc w:val="left"/>
            </w:pPr>
            <w:r w:rsidRPr="0029133C">
              <w:t>Barrow Island only</w:t>
            </w:r>
          </w:p>
        </w:tc>
      </w:tr>
      <w:tr w:rsidR="00CD567A" w:rsidRPr="00112041" w14:paraId="1C2192B6" w14:textId="77777777" w:rsidTr="0029133C">
        <w:trPr>
          <w:cantSplit/>
          <w:trHeight w:val="912"/>
        </w:trPr>
        <w:tc>
          <w:tcPr>
            <w:tcW w:w="1530" w:type="dxa"/>
            <w:shd w:val="clear" w:color="auto" w:fill="auto"/>
          </w:tcPr>
          <w:p w14:paraId="6A1C5713" w14:textId="77777777" w:rsidR="00CD567A" w:rsidRPr="0029133C" w:rsidRDefault="00CD567A" w:rsidP="005137C0">
            <w:pPr>
              <w:pStyle w:val="TableColumnHeadingLeft"/>
            </w:pPr>
            <w:r w:rsidRPr="0029133C">
              <w:t>Offshore</w:t>
            </w:r>
          </w:p>
        </w:tc>
        <w:tc>
          <w:tcPr>
            <w:tcW w:w="1530" w:type="dxa"/>
            <w:shd w:val="clear" w:color="auto" w:fill="DBE5F1" w:themeFill="accent1" w:themeFillTint="33"/>
          </w:tcPr>
          <w:p w14:paraId="5C4576A7" w14:textId="77777777" w:rsidR="00CD567A" w:rsidRPr="0029133C" w:rsidRDefault="00CD567A" w:rsidP="005137C0">
            <w:pPr>
              <w:pStyle w:val="TableTextLeft"/>
              <w:jc w:val="left"/>
            </w:pPr>
            <w:r w:rsidRPr="0029133C">
              <w:t>Yes</w:t>
            </w:r>
            <w:r w:rsidRPr="0029133C">
              <w:br/>
              <w:t>(since 1988)</w:t>
            </w:r>
          </w:p>
        </w:tc>
        <w:tc>
          <w:tcPr>
            <w:tcW w:w="1530" w:type="dxa"/>
            <w:shd w:val="clear" w:color="auto" w:fill="FBD4B4" w:themeFill="accent6" w:themeFillTint="66"/>
          </w:tcPr>
          <w:p w14:paraId="6FE5BD15" w14:textId="64C56D65" w:rsidR="00CD567A" w:rsidRPr="0029133C" w:rsidRDefault="00CD567A" w:rsidP="005137C0">
            <w:pPr>
              <w:pStyle w:val="TableTextLeft"/>
              <w:jc w:val="left"/>
            </w:pPr>
            <w:r w:rsidRPr="0029133C">
              <w:t xml:space="preserve">North West </w:t>
            </w:r>
            <w:r w:rsidR="0029133C">
              <w:t>S</w:t>
            </w:r>
            <w:r w:rsidRPr="0029133C">
              <w:t>helf</w:t>
            </w:r>
            <w:r w:rsidR="0029133C">
              <w:t xml:space="preserve"> project</w:t>
            </w:r>
            <w:r w:rsidRPr="0029133C">
              <w:t xml:space="preserve"> only </w:t>
            </w:r>
          </w:p>
        </w:tc>
        <w:tc>
          <w:tcPr>
            <w:tcW w:w="1530" w:type="dxa"/>
            <w:shd w:val="clear" w:color="auto" w:fill="FBD4B4" w:themeFill="accent6" w:themeFillTint="66"/>
          </w:tcPr>
          <w:p w14:paraId="5B93B55B" w14:textId="77777777" w:rsidR="00CD567A" w:rsidRPr="0029133C" w:rsidRDefault="00CD567A" w:rsidP="005137C0">
            <w:pPr>
              <w:pStyle w:val="TableTextLeft"/>
              <w:jc w:val="left"/>
            </w:pPr>
            <w:r w:rsidRPr="0029133C">
              <w:t>No</w:t>
            </w:r>
          </w:p>
        </w:tc>
        <w:tc>
          <w:tcPr>
            <w:tcW w:w="1530" w:type="dxa"/>
            <w:shd w:val="clear" w:color="auto" w:fill="FBD4B4" w:themeFill="accent6" w:themeFillTint="66"/>
          </w:tcPr>
          <w:p w14:paraId="4CA13F19" w14:textId="008A2D71" w:rsidR="00CD567A" w:rsidRPr="0029133C" w:rsidRDefault="00CD567A" w:rsidP="005137C0">
            <w:pPr>
              <w:pStyle w:val="TableTextLeft"/>
              <w:jc w:val="left"/>
            </w:pPr>
            <w:r w:rsidRPr="0029133C">
              <w:t xml:space="preserve">North West </w:t>
            </w:r>
            <w:r w:rsidR="0029133C">
              <w:t>S</w:t>
            </w:r>
            <w:r w:rsidRPr="0029133C">
              <w:t xml:space="preserve">helf </w:t>
            </w:r>
            <w:r w:rsidR="0029133C">
              <w:t xml:space="preserve">project </w:t>
            </w:r>
            <w:r w:rsidRPr="0029133C">
              <w:t>only</w:t>
            </w:r>
          </w:p>
        </w:tc>
        <w:tc>
          <w:tcPr>
            <w:tcW w:w="1530" w:type="dxa"/>
            <w:shd w:val="clear" w:color="auto" w:fill="FBD4B4" w:themeFill="accent6" w:themeFillTint="66"/>
          </w:tcPr>
          <w:p w14:paraId="60FE7028" w14:textId="77777777" w:rsidR="00CD567A" w:rsidRPr="0029133C" w:rsidRDefault="00CD567A" w:rsidP="005137C0">
            <w:pPr>
              <w:pStyle w:val="TableTextLeft"/>
              <w:jc w:val="left"/>
            </w:pPr>
            <w:r w:rsidRPr="0029133C">
              <w:t>No</w:t>
            </w:r>
          </w:p>
        </w:tc>
      </w:tr>
      <w:tr w:rsidR="00CD567A" w:rsidRPr="00112041" w14:paraId="5EB8E596" w14:textId="77777777" w:rsidTr="0029133C">
        <w:trPr>
          <w:cantSplit/>
          <w:trHeight w:val="912"/>
        </w:trPr>
        <w:tc>
          <w:tcPr>
            <w:tcW w:w="1530" w:type="dxa"/>
            <w:shd w:val="clear" w:color="auto" w:fill="auto"/>
          </w:tcPr>
          <w:p w14:paraId="4F062456" w14:textId="0C2118D2" w:rsidR="00CD567A" w:rsidRPr="0029133C" w:rsidRDefault="00CD567A" w:rsidP="005137C0">
            <w:pPr>
              <w:pStyle w:val="TableColumnHeadingLeft"/>
            </w:pPr>
            <w:r w:rsidRPr="0029133C">
              <w:t xml:space="preserve">North West </w:t>
            </w:r>
            <w:r w:rsidR="0029133C">
              <w:t>S</w:t>
            </w:r>
            <w:r w:rsidRPr="0029133C">
              <w:t>helf</w:t>
            </w:r>
            <w:r w:rsidR="0029133C">
              <w:t xml:space="preserve"> project</w:t>
            </w:r>
            <w:r w:rsidRPr="0029133C">
              <w:t xml:space="preserve"> (special offshore area)</w:t>
            </w:r>
          </w:p>
        </w:tc>
        <w:tc>
          <w:tcPr>
            <w:tcW w:w="1530" w:type="dxa"/>
            <w:shd w:val="clear" w:color="auto" w:fill="DBE5F1" w:themeFill="accent1" w:themeFillTint="33"/>
          </w:tcPr>
          <w:p w14:paraId="39ACD760" w14:textId="77777777" w:rsidR="00CD567A" w:rsidRPr="0029133C" w:rsidRDefault="00CD567A" w:rsidP="005137C0">
            <w:pPr>
              <w:pStyle w:val="TableTextLeft"/>
              <w:jc w:val="left"/>
            </w:pPr>
            <w:r w:rsidRPr="0029133C">
              <w:t>Yes</w:t>
            </w:r>
            <w:r w:rsidRPr="0029133C">
              <w:br/>
              <w:t>(since 1 July 2012)</w:t>
            </w:r>
          </w:p>
        </w:tc>
        <w:tc>
          <w:tcPr>
            <w:tcW w:w="1530" w:type="dxa"/>
            <w:shd w:val="clear" w:color="auto" w:fill="DBE5F1" w:themeFill="accent1" w:themeFillTint="33"/>
          </w:tcPr>
          <w:p w14:paraId="36CF5970" w14:textId="77777777" w:rsidR="00CD567A" w:rsidRPr="0029133C" w:rsidRDefault="00CD567A" w:rsidP="005137C0">
            <w:pPr>
              <w:pStyle w:val="TableTextLeft"/>
              <w:jc w:val="left"/>
            </w:pPr>
            <w:r w:rsidRPr="0029133C">
              <w:t>Yes</w:t>
            </w:r>
          </w:p>
        </w:tc>
        <w:tc>
          <w:tcPr>
            <w:tcW w:w="1530" w:type="dxa"/>
            <w:shd w:val="clear" w:color="auto" w:fill="FBD4B4" w:themeFill="accent6" w:themeFillTint="66"/>
          </w:tcPr>
          <w:p w14:paraId="4BA6F62D" w14:textId="77777777" w:rsidR="00CD567A" w:rsidRPr="0029133C" w:rsidRDefault="00CD567A" w:rsidP="005137C0">
            <w:pPr>
              <w:pStyle w:val="TableTextLeft"/>
              <w:jc w:val="left"/>
            </w:pPr>
            <w:r w:rsidRPr="0029133C">
              <w:t>No</w:t>
            </w:r>
          </w:p>
        </w:tc>
        <w:tc>
          <w:tcPr>
            <w:tcW w:w="1530" w:type="dxa"/>
            <w:shd w:val="clear" w:color="auto" w:fill="DBE5F1" w:themeFill="accent1" w:themeFillTint="33"/>
          </w:tcPr>
          <w:p w14:paraId="5F3F0A0B" w14:textId="730BA3D3" w:rsidR="00CD567A" w:rsidRPr="0029133C" w:rsidRDefault="00CD567A" w:rsidP="005137C0">
            <w:pPr>
              <w:pStyle w:val="TableTextLeft"/>
              <w:jc w:val="left"/>
            </w:pPr>
            <w:r w:rsidRPr="0029133C">
              <w:t xml:space="preserve">Yes. Shared with </w:t>
            </w:r>
            <w:r w:rsidR="004A6F8A" w:rsidRPr="0029133C">
              <w:t xml:space="preserve">WA </w:t>
            </w:r>
            <w:r w:rsidRPr="0029133C">
              <w:rPr>
                <w:vertAlign w:val="superscript"/>
              </w:rPr>
              <w:t>(c)</w:t>
            </w:r>
          </w:p>
        </w:tc>
        <w:tc>
          <w:tcPr>
            <w:tcW w:w="1530" w:type="dxa"/>
            <w:shd w:val="clear" w:color="auto" w:fill="FBD4B4" w:themeFill="accent6" w:themeFillTint="66"/>
          </w:tcPr>
          <w:p w14:paraId="10711ED7" w14:textId="77777777" w:rsidR="00CD567A" w:rsidRPr="0029133C" w:rsidRDefault="00CD567A" w:rsidP="005137C0">
            <w:pPr>
              <w:pStyle w:val="TableTextLeft"/>
              <w:jc w:val="left"/>
            </w:pPr>
            <w:r w:rsidRPr="0029133C">
              <w:t>No</w:t>
            </w:r>
          </w:p>
        </w:tc>
      </w:tr>
      <w:tr w:rsidR="00CD567A" w:rsidRPr="00112041" w14:paraId="1BEC044D" w14:textId="77777777" w:rsidTr="0029133C">
        <w:trPr>
          <w:cantSplit/>
          <w:trHeight w:val="912"/>
        </w:trPr>
        <w:tc>
          <w:tcPr>
            <w:tcW w:w="1530" w:type="dxa"/>
            <w:shd w:val="clear" w:color="auto" w:fill="auto"/>
          </w:tcPr>
          <w:p w14:paraId="764C9045" w14:textId="77777777" w:rsidR="00CD567A" w:rsidRPr="0029133C" w:rsidRDefault="00CD567A" w:rsidP="005137C0">
            <w:pPr>
              <w:pStyle w:val="TableColumnHeadingLeft"/>
            </w:pPr>
            <w:r w:rsidRPr="0029133C">
              <w:t>Barrow Island (special onshore area)</w:t>
            </w:r>
          </w:p>
        </w:tc>
        <w:tc>
          <w:tcPr>
            <w:tcW w:w="1530" w:type="dxa"/>
            <w:shd w:val="clear" w:color="auto" w:fill="DBE5F1" w:themeFill="accent1" w:themeFillTint="33"/>
          </w:tcPr>
          <w:p w14:paraId="72478CAB" w14:textId="77777777" w:rsidR="00CD567A" w:rsidRPr="0029133C" w:rsidRDefault="00CD567A" w:rsidP="005137C0">
            <w:pPr>
              <w:pStyle w:val="TableTextLeft"/>
              <w:jc w:val="left"/>
            </w:pPr>
            <w:r w:rsidRPr="0029133C">
              <w:t>Yes</w:t>
            </w:r>
          </w:p>
        </w:tc>
        <w:tc>
          <w:tcPr>
            <w:tcW w:w="1530" w:type="dxa"/>
            <w:shd w:val="clear" w:color="auto" w:fill="FBD4B4" w:themeFill="accent6" w:themeFillTint="66"/>
          </w:tcPr>
          <w:p w14:paraId="3DEC61A6" w14:textId="6320D36B" w:rsidR="00CD567A" w:rsidRPr="0029133C" w:rsidRDefault="00CD567A" w:rsidP="005137C0">
            <w:pPr>
              <w:pStyle w:val="TableTextLeft"/>
              <w:jc w:val="left"/>
            </w:pPr>
            <w:r w:rsidRPr="0029133C">
              <w:t>No</w:t>
            </w:r>
            <w:r w:rsidRPr="0029133C">
              <w:br/>
              <w:t>(replaced with RRR)</w:t>
            </w:r>
          </w:p>
        </w:tc>
        <w:tc>
          <w:tcPr>
            <w:tcW w:w="1530" w:type="dxa"/>
            <w:shd w:val="clear" w:color="auto" w:fill="FBD4B4" w:themeFill="accent6" w:themeFillTint="66"/>
          </w:tcPr>
          <w:p w14:paraId="306AFBF1" w14:textId="77777777" w:rsidR="00CD567A" w:rsidRPr="0029133C" w:rsidRDefault="00CD567A" w:rsidP="005137C0">
            <w:pPr>
              <w:pStyle w:val="TableTextLeft"/>
              <w:jc w:val="left"/>
            </w:pPr>
            <w:r w:rsidRPr="0029133C">
              <w:t>No</w:t>
            </w:r>
            <w:r w:rsidRPr="0029133C">
              <w:br/>
              <w:t>(replaced with RRR)</w:t>
            </w:r>
          </w:p>
        </w:tc>
        <w:tc>
          <w:tcPr>
            <w:tcW w:w="1530" w:type="dxa"/>
            <w:shd w:val="clear" w:color="auto" w:fill="FBD4B4" w:themeFill="accent6" w:themeFillTint="66"/>
          </w:tcPr>
          <w:p w14:paraId="13500FD7" w14:textId="7D5B928C" w:rsidR="00CD567A" w:rsidRPr="0029133C" w:rsidRDefault="00CD567A" w:rsidP="005137C0">
            <w:pPr>
              <w:pStyle w:val="TableTextLeft"/>
              <w:jc w:val="left"/>
            </w:pPr>
            <w:r w:rsidRPr="0029133C">
              <w:t>No</w:t>
            </w:r>
            <w:r w:rsidRPr="0029133C">
              <w:br/>
              <w:t>(replaced with RRR)</w:t>
            </w:r>
          </w:p>
        </w:tc>
        <w:tc>
          <w:tcPr>
            <w:tcW w:w="1530" w:type="dxa"/>
            <w:shd w:val="clear" w:color="auto" w:fill="DBE5F1" w:themeFill="accent1" w:themeFillTint="33"/>
          </w:tcPr>
          <w:p w14:paraId="017C62EE" w14:textId="2098C453" w:rsidR="00CD567A" w:rsidRPr="0029133C" w:rsidRDefault="00CD567A" w:rsidP="005137C0">
            <w:pPr>
              <w:pStyle w:val="TableTextLeft"/>
              <w:jc w:val="left"/>
            </w:pPr>
            <w:r w:rsidRPr="0029133C">
              <w:t>Yes</w:t>
            </w:r>
            <w:r w:rsidRPr="0029133C">
              <w:br/>
              <w:t>(since 1985)</w:t>
            </w:r>
            <w:r w:rsidRPr="0029133C">
              <w:rPr>
                <w:vertAlign w:val="superscript"/>
              </w:rPr>
              <w:t>(d)</w:t>
            </w:r>
          </w:p>
        </w:tc>
      </w:tr>
      <w:tr w:rsidR="00CD567A" w:rsidRPr="00112041" w14:paraId="7E18A82A" w14:textId="77777777" w:rsidTr="0029133C">
        <w:trPr>
          <w:cantSplit/>
          <w:trHeight w:val="912"/>
        </w:trPr>
        <w:tc>
          <w:tcPr>
            <w:tcW w:w="1530" w:type="dxa"/>
            <w:shd w:val="clear" w:color="auto" w:fill="auto"/>
          </w:tcPr>
          <w:p w14:paraId="3798B3C6" w14:textId="6983BDB7" w:rsidR="00CD567A" w:rsidRPr="0029133C" w:rsidRDefault="00CD567A" w:rsidP="005137C0">
            <w:pPr>
              <w:pStyle w:val="TableColumnHeadingLeft"/>
            </w:pPr>
            <w:r w:rsidRPr="0029133C">
              <w:t>Bass Strait</w:t>
            </w:r>
            <w:r w:rsidR="0029133C">
              <w:br/>
            </w:r>
            <w:r w:rsidRPr="0029133C">
              <w:t>(offshore)</w:t>
            </w:r>
          </w:p>
        </w:tc>
        <w:tc>
          <w:tcPr>
            <w:tcW w:w="1530" w:type="dxa"/>
            <w:shd w:val="clear" w:color="auto" w:fill="DBE5F1" w:themeFill="accent1" w:themeFillTint="33"/>
          </w:tcPr>
          <w:p w14:paraId="783580ED" w14:textId="2008FDAE" w:rsidR="00CD567A" w:rsidRPr="0029133C" w:rsidRDefault="00CD567A" w:rsidP="005137C0">
            <w:pPr>
              <w:pStyle w:val="TableTextLeft"/>
              <w:jc w:val="left"/>
            </w:pPr>
            <w:r w:rsidRPr="0029133C">
              <w:t>Yes</w:t>
            </w:r>
            <w:r w:rsidRPr="0029133C">
              <w:br/>
              <w:t>(since 1990</w:t>
            </w:r>
            <w:r w:rsidR="005D6F39">
              <w:noBreakHyphen/>
            </w:r>
            <w:r w:rsidRPr="0029133C">
              <w:t>91)</w:t>
            </w:r>
            <w:r w:rsidRPr="0029133C">
              <w:rPr>
                <w:vertAlign w:val="superscript"/>
              </w:rPr>
              <w:t>(e)</w:t>
            </w:r>
          </w:p>
        </w:tc>
        <w:tc>
          <w:tcPr>
            <w:tcW w:w="1530" w:type="dxa"/>
            <w:shd w:val="clear" w:color="auto" w:fill="FBD4B4" w:themeFill="accent6" w:themeFillTint="66"/>
          </w:tcPr>
          <w:p w14:paraId="37A007AC" w14:textId="77777777" w:rsidR="00CD567A" w:rsidRPr="0029133C" w:rsidRDefault="00CD567A" w:rsidP="005137C0">
            <w:pPr>
              <w:pStyle w:val="TableTextLeft"/>
              <w:jc w:val="left"/>
            </w:pPr>
            <w:r w:rsidRPr="0029133C">
              <w:t>No</w:t>
            </w:r>
          </w:p>
        </w:tc>
        <w:tc>
          <w:tcPr>
            <w:tcW w:w="1530" w:type="dxa"/>
            <w:shd w:val="clear" w:color="auto" w:fill="FBD4B4" w:themeFill="accent6" w:themeFillTint="66"/>
          </w:tcPr>
          <w:p w14:paraId="115329D4" w14:textId="77777777" w:rsidR="00CD567A" w:rsidRPr="0029133C" w:rsidRDefault="00CD567A" w:rsidP="005137C0">
            <w:pPr>
              <w:pStyle w:val="TableTextLeft"/>
              <w:jc w:val="left"/>
            </w:pPr>
            <w:r w:rsidRPr="0029133C">
              <w:t>No</w:t>
            </w:r>
          </w:p>
        </w:tc>
        <w:tc>
          <w:tcPr>
            <w:tcW w:w="1530" w:type="dxa"/>
            <w:shd w:val="clear" w:color="auto" w:fill="FBD4B4" w:themeFill="accent6" w:themeFillTint="66"/>
          </w:tcPr>
          <w:p w14:paraId="3E786369" w14:textId="77777777" w:rsidR="00CD567A" w:rsidRPr="0029133C" w:rsidRDefault="00CD567A" w:rsidP="005137C0">
            <w:pPr>
              <w:pStyle w:val="TableTextLeft"/>
              <w:jc w:val="left"/>
            </w:pPr>
            <w:r w:rsidRPr="0029133C">
              <w:t>No</w:t>
            </w:r>
          </w:p>
        </w:tc>
        <w:tc>
          <w:tcPr>
            <w:tcW w:w="1530" w:type="dxa"/>
            <w:shd w:val="clear" w:color="auto" w:fill="FBD4B4" w:themeFill="accent6" w:themeFillTint="66"/>
          </w:tcPr>
          <w:p w14:paraId="2B8A923B" w14:textId="77777777" w:rsidR="00CD567A" w:rsidRPr="0029133C" w:rsidRDefault="00CD567A" w:rsidP="005137C0">
            <w:pPr>
              <w:pStyle w:val="TableTextLeft"/>
              <w:jc w:val="left"/>
            </w:pPr>
            <w:r w:rsidRPr="0029133C">
              <w:t>No</w:t>
            </w:r>
          </w:p>
        </w:tc>
      </w:tr>
    </w:tbl>
    <w:p w14:paraId="79411DC2" w14:textId="77777777" w:rsidR="005137C0" w:rsidRDefault="00CD567A" w:rsidP="005137C0">
      <w:pPr>
        <w:pStyle w:val="ChartandTableFootnoteAlpha"/>
      </w:pPr>
      <w:r w:rsidRPr="0029133C">
        <w:t>Slight variations across states.</w:t>
      </w:r>
    </w:p>
    <w:p w14:paraId="5898CACA" w14:textId="521F9E4D" w:rsidR="00CD567A" w:rsidRPr="005137C0" w:rsidRDefault="00CD567A" w:rsidP="005137C0">
      <w:pPr>
        <w:pStyle w:val="ChartandTableFootnoteAlpha"/>
        <w:rPr>
          <w:sz w:val="12"/>
        </w:rPr>
      </w:pPr>
      <w:r w:rsidRPr="005137C0">
        <w:t>Including</w:t>
      </w:r>
      <w:r w:rsidRPr="005137C0">
        <w:rPr>
          <w:b/>
        </w:rPr>
        <w:t xml:space="preserve"> </w:t>
      </w:r>
      <w:r w:rsidRPr="005137C0">
        <w:t xml:space="preserve">within three nautical miles of the Australian coastline. The Commonwealth is also entitled to 40 per cent of royalties obtained by </w:t>
      </w:r>
      <w:r w:rsidR="00C357C4" w:rsidRPr="005137C0">
        <w:t>WA</w:t>
      </w:r>
      <w:r w:rsidRPr="005137C0">
        <w:t xml:space="preserve"> from petroleum developments derived from pre</w:t>
      </w:r>
      <w:r w:rsidR="005D6F39" w:rsidRPr="005137C0">
        <w:noBreakHyphen/>
      </w:r>
      <w:r w:rsidRPr="005137C0">
        <w:t xml:space="preserve">1979 leases which are located in the coastal waters region adjacent to </w:t>
      </w:r>
      <w:r w:rsidR="00C357C4" w:rsidRPr="005137C0">
        <w:t>WA</w:t>
      </w:r>
      <w:r w:rsidRPr="005137C0">
        <w:t>.</w:t>
      </w:r>
    </w:p>
    <w:p w14:paraId="78A89021" w14:textId="75D64C8F" w:rsidR="00CD567A" w:rsidRPr="0029133C" w:rsidRDefault="00CD567A" w:rsidP="005137C0">
      <w:pPr>
        <w:pStyle w:val="ChartandTableFootnoteAlpha"/>
      </w:pPr>
      <w:r w:rsidRPr="0029133C">
        <w:t xml:space="preserve">These royalties are shared with </w:t>
      </w:r>
      <w:r w:rsidR="00C357C4">
        <w:t>WA</w:t>
      </w:r>
      <w:r w:rsidRPr="0029133C">
        <w:t xml:space="preserve"> according to the formula set out in the </w:t>
      </w:r>
      <w:r w:rsidRPr="0029133C">
        <w:rPr>
          <w:i/>
        </w:rPr>
        <w:t>Offshore Petroleum and Greenhouse Gas Storage Act 2006 — Section 75</w:t>
      </w:r>
      <w:r w:rsidRPr="0029133C">
        <w:t xml:space="preserve"> (approximately one third to the Commonwealth, two</w:t>
      </w:r>
      <w:r w:rsidR="005137C0">
        <w:t> </w:t>
      </w:r>
      <w:r w:rsidRPr="0029133C">
        <w:t xml:space="preserve">thirds to </w:t>
      </w:r>
      <w:r w:rsidR="00C357C4">
        <w:t>WA</w:t>
      </w:r>
      <w:r w:rsidRPr="0029133C">
        <w:t>).</w:t>
      </w:r>
    </w:p>
    <w:p w14:paraId="75AE3FA4" w14:textId="2C352AC9" w:rsidR="00CD567A" w:rsidRPr="0029133C" w:rsidRDefault="00CD567A" w:rsidP="005137C0">
      <w:pPr>
        <w:pStyle w:val="ChartandTableFootnoteAlpha"/>
      </w:pPr>
      <w:r w:rsidRPr="0029133C">
        <w:t xml:space="preserve">Shared between the Commonwealth and </w:t>
      </w:r>
      <w:r w:rsidR="00C357C4">
        <w:t>WA</w:t>
      </w:r>
      <w:r w:rsidRPr="0029133C">
        <w:t xml:space="preserve"> 75:25.</w:t>
      </w:r>
    </w:p>
    <w:p w14:paraId="38CC67F2" w14:textId="3EB619FD" w:rsidR="00CD567A" w:rsidRPr="0029133C" w:rsidRDefault="00CD567A" w:rsidP="005137C0">
      <w:pPr>
        <w:pStyle w:val="ChartandTableFootnoteAlpha"/>
      </w:pPr>
      <w:r w:rsidRPr="0029133C">
        <w:t>Production in Bass Strait changed from a royalty/excise regime to PRRT in 1990</w:t>
      </w:r>
      <w:r w:rsidR="005D6F39">
        <w:noBreakHyphen/>
      </w:r>
      <w:r w:rsidRPr="0029133C">
        <w:t>91.</w:t>
      </w:r>
    </w:p>
    <w:p w14:paraId="3A1BF27B" w14:textId="14E06D59" w:rsidR="00AA7794" w:rsidRPr="008C60EC" w:rsidRDefault="00335673" w:rsidP="00CD567A">
      <w:pPr>
        <w:pStyle w:val="Heading2"/>
      </w:pPr>
      <w:bookmarkStart w:id="4115" w:name="_Toc476577328"/>
      <w:bookmarkStart w:id="4116" w:name="_Toc476582317"/>
      <w:bookmarkStart w:id="4117" w:name="_Toc476582991"/>
      <w:bookmarkStart w:id="4118" w:name="_Toc476583708"/>
      <w:bookmarkStart w:id="4119" w:name="_Toc476584156"/>
      <w:bookmarkStart w:id="4120" w:name="_Toc476738062"/>
      <w:bookmarkStart w:id="4121" w:name="_Toc476747637"/>
      <w:bookmarkStart w:id="4122" w:name="_Toc476749045"/>
      <w:bookmarkStart w:id="4123" w:name="_Toc476753912"/>
      <w:bookmarkStart w:id="4124" w:name="_Toc476754407"/>
      <w:bookmarkStart w:id="4125" w:name="_Toc476754572"/>
      <w:bookmarkStart w:id="4126" w:name="_Toc476759808"/>
      <w:bookmarkStart w:id="4127" w:name="_Toc476761430"/>
      <w:bookmarkStart w:id="4128" w:name="_Toc476767068"/>
      <w:bookmarkStart w:id="4129" w:name="_Toc476827114"/>
      <w:bookmarkStart w:id="4130" w:name="_Toc476828807"/>
      <w:bookmarkStart w:id="4131" w:name="_Toc476833681"/>
      <w:bookmarkStart w:id="4132" w:name="_Toc476837154"/>
      <w:bookmarkStart w:id="4133" w:name="_Toc476841027"/>
      <w:bookmarkStart w:id="4134" w:name="_Toc476841232"/>
      <w:bookmarkStart w:id="4135" w:name="_Toc476841991"/>
      <w:bookmarkStart w:id="4136" w:name="_Toc476842935"/>
      <w:bookmarkStart w:id="4137" w:name="_Toc476843106"/>
      <w:bookmarkStart w:id="4138" w:name="_Toc476844604"/>
      <w:bookmarkStart w:id="4139" w:name="_Toc476845497"/>
      <w:bookmarkStart w:id="4140" w:name="_Toc476926889"/>
      <w:bookmarkStart w:id="4141" w:name="_Toc476926828"/>
      <w:bookmarkStart w:id="4142" w:name="_Toc476927176"/>
      <w:bookmarkStart w:id="4143" w:name="_Toc476928440"/>
      <w:bookmarkStart w:id="4144" w:name="_Toc476929483"/>
      <w:bookmarkStart w:id="4145" w:name="_Toc476929658"/>
      <w:bookmarkStart w:id="4146" w:name="_Toc476930701"/>
      <w:bookmarkStart w:id="4147" w:name="_Toc476931508"/>
      <w:r>
        <w:br w:type="page"/>
      </w:r>
      <w:bookmarkStart w:id="4148" w:name="_Toc477869875"/>
      <w:bookmarkStart w:id="4149" w:name="_Toc477871114"/>
      <w:bookmarkStart w:id="4150" w:name="_Toc477873273"/>
      <w:bookmarkStart w:id="4151" w:name="_Toc477875267"/>
      <w:bookmarkStart w:id="4152" w:name="_Toc477880180"/>
      <w:bookmarkStart w:id="4153" w:name="_Toc477881440"/>
      <w:bookmarkStart w:id="4154" w:name="_Toc477955844"/>
      <w:bookmarkStart w:id="4155" w:name="_Toc477963089"/>
      <w:bookmarkStart w:id="4156" w:name="_Toc477963575"/>
      <w:bookmarkStart w:id="4157" w:name="_Toc477965161"/>
      <w:bookmarkStart w:id="4158" w:name="_Toc477966665"/>
      <w:bookmarkStart w:id="4159" w:name="_Toc477966834"/>
      <w:bookmarkStart w:id="4160" w:name="_Toc477967174"/>
      <w:bookmarkStart w:id="4161" w:name="_Toc478121311"/>
      <w:bookmarkStart w:id="4162" w:name="_Toc478122224"/>
      <w:bookmarkStart w:id="4163" w:name="_Toc478132198"/>
      <w:bookmarkStart w:id="4164" w:name="_Toc478133224"/>
      <w:bookmarkStart w:id="4165" w:name="_Toc478132361"/>
      <w:bookmarkStart w:id="4166" w:name="_Toc478134690"/>
      <w:bookmarkStart w:id="4167" w:name="_Toc478137392"/>
      <w:bookmarkStart w:id="4168" w:name="_Toc478138464"/>
      <w:bookmarkStart w:id="4169" w:name="_Toc478140034"/>
      <w:bookmarkStart w:id="4170" w:name="_Toc478140450"/>
      <w:bookmarkStart w:id="4171" w:name="_Toc478142656"/>
      <w:bookmarkStart w:id="4172" w:name="_Toc478566372"/>
      <w:bookmarkStart w:id="4173" w:name="_Toc478569539"/>
      <w:bookmarkStart w:id="4174" w:name="_Toc478569713"/>
      <w:bookmarkStart w:id="4175" w:name="_Toc478570787"/>
      <w:bookmarkStart w:id="4176" w:name="_Toc478632986"/>
      <w:bookmarkStart w:id="4177" w:name="_Toc478641394"/>
      <w:bookmarkStart w:id="4178" w:name="_Toc478654288"/>
      <w:bookmarkStart w:id="4179" w:name="_Toc478654462"/>
      <w:bookmarkStart w:id="4180" w:name="_Toc478657757"/>
      <w:bookmarkStart w:id="4181" w:name="_Toc478993178"/>
      <w:bookmarkStart w:id="4182" w:name="_Toc479000249"/>
      <w:bookmarkStart w:id="4183" w:name="_Toc479002183"/>
      <w:bookmarkStart w:id="4184" w:name="_Toc479002355"/>
      <w:bookmarkStart w:id="4185" w:name="_Toc479254331"/>
      <w:bookmarkStart w:id="4186" w:name="_Toc479258520"/>
      <w:bookmarkStart w:id="4187" w:name="_Toc479258836"/>
      <w:bookmarkStart w:id="4188" w:name="_Toc479259728"/>
      <w:bookmarkStart w:id="4189" w:name="_Toc479262151"/>
      <w:bookmarkStart w:id="4190" w:name="_Toc479262572"/>
      <w:bookmarkStart w:id="4191" w:name="_Toc479321273"/>
      <w:bookmarkStart w:id="4192" w:name="_Toc479326712"/>
      <w:bookmarkStart w:id="4193" w:name="_Toc479333311"/>
      <w:bookmarkStart w:id="4194" w:name="_Toc479335008"/>
      <w:bookmarkStart w:id="4195" w:name="_Toc479341723"/>
      <w:bookmarkStart w:id="4196" w:name="_Toc479345139"/>
      <w:bookmarkStart w:id="4197" w:name="_Toc479345348"/>
      <w:bookmarkStart w:id="4198" w:name="_Toc479348329"/>
      <w:bookmarkStart w:id="4199" w:name="_Toc479675923"/>
      <w:bookmarkStart w:id="4200" w:name="_Toc479690890"/>
      <w:bookmarkStart w:id="4201" w:name="_Toc479693468"/>
      <w:bookmarkStart w:id="4202" w:name="_Toc479770637"/>
      <w:r w:rsidR="00CD567A">
        <w:t>2.3</w:t>
      </w:r>
      <w:r w:rsidR="00CD567A">
        <w:tab/>
        <w:t>Revenue From Resource Charging Arrangements</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14:paraId="3BC08FDE" w14:textId="0DD6020B" w:rsidR="00AA7794" w:rsidRDefault="00CD567A" w:rsidP="00CD567A">
      <w:pPr>
        <w:pStyle w:val="Heading3"/>
      </w:pPr>
      <w:bookmarkStart w:id="4203" w:name="_Toc476577329"/>
      <w:bookmarkStart w:id="4204" w:name="_Toc476582318"/>
      <w:bookmarkStart w:id="4205" w:name="_Toc476582992"/>
      <w:bookmarkStart w:id="4206" w:name="_Toc476583709"/>
      <w:bookmarkStart w:id="4207" w:name="_Toc476584157"/>
      <w:bookmarkStart w:id="4208" w:name="_Toc476738063"/>
      <w:bookmarkStart w:id="4209" w:name="_Toc476747638"/>
      <w:bookmarkStart w:id="4210" w:name="_Toc476749046"/>
      <w:bookmarkStart w:id="4211" w:name="_Toc476753913"/>
      <w:bookmarkStart w:id="4212" w:name="_Toc476754408"/>
      <w:bookmarkStart w:id="4213" w:name="_Toc476754573"/>
      <w:bookmarkStart w:id="4214" w:name="_Toc476759809"/>
      <w:bookmarkStart w:id="4215" w:name="_Toc476761431"/>
      <w:bookmarkStart w:id="4216" w:name="_Toc476767069"/>
      <w:bookmarkStart w:id="4217" w:name="_Toc476827115"/>
      <w:bookmarkStart w:id="4218" w:name="_Toc476828808"/>
      <w:bookmarkStart w:id="4219" w:name="_Toc476833682"/>
      <w:bookmarkStart w:id="4220" w:name="_Toc476837155"/>
      <w:bookmarkStart w:id="4221" w:name="_Toc476841028"/>
      <w:bookmarkStart w:id="4222" w:name="_Toc476841233"/>
      <w:bookmarkStart w:id="4223" w:name="_Toc476841992"/>
      <w:bookmarkStart w:id="4224" w:name="_Toc476842936"/>
      <w:bookmarkStart w:id="4225" w:name="_Toc476843107"/>
      <w:bookmarkStart w:id="4226" w:name="_Toc476844605"/>
      <w:bookmarkStart w:id="4227" w:name="_Toc476845498"/>
      <w:bookmarkStart w:id="4228" w:name="_Toc476926890"/>
      <w:bookmarkStart w:id="4229" w:name="_Toc476926829"/>
      <w:bookmarkStart w:id="4230" w:name="_Toc476927177"/>
      <w:bookmarkStart w:id="4231" w:name="_Toc476928441"/>
      <w:bookmarkStart w:id="4232" w:name="_Toc476929484"/>
      <w:bookmarkStart w:id="4233" w:name="_Toc476929659"/>
      <w:bookmarkStart w:id="4234" w:name="_Toc476930702"/>
      <w:bookmarkStart w:id="4235" w:name="_Toc476931509"/>
      <w:bookmarkStart w:id="4236" w:name="_Toc477869876"/>
      <w:bookmarkStart w:id="4237" w:name="_Toc477871115"/>
      <w:bookmarkStart w:id="4238" w:name="_Toc477873274"/>
      <w:bookmarkStart w:id="4239" w:name="_Toc477875268"/>
      <w:bookmarkStart w:id="4240" w:name="_Toc477880181"/>
      <w:bookmarkStart w:id="4241" w:name="_Toc477881441"/>
      <w:bookmarkStart w:id="4242" w:name="_Toc477955845"/>
      <w:bookmarkStart w:id="4243" w:name="_Toc477963090"/>
      <w:bookmarkStart w:id="4244" w:name="_Toc477963576"/>
      <w:bookmarkStart w:id="4245" w:name="_Toc477965162"/>
      <w:bookmarkStart w:id="4246" w:name="_Toc477966666"/>
      <w:bookmarkStart w:id="4247" w:name="_Toc477966835"/>
      <w:bookmarkStart w:id="4248" w:name="_Toc477967175"/>
      <w:bookmarkStart w:id="4249" w:name="_Toc478121312"/>
      <w:bookmarkStart w:id="4250" w:name="_Toc478122225"/>
      <w:bookmarkStart w:id="4251" w:name="_Toc478132199"/>
      <w:bookmarkStart w:id="4252" w:name="_Toc478133225"/>
      <w:bookmarkStart w:id="4253" w:name="_Toc478132362"/>
      <w:bookmarkStart w:id="4254" w:name="_Toc478134691"/>
      <w:bookmarkStart w:id="4255" w:name="_Toc478137393"/>
      <w:bookmarkStart w:id="4256" w:name="_Toc478138465"/>
      <w:bookmarkStart w:id="4257" w:name="_Toc478140035"/>
      <w:bookmarkStart w:id="4258" w:name="_Toc478140451"/>
      <w:bookmarkStart w:id="4259" w:name="_Toc478142657"/>
      <w:bookmarkStart w:id="4260" w:name="_Toc478566373"/>
      <w:bookmarkStart w:id="4261" w:name="_Toc478569540"/>
      <w:bookmarkStart w:id="4262" w:name="_Toc478569714"/>
      <w:bookmarkStart w:id="4263" w:name="_Toc478570788"/>
      <w:bookmarkStart w:id="4264" w:name="_Toc478632987"/>
      <w:bookmarkStart w:id="4265" w:name="_Toc478641395"/>
      <w:bookmarkStart w:id="4266" w:name="_Toc478654289"/>
      <w:bookmarkStart w:id="4267" w:name="_Toc478654463"/>
      <w:bookmarkStart w:id="4268" w:name="_Toc478657758"/>
      <w:bookmarkStart w:id="4269" w:name="_Toc478993179"/>
      <w:bookmarkStart w:id="4270" w:name="_Toc479000250"/>
      <w:bookmarkStart w:id="4271" w:name="_Toc479002184"/>
      <w:bookmarkStart w:id="4272" w:name="_Toc479002356"/>
      <w:bookmarkStart w:id="4273" w:name="_Toc479254332"/>
      <w:bookmarkStart w:id="4274" w:name="_Toc479258521"/>
      <w:bookmarkStart w:id="4275" w:name="_Toc479258837"/>
      <w:bookmarkStart w:id="4276" w:name="_Toc479259729"/>
      <w:bookmarkStart w:id="4277" w:name="_Toc479262152"/>
      <w:bookmarkStart w:id="4278" w:name="_Toc479262573"/>
      <w:bookmarkStart w:id="4279" w:name="_Toc479321274"/>
      <w:bookmarkStart w:id="4280" w:name="_Toc479326713"/>
      <w:bookmarkStart w:id="4281" w:name="_Toc479333312"/>
      <w:bookmarkStart w:id="4282" w:name="_Toc479335009"/>
      <w:bookmarkStart w:id="4283" w:name="_Toc479341724"/>
      <w:bookmarkStart w:id="4284" w:name="_Toc479345140"/>
      <w:bookmarkStart w:id="4285" w:name="_Toc479345349"/>
      <w:bookmarkStart w:id="4286" w:name="_Toc479348330"/>
      <w:bookmarkStart w:id="4287" w:name="_Toc479675924"/>
      <w:bookmarkStart w:id="4288" w:name="_Toc479690891"/>
      <w:bookmarkStart w:id="4289" w:name="_Toc479693469"/>
      <w:bookmarkStart w:id="4290" w:name="_Toc479770638"/>
      <w:r>
        <w:t>2.3.1</w:t>
      </w:r>
      <w:r>
        <w:tab/>
        <w:t xml:space="preserve">Historic Commonwealth </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r w:rsidR="00A841FA">
        <w:t>resource r</w:t>
      </w:r>
      <w:r>
        <w:t>evenue</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14:paraId="655C0DAA" w14:textId="585AA3D4" w:rsidR="00AA7794" w:rsidRDefault="00AA7794" w:rsidP="002E58C4">
      <w:r>
        <w:t xml:space="preserve">The level of revenue collected </w:t>
      </w:r>
      <w:r w:rsidR="001F4C99">
        <w:t xml:space="preserve">by the Australian Government </w:t>
      </w:r>
      <w:r>
        <w:t>from</w:t>
      </w:r>
      <w:r w:rsidR="001F4C99">
        <w:t xml:space="preserve"> PRRT, crude oil excise, and Commonwealth royalties</w:t>
      </w:r>
      <w:r w:rsidDel="001F4C99">
        <w:t xml:space="preserve"> </w:t>
      </w:r>
      <w:r>
        <w:t xml:space="preserve">is </w:t>
      </w:r>
      <w:r w:rsidR="00C224AD">
        <w:t>shown</w:t>
      </w:r>
      <w:r>
        <w:t xml:space="preserve"> in </w:t>
      </w:r>
      <w:r w:rsidR="005A428C" w:rsidRPr="007D4B54">
        <w:t>Figure</w:t>
      </w:r>
      <w:r w:rsidR="00D53E64" w:rsidRPr="007D4B54">
        <w:t xml:space="preserve"> 2.1</w:t>
      </w:r>
      <w:r>
        <w:t>.</w:t>
      </w:r>
    </w:p>
    <w:p w14:paraId="178520AE" w14:textId="23273235" w:rsidR="00AA7794" w:rsidRDefault="005A428C" w:rsidP="00221C2A">
      <w:pPr>
        <w:pStyle w:val="ChartMainHeading"/>
      </w:pPr>
      <w:r w:rsidRPr="007D4B54">
        <w:t>Figure</w:t>
      </w:r>
      <w:r w:rsidR="00AA7794" w:rsidRPr="007D4B54">
        <w:t xml:space="preserve"> </w:t>
      </w:r>
      <w:r w:rsidR="00D53E64" w:rsidRPr="007D4B54">
        <w:t>2.1</w:t>
      </w:r>
      <w:r w:rsidR="00AA7794" w:rsidRPr="00AE5BDF">
        <w:t xml:space="preserve"> — Resource </w:t>
      </w:r>
      <w:r w:rsidR="006D6467">
        <w:t>tax c</w:t>
      </w:r>
      <w:r w:rsidR="00AA7794" w:rsidRPr="00AE5BDF">
        <w:t xml:space="preserve">ollections </w:t>
      </w:r>
    </w:p>
    <w:p w14:paraId="48EA885B" w14:textId="42EEFE57" w:rsidR="00CD567A" w:rsidRDefault="005137C0" w:rsidP="007A3476">
      <w:pPr>
        <w:pStyle w:val="ChartGraphic"/>
      </w:pPr>
      <w:r>
        <w:object w:dxaOrig="8775" w:dyaOrig="4516" w14:anchorId="6F0A0FC5">
          <v:shape id="_x0000_i1031" type="#_x0000_t75" alt="Figure 2.1 shows the level of revenue collected by the Commonwealth from PRRT, crude oil excise and Commonwealth royalties from 1990-91 to 2015-16." style="width:439.5pt;height:227.25pt" o:ole="">
            <v:imagedata r:id="rId42" o:title=""/>
          </v:shape>
          <o:OLEObject Type="Link" ProgID="Excel.Sheet.12" ShapeID="_x0000_i1031" DrawAspect="Content" r:id="rId43" UpdateMode="Always">
            <o:LinkType>EnhancedMetaFile</o:LinkType>
            <o:LockedField>false</o:LockedField>
          </o:OLEObject>
        </w:object>
      </w:r>
    </w:p>
    <w:p w14:paraId="5C7640B3" w14:textId="6C3929E5" w:rsidR="00AA7794" w:rsidRDefault="00AA7794" w:rsidP="005137C0">
      <w:pPr>
        <w:pStyle w:val="ChartorTableNote"/>
      </w:pPr>
      <w:r w:rsidRPr="00CB4E50">
        <w:t>Sour</w:t>
      </w:r>
      <w:r w:rsidR="00917251" w:rsidRPr="00CB4E50">
        <w:t>ce: A</w:t>
      </w:r>
      <w:r w:rsidR="00CB4E50">
        <w:t>ustralian Taxation Office and</w:t>
      </w:r>
      <w:r w:rsidR="00917251" w:rsidRPr="00CB4E50">
        <w:t xml:space="preserve"> Dep</w:t>
      </w:r>
      <w:r w:rsidR="0029133C">
        <w:t>artment of Industry, Innovation and</w:t>
      </w:r>
      <w:r w:rsidR="00917251" w:rsidRPr="00CB4E50">
        <w:t xml:space="preserve"> Science</w:t>
      </w:r>
      <w:r w:rsidR="00455604">
        <w:t>.</w:t>
      </w:r>
      <w:r w:rsidR="00917251" w:rsidRPr="00CB4E50">
        <w:t xml:space="preserve"> </w:t>
      </w:r>
    </w:p>
    <w:p w14:paraId="57E94986" w14:textId="77777777" w:rsidR="005137C0" w:rsidRPr="005137C0" w:rsidRDefault="005137C0" w:rsidP="005137C0">
      <w:pPr>
        <w:pStyle w:val="SingleParagraph"/>
      </w:pPr>
    </w:p>
    <w:p w14:paraId="6709B8C1" w14:textId="2C5B9D43" w:rsidR="00530A59" w:rsidRDefault="00AA7794" w:rsidP="00530A59">
      <w:r>
        <w:t xml:space="preserve">Throughout the 1990s and early 2000s, PRRT </w:t>
      </w:r>
      <w:r w:rsidR="002A2DA3">
        <w:t>revenue</w:t>
      </w:r>
      <w:r>
        <w:t xml:space="preserve"> averaged around 0.2 per cent of GDP, peaking at almost $2.5 billion in 2000</w:t>
      </w:r>
      <w:r w:rsidR="005D6F39">
        <w:noBreakHyphen/>
      </w:r>
      <w:r>
        <w:t>01. From 2002</w:t>
      </w:r>
      <w:r w:rsidR="005D6F39">
        <w:noBreakHyphen/>
      </w:r>
      <w:r>
        <w:t>03 to 2015</w:t>
      </w:r>
      <w:r w:rsidR="005D6F39">
        <w:noBreakHyphen/>
      </w:r>
      <w:r>
        <w:t xml:space="preserve">16, PRRT </w:t>
      </w:r>
      <w:r w:rsidR="002A2DA3">
        <w:t>revenue</w:t>
      </w:r>
      <w:r w:rsidR="00487DA8">
        <w:t xml:space="preserve"> has</w:t>
      </w:r>
      <w:r>
        <w:t xml:space="preserve"> been lower as a proportion of GDP, averaging around 0.12 per cent of GDP. The reduction in receipts from PRRT reflects subdued oil and gas prices, declining production in mature fields and large amounts of deductible expenditure fr</w:t>
      </w:r>
      <w:r w:rsidR="00530A59">
        <w:t xml:space="preserve">om the recent investment boom. </w:t>
      </w:r>
    </w:p>
    <w:p w14:paraId="35C7B44A" w14:textId="716D1206" w:rsidR="00830A3E" w:rsidRDefault="00AA7794" w:rsidP="00830A3E">
      <w:r>
        <w:t xml:space="preserve">Crude oil excise </w:t>
      </w:r>
      <w:r w:rsidR="00C6546D">
        <w:t>revenue</w:t>
      </w:r>
      <w:r>
        <w:t xml:space="preserve"> averaged around 0.05 per cent of GDP from 2000</w:t>
      </w:r>
      <w:r w:rsidR="005D6F39">
        <w:noBreakHyphen/>
      </w:r>
      <w:r>
        <w:t>01 to 2011</w:t>
      </w:r>
      <w:r w:rsidR="005D6F39">
        <w:noBreakHyphen/>
      </w:r>
      <w:r w:rsidR="00487DA8">
        <w:t>12 but has</w:t>
      </w:r>
      <w:r>
        <w:t xml:space="preserve"> been declining since 2012</w:t>
      </w:r>
      <w:r w:rsidR="005D6F39">
        <w:noBreakHyphen/>
      </w:r>
      <w:r>
        <w:t xml:space="preserve">13. </w:t>
      </w:r>
      <w:r w:rsidR="00C6546D">
        <w:t>Revenue</w:t>
      </w:r>
      <w:r>
        <w:t xml:space="preserve"> from crude oil excise </w:t>
      </w:r>
      <w:r w:rsidR="00C6546D">
        <w:t>is</w:t>
      </w:r>
      <w:r>
        <w:t xml:space="preserve"> expected to remain subdued due to the weaker oil price outlook. </w:t>
      </w:r>
      <w:r w:rsidR="00830A3E">
        <w:t>Crude oil excise collections are driven by oil prices and production levels in areas where excise applies. Policy decisions have also had an impact on excise collections, including</w:t>
      </w:r>
      <w:r w:rsidR="005A20F0">
        <w:t>:</w:t>
      </w:r>
      <w:r w:rsidR="00830A3E">
        <w:t xml:space="preserve"> replacement </w:t>
      </w:r>
      <w:r w:rsidR="00477D70">
        <w:t xml:space="preserve">of the excise </w:t>
      </w:r>
      <w:r w:rsidR="00830A3E">
        <w:t>with the PRRT</w:t>
      </w:r>
      <w:r w:rsidR="00477D70">
        <w:t xml:space="preserve"> in some areas</w:t>
      </w:r>
      <w:r w:rsidR="00830A3E">
        <w:t xml:space="preserve"> (198</w:t>
      </w:r>
      <w:r w:rsidR="0082230A">
        <w:t>5, 1988</w:t>
      </w:r>
      <w:r w:rsidR="00830A3E">
        <w:t>, 1990)</w:t>
      </w:r>
      <w:r w:rsidR="005A20F0">
        <w:t>;</w:t>
      </w:r>
      <w:r w:rsidR="00830A3E">
        <w:t xml:space="preserve"> the introduction of a tax exemption for the first 30 million barrels of production </w:t>
      </w:r>
      <w:r w:rsidR="0082230A">
        <w:t>in 1987</w:t>
      </w:r>
      <w:r w:rsidR="005A20F0">
        <w:t>;</w:t>
      </w:r>
      <w:r w:rsidR="00830A3E">
        <w:t xml:space="preserve"> a past exemption for condensate production (between 1977 and 2008)</w:t>
      </w:r>
      <w:r w:rsidR="005A20F0">
        <w:t>;</w:t>
      </w:r>
      <w:r w:rsidR="00830A3E">
        <w:t xml:space="preserve"> and the vari</w:t>
      </w:r>
      <w:r w:rsidR="00477D70">
        <w:t>able</w:t>
      </w:r>
      <w:r w:rsidR="00830A3E">
        <w:t xml:space="preserve"> excise rates that </w:t>
      </w:r>
      <w:r w:rsidR="00477D70">
        <w:t>apply</w:t>
      </w:r>
      <w:r w:rsidR="00830A3E">
        <w:t xml:space="preserve"> depending on when the resource was discovered. The removal of the condensate exemption in 2008 increased excise collections</w:t>
      </w:r>
      <w:r w:rsidR="00477D70">
        <w:t>;</w:t>
      </w:r>
      <w:r w:rsidR="00830A3E">
        <w:t xml:space="preserve"> however</w:t>
      </w:r>
      <w:r w:rsidR="009B5110">
        <w:t>,</w:t>
      </w:r>
      <w:r w:rsidR="00830A3E">
        <w:t xml:space="preserve"> collections have subsequently fallen, primarily due to the low oil price. </w:t>
      </w:r>
    </w:p>
    <w:p w14:paraId="4CD10709" w14:textId="5F210F71" w:rsidR="00AA7794" w:rsidRDefault="00AA7794" w:rsidP="002E58C4">
      <w:r>
        <w:t>The Commonwealth receives royalties for petroleum production in the N</w:t>
      </w:r>
      <w:r w:rsidR="0029133C">
        <w:t>WS project</w:t>
      </w:r>
      <w:r>
        <w:t>, Barrow Island, from some onshore leases in W</w:t>
      </w:r>
      <w:r w:rsidR="0029133C">
        <w:t xml:space="preserve">A </w:t>
      </w:r>
      <w:r>
        <w:t xml:space="preserve">(developed before 1979) and the </w:t>
      </w:r>
      <w:r w:rsidR="0027617D">
        <w:t>J</w:t>
      </w:r>
      <w:r w:rsidR="008B6ACC">
        <w:t>P</w:t>
      </w:r>
      <w:r w:rsidR="0027617D">
        <w:t>D</w:t>
      </w:r>
      <w:r w:rsidR="008B6ACC">
        <w:t>A</w:t>
      </w:r>
      <w:r>
        <w:t>. From 2000</w:t>
      </w:r>
      <w:r w:rsidR="005D6F39">
        <w:noBreakHyphen/>
      </w:r>
      <w:r>
        <w:t>01 to 2011</w:t>
      </w:r>
      <w:r w:rsidR="005D6F39">
        <w:noBreakHyphen/>
      </w:r>
      <w:r>
        <w:t>12, the Commonwealth share of royalty collections averaged around 0.04</w:t>
      </w:r>
      <w:r w:rsidR="0029133C">
        <w:t> </w:t>
      </w:r>
      <w:r>
        <w:t>per</w:t>
      </w:r>
      <w:r w:rsidR="0029133C">
        <w:t> </w:t>
      </w:r>
      <w:r>
        <w:t xml:space="preserve">cent of GDP. </w:t>
      </w:r>
      <w:r w:rsidR="00530A59">
        <w:t>Royalty</w:t>
      </w:r>
      <w:r>
        <w:t xml:space="preserve"> collections </w:t>
      </w:r>
      <w:r w:rsidR="00530A59">
        <w:t>are driven by oil prices and production levels and</w:t>
      </w:r>
      <w:r>
        <w:t xml:space="preserve"> have been declining since 2012</w:t>
      </w:r>
      <w:r w:rsidR="005D6F39">
        <w:noBreakHyphen/>
      </w:r>
      <w:r>
        <w:t>13.</w:t>
      </w:r>
    </w:p>
    <w:p w14:paraId="3D77E1EF" w14:textId="2CE8F248" w:rsidR="007842A5" w:rsidRDefault="00AA7794" w:rsidP="007842A5">
      <w:r>
        <w:t xml:space="preserve">As illustrated in </w:t>
      </w:r>
      <w:r w:rsidR="005A428C" w:rsidRPr="007D4B54">
        <w:t>Figure</w:t>
      </w:r>
      <w:r w:rsidRPr="007D4B54">
        <w:t xml:space="preserve"> </w:t>
      </w:r>
      <w:r w:rsidR="0028305A" w:rsidRPr="007D4B54">
        <w:t>2.1</w:t>
      </w:r>
      <w:r>
        <w:t xml:space="preserve">, </w:t>
      </w:r>
      <w:r w:rsidR="007842A5">
        <w:t>resource tax</w:t>
      </w:r>
      <w:r>
        <w:t xml:space="preserve"> </w:t>
      </w:r>
      <w:r w:rsidR="00C6546D">
        <w:t>revenue has</w:t>
      </w:r>
      <w:r>
        <w:t xml:space="preserve"> been relatively volatile over time. </w:t>
      </w:r>
      <w:r w:rsidR="007842A5">
        <w:t xml:space="preserve">This volatility has been particularly pronounced for PRRT. </w:t>
      </w:r>
      <w:r>
        <w:t>This is the result of the sensitivity of profits to the oil price and the structure of the industry, which comprise</w:t>
      </w:r>
      <w:r w:rsidR="00BA7DDF">
        <w:t>s</w:t>
      </w:r>
      <w:r>
        <w:t xml:space="preserve"> a small number of large taxpayers. These factors also contribute to uncertainty in forecasting PRRT</w:t>
      </w:r>
      <w:r w:rsidR="0007622C">
        <w:t>.</w:t>
      </w:r>
      <w:r>
        <w:t xml:space="preserve"> </w:t>
      </w:r>
      <w:r w:rsidR="0007622C">
        <w:t>O</w:t>
      </w:r>
      <w:r>
        <w:t>il price changes and one</w:t>
      </w:r>
      <w:r w:rsidR="005D6F39">
        <w:noBreakHyphen/>
      </w:r>
      <w:r>
        <w:t xml:space="preserve">off unexpected events such as large (deductible) </w:t>
      </w:r>
      <w:r w:rsidR="001904E9">
        <w:t>capital expenditure</w:t>
      </w:r>
      <w:r w:rsidR="0029133C">
        <w:t>s</w:t>
      </w:r>
      <w:r>
        <w:t xml:space="preserve"> or disruptions to production can cause large deviations from forecasts.</w:t>
      </w:r>
    </w:p>
    <w:p w14:paraId="6343BC94" w14:textId="5B4E831F" w:rsidR="00AA7794" w:rsidRDefault="00D53E64" w:rsidP="002E58C4">
      <w:r w:rsidRPr="007D4B54">
        <w:t>Figure 2.2</w:t>
      </w:r>
      <w:r w:rsidR="007842A5">
        <w:t xml:space="preserve"> shows how PRRT collections have decreased as the composition of petroleum production has changed. </w:t>
      </w:r>
      <w:r w:rsidR="00AA7794">
        <w:t xml:space="preserve">PRRT collections have moved roughly in line with oil production, but have </w:t>
      </w:r>
      <w:r w:rsidR="00BA7DDF">
        <w:t xml:space="preserve">yet to respond to increasing </w:t>
      </w:r>
      <w:r w:rsidR="00AA7794">
        <w:t xml:space="preserve">gas production. </w:t>
      </w:r>
    </w:p>
    <w:p w14:paraId="38A67459" w14:textId="2EEC04A8" w:rsidR="00AA7794" w:rsidRDefault="005A428C" w:rsidP="00221C2A">
      <w:pPr>
        <w:pStyle w:val="ChartMainHeading"/>
      </w:pPr>
      <w:r w:rsidRPr="00AE5BDF">
        <w:t>Figure</w:t>
      </w:r>
      <w:r w:rsidR="00AA7794" w:rsidRPr="00AE5BDF">
        <w:t xml:space="preserve"> </w:t>
      </w:r>
      <w:r w:rsidR="00D53E64" w:rsidRPr="007D4B54">
        <w:t>2.2</w:t>
      </w:r>
      <w:r w:rsidR="00AA7794" w:rsidRPr="00AE5BDF">
        <w:t xml:space="preserve"> </w:t>
      </w:r>
      <w:r w:rsidR="00455604" w:rsidRPr="00AE5BDF">
        <w:t>—</w:t>
      </w:r>
      <w:r w:rsidR="00AA7794" w:rsidRPr="00AE5BDF">
        <w:t xml:space="preserve"> P</w:t>
      </w:r>
      <w:r w:rsidR="002F01AD">
        <w:t>etroleum p</w:t>
      </w:r>
      <w:r w:rsidR="00AA7794" w:rsidRPr="00AE5BDF">
        <w:t xml:space="preserve">roduction and PRRT </w:t>
      </w:r>
      <w:r w:rsidR="00455604">
        <w:t>r</w:t>
      </w:r>
      <w:r w:rsidR="0029133C">
        <w:t>evenue</w:t>
      </w:r>
    </w:p>
    <w:bookmarkStart w:id="4291" w:name="_1553413871"/>
    <w:bookmarkStart w:id="4292" w:name="_1553502189"/>
    <w:bookmarkEnd w:id="4291"/>
    <w:bookmarkEnd w:id="4292"/>
    <w:p w14:paraId="0271A6FD" w14:textId="61FA5D59" w:rsidR="007A3476" w:rsidRPr="007A3476" w:rsidRDefault="005137C0" w:rsidP="007A3476">
      <w:pPr>
        <w:pStyle w:val="ChartGraphic"/>
      </w:pPr>
      <w:r>
        <w:object w:dxaOrig="8791" w:dyaOrig="4516" w14:anchorId="45A3A947">
          <v:shape id="_x0000_i1032" type="#_x0000_t75" alt="Figure 2.2 shows petroleum production levels and the level of PRRT revenue collected over the period 1999-2000 to 2014-15." style="width:438.75pt;height:225.75pt" o:ole="">
            <v:imagedata r:id="rId44" o:title=""/>
          </v:shape>
          <o:OLEObject Type="Link" ProgID="Excel.Sheet.12" ShapeID="_x0000_i1032" DrawAspect="Content" r:id="rId45" UpdateMode="Always">
            <o:LinkType>EnhancedMetaFile</o:LinkType>
            <o:LockedField/>
          </o:OLEObject>
        </w:object>
      </w:r>
    </w:p>
    <w:p w14:paraId="41FD62CB" w14:textId="46110F96" w:rsidR="00AA7794" w:rsidRDefault="00AA7794" w:rsidP="005137C0">
      <w:pPr>
        <w:pStyle w:val="ChartorTableNote"/>
      </w:pPr>
      <w:r w:rsidRPr="00CB4E50">
        <w:t xml:space="preserve">Source: </w:t>
      </w:r>
      <w:r w:rsidR="00CB4E50">
        <w:t>Department of Industry, Innovation</w:t>
      </w:r>
      <w:r w:rsidR="0029133C">
        <w:t xml:space="preserve"> and</w:t>
      </w:r>
      <w:r w:rsidR="00CB4E50">
        <w:t xml:space="preserve"> Science and </w:t>
      </w:r>
      <w:r w:rsidRPr="00CB4E50">
        <w:t>Department of the Treasury</w:t>
      </w:r>
      <w:r w:rsidR="007E6F50">
        <w:t>.</w:t>
      </w:r>
    </w:p>
    <w:p w14:paraId="72B6965B" w14:textId="77777777" w:rsidR="005137C0" w:rsidRPr="005137C0" w:rsidRDefault="005137C0" w:rsidP="005137C0">
      <w:pPr>
        <w:pStyle w:val="SingleParagraph"/>
      </w:pPr>
    </w:p>
    <w:p w14:paraId="7679862D" w14:textId="32C31621" w:rsidR="00273C94" w:rsidRDefault="00530A59" w:rsidP="00530A59">
      <w:bookmarkStart w:id="4293" w:name="_Toc476577330"/>
      <w:bookmarkStart w:id="4294" w:name="_Toc476582319"/>
      <w:bookmarkStart w:id="4295" w:name="_Toc476582993"/>
      <w:bookmarkStart w:id="4296" w:name="_Toc476583710"/>
      <w:bookmarkStart w:id="4297" w:name="_Toc476584158"/>
      <w:r>
        <w:t xml:space="preserve">In addition to prices and production levels, the level of deductible expenditure in the system is a key </w:t>
      </w:r>
      <w:r w:rsidR="00CC4B33">
        <w:t>determinant</w:t>
      </w:r>
      <w:r>
        <w:t xml:space="preserve"> of PRRT revenues.</w:t>
      </w:r>
      <w:r w:rsidR="00C72A38">
        <w:t xml:space="preserve"> The level of deductible expenditure in the system is further discussed in </w:t>
      </w:r>
      <w:r w:rsidR="00C72A38" w:rsidRPr="007D4B54">
        <w:t>section 4.5.</w:t>
      </w:r>
    </w:p>
    <w:p w14:paraId="4F265E04" w14:textId="04E4E801" w:rsidR="00530A59" w:rsidRDefault="00530A59" w:rsidP="00530A59">
      <w:r>
        <w:t xml:space="preserve">As </w:t>
      </w:r>
      <w:r w:rsidR="001369B5">
        <w:t>illustrated</w:t>
      </w:r>
      <w:r w:rsidR="001904E9">
        <w:t xml:space="preserve"> in</w:t>
      </w:r>
      <w:r>
        <w:t xml:space="preserve"> </w:t>
      </w:r>
      <w:r w:rsidR="00D53E64" w:rsidRPr="007D4B54">
        <w:t>Figure 2.3</w:t>
      </w:r>
      <w:r>
        <w:t xml:space="preserve">, the </w:t>
      </w:r>
      <w:r w:rsidR="00BE3265">
        <w:t>total</w:t>
      </w:r>
      <w:r>
        <w:t xml:space="preserve"> deductible expenditure </w:t>
      </w:r>
      <w:r w:rsidR="00BE3265">
        <w:t>in the system</w:t>
      </w:r>
      <w:r>
        <w:t xml:space="preserve"> has been increasing. This reflects the expansion of the PRRT </w:t>
      </w:r>
      <w:r w:rsidR="00BA7DDF">
        <w:t xml:space="preserve">onshore </w:t>
      </w:r>
      <w:r>
        <w:t>in 2012</w:t>
      </w:r>
      <w:r w:rsidR="001904E9">
        <w:t xml:space="preserve"> </w:t>
      </w:r>
      <w:r w:rsidR="00E90B65" w:rsidRPr="007D4B54">
        <w:t>(see</w:t>
      </w:r>
      <w:r w:rsidR="001904E9" w:rsidRPr="007D4B54">
        <w:t xml:space="preserve"> </w:t>
      </w:r>
      <w:r w:rsidR="0029133C" w:rsidRPr="007D4B54">
        <w:t>s</w:t>
      </w:r>
      <w:r w:rsidR="001904E9" w:rsidRPr="007D4B54">
        <w:t xml:space="preserve">ection </w:t>
      </w:r>
      <w:r w:rsidR="0029133C" w:rsidRPr="007D4B54">
        <w:t>3.2.1</w:t>
      </w:r>
      <w:r w:rsidR="001904E9">
        <w:t>)</w:t>
      </w:r>
      <w:r w:rsidR="00AE233B">
        <w:t xml:space="preserve"> </w:t>
      </w:r>
      <w:r w:rsidR="003105D3">
        <w:t>and</w:t>
      </w:r>
      <w:r w:rsidR="00AE233B">
        <w:t xml:space="preserve"> the very large capital investment associated with the recent </w:t>
      </w:r>
      <w:r>
        <w:t xml:space="preserve">LNG </w:t>
      </w:r>
      <w:r w:rsidR="00AE233B">
        <w:t>projects</w:t>
      </w:r>
      <w:r>
        <w:t>.</w:t>
      </w:r>
    </w:p>
    <w:p w14:paraId="4F8E27C8" w14:textId="54D269BC" w:rsidR="006C53EF" w:rsidRDefault="006C53EF" w:rsidP="00530A59">
      <w:r>
        <w:t>It is also likely that transfers of exploration expenditure from new projects entering the PRRT system ha</w:t>
      </w:r>
      <w:r w:rsidR="0007622C">
        <w:t>ve</w:t>
      </w:r>
      <w:r>
        <w:t xml:space="preserve"> reduced revenue from existing PRRT paying projects.</w:t>
      </w:r>
    </w:p>
    <w:p w14:paraId="3AD3A42B" w14:textId="29F8F9C2" w:rsidR="00530660" w:rsidRDefault="00530660" w:rsidP="00530A59">
      <w:r>
        <w:t xml:space="preserve">The outlook for future PRRT </w:t>
      </w:r>
      <w:r w:rsidR="00F14C3A">
        <w:t>revenue</w:t>
      </w:r>
      <w:r>
        <w:t xml:space="preserve"> is discussed in </w:t>
      </w:r>
      <w:r w:rsidR="0029133C" w:rsidRPr="007D4B54">
        <w:t>s</w:t>
      </w:r>
      <w:r w:rsidRPr="007D4B54">
        <w:t xml:space="preserve">ection </w:t>
      </w:r>
      <w:r w:rsidR="00273C94" w:rsidRPr="007D4B54">
        <w:t>2.3.4</w:t>
      </w:r>
      <w:r w:rsidRPr="007D4B54">
        <w:t>.</w:t>
      </w:r>
    </w:p>
    <w:p w14:paraId="096381D5" w14:textId="1AEAB48C" w:rsidR="00530A59" w:rsidRDefault="00530A59" w:rsidP="00221C2A">
      <w:pPr>
        <w:pStyle w:val="ChartMainHeading"/>
      </w:pPr>
      <w:r w:rsidRPr="00AE5BDF">
        <w:t xml:space="preserve">Figure </w:t>
      </w:r>
      <w:r w:rsidR="00D53E64" w:rsidRPr="007D4B54">
        <w:t>2.3</w:t>
      </w:r>
      <w:r w:rsidRPr="00AE5BDF">
        <w:t xml:space="preserve"> </w:t>
      </w:r>
      <w:r w:rsidR="00455604" w:rsidRPr="00AE5BDF">
        <w:t>—</w:t>
      </w:r>
      <w:r w:rsidRPr="00AE5BDF">
        <w:t xml:space="preserve"> </w:t>
      </w:r>
      <w:r w:rsidR="00BE3265">
        <w:t>Total</w:t>
      </w:r>
      <w:r w:rsidRPr="00AE5BDF">
        <w:t xml:space="preserve"> </w:t>
      </w:r>
      <w:r w:rsidR="00455604">
        <w:t>d</w:t>
      </w:r>
      <w:r w:rsidRPr="00AE5BDF">
        <w:t xml:space="preserve">eductible </w:t>
      </w:r>
      <w:r w:rsidR="00455604">
        <w:t>e</w:t>
      </w:r>
      <w:r w:rsidRPr="00AE5BDF">
        <w:t>xpenditure</w:t>
      </w:r>
    </w:p>
    <w:bookmarkStart w:id="4298" w:name="_1553413873"/>
    <w:bookmarkStart w:id="4299" w:name="_1553502190"/>
    <w:bookmarkEnd w:id="4298"/>
    <w:bookmarkEnd w:id="4299"/>
    <w:p w14:paraId="4220ECB8" w14:textId="4D8357C5" w:rsidR="00530A59" w:rsidRDefault="005137C0" w:rsidP="008A365C">
      <w:pPr>
        <w:pStyle w:val="ChartGraphic"/>
      </w:pPr>
      <w:r>
        <w:object w:dxaOrig="8775" w:dyaOrig="4516" w14:anchorId="09A85A11">
          <v:shape id="_x0000_i1033" type="#_x0000_t75" alt="Figure 2.3 shows the total deductible expenditure. Total deductible expenditure has been increasing and jumped sharply in 2012-13 as new projects came into the system. " style="width:438.75pt;height:225.75pt" o:ole="">
            <v:imagedata r:id="rId46" o:title=""/>
          </v:shape>
          <o:OLEObject Type="Link" ProgID="Excel.Sheet.12" ShapeID="_x0000_i1033" DrawAspect="Content" r:id="rId47" UpdateMode="Always">
            <o:LinkType>EnhancedMetaFile</o:LinkType>
            <o:LockedField/>
          </o:OLEObject>
        </w:object>
      </w:r>
    </w:p>
    <w:p w14:paraId="00BBEB0C" w14:textId="794E1450" w:rsidR="00335673" w:rsidRDefault="00335673" w:rsidP="005137C0">
      <w:pPr>
        <w:pStyle w:val="ChartorTableNote"/>
      </w:pPr>
      <w:r w:rsidRPr="000B3F3B">
        <w:t xml:space="preserve">Source:  </w:t>
      </w:r>
      <w:r w:rsidR="00B76503">
        <w:t>ATO Taxation Statistics</w:t>
      </w:r>
      <w:r w:rsidR="00453784">
        <w:t>, ATO submission</w:t>
      </w:r>
      <w:r w:rsidR="00455604">
        <w:t>.</w:t>
      </w:r>
    </w:p>
    <w:p w14:paraId="13C522EA" w14:textId="77777777" w:rsidR="005137C0" w:rsidRPr="005137C0" w:rsidRDefault="005137C0" w:rsidP="005137C0">
      <w:pPr>
        <w:pStyle w:val="SingleParagraph"/>
      </w:pPr>
    </w:p>
    <w:p w14:paraId="63AF54BC" w14:textId="083E0558" w:rsidR="00830A3E" w:rsidRDefault="00CD567A" w:rsidP="00830A3E">
      <w:pPr>
        <w:pStyle w:val="Heading3"/>
      </w:pPr>
      <w:bookmarkStart w:id="4300" w:name="_Toc476738064"/>
      <w:bookmarkStart w:id="4301" w:name="_Toc476747639"/>
      <w:bookmarkStart w:id="4302" w:name="_Toc476749047"/>
      <w:bookmarkStart w:id="4303" w:name="_Toc476753914"/>
      <w:bookmarkStart w:id="4304" w:name="_Toc476754409"/>
      <w:bookmarkStart w:id="4305" w:name="_Toc476754574"/>
      <w:bookmarkStart w:id="4306" w:name="_Toc476759810"/>
      <w:bookmarkStart w:id="4307" w:name="_Toc476761432"/>
      <w:bookmarkStart w:id="4308" w:name="_Toc476767070"/>
      <w:bookmarkStart w:id="4309" w:name="_Toc476827116"/>
      <w:bookmarkStart w:id="4310" w:name="_Toc476828809"/>
      <w:bookmarkStart w:id="4311" w:name="_Toc476833683"/>
      <w:bookmarkStart w:id="4312" w:name="_Toc476837156"/>
      <w:bookmarkStart w:id="4313" w:name="_Toc476841029"/>
      <w:bookmarkStart w:id="4314" w:name="_Toc476841234"/>
      <w:bookmarkStart w:id="4315" w:name="_Toc476841993"/>
      <w:bookmarkStart w:id="4316" w:name="_Toc476842937"/>
      <w:bookmarkStart w:id="4317" w:name="_Toc476843108"/>
      <w:bookmarkStart w:id="4318" w:name="_Toc476844606"/>
      <w:bookmarkStart w:id="4319" w:name="_Toc476845499"/>
      <w:bookmarkStart w:id="4320" w:name="_Toc476926891"/>
      <w:bookmarkStart w:id="4321" w:name="_Toc476926830"/>
      <w:bookmarkStart w:id="4322" w:name="_Toc476927178"/>
      <w:bookmarkStart w:id="4323" w:name="_Toc476928442"/>
      <w:bookmarkStart w:id="4324" w:name="_Toc476929485"/>
      <w:bookmarkStart w:id="4325" w:name="_Toc476929660"/>
      <w:bookmarkStart w:id="4326" w:name="_Toc476930703"/>
      <w:bookmarkStart w:id="4327" w:name="_Toc476931510"/>
      <w:bookmarkStart w:id="4328" w:name="_Toc477869877"/>
      <w:bookmarkStart w:id="4329" w:name="_Toc477871116"/>
      <w:bookmarkStart w:id="4330" w:name="_Toc477873275"/>
      <w:bookmarkStart w:id="4331" w:name="_Toc477875269"/>
      <w:bookmarkStart w:id="4332" w:name="_Toc477880182"/>
      <w:bookmarkStart w:id="4333" w:name="_Toc477881442"/>
      <w:bookmarkStart w:id="4334" w:name="_Toc477955846"/>
      <w:bookmarkStart w:id="4335" w:name="_Toc477963091"/>
      <w:bookmarkStart w:id="4336" w:name="_Toc477963577"/>
      <w:bookmarkStart w:id="4337" w:name="_Toc477965163"/>
      <w:bookmarkStart w:id="4338" w:name="_Toc477966667"/>
      <w:bookmarkStart w:id="4339" w:name="_Toc477966836"/>
      <w:bookmarkStart w:id="4340" w:name="_Toc477967176"/>
      <w:bookmarkStart w:id="4341" w:name="_Toc478121313"/>
      <w:bookmarkStart w:id="4342" w:name="_Toc478122226"/>
      <w:bookmarkStart w:id="4343" w:name="_Toc478132200"/>
      <w:bookmarkStart w:id="4344" w:name="_Toc478133226"/>
      <w:bookmarkStart w:id="4345" w:name="_Toc478132363"/>
      <w:bookmarkStart w:id="4346" w:name="_Toc478134692"/>
      <w:bookmarkStart w:id="4347" w:name="_Toc478137394"/>
      <w:bookmarkStart w:id="4348" w:name="_Toc478138466"/>
      <w:bookmarkStart w:id="4349" w:name="_Toc478140036"/>
      <w:bookmarkStart w:id="4350" w:name="_Toc478140452"/>
      <w:bookmarkStart w:id="4351" w:name="_Toc478142658"/>
      <w:bookmarkStart w:id="4352" w:name="_Toc478566374"/>
      <w:bookmarkStart w:id="4353" w:name="_Toc478569541"/>
      <w:bookmarkStart w:id="4354" w:name="_Toc478569715"/>
      <w:bookmarkStart w:id="4355" w:name="_Toc478570789"/>
      <w:bookmarkStart w:id="4356" w:name="_Toc478632988"/>
      <w:bookmarkStart w:id="4357" w:name="_Toc478641396"/>
      <w:bookmarkStart w:id="4358" w:name="_Toc478654290"/>
      <w:bookmarkStart w:id="4359" w:name="_Toc478654464"/>
      <w:bookmarkStart w:id="4360" w:name="_Toc478657759"/>
      <w:bookmarkStart w:id="4361" w:name="_Toc478993180"/>
      <w:bookmarkStart w:id="4362" w:name="_Toc479000251"/>
      <w:bookmarkStart w:id="4363" w:name="_Toc479002185"/>
      <w:bookmarkStart w:id="4364" w:name="_Toc479002357"/>
      <w:bookmarkStart w:id="4365" w:name="_Toc479254333"/>
      <w:bookmarkStart w:id="4366" w:name="_Toc479258522"/>
      <w:bookmarkStart w:id="4367" w:name="_Toc479258838"/>
      <w:bookmarkStart w:id="4368" w:name="_Toc479259730"/>
      <w:bookmarkStart w:id="4369" w:name="_Toc479262153"/>
      <w:bookmarkStart w:id="4370" w:name="_Toc479262574"/>
      <w:bookmarkStart w:id="4371" w:name="_Toc479321275"/>
      <w:bookmarkStart w:id="4372" w:name="_Toc479326714"/>
      <w:bookmarkStart w:id="4373" w:name="_Toc479333313"/>
      <w:bookmarkStart w:id="4374" w:name="_Toc479335010"/>
      <w:bookmarkStart w:id="4375" w:name="_Toc479341725"/>
      <w:bookmarkStart w:id="4376" w:name="_Toc479345141"/>
      <w:bookmarkStart w:id="4377" w:name="_Toc479345350"/>
      <w:bookmarkStart w:id="4378" w:name="_Toc479348331"/>
      <w:bookmarkStart w:id="4379" w:name="_Toc479675925"/>
      <w:bookmarkStart w:id="4380" w:name="_Toc479690892"/>
      <w:bookmarkStart w:id="4381" w:name="_Toc479693470"/>
      <w:bookmarkStart w:id="4382" w:name="_Toc479770639"/>
      <w:r>
        <w:t>2.3.2</w:t>
      </w:r>
      <w:r w:rsidR="00D66611">
        <w:tab/>
      </w:r>
      <w:r w:rsidR="00830A3E">
        <w:t xml:space="preserve">State </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r w:rsidR="006D6467">
        <w:t>r</w:t>
      </w:r>
      <w:r w:rsidR="00830A3E">
        <w:t>oyalties</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5852A70F" w14:textId="5A0F7B51" w:rsidR="00830A3E" w:rsidRPr="00B922E0" w:rsidRDefault="00830A3E" w:rsidP="00830A3E">
      <w:r>
        <w:t xml:space="preserve">In addition to PRRT and excise, onshore oil and gas projects pay </w:t>
      </w:r>
      <w:r w:rsidR="00BA7DDF">
        <w:t>s</w:t>
      </w:r>
      <w:r>
        <w:t xml:space="preserve">tate royalties. For onshore projects such as the large </w:t>
      </w:r>
      <w:r w:rsidR="000F33E2">
        <w:t>CSG</w:t>
      </w:r>
      <w:r>
        <w:t xml:space="preserve"> </w:t>
      </w:r>
      <w:r w:rsidR="00F76191">
        <w:t xml:space="preserve">to </w:t>
      </w:r>
      <w:r>
        <w:t xml:space="preserve">LNG projects in Queensland, state royalties are the primary means of charging for resources. </w:t>
      </w:r>
      <w:r w:rsidR="005A20F0">
        <w:t>WA</w:t>
      </w:r>
      <w:r>
        <w:t xml:space="preserve"> also receives approximately two thirds of the royalties collected from the </w:t>
      </w:r>
      <w:r w:rsidR="0029133C">
        <w:t>NWS p</w:t>
      </w:r>
      <w:r w:rsidR="00637BA4">
        <w:t>roject</w:t>
      </w:r>
      <w:r>
        <w:t>.</w:t>
      </w:r>
      <w:r w:rsidR="00C877CC">
        <w:t xml:space="preserve"> </w:t>
      </w:r>
      <w:r w:rsidR="00B95C70">
        <w:t xml:space="preserve">State royalty collections have declined recently due to falling oil prices. </w:t>
      </w:r>
      <w:r w:rsidR="00C877CC">
        <w:t>Figure 2.4 outlines state royalty collections from 2004</w:t>
      </w:r>
      <w:r w:rsidR="005D6F39">
        <w:noBreakHyphen/>
      </w:r>
      <w:r w:rsidR="00C877CC">
        <w:t>05 to 2015</w:t>
      </w:r>
      <w:r w:rsidR="005D6F39">
        <w:noBreakHyphen/>
      </w:r>
      <w:r w:rsidR="00C877CC">
        <w:t>16.</w:t>
      </w:r>
    </w:p>
    <w:p w14:paraId="0D427E4F" w14:textId="734D764A" w:rsidR="00830A3E" w:rsidRDefault="00830A3E" w:rsidP="00221C2A">
      <w:pPr>
        <w:pStyle w:val="ChartMainHeading"/>
      </w:pPr>
      <w:r w:rsidRPr="00AE5BDF">
        <w:t xml:space="preserve">Figure </w:t>
      </w:r>
      <w:r w:rsidR="00D53E64" w:rsidRPr="007D4B54">
        <w:t>2.4</w:t>
      </w:r>
      <w:r w:rsidRPr="00AE5BDF">
        <w:t xml:space="preserve"> </w:t>
      </w:r>
      <w:r w:rsidR="00455604" w:rsidRPr="00AE5BDF">
        <w:t>—</w:t>
      </w:r>
      <w:r w:rsidRPr="00AE5BDF">
        <w:t xml:space="preserve"> State </w:t>
      </w:r>
      <w:r w:rsidR="00455604">
        <w:t>r</w:t>
      </w:r>
      <w:r w:rsidRPr="00AE5BDF">
        <w:t>oyalt</w:t>
      </w:r>
      <w:r w:rsidR="00474367" w:rsidRPr="00AE5BDF">
        <w:t xml:space="preserve">y </w:t>
      </w:r>
      <w:r w:rsidR="00455604">
        <w:t>c</w:t>
      </w:r>
      <w:r w:rsidR="00530A59" w:rsidRPr="00AE5BDF">
        <w:t>ollection</w:t>
      </w:r>
      <w:r w:rsidR="00455604">
        <w:t>s</w:t>
      </w:r>
      <w:r w:rsidR="00C877CC">
        <w:rPr>
          <w:rStyle w:val="FootnoteReference"/>
        </w:rPr>
        <w:footnoteReference w:id="5"/>
      </w:r>
    </w:p>
    <w:bookmarkStart w:id="4383" w:name="_1553413874"/>
    <w:bookmarkStart w:id="4384" w:name="_1553502192"/>
    <w:bookmarkEnd w:id="4383"/>
    <w:bookmarkEnd w:id="4384"/>
    <w:p w14:paraId="0FD1181A" w14:textId="38527C1F" w:rsidR="00474367" w:rsidRDefault="005137C0" w:rsidP="00C877CC">
      <w:pPr>
        <w:pStyle w:val="ChartGraphic"/>
      </w:pPr>
      <w:r>
        <w:object w:dxaOrig="8775" w:dyaOrig="4530" w14:anchorId="789BBC2B">
          <v:shape id="_x0000_i1034" type="#_x0000_t75" alt="Figure 2.4 illustrates the combined royalty collections from states and territories in millions of Australian dollars between the years 2004-05 and 2015-16. In the 2015-16 year, the aggregate of state royalty collections was around $720 million dollars. The year with the greatest royalty collections in the period was 2013-14 with a total of around $1,320 million dollars." style="width:438.75pt;height:226.5pt" o:ole="">
            <v:imagedata r:id="rId48" o:title=""/>
          </v:shape>
          <o:OLEObject Type="Link" ProgID="Excel.Sheet.12" ShapeID="_x0000_i1034" DrawAspect="Content" r:id="rId49" UpdateMode="Always">
            <o:LinkType>EnhancedMetaFile</o:LinkType>
            <o:LockedField/>
          </o:OLEObject>
        </w:object>
      </w:r>
    </w:p>
    <w:p w14:paraId="21BAA62E" w14:textId="0CBACD44" w:rsidR="00830A3E" w:rsidRDefault="00C877CC" w:rsidP="005137C0">
      <w:pPr>
        <w:pStyle w:val="ChartorTableNote"/>
      </w:pPr>
      <w:r>
        <w:t xml:space="preserve">Source: State Governments, Petroleum Resource Rent Tax Review Secretariat. </w:t>
      </w:r>
    </w:p>
    <w:p w14:paraId="2BD15487" w14:textId="77777777" w:rsidR="005137C0" w:rsidRPr="005137C0" w:rsidRDefault="005137C0" w:rsidP="005137C0">
      <w:pPr>
        <w:pStyle w:val="SingleParagraph"/>
      </w:pPr>
    </w:p>
    <w:p w14:paraId="453174C5" w14:textId="08548474" w:rsidR="00830A3E" w:rsidRDefault="00D66611" w:rsidP="00830A3E">
      <w:pPr>
        <w:pStyle w:val="Heading3"/>
      </w:pPr>
      <w:bookmarkStart w:id="4385" w:name="_Toc476738065"/>
      <w:bookmarkStart w:id="4386" w:name="_Toc476747640"/>
      <w:bookmarkStart w:id="4387" w:name="_Toc476749048"/>
      <w:bookmarkStart w:id="4388" w:name="_Toc476753915"/>
      <w:bookmarkStart w:id="4389" w:name="_Toc476754410"/>
      <w:bookmarkStart w:id="4390" w:name="_Toc476754575"/>
      <w:bookmarkStart w:id="4391" w:name="_Toc476759811"/>
      <w:bookmarkStart w:id="4392" w:name="_Toc476761433"/>
      <w:bookmarkStart w:id="4393" w:name="_Toc476767071"/>
      <w:bookmarkStart w:id="4394" w:name="_Toc476827117"/>
      <w:bookmarkStart w:id="4395" w:name="_Toc476828810"/>
      <w:bookmarkStart w:id="4396" w:name="_Toc476833684"/>
      <w:bookmarkStart w:id="4397" w:name="_Toc476837157"/>
      <w:bookmarkStart w:id="4398" w:name="_Toc476841030"/>
      <w:bookmarkStart w:id="4399" w:name="_Toc476841235"/>
      <w:bookmarkStart w:id="4400" w:name="_Toc476841994"/>
      <w:bookmarkStart w:id="4401" w:name="_Toc476842938"/>
      <w:bookmarkStart w:id="4402" w:name="_Toc476843109"/>
      <w:bookmarkStart w:id="4403" w:name="_Toc476844607"/>
      <w:bookmarkStart w:id="4404" w:name="_Toc476845500"/>
      <w:bookmarkStart w:id="4405" w:name="_Toc476926892"/>
      <w:bookmarkStart w:id="4406" w:name="_Toc476926831"/>
      <w:bookmarkStart w:id="4407" w:name="_Toc476927179"/>
      <w:bookmarkStart w:id="4408" w:name="_Toc476928443"/>
      <w:bookmarkStart w:id="4409" w:name="_Toc476929486"/>
      <w:bookmarkStart w:id="4410" w:name="_Toc476929661"/>
      <w:bookmarkStart w:id="4411" w:name="_Toc476930704"/>
      <w:bookmarkStart w:id="4412" w:name="_Toc476931511"/>
      <w:bookmarkStart w:id="4413" w:name="_Toc477869878"/>
      <w:bookmarkStart w:id="4414" w:name="_Toc477871117"/>
      <w:bookmarkStart w:id="4415" w:name="_Toc477873276"/>
      <w:bookmarkStart w:id="4416" w:name="_Toc477875270"/>
      <w:bookmarkStart w:id="4417" w:name="_Toc477880183"/>
      <w:bookmarkStart w:id="4418" w:name="_Toc477881443"/>
      <w:bookmarkStart w:id="4419" w:name="_Toc477955847"/>
      <w:bookmarkStart w:id="4420" w:name="_Toc477963092"/>
      <w:bookmarkStart w:id="4421" w:name="_Toc477963578"/>
      <w:bookmarkStart w:id="4422" w:name="_Toc477965164"/>
      <w:bookmarkStart w:id="4423" w:name="_Toc477966668"/>
      <w:bookmarkStart w:id="4424" w:name="_Toc477966837"/>
      <w:bookmarkStart w:id="4425" w:name="_Toc477967177"/>
      <w:bookmarkStart w:id="4426" w:name="_Toc478121314"/>
      <w:bookmarkStart w:id="4427" w:name="_Toc478122227"/>
      <w:bookmarkStart w:id="4428" w:name="_Toc478132201"/>
      <w:bookmarkStart w:id="4429" w:name="_Toc478133227"/>
      <w:bookmarkStart w:id="4430" w:name="_Toc478132364"/>
      <w:bookmarkStart w:id="4431" w:name="_Toc478134693"/>
      <w:bookmarkStart w:id="4432" w:name="_Toc478137395"/>
      <w:bookmarkStart w:id="4433" w:name="_Toc478138467"/>
      <w:bookmarkStart w:id="4434" w:name="_Toc478140037"/>
      <w:bookmarkStart w:id="4435" w:name="_Toc478140453"/>
      <w:bookmarkStart w:id="4436" w:name="_Toc478142659"/>
      <w:bookmarkStart w:id="4437" w:name="_Toc478566375"/>
      <w:bookmarkStart w:id="4438" w:name="_Toc478569542"/>
      <w:bookmarkStart w:id="4439" w:name="_Toc478569716"/>
      <w:bookmarkStart w:id="4440" w:name="_Toc478570790"/>
      <w:bookmarkStart w:id="4441" w:name="_Toc478632989"/>
      <w:bookmarkStart w:id="4442" w:name="_Toc478641397"/>
      <w:bookmarkStart w:id="4443" w:name="_Toc478654291"/>
      <w:bookmarkStart w:id="4444" w:name="_Toc478654465"/>
      <w:bookmarkStart w:id="4445" w:name="_Toc478657760"/>
      <w:bookmarkStart w:id="4446" w:name="_Toc478993181"/>
      <w:bookmarkStart w:id="4447" w:name="_Toc479000252"/>
      <w:bookmarkStart w:id="4448" w:name="_Toc479002186"/>
      <w:bookmarkStart w:id="4449" w:name="_Toc479002358"/>
      <w:bookmarkStart w:id="4450" w:name="_Toc479254334"/>
      <w:bookmarkStart w:id="4451" w:name="_Toc479258523"/>
      <w:bookmarkStart w:id="4452" w:name="_Toc479258839"/>
      <w:bookmarkStart w:id="4453" w:name="_Toc479259731"/>
      <w:bookmarkStart w:id="4454" w:name="_Toc479262154"/>
      <w:bookmarkStart w:id="4455" w:name="_Toc479262575"/>
      <w:bookmarkStart w:id="4456" w:name="_Toc479321276"/>
      <w:bookmarkStart w:id="4457" w:name="_Toc479326715"/>
      <w:bookmarkStart w:id="4458" w:name="_Toc479333314"/>
      <w:bookmarkStart w:id="4459" w:name="_Toc479335011"/>
      <w:bookmarkStart w:id="4460" w:name="_Toc479341726"/>
      <w:bookmarkStart w:id="4461" w:name="_Toc479345142"/>
      <w:bookmarkStart w:id="4462" w:name="_Toc479345351"/>
      <w:bookmarkStart w:id="4463" w:name="_Toc479348332"/>
      <w:bookmarkStart w:id="4464" w:name="_Toc479675926"/>
      <w:bookmarkStart w:id="4465" w:name="_Toc479690893"/>
      <w:bookmarkStart w:id="4466" w:name="_Toc479693471"/>
      <w:bookmarkStart w:id="4467" w:name="_Toc479770640"/>
      <w:r>
        <w:t>2.3.3</w:t>
      </w:r>
      <w:r>
        <w:tab/>
      </w:r>
      <w:r w:rsidR="00830A3E">
        <w:t xml:space="preserve">Company </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sidR="006D6467">
        <w:t>tax r</w:t>
      </w:r>
      <w:r w:rsidR="00830A3E">
        <w:t>evenue</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15597E50" w14:textId="04299909" w:rsidR="00830A3E" w:rsidRDefault="00830A3E" w:rsidP="00830A3E">
      <w:r>
        <w:t xml:space="preserve">In addition to resource taxes, oil and gas companies pay company tax on income earned in Australia like any other company operating in Australia. Companies may also pay other state taxes including stamp duties and payroll tax. </w:t>
      </w:r>
    </w:p>
    <w:p w14:paraId="254F8740" w14:textId="22466CCE" w:rsidR="00830A3E" w:rsidRDefault="00830A3E" w:rsidP="00830A3E">
      <w:r>
        <w:t xml:space="preserve">According to APPEA, company tax comprises around half of the total taxes paid by the oil and gas industry. For LNG projects </w:t>
      </w:r>
      <w:r w:rsidR="00C72A38">
        <w:t>that</w:t>
      </w:r>
      <w:r>
        <w:t xml:space="preserve"> have lower profits, company tax is expected to dominate the total tax take</w:t>
      </w:r>
      <w:r w:rsidR="00C72A38">
        <w:t>, especially in the short term because the different tax bases result in company tax generally becoming payable before PRRT</w:t>
      </w:r>
      <w:r>
        <w:t>.</w:t>
      </w:r>
    </w:p>
    <w:p w14:paraId="382B299D" w14:textId="6D838ABE" w:rsidR="003C7DBE" w:rsidRDefault="00830A3E" w:rsidP="00830A3E">
      <w:pPr>
        <w:ind w:left="567" w:right="565"/>
        <w:rPr>
          <w:color w:val="1F497D" w:themeColor="text2"/>
          <w:sz w:val="20"/>
        </w:rPr>
      </w:pPr>
      <w:r w:rsidRPr="0019045A">
        <w:rPr>
          <w:color w:val="1F497D" w:themeColor="text2"/>
          <w:sz w:val="20"/>
        </w:rPr>
        <w:t>In terms of the segmentation of the two primary forms of taxation paid by the industry (company tax and resource taxes), on average, around half has been attributable to each form of taxation over the period since data has been collected, although this will change with company tax receipts being expected to significantly increase in coming years as new large scale export gas projects reach plateau production</w:t>
      </w:r>
      <w:r w:rsidR="000B3F3B">
        <w:rPr>
          <w:color w:val="1F497D" w:themeColor="text2"/>
          <w:sz w:val="20"/>
        </w:rPr>
        <w:t>.</w:t>
      </w:r>
    </w:p>
    <w:p w14:paraId="770460F6" w14:textId="741F0E57" w:rsidR="00830A3E" w:rsidRDefault="00830A3E" w:rsidP="00830A3E">
      <w:pPr>
        <w:ind w:left="567" w:right="565"/>
        <w:rPr>
          <w:color w:val="1F497D" w:themeColor="text2"/>
          <w:sz w:val="20"/>
        </w:rPr>
      </w:pPr>
      <w:r w:rsidRPr="0019045A">
        <w:rPr>
          <w:color w:val="1F497D" w:themeColor="text2"/>
          <w:sz w:val="20"/>
        </w:rPr>
        <w:t>Overall, tax payments generally averaged between $7 and $8 billion per annum in the period 2007</w:t>
      </w:r>
      <w:r w:rsidR="005D6F39">
        <w:rPr>
          <w:color w:val="1F497D" w:themeColor="text2"/>
          <w:sz w:val="20"/>
        </w:rPr>
        <w:noBreakHyphen/>
      </w:r>
      <w:r w:rsidRPr="0019045A">
        <w:rPr>
          <w:color w:val="1F497D" w:themeColor="text2"/>
          <w:sz w:val="20"/>
        </w:rPr>
        <w:t>08 to 2013</w:t>
      </w:r>
      <w:r w:rsidR="005D6F39">
        <w:rPr>
          <w:color w:val="1F497D" w:themeColor="text2"/>
          <w:sz w:val="20"/>
        </w:rPr>
        <w:noBreakHyphen/>
      </w:r>
      <w:r w:rsidRPr="0019045A">
        <w:rPr>
          <w:color w:val="1F497D" w:themeColor="text2"/>
          <w:sz w:val="20"/>
        </w:rPr>
        <w:t>14, however this fell in 2014</w:t>
      </w:r>
      <w:r w:rsidR="005D6F39">
        <w:rPr>
          <w:color w:val="1F497D" w:themeColor="text2"/>
          <w:sz w:val="20"/>
        </w:rPr>
        <w:noBreakHyphen/>
      </w:r>
      <w:r w:rsidRPr="0019045A">
        <w:rPr>
          <w:color w:val="1F497D" w:themeColor="text2"/>
          <w:sz w:val="20"/>
        </w:rPr>
        <w:t>15 in line with the significant reduction in commodity prices and the continued decline in petroleum liquids production</w:t>
      </w:r>
      <w:r w:rsidR="003C7DBE">
        <w:rPr>
          <w:color w:val="1F497D" w:themeColor="text2"/>
          <w:sz w:val="20"/>
        </w:rPr>
        <w:t xml:space="preserve"> in Australia</w:t>
      </w:r>
      <w:r w:rsidRPr="0019045A">
        <w:rPr>
          <w:color w:val="1F497D" w:themeColor="text2"/>
          <w:sz w:val="20"/>
        </w:rPr>
        <w:t xml:space="preserve"> </w:t>
      </w:r>
      <w:r w:rsidRPr="00CB4E50">
        <w:rPr>
          <w:color w:val="1F497D" w:themeColor="text2"/>
          <w:sz w:val="20"/>
        </w:rPr>
        <w:t xml:space="preserve">(APPEA </w:t>
      </w:r>
      <w:r w:rsidR="006C278D">
        <w:rPr>
          <w:color w:val="1F497D" w:themeColor="text2"/>
          <w:sz w:val="20"/>
        </w:rPr>
        <w:t>s</w:t>
      </w:r>
      <w:r w:rsidRPr="00CB4E50">
        <w:rPr>
          <w:color w:val="1F497D" w:themeColor="text2"/>
          <w:sz w:val="20"/>
        </w:rPr>
        <w:t>ubmission, p.</w:t>
      </w:r>
      <w:r w:rsidR="006C278D">
        <w:rPr>
          <w:color w:val="1F497D" w:themeColor="text2"/>
          <w:sz w:val="20"/>
        </w:rPr>
        <w:t xml:space="preserve"> </w:t>
      </w:r>
      <w:r w:rsidRPr="00CB4E50">
        <w:rPr>
          <w:color w:val="1F497D" w:themeColor="text2"/>
          <w:sz w:val="20"/>
        </w:rPr>
        <w:t>8).</w:t>
      </w:r>
    </w:p>
    <w:p w14:paraId="7E08BED7" w14:textId="65ADCD91" w:rsidR="00830A3E" w:rsidRPr="00A14DE5" w:rsidRDefault="00830A3E" w:rsidP="00830A3E">
      <w:r>
        <w:t xml:space="preserve">Other stakeholders, including the Tax Justice Network </w:t>
      </w:r>
      <w:r w:rsidR="00B422B5">
        <w:t>Australia</w:t>
      </w:r>
      <w:r w:rsidR="0029133C">
        <w:t>,</w:t>
      </w:r>
      <w:r w:rsidR="00B422B5">
        <w:t xml:space="preserve"> </w:t>
      </w:r>
      <w:r>
        <w:t>contested the claim that the industry pays significant amounts of company tax and noted that some companies may engage in tax minimisation activities</w:t>
      </w:r>
      <w:r w:rsidR="006C278D">
        <w:t>.</w:t>
      </w:r>
      <w:r>
        <w:t xml:space="preserve"> </w:t>
      </w:r>
    </w:p>
    <w:p w14:paraId="308E3983" w14:textId="59248D4E" w:rsidR="00830A3E" w:rsidRDefault="00830A3E" w:rsidP="00830A3E">
      <w:pPr>
        <w:ind w:left="567" w:right="565"/>
        <w:rPr>
          <w:color w:val="1F497D" w:themeColor="text2"/>
          <w:sz w:val="20"/>
        </w:rPr>
      </w:pPr>
      <w:r w:rsidRPr="0019045A">
        <w:rPr>
          <w:color w:val="1F497D" w:themeColor="text2"/>
          <w:sz w:val="20"/>
        </w:rPr>
        <w:t>Based on the ATO data, in 2013/14, the Australian operating companies of international oil and gas majors BP, Shell, Exxon and Chevron had total income of $65.6 billion, but paid company tax of les</w:t>
      </w:r>
      <w:r w:rsidR="005137C0">
        <w:rPr>
          <w:color w:val="1F497D" w:themeColor="text2"/>
          <w:sz w:val="20"/>
        </w:rPr>
        <w:t>s than $603 million, or under 1 per cent</w:t>
      </w:r>
      <w:r w:rsidRPr="0019045A">
        <w:rPr>
          <w:color w:val="1F497D" w:themeColor="text2"/>
          <w:sz w:val="20"/>
        </w:rPr>
        <w:t xml:space="preserve"> of total income. In 2014/15, they had total income of $58.5 billion and paid company tax of $1.3 billion, or just o</w:t>
      </w:r>
      <w:r w:rsidR="005137C0">
        <w:rPr>
          <w:color w:val="1F497D" w:themeColor="text2"/>
          <w:sz w:val="20"/>
        </w:rPr>
        <w:t>ver 2 per cent</w:t>
      </w:r>
      <w:r w:rsidRPr="0019045A">
        <w:rPr>
          <w:color w:val="1F497D" w:themeColor="text2"/>
          <w:sz w:val="20"/>
        </w:rPr>
        <w:t xml:space="preserve"> of total income.</w:t>
      </w:r>
      <w:r w:rsidRPr="0019045A">
        <w:t xml:space="preserve"> </w:t>
      </w:r>
      <w:r w:rsidRPr="0019045A">
        <w:rPr>
          <w:color w:val="1F497D" w:themeColor="text2"/>
          <w:sz w:val="20"/>
        </w:rPr>
        <w:t>While there are clearly legitimate reasons for lower corporate tax payments, including significant investment costs, there is also evidence</w:t>
      </w:r>
      <w:r>
        <w:rPr>
          <w:color w:val="1F497D" w:themeColor="text2"/>
          <w:sz w:val="20"/>
        </w:rPr>
        <w:t xml:space="preserve"> of aggressive tax minimisation </w:t>
      </w:r>
      <w:r w:rsidRPr="00CB4E50">
        <w:rPr>
          <w:color w:val="1F497D" w:themeColor="text2"/>
          <w:sz w:val="20"/>
        </w:rPr>
        <w:t>(Tax Justice Network</w:t>
      </w:r>
      <w:r w:rsidR="00B422B5" w:rsidRPr="00CB4E50">
        <w:rPr>
          <w:color w:val="1F497D" w:themeColor="text2"/>
          <w:sz w:val="20"/>
        </w:rPr>
        <w:t xml:space="preserve"> Australia</w:t>
      </w:r>
      <w:r w:rsidR="006C278D">
        <w:rPr>
          <w:color w:val="1F497D" w:themeColor="text2"/>
          <w:sz w:val="20"/>
        </w:rPr>
        <w:t xml:space="preserve"> submission</w:t>
      </w:r>
      <w:r w:rsidRPr="00CB4E50">
        <w:rPr>
          <w:color w:val="1F497D" w:themeColor="text2"/>
          <w:sz w:val="20"/>
        </w:rPr>
        <w:t>, 2007, p. 7</w:t>
      </w:r>
      <w:r w:rsidR="005D6F39">
        <w:rPr>
          <w:color w:val="1F497D" w:themeColor="text2"/>
          <w:sz w:val="20"/>
        </w:rPr>
        <w:noBreakHyphen/>
      </w:r>
      <w:r w:rsidRPr="00CB4E50">
        <w:rPr>
          <w:color w:val="1F497D" w:themeColor="text2"/>
          <w:sz w:val="20"/>
        </w:rPr>
        <w:t>8)</w:t>
      </w:r>
      <w:r>
        <w:rPr>
          <w:color w:val="1F497D" w:themeColor="text2"/>
          <w:sz w:val="20"/>
        </w:rPr>
        <w:t>.</w:t>
      </w:r>
    </w:p>
    <w:p w14:paraId="190D03D5" w14:textId="6B80DB98" w:rsidR="00F77601" w:rsidRDefault="00830A3E" w:rsidP="00F77601">
      <w:r>
        <w:t xml:space="preserve">These claims are difficult to evaluate as accurate data </w:t>
      </w:r>
      <w:r w:rsidR="00650C49">
        <w:t xml:space="preserve">are not available </w:t>
      </w:r>
      <w:r>
        <w:t xml:space="preserve">on company tax payments </w:t>
      </w:r>
      <w:r w:rsidR="00AE233B">
        <w:t xml:space="preserve">that </w:t>
      </w:r>
      <w:r w:rsidR="00CA0C5C">
        <w:t>are</w:t>
      </w:r>
      <w:r w:rsidR="00AE233B">
        <w:t xml:space="preserve"> specifically attributable to </w:t>
      </w:r>
      <w:r>
        <w:t xml:space="preserve">the upstream oil and gas sector. </w:t>
      </w:r>
      <w:r w:rsidR="00F77601">
        <w:t>The ATO</w:t>
      </w:r>
      <w:r w:rsidR="005D6F39">
        <w:t>’</w:t>
      </w:r>
      <w:r w:rsidR="00F77601">
        <w:t xml:space="preserve">s </w:t>
      </w:r>
      <w:r w:rsidR="00F77601" w:rsidRPr="00A14DE5">
        <w:t xml:space="preserve">Taxation Statistics </w:t>
      </w:r>
      <w:r w:rsidR="00F77601">
        <w:t>includes company tax data from c</w:t>
      </w:r>
      <w:r w:rsidR="00F77601" w:rsidRPr="00A14DE5">
        <w:t xml:space="preserve">ompanies involved in </w:t>
      </w:r>
      <w:r w:rsidR="005D6F39">
        <w:t>‘</w:t>
      </w:r>
      <w:r w:rsidR="00F77601">
        <w:t xml:space="preserve">oil and gas </w:t>
      </w:r>
      <w:r w:rsidR="00F77601" w:rsidRPr="00A14DE5">
        <w:t>extraction</w:t>
      </w:r>
      <w:r w:rsidR="005D6F39">
        <w:t>’</w:t>
      </w:r>
      <w:r w:rsidR="00F77601" w:rsidRPr="00A14DE5">
        <w:t xml:space="preserve"> activit</w:t>
      </w:r>
      <w:r w:rsidR="0029133C">
        <w:t>ies</w:t>
      </w:r>
      <w:r w:rsidR="00F77601" w:rsidRPr="00A14DE5">
        <w:t xml:space="preserve"> in Australia. </w:t>
      </w:r>
      <w:r w:rsidR="00F77601">
        <w:t xml:space="preserve">However, the published </w:t>
      </w:r>
      <w:r w:rsidR="00F77601" w:rsidRPr="00A14DE5">
        <w:t xml:space="preserve">classifications are not always consistent over time and may not accurately reflect the main activity of a </w:t>
      </w:r>
      <w:r w:rsidR="00F77601">
        <w:t>company. For companies that are also involved in other activities, such as mining or petroleum refining and retailing, this may result in company tax payments being allocated to a different classification, or in company tax paid on other activities being recorded in the oil and gas extraction classification. Companies move in and out of this category frequently, further complicating the data.</w:t>
      </w:r>
    </w:p>
    <w:p w14:paraId="60C9FCE1" w14:textId="35FCD959" w:rsidR="00D22101" w:rsidRDefault="00A37BB8" w:rsidP="00830A3E">
      <w:r>
        <w:t>In March 2017, t</w:t>
      </w:r>
      <w:r w:rsidR="00D22101">
        <w:t>he ATO publicly released the tax performance data of companies with a direct or indirect interest in Australia</w:t>
      </w:r>
      <w:r w:rsidR="005D6F39">
        <w:t>’</w:t>
      </w:r>
      <w:r w:rsidR="00D22101">
        <w:t xml:space="preserve">s major offshore oil and gas projects. </w:t>
      </w:r>
      <w:r w:rsidR="006F230C">
        <w:t xml:space="preserve">However, the data </w:t>
      </w:r>
      <w:r>
        <w:t>do</w:t>
      </w:r>
      <w:r w:rsidR="006F230C">
        <w:t xml:space="preserve"> not </w:t>
      </w:r>
      <w:r>
        <w:t>just reflect</w:t>
      </w:r>
      <w:r w:rsidR="006F230C">
        <w:t xml:space="preserve"> </w:t>
      </w:r>
      <w:r w:rsidR="00A647F4">
        <w:t>the performance of the</w:t>
      </w:r>
      <w:r>
        <w:t>se</w:t>
      </w:r>
      <w:r w:rsidR="00A647F4">
        <w:t xml:space="preserve"> offshore projects as income tax collections are reported on a taxpayer basis, rather </w:t>
      </w:r>
      <w:r w:rsidR="00E03E04">
        <w:t xml:space="preserve">than on a project basis. </w:t>
      </w:r>
    </w:p>
    <w:p w14:paraId="16C0F087" w14:textId="52C1046C" w:rsidR="00D22101" w:rsidRDefault="00D22101" w:rsidP="00221C2A">
      <w:pPr>
        <w:pStyle w:val="TableMainHeading"/>
        <w:rPr>
          <w:bCs/>
        </w:rPr>
      </w:pPr>
      <w:r w:rsidRPr="007D4B54">
        <w:t xml:space="preserve">Table </w:t>
      </w:r>
      <w:r w:rsidR="00D53E64" w:rsidRPr="007D4B54">
        <w:t>2.2</w:t>
      </w:r>
      <w:r w:rsidR="00E03E04">
        <w:t xml:space="preserve"> </w:t>
      </w:r>
      <w:r w:rsidR="00455604" w:rsidRPr="00AE5BDF">
        <w:t>—</w:t>
      </w:r>
      <w:r w:rsidRPr="0089109F">
        <w:t xml:space="preserve"> Tax data for 2012 to 2016 income tax years</w:t>
      </w:r>
      <w:r w:rsidRPr="00FB32DD">
        <w:rPr>
          <w:rStyle w:val="FootnoteReference"/>
          <w:rFonts w:ascii="Arial" w:hAnsi="Arial"/>
          <w:b w:val="0"/>
          <w:color w:val="auto"/>
          <w:sz w:val="20"/>
        </w:rPr>
        <w:footnoteReference w:id="6"/>
      </w:r>
    </w:p>
    <w:tbl>
      <w:tblPr>
        <w:tblStyle w:val="LightList-Accent1"/>
        <w:tblW w:w="0" w:type="auto"/>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544"/>
        <w:gridCol w:w="567"/>
        <w:gridCol w:w="992"/>
        <w:gridCol w:w="993"/>
        <w:gridCol w:w="992"/>
        <w:gridCol w:w="992"/>
        <w:gridCol w:w="992"/>
      </w:tblGrid>
      <w:tr w:rsidR="00D22101" w:rsidRPr="00CE272D" w14:paraId="798C1C62" w14:textId="77777777" w:rsidTr="005137C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4F81BD" w:themeColor="accent1"/>
            </w:tcBorders>
            <w:shd w:val="clear" w:color="auto" w:fill="auto"/>
            <w:noWrap/>
            <w:hideMark/>
          </w:tcPr>
          <w:p w14:paraId="16B72E67" w14:textId="77777777" w:rsidR="00D22101" w:rsidRPr="005137C0" w:rsidRDefault="00D22101" w:rsidP="005137C0">
            <w:pPr>
              <w:pStyle w:val="TableColumnHeadingLeft"/>
              <w:jc w:val="right"/>
              <w:rPr>
                <w:b/>
              </w:rPr>
            </w:pPr>
          </w:p>
        </w:tc>
        <w:tc>
          <w:tcPr>
            <w:tcW w:w="567" w:type="dxa"/>
            <w:tcBorders>
              <w:top w:val="single" w:sz="4" w:space="0" w:color="4F81BD" w:themeColor="accent1"/>
              <w:bottom w:val="single" w:sz="4" w:space="0" w:color="4F81BD" w:themeColor="accent1"/>
            </w:tcBorders>
            <w:shd w:val="clear" w:color="auto" w:fill="auto"/>
          </w:tcPr>
          <w:p w14:paraId="0C7BE376" w14:textId="77777777" w:rsidR="00D22101" w:rsidRPr="005137C0" w:rsidRDefault="00D22101" w:rsidP="005137C0">
            <w:pPr>
              <w:pStyle w:val="TableColumnHeadingLeft"/>
              <w:jc w:val="right"/>
              <w:cnfStyle w:val="100000000000" w:firstRow="1" w:lastRow="0" w:firstColumn="0" w:lastColumn="0" w:oddVBand="0" w:evenVBand="0" w:oddHBand="0" w:evenHBand="0" w:firstRowFirstColumn="0" w:firstRowLastColumn="0" w:lastRowFirstColumn="0" w:lastRowLastColumn="0"/>
              <w:rPr>
                <w:b/>
              </w:rPr>
            </w:pPr>
          </w:p>
        </w:tc>
        <w:tc>
          <w:tcPr>
            <w:tcW w:w="992" w:type="dxa"/>
            <w:tcBorders>
              <w:top w:val="single" w:sz="4" w:space="0" w:color="4F81BD" w:themeColor="accent1"/>
              <w:bottom w:val="single" w:sz="4" w:space="0" w:color="4F81BD" w:themeColor="accent1"/>
            </w:tcBorders>
            <w:shd w:val="clear" w:color="auto" w:fill="auto"/>
            <w:noWrap/>
            <w:vAlign w:val="center"/>
            <w:hideMark/>
          </w:tcPr>
          <w:p w14:paraId="07D1E8A2" w14:textId="3883284C" w:rsidR="00D22101" w:rsidRPr="005137C0" w:rsidRDefault="00D22101" w:rsidP="005137C0">
            <w:pPr>
              <w:pStyle w:val="TableColumnHeadingLeft"/>
              <w:jc w:val="right"/>
              <w:cnfStyle w:val="100000000000" w:firstRow="1" w:lastRow="0" w:firstColumn="0" w:lastColumn="0" w:oddVBand="0" w:evenVBand="0" w:oddHBand="0" w:evenHBand="0" w:firstRowFirstColumn="0" w:firstRowLastColumn="0" w:lastRowFirstColumn="0" w:lastRowLastColumn="0"/>
              <w:rPr>
                <w:b/>
              </w:rPr>
            </w:pPr>
            <w:r w:rsidRPr="005137C0">
              <w:rPr>
                <w:b/>
              </w:rPr>
              <w:t>2011</w:t>
            </w:r>
            <w:r w:rsidR="005D6F39" w:rsidRPr="005137C0">
              <w:rPr>
                <w:b/>
              </w:rPr>
              <w:noBreakHyphen/>
            </w:r>
            <w:r w:rsidRPr="005137C0">
              <w:rPr>
                <w:b/>
              </w:rPr>
              <w:t>12</w:t>
            </w:r>
          </w:p>
        </w:tc>
        <w:tc>
          <w:tcPr>
            <w:tcW w:w="993" w:type="dxa"/>
            <w:tcBorders>
              <w:top w:val="single" w:sz="4" w:space="0" w:color="4F81BD" w:themeColor="accent1"/>
              <w:bottom w:val="single" w:sz="4" w:space="0" w:color="4F81BD" w:themeColor="accent1"/>
            </w:tcBorders>
            <w:shd w:val="clear" w:color="auto" w:fill="auto"/>
            <w:noWrap/>
            <w:vAlign w:val="center"/>
            <w:hideMark/>
          </w:tcPr>
          <w:p w14:paraId="1AD63C43" w14:textId="13916B96" w:rsidR="00D22101" w:rsidRPr="005137C0" w:rsidRDefault="00D22101" w:rsidP="005137C0">
            <w:pPr>
              <w:pStyle w:val="TableColumnHeadingLeft"/>
              <w:jc w:val="right"/>
              <w:cnfStyle w:val="100000000000" w:firstRow="1" w:lastRow="0" w:firstColumn="0" w:lastColumn="0" w:oddVBand="0" w:evenVBand="0" w:oddHBand="0" w:evenHBand="0" w:firstRowFirstColumn="0" w:firstRowLastColumn="0" w:lastRowFirstColumn="0" w:lastRowLastColumn="0"/>
              <w:rPr>
                <w:b/>
              </w:rPr>
            </w:pPr>
            <w:r w:rsidRPr="005137C0">
              <w:rPr>
                <w:b/>
              </w:rPr>
              <w:t>2012</w:t>
            </w:r>
            <w:r w:rsidR="005D6F39" w:rsidRPr="005137C0">
              <w:rPr>
                <w:b/>
              </w:rPr>
              <w:noBreakHyphen/>
            </w:r>
            <w:r w:rsidRPr="005137C0">
              <w:rPr>
                <w:b/>
              </w:rPr>
              <w:t>13</w:t>
            </w:r>
          </w:p>
        </w:tc>
        <w:tc>
          <w:tcPr>
            <w:tcW w:w="992" w:type="dxa"/>
            <w:tcBorders>
              <w:top w:val="single" w:sz="4" w:space="0" w:color="4F81BD" w:themeColor="accent1"/>
              <w:bottom w:val="single" w:sz="4" w:space="0" w:color="4F81BD" w:themeColor="accent1"/>
            </w:tcBorders>
            <w:shd w:val="clear" w:color="auto" w:fill="auto"/>
            <w:noWrap/>
            <w:vAlign w:val="center"/>
            <w:hideMark/>
          </w:tcPr>
          <w:p w14:paraId="27D28CAA" w14:textId="40939815" w:rsidR="00D22101" w:rsidRPr="005137C0" w:rsidRDefault="00D22101" w:rsidP="005137C0">
            <w:pPr>
              <w:pStyle w:val="TableColumnHeadingLeft"/>
              <w:jc w:val="right"/>
              <w:cnfStyle w:val="100000000000" w:firstRow="1" w:lastRow="0" w:firstColumn="0" w:lastColumn="0" w:oddVBand="0" w:evenVBand="0" w:oddHBand="0" w:evenHBand="0" w:firstRowFirstColumn="0" w:firstRowLastColumn="0" w:lastRowFirstColumn="0" w:lastRowLastColumn="0"/>
              <w:rPr>
                <w:b/>
              </w:rPr>
            </w:pPr>
            <w:r w:rsidRPr="005137C0">
              <w:rPr>
                <w:b/>
              </w:rPr>
              <w:t>2013</w:t>
            </w:r>
            <w:r w:rsidR="005D6F39" w:rsidRPr="005137C0">
              <w:rPr>
                <w:b/>
              </w:rPr>
              <w:noBreakHyphen/>
            </w:r>
            <w:r w:rsidRPr="005137C0">
              <w:rPr>
                <w:b/>
              </w:rPr>
              <w:t>14</w:t>
            </w:r>
          </w:p>
        </w:tc>
        <w:tc>
          <w:tcPr>
            <w:tcW w:w="992" w:type="dxa"/>
            <w:tcBorders>
              <w:top w:val="single" w:sz="4" w:space="0" w:color="4F81BD" w:themeColor="accent1"/>
              <w:bottom w:val="single" w:sz="4" w:space="0" w:color="4F81BD" w:themeColor="accent1"/>
            </w:tcBorders>
            <w:shd w:val="clear" w:color="auto" w:fill="auto"/>
            <w:noWrap/>
            <w:vAlign w:val="center"/>
            <w:hideMark/>
          </w:tcPr>
          <w:p w14:paraId="536B23AF" w14:textId="60FCFE1F" w:rsidR="00D22101" w:rsidRPr="005137C0" w:rsidRDefault="00D22101" w:rsidP="005137C0">
            <w:pPr>
              <w:pStyle w:val="TableColumnHeadingLeft"/>
              <w:jc w:val="right"/>
              <w:cnfStyle w:val="100000000000" w:firstRow="1" w:lastRow="0" w:firstColumn="0" w:lastColumn="0" w:oddVBand="0" w:evenVBand="0" w:oddHBand="0" w:evenHBand="0" w:firstRowFirstColumn="0" w:firstRowLastColumn="0" w:lastRowFirstColumn="0" w:lastRowLastColumn="0"/>
              <w:rPr>
                <w:b/>
              </w:rPr>
            </w:pPr>
            <w:r w:rsidRPr="005137C0">
              <w:rPr>
                <w:b/>
              </w:rPr>
              <w:t>2014</w:t>
            </w:r>
            <w:r w:rsidR="005D6F39" w:rsidRPr="005137C0">
              <w:rPr>
                <w:b/>
              </w:rPr>
              <w:noBreakHyphen/>
            </w:r>
            <w:r w:rsidRPr="005137C0">
              <w:rPr>
                <w:b/>
              </w:rPr>
              <w:t>15</w:t>
            </w:r>
          </w:p>
        </w:tc>
        <w:tc>
          <w:tcPr>
            <w:tcW w:w="992" w:type="dxa"/>
            <w:tcBorders>
              <w:top w:val="single" w:sz="4" w:space="0" w:color="4F81BD" w:themeColor="accent1"/>
              <w:bottom w:val="single" w:sz="4" w:space="0" w:color="4F81BD" w:themeColor="accent1"/>
            </w:tcBorders>
            <w:shd w:val="clear" w:color="auto" w:fill="auto"/>
            <w:vAlign w:val="center"/>
            <w:hideMark/>
          </w:tcPr>
          <w:p w14:paraId="5044C6D1" w14:textId="7A43FE8B" w:rsidR="00D22101" w:rsidRPr="005137C0" w:rsidRDefault="00D22101" w:rsidP="005137C0">
            <w:pPr>
              <w:pStyle w:val="TableColumnHeadingLeft"/>
              <w:jc w:val="right"/>
              <w:cnfStyle w:val="100000000000" w:firstRow="1" w:lastRow="0" w:firstColumn="0" w:lastColumn="0" w:oddVBand="0" w:evenVBand="0" w:oddHBand="0" w:evenHBand="0" w:firstRowFirstColumn="0" w:firstRowLastColumn="0" w:lastRowFirstColumn="0" w:lastRowLastColumn="0"/>
              <w:rPr>
                <w:b/>
              </w:rPr>
            </w:pPr>
            <w:r w:rsidRPr="005137C0">
              <w:rPr>
                <w:b/>
              </w:rPr>
              <w:t>2015</w:t>
            </w:r>
            <w:r w:rsidR="005D6F39" w:rsidRPr="005137C0">
              <w:rPr>
                <w:b/>
              </w:rPr>
              <w:noBreakHyphen/>
            </w:r>
            <w:r w:rsidRPr="005137C0">
              <w:rPr>
                <w:b/>
              </w:rPr>
              <w:t>16</w:t>
            </w:r>
            <w:r w:rsidRPr="005137C0">
              <w:rPr>
                <w:rStyle w:val="FootnoteReference"/>
                <w:b/>
                <w:vertAlign w:val="baseline"/>
              </w:rPr>
              <w:footnoteReference w:id="7"/>
            </w:r>
          </w:p>
        </w:tc>
      </w:tr>
      <w:tr w:rsidR="00D22101" w:rsidRPr="00CE272D" w14:paraId="15D363A4" w14:textId="77777777" w:rsidTr="005137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auto"/>
            <w:noWrap/>
            <w:vAlign w:val="center"/>
          </w:tcPr>
          <w:p w14:paraId="0F29E15A" w14:textId="77777777" w:rsidR="00D22101" w:rsidRPr="005137C0" w:rsidRDefault="00D22101" w:rsidP="005137C0">
            <w:pPr>
              <w:pStyle w:val="TableColumnHeadingLeft"/>
              <w:rPr>
                <w:b/>
                <w:lang w:eastAsia="en-AU"/>
              </w:rPr>
            </w:pPr>
            <w:r w:rsidRPr="005137C0">
              <w:rPr>
                <w:b/>
                <w:lang w:eastAsia="en-AU"/>
              </w:rPr>
              <w:t>Number of economic groups</w:t>
            </w:r>
          </w:p>
        </w:tc>
        <w:tc>
          <w:tcPr>
            <w:tcW w:w="567" w:type="dxa"/>
            <w:tcBorders>
              <w:top w:val="single" w:sz="4" w:space="0" w:color="4F81BD" w:themeColor="accent1"/>
              <w:bottom w:val="none" w:sz="0" w:space="0" w:color="auto"/>
            </w:tcBorders>
            <w:shd w:val="clear" w:color="auto" w:fill="auto"/>
            <w:vAlign w:val="center"/>
          </w:tcPr>
          <w:p w14:paraId="54B6F603"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CA0C5C">
              <w:t>No.</w:t>
            </w:r>
          </w:p>
        </w:tc>
        <w:tc>
          <w:tcPr>
            <w:tcW w:w="992" w:type="dxa"/>
            <w:tcBorders>
              <w:top w:val="single" w:sz="4" w:space="0" w:color="4F81BD" w:themeColor="accent1"/>
              <w:bottom w:val="none" w:sz="0" w:space="0" w:color="auto"/>
            </w:tcBorders>
            <w:shd w:val="clear" w:color="auto" w:fill="auto"/>
            <w:noWrap/>
            <w:vAlign w:val="center"/>
          </w:tcPr>
          <w:p w14:paraId="0A08B366"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32</w:t>
            </w:r>
          </w:p>
        </w:tc>
        <w:tc>
          <w:tcPr>
            <w:tcW w:w="993" w:type="dxa"/>
            <w:tcBorders>
              <w:top w:val="single" w:sz="4" w:space="0" w:color="4F81BD" w:themeColor="accent1"/>
              <w:bottom w:val="none" w:sz="0" w:space="0" w:color="auto"/>
            </w:tcBorders>
            <w:shd w:val="clear" w:color="auto" w:fill="auto"/>
            <w:noWrap/>
            <w:vAlign w:val="center"/>
          </w:tcPr>
          <w:p w14:paraId="0AD70F86"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32</w:t>
            </w:r>
          </w:p>
        </w:tc>
        <w:tc>
          <w:tcPr>
            <w:tcW w:w="992" w:type="dxa"/>
            <w:tcBorders>
              <w:top w:val="single" w:sz="4" w:space="0" w:color="4F81BD" w:themeColor="accent1"/>
              <w:bottom w:val="none" w:sz="0" w:space="0" w:color="auto"/>
            </w:tcBorders>
            <w:shd w:val="clear" w:color="auto" w:fill="auto"/>
            <w:noWrap/>
            <w:vAlign w:val="center"/>
          </w:tcPr>
          <w:p w14:paraId="777B3562"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32</w:t>
            </w:r>
          </w:p>
        </w:tc>
        <w:tc>
          <w:tcPr>
            <w:tcW w:w="992" w:type="dxa"/>
            <w:tcBorders>
              <w:top w:val="single" w:sz="4" w:space="0" w:color="4F81BD" w:themeColor="accent1"/>
              <w:bottom w:val="none" w:sz="0" w:space="0" w:color="auto"/>
            </w:tcBorders>
            <w:shd w:val="clear" w:color="auto" w:fill="auto"/>
            <w:noWrap/>
            <w:vAlign w:val="center"/>
          </w:tcPr>
          <w:p w14:paraId="4CBBE929"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32</w:t>
            </w:r>
          </w:p>
        </w:tc>
        <w:tc>
          <w:tcPr>
            <w:tcW w:w="992" w:type="dxa"/>
            <w:tcBorders>
              <w:top w:val="single" w:sz="4" w:space="0" w:color="4F81BD" w:themeColor="accent1"/>
              <w:bottom w:val="none" w:sz="0" w:space="0" w:color="auto"/>
              <w:right w:val="none" w:sz="0" w:space="0" w:color="auto"/>
            </w:tcBorders>
            <w:shd w:val="clear" w:color="auto" w:fill="auto"/>
            <w:noWrap/>
            <w:vAlign w:val="center"/>
          </w:tcPr>
          <w:p w14:paraId="5FECADC6"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32</w:t>
            </w:r>
          </w:p>
        </w:tc>
      </w:tr>
      <w:tr w:rsidR="00D22101" w:rsidRPr="00CE272D" w14:paraId="7D02EF2D" w14:textId="77777777" w:rsidTr="005137C0">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vAlign w:val="center"/>
          </w:tcPr>
          <w:p w14:paraId="69A254D4" w14:textId="77777777" w:rsidR="00D22101" w:rsidRPr="005137C0" w:rsidRDefault="00D22101" w:rsidP="005137C0">
            <w:pPr>
              <w:pStyle w:val="TableColumnHeadingLeft"/>
              <w:rPr>
                <w:b/>
                <w:lang w:eastAsia="en-AU"/>
              </w:rPr>
            </w:pPr>
            <w:r w:rsidRPr="005137C0">
              <w:rPr>
                <w:b/>
                <w:lang w:eastAsia="en-AU"/>
              </w:rPr>
              <w:t>Net profit / loss per year</w:t>
            </w:r>
            <w:r w:rsidRPr="005137C0">
              <w:rPr>
                <w:rStyle w:val="FootnoteReference"/>
                <w:rFonts w:eastAsia="Times New Roman" w:cs="Arial"/>
                <w:b/>
                <w:color w:val="auto"/>
                <w:sz w:val="20"/>
                <w:lang w:eastAsia="en-AU"/>
              </w:rPr>
              <w:footnoteReference w:id="8"/>
            </w:r>
          </w:p>
        </w:tc>
        <w:tc>
          <w:tcPr>
            <w:tcW w:w="567" w:type="dxa"/>
            <w:shd w:val="clear" w:color="auto" w:fill="auto"/>
            <w:vAlign w:val="center"/>
          </w:tcPr>
          <w:p w14:paraId="139D4972" w14:textId="77777777" w:rsidR="00D22101"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D55A6A">
              <w:rPr>
                <w:lang w:eastAsia="en-AU"/>
              </w:rPr>
              <w:t>$m</w:t>
            </w:r>
          </w:p>
        </w:tc>
        <w:tc>
          <w:tcPr>
            <w:tcW w:w="992" w:type="dxa"/>
            <w:shd w:val="clear" w:color="auto" w:fill="auto"/>
            <w:noWrap/>
            <w:vAlign w:val="bottom"/>
          </w:tcPr>
          <w:p w14:paraId="14175AA1"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t>9,348</w:t>
            </w:r>
          </w:p>
        </w:tc>
        <w:tc>
          <w:tcPr>
            <w:tcW w:w="993" w:type="dxa"/>
            <w:shd w:val="clear" w:color="auto" w:fill="auto"/>
            <w:noWrap/>
            <w:vAlign w:val="bottom"/>
          </w:tcPr>
          <w:p w14:paraId="5EFC9F83"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t>10,825</w:t>
            </w:r>
            <w:r w:rsidRPr="00FA352E">
              <w:t xml:space="preserve"> </w:t>
            </w:r>
          </w:p>
        </w:tc>
        <w:tc>
          <w:tcPr>
            <w:tcW w:w="992" w:type="dxa"/>
            <w:shd w:val="clear" w:color="auto" w:fill="auto"/>
            <w:noWrap/>
            <w:vAlign w:val="bottom"/>
          </w:tcPr>
          <w:p w14:paraId="1C805A4E"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t>6,692</w:t>
            </w:r>
          </w:p>
        </w:tc>
        <w:tc>
          <w:tcPr>
            <w:tcW w:w="992" w:type="dxa"/>
            <w:shd w:val="clear" w:color="auto" w:fill="auto"/>
            <w:noWrap/>
            <w:vAlign w:val="bottom"/>
          </w:tcPr>
          <w:p w14:paraId="03152387" w14:textId="300B9430" w:rsidR="00D22101" w:rsidRPr="00FA352E" w:rsidRDefault="005D6F39" w:rsidP="005137C0">
            <w:pPr>
              <w:pStyle w:val="TableTextRight"/>
              <w:cnfStyle w:val="000000000000" w:firstRow="0" w:lastRow="0" w:firstColumn="0" w:lastColumn="0" w:oddVBand="0" w:evenVBand="0" w:oddHBand="0" w:evenHBand="0" w:firstRowFirstColumn="0" w:firstRowLastColumn="0" w:lastRowFirstColumn="0" w:lastRowLastColumn="0"/>
            </w:pPr>
            <w:r>
              <w:noBreakHyphen/>
            </w:r>
            <w:r w:rsidR="00D22101">
              <w:t>11,140</w:t>
            </w:r>
          </w:p>
        </w:tc>
        <w:tc>
          <w:tcPr>
            <w:tcW w:w="992" w:type="dxa"/>
            <w:shd w:val="clear" w:color="auto" w:fill="auto"/>
            <w:noWrap/>
            <w:vAlign w:val="bottom"/>
          </w:tcPr>
          <w:p w14:paraId="5D00A691" w14:textId="1C7C470B" w:rsidR="00D22101" w:rsidRPr="00FA352E" w:rsidRDefault="005D6F39" w:rsidP="005137C0">
            <w:pPr>
              <w:pStyle w:val="TableTextRight"/>
              <w:cnfStyle w:val="000000000000" w:firstRow="0" w:lastRow="0" w:firstColumn="0" w:lastColumn="0" w:oddVBand="0" w:evenVBand="0" w:oddHBand="0" w:evenHBand="0" w:firstRowFirstColumn="0" w:firstRowLastColumn="0" w:lastRowFirstColumn="0" w:lastRowLastColumn="0"/>
            </w:pPr>
            <w:r>
              <w:noBreakHyphen/>
            </w:r>
            <w:r w:rsidR="00D22101">
              <w:t>11,749</w:t>
            </w:r>
          </w:p>
        </w:tc>
      </w:tr>
      <w:tr w:rsidR="00D22101" w:rsidRPr="00E87153" w14:paraId="0DE91DD3" w14:textId="77777777" w:rsidTr="005137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auto"/>
            <w:noWrap/>
            <w:vAlign w:val="center"/>
          </w:tcPr>
          <w:p w14:paraId="749E94C5" w14:textId="15ACB771" w:rsidR="00D22101" w:rsidRPr="005137C0" w:rsidRDefault="001F66E3" w:rsidP="005137C0">
            <w:pPr>
              <w:pStyle w:val="TableColumnHeadingLeft"/>
              <w:rPr>
                <w:b/>
                <w:i/>
                <w:lang w:eastAsia="en-AU"/>
              </w:rPr>
            </w:pPr>
            <w:r w:rsidRPr="005137C0">
              <w:rPr>
                <w:b/>
                <w:i/>
                <w:lang w:eastAsia="en-AU"/>
              </w:rPr>
              <w:tab/>
            </w:r>
            <w:r w:rsidR="00D22101" w:rsidRPr="005137C0">
              <w:rPr>
                <w:b/>
                <w:i/>
                <w:lang w:eastAsia="en-AU"/>
              </w:rPr>
              <w:t>Profit reported</w:t>
            </w:r>
          </w:p>
        </w:tc>
        <w:tc>
          <w:tcPr>
            <w:tcW w:w="567" w:type="dxa"/>
            <w:tcBorders>
              <w:top w:val="none" w:sz="0" w:space="0" w:color="auto"/>
              <w:bottom w:val="none" w:sz="0" w:space="0" w:color="auto"/>
            </w:tcBorders>
            <w:shd w:val="clear" w:color="auto" w:fill="auto"/>
            <w:vAlign w:val="center"/>
          </w:tcPr>
          <w:p w14:paraId="02BE3A56"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CA0C5C">
              <w:t>$m</w:t>
            </w:r>
          </w:p>
        </w:tc>
        <w:tc>
          <w:tcPr>
            <w:tcW w:w="992" w:type="dxa"/>
            <w:tcBorders>
              <w:top w:val="none" w:sz="0" w:space="0" w:color="auto"/>
              <w:bottom w:val="none" w:sz="0" w:space="0" w:color="auto"/>
            </w:tcBorders>
            <w:shd w:val="clear" w:color="auto" w:fill="auto"/>
            <w:noWrap/>
            <w:vAlign w:val="bottom"/>
          </w:tcPr>
          <w:p w14:paraId="56D0B6F4"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i/>
              </w:rPr>
            </w:pPr>
            <w:r w:rsidRPr="00E87153">
              <w:rPr>
                <w:i/>
              </w:rPr>
              <w:t>10,603</w:t>
            </w:r>
          </w:p>
        </w:tc>
        <w:tc>
          <w:tcPr>
            <w:tcW w:w="993" w:type="dxa"/>
            <w:tcBorders>
              <w:top w:val="none" w:sz="0" w:space="0" w:color="auto"/>
              <w:bottom w:val="none" w:sz="0" w:space="0" w:color="auto"/>
            </w:tcBorders>
            <w:shd w:val="clear" w:color="auto" w:fill="auto"/>
            <w:noWrap/>
            <w:vAlign w:val="bottom"/>
          </w:tcPr>
          <w:p w14:paraId="200793F3"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i/>
              </w:rPr>
            </w:pPr>
            <w:r w:rsidRPr="00E87153">
              <w:rPr>
                <w:i/>
              </w:rPr>
              <w:t>12,760</w:t>
            </w:r>
          </w:p>
        </w:tc>
        <w:tc>
          <w:tcPr>
            <w:tcW w:w="992" w:type="dxa"/>
            <w:tcBorders>
              <w:top w:val="none" w:sz="0" w:space="0" w:color="auto"/>
              <w:bottom w:val="none" w:sz="0" w:space="0" w:color="auto"/>
            </w:tcBorders>
            <w:shd w:val="clear" w:color="auto" w:fill="auto"/>
            <w:noWrap/>
            <w:vAlign w:val="bottom"/>
          </w:tcPr>
          <w:p w14:paraId="5DC38B92"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i/>
              </w:rPr>
            </w:pPr>
            <w:r w:rsidRPr="00E87153">
              <w:rPr>
                <w:i/>
              </w:rPr>
              <w:t>9,420</w:t>
            </w:r>
          </w:p>
        </w:tc>
        <w:tc>
          <w:tcPr>
            <w:tcW w:w="992" w:type="dxa"/>
            <w:tcBorders>
              <w:top w:val="none" w:sz="0" w:space="0" w:color="auto"/>
              <w:bottom w:val="none" w:sz="0" w:space="0" w:color="auto"/>
            </w:tcBorders>
            <w:shd w:val="clear" w:color="auto" w:fill="auto"/>
            <w:noWrap/>
            <w:vAlign w:val="bottom"/>
          </w:tcPr>
          <w:p w14:paraId="31CE4605"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i/>
              </w:rPr>
            </w:pPr>
            <w:r w:rsidRPr="00E87153">
              <w:rPr>
                <w:i/>
              </w:rPr>
              <w:t>7,409</w:t>
            </w:r>
          </w:p>
        </w:tc>
        <w:tc>
          <w:tcPr>
            <w:tcW w:w="992" w:type="dxa"/>
            <w:tcBorders>
              <w:top w:val="none" w:sz="0" w:space="0" w:color="auto"/>
              <w:bottom w:val="none" w:sz="0" w:space="0" w:color="auto"/>
              <w:right w:val="none" w:sz="0" w:space="0" w:color="auto"/>
            </w:tcBorders>
            <w:shd w:val="clear" w:color="auto" w:fill="auto"/>
            <w:noWrap/>
            <w:vAlign w:val="bottom"/>
          </w:tcPr>
          <w:p w14:paraId="5160E975"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rPr>
                <w:i/>
              </w:rPr>
            </w:pPr>
            <w:r w:rsidRPr="00E87153">
              <w:rPr>
                <w:i/>
              </w:rPr>
              <w:t>4,750</w:t>
            </w:r>
          </w:p>
        </w:tc>
      </w:tr>
      <w:tr w:rsidR="00D22101" w:rsidRPr="00E87153" w14:paraId="0E3FEE1F" w14:textId="77777777" w:rsidTr="005137C0">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vAlign w:val="center"/>
          </w:tcPr>
          <w:p w14:paraId="4329E5D8" w14:textId="4565509D" w:rsidR="00D22101" w:rsidRPr="005137C0" w:rsidRDefault="001F66E3" w:rsidP="005137C0">
            <w:pPr>
              <w:pStyle w:val="TableColumnHeadingLeft"/>
              <w:rPr>
                <w:b/>
                <w:i/>
                <w:lang w:eastAsia="en-AU"/>
              </w:rPr>
            </w:pPr>
            <w:r w:rsidRPr="005137C0">
              <w:rPr>
                <w:b/>
                <w:i/>
                <w:lang w:eastAsia="en-AU"/>
              </w:rPr>
              <w:tab/>
            </w:r>
            <w:r w:rsidR="00D22101" w:rsidRPr="005137C0">
              <w:rPr>
                <w:b/>
                <w:i/>
                <w:lang w:eastAsia="en-AU"/>
              </w:rPr>
              <w:t>Loss reported</w:t>
            </w:r>
          </w:p>
        </w:tc>
        <w:tc>
          <w:tcPr>
            <w:tcW w:w="567" w:type="dxa"/>
            <w:shd w:val="clear" w:color="auto" w:fill="auto"/>
            <w:vAlign w:val="center"/>
          </w:tcPr>
          <w:p w14:paraId="3963602B"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CA0C5C">
              <w:t>$m</w:t>
            </w:r>
          </w:p>
        </w:tc>
        <w:tc>
          <w:tcPr>
            <w:tcW w:w="992" w:type="dxa"/>
            <w:shd w:val="clear" w:color="auto" w:fill="auto"/>
            <w:noWrap/>
            <w:vAlign w:val="bottom"/>
          </w:tcPr>
          <w:p w14:paraId="346D1D26" w14:textId="2C2D3238" w:rsidR="00D22101" w:rsidRPr="00E87153" w:rsidRDefault="005D6F39"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noBreakHyphen/>
            </w:r>
            <w:r w:rsidR="00D22101" w:rsidRPr="00E87153">
              <w:rPr>
                <w:i/>
              </w:rPr>
              <w:t xml:space="preserve">1,255 </w:t>
            </w:r>
          </w:p>
        </w:tc>
        <w:tc>
          <w:tcPr>
            <w:tcW w:w="993" w:type="dxa"/>
            <w:shd w:val="clear" w:color="auto" w:fill="auto"/>
            <w:noWrap/>
            <w:vAlign w:val="bottom"/>
          </w:tcPr>
          <w:p w14:paraId="5904183D" w14:textId="723ADDB4" w:rsidR="00D22101" w:rsidRPr="00E87153" w:rsidRDefault="005D6F39"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noBreakHyphen/>
            </w:r>
            <w:r w:rsidR="00D22101" w:rsidRPr="00E87153">
              <w:rPr>
                <w:i/>
              </w:rPr>
              <w:t>1,935</w:t>
            </w:r>
          </w:p>
        </w:tc>
        <w:tc>
          <w:tcPr>
            <w:tcW w:w="992" w:type="dxa"/>
            <w:shd w:val="clear" w:color="auto" w:fill="auto"/>
            <w:noWrap/>
            <w:vAlign w:val="bottom"/>
          </w:tcPr>
          <w:p w14:paraId="0D22C969" w14:textId="6E648562" w:rsidR="00D22101" w:rsidRPr="00E87153" w:rsidRDefault="005D6F39"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noBreakHyphen/>
            </w:r>
            <w:r w:rsidR="00D22101" w:rsidRPr="00E87153">
              <w:rPr>
                <w:i/>
              </w:rPr>
              <w:t>2,728</w:t>
            </w:r>
          </w:p>
        </w:tc>
        <w:tc>
          <w:tcPr>
            <w:tcW w:w="992" w:type="dxa"/>
            <w:shd w:val="clear" w:color="auto" w:fill="auto"/>
            <w:noWrap/>
            <w:vAlign w:val="bottom"/>
          </w:tcPr>
          <w:p w14:paraId="0A956E2E" w14:textId="2A947B93" w:rsidR="00D22101" w:rsidRPr="00E87153" w:rsidRDefault="005D6F39"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noBreakHyphen/>
            </w:r>
            <w:r w:rsidR="00D22101" w:rsidRPr="00E87153">
              <w:rPr>
                <w:i/>
              </w:rPr>
              <w:t>18,550</w:t>
            </w:r>
          </w:p>
        </w:tc>
        <w:tc>
          <w:tcPr>
            <w:tcW w:w="992" w:type="dxa"/>
            <w:shd w:val="clear" w:color="auto" w:fill="auto"/>
            <w:noWrap/>
            <w:vAlign w:val="bottom"/>
          </w:tcPr>
          <w:p w14:paraId="21B0948F" w14:textId="7529DC19" w:rsidR="00D22101" w:rsidRPr="00E87153" w:rsidRDefault="005D6F39"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noBreakHyphen/>
            </w:r>
            <w:r w:rsidR="00D22101" w:rsidRPr="00E87153">
              <w:rPr>
                <w:i/>
              </w:rPr>
              <w:t>16,499</w:t>
            </w:r>
          </w:p>
        </w:tc>
      </w:tr>
      <w:tr w:rsidR="00D22101" w:rsidRPr="00CE272D" w14:paraId="4DCB2686" w14:textId="77777777" w:rsidTr="005137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auto"/>
            <w:noWrap/>
            <w:vAlign w:val="center"/>
          </w:tcPr>
          <w:p w14:paraId="459EC945" w14:textId="77777777" w:rsidR="00D22101" w:rsidRPr="005137C0" w:rsidRDefault="00D22101" w:rsidP="005137C0">
            <w:pPr>
              <w:pStyle w:val="TableColumnHeadingLeft"/>
              <w:rPr>
                <w:b/>
                <w:lang w:eastAsia="en-AU"/>
              </w:rPr>
            </w:pPr>
            <w:r w:rsidRPr="005137C0">
              <w:rPr>
                <w:b/>
                <w:lang w:eastAsia="en-AU"/>
              </w:rPr>
              <w:t>Net Taxable Income</w:t>
            </w:r>
          </w:p>
        </w:tc>
        <w:tc>
          <w:tcPr>
            <w:tcW w:w="567" w:type="dxa"/>
            <w:tcBorders>
              <w:top w:val="none" w:sz="0" w:space="0" w:color="auto"/>
              <w:bottom w:val="none" w:sz="0" w:space="0" w:color="auto"/>
            </w:tcBorders>
            <w:shd w:val="clear" w:color="auto" w:fill="auto"/>
            <w:vAlign w:val="center"/>
          </w:tcPr>
          <w:p w14:paraId="779C23C5"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CA0C5C">
              <w:t>$m</w:t>
            </w:r>
          </w:p>
        </w:tc>
        <w:tc>
          <w:tcPr>
            <w:tcW w:w="992" w:type="dxa"/>
            <w:tcBorders>
              <w:top w:val="none" w:sz="0" w:space="0" w:color="auto"/>
              <w:bottom w:val="none" w:sz="0" w:space="0" w:color="auto"/>
            </w:tcBorders>
            <w:shd w:val="clear" w:color="auto" w:fill="auto"/>
            <w:noWrap/>
            <w:vAlign w:val="bottom"/>
          </w:tcPr>
          <w:p w14:paraId="3C153640"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4,189</w:t>
            </w:r>
          </w:p>
        </w:tc>
        <w:tc>
          <w:tcPr>
            <w:tcW w:w="993" w:type="dxa"/>
            <w:tcBorders>
              <w:top w:val="none" w:sz="0" w:space="0" w:color="auto"/>
              <w:bottom w:val="none" w:sz="0" w:space="0" w:color="auto"/>
            </w:tcBorders>
            <w:shd w:val="clear" w:color="auto" w:fill="auto"/>
            <w:noWrap/>
            <w:vAlign w:val="bottom"/>
          </w:tcPr>
          <w:p w14:paraId="14CF0E7E"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6,982</w:t>
            </w:r>
          </w:p>
        </w:tc>
        <w:tc>
          <w:tcPr>
            <w:tcW w:w="992" w:type="dxa"/>
            <w:tcBorders>
              <w:top w:val="none" w:sz="0" w:space="0" w:color="auto"/>
              <w:bottom w:val="none" w:sz="0" w:space="0" w:color="auto"/>
            </w:tcBorders>
            <w:shd w:val="clear" w:color="auto" w:fill="auto"/>
            <w:noWrap/>
            <w:vAlign w:val="bottom"/>
          </w:tcPr>
          <w:p w14:paraId="666BB80F"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1,880</w:t>
            </w:r>
          </w:p>
        </w:tc>
        <w:tc>
          <w:tcPr>
            <w:tcW w:w="992" w:type="dxa"/>
            <w:tcBorders>
              <w:top w:val="none" w:sz="0" w:space="0" w:color="auto"/>
              <w:bottom w:val="none" w:sz="0" w:space="0" w:color="auto"/>
            </w:tcBorders>
            <w:shd w:val="clear" w:color="auto" w:fill="auto"/>
            <w:noWrap/>
            <w:vAlign w:val="bottom"/>
          </w:tcPr>
          <w:p w14:paraId="4D8111CE" w14:textId="76F8F3DE" w:rsidR="00D22101" w:rsidRPr="00FA352E" w:rsidRDefault="005D6F39" w:rsidP="005137C0">
            <w:pPr>
              <w:pStyle w:val="TableTextRight"/>
              <w:cnfStyle w:val="000000100000" w:firstRow="0" w:lastRow="0" w:firstColumn="0" w:lastColumn="0" w:oddVBand="0" w:evenVBand="0" w:oddHBand="1" w:evenHBand="0" w:firstRowFirstColumn="0" w:firstRowLastColumn="0" w:lastRowFirstColumn="0" w:lastRowLastColumn="0"/>
            </w:pPr>
            <w:r>
              <w:noBreakHyphen/>
            </w:r>
            <w:r w:rsidR="00D22101">
              <w:t>304</w:t>
            </w:r>
          </w:p>
        </w:tc>
        <w:tc>
          <w:tcPr>
            <w:tcW w:w="992" w:type="dxa"/>
            <w:tcBorders>
              <w:top w:val="none" w:sz="0" w:space="0" w:color="auto"/>
              <w:bottom w:val="none" w:sz="0" w:space="0" w:color="auto"/>
              <w:right w:val="none" w:sz="0" w:space="0" w:color="auto"/>
            </w:tcBorders>
            <w:shd w:val="clear" w:color="auto" w:fill="auto"/>
            <w:noWrap/>
            <w:vAlign w:val="bottom"/>
          </w:tcPr>
          <w:p w14:paraId="6B94FD6D" w14:textId="5A81E0E9" w:rsidR="00D22101" w:rsidRPr="00FA352E" w:rsidRDefault="005D6F39" w:rsidP="005137C0">
            <w:pPr>
              <w:pStyle w:val="TableTextRight"/>
              <w:cnfStyle w:val="000000100000" w:firstRow="0" w:lastRow="0" w:firstColumn="0" w:lastColumn="0" w:oddVBand="0" w:evenVBand="0" w:oddHBand="1" w:evenHBand="0" w:firstRowFirstColumn="0" w:firstRowLastColumn="0" w:lastRowFirstColumn="0" w:lastRowLastColumn="0"/>
            </w:pPr>
            <w:r>
              <w:noBreakHyphen/>
            </w:r>
            <w:r w:rsidR="00D22101">
              <w:t>7,419</w:t>
            </w:r>
          </w:p>
        </w:tc>
      </w:tr>
      <w:tr w:rsidR="00D22101" w:rsidRPr="00E87153" w14:paraId="7753DDFD" w14:textId="77777777" w:rsidTr="005137C0">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vAlign w:val="center"/>
          </w:tcPr>
          <w:p w14:paraId="0591BA20" w14:textId="0D12CEF5" w:rsidR="00D22101" w:rsidRPr="005137C0" w:rsidRDefault="001F66E3" w:rsidP="005137C0">
            <w:pPr>
              <w:pStyle w:val="TableColumnHeadingLeft"/>
              <w:rPr>
                <w:b/>
                <w:i/>
                <w:lang w:eastAsia="en-AU"/>
              </w:rPr>
            </w:pPr>
            <w:r w:rsidRPr="005137C0">
              <w:rPr>
                <w:b/>
                <w:i/>
                <w:lang w:eastAsia="en-AU"/>
              </w:rPr>
              <w:tab/>
            </w:r>
            <w:r w:rsidR="00D22101" w:rsidRPr="005137C0">
              <w:rPr>
                <w:b/>
                <w:i/>
                <w:lang w:eastAsia="en-AU"/>
              </w:rPr>
              <w:t xml:space="preserve">Taxable income </w:t>
            </w:r>
            <w:r w:rsidRPr="005137C0">
              <w:rPr>
                <w:b/>
                <w:i/>
                <w:lang w:eastAsia="en-AU"/>
              </w:rPr>
              <w:tab/>
            </w:r>
            <w:r w:rsidR="00D22101" w:rsidRPr="005137C0">
              <w:rPr>
                <w:b/>
                <w:i/>
                <w:lang w:eastAsia="en-AU"/>
              </w:rPr>
              <w:t xml:space="preserve">reported </w:t>
            </w:r>
          </w:p>
        </w:tc>
        <w:tc>
          <w:tcPr>
            <w:tcW w:w="567" w:type="dxa"/>
            <w:shd w:val="clear" w:color="auto" w:fill="auto"/>
            <w:vAlign w:val="center"/>
          </w:tcPr>
          <w:p w14:paraId="429E1020"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CA0C5C">
              <w:t>$m</w:t>
            </w:r>
          </w:p>
        </w:tc>
        <w:tc>
          <w:tcPr>
            <w:tcW w:w="992" w:type="dxa"/>
            <w:shd w:val="clear" w:color="auto" w:fill="auto"/>
            <w:noWrap/>
            <w:vAlign w:val="bottom"/>
          </w:tcPr>
          <w:p w14:paraId="44DD85CC"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t>6,417</w:t>
            </w:r>
          </w:p>
        </w:tc>
        <w:tc>
          <w:tcPr>
            <w:tcW w:w="993" w:type="dxa"/>
            <w:shd w:val="clear" w:color="auto" w:fill="auto"/>
            <w:noWrap/>
            <w:vAlign w:val="bottom"/>
          </w:tcPr>
          <w:p w14:paraId="0162CBB7"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t>8,645</w:t>
            </w:r>
          </w:p>
        </w:tc>
        <w:tc>
          <w:tcPr>
            <w:tcW w:w="992" w:type="dxa"/>
            <w:shd w:val="clear" w:color="auto" w:fill="auto"/>
            <w:noWrap/>
            <w:vAlign w:val="bottom"/>
          </w:tcPr>
          <w:p w14:paraId="462DCE79"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t>5,508</w:t>
            </w:r>
          </w:p>
        </w:tc>
        <w:tc>
          <w:tcPr>
            <w:tcW w:w="992" w:type="dxa"/>
            <w:shd w:val="clear" w:color="auto" w:fill="auto"/>
            <w:noWrap/>
            <w:vAlign w:val="bottom"/>
          </w:tcPr>
          <w:p w14:paraId="6656CB20"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t>6,931</w:t>
            </w:r>
          </w:p>
        </w:tc>
        <w:tc>
          <w:tcPr>
            <w:tcW w:w="992" w:type="dxa"/>
            <w:shd w:val="clear" w:color="auto" w:fill="auto"/>
            <w:noWrap/>
            <w:vAlign w:val="bottom"/>
          </w:tcPr>
          <w:p w14:paraId="2ABB87C2" w14:textId="77777777" w:rsidR="00D22101" w:rsidRPr="00E87153" w:rsidRDefault="00D22101" w:rsidP="005137C0">
            <w:pPr>
              <w:pStyle w:val="TableTextRight"/>
              <w:cnfStyle w:val="000000000000" w:firstRow="0" w:lastRow="0" w:firstColumn="0" w:lastColumn="0" w:oddVBand="0" w:evenVBand="0" w:oddHBand="0" w:evenHBand="0" w:firstRowFirstColumn="0" w:firstRowLastColumn="0" w:lastRowFirstColumn="0" w:lastRowLastColumn="0"/>
              <w:rPr>
                <w:i/>
              </w:rPr>
            </w:pPr>
            <w:r>
              <w:rPr>
                <w:i/>
              </w:rPr>
              <w:t>3,540</w:t>
            </w:r>
          </w:p>
        </w:tc>
      </w:tr>
      <w:tr w:rsidR="00D22101" w:rsidRPr="00E87153" w14:paraId="72073EB2" w14:textId="77777777" w:rsidTr="005137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auto"/>
            <w:noWrap/>
            <w:vAlign w:val="center"/>
          </w:tcPr>
          <w:p w14:paraId="67781BCF" w14:textId="069616CD" w:rsidR="00D22101" w:rsidRPr="005137C0" w:rsidRDefault="001F66E3" w:rsidP="005137C0">
            <w:pPr>
              <w:pStyle w:val="TableColumnHeadingLeft"/>
              <w:rPr>
                <w:b/>
                <w:i/>
                <w:lang w:eastAsia="en-AU"/>
              </w:rPr>
            </w:pPr>
            <w:r w:rsidRPr="005137C0">
              <w:rPr>
                <w:b/>
                <w:i/>
                <w:lang w:eastAsia="en-AU"/>
              </w:rPr>
              <w:tab/>
            </w:r>
            <w:r w:rsidR="00D22101" w:rsidRPr="005137C0">
              <w:rPr>
                <w:b/>
                <w:i/>
                <w:lang w:eastAsia="en-AU"/>
              </w:rPr>
              <w:t>Net tax loss reported</w:t>
            </w:r>
          </w:p>
        </w:tc>
        <w:tc>
          <w:tcPr>
            <w:tcW w:w="567" w:type="dxa"/>
            <w:tcBorders>
              <w:top w:val="none" w:sz="0" w:space="0" w:color="auto"/>
              <w:bottom w:val="none" w:sz="0" w:space="0" w:color="auto"/>
            </w:tcBorders>
            <w:shd w:val="clear" w:color="auto" w:fill="auto"/>
            <w:vAlign w:val="center"/>
          </w:tcPr>
          <w:p w14:paraId="05CFB96E" w14:textId="77777777" w:rsidR="00D22101" w:rsidRPr="00E87153"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CA0C5C">
              <w:t>$m</w:t>
            </w:r>
          </w:p>
        </w:tc>
        <w:tc>
          <w:tcPr>
            <w:tcW w:w="992" w:type="dxa"/>
            <w:tcBorders>
              <w:top w:val="none" w:sz="0" w:space="0" w:color="auto"/>
              <w:bottom w:val="none" w:sz="0" w:space="0" w:color="auto"/>
            </w:tcBorders>
            <w:shd w:val="clear" w:color="auto" w:fill="auto"/>
            <w:noWrap/>
            <w:vAlign w:val="bottom"/>
          </w:tcPr>
          <w:p w14:paraId="0D0973A7" w14:textId="25F00EF4" w:rsidR="00D22101" w:rsidRPr="00E87153" w:rsidRDefault="005D6F39" w:rsidP="005137C0">
            <w:pPr>
              <w:pStyle w:val="TableTextRight"/>
              <w:cnfStyle w:val="000000100000" w:firstRow="0" w:lastRow="0" w:firstColumn="0" w:lastColumn="0" w:oddVBand="0" w:evenVBand="0" w:oddHBand="1" w:evenHBand="0" w:firstRowFirstColumn="0" w:firstRowLastColumn="0" w:lastRowFirstColumn="0" w:lastRowLastColumn="0"/>
              <w:rPr>
                <w:i/>
              </w:rPr>
            </w:pPr>
            <w:r>
              <w:rPr>
                <w:i/>
              </w:rPr>
              <w:noBreakHyphen/>
            </w:r>
            <w:r w:rsidR="00D22101">
              <w:rPr>
                <w:i/>
              </w:rPr>
              <w:t>2,227</w:t>
            </w:r>
          </w:p>
        </w:tc>
        <w:tc>
          <w:tcPr>
            <w:tcW w:w="993" w:type="dxa"/>
            <w:tcBorders>
              <w:top w:val="none" w:sz="0" w:space="0" w:color="auto"/>
              <w:bottom w:val="none" w:sz="0" w:space="0" w:color="auto"/>
            </w:tcBorders>
            <w:shd w:val="clear" w:color="auto" w:fill="auto"/>
            <w:noWrap/>
            <w:vAlign w:val="bottom"/>
          </w:tcPr>
          <w:p w14:paraId="3EA6741B" w14:textId="43195479" w:rsidR="00D22101" w:rsidRPr="00E87153" w:rsidRDefault="005D6F39" w:rsidP="005137C0">
            <w:pPr>
              <w:pStyle w:val="TableTextRight"/>
              <w:cnfStyle w:val="000000100000" w:firstRow="0" w:lastRow="0" w:firstColumn="0" w:lastColumn="0" w:oddVBand="0" w:evenVBand="0" w:oddHBand="1" w:evenHBand="0" w:firstRowFirstColumn="0" w:firstRowLastColumn="0" w:lastRowFirstColumn="0" w:lastRowLastColumn="0"/>
              <w:rPr>
                <w:i/>
              </w:rPr>
            </w:pPr>
            <w:r>
              <w:rPr>
                <w:i/>
              </w:rPr>
              <w:noBreakHyphen/>
            </w:r>
            <w:r w:rsidR="00D22101">
              <w:rPr>
                <w:i/>
              </w:rPr>
              <w:t>1,662</w:t>
            </w:r>
          </w:p>
        </w:tc>
        <w:tc>
          <w:tcPr>
            <w:tcW w:w="992" w:type="dxa"/>
            <w:tcBorders>
              <w:top w:val="none" w:sz="0" w:space="0" w:color="auto"/>
              <w:bottom w:val="none" w:sz="0" w:space="0" w:color="auto"/>
            </w:tcBorders>
            <w:shd w:val="clear" w:color="auto" w:fill="auto"/>
            <w:noWrap/>
            <w:vAlign w:val="bottom"/>
          </w:tcPr>
          <w:p w14:paraId="12C1109E" w14:textId="1E30944A" w:rsidR="00D22101" w:rsidRPr="00E87153" w:rsidRDefault="005D6F39" w:rsidP="005137C0">
            <w:pPr>
              <w:pStyle w:val="TableTextRight"/>
              <w:cnfStyle w:val="000000100000" w:firstRow="0" w:lastRow="0" w:firstColumn="0" w:lastColumn="0" w:oddVBand="0" w:evenVBand="0" w:oddHBand="1" w:evenHBand="0" w:firstRowFirstColumn="0" w:firstRowLastColumn="0" w:lastRowFirstColumn="0" w:lastRowLastColumn="0"/>
              <w:rPr>
                <w:i/>
              </w:rPr>
            </w:pPr>
            <w:r>
              <w:rPr>
                <w:i/>
              </w:rPr>
              <w:noBreakHyphen/>
            </w:r>
            <w:r w:rsidR="00D22101">
              <w:rPr>
                <w:i/>
              </w:rPr>
              <w:t>3,627</w:t>
            </w:r>
          </w:p>
        </w:tc>
        <w:tc>
          <w:tcPr>
            <w:tcW w:w="992" w:type="dxa"/>
            <w:tcBorders>
              <w:top w:val="none" w:sz="0" w:space="0" w:color="auto"/>
              <w:bottom w:val="none" w:sz="0" w:space="0" w:color="auto"/>
            </w:tcBorders>
            <w:shd w:val="clear" w:color="auto" w:fill="auto"/>
            <w:noWrap/>
            <w:vAlign w:val="bottom"/>
          </w:tcPr>
          <w:p w14:paraId="13A74AF4" w14:textId="7BBDE794" w:rsidR="00D22101" w:rsidRPr="00E87153" w:rsidRDefault="005D6F39" w:rsidP="005137C0">
            <w:pPr>
              <w:pStyle w:val="TableTextRight"/>
              <w:cnfStyle w:val="000000100000" w:firstRow="0" w:lastRow="0" w:firstColumn="0" w:lastColumn="0" w:oddVBand="0" w:evenVBand="0" w:oddHBand="1" w:evenHBand="0" w:firstRowFirstColumn="0" w:firstRowLastColumn="0" w:lastRowFirstColumn="0" w:lastRowLastColumn="0"/>
              <w:rPr>
                <w:i/>
              </w:rPr>
            </w:pPr>
            <w:r>
              <w:rPr>
                <w:i/>
              </w:rPr>
              <w:noBreakHyphen/>
            </w:r>
            <w:r w:rsidR="00D22101">
              <w:rPr>
                <w:i/>
              </w:rPr>
              <w:t>7,235</w:t>
            </w:r>
          </w:p>
        </w:tc>
        <w:tc>
          <w:tcPr>
            <w:tcW w:w="992" w:type="dxa"/>
            <w:tcBorders>
              <w:top w:val="none" w:sz="0" w:space="0" w:color="auto"/>
              <w:bottom w:val="none" w:sz="0" w:space="0" w:color="auto"/>
              <w:right w:val="none" w:sz="0" w:space="0" w:color="auto"/>
            </w:tcBorders>
            <w:shd w:val="clear" w:color="auto" w:fill="auto"/>
            <w:noWrap/>
            <w:vAlign w:val="bottom"/>
          </w:tcPr>
          <w:p w14:paraId="13F3260B" w14:textId="6175747C" w:rsidR="00D22101" w:rsidRPr="00E87153" w:rsidRDefault="005D6F39" w:rsidP="005137C0">
            <w:pPr>
              <w:pStyle w:val="TableTextRight"/>
              <w:cnfStyle w:val="000000100000" w:firstRow="0" w:lastRow="0" w:firstColumn="0" w:lastColumn="0" w:oddVBand="0" w:evenVBand="0" w:oddHBand="1" w:evenHBand="0" w:firstRowFirstColumn="0" w:firstRowLastColumn="0" w:lastRowFirstColumn="0" w:lastRowLastColumn="0"/>
              <w:rPr>
                <w:i/>
              </w:rPr>
            </w:pPr>
            <w:r>
              <w:rPr>
                <w:i/>
              </w:rPr>
              <w:noBreakHyphen/>
            </w:r>
            <w:r w:rsidR="00D22101">
              <w:rPr>
                <w:i/>
              </w:rPr>
              <w:t>10,959</w:t>
            </w:r>
          </w:p>
        </w:tc>
      </w:tr>
      <w:tr w:rsidR="00D22101" w:rsidRPr="00CE272D" w14:paraId="0E67F4DA" w14:textId="77777777" w:rsidTr="005137C0">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vAlign w:val="center"/>
          </w:tcPr>
          <w:p w14:paraId="1AFD368A" w14:textId="77777777" w:rsidR="00D22101" w:rsidRPr="005137C0" w:rsidRDefault="00D22101" w:rsidP="005137C0">
            <w:pPr>
              <w:pStyle w:val="TableColumnHeadingLeft"/>
              <w:rPr>
                <w:b/>
                <w:lang w:eastAsia="en-AU"/>
              </w:rPr>
            </w:pPr>
            <w:r w:rsidRPr="005137C0">
              <w:rPr>
                <w:b/>
                <w:lang w:eastAsia="en-AU"/>
              </w:rPr>
              <w:t>Tax losses deducted</w:t>
            </w:r>
          </w:p>
        </w:tc>
        <w:tc>
          <w:tcPr>
            <w:tcW w:w="567" w:type="dxa"/>
            <w:shd w:val="clear" w:color="auto" w:fill="auto"/>
            <w:vAlign w:val="center"/>
          </w:tcPr>
          <w:p w14:paraId="7F2219FB" w14:textId="77777777" w:rsidR="00D22101"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CA0C5C">
              <w:t>$m</w:t>
            </w:r>
          </w:p>
        </w:tc>
        <w:tc>
          <w:tcPr>
            <w:tcW w:w="992" w:type="dxa"/>
            <w:shd w:val="clear" w:color="auto" w:fill="auto"/>
            <w:noWrap/>
            <w:vAlign w:val="bottom"/>
          </w:tcPr>
          <w:p w14:paraId="5A4BA7D2"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t>413</w:t>
            </w:r>
          </w:p>
        </w:tc>
        <w:tc>
          <w:tcPr>
            <w:tcW w:w="993" w:type="dxa"/>
            <w:shd w:val="clear" w:color="auto" w:fill="auto"/>
            <w:noWrap/>
            <w:vAlign w:val="bottom"/>
          </w:tcPr>
          <w:p w14:paraId="237203E0"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t>422</w:t>
            </w:r>
          </w:p>
        </w:tc>
        <w:tc>
          <w:tcPr>
            <w:tcW w:w="992" w:type="dxa"/>
            <w:shd w:val="clear" w:color="auto" w:fill="auto"/>
            <w:noWrap/>
            <w:vAlign w:val="bottom"/>
          </w:tcPr>
          <w:p w14:paraId="680B6105"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667 </w:t>
            </w:r>
          </w:p>
        </w:tc>
        <w:tc>
          <w:tcPr>
            <w:tcW w:w="992" w:type="dxa"/>
            <w:shd w:val="clear" w:color="auto" w:fill="auto"/>
            <w:noWrap/>
            <w:vAlign w:val="bottom"/>
          </w:tcPr>
          <w:p w14:paraId="1795E2F2"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1,982 </w:t>
            </w:r>
          </w:p>
        </w:tc>
        <w:tc>
          <w:tcPr>
            <w:tcW w:w="992" w:type="dxa"/>
            <w:shd w:val="clear" w:color="auto" w:fill="auto"/>
            <w:noWrap/>
            <w:vAlign w:val="bottom"/>
          </w:tcPr>
          <w:p w14:paraId="6C30277E"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290</w:t>
            </w:r>
          </w:p>
        </w:tc>
      </w:tr>
      <w:tr w:rsidR="00D22101" w:rsidRPr="00CE272D" w14:paraId="25D4E991" w14:textId="77777777" w:rsidTr="005137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auto"/>
            <w:noWrap/>
            <w:vAlign w:val="center"/>
            <w:hideMark/>
          </w:tcPr>
          <w:p w14:paraId="45290E36" w14:textId="77777777" w:rsidR="00D22101" w:rsidRPr="005137C0" w:rsidRDefault="00D22101" w:rsidP="005137C0">
            <w:pPr>
              <w:pStyle w:val="TableColumnHeadingLeft"/>
              <w:rPr>
                <w:b/>
                <w:lang w:eastAsia="en-AU"/>
              </w:rPr>
            </w:pPr>
            <w:r w:rsidRPr="005137C0">
              <w:rPr>
                <w:b/>
                <w:lang w:eastAsia="en-AU"/>
              </w:rPr>
              <w:t xml:space="preserve">Income tax payable </w:t>
            </w:r>
          </w:p>
        </w:tc>
        <w:tc>
          <w:tcPr>
            <w:tcW w:w="567" w:type="dxa"/>
            <w:tcBorders>
              <w:top w:val="none" w:sz="0" w:space="0" w:color="auto"/>
              <w:bottom w:val="none" w:sz="0" w:space="0" w:color="auto"/>
            </w:tcBorders>
            <w:shd w:val="clear" w:color="auto" w:fill="auto"/>
            <w:vAlign w:val="center"/>
          </w:tcPr>
          <w:p w14:paraId="5312FE3D"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CA0C5C">
              <w:t>$m</w:t>
            </w:r>
          </w:p>
        </w:tc>
        <w:tc>
          <w:tcPr>
            <w:tcW w:w="992" w:type="dxa"/>
            <w:tcBorders>
              <w:top w:val="none" w:sz="0" w:space="0" w:color="auto"/>
              <w:bottom w:val="none" w:sz="0" w:space="0" w:color="auto"/>
            </w:tcBorders>
            <w:shd w:val="clear" w:color="auto" w:fill="auto"/>
            <w:noWrap/>
            <w:vAlign w:val="bottom"/>
          </w:tcPr>
          <w:p w14:paraId="1AB05516"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1,883</w:t>
            </w:r>
          </w:p>
        </w:tc>
        <w:tc>
          <w:tcPr>
            <w:tcW w:w="993" w:type="dxa"/>
            <w:tcBorders>
              <w:top w:val="none" w:sz="0" w:space="0" w:color="auto"/>
              <w:bottom w:val="none" w:sz="0" w:space="0" w:color="auto"/>
            </w:tcBorders>
            <w:shd w:val="clear" w:color="auto" w:fill="auto"/>
            <w:noWrap/>
            <w:vAlign w:val="bottom"/>
          </w:tcPr>
          <w:p w14:paraId="79BCE82F"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2,368</w:t>
            </w:r>
          </w:p>
        </w:tc>
        <w:tc>
          <w:tcPr>
            <w:tcW w:w="992" w:type="dxa"/>
            <w:tcBorders>
              <w:top w:val="none" w:sz="0" w:space="0" w:color="auto"/>
              <w:bottom w:val="none" w:sz="0" w:space="0" w:color="auto"/>
            </w:tcBorders>
            <w:shd w:val="clear" w:color="auto" w:fill="auto"/>
            <w:noWrap/>
            <w:vAlign w:val="bottom"/>
          </w:tcPr>
          <w:p w14:paraId="5F243FF2"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1,483</w:t>
            </w:r>
          </w:p>
        </w:tc>
        <w:tc>
          <w:tcPr>
            <w:tcW w:w="992" w:type="dxa"/>
            <w:tcBorders>
              <w:top w:val="none" w:sz="0" w:space="0" w:color="auto"/>
              <w:bottom w:val="none" w:sz="0" w:space="0" w:color="auto"/>
            </w:tcBorders>
            <w:shd w:val="clear" w:color="auto" w:fill="auto"/>
            <w:noWrap/>
            <w:vAlign w:val="bottom"/>
          </w:tcPr>
          <w:p w14:paraId="0CB5FDE9"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1,622</w:t>
            </w:r>
          </w:p>
        </w:tc>
        <w:tc>
          <w:tcPr>
            <w:tcW w:w="992" w:type="dxa"/>
            <w:tcBorders>
              <w:top w:val="none" w:sz="0" w:space="0" w:color="auto"/>
              <w:bottom w:val="none" w:sz="0" w:space="0" w:color="auto"/>
              <w:right w:val="none" w:sz="0" w:space="0" w:color="auto"/>
            </w:tcBorders>
            <w:shd w:val="clear" w:color="auto" w:fill="auto"/>
            <w:noWrap/>
            <w:vAlign w:val="bottom"/>
          </w:tcPr>
          <w:p w14:paraId="3CDA82B3"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547</w:t>
            </w:r>
          </w:p>
        </w:tc>
      </w:tr>
      <w:tr w:rsidR="00D22101" w:rsidRPr="00CE272D" w14:paraId="365FD9AC" w14:textId="77777777" w:rsidTr="005137C0">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vAlign w:val="center"/>
          </w:tcPr>
          <w:p w14:paraId="74111FA9" w14:textId="77777777" w:rsidR="00D22101" w:rsidRPr="005137C0" w:rsidRDefault="00D22101" w:rsidP="005137C0">
            <w:pPr>
              <w:pStyle w:val="TableColumnHeadingLeft"/>
              <w:rPr>
                <w:b/>
                <w:lang w:eastAsia="en-AU"/>
              </w:rPr>
            </w:pPr>
            <w:r w:rsidRPr="005137C0">
              <w:rPr>
                <w:b/>
                <w:lang w:eastAsia="en-AU"/>
              </w:rPr>
              <w:t>Revenue losses carried forward</w:t>
            </w:r>
          </w:p>
        </w:tc>
        <w:tc>
          <w:tcPr>
            <w:tcW w:w="567" w:type="dxa"/>
            <w:shd w:val="clear" w:color="auto" w:fill="auto"/>
            <w:vAlign w:val="center"/>
          </w:tcPr>
          <w:p w14:paraId="4FF89B3E" w14:textId="77777777" w:rsidR="00D22101"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CA0C5C">
              <w:t>$m</w:t>
            </w:r>
          </w:p>
        </w:tc>
        <w:tc>
          <w:tcPr>
            <w:tcW w:w="992" w:type="dxa"/>
            <w:shd w:val="clear" w:color="auto" w:fill="auto"/>
            <w:noWrap/>
            <w:vAlign w:val="bottom"/>
          </w:tcPr>
          <w:p w14:paraId="0F687550"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13,160 </w:t>
            </w:r>
          </w:p>
        </w:tc>
        <w:tc>
          <w:tcPr>
            <w:tcW w:w="993" w:type="dxa"/>
            <w:shd w:val="clear" w:color="auto" w:fill="auto"/>
            <w:noWrap/>
            <w:vAlign w:val="bottom"/>
          </w:tcPr>
          <w:p w14:paraId="35694518"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13,981 </w:t>
            </w:r>
          </w:p>
        </w:tc>
        <w:tc>
          <w:tcPr>
            <w:tcW w:w="992" w:type="dxa"/>
            <w:shd w:val="clear" w:color="auto" w:fill="auto"/>
            <w:noWrap/>
            <w:vAlign w:val="bottom"/>
          </w:tcPr>
          <w:p w14:paraId="228C8B0D"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17,685 </w:t>
            </w:r>
          </w:p>
        </w:tc>
        <w:tc>
          <w:tcPr>
            <w:tcW w:w="992" w:type="dxa"/>
            <w:shd w:val="clear" w:color="auto" w:fill="auto"/>
            <w:noWrap/>
            <w:vAlign w:val="bottom"/>
          </w:tcPr>
          <w:p w14:paraId="04BF49B1"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24,052 </w:t>
            </w:r>
          </w:p>
        </w:tc>
        <w:tc>
          <w:tcPr>
            <w:tcW w:w="992" w:type="dxa"/>
            <w:shd w:val="clear" w:color="auto" w:fill="auto"/>
            <w:noWrap/>
            <w:vAlign w:val="bottom"/>
          </w:tcPr>
          <w:p w14:paraId="397AC838" w14:textId="77777777" w:rsidR="00D22101" w:rsidRPr="00FA352E" w:rsidRDefault="00D22101" w:rsidP="005137C0">
            <w:pPr>
              <w:pStyle w:val="TableTextRight"/>
              <w:cnfStyle w:val="000000000000" w:firstRow="0" w:lastRow="0" w:firstColumn="0" w:lastColumn="0" w:oddVBand="0" w:evenVBand="0" w:oddHBand="0" w:evenHBand="0" w:firstRowFirstColumn="0" w:firstRowLastColumn="0" w:lastRowFirstColumn="0" w:lastRowLastColumn="0"/>
            </w:pPr>
            <w:r w:rsidRPr="00FA352E">
              <w:t xml:space="preserve">34,436 </w:t>
            </w:r>
          </w:p>
        </w:tc>
      </w:tr>
      <w:tr w:rsidR="00D22101" w:rsidRPr="00CE272D" w14:paraId="5D4F47BE" w14:textId="77777777" w:rsidTr="005137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single" w:sz="4" w:space="0" w:color="4F81BD" w:themeColor="accent1"/>
            </w:tcBorders>
            <w:shd w:val="clear" w:color="auto" w:fill="auto"/>
            <w:noWrap/>
            <w:vAlign w:val="center"/>
          </w:tcPr>
          <w:p w14:paraId="162E6059" w14:textId="77777777" w:rsidR="00D22101" w:rsidRPr="005137C0" w:rsidRDefault="00D22101" w:rsidP="005137C0">
            <w:pPr>
              <w:pStyle w:val="TableColumnHeadingLeft"/>
              <w:rPr>
                <w:b/>
                <w:lang w:eastAsia="en-AU"/>
              </w:rPr>
            </w:pPr>
            <w:r w:rsidRPr="005137C0">
              <w:rPr>
                <w:b/>
                <w:lang w:eastAsia="en-AU"/>
              </w:rPr>
              <w:t>Net capital gains tax reported</w:t>
            </w:r>
          </w:p>
        </w:tc>
        <w:tc>
          <w:tcPr>
            <w:tcW w:w="567" w:type="dxa"/>
            <w:tcBorders>
              <w:top w:val="none" w:sz="0" w:space="0" w:color="auto"/>
              <w:bottom w:val="single" w:sz="4" w:space="0" w:color="4F81BD" w:themeColor="accent1"/>
            </w:tcBorders>
            <w:shd w:val="clear" w:color="auto" w:fill="auto"/>
            <w:vAlign w:val="center"/>
          </w:tcPr>
          <w:p w14:paraId="0C32E70A" w14:textId="77777777" w:rsidR="00D22101"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CA0C5C">
              <w:t>$m</w:t>
            </w:r>
          </w:p>
        </w:tc>
        <w:tc>
          <w:tcPr>
            <w:tcW w:w="992" w:type="dxa"/>
            <w:tcBorders>
              <w:top w:val="none" w:sz="0" w:space="0" w:color="auto"/>
              <w:bottom w:val="single" w:sz="4" w:space="0" w:color="4F81BD" w:themeColor="accent1"/>
            </w:tcBorders>
            <w:shd w:val="clear" w:color="auto" w:fill="auto"/>
            <w:noWrap/>
            <w:vAlign w:val="bottom"/>
          </w:tcPr>
          <w:p w14:paraId="17D620A9"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FA352E">
              <w:t xml:space="preserve">691 </w:t>
            </w:r>
          </w:p>
        </w:tc>
        <w:tc>
          <w:tcPr>
            <w:tcW w:w="993" w:type="dxa"/>
            <w:tcBorders>
              <w:top w:val="none" w:sz="0" w:space="0" w:color="auto"/>
              <w:bottom w:val="single" w:sz="4" w:space="0" w:color="4F81BD" w:themeColor="accent1"/>
            </w:tcBorders>
            <w:shd w:val="clear" w:color="auto" w:fill="auto"/>
            <w:noWrap/>
            <w:vAlign w:val="bottom"/>
          </w:tcPr>
          <w:p w14:paraId="0CAFA573"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5,108</w:t>
            </w:r>
          </w:p>
        </w:tc>
        <w:tc>
          <w:tcPr>
            <w:tcW w:w="992" w:type="dxa"/>
            <w:tcBorders>
              <w:top w:val="none" w:sz="0" w:space="0" w:color="auto"/>
              <w:bottom w:val="single" w:sz="4" w:space="0" w:color="4F81BD" w:themeColor="accent1"/>
            </w:tcBorders>
            <w:shd w:val="clear" w:color="auto" w:fill="auto"/>
            <w:noWrap/>
            <w:vAlign w:val="bottom"/>
          </w:tcPr>
          <w:p w14:paraId="496AED24"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t>54</w:t>
            </w:r>
          </w:p>
        </w:tc>
        <w:tc>
          <w:tcPr>
            <w:tcW w:w="992" w:type="dxa"/>
            <w:tcBorders>
              <w:top w:val="none" w:sz="0" w:space="0" w:color="auto"/>
              <w:bottom w:val="single" w:sz="4" w:space="0" w:color="4F81BD" w:themeColor="accent1"/>
            </w:tcBorders>
            <w:shd w:val="clear" w:color="auto" w:fill="auto"/>
            <w:noWrap/>
            <w:vAlign w:val="bottom"/>
          </w:tcPr>
          <w:p w14:paraId="2618590B"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FA352E">
              <w:t xml:space="preserve">4,699 </w:t>
            </w:r>
          </w:p>
        </w:tc>
        <w:tc>
          <w:tcPr>
            <w:tcW w:w="992" w:type="dxa"/>
            <w:tcBorders>
              <w:top w:val="none" w:sz="0" w:space="0" w:color="auto"/>
              <w:bottom w:val="single" w:sz="4" w:space="0" w:color="4F81BD" w:themeColor="accent1"/>
              <w:right w:val="none" w:sz="0" w:space="0" w:color="auto"/>
            </w:tcBorders>
            <w:shd w:val="clear" w:color="auto" w:fill="auto"/>
            <w:noWrap/>
            <w:vAlign w:val="bottom"/>
          </w:tcPr>
          <w:p w14:paraId="0F1CC21B" w14:textId="77777777" w:rsidR="00D22101" w:rsidRPr="00FA352E" w:rsidRDefault="00D22101" w:rsidP="005137C0">
            <w:pPr>
              <w:pStyle w:val="TableTextRight"/>
              <w:cnfStyle w:val="000000100000" w:firstRow="0" w:lastRow="0" w:firstColumn="0" w:lastColumn="0" w:oddVBand="0" w:evenVBand="0" w:oddHBand="1" w:evenHBand="0" w:firstRowFirstColumn="0" w:firstRowLastColumn="0" w:lastRowFirstColumn="0" w:lastRowLastColumn="0"/>
            </w:pPr>
            <w:r w:rsidRPr="00FA352E">
              <w:t>18</w:t>
            </w:r>
          </w:p>
        </w:tc>
      </w:tr>
    </w:tbl>
    <w:p w14:paraId="6E1F5DB9" w14:textId="49D1C46E" w:rsidR="007E6F50" w:rsidRDefault="00F77601" w:rsidP="005137C0">
      <w:pPr>
        <w:pStyle w:val="ChartorTableNote"/>
      </w:pPr>
      <w:r w:rsidRPr="000B3F3B">
        <w:t xml:space="preserve">Source:  </w:t>
      </w:r>
      <w:r>
        <w:t>ATO submission to Senates Economics Reference Committee Inquiry into corporate tax avoidance and minimisation and Australia</w:t>
      </w:r>
      <w:r w:rsidR="005D6F39">
        <w:t>’</w:t>
      </w:r>
      <w:r>
        <w:t>s offshore oil and gas industry, p</w:t>
      </w:r>
      <w:r w:rsidR="007E6F50">
        <w:t xml:space="preserve">. </w:t>
      </w:r>
      <w:r>
        <w:t>8</w:t>
      </w:r>
      <w:r w:rsidR="007E6F50">
        <w:t>.</w:t>
      </w:r>
    </w:p>
    <w:p w14:paraId="198B0CD6" w14:textId="77777777" w:rsidR="005137C0" w:rsidRPr="005137C0" w:rsidRDefault="005137C0" w:rsidP="005137C0">
      <w:pPr>
        <w:pStyle w:val="SingleParagraph"/>
      </w:pPr>
    </w:p>
    <w:p w14:paraId="19F33326" w14:textId="5D0983F7" w:rsidR="00830A3E" w:rsidRDefault="00830A3E" w:rsidP="00830A3E">
      <w:r>
        <w:t>Issues around whether companies are paying the right amount of company tax are outside the review</w:t>
      </w:r>
      <w:r w:rsidR="005D6F39">
        <w:t>’</w:t>
      </w:r>
      <w:r>
        <w:t xml:space="preserve">s terms of reference. There is considerable ongoing work within </w:t>
      </w:r>
      <w:r w:rsidR="001970B4">
        <w:t xml:space="preserve">the </w:t>
      </w:r>
      <w:r>
        <w:t xml:space="preserve">Government </w:t>
      </w:r>
      <w:r w:rsidR="001970B4">
        <w:t>covering</w:t>
      </w:r>
      <w:r>
        <w:t xml:space="preserve"> these issues.</w:t>
      </w:r>
    </w:p>
    <w:p w14:paraId="30C3DE3D" w14:textId="1CFDDEE8" w:rsidR="00AA7794" w:rsidRDefault="00830A3E" w:rsidP="00CD567A">
      <w:pPr>
        <w:pStyle w:val="Heading3"/>
      </w:pPr>
      <w:bookmarkStart w:id="4468" w:name="_Toc476738066"/>
      <w:bookmarkStart w:id="4469" w:name="_Toc476747641"/>
      <w:bookmarkStart w:id="4470" w:name="_Toc476749049"/>
      <w:bookmarkStart w:id="4471" w:name="_Toc476753916"/>
      <w:bookmarkStart w:id="4472" w:name="_Toc476754411"/>
      <w:bookmarkStart w:id="4473" w:name="_Toc476754576"/>
      <w:bookmarkStart w:id="4474" w:name="_Toc476759812"/>
      <w:bookmarkStart w:id="4475" w:name="_Toc476761434"/>
      <w:bookmarkStart w:id="4476" w:name="_Toc476767072"/>
      <w:bookmarkStart w:id="4477" w:name="_Toc476827118"/>
      <w:bookmarkStart w:id="4478" w:name="_Toc476828811"/>
      <w:bookmarkStart w:id="4479" w:name="_Toc476833685"/>
      <w:bookmarkStart w:id="4480" w:name="_Toc476837158"/>
      <w:bookmarkStart w:id="4481" w:name="_Toc476841031"/>
      <w:bookmarkStart w:id="4482" w:name="_Toc476841236"/>
      <w:bookmarkStart w:id="4483" w:name="_Toc476841995"/>
      <w:bookmarkStart w:id="4484" w:name="_Toc476842939"/>
      <w:bookmarkStart w:id="4485" w:name="_Toc476843110"/>
      <w:bookmarkStart w:id="4486" w:name="_Toc476844608"/>
      <w:bookmarkStart w:id="4487" w:name="_Toc476845501"/>
      <w:bookmarkStart w:id="4488" w:name="_Toc476926893"/>
      <w:bookmarkStart w:id="4489" w:name="_Toc476926832"/>
      <w:bookmarkStart w:id="4490" w:name="_Toc476927180"/>
      <w:bookmarkStart w:id="4491" w:name="_Toc476928444"/>
      <w:bookmarkStart w:id="4492" w:name="_Toc476929487"/>
      <w:bookmarkStart w:id="4493" w:name="_Toc476929662"/>
      <w:bookmarkStart w:id="4494" w:name="_Toc476930705"/>
      <w:bookmarkStart w:id="4495" w:name="_Toc476931512"/>
      <w:bookmarkStart w:id="4496" w:name="_Toc477869879"/>
      <w:bookmarkStart w:id="4497" w:name="_Toc477871118"/>
      <w:bookmarkStart w:id="4498" w:name="_Toc477873277"/>
      <w:bookmarkStart w:id="4499" w:name="_Toc477875271"/>
      <w:bookmarkStart w:id="4500" w:name="_Toc477880184"/>
      <w:bookmarkStart w:id="4501" w:name="_Toc477881444"/>
      <w:bookmarkStart w:id="4502" w:name="_Toc477955848"/>
      <w:bookmarkStart w:id="4503" w:name="_Toc477963093"/>
      <w:bookmarkStart w:id="4504" w:name="_Toc477963579"/>
      <w:bookmarkStart w:id="4505" w:name="_Toc477965165"/>
      <w:bookmarkStart w:id="4506" w:name="_Toc477966669"/>
      <w:bookmarkStart w:id="4507" w:name="_Toc477966838"/>
      <w:bookmarkStart w:id="4508" w:name="_Toc477967178"/>
      <w:bookmarkStart w:id="4509" w:name="_Toc478121315"/>
      <w:bookmarkStart w:id="4510" w:name="_Toc478122228"/>
      <w:bookmarkStart w:id="4511" w:name="_Toc478132202"/>
      <w:bookmarkStart w:id="4512" w:name="_Toc478133228"/>
      <w:bookmarkStart w:id="4513" w:name="_Toc478132365"/>
      <w:bookmarkStart w:id="4514" w:name="_Toc478134694"/>
      <w:bookmarkStart w:id="4515" w:name="_Toc478137396"/>
      <w:bookmarkStart w:id="4516" w:name="_Toc478138468"/>
      <w:bookmarkStart w:id="4517" w:name="_Toc478140038"/>
      <w:bookmarkStart w:id="4518" w:name="_Toc478140454"/>
      <w:bookmarkStart w:id="4519" w:name="_Toc478142660"/>
      <w:bookmarkStart w:id="4520" w:name="_Toc478566376"/>
      <w:bookmarkStart w:id="4521" w:name="_Toc478569543"/>
      <w:bookmarkStart w:id="4522" w:name="_Toc478569717"/>
      <w:bookmarkStart w:id="4523" w:name="_Toc478570791"/>
      <w:bookmarkStart w:id="4524" w:name="_Toc478632990"/>
      <w:bookmarkStart w:id="4525" w:name="_Toc478641398"/>
      <w:bookmarkStart w:id="4526" w:name="_Toc478654292"/>
      <w:bookmarkStart w:id="4527" w:name="_Toc478654466"/>
      <w:bookmarkStart w:id="4528" w:name="_Toc478657761"/>
      <w:bookmarkStart w:id="4529" w:name="_Toc478993182"/>
      <w:bookmarkStart w:id="4530" w:name="_Toc479000253"/>
      <w:bookmarkStart w:id="4531" w:name="_Toc479002187"/>
      <w:bookmarkStart w:id="4532" w:name="_Toc479002359"/>
      <w:bookmarkStart w:id="4533" w:name="_Toc479254335"/>
      <w:bookmarkStart w:id="4534" w:name="_Toc479258524"/>
      <w:bookmarkStart w:id="4535" w:name="_Toc479258840"/>
      <w:bookmarkStart w:id="4536" w:name="_Toc479259732"/>
      <w:bookmarkStart w:id="4537" w:name="_Toc479262155"/>
      <w:bookmarkStart w:id="4538" w:name="_Toc479262576"/>
      <w:bookmarkStart w:id="4539" w:name="_Toc479321277"/>
      <w:bookmarkStart w:id="4540" w:name="_Toc479326716"/>
      <w:bookmarkStart w:id="4541" w:name="_Toc479333315"/>
      <w:bookmarkStart w:id="4542" w:name="_Toc479335012"/>
      <w:bookmarkStart w:id="4543" w:name="_Toc479341727"/>
      <w:bookmarkStart w:id="4544" w:name="_Toc479345143"/>
      <w:bookmarkStart w:id="4545" w:name="_Toc479345352"/>
      <w:bookmarkStart w:id="4546" w:name="_Toc479348333"/>
      <w:bookmarkStart w:id="4547" w:name="_Toc479675927"/>
      <w:bookmarkStart w:id="4548" w:name="_Toc479690894"/>
      <w:bookmarkStart w:id="4549" w:name="_Toc479693472"/>
      <w:bookmarkStart w:id="4550" w:name="_Toc479770641"/>
      <w:r>
        <w:t>2.3.4</w:t>
      </w:r>
      <w:r w:rsidR="00CD567A">
        <w:tab/>
        <w:t xml:space="preserve">Modelling </w:t>
      </w:r>
      <w:r w:rsidR="006D6467">
        <w:t>future</w:t>
      </w:r>
      <w:r w:rsidR="00CD567A">
        <w:t xml:space="preserve"> PRRT </w:t>
      </w:r>
      <w:bookmarkEnd w:id="4293"/>
      <w:bookmarkEnd w:id="4294"/>
      <w:bookmarkEnd w:id="4295"/>
      <w:bookmarkEnd w:id="4296"/>
      <w:bookmarkEnd w:id="429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r w:rsidR="006D6467">
        <w:t>r</w:t>
      </w:r>
      <w:r w:rsidR="00CD567A">
        <w:t>evenue</w:t>
      </w:r>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14:paraId="14382DF4" w14:textId="6AE4F1B5" w:rsidR="0015696C" w:rsidRDefault="0015696C" w:rsidP="0015696C">
      <w:r>
        <w:t xml:space="preserve">The review undertook extensive modelling to </w:t>
      </w:r>
      <w:r w:rsidR="0048129A">
        <w:t xml:space="preserve">obtain an insight into the factors influencing PRRT revenue, </w:t>
      </w:r>
      <w:r w:rsidR="007B618B">
        <w:t xml:space="preserve">to deliver </w:t>
      </w:r>
      <w:r>
        <w:t xml:space="preserve">a comprehensive picture of how the </w:t>
      </w:r>
      <w:r w:rsidR="00E152A9">
        <w:t>PRRT system</w:t>
      </w:r>
      <w:r>
        <w:t xml:space="preserve"> operates</w:t>
      </w:r>
      <w:r w:rsidR="00E152A9">
        <w:t>,</w:t>
      </w:r>
      <w:r>
        <w:t xml:space="preserve"> and to enhance understanding of the impacts of certain design features within the system.</w:t>
      </w:r>
    </w:p>
    <w:p w14:paraId="634FA263" w14:textId="68BE3524" w:rsidR="0068625F" w:rsidRDefault="0068625F" w:rsidP="0015696C">
      <w:r>
        <w:t xml:space="preserve">Many </w:t>
      </w:r>
      <w:r w:rsidR="00E2035A">
        <w:t>petroleum</w:t>
      </w:r>
      <w:r>
        <w:t xml:space="preserve"> projects will operate for another 40 plus years and PRRT revenue will depend on production levels, movements in oil and gas prices, exchange rate changes and project capital expenditure. The review has not attempted to provide long</w:t>
      </w:r>
      <w:r w:rsidR="005D6F39">
        <w:noBreakHyphen/>
      </w:r>
      <w:r>
        <w:t>term forecasts of PRRT revenu</w:t>
      </w:r>
      <w:r w:rsidR="00EC504A">
        <w:t xml:space="preserve">e, but </w:t>
      </w:r>
      <w:r w:rsidR="00817690">
        <w:t xml:space="preserve">has sought </w:t>
      </w:r>
      <w:r w:rsidR="00EC504A">
        <w:t>to highlight the</w:t>
      </w:r>
      <w:r>
        <w:t xml:space="preserve"> influence </w:t>
      </w:r>
      <w:r w:rsidR="00EC504A">
        <w:t xml:space="preserve">of these variables and as such provide a guide as to the possible future course of PRRT </w:t>
      </w:r>
      <w:r w:rsidR="00E90B65">
        <w:t>revenue</w:t>
      </w:r>
      <w:r w:rsidR="00EC504A">
        <w:t>.</w:t>
      </w:r>
    </w:p>
    <w:p w14:paraId="0CAA0FAB" w14:textId="5148FFDA" w:rsidR="00EC504A" w:rsidRDefault="00EC504A" w:rsidP="0015696C">
      <w:r>
        <w:t>The review</w:t>
      </w:r>
      <w:r w:rsidR="005D6F39">
        <w:t>’</w:t>
      </w:r>
      <w:r>
        <w:t xml:space="preserve">s approach to modelling PRRT revenue is outlined in </w:t>
      </w:r>
      <w:r w:rsidRPr="006D28D4">
        <w:t xml:space="preserve">Box </w:t>
      </w:r>
      <w:r w:rsidR="00AE6761" w:rsidRPr="006D28D4">
        <w:t>2.2</w:t>
      </w:r>
      <w:r w:rsidR="003105D3">
        <w:t>.</w:t>
      </w:r>
    </w:p>
    <w:tbl>
      <w:tblPr>
        <w:tblStyle w:val="TableGrid"/>
        <w:tblW w:w="0" w:type="auto"/>
        <w:tblInd w:w="108" w:type="dxa"/>
        <w:tblLook w:val="04A0" w:firstRow="1" w:lastRow="0" w:firstColumn="1" w:lastColumn="0" w:noHBand="0" w:noVBand="1"/>
      </w:tblPr>
      <w:tblGrid>
        <w:gridCol w:w="9178"/>
      </w:tblGrid>
      <w:tr w:rsidR="00C143C4" w14:paraId="6A67A0D2" w14:textId="77777777" w:rsidTr="00621827">
        <w:tc>
          <w:tcPr>
            <w:tcW w:w="9178" w:type="dxa"/>
            <w:tcBorders>
              <w:top w:val="single" w:sz="4" w:space="0" w:color="auto"/>
              <w:left w:val="single" w:sz="4" w:space="0" w:color="auto"/>
              <w:bottom w:val="single" w:sz="4" w:space="0" w:color="auto"/>
              <w:right w:val="single" w:sz="4" w:space="0" w:color="auto"/>
            </w:tcBorders>
          </w:tcPr>
          <w:p w14:paraId="53FEB242" w14:textId="35C2FD9B" w:rsidR="00C143C4" w:rsidRDefault="00C143C4" w:rsidP="00221C2A">
            <w:pPr>
              <w:pStyle w:val="BoxHeadingnonumber"/>
            </w:pPr>
            <w:r>
              <w:t xml:space="preserve">Box </w:t>
            </w:r>
            <w:r w:rsidR="00AE6761">
              <w:t>2.2</w:t>
            </w:r>
            <w:r w:rsidR="00C83181">
              <w:t>:</w:t>
            </w:r>
            <w:r>
              <w:t xml:space="preserve"> The Review</w:t>
            </w:r>
            <w:r w:rsidR="005D6F39">
              <w:t>’</w:t>
            </w:r>
            <w:r>
              <w:t>s PRRT Model</w:t>
            </w:r>
          </w:p>
          <w:p w14:paraId="6D096F3B" w14:textId="77777777" w:rsidR="00C143C4" w:rsidRDefault="00C143C4" w:rsidP="00C143C4">
            <w:pPr>
              <w:pStyle w:val="Heading5"/>
              <w:outlineLvl w:val="4"/>
            </w:pPr>
            <w:r>
              <w:t>The Model</w:t>
            </w:r>
          </w:p>
          <w:p w14:paraId="74406EA0" w14:textId="10D7111B" w:rsidR="00C143C4" w:rsidRDefault="00C143C4" w:rsidP="00C143C4">
            <w:r>
              <w:t>The review has used the Department of Treasury</w:t>
            </w:r>
            <w:r w:rsidR="005D6F39">
              <w:t>’</w:t>
            </w:r>
            <w:r>
              <w:t xml:space="preserve">s PRRT model as the </w:t>
            </w:r>
            <w:r w:rsidR="00621827">
              <w:t xml:space="preserve">basis for all of its modelling. </w:t>
            </w:r>
            <w:r>
              <w:t>The model incorporates the main features of the PRRT system such as carry</w:t>
            </w:r>
            <w:r w:rsidR="005D6F39">
              <w:noBreakHyphen/>
            </w:r>
            <w:r>
              <w:t>forward of undeducted expenditure at different rates depending on the category of expenditure</w:t>
            </w:r>
            <w:r w:rsidR="00E03E04">
              <w:t>, ordering of deductions</w:t>
            </w:r>
            <w:r>
              <w:t xml:space="preserve"> and </w:t>
            </w:r>
            <w:r w:rsidR="00F2694F">
              <w:t>GTP</w:t>
            </w:r>
            <w:r>
              <w:t xml:space="preserve"> arrangements. In addition, each joint venture partner in a PRRT project is modelled separately given that deductions are specific to each</w:t>
            </w:r>
            <w:r w:rsidR="00621827">
              <w:t xml:space="preserve"> partner. </w:t>
            </w:r>
            <w:r>
              <w:t>The PRRT model used was reviewed by the Australian Taxation Office and the Department of Industry, Innovation</w:t>
            </w:r>
            <w:r w:rsidR="001E6978">
              <w:t xml:space="preserve"> and</w:t>
            </w:r>
            <w:r>
              <w:t xml:space="preserve"> Science.</w:t>
            </w:r>
          </w:p>
          <w:p w14:paraId="66E0DABF" w14:textId="77777777" w:rsidR="00C143C4" w:rsidRDefault="00C143C4" w:rsidP="00C143C4">
            <w:pPr>
              <w:pStyle w:val="Heading5"/>
              <w:outlineLvl w:val="4"/>
            </w:pPr>
            <w:r>
              <w:t>Model Data</w:t>
            </w:r>
          </w:p>
          <w:p w14:paraId="5B34BD82" w14:textId="7478BF11" w:rsidR="00C143C4" w:rsidRDefault="00C143C4" w:rsidP="00C143C4">
            <w:r>
              <w:t>The modelling uses data provided from global resources consulting firm, Wood</w:t>
            </w:r>
            <w:r w:rsidR="00E03E04">
              <w:t> </w:t>
            </w:r>
            <w:r>
              <w:t>Mackenzie</w:t>
            </w:r>
            <w:r w:rsidR="00E03E04">
              <w:t>.</w:t>
            </w:r>
            <w:r w:rsidR="00335673">
              <w:rPr>
                <w:rStyle w:val="FootnoteReference"/>
              </w:rPr>
              <w:footnoteReference w:id="9"/>
            </w:r>
            <w:r>
              <w:t xml:space="preserve"> Wood Mackenzie is a widely used source of commercial information for the resources sector, providing high quality data gathered from a variety of sources including primary research with industry operators.</w:t>
            </w:r>
          </w:p>
          <w:p w14:paraId="11570231" w14:textId="77777777" w:rsidR="00C143C4" w:rsidRDefault="00C143C4" w:rsidP="00C143C4">
            <w:r>
              <w:t>The Wood Mackenzie asset reports for all Australian oil and gas projects were accessed. These asset reports contain detailed data and information on the upstream operations of projects, including information on the size of reserves, production profiles, capital cost and expenditure profiles, operating cost,</w:t>
            </w:r>
            <w:r w:rsidDel="00BD51F9">
              <w:t xml:space="preserve"> </w:t>
            </w:r>
            <w:r>
              <w:t>expenditure profiles and estimated cash flows.</w:t>
            </w:r>
          </w:p>
          <w:p w14:paraId="51FBBCBC" w14:textId="1CCAFFDE" w:rsidR="00C143C4" w:rsidRDefault="004E2257" w:rsidP="00C143C4">
            <w:r w:rsidRPr="00D20915">
              <w:rPr>
                <w:color w:val="auto"/>
                <w:lang w:val="en-GB"/>
              </w:rPr>
              <w:t>Wood Mackenzie provides an independent view of asset information and project profiles, incorporating operator feedback, public information and its own analysis and industry insight. As an independent source of information, Wood Mackenzie</w:t>
            </w:r>
            <w:r w:rsidR="005D6F39">
              <w:rPr>
                <w:color w:val="auto"/>
                <w:lang w:val="en-GB"/>
              </w:rPr>
              <w:t>’</w:t>
            </w:r>
            <w:r w:rsidRPr="00D20915">
              <w:rPr>
                <w:color w:val="auto"/>
                <w:lang w:val="en-GB"/>
              </w:rPr>
              <w:t xml:space="preserve">s </w:t>
            </w:r>
            <w:r w:rsidR="00D20915">
              <w:rPr>
                <w:color w:val="auto"/>
                <w:lang w:val="en-GB"/>
              </w:rPr>
              <w:t xml:space="preserve">assumptions may differ from </w:t>
            </w:r>
            <w:r w:rsidRPr="00D20915">
              <w:rPr>
                <w:color w:val="auto"/>
                <w:lang w:val="en-GB"/>
              </w:rPr>
              <w:t xml:space="preserve">those of companies and operators about the projects in which they hold a stake. </w:t>
            </w:r>
            <w:r w:rsidR="00C143C4">
              <w:t>Therefore, where possible, the review made every effort to engage with individual oil and gas companies and operators to confirm the appropriateness of the Wood Mackenzie data, and make adjustments to th</w:t>
            </w:r>
            <w:r w:rsidR="00F951B7">
              <w:t>e</w:t>
            </w:r>
            <w:r w:rsidR="00C143C4">
              <w:t xml:space="preserve"> data where necessary to achieve as accurate as possible representation of projects and the sector as a whole. The feedback on project data provided by companies and operators assisted the review in reconciling information, and improved the integrity and reliability of the data used in the model.</w:t>
            </w:r>
          </w:p>
          <w:p w14:paraId="41845535" w14:textId="431A75C1" w:rsidR="00C143C4" w:rsidRDefault="00C143C4" w:rsidP="00C143C4">
            <w:r>
              <w:t xml:space="preserve">The oil price and exchange rate assumptions are critical in influencing the </w:t>
            </w:r>
            <w:r w:rsidR="0048129A">
              <w:t>profitability</w:t>
            </w:r>
            <w:r w:rsidR="00F939B6">
              <w:t xml:space="preserve"> of projects and in turn</w:t>
            </w:r>
            <w:r>
              <w:t xml:space="preserve"> PRRT revenue. The Wood Mac</w:t>
            </w:r>
            <w:r w:rsidR="00717C09">
              <w:t>kenzie material incorporates a central</w:t>
            </w:r>
            <w:r>
              <w:t xml:space="preserve"> oil price assumption. </w:t>
            </w:r>
            <w:r w:rsidR="00107B33">
              <w:t>F</w:t>
            </w:r>
            <w:r>
              <w:t>rom 2020 onwards</w:t>
            </w:r>
            <w:r w:rsidR="00107B33">
              <w:t xml:space="preserve"> a steady oil price a</w:t>
            </w:r>
            <w:r w:rsidR="00F939B6">
              <w:t>ssumption of $US65 per barrel (</w:t>
            </w:r>
            <w:r w:rsidR="00107B33">
              <w:t>indexed to retain its value) is used</w:t>
            </w:r>
            <w:r w:rsidR="00755941">
              <w:t xml:space="preserve">. </w:t>
            </w:r>
            <w:r>
              <w:t xml:space="preserve">While not endorsing this assumption as the most likely forecast of future oil price movements, the review </w:t>
            </w:r>
            <w:r w:rsidR="00D61BCC">
              <w:t>h</w:t>
            </w:r>
            <w:r>
              <w:t>as used the Wood Mackenzie oil price assumptions as a baseline for its modelling work. The value in the modelling comes from having a consistent framework to assess changes from the baseline when prices or other policy parameters are changed.</w:t>
            </w:r>
          </w:p>
          <w:p w14:paraId="0CC5B516" w14:textId="086EF409" w:rsidR="00C143C4" w:rsidRDefault="00C143C4" w:rsidP="005137C0">
            <w:pPr>
              <w:spacing w:after="480"/>
            </w:pPr>
            <w:r>
              <w:t xml:space="preserve">While  sensitivity analysis around different oil prices and changes in the design of the PRRT was conducted, the same analysis was not undertaken for different exchange rate </w:t>
            </w:r>
            <w:r w:rsidRPr="00621827">
              <w:t xml:space="preserve">assumptions </w:t>
            </w:r>
            <w:r w:rsidR="00E03E04">
              <w:t>as</w:t>
            </w:r>
            <w:r w:rsidRPr="00621827">
              <w:t xml:space="preserve"> exchange rate movements have differing impacts on companies depending on individual financing and contractual arrangements.</w:t>
            </w:r>
          </w:p>
          <w:p w14:paraId="5E996204" w14:textId="2EC0D402" w:rsidR="005137C0" w:rsidRDefault="005137C0" w:rsidP="00221C2A">
            <w:pPr>
              <w:pStyle w:val="BoxHeadingnonumber"/>
            </w:pPr>
            <w:r>
              <w:t>Box 2.2: The Review’s PRRT Model (continued)</w:t>
            </w:r>
          </w:p>
          <w:p w14:paraId="27A17B20" w14:textId="3909CD15" w:rsidR="00C143C4" w:rsidRDefault="00C143C4" w:rsidP="00621827">
            <w:r>
              <w:t>The PRRT model incorporates projections for the 10 year long</w:t>
            </w:r>
            <w:r w:rsidR="00B30C81">
              <w:t xml:space="preserve"> </w:t>
            </w:r>
            <w:r>
              <w:t>term government bond rate</w:t>
            </w:r>
            <w:r w:rsidR="00E03E04">
              <w:t xml:space="preserve"> (L</w:t>
            </w:r>
            <w:r w:rsidR="000A33FC">
              <w:t>TB</w:t>
            </w:r>
            <w:r w:rsidR="00E03E04">
              <w:t>R)</w:t>
            </w:r>
            <w:r>
              <w:t xml:space="preserve"> </w:t>
            </w:r>
            <w:r w:rsidR="000D091C" w:rsidRPr="000D091C">
              <w:t>consistent with</w:t>
            </w:r>
            <w:r>
              <w:t xml:space="preserve"> the </w:t>
            </w:r>
            <w:r w:rsidR="000D091C" w:rsidRPr="000D091C">
              <w:t>Government</w:t>
            </w:r>
            <w:r w:rsidR="005D6F39">
              <w:t>’</w:t>
            </w:r>
            <w:r w:rsidR="000D091C" w:rsidRPr="000D091C">
              <w:t xml:space="preserve">s </w:t>
            </w:r>
            <w:r w:rsidR="00817690">
              <w:t>b</w:t>
            </w:r>
            <w:r w:rsidR="000D091C" w:rsidRPr="000D091C">
              <w:t>udget methodology</w:t>
            </w:r>
            <w:r>
              <w:t>.</w:t>
            </w:r>
          </w:p>
          <w:p w14:paraId="68C50BEE" w14:textId="0094F467" w:rsidR="00C143C4" w:rsidRDefault="00BF7800" w:rsidP="00621827">
            <w:r>
              <w:t>The modelling was conducted on a financial year basis. For example 2027, refers to the financial year 2026</w:t>
            </w:r>
            <w:r w:rsidR="005D6F39">
              <w:noBreakHyphen/>
            </w:r>
            <w:r>
              <w:t>27 and 2050 refers to the financial year 2049</w:t>
            </w:r>
            <w:r w:rsidR="005D6F39">
              <w:noBreakHyphen/>
            </w:r>
            <w:r>
              <w:t>50.</w:t>
            </w:r>
          </w:p>
        </w:tc>
      </w:tr>
    </w:tbl>
    <w:p w14:paraId="346208EA" w14:textId="271ED9A7" w:rsidR="002879F9" w:rsidRPr="0004669D" w:rsidRDefault="000D7A49" w:rsidP="0004669D">
      <w:pPr>
        <w:pStyle w:val="Heading4"/>
        <w:spacing w:before="240"/>
      </w:pPr>
      <w:r w:rsidRPr="0004669D">
        <w:t>Scenario</w:t>
      </w:r>
      <w:r w:rsidR="008A539D" w:rsidRPr="0004669D">
        <w:t xml:space="preserve"> </w:t>
      </w:r>
      <w:r w:rsidR="008A6C2F">
        <w:t>a</w:t>
      </w:r>
      <w:r w:rsidR="008A539D" w:rsidRPr="0004669D">
        <w:t>nalysis</w:t>
      </w:r>
    </w:p>
    <w:p w14:paraId="7A214420" w14:textId="25F758F0" w:rsidR="00E72BDA" w:rsidRDefault="001938BD" w:rsidP="00621827">
      <w:r>
        <w:t xml:space="preserve">To highlight some of the factors influencing future PRRT revenue, the PRRT model was used to assess a range of scenarios which incorporate different key assumptions. The scenarios </w:t>
      </w:r>
      <w:r w:rsidR="00887EF3">
        <w:t>include</w:t>
      </w:r>
      <w:r>
        <w:t>:</w:t>
      </w:r>
    </w:p>
    <w:p w14:paraId="531A37AC" w14:textId="0D056340" w:rsidR="001938BD" w:rsidRDefault="008F7470" w:rsidP="00AE5BDF">
      <w:pPr>
        <w:pStyle w:val="Bullet"/>
      </w:pPr>
      <w:r>
        <w:t>u</w:t>
      </w:r>
      <w:r w:rsidR="002507DF">
        <w:t>nadjusted</w:t>
      </w:r>
      <w:r w:rsidR="001938BD">
        <w:t xml:space="preserve"> scenario</w:t>
      </w:r>
      <w:r w:rsidR="005D6F39">
        <w:t xml:space="preserve"> — </w:t>
      </w:r>
      <w:r w:rsidR="001938BD">
        <w:t>unadjusted Wood Mackenzie data</w:t>
      </w:r>
      <w:r>
        <w:t>;</w:t>
      </w:r>
    </w:p>
    <w:p w14:paraId="7C678579" w14:textId="51728F89" w:rsidR="001938BD" w:rsidRDefault="008F7470" w:rsidP="00AE5BDF">
      <w:pPr>
        <w:pStyle w:val="Bullet"/>
      </w:pPr>
      <w:r>
        <w:t>b</w:t>
      </w:r>
      <w:r w:rsidR="001938BD">
        <w:t>aseline scenario</w:t>
      </w:r>
      <w:r w:rsidR="005D6F39">
        <w:t xml:space="preserve"> — </w:t>
      </w:r>
      <w:r w:rsidR="001938BD">
        <w:t xml:space="preserve">Wood Mackenzie data adjusted by the review following </w:t>
      </w:r>
      <w:r w:rsidR="00887EF3">
        <w:t>engagement with</w:t>
      </w:r>
      <w:r w:rsidR="001938BD">
        <w:t xml:space="preserve"> companies, including </w:t>
      </w:r>
      <w:r w:rsidR="00887EF3">
        <w:t xml:space="preserve">on </w:t>
      </w:r>
      <w:r w:rsidR="001938BD">
        <w:t>the transferability of exploration expenditure deductions</w:t>
      </w:r>
      <w:r>
        <w:t>;</w:t>
      </w:r>
    </w:p>
    <w:p w14:paraId="2502C5BC" w14:textId="1F09A439" w:rsidR="002A224D" w:rsidRDefault="008F7470" w:rsidP="00AE5BDF">
      <w:pPr>
        <w:pStyle w:val="Bullet"/>
      </w:pPr>
      <w:r>
        <w:t>b</w:t>
      </w:r>
      <w:r w:rsidR="002A224D">
        <w:t>aseline scenario with no allowance for transferability</w:t>
      </w:r>
      <w:r w:rsidR="005D6F39">
        <w:t xml:space="preserve"> — </w:t>
      </w:r>
      <w:r w:rsidR="002A224D">
        <w:t>the review</w:t>
      </w:r>
      <w:r w:rsidR="005D6F39">
        <w:t>’</w:t>
      </w:r>
      <w:r w:rsidR="002A224D">
        <w:t>s baseline assumptions but removing the provision in the existing PRRT arrangements for companies to transfer exploration expenditure deductions</w:t>
      </w:r>
      <w:r>
        <w:t>; and</w:t>
      </w:r>
    </w:p>
    <w:p w14:paraId="47286889" w14:textId="41D8F0B4" w:rsidR="002A224D" w:rsidRDefault="008F7470" w:rsidP="00AE5BDF">
      <w:pPr>
        <w:pStyle w:val="Bullet"/>
      </w:pPr>
      <w:r>
        <w:t>o</w:t>
      </w:r>
      <w:r w:rsidR="002A224D">
        <w:t>il price scenarios</w:t>
      </w:r>
      <w:r w:rsidR="005D6F39">
        <w:t xml:space="preserve"> — </w:t>
      </w:r>
      <w:r w:rsidR="002A224D">
        <w:t xml:space="preserve">in addition to the baseline oil price assumption, the impact of </w:t>
      </w:r>
      <w:r w:rsidR="00887EF3">
        <w:t>three</w:t>
      </w:r>
      <w:r w:rsidR="002A224D">
        <w:t xml:space="preserve"> oil price assumptions </w:t>
      </w:r>
      <w:r w:rsidR="00887EF3">
        <w:t xml:space="preserve">($US45, $US80 and $US100) </w:t>
      </w:r>
      <w:r w:rsidR="002A224D">
        <w:t>are assessed.</w:t>
      </w:r>
    </w:p>
    <w:p w14:paraId="6B0DA434" w14:textId="2908D24F" w:rsidR="00760856" w:rsidRDefault="002929A5" w:rsidP="00CB4E50">
      <w:pPr>
        <w:pStyle w:val="Heading5"/>
      </w:pPr>
      <w:r>
        <w:t>Unadjusted</w:t>
      </w:r>
      <w:r w:rsidR="00760856">
        <w:t xml:space="preserve"> </w:t>
      </w:r>
      <w:r w:rsidR="008A6C2F">
        <w:t>s</w:t>
      </w:r>
      <w:r w:rsidR="00760856">
        <w:t>cenario</w:t>
      </w:r>
      <w:r w:rsidR="0033210B" w:rsidRPr="006E00DA">
        <w:t xml:space="preserve"> (</w:t>
      </w:r>
      <w:r w:rsidR="00455604">
        <w:t>u</w:t>
      </w:r>
      <w:r w:rsidR="0033210B" w:rsidRPr="006E00DA">
        <w:t>nadjusted Wood Mackenzie</w:t>
      </w:r>
      <w:r w:rsidR="008820DD">
        <w:t xml:space="preserve"> </w:t>
      </w:r>
      <w:r w:rsidR="003B7BB5">
        <w:t xml:space="preserve">data </w:t>
      </w:r>
      <w:r w:rsidR="008820DD">
        <w:t>at</w:t>
      </w:r>
      <w:r w:rsidR="00EE7FCF">
        <w:t xml:space="preserve"> </w:t>
      </w:r>
      <w:r w:rsidR="008F7470">
        <w:t>$</w:t>
      </w:r>
      <w:r w:rsidR="00EE7FCF">
        <w:t>US65</w:t>
      </w:r>
      <w:r w:rsidR="0033210B" w:rsidRPr="006E00DA">
        <w:t>)</w:t>
      </w:r>
    </w:p>
    <w:p w14:paraId="46D107D7" w14:textId="2CB0B3F4" w:rsidR="008D6FE4" w:rsidRDefault="00760856" w:rsidP="00760856">
      <w:r>
        <w:t>Under th</w:t>
      </w:r>
      <w:r w:rsidR="002A224D">
        <w:t xml:space="preserve">is </w:t>
      </w:r>
      <w:r w:rsidR="001B068D">
        <w:t>s</w:t>
      </w:r>
      <w:r>
        <w:t xml:space="preserve">cenario, </w:t>
      </w:r>
      <w:r w:rsidR="00AB7C69">
        <w:t xml:space="preserve">illustrated in </w:t>
      </w:r>
      <w:r w:rsidR="00AB7C69" w:rsidRPr="006D28D4">
        <w:t>Figure 2.5</w:t>
      </w:r>
      <w:r w:rsidR="00AB7C69">
        <w:t xml:space="preserve">, </w:t>
      </w:r>
      <w:r>
        <w:t xml:space="preserve">unadjusted Wood Mackenzie data </w:t>
      </w:r>
      <w:r w:rsidR="008D0FBB">
        <w:t>are</w:t>
      </w:r>
      <w:r>
        <w:t xml:space="preserve"> </w:t>
      </w:r>
      <w:r w:rsidR="002A224D">
        <w:t>used</w:t>
      </w:r>
      <w:r w:rsidR="003C7077">
        <w:t xml:space="preserve"> </w:t>
      </w:r>
      <w:r>
        <w:t>in the review</w:t>
      </w:r>
      <w:r w:rsidR="005D6F39">
        <w:t>’</w:t>
      </w:r>
      <w:r>
        <w:t xml:space="preserve">s PRRT </w:t>
      </w:r>
      <w:r w:rsidR="003C7077">
        <w:t>m</w:t>
      </w:r>
      <w:r>
        <w:t>odel.</w:t>
      </w:r>
      <w:r w:rsidR="000129A9">
        <w:t xml:space="preserve"> The scenario assumes a steady oil price assumption of $US65</w:t>
      </w:r>
      <w:r w:rsidR="005137C0">
        <w:t> </w:t>
      </w:r>
      <w:r w:rsidR="0048129A">
        <w:t>per</w:t>
      </w:r>
      <w:r w:rsidR="005137C0">
        <w:t> </w:t>
      </w:r>
      <w:r w:rsidR="000129A9">
        <w:t>barrel (indexed to retain its real value).</w:t>
      </w:r>
      <w:r w:rsidR="008D6FE4">
        <w:t xml:space="preserve"> </w:t>
      </w:r>
      <w:r>
        <w:t xml:space="preserve">The </w:t>
      </w:r>
      <w:r w:rsidR="00AB7C69">
        <w:t>u</w:t>
      </w:r>
      <w:r w:rsidR="002929A5">
        <w:t>nadjusted</w:t>
      </w:r>
      <w:r>
        <w:t xml:space="preserve"> </w:t>
      </w:r>
      <w:r w:rsidR="00AB7C69">
        <w:t>s</w:t>
      </w:r>
      <w:r>
        <w:t xml:space="preserve">cenario </w:t>
      </w:r>
      <w:r w:rsidR="001B068D">
        <w:t>assumes</w:t>
      </w:r>
      <w:r>
        <w:t xml:space="preserve"> the PRRT system </w:t>
      </w:r>
      <w:r w:rsidR="002A224D">
        <w:t xml:space="preserve">operates </w:t>
      </w:r>
      <w:r w:rsidR="000129A9" w:rsidDel="002A224D">
        <w:t xml:space="preserve">on a </w:t>
      </w:r>
      <w:r w:rsidR="00E90B65">
        <w:t>project</w:t>
      </w:r>
      <w:r w:rsidR="000129A9">
        <w:t xml:space="preserve"> basis</w:t>
      </w:r>
      <w:r w:rsidR="00AC3C75">
        <w:t xml:space="preserve"> and</w:t>
      </w:r>
      <w:r w:rsidR="000129A9">
        <w:t xml:space="preserve"> does not </w:t>
      </w:r>
      <w:r w:rsidR="00AC3C75">
        <w:t xml:space="preserve">take into </w:t>
      </w:r>
      <w:r w:rsidR="000129A9">
        <w:t>account the transferability of</w:t>
      </w:r>
      <w:r>
        <w:t xml:space="preserve"> exploration expenditure.</w:t>
      </w:r>
    </w:p>
    <w:p w14:paraId="54385788" w14:textId="2F7B69B7" w:rsidR="00EE7FCF" w:rsidRDefault="00D60736" w:rsidP="00221C2A">
      <w:pPr>
        <w:pStyle w:val="ChartMainHeading"/>
      </w:pPr>
      <w:r>
        <w:t xml:space="preserve">Figure </w:t>
      </w:r>
      <w:r w:rsidRPr="006D28D4">
        <w:t>2.5</w:t>
      </w:r>
      <w:r w:rsidR="00EE7FCF">
        <w:t xml:space="preserve"> </w:t>
      </w:r>
      <w:r w:rsidR="00455604" w:rsidRPr="00AE5BDF">
        <w:t>—</w:t>
      </w:r>
      <w:r w:rsidR="00EE7FCF">
        <w:t xml:space="preserve"> </w:t>
      </w:r>
      <w:r w:rsidR="002929A5">
        <w:t>Unadjusted</w:t>
      </w:r>
      <w:r w:rsidR="00EE7FCF">
        <w:t xml:space="preserve"> </w:t>
      </w:r>
      <w:r w:rsidR="00455604">
        <w:t>s</w:t>
      </w:r>
      <w:r w:rsidR="00EE7FCF">
        <w:t>cenario (</w:t>
      </w:r>
      <w:r w:rsidR="002929A5">
        <w:t>u</w:t>
      </w:r>
      <w:r w:rsidR="00EE7FCF">
        <w:t xml:space="preserve">nadjusted Wood Mackenzie </w:t>
      </w:r>
      <w:r w:rsidR="002929A5">
        <w:t>data</w:t>
      </w:r>
      <w:r w:rsidR="00823FDB">
        <w:t>)</w:t>
      </w:r>
      <w:r w:rsidR="00EE7FCF">
        <w:t xml:space="preserve"> </w:t>
      </w:r>
      <w:r w:rsidR="008820DD">
        <w:t>at $US65</w:t>
      </w:r>
    </w:p>
    <w:bookmarkStart w:id="4551" w:name="_1553413876"/>
    <w:bookmarkStart w:id="4552" w:name="_1553502194"/>
    <w:bookmarkEnd w:id="4551"/>
    <w:bookmarkEnd w:id="4552"/>
    <w:p w14:paraId="69CAB41D" w14:textId="18F2ABED" w:rsidR="0094127B" w:rsidRDefault="005137C0" w:rsidP="0033210B">
      <w:pPr>
        <w:pStyle w:val="ChartGraphic"/>
      </w:pPr>
      <w:r>
        <w:object w:dxaOrig="8775" w:dyaOrig="4516" w14:anchorId="332C7F0D">
          <v:shape id="_x0000_i1035" type="#_x0000_t75" alt="Figure 2.5 shows the level of PRRT revenue collected under the unadjusted scenario using unadjusted Wood Mackenzie data (with no exploration transfers) at an oil price of $US65 per barrel. " style="width:439.5pt;height:225.75pt" o:ole="">
            <v:imagedata r:id="rId50" o:title=""/>
          </v:shape>
          <o:OLEObject Type="Link" ProgID="Excel.Sheet.12" ShapeID="_x0000_i1035" DrawAspect="Content" r:id="rId51" UpdateMode="Always">
            <o:LinkType>EnhancedMetaFile</o:LinkType>
            <o:LockedField>false</o:LockedField>
          </o:OLEObject>
        </w:object>
      </w:r>
    </w:p>
    <w:p w14:paraId="112556FA" w14:textId="61EA7300" w:rsidR="00CB4E50" w:rsidRDefault="00CB4E50" w:rsidP="005137C0">
      <w:pPr>
        <w:pStyle w:val="ChartorTableNote"/>
      </w:pPr>
      <w:r w:rsidRPr="00632CE3">
        <w:t>Source: Petroleum Resource Rent Tax Review Secretariat</w:t>
      </w:r>
      <w:r w:rsidR="00455604">
        <w:t>.</w:t>
      </w:r>
    </w:p>
    <w:p w14:paraId="11F46DD0" w14:textId="77777777" w:rsidR="005137C0" w:rsidRPr="005137C0" w:rsidRDefault="005137C0" w:rsidP="005137C0">
      <w:pPr>
        <w:pStyle w:val="SingleParagraph"/>
      </w:pPr>
    </w:p>
    <w:p w14:paraId="0BE40D7E" w14:textId="65124F08" w:rsidR="004C165A" w:rsidRDefault="008A2603" w:rsidP="00E5359F">
      <w:r>
        <w:t xml:space="preserve">Under </w:t>
      </w:r>
      <w:r w:rsidR="00EE7FCF">
        <w:t xml:space="preserve">the </w:t>
      </w:r>
      <w:r w:rsidR="008F7470">
        <w:t>u</w:t>
      </w:r>
      <w:r w:rsidR="002929A5">
        <w:t>nadjusted</w:t>
      </w:r>
      <w:r w:rsidR="00E5359F">
        <w:t xml:space="preserve"> </w:t>
      </w:r>
      <w:r w:rsidR="008F7470">
        <w:t>s</w:t>
      </w:r>
      <w:r w:rsidR="00E5359F">
        <w:t>cenario,</w:t>
      </w:r>
      <w:r>
        <w:t xml:space="preserve"> PRRT </w:t>
      </w:r>
      <w:r w:rsidR="002A2DA3">
        <w:t>revenue</w:t>
      </w:r>
      <w:r>
        <w:t xml:space="preserve"> </w:t>
      </w:r>
      <w:r w:rsidR="002A2DA3">
        <w:t>is</w:t>
      </w:r>
      <w:r>
        <w:t xml:space="preserve"> </w:t>
      </w:r>
      <w:r w:rsidR="0043101D">
        <w:t>estimated</w:t>
      </w:r>
      <w:r>
        <w:t xml:space="preserve"> to </w:t>
      </w:r>
      <w:r w:rsidR="00AC3C75">
        <w:t>total</w:t>
      </w:r>
      <w:r>
        <w:t xml:space="preserve"> </w:t>
      </w:r>
      <w:r w:rsidR="0043101D">
        <w:t xml:space="preserve">around </w:t>
      </w:r>
      <w:r>
        <w:t>$</w:t>
      </w:r>
      <w:r w:rsidR="0043101D">
        <w:t>12</w:t>
      </w:r>
      <w:r>
        <w:t xml:space="preserve"> billion over the 10 years to 2027, </w:t>
      </w:r>
      <w:r w:rsidR="00AC3C75">
        <w:t xml:space="preserve">and </w:t>
      </w:r>
      <w:r>
        <w:t>$</w:t>
      </w:r>
      <w:r w:rsidR="0043101D">
        <w:t>48</w:t>
      </w:r>
      <w:r>
        <w:t xml:space="preserve"> billion</w:t>
      </w:r>
      <w:r w:rsidR="00AC3C75">
        <w:t xml:space="preserve"> </w:t>
      </w:r>
      <w:r w:rsidR="00E90B65">
        <w:t>over the</w:t>
      </w:r>
      <w:r w:rsidR="00AC3C75">
        <w:t xml:space="preserve"> period to 2050</w:t>
      </w:r>
      <w:r>
        <w:t>.</w:t>
      </w:r>
    </w:p>
    <w:p w14:paraId="435FE4EC" w14:textId="10906FB1" w:rsidR="008F737E" w:rsidRDefault="008F737E" w:rsidP="00760856">
      <w:r>
        <w:t>Under this scenario most of the major LNG projects do not pay any PRRT. PRRT revenue comes largely from the</w:t>
      </w:r>
      <w:r w:rsidR="008F5DC6">
        <w:t xml:space="preserve"> </w:t>
      </w:r>
      <w:r w:rsidR="00EE7FCF">
        <w:t xml:space="preserve">existing </w:t>
      </w:r>
      <w:r w:rsidR="008F5DC6">
        <w:t xml:space="preserve">Bass Strait, </w:t>
      </w:r>
      <w:r w:rsidR="00EE7FCF">
        <w:t>Enfield</w:t>
      </w:r>
      <w:r w:rsidR="005D6F39">
        <w:noBreakHyphen/>
      </w:r>
      <w:r w:rsidR="00EE7FCF">
        <w:t>Vincent</w:t>
      </w:r>
      <w:r w:rsidR="00F951B7">
        <w:t xml:space="preserve"> and</w:t>
      </w:r>
      <w:r w:rsidR="00EE7FCF">
        <w:t xml:space="preserve"> Pyrenees</w:t>
      </w:r>
      <w:r w:rsidR="005D6F39">
        <w:noBreakHyphen/>
      </w:r>
      <w:r w:rsidR="00EE7FCF">
        <w:t xml:space="preserve">Macedon </w:t>
      </w:r>
      <w:r w:rsidR="00904A52">
        <w:t>projects</w:t>
      </w:r>
      <w:r w:rsidR="00EE7FCF">
        <w:t>, with some revenue also coming from the</w:t>
      </w:r>
      <w:r>
        <w:t xml:space="preserve"> </w:t>
      </w:r>
      <w:r w:rsidR="008F5DC6">
        <w:t>Ic</w:t>
      </w:r>
      <w:r w:rsidR="00EE7FCF">
        <w:t xml:space="preserve">hthys and </w:t>
      </w:r>
      <w:r w:rsidR="008F5DC6">
        <w:t xml:space="preserve">Wheatstone </w:t>
      </w:r>
      <w:r>
        <w:t>projects.</w:t>
      </w:r>
    </w:p>
    <w:p w14:paraId="5F06630C" w14:textId="2EA74DEC" w:rsidR="008F737E" w:rsidRDefault="000D7142" w:rsidP="00760856">
      <w:r>
        <w:t>In t</w:t>
      </w:r>
      <w:r w:rsidR="00760856">
        <w:t>h</w:t>
      </w:r>
      <w:r>
        <w:t>e absence of</w:t>
      </w:r>
      <w:r w:rsidR="00760856">
        <w:t xml:space="preserve"> exploration </w:t>
      </w:r>
      <w:r>
        <w:t>expenditure</w:t>
      </w:r>
      <w:r w:rsidR="00760856">
        <w:t xml:space="preserve"> </w:t>
      </w:r>
      <w:r>
        <w:t>being transferred</w:t>
      </w:r>
      <w:r w:rsidR="008F5DC6">
        <w:t>,</w:t>
      </w:r>
      <w:r>
        <w:t xml:space="preserve"> </w:t>
      </w:r>
      <w:r w:rsidR="00760856">
        <w:t xml:space="preserve">PRRT </w:t>
      </w:r>
      <w:r w:rsidR="002A2DA3">
        <w:t>revenue</w:t>
      </w:r>
      <w:r>
        <w:t xml:space="preserve"> would be very</w:t>
      </w:r>
      <w:r w:rsidR="008F5DC6">
        <w:t xml:space="preserve"> </w:t>
      </w:r>
      <w:r w:rsidR="00760856">
        <w:t>subdued over the period</w:t>
      </w:r>
      <w:r>
        <w:t>. This is because under these assumptions</w:t>
      </w:r>
      <w:r w:rsidR="008F5DC6">
        <w:t xml:space="preserve"> exploration expenditure is </w:t>
      </w:r>
      <w:r w:rsidR="000129A9">
        <w:t>retained in the original project</w:t>
      </w:r>
      <w:r w:rsidR="008F5DC6">
        <w:t xml:space="preserve"> and only deducted after general expenditure</w:t>
      </w:r>
      <w:r w:rsidR="00EE7FCF">
        <w:t>, allowing</w:t>
      </w:r>
      <w:r w:rsidR="000129A9">
        <w:t xml:space="preserve"> </w:t>
      </w:r>
      <w:r w:rsidR="008F5DC6">
        <w:t xml:space="preserve">it </w:t>
      </w:r>
      <w:r w:rsidR="000129A9">
        <w:t>to be uplifted</w:t>
      </w:r>
      <w:r w:rsidR="008F5DC6">
        <w:t>, typically at LTBR</w:t>
      </w:r>
      <w:r w:rsidR="00EE7FCF">
        <w:t xml:space="preserve"> plus </w:t>
      </w:r>
      <w:r w:rsidR="008F5DC6">
        <w:t>15</w:t>
      </w:r>
      <w:r w:rsidR="00FF0C04">
        <w:t xml:space="preserve"> percentage points</w:t>
      </w:r>
      <w:r w:rsidR="008F5DC6">
        <w:t>, over a longer</w:t>
      </w:r>
      <w:r w:rsidR="000129A9">
        <w:t xml:space="preserve"> timeframe (for more detail on the transferability of exploration expenditure, see </w:t>
      </w:r>
      <w:r w:rsidR="008F7470" w:rsidRPr="006D28D4">
        <w:t>s</w:t>
      </w:r>
      <w:r w:rsidR="000129A9" w:rsidRPr="006D28D4">
        <w:t xml:space="preserve">ection </w:t>
      </w:r>
      <w:r w:rsidR="008F7470" w:rsidRPr="006D28D4">
        <w:t>4</w:t>
      </w:r>
      <w:r w:rsidR="000129A9" w:rsidRPr="006D28D4">
        <w:t>.</w:t>
      </w:r>
      <w:r w:rsidR="00E03E04" w:rsidRPr="006D28D4">
        <w:t>3</w:t>
      </w:r>
      <w:r w:rsidR="000129A9">
        <w:t>)</w:t>
      </w:r>
      <w:r w:rsidR="002F265F">
        <w:t xml:space="preserve"> </w:t>
      </w:r>
    </w:p>
    <w:p w14:paraId="477C0FC4" w14:textId="029FEEDF" w:rsidR="00BF6E90" w:rsidRDefault="008F7470" w:rsidP="00760856">
      <w:r>
        <w:t>U</w:t>
      </w:r>
      <w:r w:rsidR="008F5DC6">
        <w:t>plift at LTBR</w:t>
      </w:r>
      <w:r w:rsidR="00EE7FCF">
        <w:t xml:space="preserve"> plus </w:t>
      </w:r>
      <w:r w:rsidR="008F5DC6">
        <w:t>15</w:t>
      </w:r>
      <w:r w:rsidR="00FF0C04">
        <w:t xml:space="preserve"> percentage points</w:t>
      </w:r>
      <w:r w:rsidR="008F5DC6">
        <w:t xml:space="preserve"> allows </w:t>
      </w:r>
      <w:r>
        <w:t xml:space="preserve">exploration </w:t>
      </w:r>
      <w:r w:rsidR="008F5DC6">
        <w:t>deduction</w:t>
      </w:r>
      <w:r>
        <w:t>s</w:t>
      </w:r>
      <w:r w:rsidR="008F5DC6">
        <w:t xml:space="preserve"> to almost double every four years, which means that a moderate amount of exploration expenditure can grow into a large tax shield</w:t>
      </w:r>
      <w:r w:rsidR="009E5A00">
        <w:t xml:space="preserve">, while general expenditure is being deducted. </w:t>
      </w:r>
    </w:p>
    <w:p w14:paraId="7C7482D0" w14:textId="0E421FE5" w:rsidR="008A539D" w:rsidRDefault="008A539D" w:rsidP="00CB4E50">
      <w:pPr>
        <w:pStyle w:val="Heading5"/>
      </w:pPr>
      <w:r>
        <w:t>Baseline</w:t>
      </w:r>
      <w:r w:rsidR="00760856">
        <w:t xml:space="preserve"> </w:t>
      </w:r>
      <w:r w:rsidR="008A6C2F">
        <w:t>s</w:t>
      </w:r>
      <w:r w:rsidR="00760856">
        <w:t>cenario</w:t>
      </w:r>
      <w:r w:rsidR="0094127B">
        <w:t xml:space="preserve"> (Wood Mackenzie </w:t>
      </w:r>
      <w:r w:rsidR="00F951B7">
        <w:t>d</w:t>
      </w:r>
      <w:r w:rsidR="002929A5">
        <w:t xml:space="preserve">ata </w:t>
      </w:r>
      <w:r w:rsidR="00F951B7">
        <w:t>a</w:t>
      </w:r>
      <w:r w:rsidR="00823FDB">
        <w:t>djusted</w:t>
      </w:r>
      <w:r w:rsidR="002929A5">
        <w:t xml:space="preserve"> </w:t>
      </w:r>
      <w:r w:rsidR="00823FDB">
        <w:t>for</w:t>
      </w:r>
      <w:r w:rsidR="0094127B">
        <w:t xml:space="preserve"> </w:t>
      </w:r>
      <w:r w:rsidR="00F951B7">
        <w:t>e</w:t>
      </w:r>
      <w:r w:rsidR="00EA5BAB">
        <w:t xml:space="preserve">xploration </w:t>
      </w:r>
      <w:r w:rsidR="00F951B7">
        <w:t>t</w:t>
      </w:r>
      <w:r w:rsidR="0094127B">
        <w:t xml:space="preserve">ransfers) </w:t>
      </w:r>
      <w:r w:rsidR="008F7470">
        <w:t>at</w:t>
      </w:r>
      <w:r w:rsidR="0094127B">
        <w:t xml:space="preserve"> $US65</w:t>
      </w:r>
    </w:p>
    <w:p w14:paraId="64A90E1B" w14:textId="76B2052D" w:rsidR="0094127B" w:rsidRDefault="001B068D" w:rsidP="0094127B">
      <w:r>
        <w:t>Under th</w:t>
      </w:r>
      <w:r w:rsidR="00AC3C75">
        <w:t>is</w:t>
      </w:r>
      <w:r>
        <w:t xml:space="preserve"> s</w:t>
      </w:r>
      <w:r w:rsidR="00760856">
        <w:t xml:space="preserve">cenario, adjusted Wood Mackenzie data </w:t>
      </w:r>
      <w:r w:rsidR="008F7470">
        <w:t>are</w:t>
      </w:r>
      <w:r w:rsidR="00760856">
        <w:t xml:space="preserve"> </w:t>
      </w:r>
      <w:r w:rsidR="00AC3C75">
        <w:t>used in</w:t>
      </w:r>
      <w:r w:rsidR="00760856">
        <w:t xml:space="preserve"> the PRRT </w:t>
      </w:r>
      <w:r w:rsidR="004C2A61">
        <w:t>m</w:t>
      </w:r>
      <w:r w:rsidR="00760856">
        <w:t>odel. The adjust</w:t>
      </w:r>
      <w:r w:rsidR="00BA7DDF">
        <w:t>ments</w:t>
      </w:r>
      <w:r w:rsidR="00760856">
        <w:t xml:space="preserve"> </w:t>
      </w:r>
      <w:r w:rsidR="00BA7DDF">
        <w:t xml:space="preserve">are </w:t>
      </w:r>
      <w:r w:rsidR="00760856">
        <w:t>based on discussions with individual oil and gas companies.</w:t>
      </w:r>
      <w:r w:rsidR="000129A9">
        <w:t xml:space="preserve"> </w:t>
      </w:r>
      <w:r w:rsidR="0094127B">
        <w:t>The baseline scenario includes the transferability of exploration expenditure. Under the PRRT rules, eligible exploration expenditure owned by a company is compulsorily transferred to a paying project in which the same company has ownership</w:t>
      </w:r>
      <w:r w:rsidR="00AB7C69">
        <w:t xml:space="preserve"> (see </w:t>
      </w:r>
      <w:r w:rsidR="00AB7C69" w:rsidRPr="006D28D4">
        <w:t>Appendix B.1.7</w:t>
      </w:r>
      <w:r w:rsidR="00AB7C69">
        <w:t>)</w:t>
      </w:r>
      <w:r w:rsidR="0094127B">
        <w:t xml:space="preserve">. This results in more PRRT being paid overall, as deductible exploration expenditure is used more quickly and so does not compound for as </w:t>
      </w:r>
      <w:r w:rsidR="00847294">
        <w:t>long</w:t>
      </w:r>
      <w:r w:rsidR="0094127B">
        <w:t>. The adjustments to the Wood Mackenzie data incorporate feedback from companies on future exploration expenditure which in their view is likely to be transferred.</w:t>
      </w:r>
    </w:p>
    <w:p w14:paraId="2AA0845F" w14:textId="2F3A3C36" w:rsidR="00CD56A3" w:rsidRDefault="008A539D" w:rsidP="002E58C4">
      <w:r>
        <w:t xml:space="preserve">The baseline </w:t>
      </w:r>
      <w:r w:rsidR="00760856">
        <w:t>scenario</w:t>
      </w:r>
      <w:r w:rsidR="00883DB0">
        <w:t xml:space="preserve">, illustrated in </w:t>
      </w:r>
      <w:r w:rsidR="00883DB0" w:rsidRPr="006D28D4">
        <w:t>Figure 2.6</w:t>
      </w:r>
      <w:r w:rsidR="00883DB0">
        <w:t>,</w:t>
      </w:r>
      <w:r w:rsidR="004C165A">
        <w:t xml:space="preserve"> assumes a steady oil price assumption of $US65 per barrel</w:t>
      </w:r>
      <w:r w:rsidR="00E84E04">
        <w:t xml:space="preserve"> (indexed to retain its real value)</w:t>
      </w:r>
      <w:r w:rsidR="004C165A">
        <w:t>.</w:t>
      </w:r>
    </w:p>
    <w:p w14:paraId="02E4BD84" w14:textId="3051C7C9" w:rsidR="0033210B" w:rsidRDefault="0033210B" w:rsidP="00221C2A">
      <w:pPr>
        <w:pStyle w:val="ChartMainHeading"/>
      </w:pPr>
      <w:r w:rsidRPr="00AE5BDF">
        <w:t xml:space="preserve">Figure </w:t>
      </w:r>
      <w:r w:rsidR="00D60736" w:rsidRPr="006D28D4">
        <w:t>2.6</w:t>
      </w:r>
      <w:r>
        <w:t xml:space="preserve"> </w:t>
      </w:r>
      <w:r w:rsidR="00455604" w:rsidRPr="00AE5BDF">
        <w:t>—</w:t>
      </w:r>
      <w:r>
        <w:t xml:space="preserve"> </w:t>
      </w:r>
      <w:r w:rsidRPr="00AE5BDF">
        <w:t xml:space="preserve">Baseline </w:t>
      </w:r>
      <w:r w:rsidR="00455604">
        <w:t>s</w:t>
      </w:r>
      <w:r>
        <w:t>cenario (</w:t>
      </w:r>
      <w:r w:rsidR="00455604">
        <w:t>a</w:t>
      </w:r>
      <w:r>
        <w:t xml:space="preserve">djusted Wood Mackenzie </w:t>
      </w:r>
      <w:r w:rsidR="00455604">
        <w:t>d</w:t>
      </w:r>
      <w:r w:rsidR="002929A5">
        <w:t xml:space="preserve">ata </w:t>
      </w:r>
      <w:r w:rsidR="008820DD">
        <w:t xml:space="preserve">with </w:t>
      </w:r>
      <w:r w:rsidR="00455604">
        <w:t>e</w:t>
      </w:r>
      <w:r w:rsidR="008820DD">
        <w:t xml:space="preserve">xploration </w:t>
      </w:r>
      <w:r w:rsidR="00455604">
        <w:t>t</w:t>
      </w:r>
      <w:r w:rsidR="008820DD">
        <w:t>ransfers) at</w:t>
      </w:r>
      <w:r>
        <w:t xml:space="preserve"> $US65</w:t>
      </w:r>
    </w:p>
    <w:p w14:paraId="3E209E4E" w14:textId="453930C3" w:rsidR="0094127B" w:rsidRDefault="008820DD" w:rsidP="008820DD">
      <w:pPr>
        <w:pStyle w:val="ChartGraphic"/>
      </w:pPr>
      <w:r>
        <w:fldChar w:fldCharType="begin"/>
      </w:r>
      <w:r>
        <w:instrText xml:space="preserve"> LINK Excel.Sheet.12 "" "" \a \p </w:instrText>
      </w:r>
      <w:r>
        <w:fldChar w:fldCharType="separate"/>
      </w:r>
      <w:r w:rsidR="00C46B37">
        <w:object w:dxaOrig="8775" w:dyaOrig="4530" w14:anchorId="729E5373">
          <v:shape id="_x0000_i1036" type="#_x0000_t75" alt="Figure 2.6 shows the level of PRRT revenue under the baseline scenario (adjusted Wood Mackenzie data with exploration transfers) at an oil price of $US65 per barrel." style="width:438.75pt;height:227.25pt">
            <v:imagedata r:id="rId52" o:title=""/>
          </v:shape>
        </w:object>
      </w:r>
      <w:r>
        <w:fldChar w:fldCharType="end"/>
      </w:r>
    </w:p>
    <w:p w14:paraId="0F980863" w14:textId="773B97A6" w:rsidR="00CB4E50" w:rsidRDefault="00CB4E50" w:rsidP="005137C0">
      <w:pPr>
        <w:pStyle w:val="ChartorTableNote"/>
      </w:pPr>
      <w:r w:rsidRPr="00632CE3">
        <w:t>Source: Petroleum Resource Rent Tax Review Secretariat</w:t>
      </w:r>
      <w:r w:rsidR="00455604">
        <w:t>.</w:t>
      </w:r>
    </w:p>
    <w:p w14:paraId="794A6D48" w14:textId="77777777" w:rsidR="005137C0" w:rsidRPr="005137C0" w:rsidRDefault="005137C0" w:rsidP="005137C0">
      <w:pPr>
        <w:pStyle w:val="SingleParagraph"/>
      </w:pPr>
    </w:p>
    <w:p w14:paraId="27128310" w14:textId="5D5E3279" w:rsidR="005546C9" w:rsidRDefault="004C7D3D" w:rsidP="002E58C4">
      <w:r w:rsidRPr="004C7D3D">
        <w:t xml:space="preserve">Under </w:t>
      </w:r>
      <w:r>
        <w:t xml:space="preserve">the </w:t>
      </w:r>
      <w:r w:rsidR="00071619">
        <w:t>review</w:t>
      </w:r>
      <w:r w:rsidR="005D6F39">
        <w:t>’</w:t>
      </w:r>
      <w:r w:rsidR="00071619">
        <w:t xml:space="preserve">s </w:t>
      </w:r>
      <w:r>
        <w:t>base</w:t>
      </w:r>
      <w:r w:rsidR="001B068D">
        <w:t>line</w:t>
      </w:r>
      <w:r>
        <w:t xml:space="preserve"> </w:t>
      </w:r>
      <w:r w:rsidR="001B068D">
        <w:t>scenario</w:t>
      </w:r>
      <w:r w:rsidR="00E053CC">
        <w:t xml:space="preserve">, PRRT </w:t>
      </w:r>
      <w:r w:rsidR="002A2DA3">
        <w:t>revenue is</w:t>
      </w:r>
      <w:r w:rsidR="00E053CC">
        <w:t xml:space="preserve"> e</w:t>
      </w:r>
      <w:r w:rsidR="00071619">
        <w:t xml:space="preserve">stimated </w:t>
      </w:r>
      <w:r w:rsidR="00E053CC">
        <w:t xml:space="preserve">to </w:t>
      </w:r>
      <w:r w:rsidR="00AC3C75">
        <w:t xml:space="preserve">total </w:t>
      </w:r>
      <w:r w:rsidR="00071619">
        <w:t xml:space="preserve">around </w:t>
      </w:r>
      <w:r w:rsidR="005546C9">
        <w:t>$</w:t>
      </w:r>
      <w:r w:rsidR="005546C9" w:rsidRPr="00EA5BAB">
        <w:t>12</w:t>
      </w:r>
      <w:r w:rsidR="00E84E04">
        <w:t> </w:t>
      </w:r>
      <w:r w:rsidR="005546C9">
        <w:t xml:space="preserve">billion over the ten years to 2027, while PRRT </w:t>
      </w:r>
      <w:r w:rsidR="002A2DA3">
        <w:t>revenue</w:t>
      </w:r>
      <w:r w:rsidR="005546C9">
        <w:t xml:space="preserve"> </w:t>
      </w:r>
      <w:r w:rsidR="001E1096">
        <w:t xml:space="preserve">in the period </w:t>
      </w:r>
      <w:r w:rsidR="005546C9">
        <w:t xml:space="preserve">to 2050 </w:t>
      </w:r>
      <w:r w:rsidR="00E74839">
        <w:t>is</w:t>
      </w:r>
      <w:r w:rsidR="005546C9">
        <w:t xml:space="preserve"> e</w:t>
      </w:r>
      <w:r w:rsidR="00071619">
        <w:t xml:space="preserve">stimated </w:t>
      </w:r>
      <w:r w:rsidR="005546C9">
        <w:t xml:space="preserve">to </w:t>
      </w:r>
      <w:r w:rsidR="001E1096">
        <w:t>be</w:t>
      </w:r>
      <w:r w:rsidR="005546C9">
        <w:t xml:space="preserve"> </w:t>
      </w:r>
      <w:r w:rsidR="00071619">
        <w:t>about</w:t>
      </w:r>
      <w:r w:rsidR="005137C0">
        <w:t> </w:t>
      </w:r>
      <w:r w:rsidR="005546C9">
        <w:t>$</w:t>
      </w:r>
      <w:r w:rsidR="005546C9" w:rsidRPr="00EA5BAB">
        <w:t>106</w:t>
      </w:r>
      <w:r w:rsidR="005546C9">
        <w:t xml:space="preserve"> billion.</w:t>
      </w:r>
    </w:p>
    <w:p w14:paraId="6049D111" w14:textId="2056A7E8" w:rsidR="00EE7FCF" w:rsidRDefault="00386723" w:rsidP="00386723">
      <w:r>
        <w:t>Under the base</w:t>
      </w:r>
      <w:r w:rsidR="001B068D">
        <w:t>line scenario</w:t>
      </w:r>
      <w:r>
        <w:t>, Bass Strait, Enfield</w:t>
      </w:r>
      <w:r w:rsidR="005D6F39">
        <w:noBreakHyphen/>
      </w:r>
      <w:r>
        <w:t>Vincent and Pyrenees</w:t>
      </w:r>
      <w:r w:rsidR="005D6F39">
        <w:noBreakHyphen/>
      </w:r>
      <w:r>
        <w:t xml:space="preserve">Macedon are expected to continue paying PRRT throughout their project lives. New projects that are expected to pay PRRT </w:t>
      </w:r>
      <w:r w:rsidR="00EE7FCF">
        <w:t>over the next decade</w:t>
      </w:r>
      <w:r>
        <w:t xml:space="preserve"> are Gorgon, Ichthys, Wheatstone and Pluto. </w:t>
      </w:r>
      <w:r w:rsidR="00EE7FCF">
        <w:t xml:space="preserve">Collections are then expected to remain relatively high throughout the life of these projects. The baseline scenario </w:t>
      </w:r>
      <w:r w:rsidR="00BD4749">
        <w:t xml:space="preserve">also illustrates </w:t>
      </w:r>
      <w:r w:rsidR="00EE7FCF">
        <w:t xml:space="preserve">negative PRRT </w:t>
      </w:r>
      <w:r w:rsidR="00BD4749">
        <w:t>revenue</w:t>
      </w:r>
      <w:r w:rsidR="00EE7FCF">
        <w:t xml:space="preserve"> in the mid</w:t>
      </w:r>
      <w:r w:rsidR="005D6F39">
        <w:noBreakHyphen/>
      </w:r>
      <w:r w:rsidR="00EE7FCF">
        <w:t>2040s</w:t>
      </w:r>
      <w:r w:rsidR="00BD4749">
        <w:t>,</w:t>
      </w:r>
      <w:r w:rsidR="00EE7FCF">
        <w:t xml:space="preserve"> as major projects like Bass Strait and Ichthys come to an end and have their closing down costs refunded (</w:t>
      </w:r>
      <w:r w:rsidR="00EE7FCF" w:rsidRPr="006D28D4">
        <w:t>see </w:t>
      </w:r>
      <w:r w:rsidR="008820DD" w:rsidRPr="006D28D4">
        <w:t>s</w:t>
      </w:r>
      <w:r w:rsidR="00D60736" w:rsidRPr="006D28D4">
        <w:t>ection </w:t>
      </w:r>
      <w:r w:rsidR="008820DD" w:rsidRPr="006D28D4">
        <w:t>4.8</w:t>
      </w:r>
      <w:r w:rsidR="00EE7FCF">
        <w:t>).</w:t>
      </w:r>
      <w:r w:rsidR="00BD4749">
        <w:t xml:space="preserve"> </w:t>
      </w:r>
      <w:r w:rsidR="00883DB0">
        <w:t>O</w:t>
      </w:r>
      <w:r>
        <w:t xml:space="preserve">nshore projects are not expected to pay PRRT because of their starting base </w:t>
      </w:r>
      <w:r w:rsidR="00883DB0">
        <w:t xml:space="preserve">deductions </w:t>
      </w:r>
      <w:r>
        <w:t>and resource tax credits for royalties paid.</w:t>
      </w:r>
    </w:p>
    <w:p w14:paraId="255FE37A" w14:textId="2BC65407" w:rsidR="00185455" w:rsidRDefault="00271C3F" w:rsidP="00386723">
      <w:r>
        <w:t xml:space="preserve">The </w:t>
      </w:r>
      <w:r w:rsidR="001B068D">
        <w:t>baseline scenario</w:t>
      </w:r>
      <w:r>
        <w:t xml:space="preserve"> </w:t>
      </w:r>
      <w:r w:rsidR="00E84E04">
        <w:t xml:space="preserve">reflects PRRT collections from projects that are currently operating or in development, but </w:t>
      </w:r>
      <w:r>
        <w:t xml:space="preserve">does not </w:t>
      </w:r>
      <w:r w:rsidR="00E84E04">
        <w:t>include</w:t>
      </w:r>
      <w:r>
        <w:t xml:space="preserve"> discoveries or developments that could take place in the future</w:t>
      </w:r>
      <w:r w:rsidR="00E84E04">
        <w:t>.</w:t>
      </w:r>
      <w:r>
        <w:t xml:space="preserve"> </w:t>
      </w:r>
      <w:r w:rsidR="00185455">
        <w:t xml:space="preserve">The baseline scenario also does not include deductible expenditure that may currently sit outside the PRRT system and has not been advised to the review. For example, exploration expenditure that has been undertaken for possible future projects, </w:t>
      </w:r>
      <w:r w:rsidR="00823FDB">
        <w:t xml:space="preserve">deductions for </w:t>
      </w:r>
      <w:r w:rsidR="00185455">
        <w:t xml:space="preserve">which may either be used by new projects if they </w:t>
      </w:r>
      <w:r w:rsidR="00A90E87">
        <w:t>proceed</w:t>
      </w:r>
      <w:r w:rsidR="00185455">
        <w:t xml:space="preserve"> or transferred to other projects.</w:t>
      </w:r>
      <w:r w:rsidR="00847294">
        <w:t xml:space="preserve"> It is possible that transferability that has not been modelled will impact overall PRRT revenue.</w:t>
      </w:r>
    </w:p>
    <w:p w14:paraId="31C3467C" w14:textId="23B53C59" w:rsidR="001B068D" w:rsidRDefault="001B068D" w:rsidP="00CB4E50">
      <w:pPr>
        <w:pStyle w:val="Heading5"/>
      </w:pPr>
      <w:r>
        <w:t xml:space="preserve">Baseline </w:t>
      </w:r>
      <w:r w:rsidR="008A6C2F">
        <w:t>s</w:t>
      </w:r>
      <w:r>
        <w:t xml:space="preserve">cenario </w:t>
      </w:r>
      <w:r w:rsidR="006E00DA" w:rsidRPr="006E00DA">
        <w:t>(</w:t>
      </w:r>
      <w:r w:rsidR="00F951B7">
        <w:t>a</w:t>
      </w:r>
      <w:r w:rsidR="006E00DA" w:rsidRPr="006E00DA">
        <w:t>djusted Wood Mackenzie</w:t>
      </w:r>
      <w:r w:rsidR="002507DF">
        <w:t xml:space="preserve"> </w:t>
      </w:r>
      <w:r w:rsidR="00F951B7">
        <w:t>d</w:t>
      </w:r>
      <w:r w:rsidR="002507DF">
        <w:t>ata</w:t>
      </w:r>
      <w:r w:rsidR="006E00DA" w:rsidRPr="006E00DA">
        <w:t xml:space="preserve"> </w:t>
      </w:r>
      <w:r>
        <w:t xml:space="preserve">with </w:t>
      </w:r>
      <w:r w:rsidR="00F951B7">
        <w:t>n</w:t>
      </w:r>
      <w:r>
        <w:t xml:space="preserve">o </w:t>
      </w:r>
      <w:r w:rsidR="00F951B7">
        <w:t>e</w:t>
      </w:r>
      <w:r>
        <w:t xml:space="preserve">xploration </w:t>
      </w:r>
      <w:r w:rsidR="00F951B7">
        <w:t>t</w:t>
      </w:r>
      <w:r w:rsidR="006E00DA" w:rsidRPr="006E00DA">
        <w:t xml:space="preserve">ransfers) </w:t>
      </w:r>
      <w:r w:rsidR="008820DD">
        <w:t>at</w:t>
      </w:r>
      <w:r w:rsidR="006E00DA" w:rsidRPr="006E00DA">
        <w:t xml:space="preserve"> $US65</w:t>
      </w:r>
    </w:p>
    <w:p w14:paraId="1648D9A6" w14:textId="32444D49" w:rsidR="001B068D" w:rsidRDefault="001B068D" w:rsidP="001B068D">
      <w:r>
        <w:t>Under this scenario</w:t>
      </w:r>
      <w:r w:rsidDel="00E90B65">
        <w:t xml:space="preserve">, </w:t>
      </w:r>
      <w:r w:rsidR="00ED27BB">
        <w:t xml:space="preserve">illustrated in </w:t>
      </w:r>
      <w:r w:rsidR="00ED27BB" w:rsidRPr="006D28D4">
        <w:t>Figure 2.7</w:t>
      </w:r>
      <w:r w:rsidR="00ED27BB">
        <w:t xml:space="preserve">, </w:t>
      </w:r>
      <w:r w:rsidR="00692AF8">
        <w:t>adjusted Wood Mackenzie data</w:t>
      </w:r>
      <w:r w:rsidR="001E1096">
        <w:t xml:space="preserve"> </w:t>
      </w:r>
      <w:r w:rsidR="00823FDB">
        <w:t>are</w:t>
      </w:r>
      <w:r w:rsidR="001E1096">
        <w:t xml:space="preserve"> used </w:t>
      </w:r>
      <w:r w:rsidR="00692AF8">
        <w:t>in the PRRT model. However,</w:t>
      </w:r>
      <w:r w:rsidR="001E1096">
        <w:t xml:space="preserve"> </w:t>
      </w:r>
      <w:r>
        <w:t xml:space="preserve">the </w:t>
      </w:r>
      <w:r w:rsidR="008A2603">
        <w:t>feature</w:t>
      </w:r>
      <w:r>
        <w:t xml:space="preserve"> of </w:t>
      </w:r>
      <w:r w:rsidR="008A2603">
        <w:t>transferable</w:t>
      </w:r>
      <w:r>
        <w:t xml:space="preserve"> exploration expenditure </w:t>
      </w:r>
      <w:r w:rsidR="00823FDB">
        <w:t xml:space="preserve">is </w:t>
      </w:r>
      <w:r>
        <w:t>removed</w:t>
      </w:r>
      <w:r w:rsidR="001E1096">
        <w:t>.</w:t>
      </w:r>
    </w:p>
    <w:p w14:paraId="66EE797A" w14:textId="44697B7C" w:rsidR="00BD4749" w:rsidRDefault="00BD4749" w:rsidP="00221C2A">
      <w:pPr>
        <w:pStyle w:val="ChartMainHeading"/>
      </w:pPr>
      <w:r w:rsidRPr="00AE5BDF">
        <w:t xml:space="preserve">Figure </w:t>
      </w:r>
      <w:r w:rsidR="00D60736" w:rsidRPr="006D28D4">
        <w:t>2.7</w:t>
      </w:r>
      <w:r>
        <w:t xml:space="preserve"> ― </w:t>
      </w:r>
      <w:r w:rsidRPr="00AE5BDF">
        <w:t xml:space="preserve">Baseline </w:t>
      </w:r>
      <w:r w:rsidR="008A6C2F">
        <w:t>s</w:t>
      </w:r>
      <w:r>
        <w:t>cenario (</w:t>
      </w:r>
      <w:r w:rsidR="00455604">
        <w:t>a</w:t>
      </w:r>
      <w:r>
        <w:t xml:space="preserve">djusted Wood Mackenzie with </w:t>
      </w:r>
      <w:r w:rsidR="00455604">
        <w:t>n</w:t>
      </w:r>
      <w:r>
        <w:t xml:space="preserve">o </w:t>
      </w:r>
      <w:r w:rsidR="00455604">
        <w:t>e</w:t>
      </w:r>
      <w:r>
        <w:t xml:space="preserve">xploration </w:t>
      </w:r>
      <w:r w:rsidR="00455604">
        <w:t>t</w:t>
      </w:r>
      <w:r>
        <w:t xml:space="preserve">ransfers) </w:t>
      </w:r>
      <w:r w:rsidR="008820DD">
        <w:t>at</w:t>
      </w:r>
      <w:r>
        <w:t xml:space="preserve"> $US65</w:t>
      </w:r>
    </w:p>
    <w:p w14:paraId="2DEB3B08" w14:textId="6FE59F8E" w:rsidR="006E00DA" w:rsidRDefault="008820DD" w:rsidP="006E00DA">
      <w:pPr>
        <w:pStyle w:val="ChartGraphic"/>
      </w:pPr>
      <w:r>
        <w:rPr>
          <w:noProof/>
        </w:rPr>
        <w:drawing>
          <wp:inline distT="0" distB="0" distL="0" distR="0" wp14:anchorId="572702C5" wp14:editId="53ADAE90">
            <wp:extent cx="5580000" cy="2880000"/>
            <wp:effectExtent l="0" t="0" r="1905" b="0"/>
            <wp:docPr id="4" name="Chart 4" descr="Figure 2.7 shows the level of revenue collected under the baseline scenario (adjusted Wood Mackenzie data with no exploration transfers) at an oil price of $US65 per barrel."/>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346885" w14:textId="0F96E2A7" w:rsidR="00CB4E50" w:rsidRDefault="00CB4E50" w:rsidP="005137C0">
      <w:pPr>
        <w:pStyle w:val="ChartorTableNote"/>
      </w:pPr>
      <w:r w:rsidRPr="00632CE3">
        <w:t>Source: Petroleum Resource Rent Tax Review Secretariat</w:t>
      </w:r>
      <w:r w:rsidR="00455604">
        <w:t>.</w:t>
      </w:r>
    </w:p>
    <w:p w14:paraId="01C328A6" w14:textId="77777777" w:rsidR="005137C0" w:rsidRPr="005137C0" w:rsidRDefault="005137C0" w:rsidP="005137C0">
      <w:pPr>
        <w:pStyle w:val="SingleParagraph"/>
      </w:pPr>
    </w:p>
    <w:p w14:paraId="79A3A8BE" w14:textId="1D595E6D" w:rsidR="00692AF8" w:rsidRDefault="008A2603" w:rsidP="001872FB">
      <w:r w:rsidRPr="004C7D3D">
        <w:t xml:space="preserve">Under </w:t>
      </w:r>
      <w:r>
        <w:t xml:space="preserve">this scenario, total PRRT </w:t>
      </w:r>
      <w:r w:rsidR="002A2DA3">
        <w:t>revenue</w:t>
      </w:r>
      <w:r>
        <w:t xml:space="preserve"> </w:t>
      </w:r>
      <w:r w:rsidR="002A2DA3">
        <w:t>is</w:t>
      </w:r>
      <w:r>
        <w:t xml:space="preserve"> e</w:t>
      </w:r>
      <w:r w:rsidR="009E3B37">
        <w:t>stimated</w:t>
      </w:r>
      <w:r>
        <w:t xml:space="preserve"> to </w:t>
      </w:r>
      <w:r w:rsidR="00B25503">
        <w:t>be</w:t>
      </w:r>
      <w:r>
        <w:t xml:space="preserve"> $</w:t>
      </w:r>
      <w:r w:rsidR="009E3B37" w:rsidRPr="006D28D4">
        <w:t>15</w:t>
      </w:r>
      <w:r w:rsidRPr="006D28D4">
        <w:t xml:space="preserve"> billion</w:t>
      </w:r>
      <w:r>
        <w:t xml:space="preserve"> over the ten years to</w:t>
      </w:r>
      <w:r w:rsidR="003E3536">
        <w:t> </w:t>
      </w:r>
      <w:r>
        <w:t xml:space="preserve">2027, </w:t>
      </w:r>
      <w:r w:rsidR="00B25503">
        <w:t xml:space="preserve">and </w:t>
      </w:r>
      <w:r>
        <w:t>$</w:t>
      </w:r>
      <w:r w:rsidR="006E00DA" w:rsidRPr="006D28D4">
        <w:t>7</w:t>
      </w:r>
      <w:r w:rsidR="009E3B37" w:rsidRPr="006D28D4">
        <w:t>2</w:t>
      </w:r>
      <w:r w:rsidRPr="006D28D4">
        <w:t xml:space="preserve"> billion</w:t>
      </w:r>
      <w:r w:rsidR="00B25503">
        <w:t xml:space="preserve"> over the period to 2050.</w:t>
      </w:r>
      <w:r w:rsidR="00692AF8">
        <w:t xml:space="preserve"> </w:t>
      </w:r>
    </w:p>
    <w:p w14:paraId="759E3D56" w14:textId="50060859" w:rsidR="00BF6E90" w:rsidRDefault="001B068D" w:rsidP="001B068D">
      <w:r>
        <w:t xml:space="preserve">This scenario </w:t>
      </w:r>
      <w:r w:rsidR="00692AF8">
        <w:t>illustrates</w:t>
      </w:r>
      <w:r w:rsidR="00B25503">
        <w:t xml:space="preserve"> </w:t>
      </w:r>
      <w:r>
        <w:t>the importance of the feature</w:t>
      </w:r>
      <w:r w:rsidR="00B25503">
        <w:t xml:space="preserve"> of the PRRT </w:t>
      </w:r>
      <w:r w:rsidR="00A72D43">
        <w:t>that requires the compulsory transfer of exploration expenditure. It</w:t>
      </w:r>
      <w:r>
        <w:t xml:space="preserve"> </w:t>
      </w:r>
      <w:r w:rsidR="00B25503">
        <w:t xml:space="preserve">demonstrates </w:t>
      </w:r>
      <w:r w:rsidR="00A72D43">
        <w:t>that</w:t>
      </w:r>
      <w:r>
        <w:t xml:space="preserve"> </w:t>
      </w:r>
      <w:r w:rsidR="00A748BC">
        <w:t xml:space="preserve">compulsory </w:t>
      </w:r>
      <w:r w:rsidR="002C3CCC">
        <w:t>transfers of exploration expenditure</w:t>
      </w:r>
      <w:r w:rsidR="00A72D43">
        <w:t>,</w:t>
      </w:r>
      <w:r w:rsidR="002C3CCC">
        <w:t xml:space="preserve"> </w:t>
      </w:r>
      <w:r w:rsidR="00A72D43">
        <w:t>where it occurs,</w:t>
      </w:r>
      <w:r>
        <w:t xml:space="preserve"> </w:t>
      </w:r>
      <w:r w:rsidR="002C3CCC">
        <w:t>reduces the chance that</w:t>
      </w:r>
      <w:r>
        <w:t xml:space="preserve"> uplifted exploration expenditure </w:t>
      </w:r>
      <w:r w:rsidR="002C3CCC">
        <w:t>grows</w:t>
      </w:r>
      <w:r>
        <w:t xml:space="preserve"> so large that it </w:t>
      </w:r>
      <w:r w:rsidR="00B25503">
        <w:t xml:space="preserve">can </w:t>
      </w:r>
      <w:r>
        <w:t xml:space="preserve">effectively </w:t>
      </w:r>
      <w:r w:rsidR="002C3CCC">
        <w:t>shield profitable</w:t>
      </w:r>
      <w:r>
        <w:t xml:space="preserve"> projects from tax.</w:t>
      </w:r>
      <w:r w:rsidR="00692AF8">
        <w:t xml:space="preserve"> This scenario</w:t>
      </w:r>
      <w:r w:rsidR="00BF6E90">
        <w:t xml:space="preserve"> also highlights the effect of the exploration uplift of LTBR</w:t>
      </w:r>
      <w:r w:rsidR="00692AF8">
        <w:t xml:space="preserve"> plus </w:t>
      </w:r>
      <w:r w:rsidR="00BF6E90">
        <w:t xml:space="preserve">15 </w:t>
      </w:r>
      <w:r w:rsidR="009E3B37">
        <w:t xml:space="preserve">percentage points </w:t>
      </w:r>
      <w:r w:rsidR="00BF6E90">
        <w:t>in combination with the order of deductions which sees transferable exploration expenditure deducted last. These two features of the PRRT when combined can see deductible exploration expenditure grow</w:t>
      </w:r>
      <w:r w:rsidR="00ED27BB">
        <w:t>, delaying and reducing</w:t>
      </w:r>
      <w:r w:rsidR="009E3B37">
        <w:t xml:space="preserve"> PRRT payments </w:t>
      </w:r>
      <w:r w:rsidR="00ED27BB">
        <w:t xml:space="preserve">(see </w:t>
      </w:r>
      <w:r w:rsidR="00ED27BB" w:rsidRPr="006D28D4">
        <w:t>sections 4.2, 4.3 and 4.4</w:t>
      </w:r>
      <w:r w:rsidR="00ED27BB">
        <w:t>)</w:t>
      </w:r>
      <w:r w:rsidR="009E3B37">
        <w:t>.</w:t>
      </w:r>
    </w:p>
    <w:p w14:paraId="1117C9B5" w14:textId="53AB770D" w:rsidR="00692AF8" w:rsidRDefault="00692AF8" w:rsidP="00692AF8">
      <w:r>
        <w:t>Under the baseline scenario with no exploration transfers, Bass Strait, Enfield</w:t>
      </w:r>
      <w:r w:rsidR="005D6F39">
        <w:noBreakHyphen/>
      </w:r>
      <w:r>
        <w:t>Vincent and Pyrenees</w:t>
      </w:r>
      <w:r w:rsidR="005D6F39">
        <w:noBreakHyphen/>
      </w:r>
      <w:r>
        <w:t>Macedon are expected to continue paying PRRT throughout their project lives. New projects like Pluto, Ichthys and Wheatstone are also expected to pay PRRT under this scenario. However</w:t>
      </w:r>
      <w:r w:rsidDel="009E3B37">
        <w:t>,</w:t>
      </w:r>
      <w:r>
        <w:t xml:space="preserve"> Gorgon will pay very little PRRT and much late</w:t>
      </w:r>
      <w:r w:rsidDel="009E3B37">
        <w:t>r</w:t>
      </w:r>
      <w:r>
        <w:t xml:space="preserve"> in its life. This is because uplifted exploration expenditure continues to grow </w:t>
      </w:r>
      <w:r w:rsidR="00D60736">
        <w:t>for a long period,</w:t>
      </w:r>
      <w:r w:rsidR="009A05C7">
        <w:t xml:space="preserve"> delay</w:t>
      </w:r>
      <w:r w:rsidR="00D60736">
        <w:t>ing</w:t>
      </w:r>
      <w:r w:rsidR="009A05C7">
        <w:t xml:space="preserve"> when the project will pay PRRT.</w:t>
      </w:r>
    </w:p>
    <w:p w14:paraId="0C7EC967" w14:textId="69DCFAF2" w:rsidR="00AA7794" w:rsidRDefault="008A6C2F" w:rsidP="00CB4E50">
      <w:pPr>
        <w:pStyle w:val="Heading5"/>
      </w:pPr>
      <w:r>
        <w:t>Oil price s</w:t>
      </w:r>
      <w:r w:rsidR="001B068D">
        <w:t>cenarios</w:t>
      </w:r>
    </w:p>
    <w:p w14:paraId="6529583A" w14:textId="671794F9" w:rsidR="006F15C6" w:rsidRDefault="006F15C6" w:rsidP="006229D5">
      <w:r>
        <w:t xml:space="preserve">The review modelled </w:t>
      </w:r>
      <w:r w:rsidR="009A05C7">
        <w:t>its</w:t>
      </w:r>
      <w:r>
        <w:t xml:space="preserve"> baseline scenario (adjusted Wood Mackenzie </w:t>
      </w:r>
      <w:r w:rsidR="009A05C7">
        <w:t xml:space="preserve">data </w:t>
      </w:r>
      <w:r>
        <w:t xml:space="preserve">with exploration transfers) under different oil price scenarios. </w:t>
      </w:r>
      <w:r w:rsidR="006229D5">
        <w:t xml:space="preserve">The purpose </w:t>
      </w:r>
      <w:r w:rsidR="009A05C7">
        <w:t>was</w:t>
      </w:r>
      <w:r w:rsidR="006229D5">
        <w:t xml:space="preserve"> to observe </w:t>
      </w:r>
      <w:r w:rsidR="0067788F">
        <w:t xml:space="preserve">the sensitivity of </w:t>
      </w:r>
      <w:r w:rsidR="006229D5">
        <w:t xml:space="preserve">PRRT </w:t>
      </w:r>
      <w:r w:rsidR="002A2DA3">
        <w:t>revenue</w:t>
      </w:r>
      <w:r w:rsidR="006229D5">
        <w:t xml:space="preserve"> </w:t>
      </w:r>
      <w:r w:rsidR="0067788F">
        <w:t xml:space="preserve">to changes </w:t>
      </w:r>
      <w:r w:rsidR="00E90B65">
        <w:t>in oil</w:t>
      </w:r>
      <w:r w:rsidR="006229D5">
        <w:t xml:space="preserve"> prices</w:t>
      </w:r>
      <w:r w:rsidR="0067788F">
        <w:t>.</w:t>
      </w:r>
    </w:p>
    <w:p w14:paraId="40E52E12" w14:textId="33B32C12" w:rsidR="006229D5" w:rsidRDefault="00543719" w:rsidP="006229D5">
      <w:r w:rsidRPr="006D28D4">
        <w:t>Figure 2.</w:t>
      </w:r>
      <w:r w:rsidR="001D7720" w:rsidRPr="006D28D4">
        <w:t>9</w:t>
      </w:r>
      <w:r w:rsidR="006F15C6">
        <w:t xml:space="preserve"> illustrates the level of PRRT revenue under </w:t>
      </w:r>
      <w:r w:rsidR="00EE7FCF">
        <w:t>three</w:t>
      </w:r>
      <w:r w:rsidR="006F15C6">
        <w:t xml:space="preserve"> different oil price scenarios ― </w:t>
      </w:r>
      <w:r w:rsidR="0041652D">
        <w:t xml:space="preserve">a </w:t>
      </w:r>
      <w:r w:rsidR="009A05C7">
        <w:t>low</w:t>
      </w:r>
      <w:r w:rsidR="0041652D">
        <w:t xml:space="preserve"> oil price (</w:t>
      </w:r>
      <w:r w:rsidR="006F15C6">
        <w:t>$US45 per barrel</w:t>
      </w:r>
      <w:r w:rsidR="00ED27BB">
        <w:t xml:space="preserve"> indexed</w:t>
      </w:r>
      <w:r w:rsidR="0041652D">
        <w:t>)</w:t>
      </w:r>
      <w:r w:rsidR="006F15C6">
        <w:t xml:space="preserve">, </w:t>
      </w:r>
      <w:r w:rsidR="0041652D">
        <w:t>a mid</w:t>
      </w:r>
      <w:r w:rsidR="005D6F39">
        <w:noBreakHyphen/>
      </w:r>
      <w:r w:rsidR="0041652D">
        <w:t>range oil price ($</w:t>
      </w:r>
      <w:r w:rsidR="006F15C6">
        <w:t>US80 per barrel</w:t>
      </w:r>
      <w:r w:rsidR="00ED27BB">
        <w:t xml:space="preserve"> indexed</w:t>
      </w:r>
      <w:r w:rsidR="0041652D">
        <w:t>)</w:t>
      </w:r>
      <w:r w:rsidR="006F15C6">
        <w:t xml:space="preserve"> and </w:t>
      </w:r>
      <w:r w:rsidR="0041652D">
        <w:t>a high oil price (</w:t>
      </w:r>
      <w:r w:rsidR="006F15C6">
        <w:t>$US100 per barrel</w:t>
      </w:r>
      <w:r w:rsidR="00ED27BB">
        <w:t xml:space="preserve"> indexed</w:t>
      </w:r>
      <w:r w:rsidR="0041652D">
        <w:t>)</w:t>
      </w:r>
      <w:r w:rsidR="006F15C6">
        <w:t xml:space="preserve">. </w:t>
      </w:r>
      <w:r w:rsidR="00EE7FCF">
        <w:t>The baseline scenario ($US65) is included for comparison.</w:t>
      </w:r>
      <w:r w:rsidR="001D7720">
        <w:t xml:space="preserve"> </w:t>
      </w:r>
      <w:r w:rsidR="001D7720" w:rsidRPr="001D7720">
        <w:t xml:space="preserve">Historically there has been a large degree of variability in the oil price in real terms (see </w:t>
      </w:r>
      <w:r w:rsidR="001D7720" w:rsidRPr="006D28D4">
        <w:t>Figure 2.8</w:t>
      </w:r>
      <w:r w:rsidR="001D7720" w:rsidRPr="001D7720">
        <w:t>).</w:t>
      </w:r>
    </w:p>
    <w:p w14:paraId="565A7162" w14:textId="4CBCBA93" w:rsidR="001D7720" w:rsidRDefault="007779CF" w:rsidP="00221C2A">
      <w:pPr>
        <w:pStyle w:val="ChartMainHeading"/>
      </w:pPr>
      <w:r w:rsidRPr="00AE5BDF">
        <w:t>Figure</w:t>
      </w:r>
      <w:r w:rsidR="00B974F2" w:rsidRPr="00AE5BDF">
        <w:t xml:space="preserve"> </w:t>
      </w:r>
      <w:r w:rsidR="00543719" w:rsidRPr="006D28D4">
        <w:t>2.8</w:t>
      </w:r>
      <w:r w:rsidR="00B974F2">
        <w:t xml:space="preserve"> — </w:t>
      </w:r>
      <w:r w:rsidR="001D7720">
        <w:t>Historical Brent oil prices</w:t>
      </w:r>
      <w:r w:rsidR="006130D3">
        <w:rPr>
          <w:rStyle w:val="FootnoteReference"/>
        </w:rPr>
        <w:footnoteReference w:id="10"/>
      </w:r>
      <w:r w:rsidR="001D7720">
        <w:t xml:space="preserve"> </w:t>
      </w:r>
    </w:p>
    <w:p w14:paraId="66BC9564" w14:textId="6E341E1E" w:rsidR="001D7720" w:rsidRPr="001D7720" w:rsidRDefault="007C402D" w:rsidP="007C402D">
      <w:pPr>
        <w:pStyle w:val="TableGraphic"/>
      </w:pPr>
      <w:r>
        <w:object w:dxaOrig="8775" w:dyaOrig="4531" w14:anchorId="5E06275E">
          <v:shape id="_x0000_i1037" type="#_x0000_t75" style="width:438.75pt;height:226.5pt" o:ole="">
            <v:imagedata r:id="rId54" o:title=""/>
          </v:shape>
          <o:OLEObject Type="Link" ProgID="Excel.Sheet.12" ShapeID="_x0000_i1037" DrawAspect="Content" r:id="rId55" UpdateMode="Always">
            <o:LinkType>EnhancedMetaFile</o:LinkType>
            <o:LockedField/>
          </o:OLEObject>
        </w:object>
      </w:r>
    </w:p>
    <w:p w14:paraId="41905495" w14:textId="67FCDA8C" w:rsidR="001D7720" w:rsidRDefault="001D7720" w:rsidP="003E3536">
      <w:pPr>
        <w:pStyle w:val="ChartorTableNote"/>
      </w:pPr>
      <w:r w:rsidRPr="001C5A01">
        <w:t xml:space="preserve">Source: </w:t>
      </w:r>
      <w:r w:rsidR="001C5A01" w:rsidRPr="001C5A01">
        <w:t>Datastream, US Bureau of Labor Stati</w:t>
      </w:r>
      <w:r w:rsidR="006B09C3">
        <w:t>stics and Treasury.</w:t>
      </w:r>
    </w:p>
    <w:p w14:paraId="71173D7C" w14:textId="77777777" w:rsidR="003E3536" w:rsidRPr="003E3536" w:rsidRDefault="003E3536" w:rsidP="003E3536">
      <w:pPr>
        <w:pStyle w:val="SingleParagraph"/>
      </w:pPr>
    </w:p>
    <w:p w14:paraId="4B02225B" w14:textId="3630AF52" w:rsidR="00B974F2" w:rsidRDefault="007779CF" w:rsidP="00221C2A">
      <w:pPr>
        <w:pStyle w:val="ChartMainHeading"/>
      </w:pPr>
      <w:r w:rsidRPr="00AE5BDF">
        <w:t>Figure</w:t>
      </w:r>
      <w:r w:rsidR="00B974F2" w:rsidRPr="00AE5BDF">
        <w:t xml:space="preserve"> </w:t>
      </w:r>
      <w:r w:rsidR="00543719" w:rsidRPr="003E3536">
        <w:t>2.</w:t>
      </w:r>
      <w:r w:rsidR="001D7720" w:rsidRPr="003E3536">
        <w:t>9</w:t>
      </w:r>
      <w:r w:rsidR="00B974F2">
        <w:t xml:space="preserve"> — PRRT </w:t>
      </w:r>
      <w:r w:rsidR="00455604">
        <w:t>r</w:t>
      </w:r>
      <w:r w:rsidR="00B974F2">
        <w:t xml:space="preserve">evenue at </w:t>
      </w:r>
      <w:r w:rsidR="00455604">
        <w:t>different oil p</w:t>
      </w:r>
      <w:r w:rsidR="00B974F2">
        <w:t>rices</w:t>
      </w:r>
      <w:r w:rsidR="00455604">
        <w:t xml:space="preserve"> </w:t>
      </w:r>
    </w:p>
    <w:bookmarkStart w:id="4553" w:name="_1553413940"/>
    <w:bookmarkStart w:id="4554" w:name="_1553502250"/>
    <w:bookmarkEnd w:id="4553"/>
    <w:bookmarkEnd w:id="4554"/>
    <w:p w14:paraId="7FDCCDC6" w14:textId="2852B20F" w:rsidR="00632CE3" w:rsidRPr="00240D84" w:rsidRDefault="003E3536" w:rsidP="00240D84">
      <w:pPr>
        <w:pStyle w:val="ChartGraphic"/>
      </w:pPr>
      <w:r>
        <w:object w:dxaOrig="8775" w:dyaOrig="4530" w14:anchorId="3B204F56">
          <v:shape id="_x0000_i1038" type="#_x0000_t75" alt="Figure 2.9 shows PRRT revenue from 2018 to 2050 when different oil prices are modelled using adjusted Wood Mackenzie data with exploration transfers. The oil prices are in US dollars per barrel indexed and are at the settings of US$45, US$65, US$80 and US$100." style="width:439.5pt;height:227.25pt" o:ole="">
            <v:imagedata r:id="rId56" o:title=""/>
          </v:shape>
          <o:OLEObject Type="Link" ProgID="Excel.Sheet.12" ShapeID="_x0000_i1038" DrawAspect="Content" r:id="rId57" UpdateMode="Always">
            <o:LinkType>EnhancedMetaFile</o:LinkType>
            <o:LockedField>false</o:LockedField>
          </o:OLEObject>
        </w:object>
      </w:r>
    </w:p>
    <w:p w14:paraId="47ECDF2E" w14:textId="61B5472F" w:rsidR="00685852" w:rsidRDefault="00685852" w:rsidP="003E3536">
      <w:pPr>
        <w:pStyle w:val="ChartorTableNote"/>
      </w:pPr>
      <w:r w:rsidRPr="00632CE3">
        <w:t>Source: Petroleum Resource Rent Tax Review Secretariat</w:t>
      </w:r>
      <w:r w:rsidR="007E6F50">
        <w:t>.</w:t>
      </w:r>
    </w:p>
    <w:p w14:paraId="605E2CB5" w14:textId="77777777" w:rsidR="003E3536" w:rsidRPr="003E3536" w:rsidRDefault="003E3536" w:rsidP="003E3536">
      <w:pPr>
        <w:pStyle w:val="SingleParagraph"/>
      </w:pPr>
    </w:p>
    <w:p w14:paraId="3317861D" w14:textId="1412EEF4" w:rsidR="006F15C6" w:rsidRDefault="00A871D9" w:rsidP="00386723">
      <w:r>
        <w:t>C</w:t>
      </w:r>
      <w:r w:rsidR="006F15C6">
        <w:t xml:space="preserve">hanges in the oil price </w:t>
      </w:r>
      <w:r w:rsidR="00EE7FCF">
        <w:t xml:space="preserve">can </w:t>
      </w:r>
      <w:r w:rsidR="006C702C">
        <w:t>have a significant impact on</w:t>
      </w:r>
      <w:r w:rsidR="006F15C6">
        <w:t xml:space="preserve"> PRRT revenue. This is because the value of assessable receipts is generally dependent on the oil price.</w:t>
      </w:r>
    </w:p>
    <w:p w14:paraId="63D5A240" w14:textId="6DDEFEE8" w:rsidR="0041652D" w:rsidRDefault="004C2A61" w:rsidP="00386723">
      <w:r>
        <w:t xml:space="preserve">Under the </w:t>
      </w:r>
      <w:r w:rsidRPr="0041652D">
        <w:rPr>
          <w:b/>
        </w:rPr>
        <w:t xml:space="preserve">$US45 </w:t>
      </w:r>
      <w:r w:rsidR="00A871D9">
        <w:rPr>
          <w:b/>
        </w:rPr>
        <w:t xml:space="preserve">per barrel </w:t>
      </w:r>
      <w:r w:rsidRPr="0041652D">
        <w:rPr>
          <w:b/>
        </w:rPr>
        <w:t>oil price assumption</w:t>
      </w:r>
      <w:r>
        <w:t xml:space="preserve">, total PRRT </w:t>
      </w:r>
      <w:r w:rsidR="002A2DA3">
        <w:t>revenue</w:t>
      </w:r>
      <w:r>
        <w:t xml:space="preserve"> </w:t>
      </w:r>
      <w:r w:rsidR="00CC18B6">
        <w:t>is</w:t>
      </w:r>
      <w:r>
        <w:t xml:space="preserve"> e</w:t>
      </w:r>
      <w:r w:rsidR="00A871D9">
        <w:t>stimated</w:t>
      </w:r>
      <w:r>
        <w:t xml:space="preserve"> to be</w:t>
      </w:r>
      <w:r w:rsidR="003E3536">
        <w:t> </w:t>
      </w:r>
      <w:r w:rsidRPr="006F15C6">
        <w:t>$</w:t>
      </w:r>
      <w:r w:rsidR="00A871D9" w:rsidRPr="006D28D4">
        <w:t>9</w:t>
      </w:r>
      <w:r w:rsidR="008820DD" w:rsidRPr="006D28D4">
        <w:t> </w:t>
      </w:r>
      <w:r w:rsidR="00A871D9" w:rsidRPr="006D28D4">
        <w:t>billion</w:t>
      </w:r>
      <w:r>
        <w:t xml:space="preserve"> over the 10 years to 2027, and </w:t>
      </w:r>
      <w:r w:rsidRPr="006F15C6">
        <w:t>$</w:t>
      </w:r>
      <w:r w:rsidR="00F72EFF" w:rsidRPr="006D28D4">
        <w:t>1</w:t>
      </w:r>
      <w:r w:rsidR="006F15C6" w:rsidRPr="006D28D4">
        <w:t>8</w:t>
      </w:r>
      <w:r w:rsidRPr="006D28D4">
        <w:t xml:space="preserve"> billion</w:t>
      </w:r>
      <w:r>
        <w:t xml:space="preserve"> in the period to 2050.</w:t>
      </w:r>
    </w:p>
    <w:p w14:paraId="1BDD6454" w14:textId="6C9CF11E" w:rsidR="004C2A61" w:rsidRDefault="006F15C6" w:rsidP="00386723">
      <w:r>
        <w:t xml:space="preserve">Under this </w:t>
      </w:r>
      <w:r w:rsidR="0041652D">
        <w:t xml:space="preserve">oil price </w:t>
      </w:r>
      <w:r>
        <w:t xml:space="preserve">scenario, existing paying projects are expected to continue to pay PRRT. However, </w:t>
      </w:r>
      <w:r w:rsidR="009D7718">
        <w:t xml:space="preserve">some </w:t>
      </w:r>
      <w:r>
        <w:t>new projects that are coming online</w:t>
      </w:r>
      <w:r w:rsidR="009D7718">
        <w:t>, such as Ichthys, Pluto and Prelude are not expect</w:t>
      </w:r>
      <w:r w:rsidR="00B028AE">
        <w:t>ed</w:t>
      </w:r>
      <w:r w:rsidR="009D7718">
        <w:t xml:space="preserve"> to pay PRRT, while</w:t>
      </w:r>
      <w:r w:rsidDel="009D7718">
        <w:t xml:space="preserve"> </w:t>
      </w:r>
      <w:r>
        <w:t xml:space="preserve">Gorgon and Wheatstone will </w:t>
      </w:r>
      <w:r w:rsidR="009D7718">
        <w:t>pay later and much less than under a higher price scenario.</w:t>
      </w:r>
    </w:p>
    <w:p w14:paraId="57F02373" w14:textId="12B319B4" w:rsidR="0041652D" w:rsidRDefault="00386723" w:rsidP="0041652D">
      <w:r>
        <w:t xml:space="preserve">Under the </w:t>
      </w:r>
      <w:r w:rsidRPr="0041652D">
        <w:rPr>
          <w:b/>
        </w:rPr>
        <w:t xml:space="preserve">$US80 </w:t>
      </w:r>
      <w:r w:rsidR="00A871D9">
        <w:rPr>
          <w:b/>
        </w:rPr>
        <w:t xml:space="preserve">per barrel </w:t>
      </w:r>
      <w:r w:rsidRPr="0041652D">
        <w:rPr>
          <w:b/>
        </w:rPr>
        <w:t>oil price assumption</w:t>
      </w:r>
      <w:r>
        <w:t xml:space="preserve">, total PRRT </w:t>
      </w:r>
      <w:r w:rsidR="002A2DA3" w:rsidRPr="00EE7FCF">
        <w:t>revenue</w:t>
      </w:r>
      <w:r w:rsidRPr="00EE7FCF">
        <w:t xml:space="preserve"> </w:t>
      </w:r>
      <w:r w:rsidR="002A2DA3" w:rsidRPr="00EE7FCF">
        <w:t>is</w:t>
      </w:r>
      <w:r w:rsidRPr="00EE7FCF">
        <w:t xml:space="preserve"> e</w:t>
      </w:r>
      <w:r w:rsidR="00A871D9">
        <w:t>stimated</w:t>
      </w:r>
      <w:r w:rsidRPr="00EE7FCF">
        <w:t xml:space="preserve"> </w:t>
      </w:r>
      <w:r w:rsidR="00E90B65" w:rsidRPr="00EE7FCF">
        <w:t>to be</w:t>
      </w:r>
      <w:r w:rsidRPr="00EE7FCF">
        <w:t xml:space="preserve"> </w:t>
      </w:r>
      <w:r w:rsidR="00A871D9">
        <w:t xml:space="preserve">around </w:t>
      </w:r>
      <w:r w:rsidRPr="00EE7FCF">
        <w:t>$</w:t>
      </w:r>
      <w:r w:rsidRPr="006D28D4">
        <w:t>2</w:t>
      </w:r>
      <w:r w:rsidR="00A871D9" w:rsidRPr="006D28D4">
        <w:t>5</w:t>
      </w:r>
      <w:r w:rsidRPr="006D28D4">
        <w:t xml:space="preserve"> billion</w:t>
      </w:r>
      <w:r w:rsidRPr="00EE7FCF">
        <w:t xml:space="preserve"> over the 10 years to 2027, </w:t>
      </w:r>
      <w:r w:rsidR="0067788F" w:rsidRPr="00EE7FCF">
        <w:t xml:space="preserve">and </w:t>
      </w:r>
      <w:r w:rsidRPr="00EE7FCF">
        <w:t>$</w:t>
      </w:r>
      <w:r w:rsidRPr="006D28D4">
        <w:t>16</w:t>
      </w:r>
      <w:r w:rsidR="00EE7FCF" w:rsidRPr="006D28D4">
        <w:t>9</w:t>
      </w:r>
      <w:r w:rsidR="00F2092D" w:rsidRPr="006D28D4">
        <w:t> </w:t>
      </w:r>
      <w:r w:rsidRPr="006D28D4">
        <w:t>billion</w:t>
      </w:r>
      <w:r w:rsidR="0067788F" w:rsidRPr="00EE7FCF">
        <w:t xml:space="preserve"> in the period to 2050</w:t>
      </w:r>
      <w:r>
        <w:t>.</w:t>
      </w:r>
    </w:p>
    <w:p w14:paraId="6EFEDF53" w14:textId="70C5A3D6" w:rsidR="0041652D" w:rsidRDefault="00EE7FCF" w:rsidP="0041652D">
      <w:r>
        <w:t xml:space="preserve">Under </w:t>
      </w:r>
      <w:r w:rsidR="0041652D">
        <w:t>this oil price</w:t>
      </w:r>
      <w:r>
        <w:t xml:space="preserve"> scenario, existing paying projects are expected to continue to pay PRRT. </w:t>
      </w:r>
      <w:r w:rsidR="00380C30">
        <w:t>As in</w:t>
      </w:r>
      <w:r w:rsidR="0041652D">
        <w:t xml:space="preserve"> the baseline scenario,</w:t>
      </w:r>
      <w:r>
        <w:t xml:space="preserve"> </w:t>
      </w:r>
      <w:r w:rsidR="0041652D">
        <w:t>Bass Strait, Enfield</w:t>
      </w:r>
      <w:r w:rsidR="005D6F39">
        <w:noBreakHyphen/>
      </w:r>
      <w:r w:rsidR="0041652D">
        <w:t>Vincent and Pyrenees</w:t>
      </w:r>
      <w:r w:rsidR="005D6F39">
        <w:noBreakHyphen/>
      </w:r>
      <w:r w:rsidR="0041652D">
        <w:t>Macedon are expected to continue paying PRRT throughout their project lives</w:t>
      </w:r>
      <w:r w:rsidR="00380C30">
        <w:t>. N</w:t>
      </w:r>
      <w:r w:rsidR="0041652D">
        <w:t>ew projects Gorgon, Ichthys, Wheatstone and Pluto</w:t>
      </w:r>
      <w:r w:rsidR="00380C30">
        <w:t xml:space="preserve"> are also expected to pay PRRT</w:t>
      </w:r>
      <w:r w:rsidR="0041652D">
        <w:t>. However, the quantum of PRRT revenue that these new project</w:t>
      </w:r>
      <w:r w:rsidR="004B0835">
        <w:t>s</w:t>
      </w:r>
      <w:r w:rsidR="0041652D">
        <w:t xml:space="preserve"> pay under this price scenario is much higher than under the baseline. In particular, PRRT revenue from Gorgon almost doubles under this price scenario.</w:t>
      </w:r>
      <w:r w:rsidR="004B0835">
        <w:t xml:space="preserve"> </w:t>
      </w:r>
    </w:p>
    <w:p w14:paraId="5EF9EF28" w14:textId="6E20C853" w:rsidR="004B0835" w:rsidRDefault="00386723" w:rsidP="00697BC1">
      <w:r>
        <w:t xml:space="preserve">Under the </w:t>
      </w:r>
      <w:r w:rsidRPr="0041652D">
        <w:rPr>
          <w:b/>
        </w:rPr>
        <w:t xml:space="preserve">$US100 </w:t>
      </w:r>
      <w:r w:rsidR="00C9416B">
        <w:rPr>
          <w:b/>
        </w:rPr>
        <w:t xml:space="preserve">per barrel </w:t>
      </w:r>
      <w:r w:rsidRPr="0041652D">
        <w:rPr>
          <w:b/>
        </w:rPr>
        <w:t>oil price assumption</w:t>
      </w:r>
      <w:r>
        <w:t xml:space="preserve">, </w:t>
      </w:r>
      <w:r w:rsidRPr="004B0835">
        <w:t xml:space="preserve">total PRRT </w:t>
      </w:r>
      <w:r w:rsidR="002A2DA3" w:rsidRPr="004B0835">
        <w:t>revenue</w:t>
      </w:r>
      <w:r w:rsidRPr="004B0835">
        <w:t xml:space="preserve"> </w:t>
      </w:r>
      <w:r w:rsidR="006C702C">
        <w:t>is estimated to be around</w:t>
      </w:r>
      <w:r w:rsidRPr="004B0835">
        <w:t xml:space="preserve"> $</w:t>
      </w:r>
      <w:r w:rsidRPr="006D28D4">
        <w:t>4</w:t>
      </w:r>
      <w:r w:rsidR="00104079" w:rsidRPr="006D28D4">
        <w:t>6</w:t>
      </w:r>
      <w:r w:rsidRPr="006D28D4">
        <w:t xml:space="preserve"> billion</w:t>
      </w:r>
      <w:r w:rsidRPr="004B0835">
        <w:t xml:space="preserve"> over the 10 years to 2027, </w:t>
      </w:r>
      <w:r w:rsidR="0067788F" w:rsidRPr="004B0835">
        <w:t>and</w:t>
      </w:r>
      <w:r w:rsidRPr="004B0835">
        <w:t xml:space="preserve"> $</w:t>
      </w:r>
      <w:r w:rsidR="004B0835" w:rsidRPr="006D28D4">
        <w:t>232</w:t>
      </w:r>
      <w:r w:rsidR="00F2092D" w:rsidRPr="006D28D4">
        <w:t> </w:t>
      </w:r>
      <w:r w:rsidRPr="006D28D4">
        <w:t>billion</w:t>
      </w:r>
      <w:r w:rsidR="0067788F" w:rsidRPr="004B0835">
        <w:t xml:space="preserve"> in the period to 2050</w:t>
      </w:r>
      <w:r w:rsidRPr="004B0835">
        <w:t>.</w:t>
      </w:r>
    </w:p>
    <w:p w14:paraId="29CB8237" w14:textId="0887B76D" w:rsidR="004B0835" w:rsidRDefault="004B0835" w:rsidP="00697BC1">
      <w:r>
        <w:t xml:space="preserve">Under this oil price scenario, existing paying projects are expected to continue to pay PRRT. </w:t>
      </w:r>
      <w:r w:rsidR="00380C30">
        <w:t>As in</w:t>
      </w:r>
      <w:r>
        <w:t xml:space="preserve"> the baseline scenario and the $US80 price scenario, Bass Strait, Enfield</w:t>
      </w:r>
      <w:r w:rsidR="005D6F39">
        <w:noBreakHyphen/>
      </w:r>
      <w:r>
        <w:t>Vincent and Pyrenees</w:t>
      </w:r>
      <w:r w:rsidR="005D6F39">
        <w:noBreakHyphen/>
      </w:r>
      <w:r>
        <w:t>Macedon are expected to continue paying PRRT throughout their project lives</w:t>
      </w:r>
      <w:r w:rsidR="00380C30">
        <w:t>.</w:t>
      </w:r>
      <w:r>
        <w:t xml:space="preserve"> </w:t>
      </w:r>
      <w:r w:rsidR="00380C30">
        <w:t>N</w:t>
      </w:r>
      <w:r>
        <w:t>ew projects Gorgon, Ichthys, Wheatstone and Pluto</w:t>
      </w:r>
      <w:r w:rsidR="00380C30">
        <w:t xml:space="preserve"> are </w:t>
      </w:r>
      <w:r w:rsidR="006872B5">
        <w:t>also expected to pay PRRT</w:t>
      </w:r>
      <w:r>
        <w:t>. Again, the quantum of PRRT revenue that these new projects pay under this price scenario is much higher than under the baseline.</w:t>
      </w:r>
    </w:p>
    <w:p w14:paraId="13DB7B69" w14:textId="57FCF637" w:rsidR="00E96DB8" w:rsidRDefault="00AE4C15" w:rsidP="00CB4E50">
      <w:r>
        <w:t>The projects transitioned into the PRRT in 2012 (the NWS project, and the onshore projects APLNG</w:t>
      </w:r>
      <w:r w:rsidR="00CC18B6">
        <w:t>, QCLNG</w:t>
      </w:r>
      <w:r>
        <w:t xml:space="preserve"> and GLNG) are not expected to pay PRRT under </w:t>
      </w:r>
      <w:r w:rsidR="006872B5">
        <w:t xml:space="preserve">any of the oil price scenarios, including </w:t>
      </w:r>
      <w:r>
        <w:t xml:space="preserve">the $US100 </w:t>
      </w:r>
      <w:r w:rsidR="00C9416B">
        <w:t xml:space="preserve">per barrel </w:t>
      </w:r>
      <w:r>
        <w:t>scenario.</w:t>
      </w:r>
      <w:bookmarkStart w:id="4555" w:name="_Toc476577334"/>
      <w:bookmarkStart w:id="4556" w:name="_Toc476582323"/>
      <w:bookmarkStart w:id="4557" w:name="_Toc476582997"/>
      <w:bookmarkStart w:id="4558" w:name="_Toc476583714"/>
      <w:bookmarkStart w:id="4559" w:name="_Toc476584162"/>
      <w:bookmarkStart w:id="4560" w:name="_Toc476738068"/>
      <w:bookmarkStart w:id="4561" w:name="_Toc476747643"/>
      <w:bookmarkStart w:id="4562" w:name="_Toc476749051"/>
      <w:bookmarkStart w:id="4563" w:name="_Toc476753918"/>
      <w:bookmarkStart w:id="4564" w:name="_Toc476754413"/>
      <w:bookmarkStart w:id="4565" w:name="_Toc476754578"/>
      <w:bookmarkStart w:id="4566" w:name="_Toc476759814"/>
      <w:bookmarkStart w:id="4567" w:name="_Toc476761436"/>
      <w:bookmarkStart w:id="4568" w:name="_Toc476767074"/>
      <w:bookmarkStart w:id="4569" w:name="_Toc476827120"/>
      <w:bookmarkStart w:id="4570" w:name="_Toc476828813"/>
      <w:bookmarkStart w:id="4571" w:name="_Toc476833687"/>
      <w:bookmarkStart w:id="4572" w:name="_Toc476837160"/>
      <w:bookmarkStart w:id="4573" w:name="_Toc476841033"/>
      <w:bookmarkStart w:id="4574" w:name="_Toc476841238"/>
      <w:bookmarkStart w:id="4575" w:name="_Toc476841997"/>
      <w:bookmarkStart w:id="4576" w:name="_Toc476842941"/>
      <w:bookmarkStart w:id="4577" w:name="_Toc476843112"/>
      <w:bookmarkStart w:id="4578" w:name="_Toc476844610"/>
      <w:bookmarkStart w:id="4579" w:name="_Toc476845503"/>
      <w:bookmarkStart w:id="4580" w:name="_Toc476926895"/>
      <w:bookmarkStart w:id="4581" w:name="_Toc476926834"/>
      <w:bookmarkStart w:id="4582" w:name="_Toc476927182"/>
      <w:bookmarkStart w:id="4583" w:name="_Toc476928446"/>
      <w:bookmarkStart w:id="4584" w:name="_Toc476929489"/>
      <w:bookmarkStart w:id="4585" w:name="_Toc476929664"/>
      <w:bookmarkStart w:id="4586" w:name="_Toc476930707"/>
      <w:bookmarkStart w:id="4587" w:name="_Toc476931514"/>
      <w:bookmarkStart w:id="4588" w:name="_Toc477869881"/>
      <w:bookmarkStart w:id="4589" w:name="_Toc477871120"/>
      <w:bookmarkStart w:id="4590" w:name="_Toc477873279"/>
      <w:bookmarkStart w:id="4591" w:name="_Toc477875273"/>
      <w:bookmarkStart w:id="4592" w:name="_Toc477880186"/>
      <w:bookmarkStart w:id="4593" w:name="_Toc477881446"/>
      <w:bookmarkStart w:id="4594" w:name="_Toc477955850"/>
      <w:bookmarkStart w:id="4595" w:name="_Toc477963095"/>
      <w:bookmarkStart w:id="4596" w:name="_Toc477963581"/>
      <w:bookmarkStart w:id="4597" w:name="_Toc477965167"/>
      <w:bookmarkStart w:id="4598" w:name="_Toc477966671"/>
      <w:bookmarkStart w:id="4599" w:name="_Toc477966840"/>
      <w:bookmarkStart w:id="4600" w:name="_Toc477967180"/>
    </w:p>
    <w:p w14:paraId="05BFC0BF" w14:textId="36CEADAA" w:rsidR="00AA7794" w:rsidRDefault="008442B8" w:rsidP="00697BC1">
      <w:pPr>
        <w:pStyle w:val="Heading2"/>
      </w:pPr>
      <w:r>
        <w:br w:type="page"/>
      </w:r>
      <w:bookmarkStart w:id="4601" w:name="_Toc478121317"/>
      <w:bookmarkStart w:id="4602" w:name="_Toc478122230"/>
      <w:bookmarkStart w:id="4603" w:name="_Toc478132204"/>
      <w:bookmarkStart w:id="4604" w:name="_Toc478133230"/>
      <w:bookmarkStart w:id="4605" w:name="_Toc478132367"/>
      <w:bookmarkStart w:id="4606" w:name="_Toc478134696"/>
      <w:bookmarkStart w:id="4607" w:name="_Toc478137398"/>
      <w:bookmarkStart w:id="4608" w:name="_Toc478138470"/>
      <w:bookmarkStart w:id="4609" w:name="_Toc478140040"/>
      <w:bookmarkStart w:id="4610" w:name="_Toc478140456"/>
      <w:bookmarkStart w:id="4611" w:name="_Toc478142662"/>
      <w:bookmarkStart w:id="4612" w:name="_Toc478566378"/>
      <w:bookmarkStart w:id="4613" w:name="_Toc478569545"/>
      <w:bookmarkStart w:id="4614" w:name="_Toc478569719"/>
      <w:bookmarkStart w:id="4615" w:name="_Toc478570793"/>
      <w:bookmarkStart w:id="4616" w:name="_Toc478632992"/>
      <w:bookmarkStart w:id="4617" w:name="_Toc478641400"/>
      <w:bookmarkStart w:id="4618" w:name="_Toc478654294"/>
      <w:bookmarkStart w:id="4619" w:name="_Toc478654468"/>
      <w:bookmarkStart w:id="4620" w:name="_Toc478657763"/>
      <w:bookmarkStart w:id="4621" w:name="_Toc478993184"/>
      <w:bookmarkStart w:id="4622" w:name="_Toc479000255"/>
      <w:bookmarkStart w:id="4623" w:name="_Toc479002189"/>
      <w:bookmarkStart w:id="4624" w:name="_Toc479002361"/>
      <w:bookmarkStart w:id="4625" w:name="_Toc479254336"/>
      <w:bookmarkStart w:id="4626" w:name="_Toc479258525"/>
      <w:bookmarkStart w:id="4627" w:name="_Toc479258841"/>
      <w:bookmarkStart w:id="4628" w:name="_Toc479259733"/>
      <w:bookmarkStart w:id="4629" w:name="_Toc479262156"/>
      <w:bookmarkStart w:id="4630" w:name="_Toc479262577"/>
      <w:bookmarkStart w:id="4631" w:name="_Toc479321278"/>
      <w:bookmarkStart w:id="4632" w:name="_Toc479326717"/>
      <w:bookmarkStart w:id="4633" w:name="_Toc479333316"/>
      <w:bookmarkStart w:id="4634" w:name="_Toc479335013"/>
      <w:bookmarkStart w:id="4635" w:name="_Toc479341728"/>
      <w:bookmarkStart w:id="4636" w:name="_Toc479345144"/>
      <w:bookmarkStart w:id="4637" w:name="_Toc479345353"/>
      <w:bookmarkStart w:id="4638" w:name="_Toc479348334"/>
      <w:bookmarkStart w:id="4639" w:name="_Toc479675928"/>
      <w:bookmarkStart w:id="4640" w:name="_Toc479690895"/>
      <w:bookmarkStart w:id="4641" w:name="_Toc479693473"/>
      <w:bookmarkStart w:id="4642" w:name="_Toc479770642"/>
      <w:r w:rsidR="00697BC1">
        <w:t>2.4</w:t>
      </w:r>
      <w:r w:rsidR="00697BC1">
        <w:tab/>
        <w:t xml:space="preserve">Resource Taxation </w:t>
      </w:r>
      <w:r w:rsidR="00823B29">
        <w:t>i</w:t>
      </w:r>
      <w:r w:rsidR="00697BC1">
        <w:t>n Other Countries</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p>
    <w:p w14:paraId="6A732586" w14:textId="5322366F" w:rsidR="00AA7794" w:rsidRDefault="00A3475A" w:rsidP="00697BC1">
      <w:r>
        <w:t>E</w:t>
      </w:r>
      <w:r w:rsidR="00AA7794">
        <w:t>very country with an oil and gas industry has its own particular resource taxing arrangements</w:t>
      </w:r>
      <w:r w:rsidR="008820DD">
        <w:t xml:space="preserve"> and</w:t>
      </w:r>
      <w:r>
        <w:t xml:space="preserve"> </w:t>
      </w:r>
      <w:r w:rsidR="00AA7794">
        <w:t xml:space="preserve">making direct comparisons </w:t>
      </w:r>
      <w:r>
        <w:t xml:space="preserve">is </w:t>
      </w:r>
      <w:r w:rsidR="00AA7794">
        <w:t>difficult. Headline rates only tell a limited story</w:t>
      </w:r>
      <w:r w:rsidR="005D6F39">
        <w:t xml:space="preserve"> — </w:t>
      </w:r>
      <w:r w:rsidR="00AA7794">
        <w:t>tax rates are levied on bases that are calculated in specific ways. Deductions, exemptions and allowances also differ. There may also be interactions with other taxes or incentive schemes.</w:t>
      </w:r>
    </w:p>
    <w:p w14:paraId="5E7388BA" w14:textId="0DE988B1" w:rsidR="00AA7794" w:rsidRDefault="00AA7794" w:rsidP="00697BC1">
      <w:r>
        <w:t>There are two main approaches countries adopt to fiscal regime design as it applies to extractive industries: a contractual arrangement with the government, which would include production sharing or service contracts; and a tax/royalty system with licen</w:t>
      </w:r>
      <w:r w:rsidR="00655318">
        <w:t>c</w:t>
      </w:r>
      <w:r>
        <w:t>ing of areas.</w:t>
      </w:r>
    </w:p>
    <w:p w14:paraId="11513BDD" w14:textId="13C7C80C" w:rsidR="00AA7794" w:rsidRDefault="00AA7794" w:rsidP="00697BC1">
      <w:r>
        <w:t>A contractual arrangement provides for case by case agreements on profit and risk sharing to be struck by the government for the exploration and development of each field. Under contractual arrangements, governments typically retain ownership of the resource in production. There are two main types of contract</w:t>
      </w:r>
      <w:r w:rsidR="00655318">
        <w:t>ual</w:t>
      </w:r>
      <w:r>
        <w:t xml:space="preserve"> arrangements: production sharing agreements and risk service contracts.</w:t>
      </w:r>
    </w:p>
    <w:p w14:paraId="74723D29" w14:textId="6C1ECE51" w:rsidR="00AA7794" w:rsidRDefault="00AA7794" w:rsidP="00697BC1">
      <w:r>
        <w:t xml:space="preserve">Under a production sharing agreement, for taking on the risk and costs of exploration and development, the investor (also called the contractor) obtains a return through a share of the production. </w:t>
      </w:r>
      <w:r w:rsidR="005D6F39">
        <w:t>‘</w:t>
      </w:r>
      <w:r>
        <w:t>Cost oil</w:t>
      </w:r>
      <w:r w:rsidR="005D6F39">
        <w:t>’</w:t>
      </w:r>
      <w:r>
        <w:t xml:space="preserve"> represents the portion of production the contractor receives in recognition of development costs. The remaining portion is </w:t>
      </w:r>
      <w:r w:rsidR="005D6F39">
        <w:t>‘</w:t>
      </w:r>
      <w:r>
        <w:t>profit oil</w:t>
      </w:r>
      <w:r w:rsidR="005D6F39">
        <w:t>’</w:t>
      </w:r>
      <w:r>
        <w:t xml:space="preserve"> and is often divided between the government and contractor according to the different production and profitability indicators. Different rates can be levied on profit oil as particular benchmarks are achieved, for example</w:t>
      </w:r>
      <w:r w:rsidR="00FF521B">
        <w:t>,</w:t>
      </w:r>
      <w:r>
        <w:t xml:space="preserve"> on cumulative volumes, rates of return</w:t>
      </w:r>
      <w:r w:rsidR="00655318">
        <w:t xml:space="preserve"> or</w:t>
      </w:r>
      <w:r>
        <w:t xml:space="preserve"> revenue</w:t>
      </w:r>
      <w:r w:rsidR="00655318">
        <w:t>/</w:t>
      </w:r>
      <w:r>
        <w:t>cost ratios. While these arrangements a</w:t>
      </w:r>
      <w:r w:rsidR="008820DD">
        <w:t xml:space="preserve">re not as </w:t>
      </w:r>
      <w:r w:rsidR="00FF521B">
        <w:t>readil</w:t>
      </w:r>
      <w:r w:rsidR="008820DD">
        <w:t xml:space="preserve">y transparent as </w:t>
      </w:r>
      <w:r>
        <w:t>tax/royalty arrangement</w:t>
      </w:r>
      <w:r w:rsidR="00FF521B">
        <w:t>s</w:t>
      </w:r>
      <w:r>
        <w:t>, the contracts can be constructed to achieve similar outcomes and often include both ad</w:t>
      </w:r>
      <w:r w:rsidR="008820DD">
        <w:t xml:space="preserve"> </w:t>
      </w:r>
      <w:r>
        <w:t>valorem components together with profit</w:t>
      </w:r>
      <w:r w:rsidR="005D6F39">
        <w:noBreakHyphen/>
      </w:r>
      <w:r>
        <w:t>based components.</w:t>
      </w:r>
    </w:p>
    <w:p w14:paraId="5DA150B8" w14:textId="7FB64A26" w:rsidR="00AA7794" w:rsidRDefault="00AA7794" w:rsidP="00697BC1">
      <w:r>
        <w:t xml:space="preserve">Under a risk service contract, the government typically pays a fee to a contractor (international oil company) for its services (for example, commercial production from the contractual area) in line with agreed specified parameters. Usually, </w:t>
      </w:r>
      <w:r w:rsidR="00E90B65">
        <w:t>contractors</w:t>
      </w:r>
      <w:r w:rsidR="005D6F39">
        <w:t>’</w:t>
      </w:r>
      <w:r>
        <w:t xml:space="preserve"> costs are recovered together with an agreed rate of return.</w:t>
      </w:r>
    </w:p>
    <w:p w14:paraId="10A2823B" w14:textId="21B65C46" w:rsidR="00AA7794" w:rsidRDefault="00AA7794" w:rsidP="00697BC1">
      <w:r>
        <w:t xml:space="preserve">Jurisdictions that utilise contractual arrangements have predominantly been developing countries. Examples include Iraq, Qatar, Malaysia, </w:t>
      </w:r>
      <w:r w:rsidR="00CD0B5C">
        <w:t xml:space="preserve">and </w:t>
      </w:r>
      <w:r>
        <w:t>Indonesia.</w:t>
      </w:r>
      <w:r w:rsidR="008820DD">
        <w:rPr>
          <w:rStyle w:val="FootnoteReference"/>
        </w:rPr>
        <w:footnoteReference w:id="11"/>
      </w:r>
    </w:p>
    <w:p w14:paraId="675ADFA5" w14:textId="77777777" w:rsidR="00882C08" w:rsidRDefault="00AA7794" w:rsidP="00697BC1">
      <w:r>
        <w:t xml:space="preserve">The tax/royalty arrangement is also sometimes referred to as a concessionary system. Australia utilises a concession system. Examples of some other countries that also use </w:t>
      </w:r>
      <w:r w:rsidR="00882C08">
        <w:t>the concession</w:t>
      </w:r>
      <w:r>
        <w:t xml:space="preserve"> system include the Canada, Norway, Papua New Guinea</w:t>
      </w:r>
      <w:r w:rsidR="00D53F55">
        <w:t>, the</w:t>
      </w:r>
      <w:r>
        <w:t xml:space="preserve"> United Kingdom, </w:t>
      </w:r>
      <w:r w:rsidR="00CD0B5C">
        <w:t xml:space="preserve">and </w:t>
      </w:r>
      <w:r w:rsidR="00E66031">
        <w:t xml:space="preserve">the </w:t>
      </w:r>
      <w:r>
        <w:t xml:space="preserve">United States. </w:t>
      </w:r>
    </w:p>
    <w:p w14:paraId="456ACDAD" w14:textId="2C8C1547" w:rsidR="00AA7794" w:rsidRDefault="007F42AE" w:rsidP="00697BC1">
      <w:r>
        <w:t>While there are exceptions like the United States</w:t>
      </w:r>
      <w:r w:rsidR="008604C3">
        <w:t xml:space="preserve"> (see </w:t>
      </w:r>
      <w:r w:rsidR="008604C3" w:rsidRPr="006D28D4">
        <w:t>Appendix E.2.5</w:t>
      </w:r>
      <w:r w:rsidR="008604C3">
        <w:t>)</w:t>
      </w:r>
      <w:r>
        <w:t>, t</w:t>
      </w:r>
      <w:r w:rsidR="00AA7794">
        <w:t xml:space="preserve">ypically, oil and gas reserves are the property of the </w:t>
      </w:r>
      <w:r w:rsidR="00B84C9E">
        <w:t>community</w:t>
      </w:r>
      <w:r w:rsidR="00B75C06">
        <w:t xml:space="preserve"> and</w:t>
      </w:r>
      <w:r w:rsidR="00B84C9E">
        <w:t xml:space="preserve"> the </w:t>
      </w:r>
      <w:r w:rsidR="00AA7794" w:rsidRPr="00B84C9E">
        <w:t>government</w:t>
      </w:r>
      <w:r w:rsidR="00AA7794">
        <w:t xml:space="preserve"> grants </w:t>
      </w:r>
      <w:r>
        <w:t xml:space="preserve">companies </w:t>
      </w:r>
      <w:r w:rsidR="00AA7794">
        <w:t xml:space="preserve">rights to explore and extract the oil and gas resources in a particular area. </w:t>
      </w:r>
    </w:p>
    <w:p w14:paraId="2D614130" w14:textId="7A4D7058" w:rsidR="00AA7794" w:rsidRDefault="007F42AE" w:rsidP="00697BC1">
      <w:r>
        <w:t>Usually associated with t</w:t>
      </w:r>
      <w:r w:rsidR="00AA7794">
        <w:t xml:space="preserve">hese rights to explore and extract oil and gas are </w:t>
      </w:r>
      <w:r>
        <w:t>resource charging</w:t>
      </w:r>
      <w:r w:rsidR="00AA7794">
        <w:t xml:space="preserve"> arrangements that are subject to conditions that are underpinned </w:t>
      </w:r>
      <w:r w:rsidR="00B75C06">
        <w:t>by</w:t>
      </w:r>
      <w:r w:rsidR="00AA7794">
        <w:t xml:space="preserve"> legislation. The typical instruments used under a tax/royalty arrangement are bonus payments (with bidding), production based or ad</w:t>
      </w:r>
      <w:r w:rsidR="008820DD">
        <w:t> </w:t>
      </w:r>
      <w:r w:rsidR="00AA7794">
        <w:t xml:space="preserve">valorem payments (royalty, severance tax), rent taxes, </w:t>
      </w:r>
      <w:r w:rsidR="00A3475A">
        <w:t xml:space="preserve">and </w:t>
      </w:r>
      <w:r w:rsidR="00AA7794">
        <w:t xml:space="preserve">corporate income tax. Key features of these instruments were outlined in </w:t>
      </w:r>
      <w:r w:rsidR="00E247E3" w:rsidRPr="006D28D4">
        <w:t>s</w:t>
      </w:r>
      <w:r w:rsidR="00AA7794" w:rsidRPr="006D28D4">
        <w:t>ection 2.1</w:t>
      </w:r>
      <w:r w:rsidR="008820DD" w:rsidRPr="006D28D4">
        <w:t>.1</w:t>
      </w:r>
      <w:r w:rsidR="00AA7794">
        <w:t>.</w:t>
      </w:r>
    </w:p>
    <w:p w14:paraId="070E9207" w14:textId="56F8B9D6" w:rsidR="00AA7794" w:rsidRDefault="00AA7794" w:rsidP="00697BC1">
      <w:r>
        <w:t>Some countries use both the concession and contract a</w:t>
      </w:r>
      <w:r w:rsidR="00156398">
        <w:t>pproaches</w:t>
      </w:r>
      <w:r w:rsidR="00E247E3">
        <w:t>;</w:t>
      </w:r>
      <w:r w:rsidR="00156398">
        <w:t xml:space="preserve"> for example, Brazil and </w:t>
      </w:r>
      <w:r>
        <w:t>Nigeria.</w:t>
      </w:r>
    </w:p>
    <w:p w14:paraId="5504C3E0" w14:textId="3AF54BC8" w:rsidR="00AA7794" w:rsidRDefault="00AA7794" w:rsidP="00697BC1">
      <w:r>
        <w:t xml:space="preserve">Government involvement is typically motivated by increased oversight, through </w:t>
      </w:r>
      <w:r w:rsidR="005D6F39">
        <w:t>‘</w:t>
      </w:r>
      <w:r>
        <w:t>a seat at the table</w:t>
      </w:r>
      <w:r w:rsidR="005D6F39">
        <w:t>’</w:t>
      </w:r>
      <w:r>
        <w:t xml:space="preserve"> or increased information sharing. This was probably a factor in the evolution of the contractual regime</w:t>
      </w:r>
      <w:r w:rsidR="00112041">
        <w:rPr>
          <w:rStyle w:val="FootnoteReference"/>
        </w:rPr>
        <w:footnoteReference w:id="12"/>
      </w:r>
      <w:r>
        <w:t xml:space="preserve"> but is also possible in concession arrangements. Governments can also choose to participate in the upstream oil and gas sector by providing funds directly or through a government controlled body. Norway is an example of a concession approach partnered with a level of government investment.</w:t>
      </w:r>
    </w:p>
    <w:p w14:paraId="32DB3E18" w14:textId="2941CFCE" w:rsidR="00AA7794" w:rsidRDefault="00AA7794" w:rsidP="00697BC1">
      <w:r>
        <w:t>Overall, each country</w:t>
      </w:r>
      <w:r w:rsidR="005D6F39">
        <w:t>’</w:t>
      </w:r>
      <w:r>
        <w:t>s choice of fiscal regime reflects their context, influenced by historical taxing preferences, quality of the petroleum resource, costs and risks to develop the resource, and extent of reliance on oil and gas revenues.</w:t>
      </w:r>
    </w:p>
    <w:p w14:paraId="1FE9F0C4" w14:textId="589B7826" w:rsidR="00AA7794" w:rsidRDefault="00AA7794" w:rsidP="00697BC1">
      <w:r>
        <w:t xml:space="preserve">Countries with large, easily accessible resources and low risks and costs for development are more likely to be able to attract private investors </w:t>
      </w:r>
      <w:r w:rsidR="00A3475A">
        <w:t>notwithstanding</w:t>
      </w:r>
      <w:r>
        <w:t xml:space="preserve"> relatively high taxing arrangements (for example, Qatar). </w:t>
      </w:r>
      <w:r w:rsidR="007F42AE">
        <w:t>In contrast</w:t>
      </w:r>
      <w:r>
        <w:t xml:space="preserve">, countries with a mature industry, relatively small remaining fields, high extraction costs and increased decommissioning requirements may choose to focus on attracting investment to ensure </w:t>
      </w:r>
      <w:r w:rsidR="007F42AE">
        <w:t>maximum</w:t>
      </w:r>
      <w:r>
        <w:t xml:space="preserve"> extraction of resources rather than revenue maximisation (for example</w:t>
      </w:r>
      <w:r w:rsidR="00BC5E2A">
        <w:t>, the</w:t>
      </w:r>
      <w:r>
        <w:t xml:space="preserve"> U</w:t>
      </w:r>
      <w:r w:rsidR="0040590B">
        <w:t xml:space="preserve">nited </w:t>
      </w:r>
      <w:r>
        <w:t>K</w:t>
      </w:r>
      <w:r w:rsidR="0040590B">
        <w:t>ingdom</w:t>
      </w:r>
      <w:r>
        <w:t>).</w:t>
      </w:r>
    </w:p>
    <w:p w14:paraId="78E3AAA9" w14:textId="5671F01B" w:rsidR="00112041" w:rsidRDefault="00AA7794" w:rsidP="00697BC1">
      <w:r>
        <w:t xml:space="preserve">Typically, governments use a number of instruments with varying focus to balance their objectives. </w:t>
      </w:r>
      <w:r w:rsidRPr="006D28D4">
        <w:t xml:space="preserve">Table </w:t>
      </w:r>
      <w:r w:rsidR="00385E49" w:rsidRPr="006D28D4">
        <w:t>2.3</w:t>
      </w:r>
      <w:r w:rsidR="0067026D">
        <w:t xml:space="preserve"> </w:t>
      </w:r>
      <w:r w:rsidR="00A3475A">
        <w:t xml:space="preserve">outlines an </w:t>
      </w:r>
      <w:r w:rsidR="00DC7C88">
        <w:t>International Monetary Fund (</w:t>
      </w:r>
      <w:r w:rsidR="0067026D">
        <w:t>IMF</w:t>
      </w:r>
      <w:r w:rsidR="00DC7C88">
        <w:t>)</w:t>
      </w:r>
      <w:r>
        <w:t xml:space="preserve"> evaluat</w:t>
      </w:r>
      <w:r w:rsidR="00A3475A">
        <w:t>ion of various</w:t>
      </w:r>
      <w:r>
        <w:t xml:space="preserve"> mechanisms against a range of government criteria. </w:t>
      </w:r>
      <w:r w:rsidR="00A3475A">
        <w:t>The</w:t>
      </w:r>
      <w:r>
        <w:t xml:space="preserve"> IMF staff advice (</w:t>
      </w:r>
      <w:r w:rsidR="00A3475A">
        <w:t>for</w:t>
      </w:r>
      <w:r>
        <w:t xml:space="preserve"> developing countries) has  been to combine a rent tax with a royalty to make up the </w:t>
      </w:r>
      <w:r w:rsidR="005D6F39">
        <w:t>‘</w:t>
      </w:r>
      <w:r>
        <w:t>resource charge</w:t>
      </w:r>
      <w:r w:rsidR="005D6F39">
        <w:t>’</w:t>
      </w:r>
      <w:r>
        <w:t xml:space="preserve"> with the balance between the royalty and rent tax components determined on a case by case basis by relative ability to bear risk and the government</w:t>
      </w:r>
      <w:r w:rsidR="005D6F39">
        <w:t>’</w:t>
      </w:r>
      <w:r>
        <w:t xml:space="preserve">s tolerance </w:t>
      </w:r>
      <w:r w:rsidR="00112041">
        <w:t>for potential delay in revenue</w:t>
      </w:r>
      <w:r w:rsidR="0067026D">
        <w:t xml:space="preserve"> </w:t>
      </w:r>
      <w:r w:rsidR="0067026D" w:rsidRPr="0004669D">
        <w:t>(</w:t>
      </w:r>
      <w:r w:rsidR="0067026D" w:rsidRPr="00CB4E50">
        <w:t xml:space="preserve">IMF, 2012, p. </w:t>
      </w:r>
      <w:r w:rsidR="00E501BA" w:rsidRPr="00CB4E50">
        <w:t>21</w:t>
      </w:r>
      <w:r w:rsidR="0067026D" w:rsidRPr="0004669D">
        <w:t>)</w:t>
      </w:r>
      <w:r w:rsidR="00112041" w:rsidRPr="0004669D">
        <w:t>.</w:t>
      </w:r>
    </w:p>
    <w:p w14:paraId="17576047" w14:textId="77777777" w:rsidR="00052D63" w:rsidRDefault="00052D63">
      <w:pPr>
        <w:spacing w:after="0" w:line="240" w:lineRule="auto"/>
        <w:jc w:val="left"/>
        <w:rPr>
          <w:rFonts w:ascii="Century Gothic" w:hAnsi="Century Gothic"/>
          <w:b/>
          <w:bCs/>
          <w:color w:val="1F497D" w:themeColor="text2"/>
          <w:szCs w:val="22"/>
        </w:rPr>
      </w:pPr>
      <w:r>
        <w:br w:type="page"/>
      </w:r>
    </w:p>
    <w:p w14:paraId="6BC118F5" w14:textId="13026BA9" w:rsidR="00112041" w:rsidRPr="00B23402" w:rsidRDefault="00112041" w:rsidP="00221C2A">
      <w:pPr>
        <w:pStyle w:val="TableMainHeading"/>
      </w:pPr>
      <w:r w:rsidRPr="001E6B45">
        <w:t xml:space="preserve">Table </w:t>
      </w:r>
      <w:r w:rsidR="0015541C" w:rsidRPr="006D28D4">
        <w:t>2.3</w:t>
      </w:r>
      <w:r w:rsidRPr="001E6B45">
        <w:t xml:space="preserve"> — Primary </w:t>
      </w:r>
      <w:r w:rsidR="00CE38C7">
        <w:t>government objective</w:t>
      </w:r>
      <w:r w:rsidR="002F01AD">
        <w:t>s</w:t>
      </w:r>
      <w:r w:rsidRPr="001E6B45">
        <w:t xml:space="preserve"> and </w:t>
      </w:r>
      <w:r w:rsidR="00CE38C7">
        <w:t>relevant m</w:t>
      </w:r>
      <w:r w:rsidRPr="001E6B45">
        <w:t>echanism</w:t>
      </w:r>
      <w:r w:rsidR="002F01AD">
        <w:t>s</w:t>
      </w:r>
    </w:p>
    <w:tbl>
      <w:tblPr>
        <w:tblStyle w:val="TableGrid"/>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276"/>
        <w:gridCol w:w="1134"/>
        <w:gridCol w:w="1276"/>
        <w:gridCol w:w="1275"/>
      </w:tblGrid>
      <w:tr w:rsidR="00112041" w:rsidRPr="00B23402" w14:paraId="750DD666" w14:textId="77777777" w:rsidTr="003E3536">
        <w:tc>
          <w:tcPr>
            <w:tcW w:w="1843" w:type="dxa"/>
            <w:shd w:val="clear" w:color="auto" w:fill="auto"/>
          </w:tcPr>
          <w:p w14:paraId="69E76AEF" w14:textId="77777777" w:rsidR="00112041" w:rsidRPr="00F620DC" w:rsidRDefault="00112041" w:rsidP="003E3536">
            <w:pPr>
              <w:pStyle w:val="TableColumnHeadingCentred"/>
            </w:pPr>
            <w:r w:rsidRPr="00F620DC">
              <w:t>Government Objectives</w:t>
            </w:r>
          </w:p>
        </w:tc>
        <w:tc>
          <w:tcPr>
            <w:tcW w:w="1134" w:type="dxa"/>
            <w:shd w:val="clear" w:color="auto" w:fill="auto"/>
          </w:tcPr>
          <w:p w14:paraId="6DFE5439" w14:textId="2F964212" w:rsidR="00112041" w:rsidRPr="00F620DC" w:rsidRDefault="00112041" w:rsidP="003E3536">
            <w:pPr>
              <w:pStyle w:val="TableColumnHeadingCentred"/>
            </w:pPr>
            <w:r w:rsidRPr="00F620DC">
              <w:t xml:space="preserve">Signature </w:t>
            </w:r>
            <w:r w:rsidR="00052D63" w:rsidRPr="00F620DC">
              <w:t>B</w:t>
            </w:r>
            <w:r w:rsidRPr="00F620DC">
              <w:t>onus</w:t>
            </w:r>
          </w:p>
        </w:tc>
        <w:tc>
          <w:tcPr>
            <w:tcW w:w="1134" w:type="dxa"/>
            <w:shd w:val="clear" w:color="auto" w:fill="auto"/>
          </w:tcPr>
          <w:p w14:paraId="50F20325" w14:textId="77777777" w:rsidR="00112041" w:rsidRPr="00F620DC" w:rsidRDefault="00112041" w:rsidP="003E3536">
            <w:pPr>
              <w:pStyle w:val="TableColumnHeadingCentred"/>
            </w:pPr>
            <w:r w:rsidRPr="00F620DC">
              <w:t>Flat Royalty</w:t>
            </w:r>
          </w:p>
        </w:tc>
        <w:tc>
          <w:tcPr>
            <w:tcW w:w="1276" w:type="dxa"/>
            <w:shd w:val="clear" w:color="auto" w:fill="auto"/>
          </w:tcPr>
          <w:p w14:paraId="6F6F869E" w14:textId="6BAAECE4" w:rsidR="00112041" w:rsidRPr="00F620DC" w:rsidRDefault="00112041" w:rsidP="003E3536">
            <w:pPr>
              <w:pStyle w:val="TableColumnHeadingCentred"/>
            </w:pPr>
            <w:r w:rsidRPr="00F620DC">
              <w:t xml:space="preserve">Sliding </w:t>
            </w:r>
            <w:r w:rsidR="00B51D18" w:rsidRPr="00F620DC">
              <w:t>S</w:t>
            </w:r>
            <w:r w:rsidRPr="00F620DC">
              <w:t>cale Royalty</w:t>
            </w:r>
          </w:p>
        </w:tc>
        <w:tc>
          <w:tcPr>
            <w:tcW w:w="1134" w:type="dxa"/>
            <w:shd w:val="clear" w:color="auto" w:fill="auto"/>
          </w:tcPr>
          <w:p w14:paraId="248C55FC" w14:textId="12EF6FA1" w:rsidR="00112041" w:rsidRPr="00F620DC" w:rsidRDefault="00112041" w:rsidP="003E3536">
            <w:pPr>
              <w:pStyle w:val="TableColumnHeadingCentred"/>
            </w:pPr>
            <w:r w:rsidRPr="00F620DC">
              <w:t>Resource Rent Tax</w:t>
            </w:r>
          </w:p>
        </w:tc>
        <w:tc>
          <w:tcPr>
            <w:tcW w:w="1276" w:type="dxa"/>
            <w:shd w:val="clear" w:color="auto" w:fill="auto"/>
          </w:tcPr>
          <w:p w14:paraId="36CB5E51" w14:textId="70465965" w:rsidR="00112041" w:rsidRPr="00F620DC" w:rsidRDefault="00112041" w:rsidP="003E3536">
            <w:pPr>
              <w:pStyle w:val="TableColumnHeadingCentred"/>
            </w:pPr>
            <w:r w:rsidRPr="00F620DC">
              <w:t xml:space="preserve">Corporate and (variable) </w:t>
            </w:r>
            <w:r w:rsidR="00052D63" w:rsidRPr="00F620DC">
              <w:t>I</w:t>
            </w:r>
            <w:r w:rsidRPr="00F620DC">
              <w:t>ncome tax</w:t>
            </w:r>
          </w:p>
        </w:tc>
        <w:tc>
          <w:tcPr>
            <w:tcW w:w="1275" w:type="dxa"/>
            <w:shd w:val="clear" w:color="auto" w:fill="auto"/>
          </w:tcPr>
          <w:p w14:paraId="32EE24FD" w14:textId="77777777" w:rsidR="00112041" w:rsidRPr="00F620DC" w:rsidRDefault="00112041" w:rsidP="003E3536">
            <w:pPr>
              <w:pStyle w:val="TableColumnHeadingCentred"/>
            </w:pPr>
            <w:r w:rsidRPr="00F620DC">
              <w:t>State Participation</w:t>
            </w:r>
          </w:p>
        </w:tc>
      </w:tr>
      <w:tr w:rsidR="00112041" w:rsidRPr="00B23402" w14:paraId="45014BD0" w14:textId="77777777" w:rsidTr="003E3536">
        <w:tc>
          <w:tcPr>
            <w:tcW w:w="1843" w:type="dxa"/>
            <w:shd w:val="clear" w:color="auto" w:fill="auto"/>
          </w:tcPr>
          <w:p w14:paraId="2EE6F4C0" w14:textId="77777777" w:rsidR="00112041" w:rsidRPr="00F620DC" w:rsidRDefault="00112041" w:rsidP="003E3536">
            <w:pPr>
              <w:pStyle w:val="TableColumnHeadingLeft"/>
              <w:jc w:val="left"/>
            </w:pPr>
            <w:r w:rsidRPr="00F620DC">
              <w:t>Maximising government share over project life</w:t>
            </w:r>
          </w:p>
        </w:tc>
        <w:tc>
          <w:tcPr>
            <w:tcW w:w="1134" w:type="dxa"/>
            <w:shd w:val="clear" w:color="auto" w:fill="auto"/>
          </w:tcPr>
          <w:p w14:paraId="6D484097" w14:textId="77777777" w:rsidR="00112041" w:rsidRPr="00B51D18" w:rsidRDefault="00112041" w:rsidP="003E3536">
            <w:pPr>
              <w:pStyle w:val="TableTextCentered"/>
            </w:pPr>
          </w:p>
        </w:tc>
        <w:tc>
          <w:tcPr>
            <w:tcW w:w="1134" w:type="dxa"/>
            <w:shd w:val="clear" w:color="auto" w:fill="auto"/>
          </w:tcPr>
          <w:p w14:paraId="07E2CEB4" w14:textId="77777777" w:rsidR="00112041" w:rsidRPr="00B51D18" w:rsidRDefault="00112041" w:rsidP="003E3536">
            <w:pPr>
              <w:pStyle w:val="TableTextCentered"/>
            </w:pPr>
          </w:p>
        </w:tc>
        <w:tc>
          <w:tcPr>
            <w:tcW w:w="1276" w:type="dxa"/>
            <w:shd w:val="clear" w:color="auto" w:fill="auto"/>
          </w:tcPr>
          <w:p w14:paraId="23208DCF" w14:textId="77777777" w:rsidR="00112041" w:rsidRPr="00B51D18" w:rsidRDefault="00112041" w:rsidP="003E3536">
            <w:pPr>
              <w:pStyle w:val="TableTextCentered"/>
            </w:pPr>
          </w:p>
        </w:tc>
        <w:tc>
          <w:tcPr>
            <w:tcW w:w="1134" w:type="dxa"/>
            <w:shd w:val="clear" w:color="auto" w:fill="D6E3BC" w:themeFill="accent3" w:themeFillTint="66"/>
          </w:tcPr>
          <w:p w14:paraId="32ECFD71" w14:textId="77777777" w:rsidR="00112041" w:rsidRPr="00B51D18" w:rsidRDefault="00112041" w:rsidP="003E3536">
            <w:pPr>
              <w:pStyle w:val="TableTextCentered"/>
            </w:pPr>
            <w:r w:rsidRPr="00B51D18">
              <w:t>x</w:t>
            </w:r>
          </w:p>
        </w:tc>
        <w:tc>
          <w:tcPr>
            <w:tcW w:w="1276" w:type="dxa"/>
            <w:shd w:val="clear" w:color="auto" w:fill="D6E3BC" w:themeFill="accent3" w:themeFillTint="66"/>
          </w:tcPr>
          <w:p w14:paraId="48C39737" w14:textId="77777777" w:rsidR="00112041" w:rsidRPr="00B51D18" w:rsidRDefault="00112041" w:rsidP="003E3536">
            <w:pPr>
              <w:pStyle w:val="TableTextCentered"/>
            </w:pPr>
            <w:r w:rsidRPr="00B51D18">
              <w:t>x</w:t>
            </w:r>
          </w:p>
        </w:tc>
        <w:tc>
          <w:tcPr>
            <w:tcW w:w="1275" w:type="dxa"/>
            <w:shd w:val="clear" w:color="auto" w:fill="auto"/>
          </w:tcPr>
          <w:p w14:paraId="128CF78B" w14:textId="77777777" w:rsidR="00112041" w:rsidRPr="00B51D18" w:rsidRDefault="00112041" w:rsidP="003E3536">
            <w:pPr>
              <w:pStyle w:val="TableTextCentered"/>
            </w:pPr>
          </w:p>
        </w:tc>
      </w:tr>
      <w:tr w:rsidR="00112041" w:rsidRPr="00B23402" w14:paraId="0EBAE72B" w14:textId="77777777" w:rsidTr="003E3536">
        <w:tc>
          <w:tcPr>
            <w:tcW w:w="1843" w:type="dxa"/>
            <w:shd w:val="clear" w:color="auto" w:fill="auto"/>
          </w:tcPr>
          <w:p w14:paraId="5DC64CDE" w14:textId="77777777" w:rsidR="00112041" w:rsidRPr="00F620DC" w:rsidRDefault="00112041" w:rsidP="003E3536">
            <w:pPr>
              <w:pStyle w:val="TableColumnHeadingLeft"/>
              <w:jc w:val="left"/>
            </w:pPr>
            <w:r w:rsidRPr="00F620DC">
              <w:t>Securing early revenue</w:t>
            </w:r>
          </w:p>
        </w:tc>
        <w:tc>
          <w:tcPr>
            <w:tcW w:w="1134" w:type="dxa"/>
            <w:shd w:val="clear" w:color="auto" w:fill="D6E3BC" w:themeFill="accent3" w:themeFillTint="66"/>
          </w:tcPr>
          <w:p w14:paraId="1B7FC67B" w14:textId="77777777" w:rsidR="00112041" w:rsidRPr="00B51D18" w:rsidRDefault="00112041" w:rsidP="003E3536">
            <w:pPr>
              <w:pStyle w:val="TableTextCentered"/>
            </w:pPr>
            <w:r w:rsidRPr="00B51D18">
              <w:t>x</w:t>
            </w:r>
          </w:p>
        </w:tc>
        <w:tc>
          <w:tcPr>
            <w:tcW w:w="1134" w:type="dxa"/>
            <w:shd w:val="clear" w:color="auto" w:fill="D6E3BC" w:themeFill="accent3" w:themeFillTint="66"/>
          </w:tcPr>
          <w:p w14:paraId="0FEE0A65" w14:textId="77777777" w:rsidR="00112041" w:rsidRPr="00B51D18" w:rsidRDefault="00112041" w:rsidP="003E3536">
            <w:pPr>
              <w:pStyle w:val="TableTextCentered"/>
            </w:pPr>
            <w:r w:rsidRPr="00B51D18">
              <w:t>x</w:t>
            </w:r>
          </w:p>
        </w:tc>
        <w:tc>
          <w:tcPr>
            <w:tcW w:w="1276" w:type="dxa"/>
            <w:shd w:val="clear" w:color="auto" w:fill="auto"/>
          </w:tcPr>
          <w:p w14:paraId="3A117086" w14:textId="77777777" w:rsidR="00112041" w:rsidRPr="00B51D18" w:rsidRDefault="00112041" w:rsidP="003E3536">
            <w:pPr>
              <w:pStyle w:val="TableTextCentered"/>
            </w:pPr>
          </w:p>
        </w:tc>
        <w:tc>
          <w:tcPr>
            <w:tcW w:w="1134" w:type="dxa"/>
            <w:shd w:val="clear" w:color="auto" w:fill="auto"/>
          </w:tcPr>
          <w:p w14:paraId="4A16A87C" w14:textId="77777777" w:rsidR="00112041" w:rsidRPr="00B51D18" w:rsidRDefault="00112041" w:rsidP="003E3536">
            <w:pPr>
              <w:pStyle w:val="TableTextCentered"/>
            </w:pPr>
          </w:p>
        </w:tc>
        <w:tc>
          <w:tcPr>
            <w:tcW w:w="1276" w:type="dxa"/>
            <w:shd w:val="clear" w:color="auto" w:fill="auto"/>
          </w:tcPr>
          <w:p w14:paraId="624A74C9" w14:textId="77777777" w:rsidR="00112041" w:rsidRPr="00B51D18" w:rsidRDefault="00112041" w:rsidP="003E3536">
            <w:pPr>
              <w:pStyle w:val="TableTextCentered"/>
            </w:pPr>
          </w:p>
        </w:tc>
        <w:tc>
          <w:tcPr>
            <w:tcW w:w="1275" w:type="dxa"/>
            <w:shd w:val="clear" w:color="auto" w:fill="auto"/>
          </w:tcPr>
          <w:p w14:paraId="5D6F37C2" w14:textId="77777777" w:rsidR="00112041" w:rsidRPr="00B51D18" w:rsidRDefault="00112041" w:rsidP="003E3536">
            <w:pPr>
              <w:pStyle w:val="TableTextCentered"/>
            </w:pPr>
          </w:p>
        </w:tc>
      </w:tr>
      <w:tr w:rsidR="00112041" w:rsidRPr="00B23402" w14:paraId="6E34AAA3" w14:textId="77777777" w:rsidTr="003E3536">
        <w:tc>
          <w:tcPr>
            <w:tcW w:w="1843" w:type="dxa"/>
            <w:shd w:val="clear" w:color="auto" w:fill="auto"/>
          </w:tcPr>
          <w:p w14:paraId="3343205B" w14:textId="77777777" w:rsidR="00112041" w:rsidRPr="00F620DC" w:rsidRDefault="00112041" w:rsidP="003E3536">
            <w:pPr>
              <w:pStyle w:val="TableColumnHeadingLeft"/>
              <w:jc w:val="left"/>
            </w:pPr>
            <w:r w:rsidRPr="00F620DC">
              <w:t>Ensuring adequate incentives for exploration</w:t>
            </w:r>
          </w:p>
        </w:tc>
        <w:tc>
          <w:tcPr>
            <w:tcW w:w="1134" w:type="dxa"/>
            <w:shd w:val="clear" w:color="auto" w:fill="auto"/>
          </w:tcPr>
          <w:p w14:paraId="313D24B1" w14:textId="77777777" w:rsidR="00112041" w:rsidRPr="00B51D18" w:rsidRDefault="00112041" w:rsidP="003E3536">
            <w:pPr>
              <w:pStyle w:val="TableTextCentered"/>
            </w:pPr>
          </w:p>
        </w:tc>
        <w:tc>
          <w:tcPr>
            <w:tcW w:w="1134" w:type="dxa"/>
            <w:shd w:val="clear" w:color="auto" w:fill="auto"/>
          </w:tcPr>
          <w:p w14:paraId="11B567C8" w14:textId="77777777" w:rsidR="00112041" w:rsidRPr="00B51D18" w:rsidRDefault="00112041" w:rsidP="003E3536">
            <w:pPr>
              <w:pStyle w:val="TableTextCentered"/>
            </w:pPr>
          </w:p>
        </w:tc>
        <w:tc>
          <w:tcPr>
            <w:tcW w:w="1276" w:type="dxa"/>
            <w:shd w:val="clear" w:color="auto" w:fill="auto"/>
          </w:tcPr>
          <w:p w14:paraId="775B1016" w14:textId="77777777" w:rsidR="00112041" w:rsidRPr="00B51D18" w:rsidRDefault="00112041" w:rsidP="003E3536">
            <w:pPr>
              <w:pStyle w:val="TableTextCentered"/>
            </w:pPr>
          </w:p>
        </w:tc>
        <w:tc>
          <w:tcPr>
            <w:tcW w:w="1134" w:type="dxa"/>
            <w:shd w:val="clear" w:color="auto" w:fill="D6E3BC" w:themeFill="accent3" w:themeFillTint="66"/>
          </w:tcPr>
          <w:p w14:paraId="7B85112D" w14:textId="77777777" w:rsidR="00112041" w:rsidRPr="00B51D18" w:rsidRDefault="00112041" w:rsidP="003E3536">
            <w:pPr>
              <w:pStyle w:val="TableTextCentered"/>
            </w:pPr>
            <w:r w:rsidRPr="00B51D18">
              <w:t>x</w:t>
            </w:r>
          </w:p>
        </w:tc>
        <w:tc>
          <w:tcPr>
            <w:tcW w:w="1276" w:type="dxa"/>
            <w:shd w:val="clear" w:color="auto" w:fill="D6E3BC" w:themeFill="accent3" w:themeFillTint="66"/>
          </w:tcPr>
          <w:p w14:paraId="3AF0EED9" w14:textId="77777777" w:rsidR="00112041" w:rsidRPr="00B51D18" w:rsidRDefault="00112041" w:rsidP="003E3536">
            <w:pPr>
              <w:pStyle w:val="TableTextCentered"/>
            </w:pPr>
            <w:r w:rsidRPr="00B51D18">
              <w:t>x</w:t>
            </w:r>
          </w:p>
        </w:tc>
        <w:tc>
          <w:tcPr>
            <w:tcW w:w="1275" w:type="dxa"/>
            <w:shd w:val="clear" w:color="auto" w:fill="auto"/>
          </w:tcPr>
          <w:p w14:paraId="4807CC47" w14:textId="77777777" w:rsidR="00112041" w:rsidRPr="00B51D18" w:rsidRDefault="00112041" w:rsidP="003E3536">
            <w:pPr>
              <w:pStyle w:val="TableTextCentered"/>
            </w:pPr>
          </w:p>
        </w:tc>
      </w:tr>
      <w:tr w:rsidR="00112041" w:rsidRPr="00B23402" w14:paraId="03ECDA7B" w14:textId="77777777" w:rsidTr="003E3536">
        <w:tc>
          <w:tcPr>
            <w:tcW w:w="1843" w:type="dxa"/>
            <w:shd w:val="clear" w:color="auto" w:fill="auto"/>
          </w:tcPr>
          <w:p w14:paraId="7583302A" w14:textId="77777777" w:rsidR="00112041" w:rsidRPr="00F620DC" w:rsidRDefault="00112041" w:rsidP="003E3536">
            <w:pPr>
              <w:pStyle w:val="TableColumnHeadingLeft"/>
              <w:jc w:val="left"/>
            </w:pPr>
            <w:r w:rsidRPr="00F620DC">
              <w:t>Visible share of commodity price increases</w:t>
            </w:r>
          </w:p>
        </w:tc>
        <w:tc>
          <w:tcPr>
            <w:tcW w:w="1134" w:type="dxa"/>
            <w:shd w:val="clear" w:color="auto" w:fill="auto"/>
          </w:tcPr>
          <w:p w14:paraId="44DBAC53" w14:textId="77777777" w:rsidR="00112041" w:rsidRPr="00B51D18" w:rsidRDefault="00112041" w:rsidP="003E3536">
            <w:pPr>
              <w:pStyle w:val="TableTextCentered"/>
            </w:pPr>
          </w:p>
        </w:tc>
        <w:tc>
          <w:tcPr>
            <w:tcW w:w="1134" w:type="dxa"/>
            <w:shd w:val="clear" w:color="auto" w:fill="auto"/>
          </w:tcPr>
          <w:p w14:paraId="3A6EC9BD" w14:textId="77777777" w:rsidR="00112041" w:rsidRPr="00B51D18" w:rsidRDefault="00112041" w:rsidP="003E3536">
            <w:pPr>
              <w:pStyle w:val="TableTextCentered"/>
            </w:pPr>
          </w:p>
        </w:tc>
        <w:tc>
          <w:tcPr>
            <w:tcW w:w="1276" w:type="dxa"/>
            <w:shd w:val="clear" w:color="auto" w:fill="D6E3BC" w:themeFill="accent3" w:themeFillTint="66"/>
          </w:tcPr>
          <w:p w14:paraId="473E2C7B" w14:textId="77777777" w:rsidR="00112041" w:rsidRPr="00B51D18" w:rsidRDefault="00112041" w:rsidP="003E3536">
            <w:pPr>
              <w:pStyle w:val="TableTextCentered"/>
            </w:pPr>
            <w:r w:rsidRPr="00B51D18">
              <w:t>x</w:t>
            </w:r>
          </w:p>
        </w:tc>
        <w:tc>
          <w:tcPr>
            <w:tcW w:w="1134" w:type="dxa"/>
            <w:shd w:val="clear" w:color="auto" w:fill="auto"/>
          </w:tcPr>
          <w:p w14:paraId="373D35D6" w14:textId="77777777" w:rsidR="00112041" w:rsidRPr="00B51D18" w:rsidRDefault="00112041" w:rsidP="003E3536">
            <w:pPr>
              <w:pStyle w:val="TableTextCentered"/>
            </w:pPr>
          </w:p>
        </w:tc>
        <w:tc>
          <w:tcPr>
            <w:tcW w:w="1276" w:type="dxa"/>
            <w:shd w:val="clear" w:color="auto" w:fill="auto"/>
          </w:tcPr>
          <w:p w14:paraId="424733B3" w14:textId="77777777" w:rsidR="00112041" w:rsidRPr="00B51D18" w:rsidRDefault="00112041" w:rsidP="003E3536">
            <w:pPr>
              <w:pStyle w:val="TableTextCentered"/>
            </w:pPr>
          </w:p>
        </w:tc>
        <w:tc>
          <w:tcPr>
            <w:tcW w:w="1275" w:type="dxa"/>
            <w:shd w:val="clear" w:color="auto" w:fill="auto"/>
          </w:tcPr>
          <w:p w14:paraId="40973584" w14:textId="77777777" w:rsidR="00112041" w:rsidRPr="00B51D18" w:rsidRDefault="00112041" w:rsidP="003E3536">
            <w:pPr>
              <w:pStyle w:val="TableTextCentered"/>
            </w:pPr>
          </w:p>
        </w:tc>
      </w:tr>
      <w:tr w:rsidR="00112041" w:rsidRPr="00B23402" w14:paraId="22AC0A89" w14:textId="77777777" w:rsidTr="003E3536">
        <w:tc>
          <w:tcPr>
            <w:tcW w:w="1843" w:type="dxa"/>
            <w:shd w:val="clear" w:color="auto" w:fill="auto"/>
          </w:tcPr>
          <w:p w14:paraId="308645C6" w14:textId="77777777" w:rsidR="00112041" w:rsidRPr="00F620DC" w:rsidRDefault="00112041" w:rsidP="003E3536">
            <w:pPr>
              <w:pStyle w:val="TableColumnHeadingLeft"/>
              <w:jc w:val="left"/>
            </w:pPr>
            <w:r w:rsidRPr="00F620DC">
              <w:t>Strategic ownership interest</w:t>
            </w:r>
          </w:p>
        </w:tc>
        <w:tc>
          <w:tcPr>
            <w:tcW w:w="1134" w:type="dxa"/>
            <w:shd w:val="clear" w:color="auto" w:fill="auto"/>
          </w:tcPr>
          <w:p w14:paraId="2A2F9366" w14:textId="77777777" w:rsidR="00112041" w:rsidRPr="00B51D18" w:rsidRDefault="00112041" w:rsidP="003E3536">
            <w:pPr>
              <w:pStyle w:val="TableTextCentered"/>
            </w:pPr>
          </w:p>
        </w:tc>
        <w:tc>
          <w:tcPr>
            <w:tcW w:w="1134" w:type="dxa"/>
            <w:shd w:val="clear" w:color="auto" w:fill="auto"/>
          </w:tcPr>
          <w:p w14:paraId="7E367B0E" w14:textId="77777777" w:rsidR="00112041" w:rsidRPr="00B51D18" w:rsidRDefault="00112041" w:rsidP="003E3536">
            <w:pPr>
              <w:pStyle w:val="TableTextCentered"/>
            </w:pPr>
          </w:p>
        </w:tc>
        <w:tc>
          <w:tcPr>
            <w:tcW w:w="1276" w:type="dxa"/>
            <w:shd w:val="clear" w:color="auto" w:fill="auto"/>
          </w:tcPr>
          <w:p w14:paraId="0B1BC179" w14:textId="77777777" w:rsidR="00112041" w:rsidRPr="00B51D18" w:rsidRDefault="00112041" w:rsidP="003E3536">
            <w:pPr>
              <w:pStyle w:val="TableTextCentered"/>
            </w:pPr>
          </w:p>
        </w:tc>
        <w:tc>
          <w:tcPr>
            <w:tcW w:w="1134" w:type="dxa"/>
            <w:shd w:val="clear" w:color="auto" w:fill="auto"/>
          </w:tcPr>
          <w:p w14:paraId="42D9FC53" w14:textId="77777777" w:rsidR="00112041" w:rsidRPr="00B51D18" w:rsidRDefault="00112041" w:rsidP="003E3536">
            <w:pPr>
              <w:pStyle w:val="TableTextCentered"/>
            </w:pPr>
          </w:p>
        </w:tc>
        <w:tc>
          <w:tcPr>
            <w:tcW w:w="1276" w:type="dxa"/>
            <w:shd w:val="clear" w:color="auto" w:fill="auto"/>
          </w:tcPr>
          <w:p w14:paraId="3FB1CCED" w14:textId="77777777" w:rsidR="00112041" w:rsidRPr="00B51D18" w:rsidRDefault="00112041" w:rsidP="003E3536">
            <w:pPr>
              <w:pStyle w:val="TableTextCentered"/>
            </w:pPr>
          </w:p>
        </w:tc>
        <w:tc>
          <w:tcPr>
            <w:tcW w:w="1275" w:type="dxa"/>
            <w:shd w:val="clear" w:color="auto" w:fill="D6E3BC" w:themeFill="accent3" w:themeFillTint="66"/>
          </w:tcPr>
          <w:p w14:paraId="230F7299" w14:textId="77777777" w:rsidR="00112041" w:rsidRPr="00B51D18" w:rsidRDefault="00112041" w:rsidP="003E3536">
            <w:pPr>
              <w:pStyle w:val="TableTextCentered"/>
            </w:pPr>
            <w:r w:rsidRPr="00B51D18">
              <w:t>x</w:t>
            </w:r>
          </w:p>
        </w:tc>
      </w:tr>
      <w:tr w:rsidR="00112041" w:rsidRPr="00B23402" w14:paraId="643F1845" w14:textId="77777777" w:rsidTr="003E3536">
        <w:tc>
          <w:tcPr>
            <w:tcW w:w="1843" w:type="dxa"/>
            <w:shd w:val="clear" w:color="auto" w:fill="auto"/>
          </w:tcPr>
          <w:p w14:paraId="3D1CF107" w14:textId="77777777" w:rsidR="00112041" w:rsidRPr="00F620DC" w:rsidRDefault="00112041" w:rsidP="003E3536">
            <w:pPr>
              <w:pStyle w:val="TableColumnHeadingLeft"/>
              <w:jc w:val="left"/>
            </w:pPr>
            <w:r w:rsidRPr="00F620DC">
              <w:t>Maximise resource utilisation</w:t>
            </w:r>
          </w:p>
        </w:tc>
        <w:tc>
          <w:tcPr>
            <w:tcW w:w="1134" w:type="dxa"/>
            <w:shd w:val="clear" w:color="auto" w:fill="auto"/>
          </w:tcPr>
          <w:p w14:paraId="1A57696B" w14:textId="77777777" w:rsidR="00112041" w:rsidRPr="00B51D18" w:rsidRDefault="00112041" w:rsidP="003E3536">
            <w:pPr>
              <w:pStyle w:val="TableTextCentered"/>
            </w:pPr>
          </w:p>
        </w:tc>
        <w:tc>
          <w:tcPr>
            <w:tcW w:w="1134" w:type="dxa"/>
            <w:shd w:val="clear" w:color="auto" w:fill="auto"/>
          </w:tcPr>
          <w:p w14:paraId="2673F97A" w14:textId="77777777" w:rsidR="00112041" w:rsidRPr="00B51D18" w:rsidRDefault="00112041" w:rsidP="003E3536">
            <w:pPr>
              <w:pStyle w:val="TableTextCentered"/>
            </w:pPr>
          </w:p>
        </w:tc>
        <w:tc>
          <w:tcPr>
            <w:tcW w:w="1276" w:type="dxa"/>
            <w:shd w:val="clear" w:color="auto" w:fill="auto"/>
          </w:tcPr>
          <w:p w14:paraId="4A367B5C" w14:textId="77777777" w:rsidR="00112041" w:rsidRPr="00B51D18" w:rsidRDefault="00112041" w:rsidP="003E3536">
            <w:pPr>
              <w:pStyle w:val="TableTextCentered"/>
            </w:pPr>
          </w:p>
        </w:tc>
        <w:tc>
          <w:tcPr>
            <w:tcW w:w="1134" w:type="dxa"/>
            <w:shd w:val="clear" w:color="auto" w:fill="D6E3BC" w:themeFill="accent3" w:themeFillTint="66"/>
          </w:tcPr>
          <w:p w14:paraId="2727618C" w14:textId="77777777" w:rsidR="00112041" w:rsidRPr="00B51D18" w:rsidRDefault="00112041" w:rsidP="003E3536">
            <w:pPr>
              <w:pStyle w:val="TableTextCentered"/>
            </w:pPr>
            <w:r w:rsidRPr="00B51D18">
              <w:t>x</w:t>
            </w:r>
          </w:p>
        </w:tc>
        <w:tc>
          <w:tcPr>
            <w:tcW w:w="1276" w:type="dxa"/>
            <w:shd w:val="clear" w:color="auto" w:fill="D6E3BC" w:themeFill="accent3" w:themeFillTint="66"/>
          </w:tcPr>
          <w:p w14:paraId="2CD60BA1" w14:textId="77777777" w:rsidR="00112041" w:rsidRPr="00B51D18" w:rsidRDefault="00112041" w:rsidP="003E3536">
            <w:pPr>
              <w:pStyle w:val="TableTextCentered"/>
            </w:pPr>
            <w:r w:rsidRPr="00B51D18">
              <w:t>x</w:t>
            </w:r>
          </w:p>
        </w:tc>
        <w:tc>
          <w:tcPr>
            <w:tcW w:w="1275" w:type="dxa"/>
            <w:shd w:val="clear" w:color="auto" w:fill="auto"/>
          </w:tcPr>
          <w:p w14:paraId="2A88FC2D" w14:textId="77777777" w:rsidR="00112041" w:rsidRPr="00B51D18" w:rsidRDefault="00112041" w:rsidP="003E3536">
            <w:pPr>
              <w:pStyle w:val="TableTextCentered"/>
            </w:pPr>
          </w:p>
        </w:tc>
      </w:tr>
      <w:tr w:rsidR="00112041" w:rsidRPr="00B23402" w14:paraId="03464CC3" w14:textId="77777777" w:rsidTr="003E3536">
        <w:tc>
          <w:tcPr>
            <w:tcW w:w="1843" w:type="dxa"/>
            <w:shd w:val="clear" w:color="auto" w:fill="auto"/>
          </w:tcPr>
          <w:p w14:paraId="63930BAC" w14:textId="77777777" w:rsidR="00112041" w:rsidRPr="00F620DC" w:rsidRDefault="00112041" w:rsidP="003E3536">
            <w:pPr>
              <w:pStyle w:val="TableColumnHeadingLeft"/>
              <w:jc w:val="left"/>
            </w:pPr>
            <w:r w:rsidRPr="00F620DC">
              <w:t>Minimise administrative burden and risks</w:t>
            </w:r>
          </w:p>
        </w:tc>
        <w:tc>
          <w:tcPr>
            <w:tcW w:w="1134" w:type="dxa"/>
            <w:shd w:val="clear" w:color="auto" w:fill="D6E3BC" w:themeFill="accent3" w:themeFillTint="66"/>
          </w:tcPr>
          <w:p w14:paraId="1B33A1F3" w14:textId="77777777" w:rsidR="00112041" w:rsidRPr="00B51D18" w:rsidRDefault="00112041" w:rsidP="003E3536">
            <w:pPr>
              <w:pStyle w:val="TableTextCentered"/>
            </w:pPr>
            <w:r w:rsidRPr="00B51D18">
              <w:t>x</w:t>
            </w:r>
          </w:p>
        </w:tc>
        <w:tc>
          <w:tcPr>
            <w:tcW w:w="1134" w:type="dxa"/>
            <w:shd w:val="clear" w:color="auto" w:fill="D6E3BC" w:themeFill="accent3" w:themeFillTint="66"/>
          </w:tcPr>
          <w:p w14:paraId="26D8A04D" w14:textId="77777777" w:rsidR="00112041" w:rsidRPr="00B51D18" w:rsidRDefault="00112041" w:rsidP="003E3536">
            <w:pPr>
              <w:pStyle w:val="TableTextCentered"/>
            </w:pPr>
            <w:r w:rsidRPr="00B51D18">
              <w:t>x</w:t>
            </w:r>
          </w:p>
        </w:tc>
        <w:tc>
          <w:tcPr>
            <w:tcW w:w="1276" w:type="dxa"/>
            <w:shd w:val="clear" w:color="auto" w:fill="auto"/>
          </w:tcPr>
          <w:p w14:paraId="5F8A6637" w14:textId="77777777" w:rsidR="00112041" w:rsidRPr="00B51D18" w:rsidRDefault="00112041" w:rsidP="003E3536">
            <w:pPr>
              <w:pStyle w:val="TableTextCentered"/>
            </w:pPr>
          </w:p>
        </w:tc>
        <w:tc>
          <w:tcPr>
            <w:tcW w:w="1134" w:type="dxa"/>
            <w:shd w:val="clear" w:color="auto" w:fill="auto"/>
          </w:tcPr>
          <w:p w14:paraId="5B802751" w14:textId="77777777" w:rsidR="00112041" w:rsidRPr="00B51D18" w:rsidRDefault="00112041" w:rsidP="003E3536">
            <w:pPr>
              <w:pStyle w:val="TableTextCentered"/>
            </w:pPr>
          </w:p>
        </w:tc>
        <w:tc>
          <w:tcPr>
            <w:tcW w:w="1276" w:type="dxa"/>
            <w:shd w:val="clear" w:color="auto" w:fill="auto"/>
          </w:tcPr>
          <w:p w14:paraId="5E71385F" w14:textId="77777777" w:rsidR="00112041" w:rsidRPr="00B51D18" w:rsidRDefault="00112041" w:rsidP="003E3536">
            <w:pPr>
              <w:pStyle w:val="TableTextCentered"/>
            </w:pPr>
          </w:p>
        </w:tc>
        <w:tc>
          <w:tcPr>
            <w:tcW w:w="1275" w:type="dxa"/>
            <w:shd w:val="clear" w:color="auto" w:fill="auto"/>
          </w:tcPr>
          <w:p w14:paraId="388C8E92" w14:textId="77777777" w:rsidR="00112041" w:rsidRPr="00B51D18" w:rsidRDefault="00112041" w:rsidP="003E3536">
            <w:pPr>
              <w:pStyle w:val="TableTextCentered"/>
            </w:pPr>
          </w:p>
        </w:tc>
      </w:tr>
    </w:tbl>
    <w:p w14:paraId="3AFB8086" w14:textId="36D0C31D" w:rsidR="00112041" w:rsidRDefault="00112041" w:rsidP="003E3536">
      <w:pPr>
        <w:pStyle w:val="ChartorTableNote"/>
      </w:pPr>
      <w:r w:rsidRPr="00A122F4">
        <w:t xml:space="preserve">Source: </w:t>
      </w:r>
      <w:r w:rsidR="00E501BA" w:rsidRPr="00A122F4">
        <w:t>IMF, 2012, p. 28.</w:t>
      </w:r>
    </w:p>
    <w:p w14:paraId="1EE5F821" w14:textId="77777777" w:rsidR="003E3536" w:rsidRPr="003E3536" w:rsidRDefault="003E3536" w:rsidP="003E3536">
      <w:pPr>
        <w:pStyle w:val="SingleParagraph"/>
      </w:pPr>
    </w:p>
    <w:p w14:paraId="5726910E" w14:textId="026269E7" w:rsidR="00AA7794" w:rsidRDefault="00AA7794" w:rsidP="00697BC1">
      <w:r>
        <w:t xml:space="preserve">While most countries that use concession arrangements have a production based (royalty) </w:t>
      </w:r>
      <w:r w:rsidR="00D04B4D">
        <w:t xml:space="preserve">system </w:t>
      </w:r>
      <w:r>
        <w:t xml:space="preserve">as </w:t>
      </w:r>
      <w:r w:rsidR="00D53F55">
        <w:t>a</w:t>
      </w:r>
      <w:r>
        <w:t xml:space="preserve"> key source of revenue from the oil and gas sector, a number use a rent tax, for example:</w:t>
      </w:r>
    </w:p>
    <w:p w14:paraId="7D97B726" w14:textId="3EABB29C" w:rsidR="00AA7794" w:rsidRDefault="00AA7794" w:rsidP="006D3A2F">
      <w:pPr>
        <w:pStyle w:val="Bullet"/>
      </w:pPr>
      <w:r>
        <w:t xml:space="preserve">Norway has a profit rent tax in the form of </w:t>
      </w:r>
      <w:r w:rsidR="005D6F39">
        <w:t>‘</w:t>
      </w:r>
      <w:r>
        <w:t>Allowance for Corporate Capital</w:t>
      </w:r>
      <w:r w:rsidR="005D6F39">
        <w:t>’</w:t>
      </w:r>
      <w:r>
        <w:t xml:space="preserve"> design</w:t>
      </w:r>
      <w:r w:rsidR="00B84C9E">
        <w:t>;</w:t>
      </w:r>
      <w:r>
        <w:t xml:space="preserve"> </w:t>
      </w:r>
    </w:p>
    <w:p w14:paraId="405A30AE" w14:textId="47D3A3F1" w:rsidR="00AA7794" w:rsidRDefault="00B84C9E" w:rsidP="006D3A2F">
      <w:pPr>
        <w:pStyle w:val="Bullet"/>
      </w:pPr>
      <w:r>
        <w:t>s</w:t>
      </w:r>
      <w:r w:rsidR="00AA7794">
        <w:t xml:space="preserve">ome Canadian provinces (Newfoundland and Labrador, British Columbia) have moved to more complicated taxing arrangements that include components calculated on the basis of profit, although these are historically referred to as </w:t>
      </w:r>
      <w:r w:rsidR="005D6F39">
        <w:t>‘</w:t>
      </w:r>
      <w:r w:rsidR="00AA7794">
        <w:t>royalties</w:t>
      </w:r>
      <w:r w:rsidR="005D6F39">
        <w:t>’</w:t>
      </w:r>
      <w:r>
        <w:t>;</w:t>
      </w:r>
    </w:p>
    <w:p w14:paraId="2E3C68A1" w14:textId="58723F93" w:rsidR="001B1823" w:rsidRDefault="001B1823" w:rsidP="006D3A2F">
      <w:pPr>
        <w:pStyle w:val="Bullet"/>
      </w:pPr>
      <w:r>
        <w:t>Papua New Guinea has an Additional Profits Tax; and</w:t>
      </w:r>
    </w:p>
    <w:p w14:paraId="29D4A217" w14:textId="139152F1" w:rsidR="00AA7794" w:rsidRDefault="00B84C9E" w:rsidP="006D3A2F">
      <w:pPr>
        <w:pStyle w:val="Bullet"/>
      </w:pPr>
      <w:r>
        <w:t>t</w:t>
      </w:r>
      <w:r w:rsidR="00AE4C15">
        <w:t>he United Kingdom</w:t>
      </w:r>
      <w:r w:rsidR="00AA7794">
        <w:t xml:space="preserve"> first introduced its Petroleum Rent Tax in 1975. This was reduced to 0 per cent in 2016, but other profit</w:t>
      </w:r>
      <w:r w:rsidR="005D6F39">
        <w:noBreakHyphen/>
      </w:r>
      <w:r w:rsidR="00AA7794">
        <w:t xml:space="preserve">based taxes remain, through the ring fenced corporations tax and supplementary charge. </w:t>
      </w:r>
    </w:p>
    <w:p w14:paraId="5D5B0693" w14:textId="12E908D3" w:rsidR="00AA7794" w:rsidRDefault="00AA7794" w:rsidP="00B33D05">
      <w:r>
        <w:t xml:space="preserve">Further details on some of these </w:t>
      </w:r>
      <w:r w:rsidR="00ED3398">
        <w:t>arrangements</w:t>
      </w:r>
      <w:r>
        <w:t xml:space="preserve"> are in </w:t>
      </w:r>
      <w:r w:rsidRPr="006D28D4">
        <w:t xml:space="preserve">Appendix </w:t>
      </w:r>
      <w:r w:rsidR="006554DF" w:rsidRPr="006D28D4">
        <w:t>E</w:t>
      </w:r>
      <w:r w:rsidR="00D04B4D" w:rsidRPr="006D28D4">
        <w:t>.</w:t>
      </w:r>
      <w:r>
        <w:t xml:space="preserve"> </w:t>
      </w:r>
    </w:p>
    <w:p w14:paraId="0818146A" w14:textId="705B28B0" w:rsidR="00AA7794" w:rsidRDefault="00AA7794" w:rsidP="00B33D05">
      <w:r>
        <w:t>The Fraser Institute, an independent Canadian research think tank has</w:t>
      </w:r>
      <w:r w:rsidR="00DA22C2">
        <w:t>,</w:t>
      </w:r>
      <w:r>
        <w:t xml:space="preserve"> for the last 10 years</w:t>
      </w:r>
      <w:r w:rsidR="00DA22C2">
        <w:t>,</w:t>
      </w:r>
      <w:r>
        <w:t xml:space="preserve"> conducted an annual international survey on barriers to investment in oil and gas exploration in jurisdictions around the world. This is a qualitative study in which jurisdictions are ranked according to the scores assigned by managers and executives in the petroleum industry to 16 factors that affect investment decisions.</w:t>
      </w:r>
      <w:r w:rsidR="00112041">
        <w:rPr>
          <w:rStyle w:val="FootnoteReference"/>
        </w:rPr>
        <w:footnoteReference w:id="13"/>
      </w:r>
      <w:r>
        <w:t xml:space="preserve"> These scores are then used to generate a </w:t>
      </w:r>
      <w:r w:rsidR="005D6F39">
        <w:t>‘</w:t>
      </w:r>
      <w:r>
        <w:t>Policy Perception Index</w:t>
      </w:r>
      <w:r w:rsidR="005D6F39">
        <w:t>’</w:t>
      </w:r>
      <w:r>
        <w:t xml:space="preserve"> for each jurisdiction that reflects the perceived extent of the barriers to investment. </w:t>
      </w:r>
      <w:r w:rsidRPr="006D28D4">
        <w:t xml:space="preserve">Table </w:t>
      </w:r>
      <w:r w:rsidR="006554DF" w:rsidRPr="006D28D4">
        <w:t>2.4</w:t>
      </w:r>
      <w:r>
        <w:t xml:space="preserve"> shows the Policy Perception Index scores and rank</w:t>
      </w:r>
      <w:r w:rsidR="00DA22C2">
        <w:t>ing</w:t>
      </w:r>
      <w:r>
        <w:t>s for a selected group of countries over the last five years.</w:t>
      </w:r>
    </w:p>
    <w:p w14:paraId="715CD4E4" w14:textId="75849D01" w:rsidR="00BC5E2A" w:rsidRDefault="00AA7794" w:rsidP="00BC5E2A">
      <w:r>
        <w:t>The Australian offshore (and the WA and QLD) jurisdictions fall within the second quartile, comparable with the U</w:t>
      </w:r>
      <w:r w:rsidR="003239F6">
        <w:t xml:space="preserve">nited </w:t>
      </w:r>
      <w:r>
        <w:t>S</w:t>
      </w:r>
      <w:r w:rsidR="003239F6">
        <w:t>tates</w:t>
      </w:r>
      <w:r>
        <w:t xml:space="preserve"> Gulf of Mexico and a number of Canadian jurisdictions. </w:t>
      </w:r>
      <w:r w:rsidRPr="00CB4E50">
        <w:t xml:space="preserve">As noted in </w:t>
      </w:r>
      <w:r w:rsidR="00A400EE" w:rsidRPr="006D28D4">
        <w:t>section</w:t>
      </w:r>
      <w:r w:rsidRPr="006D28D4">
        <w:t xml:space="preserve"> 1.3</w:t>
      </w:r>
      <w:r>
        <w:t xml:space="preserve">, the 2016 report indicates that when </w:t>
      </w:r>
      <w:r w:rsidR="000700A7">
        <w:t xml:space="preserve">overall </w:t>
      </w:r>
      <w:r>
        <w:t>regions are compared with each other, weighted by reserve size, Australia follows the United States as the most attractive region for investment.</w:t>
      </w:r>
    </w:p>
    <w:p w14:paraId="6F43BFA7" w14:textId="48603FAC" w:rsidR="009F3A85" w:rsidRDefault="00BC5E2A" w:rsidP="00BC5E2A">
      <w:r>
        <w:t xml:space="preserve">When the </w:t>
      </w:r>
      <w:r w:rsidR="00A400EE">
        <w:t>two</w:t>
      </w:r>
      <w:r>
        <w:t xml:space="preserve"> fiscal regime settings (fiscal terms and taxation arrangements</w:t>
      </w:r>
      <w:r>
        <w:rPr>
          <w:rStyle w:val="FootnoteReference"/>
        </w:rPr>
        <w:footnoteReference w:id="14"/>
      </w:r>
      <w:r>
        <w:t xml:space="preserve">) are reviewed for the same range of countries, Australia continues to compare well with countries </w:t>
      </w:r>
      <w:r w:rsidR="00946DA1">
        <w:t xml:space="preserve">like </w:t>
      </w:r>
      <w:r>
        <w:t xml:space="preserve">Canada and Norway. These results are </w:t>
      </w:r>
      <w:r w:rsidR="00CB4E50">
        <w:t>presented</w:t>
      </w:r>
      <w:r>
        <w:t xml:space="preserve"> in </w:t>
      </w:r>
      <w:r w:rsidRPr="006D28D4">
        <w:t xml:space="preserve">Figures </w:t>
      </w:r>
      <w:r w:rsidR="00174023" w:rsidRPr="006D28D4">
        <w:t>2.</w:t>
      </w:r>
      <w:r w:rsidR="001C5A01">
        <w:t>10</w:t>
      </w:r>
      <w:r>
        <w:t xml:space="preserve"> and </w:t>
      </w:r>
      <w:r w:rsidR="00174023" w:rsidRPr="006D28D4">
        <w:t>2.1</w:t>
      </w:r>
      <w:r w:rsidR="001C5A01">
        <w:t>1</w:t>
      </w:r>
      <w:r w:rsidRPr="006D28D4">
        <w:t>.</w:t>
      </w:r>
      <w:r>
        <w:t xml:space="preserve"> This suggests Australia</w:t>
      </w:r>
      <w:r w:rsidR="005D6F39">
        <w:t>’</w:t>
      </w:r>
      <w:r>
        <w:t>s overall fiscal regime settings are not a deterrent to investment. Australia</w:t>
      </w:r>
      <w:r w:rsidR="005D6F39">
        <w:t>’</w:t>
      </w:r>
      <w:r>
        <w:t>s ability to attract significant LNG investments in recent years support</w:t>
      </w:r>
      <w:r w:rsidR="006554DF">
        <w:t>s</w:t>
      </w:r>
      <w:r>
        <w:t xml:space="preserve"> this.</w:t>
      </w:r>
    </w:p>
    <w:p w14:paraId="2F778F03" w14:textId="77777777" w:rsidR="009F3A85" w:rsidRDefault="009F3A85">
      <w:pPr>
        <w:spacing w:after="0" w:line="240" w:lineRule="auto"/>
        <w:jc w:val="left"/>
      </w:pPr>
      <w:r>
        <w:br w:type="page"/>
      </w:r>
    </w:p>
    <w:p w14:paraId="0BBACDB2" w14:textId="2575DFBE" w:rsidR="00AA7794" w:rsidRDefault="00112041" w:rsidP="00221C2A">
      <w:pPr>
        <w:pStyle w:val="TableMainHeading"/>
      </w:pPr>
      <w:r w:rsidRPr="001E6B45">
        <w:t xml:space="preserve">Table </w:t>
      </w:r>
      <w:r w:rsidR="0015541C" w:rsidRPr="006D28D4">
        <w:t>2.4</w:t>
      </w:r>
      <w:r w:rsidRPr="001E6B45">
        <w:t xml:space="preserve"> </w:t>
      </w:r>
      <w:r w:rsidR="007E6F50" w:rsidRPr="00AE5BDF">
        <w:t>—</w:t>
      </w:r>
      <w:r w:rsidRPr="001E6B45">
        <w:t xml:space="preserve"> </w:t>
      </w:r>
      <w:r w:rsidR="00EE2BF5" w:rsidRPr="001E6B45">
        <w:t xml:space="preserve">Selected 2016 Fraser Institute </w:t>
      </w:r>
      <w:r w:rsidR="00CE38C7">
        <w:t>r</w:t>
      </w:r>
      <w:r w:rsidR="00EE2BF5" w:rsidRPr="001E6B45">
        <w:t>esults</w:t>
      </w:r>
      <w:r w:rsidR="005D6F39">
        <w:t xml:space="preserve"> — </w:t>
      </w:r>
      <w:r w:rsidR="00EE2BF5" w:rsidRPr="001E6B45">
        <w:t>Policy Perception Index</w:t>
      </w:r>
      <w:r w:rsidR="00352821" w:rsidRPr="001E6B45">
        <w:t xml:space="preserve"> scores and </w:t>
      </w:r>
      <w:r w:rsidR="00CE38C7">
        <w:t>r</w:t>
      </w:r>
      <w:r w:rsidR="00352821" w:rsidRPr="001E6B45">
        <w:t>anks</w:t>
      </w:r>
    </w:p>
    <w:tbl>
      <w:tblPr>
        <w:tblStyle w:val="TableGrid"/>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709"/>
        <w:gridCol w:w="709"/>
        <w:gridCol w:w="709"/>
        <w:gridCol w:w="708"/>
        <w:gridCol w:w="709"/>
        <w:gridCol w:w="709"/>
        <w:gridCol w:w="709"/>
        <w:gridCol w:w="850"/>
        <w:gridCol w:w="851"/>
        <w:gridCol w:w="726"/>
      </w:tblGrid>
      <w:tr w:rsidR="00112041" w:rsidRPr="006444D3" w14:paraId="5CD80959" w14:textId="77777777" w:rsidTr="003E3536">
        <w:trPr>
          <w:trHeight w:val="300"/>
          <w:tblHeader/>
          <w:jc w:val="center"/>
        </w:trPr>
        <w:tc>
          <w:tcPr>
            <w:tcW w:w="1722" w:type="dxa"/>
            <w:shd w:val="clear" w:color="auto" w:fill="auto"/>
            <w:noWrap/>
            <w:hideMark/>
          </w:tcPr>
          <w:p w14:paraId="7AD7AB6D" w14:textId="77777777" w:rsidR="00112041" w:rsidRPr="00BD285D" w:rsidRDefault="00112041" w:rsidP="003E3536">
            <w:pPr>
              <w:pStyle w:val="TableColumnHeadingLeft"/>
              <w:jc w:val="left"/>
            </w:pPr>
            <w:r w:rsidRPr="00BD285D">
              <w:t>Policy Perception Index</w:t>
            </w:r>
          </w:p>
        </w:tc>
        <w:tc>
          <w:tcPr>
            <w:tcW w:w="3544" w:type="dxa"/>
            <w:gridSpan w:val="5"/>
            <w:shd w:val="clear" w:color="auto" w:fill="auto"/>
            <w:noWrap/>
            <w:hideMark/>
          </w:tcPr>
          <w:p w14:paraId="690AE515" w14:textId="77777777" w:rsidR="00112041" w:rsidRPr="00BD285D" w:rsidRDefault="00112041" w:rsidP="003E3536">
            <w:pPr>
              <w:pStyle w:val="TableColumnHeadingLeft"/>
              <w:jc w:val="left"/>
            </w:pPr>
            <w:r w:rsidRPr="00BD285D">
              <w:t>Score</w:t>
            </w:r>
          </w:p>
          <w:p w14:paraId="3ED87CAB" w14:textId="7CA6C678" w:rsidR="00112041" w:rsidRPr="00BD285D" w:rsidRDefault="00E66E6A" w:rsidP="003E3536">
            <w:pPr>
              <w:pStyle w:val="TableColumnHeadingLeft"/>
              <w:jc w:val="left"/>
            </w:pPr>
            <w:r w:rsidRPr="00BD285D">
              <w:t>(the closer to 100, the more positive the perception index for investment)</w:t>
            </w:r>
          </w:p>
        </w:tc>
        <w:tc>
          <w:tcPr>
            <w:tcW w:w="3845" w:type="dxa"/>
            <w:gridSpan w:val="5"/>
            <w:shd w:val="clear" w:color="auto" w:fill="auto"/>
            <w:noWrap/>
            <w:hideMark/>
          </w:tcPr>
          <w:p w14:paraId="2518D80A" w14:textId="77777777" w:rsidR="00112041" w:rsidRPr="00BD285D" w:rsidRDefault="00112041" w:rsidP="003E3536">
            <w:pPr>
              <w:pStyle w:val="TableColumnHeadingLeft"/>
              <w:jc w:val="left"/>
            </w:pPr>
            <w:r w:rsidRPr="00BD285D">
              <w:t>Rank</w:t>
            </w:r>
          </w:p>
          <w:p w14:paraId="12338092" w14:textId="58D4BF87" w:rsidR="00112041" w:rsidRPr="00BD285D" w:rsidRDefault="00E66E6A" w:rsidP="003E3536">
            <w:pPr>
              <w:pStyle w:val="TableColumnHeadingLeft"/>
              <w:jc w:val="left"/>
            </w:pPr>
            <w:r w:rsidRPr="00BD285D">
              <w:t xml:space="preserve">(Placement in </w:t>
            </w:r>
            <w:r w:rsidR="00A400EE" w:rsidRPr="00BD285D">
              <w:t xml:space="preserve">total </w:t>
            </w:r>
            <w:r w:rsidRPr="00BD285D">
              <w:t xml:space="preserve">jurisdictions, with first place represented as 1) </w:t>
            </w:r>
          </w:p>
        </w:tc>
      </w:tr>
      <w:tr w:rsidR="003E3536" w:rsidRPr="006444D3" w14:paraId="731333E5" w14:textId="77777777" w:rsidTr="003E3536">
        <w:trPr>
          <w:trHeight w:val="300"/>
          <w:jc w:val="center"/>
        </w:trPr>
        <w:tc>
          <w:tcPr>
            <w:tcW w:w="1722" w:type="dxa"/>
            <w:shd w:val="clear" w:color="auto" w:fill="auto"/>
            <w:noWrap/>
            <w:hideMark/>
          </w:tcPr>
          <w:p w14:paraId="66EB90E4" w14:textId="77777777" w:rsidR="00112041" w:rsidRPr="00BD285D" w:rsidRDefault="00112041" w:rsidP="003E3536">
            <w:pPr>
              <w:pStyle w:val="TableColumnHeadingLeft"/>
              <w:jc w:val="left"/>
            </w:pPr>
            <w:r w:rsidRPr="00BD285D">
              <w:t>Jurisdiction</w:t>
            </w:r>
          </w:p>
        </w:tc>
        <w:tc>
          <w:tcPr>
            <w:tcW w:w="709" w:type="dxa"/>
            <w:shd w:val="clear" w:color="auto" w:fill="auto"/>
            <w:noWrap/>
            <w:hideMark/>
          </w:tcPr>
          <w:p w14:paraId="76227ACD" w14:textId="77777777" w:rsidR="00112041" w:rsidRPr="00BD285D" w:rsidRDefault="00112041" w:rsidP="003E3536">
            <w:pPr>
              <w:pStyle w:val="TableColumnHeadingLeft"/>
              <w:jc w:val="right"/>
            </w:pPr>
            <w:r w:rsidRPr="00BD285D">
              <w:t>2016</w:t>
            </w:r>
          </w:p>
        </w:tc>
        <w:tc>
          <w:tcPr>
            <w:tcW w:w="709" w:type="dxa"/>
            <w:shd w:val="clear" w:color="auto" w:fill="auto"/>
            <w:noWrap/>
            <w:hideMark/>
          </w:tcPr>
          <w:p w14:paraId="23CE13F8" w14:textId="77777777" w:rsidR="00112041" w:rsidRPr="00BD285D" w:rsidRDefault="00112041" w:rsidP="003E3536">
            <w:pPr>
              <w:pStyle w:val="TableColumnHeadingLeft"/>
              <w:jc w:val="right"/>
            </w:pPr>
            <w:r w:rsidRPr="00BD285D">
              <w:t>2015</w:t>
            </w:r>
          </w:p>
        </w:tc>
        <w:tc>
          <w:tcPr>
            <w:tcW w:w="709" w:type="dxa"/>
            <w:shd w:val="clear" w:color="auto" w:fill="auto"/>
            <w:noWrap/>
            <w:hideMark/>
          </w:tcPr>
          <w:p w14:paraId="33E0D08F" w14:textId="77777777" w:rsidR="00112041" w:rsidRPr="00BD285D" w:rsidRDefault="00112041" w:rsidP="003E3536">
            <w:pPr>
              <w:pStyle w:val="TableColumnHeadingLeft"/>
              <w:jc w:val="right"/>
            </w:pPr>
            <w:r w:rsidRPr="00BD285D">
              <w:t>2014</w:t>
            </w:r>
          </w:p>
        </w:tc>
        <w:tc>
          <w:tcPr>
            <w:tcW w:w="708" w:type="dxa"/>
            <w:shd w:val="clear" w:color="auto" w:fill="auto"/>
            <w:noWrap/>
            <w:hideMark/>
          </w:tcPr>
          <w:p w14:paraId="52ADD205" w14:textId="77777777" w:rsidR="00112041" w:rsidRPr="00BD285D" w:rsidRDefault="00112041" w:rsidP="003E3536">
            <w:pPr>
              <w:pStyle w:val="TableColumnHeadingLeft"/>
              <w:jc w:val="right"/>
            </w:pPr>
            <w:r w:rsidRPr="00BD285D">
              <w:t>2013</w:t>
            </w:r>
          </w:p>
        </w:tc>
        <w:tc>
          <w:tcPr>
            <w:tcW w:w="709" w:type="dxa"/>
            <w:shd w:val="clear" w:color="auto" w:fill="auto"/>
            <w:noWrap/>
            <w:hideMark/>
          </w:tcPr>
          <w:p w14:paraId="715EDC03" w14:textId="77777777" w:rsidR="00112041" w:rsidRPr="00BD285D" w:rsidRDefault="00112041" w:rsidP="003E3536">
            <w:pPr>
              <w:pStyle w:val="TableColumnHeadingLeft"/>
              <w:jc w:val="right"/>
            </w:pPr>
            <w:r w:rsidRPr="00BD285D">
              <w:t>2012</w:t>
            </w:r>
          </w:p>
        </w:tc>
        <w:tc>
          <w:tcPr>
            <w:tcW w:w="709" w:type="dxa"/>
            <w:shd w:val="clear" w:color="auto" w:fill="auto"/>
            <w:noWrap/>
            <w:hideMark/>
          </w:tcPr>
          <w:p w14:paraId="5F2B42E5" w14:textId="77777777" w:rsidR="00112041" w:rsidRPr="00BD285D" w:rsidRDefault="00112041" w:rsidP="003E3536">
            <w:pPr>
              <w:pStyle w:val="TableColumnHeadingLeft"/>
              <w:jc w:val="right"/>
            </w:pPr>
            <w:r w:rsidRPr="00BD285D">
              <w:t>2016</w:t>
            </w:r>
          </w:p>
        </w:tc>
        <w:tc>
          <w:tcPr>
            <w:tcW w:w="709" w:type="dxa"/>
            <w:shd w:val="clear" w:color="auto" w:fill="auto"/>
            <w:noWrap/>
            <w:hideMark/>
          </w:tcPr>
          <w:p w14:paraId="19B222EF" w14:textId="77777777" w:rsidR="00112041" w:rsidRPr="00BD285D" w:rsidRDefault="00112041" w:rsidP="003E3536">
            <w:pPr>
              <w:pStyle w:val="TableColumnHeadingLeft"/>
              <w:jc w:val="right"/>
            </w:pPr>
            <w:r w:rsidRPr="00BD285D">
              <w:t>2015</w:t>
            </w:r>
          </w:p>
        </w:tc>
        <w:tc>
          <w:tcPr>
            <w:tcW w:w="850" w:type="dxa"/>
            <w:shd w:val="clear" w:color="auto" w:fill="auto"/>
            <w:noWrap/>
            <w:hideMark/>
          </w:tcPr>
          <w:p w14:paraId="61F2F933" w14:textId="77777777" w:rsidR="00112041" w:rsidRPr="00BD285D" w:rsidRDefault="00112041" w:rsidP="003E3536">
            <w:pPr>
              <w:pStyle w:val="TableColumnHeadingLeft"/>
              <w:jc w:val="right"/>
            </w:pPr>
            <w:r w:rsidRPr="00BD285D">
              <w:t>2014</w:t>
            </w:r>
          </w:p>
        </w:tc>
        <w:tc>
          <w:tcPr>
            <w:tcW w:w="851" w:type="dxa"/>
            <w:shd w:val="clear" w:color="auto" w:fill="auto"/>
            <w:noWrap/>
            <w:hideMark/>
          </w:tcPr>
          <w:p w14:paraId="414EF337" w14:textId="77777777" w:rsidR="00112041" w:rsidRPr="00BD285D" w:rsidRDefault="00112041" w:rsidP="003E3536">
            <w:pPr>
              <w:pStyle w:val="TableColumnHeadingLeft"/>
              <w:jc w:val="right"/>
            </w:pPr>
            <w:r w:rsidRPr="00BD285D">
              <w:t>2013</w:t>
            </w:r>
          </w:p>
        </w:tc>
        <w:tc>
          <w:tcPr>
            <w:tcW w:w="726" w:type="dxa"/>
            <w:shd w:val="clear" w:color="auto" w:fill="auto"/>
            <w:noWrap/>
            <w:hideMark/>
          </w:tcPr>
          <w:p w14:paraId="0CD56F15" w14:textId="77777777" w:rsidR="00112041" w:rsidRPr="00BD285D" w:rsidRDefault="00112041" w:rsidP="003E3536">
            <w:pPr>
              <w:pStyle w:val="TableColumnHeadingLeft"/>
              <w:jc w:val="right"/>
            </w:pPr>
            <w:r w:rsidRPr="00BD285D">
              <w:t>2012</w:t>
            </w:r>
          </w:p>
        </w:tc>
      </w:tr>
      <w:tr w:rsidR="003E3536" w:rsidRPr="006444D3" w14:paraId="7DB6DEFE" w14:textId="77777777" w:rsidTr="003E3536">
        <w:trPr>
          <w:trHeight w:val="300"/>
          <w:jc w:val="center"/>
        </w:trPr>
        <w:tc>
          <w:tcPr>
            <w:tcW w:w="1722" w:type="dxa"/>
            <w:shd w:val="clear" w:color="auto" w:fill="auto"/>
            <w:noWrap/>
          </w:tcPr>
          <w:p w14:paraId="5FBA135B" w14:textId="5345BE80" w:rsidR="00EE2BF5" w:rsidRPr="00BD285D" w:rsidRDefault="00EE2BF5" w:rsidP="003E3536">
            <w:pPr>
              <w:pStyle w:val="TableColumnHeadingLeft"/>
              <w:jc w:val="left"/>
            </w:pPr>
            <w:r w:rsidRPr="00BD285D">
              <w:t>Australia—Offshore</w:t>
            </w:r>
          </w:p>
        </w:tc>
        <w:tc>
          <w:tcPr>
            <w:tcW w:w="709" w:type="dxa"/>
            <w:shd w:val="clear" w:color="auto" w:fill="auto"/>
          </w:tcPr>
          <w:p w14:paraId="00856660" w14:textId="2AE91A96" w:rsidR="00EE2BF5" w:rsidRPr="005A428C" w:rsidRDefault="00EE2BF5" w:rsidP="003E3536">
            <w:pPr>
              <w:pStyle w:val="TableTextRight"/>
            </w:pPr>
            <w:r w:rsidRPr="005A428C">
              <w:t>78</w:t>
            </w:r>
          </w:p>
        </w:tc>
        <w:tc>
          <w:tcPr>
            <w:tcW w:w="709" w:type="dxa"/>
            <w:shd w:val="clear" w:color="auto" w:fill="auto"/>
          </w:tcPr>
          <w:p w14:paraId="18B51BF6" w14:textId="4BADC967" w:rsidR="00EE2BF5" w:rsidRPr="005A428C" w:rsidRDefault="00EE2BF5" w:rsidP="003E3536">
            <w:pPr>
              <w:pStyle w:val="TableTextRight"/>
            </w:pPr>
            <w:r w:rsidRPr="005A428C">
              <w:t>75</w:t>
            </w:r>
          </w:p>
        </w:tc>
        <w:tc>
          <w:tcPr>
            <w:tcW w:w="709" w:type="dxa"/>
            <w:shd w:val="clear" w:color="auto" w:fill="auto"/>
            <w:noWrap/>
          </w:tcPr>
          <w:p w14:paraId="76FE70DA" w14:textId="6514573F" w:rsidR="00EE2BF5" w:rsidRPr="005A428C" w:rsidRDefault="00EE2BF5" w:rsidP="003E3536">
            <w:pPr>
              <w:pStyle w:val="TableTextRight"/>
            </w:pPr>
            <w:r w:rsidRPr="005A428C">
              <w:t>74</w:t>
            </w:r>
          </w:p>
        </w:tc>
        <w:tc>
          <w:tcPr>
            <w:tcW w:w="708" w:type="dxa"/>
            <w:shd w:val="clear" w:color="auto" w:fill="auto"/>
            <w:noWrap/>
          </w:tcPr>
          <w:p w14:paraId="1A3C414A" w14:textId="5863FC21" w:rsidR="00EE2BF5" w:rsidRPr="005A428C" w:rsidRDefault="00EE2BF5" w:rsidP="003E3536">
            <w:pPr>
              <w:pStyle w:val="TableTextRight"/>
            </w:pPr>
            <w:r w:rsidRPr="005A428C">
              <w:t>71</w:t>
            </w:r>
          </w:p>
        </w:tc>
        <w:tc>
          <w:tcPr>
            <w:tcW w:w="709" w:type="dxa"/>
            <w:shd w:val="clear" w:color="auto" w:fill="auto"/>
          </w:tcPr>
          <w:p w14:paraId="14A166C3" w14:textId="0ECC5B94" w:rsidR="00EE2BF5" w:rsidRPr="005A428C" w:rsidRDefault="00EE2BF5" w:rsidP="003E3536">
            <w:pPr>
              <w:pStyle w:val="TableTextRight"/>
            </w:pPr>
            <w:r w:rsidRPr="005A428C">
              <w:t>79</w:t>
            </w:r>
          </w:p>
        </w:tc>
        <w:tc>
          <w:tcPr>
            <w:tcW w:w="709" w:type="dxa"/>
            <w:shd w:val="clear" w:color="auto" w:fill="auto"/>
          </w:tcPr>
          <w:p w14:paraId="0EF00722" w14:textId="50E1EB38" w:rsidR="00EE2BF5" w:rsidRPr="005A428C" w:rsidRDefault="00EE2BF5" w:rsidP="003E3536">
            <w:pPr>
              <w:pStyle w:val="TableTextRight"/>
            </w:pPr>
            <w:r w:rsidRPr="005A428C">
              <w:t>26/96</w:t>
            </w:r>
          </w:p>
        </w:tc>
        <w:tc>
          <w:tcPr>
            <w:tcW w:w="709" w:type="dxa"/>
            <w:shd w:val="clear" w:color="auto" w:fill="auto"/>
          </w:tcPr>
          <w:p w14:paraId="294E50FC" w14:textId="0609B4DD" w:rsidR="00EE2BF5" w:rsidRPr="005A428C" w:rsidRDefault="00EE2BF5" w:rsidP="003E3536">
            <w:pPr>
              <w:pStyle w:val="TableTextRight"/>
            </w:pPr>
            <w:r w:rsidRPr="005A428C">
              <w:t>32/126</w:t>
            </w:r>
          </w:p>
        </w:tc>
        <w:tc>
          <w:tcPr>
            <w:tcW w:w="850" w:type="dxa"/>
            <w:shd w:val="clear" w:color="auto" w:fill="auto"/>
            <w:noWrap/>
          </w:tcPr>
          <w:p w14:paraId="3C859EC7" w14:textId="3D6C3CE1" w:rsidR="00EE2BF5" w:rsidRPr="005A428C" w:rsidRDefault="00EE2BF5" w:rsidP="003E3536">
            <w:pPr>
              <w:pStyle w:val="TableTextRight"/>
            </w:pPr>
            <w:r w:rsidRPr="005A428C">
              <w:t>34/156</w:t>
            </w:r>
          </w:p>
        </w:tc>
        <w:tc>
          <w:tcPr>
            <w:tcW w:w="851" w:type="dxa"/>
            <w:shd w:val="clear" w:color="auto" w:fill="auto"/>
            <w:noWrap/>
          </w:tcPr>
          <w:p w14:paraId="6D28F9DA" w14:textId="7C685F39" w:rsidR="00EE2BF5" w:rsidRPr="005A428C" w:rsidRDefault="00EE2BF5" w:rsidP="003E3536">
            <w:pPr>
              <w:pStyle w:val="TableTextRight"/>
            </w:pPr>
            <w:r w:rsidRPr="005A428C">
              <w:t>54/157</w:t>
            </w:r>
          </w:p>
        </w:tc>
        <w:tc>
          <w:tcPr>
            <w:tcW w:w="726" w:type="dxa"/>
            <w:shd w:val="clear" w:color="auto" w:fill="auto"/>
          </w:tcPr>
          <w:p w14:paraId="58061DED" w14:textId="5952A9B7" w:rsidR="00EE2BF5" w:rsidRPr="005A428C" w:rsidRDefault="00EE2BF5" w:rsidP="003E3536">
            <w:pPr>
              <w:pStyle w:val="TableTextRight"/>
            </w:pPr>
            <w:r w:rsidRPr="005A428C">
              <w:t>30/147</w:t>
            </w:r>
          </w:p>
        </w:tc>
      </w:tr>
      <w:tr w:rsidR="003E3536" w:rsidRPr="006444D3" w14:paraId="339DAEED" w14:textId="77777777" w:rsidTr="003E3536">
        <w:trPr>
          <w:trHeight w:val="300"/>
          <w:jc w:val="center"/>
        </w:trPr>
        <w:tc>
          <w:tcPr>
            <w:tcW w:w="1722" w:type="dxa"/>
            <w:shd w:val="clear" w:color="auto" w:fill="auto"/>
            <w:noWrap/>
            <w:hideMark/>
          </w:tcPr>
          <w:p w14:paraId="31A79823" w14:textId="77777777" w:rsidR="00112041" w:rsidRPr="00BD285D" w:rsidRDefault="00112041" w:rsidP="003E3536">
            <w:pPr>
              <w:pStyle w:val="TableColumnHeadingLeft"/>
              <w:jc w:val="left"/>
            </w:pPr>
            <w:r w:rsidRPr="00BD285D">
              <w:t>WA</w:t>
            </w:r>
          </w:p>
        </w:tc>
        <w:tc>
          <w:tcPr>
            <w:tcW w:w="709" w:type="dxa"/>
            <w:shd w:val="clear" w:color="auto" w:fill="auto"/>
            <w:hideMark/>
          </w:tcPr>
          <w:p w14:paraId="058436BF" w14:textId="77777777" w:rsidR="00112041" w:rsidRPr="005A428C" w:rsidRDefault="00112041" w:rsidP="003E3536">
            <w:pPr>
              <w:pStyle w:val="TableTextRight"/>
            </w:pPr>
            <w:r w:rsidRPr="005A428C">
              <w:t>72</w:t>
            </w:r>
          </w:p>
        </w:tc>
        <w:tc>
          <w:tcPr>
            <w:tcW w:w="709" w:type="dxa"/>
            <w:shd w:val="clear" w:color="auto" w:fill="auto"/>
            <w:hideMark/>
          </w:tcPr>
          <w:p w14:paraId="3C34E5D0" w14:textId="77777777" w:rsidR="00112041" w:rsidRPr="005A428C" w:rsidRDefault="00112041" w:rsidP="003E3536">
            <w:pPr>
              <w:pStyle w:val="TableTextRight"/>
            </w:pPr>
            <w:r w:rsidRPr="005A428C">
              <w:t>73</w:t>
            </w:r>
          </w:p>
        </w:tc>
        <w:tc>
          <w:tcPr>
            <w:tcW w:w="709" w:type="dxa"/>
            <w:shd w:val="clear" w:color="auto" w:fill="auto"/>
            <w:noWrap/>
            <w:hideMark/>
          </w:tcPr>
          <w:p w14:paraId="54612308" w14:textId="77777777" w:rsidR="00112041" w:rsidRPr="005A428C" w:rsidRDefault="00112041" w:rsidP="003E3536">
            <w:pPr>
              <w:pStyle w:val="TableTextRight"/>
            </w:pPr>
            <w:r w:rsidRPr="005A428C">
              <w:t>69</w:t>
            </w:r>
          </w:p>
        </w:tc>
        <w:tc>
          <w:tcPr>
            <w:tcW w:w="708" w:type="dxa"/>
            <w:shd w:val="clear" w:color="auto" w:fill="auto"/>
            <w:noWrap/>
            <w:hideMark/>
          </w:tcPr>
          <w:p w14:paraId="2D89D08F" w14:textId="77777777" w:rsidR="00112041" w:rsidRPr="005A428C" w:rsidRDefault="00112041" w:rsidP="003E3536">
            <w:pPr>
              <w:pStyle w:val="TableTextRight"/>
            </w:pPr>
            <w:r w:rsidRPr="005A428C">
              <w:t>74</w:t>
            </w:r>
          </w:p>
        </w:tc>
        <w:tc>
          <w:tcPr>
            <w:tcW w:w="709" w:type="dxa"/>
            <w:shd w:val="clear" w:color="auto" w:fill="auto"/>
            <w:hideMark/>
          </w:tcPr>
          <w:p w14:paraId="1B12D1F2" w14:textId="77777777" w:rsidR="00112041" w:rsidRPr="005A428C" w:rsidRDefault="00112041" w:rsidP="003E3536">
            <w:pPr>
              <w:pStyle w:val="TableTextRight"/>
            </w:pPr>
            <w:r w:rsidRPr="005A428C">
              <w:t>77</w:t>
            </w:r>
          </w:p>
        </w:tc>
        <w:tc>
          <w:tcPr>
            <w:tcW w:w="709" w:type="dxa"/>
            <w:shd w:val="clear" w:color="auto" w:fill="auto"/>
            <w:hideMark/>
          </w:tcPr>
          <w:p w14:paraId="3C0CFC25" w14:textId="77777777" w:rsidR="00112041" w:rsidRPr="005A428C" w:rsidRDefault="00112041" w:rsidP="003E3536">
            <w:pPr>
              <w:pStyle w:val="TableTextRight"/>
            </w:pPr>
            <w:r w:rsidRPr="005A428C">
              <w:t>35/96</w:t>
            </w:r>
          </w:p>
        </w:tc>
        <w:tc>
          <w:tcPr>
            <w:tcW w:w="709" w:type="dxa"/>
            <w:shd w:val="clear" w:color="auto" w:fill="auto"/>
            <w:hideMark/>
          </w:tcPr>
          <w:p w14:paraId="5931D901" w14:textId="77777777" w:rsidR="00112041" w:rsidRPr="005A428C" w:rsidRDefault="00112041" w:rsidP="003E3536">
            <w:pPr>
              <w:pStyle w:val="TableTextRight"/>
            </w:pPr>
            <w:r w:rsidRPr="005A428C">
              <w:t>37/126</w:t>
            </w:r>
          </w:p>
        </w:tc>
        <w:tc>
          <w:tcPr>
            <w:tcW w:w="850" w:type="dxa"/>
            <w:shd w:val="clear" w:color="auto" w:fill="auto"/>
            <w:noWrap/>
            <w:hideMark/>
          </w:tcPr>
          <w:p w14:paraId="685ED2BA" w14:textId="77777777" w:rsidR="00112041" w:rsidRPr="005A428C" w:rsidRDefault="00112041" w:rsidP="003E3536">
            <w:pPr>
              <w:pStyle w:val="TableTextRight"/>
            </w:pPr>
            <w:r w:rsidRPr="005A428C">
              <w:t>47/156</w:t>
            </w:r>
          </w:p>
        </w:tc>
        <w:tc>
          <w:tcPr>
            <w:tcW w:w="851" w:type="dxa"/>
            <w:shd w:val="clear" w:color="auto" w:fill="auto"/>
            <w:noWrap/>
            <w:hideMark/>
          </w:tcPr>
          <w:p w14:paraId="18C721D5" w14:textId="77777777" w:rsidR="00112041" w:rsidRPr="005A428C" w:rsidRDefault="00112041" w:rsidP="003E3536">
            <w:pPr>
              <w:pStyle w:val="TableTextRight"/>
            </w:pPr>
            <w:r w:rsidRPr="005A428C">
              <w:t>47/157</w:t>
            </w:r>
          </w:p>
        </w:tc>
        <w:tc>
          <w:tcPr>
            <w:tcW w:w="726" w:type="dxa"/>
            <w:shd w:val="clear" w:color="auto" w:fill="auto"/>
            <w:hideMark/>
          </w:tcPr>
          <w:p w14:paraId="2A69B050" w14:textId="77777777" w:rsidR="00112041" w:rsidRPr="005A428C" w:rsidRDefault="00112041" w:rsidP="003E3536">
            <w:pPr>
              <w:pStyle w:val="TableTextRight"/>
            </w:pPr>
            <w:r w:rsidRPr="005A428C">
              <w:t>35/147</w:t>
            </w:r>
          </w:p>
        </w:tc>
      </w:tr>
      <w:tr w:rsidR="003E3536" w:rsidRPr="006444D3" w14:paraId="5A6CD126" w14:textId="77777777" w:rsidTr="003E3536">
        <w:trPr>
          <w:trHeight w:val="300"/>
          <w:jc w:val="center"/>
        </w:trPr>
        <w:tc>
          <w:tcPr>
            <w:tcW w:w="1722" w:type="dxa"/>
            <w:shd w:val="clear" w:color="auto" w:fill="auto"/>
            <w:noWrap/>
            <w:hideMark/>
          </w:tcPr>
          <w:p w14:paraId="434C86F9" w14:textId="77777777" w:rsidR="00112041" w:rsidRPr="00BD285D" w:rsidRDefault="00112041" w:rsidP="003E3536">
            <w:pPr>
              <w:pStyle w:val="TableColumnHeadingLeft"/>
              <w:jc w:val="left"/>
            </w:pPr>
            <w:r w:rsidRPr="00BD285D">
              <w:t>QLD</w:t>
            </w:r>
          </w:p>
        </w:tc>
        <w:tc>
          <w:tcPr>
            <w:tcW w:w="709" w:type="dxa"/>
            <w:shd w:val="clear" w:color="auto" w:fill="auto"/>
            <w:hideMark/>
          </w:tcPr>
          <w:p w14:paraId="69E2E63B" w14:textId="77777777" w:rsidR="00112041" w:rsidRPr="005A428C" w:rsidRDefault="00112041" w:rsidP="003E3536">
            <w:pPr>
              <w:pStyle w:val="TableTextRight"/>
            </w:pPr>
            <w:r w:rsidRPr="005A428C">
              <w:t>64</w:t>
            </w:r>
          </w:p>
        </w:tc>
        <w:tc>
          <w:tcPr>
            <w:tcW w:w="709" w:type="dxa"/>
            <w:shd w:val="clear" w:color="auto" w:fill="auto"/>
            <w:hideMark/>
          </w:tcPr>
          <w:p w14:paraId="40A7553A" w14:textId="77777777" w:rsidR="00112041" w:rsidRPr="005A428C" w:rsidRDefault="00112041" w:rsidP="003E3536">
            <w:pPr>
              <w:pStyle w:val="TableTextRight"/>
            </w:pPr>
            <w:r w:rsidRPr="005A428C">
              <w:t>71</w:t>
            </w:r>
          </w:p>
        </w:tc>
        <w:tc>
          <w:tcPr>
            <w:tcW w:w="709" w:type="dxa"/>
            <w:shd w:val="clear" w:color="auto" w:fill="auto"/>
            <w:noWrap/>
            <w:hideMark/>
          </w:tcPr>
          <w:p w14:paraId="6E7D6C35" w14:textId="77777777" w:rsidR="00112041" w:rsidRPr="005A428C" w:rsidRDefault="00112041" w:rsidP="003E3536">
            <w:pPr>
              <w:pStyle w:val="TableTextRight"/>
            </w:pPr>
            <w:r w:rsidRPr="005A428C">
              <w:t>66</w:t>
            </w:r>
          </w:p>
        </w:tc>
        <w:tc>
          <w:tcPr>
            <w:tcW w:w="708" w:type="dxa"/>
            <w:shd w:val="clear" w:color="auto" w:fill="auto"/>
            <w:noWrap/>
            <w:hideMark/>
          </w:tcPr>
          <w:p w14:paraId="5CAD1ACC" w14:textId="77777777" w:rsidR="00112041" w:rsidRPr="005A428C" w:rsidRDefault="00112041" w:rsidP="003E3536">
            <w:pPr>
              <w:pStyle w:val="TableTextRight"/>
            </w:pPr>
            <w:r w:rsidRPr="005A428C">
              <w:t>61</w:t>
            </w:r>
          </w:p>
        </w:tc>
        <w:tc>
          <w:tcPr>
            <w:tcW w:w="709" w:type="dxa"/>
            <w:shd w:val="clear" w:color="auto" w:fill="auto"/>
            <w:hideMark/>
          </w:tcPr>
          <w:p w14:paraId="77E9F360" w14:textId="77777777" w:rsidR="00112041" w:rsidRPr="005A428C" w:rsidRDefault="00112041" w:rsidP="003E3536">
            <w:pPr>
              <w:pStyle w:val="TableTextRight"/>
            </w:pPr>
            <w:r w:rsidRPr="005A428C">
              <w:t>68</w:t>
            </w:r>
          </w:p>
        </w:tc>
        <w:tc>
          <w:tcPr>
            <w:tcW w:w="709" w:type="dxa"/>
            <w:shd w:val="clear" w:color="auto" w:fill="auto"/>
            <w:hideMark/>
          </w:tcPr>
          <w:p w14:paraId="652A9FF6" w14:textId="77777777" w:rsidR="00112041" w:rsidRPr="005A428C" w:rsidRDefault="00112041" w:rsidP="003E3536">
            <w:pPr>
              <w:pStyle w:val="TableTextRight"/>
            </w:pPr>
            <w:r w:rsidRPr="005A428C">
              <w:t>47/96</w:t>
            </w:r>
          </w:p>
        </w:tc>
        <w:tc>
          <w:tcPr>
            <w:tcW w:w="709" w:type="dxa"/>
            <w:shd w:val="clear" w:color="auto" w:fill="auto"/>
            <w:hideMark/>
          </w:tcPr>
          <w:p w14:paraId="2F478466" w14:textId="77777777" w:rsidR="00112041" w:rsidRPr="005A428C" w:rsidRDefault="00112041" w:rsidP="003E3536">
            <w:pPr>
              <w:pStyle w:val="TableTextRight"/>
            </w:pPr>
            <w:r w:rsidRPr="005A428C">
              <w:t>40/126</w:t>
            </w:r>
          </w:p>
        </w:tc>
        <w:tc>
          <w:tcPr>
            <w:tcW w:w="850" w:type="dxa"/>
            <w:shd w:val="clear" w:color="auto" w:fill="auto"/>
            <w:noWrap/>
            <w:hideMark/>
          </w:tcPr>
          <w:p w14:paraId="65AF0356" w14:textId="77777777" w:rsidR="00112041" w:rsidRPr="005A428C" w:rsidRDefault="00112041" w:rsidP="003E3536">
            <w:pPr>
              <w:pStyle w:val="TableTextRight"/>
            </w:pPr>
            <w:r w:rsidRPr="005A428C">
              <w:t>55/156</w:t>
            </w:r>
          </w:p>
        </w:tc>
        <w:tc>
          <w:tcPr>
            <w:tcW w:w="851" w:type="dxa"/>
            <w:shd w:val="clear" w:color="auto" w:fill="auto"/>
            <w:noWrap/>
            <w:hideMark/>
          </w:tcPr>
          <w:p w14:paraId="061FE29F" w14:textId="77777777" w:rsidR="00112041" w:rsidRPr="005A428C" w:rsidRDefault="00112041" w:rsidP="003E3536">
            <w:pPr>
              <w:pStyle w:val="TableTextRight"/>
            </w:pPr>
            <w:r w:rsidRPr="005A428C">
              <w:t>76/157</w:t>
            </w:r>
          </w:p>
        </w:tc>
        <w:tc>
          <w:tcPr>
            <w:tcW w:w="726" w:type="dxa"/>
            <w:shd w:val="clear" w:color="auto" w:fill="auto"/>
            <w:hideMark/>
          </w:tcPr>
          <w:p w14:paraId="1045A237" w14:textId="77777777" w:rsidR="00112041" w:rsidRPr="005A428C" w:rsidRDefault="00112041" w:rsidP="003E3536">
            <w:pPr>
              <w:pStyle w:val="TableTextRight"/>
            </w:pPr>
            <w:r w:rsidRPr="005A428C">
              <w:t>55/147</w:t>
            </w:r>
          </w:p>
        </w:tc>
      </w:tr>
      <w:tr w:rsidR="003E3536" w:rsidRPr="006444D3" w14:paraId="3275743D" w14:textId="77777777" w:rsidTr="003E3536">
        <w:trPr>
          <w:trHeight w:val="300"/>
          <w:jc w:val="center"/>
        </w:trPr>
        <w:tc>
          <w:tcPr>
            <w:tcW w:w="1722" w:type="dxa"/>
            <w:shd w:val="clear" w:color="auto" w:fill="auto"/>
            <w:noWrap/>
            <w:hideMark/>
          </w:tcPr>
          <w:p w14:paraId="1BA08F59" w14:textId="77777777" w:rsidR="00112041" w:rsidRPr="00BD285D" w:rsidRDefault="00112041" w:rsidP="003E3536">
            <w:pPr>
              <w:pStyle w:val="TableColumnHeadingLeft"/>
              <w:jc w:val="left"/>
            </w:pPr>
            <w:r w:rsidRPr="00BD285D">
              <w:t>North Dakota</w:t>
            </w:r>
          </w:p>
        </w:tc>
        <w:tc>
          <w:tcPr>
            <w:tcW w:w="709" w:type="dxa"/>
            <w:shd w:val="clear" w:color="auto" w:fill="auto"/>
            <w:hideMark/>
          </w:tcPr>
          <w:p w14:paraId="79A81C6D" w14:textId="77777777" w:rsidR="00112041" w:rsidRPr="005A428C" w:rsidRDefault="00112041" w:rsidP="003E3536">
            <w:pPr>
              <w:pStyle w:val="TableTextRight"/>
            </w:pPr>
            <w:r w:rsidRPr="005A428C">
              <w:t>93</w:t>
            </w:r>
          </w:p>
        </w:tc>
        <w:tc>
          <w:tcPr>
            <w:tcW w:w="709" w:type="dxa"/>
            <w:shd w:val="clear" w:color="auto" w:fill="auto"/>
            <w:hideMark/>
          </w:tcPr>
          <w:p w14:paraId="41576C4C" w14:textId="77777777" w:rsidR="00112041" w:rsidRPr="005A428C" w:rsidRDefault="00112041" w:rsidP="003E3536">
            <w:pPr>
              <w:pStyle w:val="TableTextRight"/>
            </w:pPr>
            <w:r w:rsidRPr="005A428C">
              <w:t>90</w:t>
            </w:r>
          </w:p>
        </w:tc>
        <w:tc>
          <w:tcPr>
            <w:tcW w:w="709" w:type="dxa"/>
            <w:shd w:val="clear" w:color="auto" w:fill="auto"/>
            <w:noWrap/>
            <w:hideMark/>
          </w:tcPr>
          <w:p w14:paraId="51E26C43" w14:textId="77777777" w:rsidR="00112041" w:rsidRPr="005A428C" w:rsidRDefault="00112041" w:rsidP="003E3536">
            <w:pPr>
              <w:pStyle w:val="TableTextRight"/>
            </w:pPr>
            <w:r w:rsidRPr="005A428C">
              <w:t>97</w:t>
            </w:r>
          </w:p>
        </w:tc>
        <w:tc>
          <w:tcPr>
            <w:tcW w:w="708" w:type="dxa"/>
            <w:shd w:val="clear" w:color="auto" w:fill="auto"/>
            <w:noWrap/>
            <w:hideMark/>
          </w:tcPr>
          <w:p w14:paraId="76601935" w14:textId="77777777" w:rsidR="00112041" w:rsidRPr="005A428C" w:rsidRDefault="00112041" w:rsidP="003E3536">
            <w:pPr>
              <w:pStyle w:val="TableTextRight"/>
            </w:pPr>
            <w:r w:rsidRPr="005A428C">
              <w:t>96</w:t>
            </w:r>
          </w:p>
        </w:tc>
        <w:tc>
          <w:tcPr>
            <w:tcW w:w="709" w:type="dxa"/>
            <w:shd w:val="clear" w:color="auto" w:fill="auto"/>
            <w:hideMark/>
          </w:tcPr>
          <w:p w14:paraId="5FB40269" w14:textId="77777777" w:rsidR="00112041" w:rsidRPr="005A428C" w:rsidRDefault="00112041" w:rsidP="003E3536">
            <w:pPr>
              <w:pStyle w:val="TableTextRight"/>
            </w:pPr>
            <w:r w:rsidRPr="005A428C">
              <w:t>89</w:t>
            </w:r>
          </w:p>
        </w:tc>
        <w:tc>
          <w:tcPr>
            <w:tcW w:w="709" w:type="dxa"/>
            <w:shd w:val="clear" w:color="auto" w:fill="auto"/>
            <w:hideMark/>
          </w:tcPr>
          <w:p w14:paraId="17CD4F3D" w14:textId="77777777" w:rsidR="00112041" w:rsidRPr="005A428C" w:rsidRDefault="00112041" w:rsidP="003E3536">
            <w:pPr>
              <w:pStyle w:val="TableTextRight"/>
            </w:pPr>
            <w:r w:rsidRPr="005A428C">
              <w:t>6/96</w:t>
            </w:r>
          </w:p>
        </w:tc>
        <w:tc>
          <w:tcPr>
            <w:tcW w:w="709" w:type="dxa"/>
            <w:shd w:val="clear" w:color="auto" w:fill="auto"/>
            <w:hideMark/>
          </w:tcPr>
          <w:p w14:paraId="3A658983" w14:textId="77777777" w:rsidR="00112041" w:rsidRPr="005A428C" w:rsidRDefault="00112041" w:rsidP="003E3536">
            <w:pPr>
              <w:pStyle w:val="TableTextRight"/>
            </w:pPr>
            <w:r w:rsidRPr="005A428C">
              <w:t>7/126</w:t>
            </w:r>
          </w:p>
        </w:tc>
        <w:tc>
          <w:tcPr>
            <w:tcW w:w="850" w:type="dxa"/>
            <w:shd w:val="clear" w:color="auto" w:fill="auto"/>
            <w:noWrap/>
            <w:hideMark/>
          </w:tcPr>
          <w:p w14:paraId="645942D3" w14:textId="77777777" w:rsidR="00112041" w:rsidRPr="005A428C" w:rsidRDefault="00112041" w:rsidP="003E3536">
            <w:pPr>
              <w:pStyle w:val="TableTextRight"/>
            </w:pPr>
            <w:r w:rsidRPr="005A428C">
              <w:t>5/156</w:t>
            </w:r>
          </w:p>
        </w:tc>
        <w:tc>
          <w:tcPr>
            <w:tcW w:w="851" w:type="dxa"/>
            <w:shd w:val="clear" w:color="auto" w:fill="auto"/>
            <w:noWrap/>
            <w:hideMark/>
          </w:tcPr>
          <w:p w14:paraId="4F65897E" w14:textId="77777777" w:rsidR="00112041" w:rsidRPr="005A428C" w:rsidRDefault="00112041" w:rsidP="003E3536">
            <w:pPr>
              <w:pStyle w:val="TableTextRight"/>
            </w:pPr>
            <w:r w:rsidRPr="005A428C">
              <w:t>4/157</w:t>
            </w:r>
          </w:p>
        </w:tc>
        <w:tc>
          <w:tcPr>
            <w:tcW w:w="726" w:type="dxa"/>
            <w:shd w:val="clear" w:color="auto" w:fill="auto"/>
            <w:hideMark/>
          </w:tcPr>
          <w:p w14:paraId="055895BF" w14:textId="77777777" w:rsidR="00112041" w:rsidRPr="005A428C" w:rsidRDefault="00112041" w:rsidP="003E3536">
            <w:pPr>
              <w:pStyle w:val="TableTextRight"/>
            </w:pPr>
            <w:r w:rsidRPr="005A428C">
              <w:t>9/147</w:t>
            </w:r>
          </w:p>
        </w:tc>
      </w:tr>
      <w:tr w:rsidR="003E3536" w:rsidRPr="006444D3" w14:paraId="4145077D" w14:textId="77777777" w:rsidTr="003E3536">
        <w:trPr>
          <w:trHeight w:val="300"/>
          <w:jc w:val="center"/>
        </w:trPr>
        <w:tc>
          <w:tcPr>
            <w:tcW w:w="1722" w:type="dxa"/>
            <w:shd w:val="clear" w:color="auto" w:fill="auto"/>
            <w:noWrap/>
            <w:hideMark/>
          </w:tcPr>
          <w:p w14:paraId="5EF9164F" w14:textId="77777777" w:rsidR="00112041" w:rsidRPr="00BD285D" w:rsidRDefault="00112041" w:rsidP="003E3536">
            <w:pPr>
              <w:pStyle w:val="TableColumnHeadingLeft"/>
              <w:jc w:val="left"/>
            </w:pPr>
            <w:r w:rsidRPr="00BD285D">
              <w:t>Texas</w:t>
            </w:r>
          </w:p>
        </w:tc>
        <w:tc>
          <w:tcPr>
            <w:tcW w:w="709" w:type="dxa"/>
            <w:shd w:val="clear" w:color="auto" w:fill="auto"/>
            <w:hideMark/>
          </w:tcPr>
          <w:p w14:paraId="14D9BFDA" w14:textId="77777777" w:rsidR="00112041" w:rsidRPr="005A428C" w:rsidRDefault="00112041" w:rsidP="003E3536">
            <w:pPr>
              <w:pStyle w:val="TableTextRight"/>
            </w:pPr>
            <w:r w:rsidRPr="005A428C">
              <w:t>98</w:t>
            </w:r>
          </w:p>
        </w:tc>
        <w:tc>
          <w:tcPr>
            <w:tcW w:w="709" w:type="dxa"/>
            <w:shd w:val="clear" w:color="auto" w:fill="auto"/>
            <w:hideMark/>
          </w:tcPr>
          <w:p w14:paraId="00A1B7EF" w14:textId="77777777" w:rsidR="00112041" w:rsidRPr="005A428C" w:rsidRDefault="00112041" w:rsidP="003E3536">
            <w:pPr>
              <w:pStyle w:val="TableTextRight"/>
            </w:pPr>
            <w:r w:rsidRPr="005A428C">
              <w:t>96</w:t>
            </w:r>
          </w:p>
        </w:tc>
        <w:tc>
          <w:tcPr>
            <w:tcW w:w="709" w:type="dxa"/>
            <w:shd w:val="clear" w:color="auto" w:fill="auto"/>
            <w:noWrap/>
            <w:hideMark/>
          </w:tcPr>
          <w:p w14:paraId="571A05F8" w14:textId="77777777" w:rsidR="00112041" w:rsidRPr="005A428C" w:rsidRDefault="00112041" w:rsidP="003E3536">
            <w:pPr>
              <w:pStyle w:val="TableTextRight"/>
            </w:pPr>
            <w:r w:rsidRPr="005A428C">
              <w:t>98</w:t>
            </w:r>
          </w:p>
        </w:tc>
        <w:tc>
          <w:tcPr>
            <w:tcW w:w="708" w:type="dxa"/>
            <w:shd w:val="clear" w:color="auto" w:fill="auto"/>
            <w:noWrap/>
            <w:hideMark/>
          </w:tcPr>
          <w:p w14:paraId="1C63D323" w14:textId="77777777" w:rsidR="00112041" w:rsidRPr="005A428C" w:rsidRDefault="00112041" w:rsidP="003E3536">
            <w:pPr>
              <w:pStyle w:val="TableTextRight"/>
            </w:pPr>
            <w:r w:rsidRPr="005A428C">
              <w:t>98</w:t>
            </w:r>
          </w:p>
        </w:tc>
        <w:tc>
          <w:tcPr>
            <w:tcW w:w="709" w:type="dxa"/>
            <w:shd w:val="clear" w:color="auto" w:fill="auto"/>
            <w:hideMark/>
          </w:tcPr>
          <w:p w14:paraId="3CA7B510" w14:textId="77777777" w:rsidR="00112041" w:rsidRPr="005A428C" w:rsidRDefault="00112041" w:rsidP="003E3536">
            <w:pPr>
              <w:pStyle w:val="TableTextRight"/>
            </w:pPr>
            <w:r w:rsidRPr="005A428C">
              <w:t>97</w:t>
            </w:r>
          </w:p>
        </w:tc>
        <w:tc>
          <w:tcPr>
            <w:tcW w:w="709" w:type="dxa"/>
            <w:shd w:val="clear" w:color="auto" w:fill="auto"/>
            <w:hideMark/>
          </w:tcPr>
          <w:p w14:paraId="08DA0E5E" w14:textId="77777777" w:rsidR="00112041" w:rsidRPr="005A428C" w:rsidRDefault="00112041" w:rsidP="003E3536">
            <w:pPr>
              <w:pStyle w:val="TableTextRight"/>
            </w:pPr>
            <w:r w:rsidRPr="005A428C">
              <w:t>2/96</w:t>
            </w:r>
          </w:p>
        </w:tc>
        <w:tc>
          <w:tcPr>
            <w:tcW w:w="709" w:type="dxa"/>
            <w:shd w:val="clear" w:color="auto" w:fill="auto"/>
            <w:hideMark/>
          </w:tcPr>
          <w:p w14:paraId="3065E0AD" w14:textId="77777777" w:rsidR="00112041" w:rsidRPr="005A428C" w:rsidRDefault="00112041" w:rsidP="003E3536">
            <w:pPr>
              <w:pStyle w:val="TableTextRight"/>
            </w:pPr>
            <w:r w:rsidRPr="005A428C">
              <w:t>2/126</w:t>
            </w:r>
          </w:p>
        </w:tc>
        <w:tc>
          <w:tcPr>
            <w:tcW w:w="850" w:type="dxa"/>
            <w:shd w:val="clear" w:color="auto" w:fill="auto"/>
            <w:noWrap/>
            <w:hideMark/>
          </w:tcPr>
          <w:p w14:paraId="4F690CFC" w14:textId="77777777" w:rsidR="00112041" w:rsidRPr="005A428C" w:rsidRDefault="00112041" w:rsidP="003E3536">
            <w:pPr>
              <w:pStyle w:val="TableTextRight"/>
            </w:pPr>
            <w:r w:rsidRPr="005A428C">
              <w:t>3/156</w:t>
            </w:r>
          </w:p>
        </w:tc>
        <w:tc>
          <w:tcPr>
            <w:tcW w:w="851" w:type="dxa"/>
            <w:shd w:val="clear" w:color="auto" w:fill="auto"/>
            <w:noWrap/>
            <w:hideMark/>
          </w:tcPr>
          <w:p w14:paraId="0C240BF9" w14:textId="77777777" w:rsidR="00112041" w:rsidRPr="005A428C" w:rsidRDefault="00112041" w:rsidP="003E3536">
            <w:pPr>
              <w:pStyle w:val="TableTextRight"/>
            </w:pPr>
            <w:r w:rsidRPr="005A428C">
              <w:t>2/157</w:t>
            </w:r>
          </w:p>
        </w:tc>
        <w:tc>
          <w:tcPr>
            <w:tcW w:w="726" w:type="dxa"/>
            <w:shd w:val="clear" w:color="auto" w:fill="auto"/>
            <w:hideMark/>
          </w:tcPr>
          <w:p w14:paraId="5DEBFC90" w14:textId="77777777" w:rsidR="00112041" w:rsidRPr="005A428C" w:rsidRDefault="00112041" w:rsidP="003E3536">
            <w:pPr>
              <w:pStyle w:val="TableTextRight"/>
            </w:pPr>
            <w:r w:rsidRPr="005A428C">
              <w:t>2/147</w:t>
            </w:r>
          </w:p>
        </w:tc>
      </w:tr>
      <w:tr w:rsidR="003E3536" w:rsidRPr="006444D3" w14:paraId="0512263B" w14:textId="77777777" w:rsidTr="003E3536">
        <w:trPr>
          <w:trHeight w:val="300"/>
          <w:jc w:val="center"/>
        </w:trPr>
        <w:tc>
          <w:tcPr>
            <w:tcW w:w="1722" w:type="dxa"/>
            <w:shd w:val="clear" w:color="auto" w:fill="auto"/>
            <w:noWrap/>
            <w:hideMark/>
          </w:tcPr>
          <w:p w14:paraId="103D24D3" w14:textId="77777777" w:rsidR="00112041" w:rsidRPr="00BD285D" w:rsidRDefault="00112041" w:rsidP="003E3536">
            <w:pPr>
              <w:pStyle w:val="TableColumnHeadingLeft"/>
              <w:jc w:val="left"/>
            </w:pPr>
            <w:r w:rsidRPr="00BD285D">
              <w:t>US Offshore—Gulf of Mexico</w:t>
            </w:r>
          </w:p>
        </w:tc>
        <w:tc>
          <w:tcPr>
            <w:tcW w:w="709" w:type="dxa"/>
            <w:shd w:val="clear" w:color="auto" w:fill="auto"/>
            <w:hideMark/>
          </w:tcPr>
          <w:p w14:paraId="14BA6109" w14:textId="77777777" w:rsidR="00112041" w:rsidRPr="005A428C" w:rsidRDefault="00112041" w:rsidP="003E3536">
            <w:pPr>
              <w:pStyle w:val="TableTextRight"/>
            </w:pPr>
            <w:r w:rsidRPr="005A428C">
              <w:t>76</w:t>
            </w:r>
          </w:p>
        </w:tc>
        <w:tc>
          <w:tcPr>
            <w:tcW w:w="709" w:type="dxa"/>
            <w:shd w:val="clear" w:color="auto" w:fill="auto"/>
            <w:hideMark/>
          </w:tcPr>
          <w:p w14:paraId="4D295A74" w14:textId="77777777" w:rsidR="00112041" w:rsidRPr="005A428C" w:rsidRDefault="00112041" w:rsidP="003E3536">
            <w:pPr>
              <w:pStyle w:val="TableTextRight"/>
            </w:pPr>
            <w:r w:rsidRPr="005A428C">
              <w:t>82</w:t>
            </w:r>
          </w:p>
        </w:tc>
        <w:tc>
          <w:tcPr>
            <w:tcW w:w="709" w:type="dxa"/>
            <w:shd w:val="clear" w:color="auto" w:fill="auto"/>
            <w:noWrap/>
            <w:hideMark/>
          </w:tcPr>
          <w:p w14:paraId="467FF938" w14:textId="77777777" w:rsidR="00112041" w:rsidRPr="005A428C" w:rsidRDefault="00112041" w:rsidP="003E3536">
            <w:pPr>
              <w:pStyle w:val="TableTextRight"/>
            </w:pPr>
            <w:r w:rsidRPr="005A428C">
              <w:t>73</w:t>
            </w:r>
          </w:p>
        </w:tc>
        <w:tc>
          <w:tcPr>
            <w:tcW w:w="708" w:type="dxa"/>
            <w:shd w:val="clear" w:color="auto" w:fill="auto"/>
            <w:noWrap/>
            <w:hideMark/>
          </w:tcPr>
          <w:p w14:paraId="3688B475" w14:textId="77777777" w:rsidR="00112041" w:rsidRPr="005A428C" w:rsidRDefault="00112041" w:rsidP="003E3536">
            <w:pPr>
              <w:pStyle w:val="TableTextRight"/>
            </w:pPr>
            <w:r w:rsidRPr="005A428C">
              <w:t>77</w:t>
            </w:r>
          </w:p>
        </w:tc>
        <w:tc>
          <w:tcPr>
            <w:tcW w:w="709" w:type="dxa"/>
            <w:shd w:val="clear" w:color="auto" w:fill="auto"/>
            <w:hideMark/>
          </w:tcPr>
          <w:p w14:paraId="357FC18C" w14:textId="77777777" w:rsidR="00112041" w:rsidRPr="005A428C" w:rsidRDefault="00112041" w:rsidP="003E3536">
            <w:pPr>
              <w:pStyle w:val="TableTextRight"/>
            </w:pPr>
            <w:r w:rsidRPr="005A428C">
              <w:t>82</w:t>
            </w:r>
          </w:p>
        </w:tc>
        <w:tc>
          <w:tcPr>
            <w:tcW w:w="709" w:type="dxa"/>
            <w:shd w:val="clear" w:color="auto" w:fill="auto"/>
            <w:hideMark/>
          </w:tcPr>
          <w:p w14:paraId="0130F7EC" w14:textId="77777777" w:rsidR="00112041" w:rsidRPr="005A428C" w:rsidRDefault="00112041" w:rsidP="003E3536">
            <w:pPr>
              <w:pStyle w:val="TableTextRight"/>
            </w:pPr>
            <w:r w:rsidRPr="005A428C">
              <w:t>28/96</w:t>
            </w:r>
          </w:p>
        </w:tc>
        <w:tc>
          <w:tcPr>
            <w:tcW w:w="709" w:type="dxa"/>
            <w:shd w:val="clear" w:color="auto" w:fill="auto"/>
            <w:hideMark/>
          </w:tcPr>
          <w:p w14:paraId="4EA3C6F7" w14:textId="77777777" w:rsidR="00112041" w:rsidRPr="005A428C" w:rsidRDefault="00112041" w:rsidP="003E3536">
            <w:pPr>
              <w:pStyle w:val="TableTextRight"/>
            </w:pPr>
            <w:r w:rsidRPr="005A428C">
              <w:t>16/126</w:t>
            </w:r>
          </w:p>
        </w:tc>
        <w:tc>
          <w:tcPr>
            <w:tcW w:w="850" w:type="dxa"/>
            <w:shd w:val="clear" w:color="auto" w:fill="auto"/>
            <w:noWrap/>
            <w:hideMark/>
          </w:tcPr>
          <w:p w14:paraId="7C14CE57" w14:textId="77777777" w:rsidR="00112041" w:rsidRPr="005A428C" w:rsidRDefault="00112041" w:rsidP="003E3536">
            <w:pPr>
              <w:pStyle w:val="TableTextRight"/>
            </w:pPr>
            <w:r w:rsidRPr="005A428C">
              <w:t>38/156</w:t>
            </w:r>
          </w:p>
        </w:tc>
        <w:tc>
          <w:tcPr>
            <w:tcW w:w="851" w:type="dxa"/>
            <w:shd w:val="clear" w:color="auto" w:fill="auto"/>
            <w:noWrap/>
            <w:hideMark/>
          </w:tcPr>
          <w:p w14:paraId="453CD864" w14:textId="77777777" w:rsidR="00112041" w:rsidRPr="005A428C" w:rsidRDefault="00112041" w:rsidP="003E3536">
            <w:pPr>
              <w:pStyle w:val="TableTextRight"/>
            </w:pPr>
            <w:r w:rsidRPr="005A428C">
              <w:t>44/157</w:t>
            </w:r>
          </w:p>
        </w:tc>
        <w:tc>
          <w:tcPr>
            <w:tcW w:w="726" w:type="dxa"/>
            <w:shd w:val="clear" w:color="auto" w:fill="auto"/>
            <w:hideMark/>
          </w:tcPr>
          <w:p w14:paraId="4A4646AD" w14:textId="77777777" w:rsidR="00112041" w:rsidRPr="005A428C" w:rsidRDefault="00112041" w:rsidP="003E3536">
            <w:pPr>
              <w:pStyle w:val="TableTextRight"/>
            </w:pPr>
            <w:r w:rsidRPr="005A428C">
              <w:t>23/147</w:t>
            </w:r>
          </w:p>
        </w:tc>
      </w:tr>
      <w:tr w:rsidR="003E3536" w:rsidRPr="006444D3" w14:paraId="4BD9123E" w14:textId="77777777" w:rsidTr="003E3536">
        <w:trPr>
          <w:trHeight w:val="300"/>
          <w:jc w:val="center"/>
        </w:trPr>
        <w:tc>
          <w:tcPr>
            <w:tcW w:w="1722" w:type="dxa"/>
            <w:shd w:val="clear" w:color="auto" w:fill="auto"/>
            <w:noWrap/>
            <w:hideMark/>
          </w:tcPr>
          <w:p w14:paraId="24514E92" w14:textId="77777777" w:rsidR="00112041" w:rsidRPr="00BD285D" w:rsidRDefault="00112041" w:rsidP="003E3536">
            <w:pPr>
              <w:pStyle w:val="TableColumnHeadingLeft"/>
              <w:jc w:val="left"/>
            </w:pPr>
            <w:r w:rsidRPr="00BD285D">
              <w:t>Alberta</w:t>
            </w:r>
          </w:p>
        </w:tc>
        <w:tc>
          <w:tcPr>
            <w:tcW w:w="709" w:type="dxa"/>
            <w:shd w:val="clear" w:color="auto" w:fill="auto"/>
            <w:hideMark/>
          </w:tcPr>
          <w:p w14:paraId="5E400629" w14:textId="77777777" w:rsidR="00112041" w:rsidRPr="005A428C" w:rsidRDefault="00112041" w:rsidP="003E3536">
            <w:pPr>
              <w:pStyle w:val="TableTextRight"/>
            </w:pPr>
            <w:r w:rsidRPr="005A428C">
              <w:t>67</w:t>
            </w:r>
          </w:p>
        </w:tc>
        <w:tc>
          <w:tcPr>
            <w:tcW w:w="709" w:type="dxa"/>
            <w:shd w:val="clear" w:color="auto" w:fill="auto"/>
            <w:hideMark/>
          </w:tcPr>
          <w:p w14:paraId="59394BE7" w14:textId="77777777" w:rsidR="00112041" w:rsidRPr="005A428C" w:rsidRDefault="00112041" w:rsidP="003E3536">
            <w:pPr>
              <w:pStyle w:val="TableTextRight"/>
            </w:pPr>
            <w:r w:rsidRPr="005A428C">
              <w:t>78</w:t>
            </w:r>
          </w:p>
        </w:tc>
        <w:tc>
          <w:tcPr>
            <w:tcW w:w="709" w:type="dxa"/>
            <w:shd w:val="clear" w:color="auto" w:fill="auto"/>
            <w:noWrap/>
            <w:hideMark/>
          </w:tcPr>
          <w:p w14:paraId="0621C42C" w14:textId="77777777" w:rsidR="00112041" w:rsidRPr="005A428C" w:rsidRDefault="00112041" w:rsidP="003E3536">
            <w:pPr>
              <w:pStyle w:val="TableTextRight"/>
            </w:pPr>
            <w:r w:rsidRPr="005A428C">
              <w:t>86</w:t>
            </w:r>
          </w:p>
        </w:tc>
        <w:tc>
          <w:tcPr>
            <w:tcW w:w="708" w:type="dxa"/>
            <w:shd w:val="clear" w:color="auto" w:fill="auto"/>
            <w:noWrap/>
            <w:hideMark/>
          </w:tcPr>
          <w:p w14:paraId="586F8AFF" w14:textId="77777777" w:rsidR="00112041" w:rsidRPr="005A428C" w:rsidRDefault="00112041" w:rsidP="003E3536">
            <w:pPr>
              <w:pStyle w:val="TableTextRight"/>
            </w:pPr>
            <w:r w:rsidRPr="005A428C">
              <w:t>86</w:t>
            </w:r>
          </w:p>
        </w:tc>
        <w:tc>
          <w:tcPr>
            <w:tcW w:w="709" w:type="dxa"/>
            <w:shd w:val="clear" w:color="auto" w:fill="auto"/>
            <w:hideMark/>
          </w:tcPr>
          <w:p w14:paraId="4A344F9F" w14:textId="77777777" w:rsidR="00112041" w:rsidRPr="005A428C" w:rsidRDefault="00112041" w:rsidP="003E3536">
            <w:pPr>
              <w:pStyle w:val="TableTextRight"/>
            </w:pPr>
            <w:r w:rsidRPr="005A428C">
              <w:t>85</w:t>
            </w:r>
          </w:p>
        </w:tc>
        <w:tc>
          <w:tcPr>
            <w:tcW w:w="709" w:type="dxa"/>
            <w:shd w:val="clear" w:color="auto" w:fill="auto"/>
            <w:hideMark/>
          </w:tcPr>
          <w:p w14:paraId="53DF71AF" w14:textId="77777777" w:rsidR="00112041" w:rsidRPr="005A428C" w:rsidRDefault="00112041" w:rsidP="003E3536">
            <w:pPr>
              <w:pStyle w:val="TableTextRight"/>
            </w:pPr>
            <w:r w:rsidRPr="005A428C">
              <w:t>43/96</w:t>
            </w:r>
          </w:p>
        </w:tc>
        <w:tc>
          <w:tcPr>
            <w:tcW w:w="709" w:type="dxa"/>
            <w:shd w:val="clear" w:color="auto" w:fill="auto"/>
            <w:hideMark/>
          </w:tcPr>
          <w:p w14:paraId="3E192822" w14:textId="77777777" w:rsidR="00112041" w:rsidRPr="005A428C" w:rsidRDefault="00112041" w:rsidP="003E3536">
            <w:pPr>
              <w:pStyle w:val="TableTextRight"/>
            </w:pPr>
            <w:r w:rsidRPr="005A428C">
              <w:t>26/126</w:t>
            </w:r>
          </w:p>
        </w:tc>
        <w:tc>
          <w:tcPr>
            <w:tcW w:w="850" w:type="dxa"/>
            <w:shd w:val="clear" w:color="auto" w:fill="auto"/>
            <w:noWrap/>
            <w:hideMark/>
          </w:tcPr>
          <w:p w14:paraId="662566DB" w14:textId="77777777" w:rsidR="00112041" w:rsidRPr="005A428C" w:rsidRDefault="00112041" w:rsidP="003E3536">
            <w:pPr>
              <w:pStyle w:val="TableTextRight"/>
            </w:pPr>
            <w:r w:rsidRPr="005A428C">
              <w:t>14/156</w:t>
            </w:r>
          </w:p>
        </w:tc>
        <w:tc>
          <w:tcPr>
            <w:tcW w:w="851" w:type="dxa"/>
            <w:shd w:val="clear" w:color="auto" w:fill="auto"/>
            <w:noWrap/>
            <w:hideMark/>
          </w:tcPr>
          <w:p w14:paraId="43E7DCD7" w14:textId="77777777" w:rsidR="00112041" w:rsidRPr="005A428C" w:rsidRDefault="00112041" w:rsidP="003E3536">
            <w:pPr>
              <w:pStyle w:val="TableTextRight"/>
            </w:pPr>
            <w:r w:rsidRPr="005A428C">
              <w:t>17/157</w:t>
            </w:r>
          </w:p>
        </w:tc>
        <w:tc>
          <w:tcPr>
            <w:tcW w:w="726" w:type="dxa"/>
            <w:shd w:val="clear" w:color="auto" w:fill="auto"/>
            <w:hideMark/>
          </w:tcPr>
          <w:p w14:paraId="310FF28E" w14:textId="77777777" w:rsidR="00112041" w:rsidRPr="005A428C" w:rsidRDefault="00112041" w:rsidP="003E3536">
            <w:pPr>
              <w:pStyle w:val="TableTextRight"/>
            </w:pPr>
            <w:r w:rsidRPr="005A428C">
              <w:t>17/147</w:t>
            </w:r>
          </w:p>
        </w:tc>
      </w:tr>
      <w:tr w:rsidR="003E3536" w:rsidRPr="006444D3" w14:paraId="1B8FD8DC" w14:textId="77777777" w:rsidTr="003E3536">
        <w:trPr>
          <w:trHeight w:val="300"/>
          <w:jc w:val="center"/>
        </w:trPr>
        <w:tc>
          <w:tcPr>
            <w:tcW w:w="1722" w:type="dxa"/>
            <w:shd w:val="clear" w:color="auto" w:fill="auto"/>
            <w:noWrap/>
            <w:hideMark/>
          </w:tcPr>
          <w:p w14:paraId="619DBA80" w14:textId="77777777" w:rsidR="00112041" w:rsidRPr="00BD285D" w:rsidRDefault="00112041" w:rsidP="003E3536">
            <w:pPr>
              <w:pStyle w:val="TableColumnHeadingLeft"/>
              <w:jc w:val="left"/>
            </w:pPr>
            <w:r w:rsidRPr="00BD285D">
              <w:t>British Columbia</w:t>
            </w:r>
          </w:p>
        </w:tc>
        <w:tc>
          <w:tcPr>
            <w:tcW w:w="709" w:type="dxa"/>
            <w:shd w:val="clear" w:color="auto" w:fill="auto"/>
            <w:hideMark/>
          </w:tcPr>
          <w:p w14:paraId="7B08A281" w14:textId="77777777" w:rsidR="00112041" w:rsidRPr="005A428C" w:rsidRDefault="00112041" w:rsidP="003E3536">
            <w:pPr>
              <w:pStyle w:val="TableTextRight"/>
            </w:pPr>
            <w:r w:rsidRPr="005A428C">
              <w:t>68</w:t>
            </w:r>
          </w:p>
        </w:tc>
        <w:tc>
          <w:tcPr>
            <w:tcW w:w="709" w:type="dxa"/>
            <w:shd w:val="clear" w:color="auto" w:fill="auto"/>
            <w:hideMark/>
          </w:tcPr>
          <w:p w14:paraId="154F1F2F" w14:textId="77777777" w:rsidR="00112041" w:rsidRPr="005A428C" w:rsidRDefault="00112041" w:rsidP="003E3536">
            <w:pPr>
              <w:pStyle w:val="TableTextRight"/>
            </w:pPr>
            <w:r w:rsidRPr="005A428C">
              <w:t>68</w:t>
            </w:r>
          </w:p>
        </w:tc>
        <w:tc>
          <w:tcPr>
            <w:tcW w:w="709" w:type="dxa"/>
            <w:shd w:val="clear" w:color="auto" w:fill="auto"/>
            <w:noWrap/>
            <w:hideMark/>
          </w:tcPr>
          <w:p w14:paraId="176C0C58" w14:textId="77777777" w:rsidR="00112041" w:rsidRPr="005A428C" w:rsidRDefault="00112041" w:rsidP="003E3536">
            <w:pPr>
              <w:pStyle w:val="TableTextRight"/>
            </w:pPr>
            <w:r w:rsidRPr="005A428C">
              <w:t>64</w:t>
            </w:r>
          </w:p>
        </w:tc>
        <w:tc>
          <w:tcPr>
            <w:tcW w:w="708" w:type="dxa"/>
            <w:shd w:val="clear" w:color="auto" w:fill="auto"/>
            <w:noWrap/>
            <w:hideMark/>
          </w:tcPr>
          <w:p w14:paraId="27223D46" w14:textId="77777777" w:rsidR="00112041" w:rsidRPr="005A428C" w:rsidRDefault="00112041" w:rsidP="003E3536">
            <w:pPr>
              <w:pStyle w:val="TableTextRight"/>
            </w:pPr>
            <w:r w:rsidRPr="005A428C">
              <w:t>73</w:t>
            </w:r>
          </w:p>
        </w:tc>
        <w:tc>
          <w:tcPr>
            <w:tcW w:w="709" w:type="dxa"/>
            <w:shd w:val="clear" w:color="auto" w:fill="auto"/>
            <w:hideMark/>
          </w:tcPr>
          <w:p w14:paraId="67956DD6" w14:textId="77777777" w:rsidR="00112041" w:rsidRPr="005A428C" w:rsidRDefault="00112041" w:rsidP="003E3536">
            <w:pPr>
              <w:pStyle w:val="TableTextRight"/>
            </w:pPr>
            <w:r w:rsidRPr="005A428C">
              <w:t>76</w:t>
            </w:r>
          </w:p>
        </w:tc>
        <w:tc>
          <w:tcPr>
            <w:tcW w:w="709" w:type="dxa"/>
            <w:shd w:val="clear" w:color="auto" w:fill="auto"/>
            <w:hideMark/>
          </w:tcPr>
          <w:p w14:paraId="6AA3888D" w14:textId="77777777" w:rsidR="00112041" w:rsidRPr="005A428C" w:rsidRDefault="00112041" w:rsidP="003E3536">
            <w:pPr>
              <w:pStyle w:val="TableTextRight"/>
            </w:pPr>
            <w:r w:rsidRPr="005A428C">
              <w:t>39/96</w:t>
            </w:r>
          </w:p>
        </w:tc>
        <w:tc>
          <w:tcPr>
            <w:tcW w:w="709" w:type="dxa"/>
            <w:shd w:val="clear" w:color="auto" w:fill="auto"/>
            <w:hideMark/>
          </w:tcPr>
          <w:p w14:paraId="1EBA72F3" w14:textId="77777777" w:rsidR="00112041" w:rsidRPr="005A428C" w:rsidRDefault="00112041" w:rsidP="003E3536">
            <w:pPr>
              <w:pStyle w:val="TableTextRight"/>
            </w:pPr>
            <w:r w:rsidRPr="005A428C">
              <w:t>46/126</w:t>
            </w:r>
          </w:p>
        </w:tc>
        <w:tc>
          <w:tcPr>
            <w:tcW w:w="850" w:type="dxa"/>
            <w:shd w:val="clear" w:color="auto" w:fill="auto"/>
            <w:noWrap/>
            <w:hideMark/>
          </w:tcPr>
          <w:p w14:paraId="71D89311" w14:textId="77777777" w:rsidR="00112041" w:rsidRPr="005A428C" w:rsidRDefault="00112041" w:rsidP="003E3536">
            <w:pPr>
              <w:pStyle w:val="TableTextRight"/>
            </w:pPr>
            <w:r w:rsidRPr="005A428C">
              <w:t>60/156</w:t>
            </w:r>
          </w:p>
        </w:tc>
        <w:tc>
          <w:tcPr>
            <w:tcW w:w="851" w:type="dxa"/>
            <w:shd w:val="clear" w:color="auto" w:fill="auto"/>
            <w:noWrap/>
            <w:hideMark/>
          </w:tcPr>
          <w:p w14:paraId="1C8ED542" w14:textId="77777777" w:rsidR="00112041" w:rsidRPr="005A428C" w:rsidRDefault="00112041" w:rsidP="003E3536">
            <w:pPr>
              <w:pStyle w:val="TableTextRight"/>
            </w:pPr>
            <w:r w:rsidRPr="005A428C">
              <w:t>49/157</w:t>
            </w:r>
          </w:p>
        </w:tc>
        <w:tc>
          <w:tcPr>
            <w:tcW w:w="726" w:type="dxa"/>
            <w:shd w:val="clear" w:color="auto" w:fill="auto"/>
            <w:hideMark/>
          </w:tcPr>
          <w:p w14:paraId="2E9815FA" w14:textId="77777777" w:rsidR="00112041" w:rsidRPr="005A428C" w:rsidRDefault="00112041" w:rsidP="003E3536">
            <w:pPr>
              <w:pStyle w:val="TableTextRight"/>
            </w:pPr>
            <w:r w:rsidRPr="005A428C">
              <w:t>36/147</w:t>
            </w:r>
          </w:p>
        </w:tc>
      </w:tr>
      <w:tr w:rsidR="003E3536" w:rsidRPr="006444D3" w14:paraId="7E7622F6" w14:textId="77777777" w:rsidTr="003E3536">
        <w:trPr>
          <w:trHeight w:val="300"/>
          <w:jc w:val="center"/>
        </w:trPr>
        <w:tc>
          <w:tcPr>
            <w:tcW w:w="1722" w:type="dxa"/>
            <w:shd w:val="clear" w:color="auto" w:fill="auto"/>
            <w:noWrap/>
            <w:hideMark/>
          </w:tcPr>
          <w:p w14:paraId="787F3CDF" w14:textId="77777777" w:rsidR="00112041" w:rsidRPr="00BD285D" w:rsidRDefault="00112041" w:rsidP="003E3536">
            <w:pPr>
              <w:pStyle w:val="TableColumnHeadingLeft"/>
              <w:jc w:val="left"/>
            </w:pPr>
            <w:r w:rsidRPr="00BD285D">
              <w:t>Newfoundland &amp; Labrador</w:t>
            </w:r>
          </w:p>
        </w:tc>
        <w:tc>
          <w:tcPr>
            <w:tcW w:w="709" w:type="dxa"/>
            <w:shd w:val="clear" w:color="auto" w:fill="auto"/>
            <w:hideMark/>
          </w:tcPr>
          <w:p w14:paraId="444F25C1" w14:textId="77777777" w:rsidR="00112041" w:rsidRPr="005A428C" w:rsidRDefault="00112041" w:rsidP="003E3536">
            <w:pPr>
              <w:pStyle w:val="TableTextRight"/>
            </w:pPr>
            <w:r w:rsidRPr="005A428C">
              <w:t>79</w:t>
            </w:r>
          </w:p>
        </w:tc>
        <w:tc>
          <w:tcPr>
            <w:tcW w:w="709" w:type="dxa"/>
            <w:shd w:val="clear" w:color="auto" w:fill="auto"/>
            <w:hideMark/>
          </w:tcPr>
          <w:p w14:paraId="2B6848C9" w14:textId="77777777" w:rsidR="00112041" w:rsidRPr="005A428C" w:rsidRDefault="00112041" w:rsidP="003E3536">
            <w:pPr>
              <w:pStyle w:val="TableTextRight"/>
            </w:pPr>
            <w:r w:rsidRPr="005A428C">
              <w:t>79</w:t>
            </w:r>
          </w:p>
        </w:tc>
        <w:tc>
          <w:tcPr>
            <w:tcW w:w="709" w:type="dxa"/>
            <w:shd w:val="clear" w:color="auto" w:fill="auto"/>
            <w:noWrap/>
            <w:hideMark/>
          </w:tcPr>
          <w:p w14:paraId="5ABD2188" w14:textId="77777777" w:rsidR="00112041" w:rsidRPr="005A428C" w:rsidRDefault="00112041" w:rsidP="003E3536">
            <w:pPr>
              <w:pStyle w:val="TableTextRight"/>
            </w:pPr>
            <w:r w:rsidRPr="005A428C">
              <w:t>78</w:t>
            </w:r>
          </w:p>
        </w:tc>
        <w:tc>
          <w:tcPr>
            <w:tcW w:w="708" w:type="dxa"/>
            <w:shd w:val="clear" w:color="auto" w:fill="auto"/>
            <w:noWrap/>
            <w:hideMark/>
          </w:tcPr>
          <w:p w14:paraId="24BC486F" w14:textId="77777777" w:rsidR="00112041" w:rsidRPr="005A428C" w:rsidRDefault="00112041" w:rsidP="003E3536">
            <w:pPr>
              <w:pStyle w:val="TableTextRight"/>
            </w:pPr>
            <w:r w:rsidRPr="005A428C">
              <w:t>83</w:t>
            </w:r>
          </w:p>
        </w:tc>
        <w:tc>
          <w:tcPr>
            <w:tcW w:w="709" w:type="dxa"/>
            <w:shd w:val="clear" w:color="auto" w:fill="auto"/>
            <w:hideMark/>
          </w:tcPr>
          <w:p w14:paraId="66337E9F" w14:textId="77777777" w:rsidR="00112041" w:rsidRPr="005A428C" w:rsidRDefault="00112041" w:rsidP="003E3536">
            <w:pPr>
              <w:pStyle w:val="TableTextRight"/>
            </w:pPr>
            <w:r w:rsidRPr="005A428C">
              <w:t>72</w:t>
            </w:r>
          </w:p>
        </w:tc>
        <w:tc>
          <w:tcPr>
            <w:tcW w:w="709" w:type="dxa"/>
            <w:shd w:val="clear" w:color="auto" w:fill="auto"/>
            <w:hideMark/>
          </w:tcPr>
          <w:p w14:paraId="608D91B8" w14:textId="77777777" w:rsidR="00112041" w:rsidRPr="005A428C" w:rsidRDefault="00112041" w:rsidP="003E3536">
            <w:pPr>
              <w:pStyle w:val="TableTextRight"/>
            </w:pPr>
            <w:r w:rsidRPr="005A428C">
              <w:t>25/96</w:t>
            </w:r>
          </w:p>
        </w:tc>
        <w:tc>
          <w:tcPr>
            <w:tcW w:w="709" w:type="dxa"/>
            <w:shd w:val="clear" w:color="auto" w:fill="auto"/>
            <w:hideMark/>
          </w:tcPr>
          <w:p w14:paraId="321C38A1" w14:textId="77777777" w:rsidR="00112041" w:rsidRPr="005A428C" w:rsidRDefault="00112041" w:rsidP="003E3536">
            <w:pPr>
              <w:pStyle w:val="TableTextRight"/>
            </w:pPr>
            <w:r w:rsidRPr="005A428C">
              <w:t>22/126</w:t>
            </w:r>
          </w:p>
        </w:tc>
        <w:tc>
          <w:tcPr>
            <w:tcW w:w="850" w:type="dxa"/>
            <w:shd w:val="clear" w:color="auto" w:fill="auto"/>
            <w:noWrap/>
            <w:hideMark/>
          </w:tcPr>
          <w:p w14:paraId="7FB54AD5" w14:textId="77777777" w:rsidR="00112041" w:rsidRPr="005A428C" w:rsidRDefault="00112041" w:rsidP="003E3536">
            <w:pPr>
              <w:pStyle w:val="TableTextRight"/>
            </w:pPr>
            <w:r w:rsidRPr="005A428C">
              <w:t>28/156</w:t>
            </w:r>
          </w:p>
        </w:tc>
        <w:tc>
          <w:tcPr>
            <w:tcW w:w="851" w:type="dxa"/>
            <w:shd w:val="clear" w:color="auto" w:fill="auto"/>
            <w:noWrap/>
            <w:hideMark/>
          </w:tcPr>
          <w:p w14:paraId="6904BF1E" w14:textId="77777777" w:rsidR="00112041" w:rsidRPr="005A428C" w:rsidRDefault="00112041" w:rsidP="003E3536">
            <w:pPr>
              <w:pStyle w:val="TableTextRight"/>
            </w:pPr>
            <w:r w:rsidRPr="005A428C">
              <w:t>24/157</w:t>
            </w:r>
          </w:p>
        </w:tc>
        <w:tc>
          <w:tcPr>
            <w:tcW w:w="726" w:type="dxa"/>
            <w:shd w:val="clear" w:color="auto" w:fill="auto"/>
            <w:hideMark/>
          </w:tcPr>
          <w:p w14:paraId="7624D7C2" w14:textId="77777777" w:rsidR="00112041" w:rsidRPr="005A428C" w:rsidRDefault="00112041" w:rsidP="003E3536">
            <w:pPr>
              <w:pStyle w:val="TableTextRight"/>
            </w:pPr>
            <w:r w:rsidRPr="005A428C">
              <w:t>46/147</w:t>
            </w:r>
          </w:p>
        </w:tc>
      </w:tr>
      <w:tr w:rsidR="003E3536" w:rsidRPr="006444D3" w14:paraId="7A146D3A" w14:textId="77777777" w:rsidTr="003E3536">
        <w:trPr>
          <w:trHeight w:val="510"/>
          <w:jc w:val="center"/>
        </w:trPr>
        <w:tc>
          <w:tcPr>
            <w:tcW w:w="1722" w:type="dxa"/>
            <w:shd w:val="clear" w:color="auto" w:fill="auto"/>
            <w:noWrap/>
            <w:hideMark/>
          </w:tcPr>
          <w:p w14:paraId="15283061" w14:textId="77777777" w:rsidR="00112041" w:rsidRPr="00BD285D" w:rsidRDefault="00112041" w:rsidP="003E3536">
            <w:pPr>
              <w:pStyle w:val="TableColumnHeadingLeft"/>
              <w:jc w:val="left"/>
            </w:pPr>
            <w:r w:rsidRPr="00BD285D">
              <w:t>Papua New Guinea</w:t>
            </w:r>
          </w:p>
        </w:tc>
        <w:tc>
          <w:tcPr>
            <w:tcW w:w="709" w:type="dxa"/>
            <w:shd w:val="clear" w:color="auto" w:fill="auto"/>
            <w:noWrap/>
            <w:hideMark/>
          </w:tcPr>
          <w:p w14:paraId="41D4BA34" w14:textId="77777777" w:rsidR="00112041" w:rsidRPr="005A428C" w:rsidRDefault="00112041" w:rsidP="003E3536">
            <w:pPr>
              <w:pStyle w:val="TableTextRight"/>
            </w:pPr>
            <w:r w:rsidRPr="005A428C">
              <w:t>49</w:t>
            </w:r>
          </w:p>
        </w:tc>
        <w:tc>
          <w:tcPr>
            <w:tcW w:w="709" w:type="dxa"/>
            <w:shd w:val="clear" w:color="auto" w:fill="auto"/>
            <w:noWrap/>
            <w:hideMark/>
          </w:tcPr>
          <w:p w14:paraId="18F822E0" w14:textId="77777777" w:rsidR="00112041" w:rsidRPr="005A428C" w:rsidRDefault="00112041" w:rsidP="003E3536">
            <w:pPr>
              <w:pStyle w:val="TableTextRight"/>
            </w:pPr>
            <w:r w:rsidRPr="005A428C">
              <w:t>52</w:t>
            </w:r>
          </w:p>
        </w:tc>
        <w:tc>
          <w:tcPr>
            <w:tcW w:w="709" w:type="dxa"/>
            <w:shd w:val="clear" w:color="auto" w:fill="auto"/>
            <w:noWrap/>
            <w:hideMark/>
          </w:tcPr>
          <w:p w14:paraId="025EB7E2" w14:textId="77777777" w:rsidR="00112041" w:rsidRPr="005A428C" w:rsidRDefault="00112041" w:rsidP="003E3536">
            <w:pPr>
              <w:pStyle w:val="TableTextRight"/>
            </w:pPr>
            <w:r w:rsidRPr="005A428C">
              <w:t>45</w:t>
            </w:r>
          </w:p>
        </w:tc>
        <w:tc>
          <w:tcPr>
            <w:tcW w:w="708" w:type="dxa"/>
            <w:shd w:val="clear" w:color="auto" w:fill="auto"/>
            <w:noWrap/>
            <w:hideMark/>
          </w:tcPr>
          <w:p w14:paraId="06C0F7AD" w14:textId="77777777" w:rsidR="00112041" w:rsidRPr="005A428C" w:rsidRDefault="00112041" w:rsidP="003E3536">
            <w:pPr>
              <w:pStyle w:val="TableTextRight"/>
            </w:pPr>
            <w:r w:rsidRPr="005A428C">
              <w:t>45</w:t>
            </w:r>
          </w:p>
        </w:tc>
        <w:tc>
          <w:tcPr>
            <w:tcW w:w="709" w:type="dxa"/>
            <w:shd w:val="clear" w:color="auto" w:fill="auto"/>
            <w:noWrap/>
            <w:hideMark/>
          </w:tcPr>
          <w:p w14:paraId="33EA5F86" w14:textId="77777777" w:rsidR="00112041" w:rsidRPr="005A428C" w:rsidRDefault="00112041" w:rsidP="003E3536">
            <w:pPr>
              <w:pStyle w:val="TableTextRight"/>
            </w:pPr>
            <w:r w:rsidRPr="005A428C">
              <w:t>40</w:t>
            </w:r>
          </w:p>
        </w:tc>
        <w:tc>
          <w:tcPr>
            <w:tcW w:w="709" w:type="dxa"/>
            <w:shd w:val="clear" w:color="auto" w:fill="auto"/>
            <w:noWrap/>
            <w:hideMark/>
          </w:tcPr>
          <w:p w14:paraId="415F6093" w14:textId="77777777" w:rsidR="00112041" w:rsidRPr="005A428C" w:rsidRDefault="00112041" w:rsidP="003E3536">
            <w:pPr>
              <w:pStyle w:val="TableTextRight"/>
            </w:pPr>
            <w:r w:rsidRPr="005A428C">
              <w:t>76/96</w:t>
            </w:r>
          </w:p>
        </w:tc>
        <w:tc>
          <w:tcPr>
            <w:tcW w:w="709" w:type="dxa"/>
            <w:shd w:val="clear" w:color="auto" w:fill="auto"/>
            <w:noWrap/>
            <w:hideMark/>
          </w:tcPr>
          <w:p w14:paraId="0308CE3F" w14:textId="77777777" w:rsidR="00112041" w:rsidRPr="005A428C" w:rsidRDefault="00112041" w:rsidP="003E3536">
            <w:pPr>
              <w:pStyle w:val="TableTextRight"/>
            </w:pPr>
            <w:r w:rsidRPr="005A428C">
              <w:t>88/126</w:t>
            </w:r>
          </w:p>
        </w:tc>
        <w:tc>
          <w:tcPr>
            <w:tcW w:w="850" w:type="dxa"/>
            <w:shd w:val="clear" w:color="auto" w:fill="auto"/>
            <w:noWrap/>
            <w:hideMark/>
          </w:tcPr>
          <w:p w14:paraId="03DCF2CC" w14:textId="77777777" w:rsidR="00112041" w:rsidRPr="005A428C" w:rsidRDefault="00112041" w:rsidP="003E3536">
            <w:pPr>
              <w:pStyle w:val="TableTextRight"/>
            </w:pPr>
            <w:r w:rsidRPr="005A428C">
              <w:t>105/156</w:t>
            </w:r>
          </w:p>
        </w:tc>
        <w:tc>
          <w:tcPr>
            <w:tcW w:w="851" w:type="dxa"/>
            <w:shd w:val="clear" w:color="auto" w:fill="auto"/>
            <w:noWrap/>
            <w:hideMark/>
          </w:tcPr>
          <w:p w14:paraId="4E5B4085" w14:textId="77777777" w:rsidR="00112041" w:rsidRPr="005A428C" w:rsidRDefault="00112041" w:rsidP="003E3536">
            <w:pPr>
              <w:pStyle w:val="TableTextRight"/>
            </w:pPr>
            <w:r w:rsidRPr="005A428C">
              <w:t>123/157</w:t>
            </w:r>
          </w:p>
        </w:tc>
        <w:tc>
          <w:tcPr>
            <w:tcW w:w="726" w:type="dxa"/>
            <w:shd w:val="clear" w:color="auto" w:fill="auto"/>
            <w:noWrap/>
            <w:hideMark/>
          </w:tcPr>
          <w:p w14:paraId="1DC718F0" w14:textId="77777777" w:rsidR="00112041" w:rsidRPr="005A428C" w:rsidRDefault="00112041" w:rsidP="003E3536">
            <w:pPr>
              <w:pStyle w:val="TableTextRight"/>
            </w:pPr>
            <w:r w:rsidRPr="005A428C">
              <w:t>118/147</w:t>
            </w:r>
          </w:p>
        </w:tc>
      </w:tr>
      <w:tr w:rsidR="003E3536" w:rsidRPr="006444D3" w14:paraId="1A1E2697" w14:textId="77777777" w:rsidTr="003E3536">
        <w:trPr>
          <w:trHeight w:val="300"/>
          <w:jc w:val="center"/>
        </w:trPr>
        <w:tc>
          <w:tcPr>
            <w:tcW w:w="1722" w:type="dxa"/>
            <w:shd w:val="clear" w:color="auto" w:fill="auto"/>
            <w:noWrap/>
            <w:hideMark/>
          </w:tcPr>
          <w:p w14:paraId="7CAF3331" w14:textId="77777777" w:rsidR="00112041" w:rsidRPr="00BD285D" w:rsidRDefault="00112041" w:rsidP="003E3536">
            <w:pPr>
              <w:pStyle w:val="TableColumnHeadingLeft"/>
              <w:jc w:val="left"/>
            </w:pPr>
            <w:r w:rsidRPr="00BD285D">
              <w:t>Norway— (except North Sea)*</w:t>
            </w:r>
          </w:p>
        </w:tc>
        <w:tc>
          <w:tcPr>
            <w:tcW w:w="709" w:type="dxa"/>
            <w:shd w:val="clear" w:color="auto" w:fill="auto"/>
            <w:hideMark/>
          </w:tcPr>
          <w:p w14:paraId="684BD902" w14:textId="77777777" w:rsidR="00112041" w:rsidRPr="005A428C" w:rsidRDefault="00112041" w:rsidP="003E3536">
            <w:pPr>
              <w:pStyle w:val="TableTextRight"/>
            </w:pPr>
            <w:r w:rsidRPr="005A428C">
              <w:t>86</w:t>
            </w:r>
          </w:p>
        </w:tc>
        <w:tc>
          <w:tcPr>
            <w:tcW w:w="709" w:type="dxa"/>
            <w:shd w:val="clear" w:color="auto" w:fill="auto"/>
            <w:hideMark/>
          </w:tcPr>
          <w:p w14:paraId="40D10575" w14:textId="77777777" w:rsidR="00112041" w:rsidRPr="005A428C" w:rsidRDefault="00112041" w:rsidP="003E3536">
            <w:pPr>
              <w:pStyle w:val="TableTextRight"/>
            </w:pPr>
            <w:r w:rsidRPr="005A428C">
              <w:t>79</w:t>
            </w:r>
          </w:p>
        </w:tc>
        <w:tc>
          <w:tcPr>
            <w:tcW w:w="709" w:type="dxa"/>
            <w:shd w:val="clear" w:color="auto" w:fill="auto"/>
            <w:noWrap/>
            <w:hideMark/>
          </w:tcPr>
          <w:p w14:paraId="2DCB2A47" w14:textId="77777777" w:rsidR="00112041" w:rsidRPr="005A428C" w:rsidRDefault="00112041" w:rsidP="003E3536">
            <w:pPr>
              <w:pStyle w:val="TableTextRight"/>
            </w:pPr>
            <w:r w:rsidRPr="005A428C">
              <w:t>84</w:t>
            </w:r>
          </w:p>
        </w:tc>
        <w:tc>
          <w:tcPr>
            <w:tcW w:w="708" w:type="dxa"/>
            <w:shd w:val="clear" w:color="auto" w:fill="auto"/>
            <w:noWrap/>
            <w:hideMark/>
          </w:tcPr>
          <w:p w14:paraId="6621B849" w14:textId="77777777" w:rsidR="00112041" w:rsidRPr="005A428C" w:rsidRDefault="00112041" w:rsidP="003E3536">
            <w:pPr>
              <w:pStyle w:val="TableTextRight"/>
            </w:pPr>
            <w:r w:rsidRPr="005A428C">
              <w:t>96</w:t>
            </w:r>
          </w:p>
        </w:tc>
        <w:tc>
          <w:tcPr>
            <w:tcW w:w="709" w:type="dxa"/>
            <w:shd w:val="clear" w:color="auto" w:fill="auto"/>
            <w:hideMark/>
          </w:tcPr>
          <w:p w14:paraId="36A7C833" w14:textId="77777777" w:rsidR="00112041" w:rsidRPr="005A428C" w:rsidRDefault="00112041" w:rsidP="003E3536">
            <w:pPr>
              <w:pStyle w:val="TableTextRight"/>
            </w:pPr>
            <w:r w:rsidRPr="005A428C">
              <w:t>80</w:t>
            </w:r>
          </w:p>
        </w:tc>
        <w:tc>
          <w:tcPr>
            <w:tcW w:w="709" w:type="dxa"/>
            <w:shd w:val="clear" w:color="auto" w:fill="auto"/>
            <w:hideMark/>
          </w:tcPr>
          <w:p w14:paraId="5DB813C8" w14:textId="77777777" w:rsidR="00112041" w:rsidRPr="005A428C" w:rsidRDefault="00112041" w:rsidP="003E3536">
            <w:pPr>
              <w:pStyle w:val="TableTextRight"/>
            </w:pPr>
            <w:r w:rsidRPr="005A428C">
              <w:t>16/96</w:t>
            </w:r>
          </w:p>
        </w:tc>
        <w:tc>
          <w:tcPr>
            <w:tcW w:w="709" w:type="dxa"/>
            <w:shd w:val="clear" w:color="auto" w:fill="auto"/>
            <w:hideMark/>
          </w:tcPr>
          <w:p w14:paraId="79DBD5E4" w14:textId="77777777" w:rsidR="00112041" w:rsidRPr="005A428C" w:rsidRDefault="00112041" w:rsidP="003E3536">
            <w:pPr>
              <w:pStyle w:val="TableTextRight"/>
            </w:pPr>
            <w:r w:rsidRPr="005A428C">
              <w:t>21/126</w:t>
            </w:r>
          </w:p>
        </w:tc>
        <w:tc>
          <w:tcPr>
            <w:tcW w:w="850" w:type="dxa"/>
            <w:shd w:val="clear" w:color="auto" w:fill="auto"/>
            <w:noWrap/>
            <w:hideMark/>
          </w:tcPr>
          <w:p w14:paraId="01A97DCC" w14:textId="77777777" w:rsidR="00112041" w:rsidRPr="005A428C" w:rsidRDefault="00112041" w:rsidP="003E3536">
            <w:pPr>
              <w:pStyle w:val="TableTextRight"/>
            </w:pPr>
            <w:r w:rsidRPr="005A428C">
              <w:t>17/156</w:t>
            </w:r>
          </w:p>
        </w:tc>
        <w:tc>
          <w:tcPr>
            <w:tcW w:w="851" w:type="dxa"/>
            <w:shd w:val="clear" w:color="auto" w:fill="auto"/>
            <w:noWrap/>
            <w:hideMark/>
          </w:tcPr>
          <w:p w14:paraId="5E4BB939" w14:textId="77777777" w:rsidR="00112041" w:rsidRPr="005A428C" w:rsidRDefault="00112041" w:rsidP="003E3536">
            <w:pPr>
              <w:pStyle w:val="TableTextRight"/>
            </w:pPr>
            <w:r w:rsidRPr="005A428C">
              <w:t>5/157</w:t>
            </w:r>
          </w:p>
        </w:tc>
        <w:tc>
          <w:tcPr>
            <w:tcW w:w="726" w:type="dxa"/>
            <w:shd w:val="clear" w:color="auto" w:fill="auto"/>
            <w:hideMark/>
          </w:tcPr>
          <w:p w14:paraId="1A0DAFCE" w14:textId="77777777" w:rsidR="00112041" w:rsidRPr="005A428C" w:rsidRDefault="00112041" w:rsidP="003E3536">
            <w:pPr>
              <w:pStyle w:val="TableTextRight"/>
            </w:pPr>
            <w:r w:rsidRPr="005A428C">
              <w:t>28/147</w:t>
            </w:r>
          </w:p>
        </w:tc>
      </w:tr>
      <w:tr w:rsidR="003E3536" w:rsidRPr="006444D3" w14:paraId="46A37455" w14:textId="77777777" w:rsidTr="003E3536">
        <w:trPr>
          <w:trHeight w:val="300"/>
          <w:jc w:val="center"/>
        </w:trPr>
        <w:tc>
          <w:tcPr>
            <w:tcW w:w="1722" w:type="dxa"/>
            <w:shd w:val="clear" w:color="auto" w:fill="auto"/>
            <w:noWrap/>
            <w:hideMark/>
          </w:tcPr>
          <w:p w14:paraId="11BB1D8A" w14:textId="77777777" w:rsidR="00112041" w:rsidRPr="00BD285D" w:rsidRDefault="00112041" w:rsidP="003E3536">
            <w:pPr>
              <w:pStyle w:val="TableColumnHeadingLeft"/>
              <w:jc w:val="left"/>
            </w:pPr>
            <w:r w:rsidRPr="00BD285D">
              <w:t>Norway—North Sea*</w:t>
            </w:r>
          </w:p>
        </w:tc>
        <w:tc>
          <w:tcPr>
            <w:tcW w:w="709" w:type="dxa"/>
            <w:shd w:val="clear" w:color="auto" w:fill="auto"/>
            <w:hideMark/>
          </w:tcPr>
          <w:p w14:paraId="5268F0D4" w14:textId="77777777" w:rsidR="00112041" w:rsidRPr="005A428C" w:rsidRDefault="00112041" w:rsidP="003E3536">
            <w:pPr>
              <w:pStyle w:val="TableTextRight"/>
            </w:pPr>
            <w:r w:rsidRPr="005A428C">
              <w:t>92</w:t>
            </w:r>
          </w:p>
        </w:tc>
        <w:tc>
          <w:tcPr>
            <w:tcW w:w="709" w:type="dxa"/>
            <w:shd w:val="clear" w:color="auto" w:fill="auto"/>
            <w:hideMark/>
          </w:tcPr>
          <w:p w14:paraId="1EEBC99D" w14:textId="77777777" w:rsidR="00112041" w:rsidRPr="005A428C" w:rsidRDefault="00112041" w:rsidP="003E3536">
            <w:pPr>
              <w:pStyle w:val="TableTextRight"/>
            </w:pPr>
            <w:r w:rsidRPr="005A428C">
              <w:t>89</w:t>
            </w:r>
          </w:p>
        </w:tc>
        <w:tc>
          <w:tcPr>
            <w:tcW w:w="709" w:type="dxa"/>
            <w:shd w:val="clear" w:color="auto" w:fill="auto"/>
            <w:noWrap/>
            <w:hideMark/>
          </w:tcPr>
          <w:p w14:paraId="56A24248" w14:textId="77777777" w:rsidR="00112041" w:rsidRPr="005A428C" w:rsidRDefault="00112041" w:rsidP="003E3536">
            <w:pPr>
              <w:pStyle w:val="TableTextRight"/>
            </w:pPr>
            <w:r w:rsidRPr="005A428C">
              <w:t>83</w:t>
            </w:r>
          </w:p>
        </w:tc>
        <w:tc>
          <w:tcPr>
            <w:tcW w:w="708" w:type="dxa"/>
            <w:shd w:val="clear" w:color="auto" w:fill="auto"/>
            <w:noWrap/>
            <w:hideMark/>
          </w:tcPr>
          <w:p w14:paraId="29D5B17A" w14:textId="77777777" w:rsidR="00112041" w:rsidRPr="005A428C" w:rsidRDefault="00112041" w:rsidP="003E3536">
            <w:pPr>
              <w:pStyle w:val="TableTextRight"/>
            </w:pPr>
            <w:r w:rsidRPr="005A428C">
              <w:t>88</w:t>
            </w:r>
          </w:p>
        </w:tc>
        <w:tc>
          <w:tcPr>
            <w:tcW w:w="709" w:type="dxa"/>
            <w:shd w:val="clear" w:color="auto" w:fill="auto"/>
            <w:hideMark/>
          </w:tcPr>
          <w:p w14:paraId="06066FB0" w14:textId="77777777" w:rsidR="00112041" w:rsidRPr="005A428C" w:rsidRDefault="00112041" w:rsidP="003E3536">
            <w:pPr>
              <w:pStyle w:val="TableTextRight"/>
            </w:pPr>
            <w:r w:rsidRPr="005A428C">
              <w:t>84</w:t>
            </w:r>
          </w:p>
        </w:tc>
        <w:tc>
          <w:tcPr>
            <w:tcW w:w="709" w:type="dxa"/>
            <w:shd w:val="clear" w:color="auto" w:fill="auto"/>
            <w:hideMark/>
          </w:tcPr>
          <w:p w14:paraId="3FF768A9" w14:textId="77777777" w:rsidR="00112041" w:rsidRPr="005A428C" w:rsidRDefault="00112041" w:rsidP="003E3536">
            <w:pPr>
              <w:pStyle w:val="TableTextRight"/>
            </w:pPr>
            <w:r w:rsidRPr="005A428C">
              <w:t>7/96</w:t>
            </w:r>
          </w:p>
        </w:tc>
        <w:tc>
          <w:tcPr>
            <w:tcW w:w="709" w:type="dxa"/>
            <w:shd w:val="clear" w:color="auto" w:fill="auto"/>
            <w:hideMark/>
          </w:tcPr>
          <w:p w14:paraId="1176FE4E" w14:textId="77777777" w:rsidR="00112041" w:rsidRPr="005A428C" w:rsidRDefault="00112041" w:rsidP="003E3536">
            <w:pPr>
              <w:pStyle w:val="TableTextRight"/>
            </w:pPr>
            <w:r w:rsidRPr="005A428C">
              <w:t>8/126</w:t>
            </w:r>
          </w:p>
        </w:tc>
        <w:tc>
          <w:tcPr>
            <w:tcW w:w="850" w:type="dxa"/>
            <w:shd w:val="clear" w:color="auto" w:fill="auto"/>
            <w:noWrap/>
            <w:hideMark/>
          </w:tcPr>
          <w:p w14:paraId="1D06A0D3" w14:textId="77777777" w:rsidR="00112041" w:rsidRPr="005A428C" w:rsidRDefault="00112041" w:rsidP="003E3536">
            <w:pPr>
              <w:pStyle w:val="TableTextRight"/>
            </w:pPr>
            <w:r w:rsidRPr="005A428C">
              <w:t>21/156</w:t>
            </w:r>
          </w:p>
        </w:tc>
        <w:tc>
          <w:tcPr>
            <w:tcW w:w="851" w:type="dxa"/>
            <w:shd w:val="clear" w:color="auto" w:fill="auto"/>
            <w:noWrap/>
            <w:hideMark/>
          </w:tcPr>
          <w:p w14:paraId="225471C1" w14:textId="77777777" w:rsidR="00112041" w:rsidRPr="005A428C" w:rsidRDefault="00112041" w:rsidP="003E3536">
            <w:pPr>
              <w:pStyle w:val="TableTextRight"/>
            </w:pPr>
            <w:r w:rsidRPr="005A428C">
              <w:t>11/157</w:t>
            </w:r>
          </w:p>
        </w:tc>
        <w:tc>
          <w:tcPr>
            <w:tcW w:w="726" w:type="dxa"/>
            <w:shd w:val="clear" w:color="auto" w:fill="auto"/>
            <w:hideMark/>
          </w:tcPr>
          <w:p w14:paraId="1C9CCE4F" w14:textId="77777777" w:rsidR="00112041" w:rsidRPr="005A428C" w:rsidRDefault="00112041" w:rsidP="003E3536">
            <w:pPr>
              <w:pStyle w:val="TableTextRight"/>
            </w:pPr>
            <w:r w:rsidRPr="005A428C">
              <w:t>18/147</w:t>
            </w:r>
          </w:p>
        </w:tc>
      </w:tr>
      <w:tr w:rsidR="003E3536" w:rsidRPr="006444D3" w14:paraId="25059082" w14:textId="77777777" w:rsidTr="003E3536">
        <w:trPr>
          <w:trHeight w:val="300"/>
          <w:jc w:val="center"/>
        </w:trPr>
        <w:tc>
          <w:tcPr>
            <w:tcW w:w="1722" w:type="dxa"/>
            <w:shd w:val="clear" w:color="auto" w:fill="auto"/>
            <w:noWrap/>
            <w:hideMark/>
          </w:tcPr>
          <w:p w14:paraId="07B2AD3C" w14:textId="77777777" w:rsidR="00112041" w:rsidRPr="00BD285D" w:rsidRDefault="00112041" w:rsidP="003E3536">
            <w:pPr>
              <w:pStyle w:val="TableColumnHeadingLeft"/>
              <w:jc w:val="left"/>
            </w:pPr>
            <w:r w:rsidRPr="00BD285D">
              <w:t>UK (except North Sea)*</w:t>
            </w:r>
          </w:p>
        </w:tc>
        <w:tc>
          <w:tcPr>
            <w:tcW w:w="709" w:type="dxa"/>
            <w:shd w:val="clear" w:color="auto" w:fill="auto"/>
            <w:hideMark/>
          </w:tcPr>
          <w:p w14:paraId="6CAC8DCB" w14:textId="77777777" w:rsidR="00112041" w:rsidRPr="005A428C" w:rsidRDefault="00112041" w:rsidP="003E3536">
            <w:pPr>
              <w:pStyle w:val="TableTextRight"/>
            </w:pPr>
            <w:r w:rsidRPr="005A428C">
              <w:t>88</w:t>
            </w:r>
          </w:p>
        </w:tc>
        <w:tc>
          <w:tcPr>
            <w:tcW w:w="709" w:type="dxa"/>
            <w:shd w:val="clear" w:color="auto" w:fill="auto"/>
            <w:hideMark/>
          </w:tcPr>
          <w:p w14:paraId="32C88B06" w14:textId="77777777" w:rsidR="00112041" w:rsidRPr="005A428C" w:rsidRDefault="00112041" w:rsidP="003E3536">
            <w:pPr>
              <w:pStyle w:val="TableTextRight"/>
            </w:pPr>
            <w:r w:rsidRPr="005A428C">
              <w:t>78</w:t>
            </w:r>
          </w:p>
        </w:tc>
        <w:tc>
          <w:tcPr>
            <w:tcW w:w="709" w:type="dxa"/>
            <w:shd w:val="clear" w:color="auto" w:fill="auto"/>
            <w:noWrap/>
            <w:hideMark/>
          </w:tcPr>
          <w:p w14:paraId="528A3CC5" w14:textId="77777777" w:rsidR="00112041" w:rsidRPr="005A428C" w:rsidRDefault="00112041" w:rsidP="003E3536">
            <w:pPr>
              <w:pStyle w:val="TableTextRight"/>
            </w:pPr>
            <w:r w:rsidRPr="005A428C">
              <w:t>77</w:t>
            </w:r>
          </w:p>
        </w:tc>
        <w:tc>
          <w:tcPr>
            <w:tcW w:w="708" w:type="dxa"/>
            <w:shd w:val="clear" w:color="auto" w:fill="auto"/>
            <w:noWrap/>
            <w:hideMark/>
          </w:tcPr>
          <w:p w14:paraId="1C4A385F" w14:textId="77777777" w:rsidR="00112041" w:rsidRPr="005A428C" w:rsidRDefault="00112041" w:rsidP="003E3536">
            <w:pPr>
              <w:pStyle w:val="TableTextRight"/>
            </w:pPr>
            <w:r w:rsidRPr="005A428C">
              <w:t>34</w:t>
            </w:r>
          </w:p>
        </w:tc>
        <w:tc>
          <w:tcPr>
            <w:tcW w:w="709" w:type="dxa"/>
            <w:shd w:val="clear" w:color="auto" w:fill="auto"/>
            <w:hideMark/>
          </w:tcPr>
          <w:p w14:paraId="66615014" w14:textId="77777777" w:rsidR="00112041" w:rsidRPr="005A428C" w:rsidRDefault="00112041" w:rsidP="003E3536">
            <w:pPr>
              <w:pStyle w:val="TableTextRight"/>
            </w:pPr>
            <w:r w:rsidRPr="005A428C">
              <w:t>75</w:t>
            </w:r>
          </w:p>
        </w:tc>
        <w:tc>
          <w:tcPr>
            <w:tcW w:w="709" w:type="dxa"/>
            <w:shd w:val="clear" w:color="auto" w:fill="auto"/>
            <w:hideMark/>
          </w:tcPr>
          <w:p w14:paraId="3E49F89D" w14:textId="77777777" w:rsidR="00112041" w:rsidRPr="005A428C" w:rsidRDefault="00112041" w:rsidP="003E3536">
            <w:pPr>
              <w:pStyle w:val="TableTextRight"/>
            </w:pPr>
            <w:r w:rsidRPr="005A428C">
              <w:t>12/96</w:t>
            </w:r>
          </w:p>
        </w:tc>
        <w:tc>
          <w:tcPr>
            <w:tcW w:w="709" w:type="dxa"/>
            <w:shd w:val="clear" w:color="auto" w:fill="auto"/>
            <w:hideMark/>
          </w:tcPr>
          <w:p w14:paraId="36D387B6" w14:textId="77777777" w:rsidR="00112041" w:rsidRPr="005A428C" w:rsidRDefault="00112041" w:rsidP="003E3536">
            <w:pPr>
              <w:pStyle w:val="TableTextRight"/>
            </w:pPr>
            <w:r w:rsidRPr="005A428C">
              <w:t>24/126</w:t>
            </w:r>
          </w:p>
        </w:tc>
        <w:tc>
          <w:tcPr>
            <w:tcW w:w="850" w:type="dxa"/>
            <w:shd w:val="clear" w:color="auto" w:fill="auto"/>
            <w:noWrap/>
            <w:hideMark/>
          </w:tcPr>
          <w:p w14:paraId="6C0A2170" w14:textId="77777777" w:rsidR="00112041" w:rsidRPr="005A428C" w:rsidRDefault="00112041" w:rsidP="003E3536">
            <w:pPr>
              <w:pStyle w:val="TableTextRight"/>
            </w:pPr>
            <w:r w:rsidRPr="005A428C">
              <w:t>29/156</w:t>
            </w:r>
          </w:p>
        </w:tc>
        <w:tc>
          <w:tcPr>
            <w:tcW w:w="851" w:type="dxa"/>
            <w:shd w:val="clear" w:color="auto" w:fill="auto"/>
            <w:noWrap/>
            <w:hideMark/>
          </w:tcPr>
          <w:p w14:paraId="5BB1BB19" w14:textId="77777777" w:rsidR="00112041" w:rsidRPr="005A428C" w:rsidRDefault="00112041" w:rsidP="003E3536">
            <w:pPr>
              <w:pStyle w:val="TableTextRight"/>
            </w:pPr>
            <w:r w:rsidRPr="005A428C">
              <w:t>138/157</w:t>
            </w:r>
          </w:p>
        </w:tc>
        <w:tc>
          <w:tcPr>
            <w:tcW w:w="726" w:type="dxa"/>
            <w:shd w:val="clear" w:color="auto" w:fill="auto"/>
            <w:hideMark/>
          </w:tcPr>
          <w:p w14:paraId="4C63A033" w14:textId="77777777" w:rsidR="00112041" w:rsidRPr="005A428C" w:rsidRDefault="00112041" w:rsidP="003E3536">
            <w:pPr>
              <w:pStyle w:val="TableTextRight"/>
            </w:pPr>
            <w:r w:rsidRPr="005A428C">
              <w:t>40/147</w:t>
            </w:r>
          </w:p>
        </w:tc>
      </w:tr>
      <w:tr w:rsidR="003E3536" w:rsidRPr="006444D3" w14:paraId="509C22BC" w14:textId="77777777" w:rsidTr="003E3536">
        <w:trPr>
          <w:trHeight w:val="300"/>
          <w:jc w:val="center"/>
        </w:trPr>
        <w:tc>
          <w:tcPr>
            <w:tcW w:w="1722" w:type="dxa"/>
            <w:shd w:val="clear" w:color="auto" w:fill="auto"/>
            <w:noWrap/>
            <w:hideMark/>
          </w:tcPr>
          <w:p w14:paraId="618585BE" w14:textId="77777777" w:rsidR="00112041" w:rsidRPr="00BD285D" w:rsidRDefault="00112041" w:rsidP="003E3536">
            <w:pPr>
              <w:pStyle w:val="TableColumnHeadingLeft"/>
              <w:jc w:val="left"/>
            </w:pPr>
            <w:r w:rsidRPr="00BD285D">
              <w:t>UK North Sea</w:t>
            </w:r>
          </w:p>
        </w:tc>
        <w:tc>
          <w:tcPr>
            <w:tcW w:w="709" w:type="dxa"/>
            <w:shd w:val="clear" w:color="auto" w:fill="auto"/>
            <w:hideMark/>
          </w:tcPr>
          <w:p w14:paraId="5A68C4E8" w14:textId="77777777" w:rsidR="00112041" w:rsidRPr="005A428C" w:rsidRDefault="00112041" w:rsidP="003E3536">
            <w:pPr>
              <w:pStyle w:val="TableTextRight"/>
            </w:pPr>
            <w:r w:rsidRPr="005A428C">
              <w:t>82</w:t>
            </w:r>
          </w:p>
        </w:tc>
        <w:tc>
          <w:tcPr>
            <w:tcW w:w="709" w:type="dxa"/>
            <w:shd w:val="clear" w:color="auto" w:fill="auto"/>
            <w:hideMark/>
          </w:tcPr>
          <w:p w14:paraId="0056CDEE" w14:textId="77777777" w:rsidR="00112041" w:rsidRPr="005A428C" w:rsidRDefault="00112041" w:rsidP="003E3536">
            <w:pPr>
              <w:pStyle w:val="TableTextRight"/>
            </w:pPr>
            <w:r w:rsidRPr="005A428C">
              <w:t>82</w:t>
            </w:r>
          </w:p>
        </w:tc>
        <w:tc>
          <w:tcPr>
            <w:tcW w:w="709" w:type="dxa"/>
            <w:shd w:val="clear" w:color="auto" w:fill="auto"/>
            <w:noWrap/>
            <w:hideMark/>
          </w:tcPr>
          <w:p w14:paraId="1D26C82E" w14:textId="77777777" w:rsidR="00112041" w:rsidRPr="005A428C" w:rsidRDefault="00112041" w:rsidP="003E3536">
            <w:pPr>
              <w:pStyle w:val="TableTextRight"/>
            </w:pPr>
            <w:r w:rsidRPr="005A428C">
              <w:t>78</w:t>
            </w:r>
          </w:p>
        </w:tc>
        <w:tc>
          <w:tcPr>
            <w:tcW w:w="708" w:type="dxa"/>
            <w:shd w:val="clear" w:color="auto" w:fill="auto"/>
            <w:noWrap/>
            <w:hideMark/>
          </w:tcPr>
          <w:p w14:paraId="73DA4056" w14:textId="77777777" w:rsidR="00112041" w:rsidRPr="005A428C" w:rsidRDefault="00112041" w:rsidP="003E3536">
            <w:pPr>
              <w:pStyle w:val="TableTextRight"/>
            </w:pPr>
            <w:r w:rsidRPr="005A428C">
              <w:t>84</w:t>
            </w:r>
          </w:p>
        </w:tc>
        <w:tc>
          <w:tcPr>
            <w:tcW w:w="709" w:type="dxa"/>
            <w:shd w:val="clear" w:color="auto" w:fill="auto"/>
            <w:hideMark/>
          </w:tcPr>
          <w:p w14:paraId="16E3113D" w14:textId="77777777" w:rsidR="00112041" w:rsidRPr="005A428C" w:rsidRDefault="00112041" w:rsidP="003E3536">
            <w:pPr>
              <w:pStyle w:val="TableTextRight"/>
            </w:pPr>
            <w:r w:rsidRPr="005A428C">
              <w:t>81</w:t>
            </w:r>
          </w:p>
        </w:tc>
        <w:tc>
          <w:tcPr>
            <w:tcW w:w="709" w:type="dxa"/>
            <w:shd w:val="clear" w:color="auto" w:fill="auto"/>
            <w:hideMark/>
          </w:tcPr>
          <w:p w14:paraId="20191D84" w14:textId="77777777" w:rsidR="00112041" w:rsidRPr="005A428C" w:rsidRDefault="00112041" w:rsidP="003E3536">
            <w:pPr>
              <w:pStyle w:val="TableTextRight"/>
            </w:pPr>
            <w:r w:rsidRPr="005A428C">
              <w:t>20/96</w:t>
            </w:r>
          </w:p>
        </w:tc>
        <w:tc>
          <w:tcPr>
            <w:tcW w:w="709" w:type="dxa"/>
            <w:shd w:val="clear" w:color="auto" w:fill="auto"/>
            <w:hideMark/>
          </w:tcPr>
          <w:p w14:paraId="7E8E07F2" w14:textId="77777777" w:rsidR="00112041" w:rsidRPr="005A428C" w:rsidRDefault="00112041" w:rsidP="003E3536">
            <w:pPr>
              <w:pStyle w:val="TableTextRight"/>
            </w:pPr>
            <w:r w:rsidRPr="005A428C">
              <w:t>18/126</w:t>
            </w:r>
          </w:p>
        </w:tc>
        <w:tc>
          <w:tcPr>
            <w:tcW w:w="850" w:type="dxa"/>
            <w:shd w:val="clear" w:color="auto" w:fill="auto"/>
            <w:noWrap/>
            <w:hideMark/>
          </w:tcPr>
          <w:p w14:paraId="29D3DB8E" w14:textId="77777777" w:rsidR="00112041" w:rsidRPr="005A428C" w:rsidRDefault="00112041" w:rsidP="003E3536">
            <w:pPr>
              <w:pStyle w:val="TableTextRight"/>
            </w:pPr>
            <w:r w:rsidRPr="005A428C">
              <w:t>27/156</w:t>
            </w:r>
          </w:p>
        </w:tc>
        <w:tc>
          <w:tcPr>
            <w:tcW w:w="851" w:type="dxa"/>
            <w:shd w:val="clear" w:color="auto" w:fill="auto"/>
            <w:noWrap/>
            <w:hideMark/>
          </w:tcPr>
          <w:p w14:paraId="3F9AAE2D" w14:textId="77777777" w:rsidR="00112041" w:rsidRPr="005A428C" w:rsidRDefault="00112041" w:rsidP="003E3536">
            <w:pPr>
              <w:pStyle w:val="TableTextRight"/>
            </w:pPr>
            <w:r w:rsidRPr="005A428C">
              <w:t>22/157</w:t>
            </w:r>
          </w:p>
        </w:tc>
        <w:tc>
          <w:tcPr>
            <w:tcW w:w="726" w:type="dxa"/>
            <w:shd w:val="clear" w:color="auto" w:fill="auto"/>
            <w:hideMark/>
          </w:tcPr>
          <w:p w14:paraId="2C18DB27" w14:textId="77777777" w:rsidR="00112041" w:rsidRPr="005A428C" w:rsidRDefault="00112041" w:rsidP="003E3536">
            <w:pPr>
              <w:pStyle w:val="TableTextRight"/>
            </w:pPr>
            <w:r w:rsidRPr="005A428C">
              <w:t>25/147</w:t>
            </w:r>
          </w:p>
        </w:tc>
      </w:tr>
    </w:tbl>
    <w:p w14:paraId="260A5873" w14:textId="3BDBA629" w:rsidR="00112041" w:rsidRDefault="00C76D59" w:rsidP="003E3536">
      <w:pPr>
        <w:pStyle w:val="ChartorTableNote"/>
      </w:pPr>
      <w:r w:rsidRPr="00CB4E50">
        <w:t>Source:</w:t>
      </w:r>
      <w:r w:rsidR="009366C5" w:rsidRPr="00CB4E50">
        <w:t xml:space="preserve"> Fraser Institute, 2016</w:t>
      </w:r>
      <w:r w:rsidR="00197C1D">
        <w:t>a</w:t>
      </w:r>
      <w:r w:rsidR="009366C5" w:rsidRPr="00CB4E50">
        <w:t>.</w:t>
      </w:r>
    </w:p>
    <w:p w14:paraId="3A70B1B9" w14:textId="77777777" w:rsidR="003E3536" w:rsidRPr="003E3536" w:rsidRDefault="003E3536" w:rsidP="003E3536">
      <w:pPr>
        <w:pStyle w:val="SingleParagraph"/>
      </w:pPr>
    </w:p>
    <w:p w14:paraId="0915C8C5" w14:textId="77777777" w:rsidR="00E66E6A" w:rsidRDefault="00E66E6A">
      <w:pPr>
        <w:spacing w:after="0" w:line="240" w:lineRule="auto"/>
        <w:jc w:val="left"/>
        <w:rPr>
          <w:rFonts w:ascii="Century Gothic" w:hAnsi="Century Gothic"/>
          <w:b/>
          <w:bCs/>
          <w:color w:val="1F497D" w:themeColor="text2"/>
          <w:szCs w:val="22"/>
        </w:rPr>
      </w:pPr>
      <w:r>
        <w:br w:type="page"/>
      </w:r>
    </w:p>
    <w:p w14:paraId="466AB1F4" w14:textId="70808691" w:rsidR="00C76D59" w:rsidRDefault="00DF3A65" w:rsidP="00221C2A">
      <w:pPr>
        <w:pStyle w:val="ChartMainHeading"/>
      </w:pPr>
      <w:r w:rsidRPr="001E6B45">
        <w:t xml:space="preserve">Figure </w:t>
      </w:r>
      <w:r w:rsidR="0021079F">
        <w:t>2.</w:t>
      </w:r>
      <w:r w:rsidR="001C5A01">
        <w:t>10</w:t>
      </w:r>
      <w:r w:rsidRPr="001E6B45">
        <w:t xml:space="preserve"> — Selected 2016 Fraser Institute </w:t>
      </w:r>
      <w:r w:rsidR="00CE38C7">
        <w:t>results r</w:t>
      </w:r>
      <w:r w:rsidR="00DB0A15">
        <w:t>elated</w:t>
      </w:r>
      <w:r w:rsidR="00E66E6A" w:rsidRPr="001E6B45">
        <w:t xml:space="preserve"> to </w:t>
      </w:r>
      <w:r w:rsidR="00DB0A15">
        <w:t>fiscal t</w:t>
      </w:r>
      <w:r w:rsidR="00E66E6A" w:rsidRPr="001E6B45">
        <w:t>erms</w:t>
      </w:r>
    </w:p>
    <w:p w14:paraId="21CBD7B1" w14:textId="23AF4DC2" w:rsidR="00E66E6A" w:rsidRDefault="00022202" w:rsidP="003E3536">
      <w:pPr>
        <w:pStyle w:val="ChartorTableNote"/>
      </w:pPr>
      <w:r w:rsidRPr="001E6B45">
        <w:rPr>
          <w:noProof/>
        </w:rPr>
        <w:drawing>
          <wp:anchor distT="0" distB="0" distL="114300" distR="114300" simplePos="0" relativeHeight="251658240" behindDoc="0" locked="0" layoutInCell="1" allowOverlap="1" wp14:anchorId="1ADB9E85" wp14:editId="4F259E29">
            <wp:simplePos x="0" y="0"/>
            <wp:positionH relativeFrom="column">
              <wp:posOffset>657225</wp:posOffset>
            </wp:positionH>
            <wp:positionV relativeFrom="paragraph">
              <wp:posOffset>45085</wp:posOffset>
            </wp:positionV>
            <wp:extent cx="4528820" cy="3602990"/>
            <wp:effectExtent l="0" t="0" r="5080" b="0"/>
            <wp:wrapTopAndBottom/>
            <wp:docPr id="2" name="Picture 2" descr="Figure 2.10 compares the survey results of attitudes to fiscal terms for Australia’s offshore, Western Australia and Queensland jurisdictions with those of selected jurisdictions around the world including United Kingdom, Norway, Qatar, Canadian and United State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2.4 Figure X - Fraser Institute comparison of fiscal terms.png"/>
                    <pic:cNvPicPr/>
                  </pic:nvPicPr>
                  <pic:blipFill>
                    <a:blip r:embed="rId58">
                      <a:extLst>
                        <a:ext uri="{28A0092B-C50C-407E-A947-70E740481C1C}">
                          <a14:useLocalDpi xmlns:a14="http://schemas.microsoft.com/office/drawing/2010/main" val="0"/>
                        </a:ext>
                      </a:extLst>
                    </a:blip>
                    <a:stretch>
                      <a:fillRect/>
                    </a:stretch>
                  </pic:blipFill>
                  <pic:spPr>
                    <a:xfrm>
                      <a:off x="0" y="0"/>
                      <a:ext cx="4528820" cy="3602990"/>
                    </a:xfrm>
                    <a:prstGeom prst="rect">
                      <a:avLst/>
                    </a:prstGeom>
                  </pic:spPr>
                </pic:pic>
              </a:graphicData>
            </a:graphic>
            <wp14:sizeRelH relativeFrom="page">
              <wp14:pctWidth>0</wp14:pctWidth>
            </wp14:sizeRelH>
            <wp14:sizeRelV relativeFrom="page">
              <wp14:pctHeight>0</wp14:pctHeight>
            </wp14:sizeRelV>
          </wp:anchor>
        </w:drawing>
      </w:r>
      <w:r w:rsidR="00E66E6A" w:rsidRPr="00197C1D">
        <w:t>Source: Fraser Institute, 2016</w:t>
      </w:r>
      <w:r w:rsidR="00197C1D" w:rsidRPr="00197C1D">
        <w:t>a</w:t>
      </w:r>
      <w:r w:rsidR="00E66E6A" w:rsidRPr="00197C1D">
        <w:t>.</w:t>
      </w:r>
    </w:p>
    <w:p w14:paraId="164A2F04" w14:textId="77777777" w:rsidR="003E3536" w:rsidRPr="003E3536" w:rsidRDefault="003E3536" w:rsidP="003E3536"/>
    <w:p w14:paraId="390A1496" w14:textId="4F3A14D5" w:rsidR="00AA7794" w:rsidRDefault="005A428C" w:rsidP="00221C2A">
      <w:pPr>
        <w:pStyle w:val="ChartMainHeading"/>
      </w:pPr>
      <w:r w:rsidRPr="001E6B45">
        <w:t>Figure</w:t>
      </w:r>
      <w:r w:rsidR="004D481A" w:rsidRPr="001E6B45">
        <w:t xml:space="preserve"> </w:t>
      </w:r>
      <w:r w:rsidR="0021079F" w:rsidRPr="006D28D4">
        <w:t>2.1</w:t>
      </w:r>
      <w:r w:rsidR="001C5A01">
        <w:t>1</w:t>
      </w:r>
      <w:r w:rsidR="004D481A" w:rsidRPr="001E6B45">
        <w:t xml:space="preserve"> — </w:t>
      </w:r>
      <w:r w:rsidR="00AA7794" w:rsidRPr="001E6B45">
        <w:t xml:space="preserve">Selected 2016 Fraser Institute </w:t>
      </w:r>
      <w:r w:rsidR="00DB0A15">
        <w:t>r</w:t>
      </w:r>
      <w:r w:rsidR="00AA7794" w:rsidRPr="001E6B45">
        <w:t xml:space="preserve">esults </w:t>
      </w:r>
      <w:r w:rsidR="00DB0A15">
        <w:t>r</w:t>
      </w:r>
      <w:r w:rsidR="00AA7794" w:rsidRPr="001E6B45">
        <w:t xml:space="preserve">elated to </w:t>
      </w:r>
      <w:r w:rsidR="00DB0A15">
        <w:t>b</w:t>
      </w:r>
      <w:r w:rsidR="00AA7794" w:rsidRPr="001E6B45">
        <w:t xml:space="preserve">roader </w:t>
      </w:r>
      <w:r w:rsidR="00DB0A15">
        <w:t>t</w:t>
      </w:r>
      <w:r w:rsidR="00AA7794" w:rsidRPr="001E6B45">
        <w:t xml:space="preserve">ax </w:t>
      </w:r>
      <w:r w:rsidR="00DB0A15">
        <w:t>a</w:t>
      </w:r>
      <w:r w:rsidR="006554DF">
        <w:t>rrangements</w:t>
      </w:r>
    </w:p>
    <w:p w14:paraId="5851A65D" w14:textId="0DC92F1B" w:rsidR="00AA7794" w:rsidRDefault="00022202" w:rsidP="003E3536">
      <w:pPr>
        <w:pStyle w:val="ChartorTableNote"/>
      </w:pPr>
      <w:r w:rsidRPr="001E6B45">
        <w:rPr>
          <w:noProof/>
        </w:rPr>
        <w:drawing>
          <wp:anchor distT="0" distB="0" distL="114300" distR="114300" simplePos="0" relativeHeight="251658241" behindDoc="0" locked="0" layoutInCell="1" allowOverlap="1" wp14:anchorId="46F73627" wp14:editId="1F426E8C">
            <wp:simplePos x="0" y="0"/>
            <wp:positionH relativeFrom="column">
              <wp:posOffset>727710</wp:posOffset>
            </wp:positionH>
            <wp:positionV relativeFrom="paragraph">
              <wp:posOffset>38100</wp:posOffset>
            </wp:positionV>
            <wp:extent cx="4517390" cy="3567430"/>
            <wp:effectExtent l="0" t="0" r="0" b="0"/>
            <wp:wrapTopAndBottom/>
            <wp:docPr id="5" name="Picture 5" descr="Figure 2.11 compares the survey results of attitudes to broader tax arrangements for Australia’s offshore, Western Australia and Queensland jurisdictions with those of selected jurisdictions around the world including United Kingdom, Norway, Qatar, Canadian and United State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2.4 Figure Y - Fraser Institute comparison of tax arrangements.png"/>
                    <pic:cNvPicPr/>
                  </pic:nvPicPr>
                  <pic:blipFill>
                    <a:blip r:embed="rId59">
                      <a:extLst>
                        <a:ext uri="{28A0092B-C50C-407E-A947-70E740481C1C}">
                          <a14:useLocalDpi xmlns:a14="http://schemas.microsoft.com/office/drawing/2010/main" val="0"/>
                        </a:ext>
                      </a:extLst>
                    </a:blip>
                    <a:stretch>
                      <a:fillRect/>
                    </a:stretch>
                  </pic:blipFill>
                  <pic:spPr>
                    <a:xfrm>
                      <a:off x="0" y="0"/>
                      <a:ext cx="4517390" cy="3567430"/>
                    </a:xfrm>
                    <a:prstGeom prst="rect">
                      <a:avLst/>
                    </a:prstGeom>
                  </pic:spPr>
                </pic:pic>
              </a:graphicData>
            </a:graphic>
            <wp14:sizeRelH relativeFrom="page">
              <wp14:pctWidth>0</wp14:pctWidth>
            </wp14:sizeRelH>
            <wp14:sizeRelV relativeFrom="page">
              <wp14:pctHeight>0</wp14:pctHeight>
            </wp14:sizeRelV>
          </wp:anchor>
        </w:drawing>
      </w:r>
      <w:r w:rsidR="00C76D59" w:rsidRPr="00197C1D">
        <w:t xml:space="preserve">Source: </w:t>
      </w:r>
      <w:r w:rsidR="005F49AC" w:rsidRPr="00197C1D">
        <w:t>Fraser Institute, 2016</w:t>
      </w:r>
      <w:r w:rsidR="00197C1D" w:rsidRPr="00197C1D">
        <w:t>a</w:t>
      </w:r>
      <w:r w:rsidR="005F49AC" w:rsidRPr="00197C1D">
        <w:t>.</w:t>
      </w:r>
    </w:p>
    <w:p w14:paraId="5DC8F452" w14:textId="77777777" w:rsidR="003E3536" w:rsidRPr="003E3536" w:rsidRDefault="003E3536" w:rsidP="003E3536">
      <w:pPr>
        <w:pStyle w:val="SingleParagraph"/>
      </w:pPr>
    </w:p>
    <w:p w14:paraId="213C0DEC" w14:textId="77777777" w:rsidR="00811F24" w:rsidRDefault="00811F24">
      <w:pPr>
        <w:spacing w:after="0" w:line="240" w:lineRule="auto"/>
        <w:jc w:val="left"/>
      </w:pPr>
      <w:r>
        <w:br w:type="page"/>
      </w:r>
    </w:p>
    <w:p w14:paraId="4F682782" w14:textId="247B175D" w:rsidR="00AA7794" w:rsidRDefault="00352821" w:rsidP="00697BC1">
      <w:r>
        <w:t xml:space="preserve">International comparisons were raised </w:t>
      </w:r>
      <w:r w:rsidR="00330ACD">
        <w:t xml:space="preserve">in </w:t>
      </w:r>
      <w:r>
        <w:t xml:space="preserve">a </w:t>
      </w:r>
      <w:r w:rsidR="00B0390D">
        <w:t>number of</w:t>
      </w:r>
      <w:r>
        <w:t xml:space="preserve"> submissions</w:t>
      </w:r>
      <w:r w:rsidR="00330ACD">
        <w:t xml:space="preserve"> (E</w:t>
      </w:r>
      <w:r w:rsidR="0045727C">
        <w:t>NI Australia, BHP Billiton, B</w:t>
      </w:r>
      <w:r w:rsidR="006554DF">
        <w:t xml:space="preserve">usiness </w:t>
      </w:r>
      <w:r w:rsidR="0045727C">
        <w:t>C</w:t>
      </w:r>
      <w:r w:rsidR="006554DF">
        <w:t xml:space="preserve">ouncil of </w:t>
      </w:r>
      <w:r w:rsidR="0045727C">
        <w:t>A</w:t>
      </w:r>
      <w:r w:rsidR="006554DF">
        <w:t>ustralia</w:t>
      </w:r>
      <w:r w:rsidR="00330ACD">
        <w:t>, APPEA)</w:t>
      </w:r>
      <w:r w:rsidR="00AA7794">
        <w:t xml:space="preserve">. </w:t>
      </w:r>
      <w:r>
        <w:t>ENI Australia</w:t>
      </w:r>
      <w:r w:rsidR="00AA7794">
        <w:t xml:space="preserve"> considered Australia a high taxing jurisdiction, taking into account headline company tax, royalties and excise, as well as PRRT</w:t>
      </w:r>
      <w:r w:rsidR="00755941">
        <w:t xml:space="preserve">. </w:t>
      </w:r>
      <w:r w:rsidR="00AA7794">
        <w:t>BHP</w:t>
      </w:r>
      <w:r w:rsidR="00B75C06">
        <w:t xml:space="preserve"> Billiton</w:t>
      </w:r>
      <w:r w:rsidR="00AA7794">
        <w:t xml:space="preserve"> referred to </w:t>
      </w:r>
      <w:r w:rsidR="00946DA1">
        <w:t>I</w:t>
      </w:r>
      <w:r w:rsidR="002C1134">
        <w:t>H</w:t>
      </w:r>
      <w:r w:rsidR="00946DA1">
        <w:t xml:space="preserve">S </w:t>
      </w:r>
      <w:r w:rsidR="00AA7794">
        <w:t>Markit</w:t>
      </w:r>
      <w:r w:rsidR="006554DF">
        <w:t>,</w:t>
      </w:r>
      <w:r w:rsidR="00CD320C" w:rsidRPr="006554DF">
        <w:rPr>
          <w:rStyle w:val="FootnoteReference"/>
          <w:color w:val="auto"/>
          <w:sz w:val="20"/>
        </w:rPr>
        <w:footnoteReference w:id="15"/>
      </w:r>
      <w:r w:rsidR="00AA7794">
        <w:t xml:space="preserve"> Fraser Institute and Wood</w:t>
      </w:r>
      <w:r w:rsidR="006554DF">
        <w:t xml:space="preserve"> </w:t>
      </w:r>
      <w:r w:rsidR="00AA7794">
        <w:t>Mackenzie studies:</w:t>
      </w:r>
    </w:p>
    <w:p w14:paraId="2C832E45" w14:textId="2C6996ED" w:rsidR="00CD320C" w:rsidRPr="0004669D" w:rsidRDefault="00CD320C" w:rsidP="0004669D">
      <w:pPr>
        <w:ind w:left="567" w:right="565"/>
        <w:rPr>
          <w:color w:val="1F497D" w:themeColor="text2"/>
          <w:sz w:val="20"/>
        </w:rPr>
      </w:pPr>
      <w:r w:rsidRPr="0004669D">
        <w:rPr>
          <w:color w:val="1F497D" w:themeColor="text2"/>
          <w:sz w:val="20"/>
        </w:rPr>
        <w:t>Global benchmarking data indicates that Australia</w:t>
      </w:r>
      <w:r w:rsidR="005D6F39">
        <w:rPr>
          <w:color w:val="1F497D" w:themeColor="text2"/>
          <w:sz w:val="20"/>
        </w:rPr>
        <w:t>’</w:t>
      </w:r>
      <w:r w:rsidRPr="0004669D">
        <w:rPr>
          <w:color w:val="1F497D" w:themeColor="text2"/>
          <w:sz w:val="20"/>
        </w:rPr>
        <w:t>s investment climate for oil and gas exploration, development and production has become increasingly less competitive over the last several years:</w:t>
      </w:r>
    </w:p>
    <w:p w14:paraId="4ABBF784" w14:textId="77777777" w:rsidR="00CD320C" w:rsidRPr="0004669D" w:rsidRDefault="00CD320C" w:rsidP="0004669D">
      <w:pPr>
        <w:pStyle w:val="Bullet"/>
        <w:tabs>
          <w:tab w:val="clear" w:pos="520"/>
          <w:tab w:val="num" w:pos="1134"/>
        </w:tabs>
        <w:ind w:left="851" w:hanging="284"/>
        <w:rPr>
          <w:color w:val="1F497D" w:themeColor="text2"/>
          <w:sz w:val="20"/>
        </w:rPr>
      </w:pPr>
      <w:r w:rsidRPr="0004669D">
        <w:rPr>
          <w:color w:val="1F497D" w:themeColor="text2"/>
          <w:sz w:val="20"/>
        </w:rPr>
        <w:t>Wood Mackenzie ranks Australia 32</w:t>
      </w:r>
      <w:r w:rsidRPr="006554DF">
        <w:rPr>
          <w:color w:val="1F497D" w:themeColor="text2"/>
          <w:sz w:val="20"/>
          <w:vertAlign w:val="superscript"/>
        </w:rPr>
        <w:t>nd</w:t>
      </w:r>
      <w:r w:rsidRPr="0004669D">
        <w:rPr>
          <w:color w:val="1F497D" w:themeColor="text2"/>
          <w:sz w:val="20"/>
        </w:rPr>
        <w:t xml:space="preserve"> in the world for undiscovered resources, suggesting that there are fewer large economically attractive fields waiting to be developed.</w:t>
      </w:r>
    </w:p>
    <w:p w14:paraId="41380EE0" w14:textId="7D8A734C" w:rsidR="00CD320C" w:rsidRPr="0004669D" w:rsidRDefault="00CD320C" w:rsidP="0004669D">
      <w:pPr>
        <w:pStyle w:val="Bullet"/>
        <w:tabs>
          <w:tab w:val="clear" w:pos="520"/>
          <w:tab w:val="num" w:pos="1134"/>
        </w:tabs>
        <w:ind w:left="851" w:hanging="284"/>
        <w:rPr>
          <w:color w:val="1F497D" w:themeColor="text2"/>
          <w:sz w:val="20"/>
        </w:rPr>
      </w:pPr>
      <w:r w:rsidRPr="0004669D">
        <w:rPr>
          <w:color w:val="1F497D" w:themeColor="text2"/>
          <w:sz w:val="20"/>
        </w:rPr>
        <w:t xml:space="preserve">Australia is ranked towards the bottom of the third quartile in </w:t>
      </w:r>
      <w:r w:rsidR="002C1134">
        <w:rPr>
          <w:color w:val="1F497D" w:themeColor="text2"/>
          <w:sz w:val="20"/>
        </w:rPr>
        <w:t>the</w:t>
      </w:r>
      <w:r w:rsidRPr="0004669D">
        <w:rPr>
          <w:color w:val="1F497D" w:themeColor="text2"/>
          <w:sz w:val="20"/>
        </w:rPr>
        <w:t xml:space="preserve"> ranking of 130 countries in terms of fiscal attractiveness by </w:t>
      </w:r>
      <w:r w:rsidR="002C1134">
        <w:rPr>
          <w:color w:val="1F497D" w:themeColor="text2"/>
          <w:sz w:val="20"/>
        </w:rPr>
        <w:t xml:space="preserve">IHS </w:t>
      </w:r>
      <w:r w:rsidRPr="0004669D">
        <w:rPr>
          <w:color w:val="1F497D" w:themeColor="text2"/>
          <w:sz w:val="20"/>
        </w:rPr>
        <w:t>Markit.</w:t>
      </w:r>
    </w:p>
    <w:p w14:paraId="57305873" w14:textId="40ED7708" w:rsidR="00D87835" w:rsidRPr="0004669D" w:rsidRDefault="00CD320C" w:rsidP="00197C1D">
      <w:pPr>
        <w:pStyle w:val="Bullet"/>
        <w:tabs>
          <w:tab w:val="clear" w:pos="520"/>
          <w:tab w:val="num" w:pos="1134"/>
        </w:tabs>
        <w:ind w:left="851" w:hanging="284"/>
        <w:rPr>
          <w:color w:val="1F497D" w:themeColor="text2"/>
          <w:sz w:val="20"/>
        </w:rPr>
      </w:pPr>
      <w:r w:rsidRPr="0004669D">
        <w:rPr>
          <w:color w:val="1F497D" w:themeColor="text2"/>
          <w:sz w:val="20"/>
        </w:rPr>
        <w:t>Canada</w:t>
      </w:r>
      <w:r w:rsidR="005D6F39">
        <w:rPr>
          <w:color w:val="1F497D" w:themeColor="text2"/>
          <w:sz w:val="20"/>
        </w:rPr>
        <w:t>’</w:t>
      </w:r>
      <w:r w:rsidRPr="0004669D">
        <w:rPr>
          <w:color w:val="1F497D" w:themeColor="text2"/>
          <w:sz w:val="20"/>
        </w:rPr>
        <w:t>s Fraser Institute ranked Australia</w:t>
      </w:r>
      <w:r w:rsidR="005D6F39">
        <w:rPr>
          <w:color w:val="1F497D" w:themeColor="text2"/>
          <w:sz w:val="20"/>
        </w:rPr>
        <w:t>’</w:t>
      </w:r>
      <w:r w:rsidRPr="0004669D">
        <w:rPr>
          <w:color w:val="1F497D" w:themeColor="text2"/>
          <w:sz w:val="20"/>
        </w:rPr>
        <w:t>s offshore petroleum environment as 26 out of 96 in terms of their overall attractiveness for investment in 2016</w:t>
      </w:r>
      <w:r w:rsidR="00197C1D">
        <w:rPr>
          <w:color w:val="1F497D" w:themeColor="text2"/>
          <w:sz w:val="20"/>
        </w:rPr>
        <w:t xml:space="preserve"> </w:t>
      </w:r>
      <w:r w:rsidR="0004669D" w:rsidRPr="0004669D">
        <w:rPr>
          <w:color w:val="1F497D" w:themeColor="text2"/>
          <w:sz w:val="20"/>
        </w:rPr>
        <w:t>(</w:t>
      </w:r>
      <w:r w:rsidRPr="00197C1D">
        <w:rPr>
          <w:color w:val="1F497D" w:themeColor="text2"/>
          <w:sz w:val="20"/>
        </w:rPr>
        <w:t xml:space="preserve">BHP Billiton </w:t>
      </w:r>
      <w:r w:rsidR="002C1134">
        <w:rPr>
          <w:color w:val="1F497D" w:themeColor="text2"/>
          <w:sz w:val="20"/>
        </w:rPr>
        <w:t>s</w:t>
      </w:r>
      <w:r w:rsidRPr="00197C1D">
        <w:rPr>
          <w:color w:val="1F497D" w:themeColor="text2"/>
          <w:sz w:val="20"/>
        </w:rPr>
        <w:t>ubmission, p</w:t>
      </w:r>
      <w:r w:rsidR="003E69D7">
        <w:rPr>
          <w:color w:val="1F497D" w:themeColor="text2"/>
          <w:sz w:val="20"/>
        </w:rPr>
        <w:t>.</w:t>
      </w:r>
      <w:r w:rsidRPr="00197C1D">
        <w:rPr>
          <w:color w:val="1F497D" w:themeColor="text2"/>
          <w:sz w:val="20"/>
        </w:rPr>
        <w:t xml:space="preserve"> 5</w:t>
      </w:r>
      <w:r w:rsidRPr="0004669D">
        <w:rPr>
          <w:color w:val="1F497D" w:themeColor="text2"/>
          <w:sz w:val="20"/>
        </w:rPr>
        <w:t>).</w:t>
      </w:r>
    </w:p>
    <w:p w14:paraId="1AAFEA52" w14:textId="19DD3CE9" w:rsidR="00AA7794" w:rsidRPr="005F49AC" w:rsidRDefault="003915C1" w:rsidP="00697BC1">
      <w:r>
        <w:t>In contrast</w:t>
      </w:r>
      <w:r w:rsidR="00AA7794" w:rsidRPr="005F49AC">
        <w:t>, the Tax Justice Network Australia raised concerns about the relatively low PRRT collections when compared to oil and gas revenues collected by other jurisdictions:</w:t>
      </w:r>
    </w:p>
    <w:p w14:paraId="69BD1CB6" w14:textId="165C9E76" w:rsidR="00AA7794" w:rsidRPr="009136D8" w:rsidRDefault="00AA7794" w:rsidP="009136D8">
      <w:pPr>
        <w:ind w:left="567" w:right="565"/>
        <w:rPr>
          <w:color w:val="1F497D" w:themeColor="text2"/>
          <w:sz w:val="20"/>
        </w:rPr>
      </w:pPr>
      <w:r w:rsidRPr="005F49AC">
        <w:rPr>
          <w:color w:val="1F497D" w:themeColor="text2"/>
          <w:sz w:val="20"/>
        </w:rPr>
        <w:t>Australia</w:t>
      </w:r>
      <w:r w:rsidR="005D6F39">
        <w:rPr>
          <w:color w:val="1F497D" w:themeColor="text2"/>
          <w:sz w:val="20"/>
        </w:rPr>
        <w:t>’</w:t>
      </w:r>
      <w:r w:rsidRPr="005F49AC">
        <w:rPr>
          <w:color w:val="1F497D" w:themeColor="text2"/>
          <w:sz w:val="20"/>
        </w:rPr>
        <w:t xml:space="preserve">s neighbours, Malaysia and Indonesia are also significant exporters of LNG. While the structure of the industries in those countries are very different from Australia, total </w:t>
      </w:r>
      <w:r w:rsidRPr="00D942F1">
        <w:rPr>
          <w:color w:val="1F497D" w:themeColor="text2"/>
          <w:sz w:val="20"/>
        </w:rPr>
        <w:t>government revenues from oil and gas</w:t>
      </w:r>
      <w:r w:rsidRPr="005F49AC">
        <w:rPr>
          <w:color w:val="1F497D" w:themeColor="text2"/>
          <w:sz w:val="20"/>
        </w:rPr>
        <w:t>, per unit, in 2014 were more than double total government revenu</w:t>
      </w:r>
      <w:r w:rsidR="00B33D05">
        <w:rPr>
          <w:color w:val="1F497D" w:themeColor="text2"/>
          <w:sz w:val="20"/>
        </w:rPr>
        <w:t xml:space="preserve">e from oil and gas in Australia </w:t>
      </w:r>
      <w:r w:rsidR="00B33D05" w:rsidRPr="00197C1D">
        <w:rPr>
          <w:color w:val="1F497D" w:themeColor="text2"/>
          <w:sz w:val="20"/>
        </w:rPr>
        <w:t>(</w:t>
      </w:r>
      <w:r w:rsidR="005F49AC" w:rsidRPr="00197C1D">
        <w:rPr>
          <w:color w:val="1F497D" w:themeColor="text2"/>
          <w:sz w:val="20"/>
        </w:rPr>
        <w:t xml:space="preserve">Tax Justice Network Australia </w:t>
      </w:r>
      <w:r w:rsidR="002C1134">
        <w:rPr>
          <w:color w:val="1F497D" w:themeColor="text2"/>
          <w:sz w:val="20"/>
        </w:rPr>
        <w:t>s</w:t>
      </w:r>
      <w:r w:rsidR="00B33D05" w:rsidRPr="00197C1D">
        <w:rPr>
          <w:color w:val="1F497D" w:themeColor="text2"/>
          <w:sz w:val="20"/>
        </w:rPr>
        <w:t>ubmission, p</w:t>
      </w:r>
      <w:r w:rsidR="003E69D7">
        <w:rPr>
          <w:color w:val="1F497D" w:themeColor="text2"/>
          <w:sz w:val="20"/>
        </w:rPr>
        <w:t>.</w:t>
      </w:r>
      <w:r w:rsidR="00B33D05" w:rsidRPr="00197C1D">
        <w:rPr>
          <w:color w:val="1F497D" w:themeColor="text2"/>
          <w:sz w:val="20"/>
        </w:rPr>
        <w:t xml:space="preserve"> 7)</w:t>
      </w:r>
      <w:r w:rsidR="00B33D05">
        <w:rPr>
          <w:color w:val="1F497D" w:themeColor="text2"/>
          <w:sz w:val="20"/>
        </w:rPr>
        <w:t>.</w:t>
      </w:r>
    </w:p>
    <w:p w14:paraId="1703528D" w14:textId="04348769" w:rsidR="00AA7794" w:rsidRDefault="00AA7794" w:rsidP="00697BC1">
      <w:r>
        <w:t xml:space="preserve">The APPEA submission specifically responded to the Tax Justice Network </w:t>
      </w:r>
      <w:r w:rsidR="000A33FC">
        <w:t xml:space="preserve">Australia </w:t>
      </w:r>
      <w:r>
        <w:t xml:space="preserve">comparison of revenue collected by other governments with the </w:t>
      </w:r>
      <w:r w:rsidR="00D942F1">
        <w:t xml:space="preserve">tax revenue </w:t>
      </w:r>
      <w:r>
        <w:t xml:space="preserve">collections </w:t>
      </w:r>
      <w:r w:rsidR="00D942F1">
        <w:t>from</w:t>
      </w:r>
      <w:r>
        <w:t xml:space="preserve"> Australia</w:t>
      </w:r>
      <w:r w:rsidR="005D6F39">
        <w:t>’</w:t>
      </w:r>
      <w:r>
        <w:t xml:space="preserve">s </w:t>
      </w:r>
      <w:r w:rsidR="00D942F1">
        <w:t>LNG projects</w:t>
      </w:r>
      <w:r>
        <w:t xml:space="preserve">. </w:t>
      </w:r>
      <w:r w:rsidR="00D942F1" w:rsidRPr="003E3536">
        <w:t>S</w:t>
      </w:r>
      <w:r w:rsidR="003E3536">
        <w:t xml:space="preserve">ection 2.5 </w:t>
      </w:r>
      <w:r w:rsidR="00D942F1">
        <w:t>refers to studies referenced in APPEA</w:t>
      </w:r>
      <w:r w:rsidR="005D6F39">
        <w:t>’</w:t>
      </w:r>
      <w:r w:rsidR="00D942F1">
        <w:t xml:space="preserve">s submission </w:t>
      </w:r>
      <w:r w:rsidR="00545145">
        <w:t xml:space="preserve">that </w:t>
      </w:r>
      <w:r>
        <w:t xml:space="preserve">provide reasons </w:t>
      </w:r>
      <w:r w:rsidR="00545145">
        <w:t>for</w:t>
      </w:r>
      <w:r>
        <w:t xml:space="preserve"> </w:t>
      </w:r>
      <w:r w:rsidR="00350F75">
        <w:t>differences in</w:t>
      </w:r>
      <w:r>
        <w:t xml:space="preserve"> oil and gas </w:t>
      </w:r>
      <w:r w:rsidR="00545145">
        <w:t xml:space="preserve">tax </w:t>
      </w:r>
      <w:r>
        <w:t xml:space="preserve">revenues between Qatar and Australia. </w:t>
      </w:r>
    </w:p>
    <w:p w14:paraId="07C93FB8" w14:textId="35A3DA74" w:rsidR="00B33D05" w:rsidRDefault="00AA7794" w:rsidP="00D10118">
      <w:r>
        <w:t>APPEA</w:t>
      </w:r>
      <w:r w:rsidR="005D6F39">
        <w:t>’</w:t>
      </w:r>
      <w:r>
        <w:t xml:space="preserve">s submission included </w:t>
      </w:r>
      <w:r w:rsidR="00330ACD">
        <w:t>a Wood</w:t>
      </w:r>
      <w:r w:rsidR="006554DF">
        <w:t xml:space="preserve"> </w:t>
      </w:r>
      <w:r w:rsidR="00330ACD">
        <w:t xml:space="preserve">Mackenzie report it </w:t>
      </w:r>
      <w:r w:rsidR="00A15D03">
        <w:t xml:space="preserve">had </w:t>
      </w:r>
      <w:r w:rsidR="00330ACD">
        <w:t>commissioned focused on</w:t>
      </w:r>
      <w:r>
        <w:t xml:space="preserve"> international comparisons. Th</w:t>
      </w:r>
      <w:r w:rsidR="003915C1">
        <w:t>e</w:t>
      </w:r>
      <w:r>
        <w:t xml:space="preserve"> Wood</w:t>
      </w:r>
      <w:r w:rsidR="006554DF">
        <w:t xml:space="preserve"> </w:t>
      </w:r>
      <w:r>
        <w:t>Mackenzie</w:t>
      </w:r>
      <w:r w:rsidR="00330ACD">
        <w:t xml:space="preserve"> report</w:t>
      </w:r>
      <w:r>
        <w:t xml:space="preserve"> </w:t>
      </w:r>
      <w:r w:rsidR="00A15D03">
        <w:t>provided</w:t>
      </w:r>
      <w:r>
        <w:t xml:space="preserve"> a peer group comparison</w:t>
      </w:r>
      <w:r w:rsidR="002C1134">
        <w:t xml:space="preserve">, shown in </w:t>
      </w:r>
      <w:r w:rsidR="002C1134" w:rsidRPr="006D28D4">
        <w:t>Figure 2.1</w:t>
      </w:r>
      <w:r w:rsidR="00216573">
        <w:t>2</w:t>
      </w:r>
      <w:r w:rsidR="002C1134">
        <w:t>,</w:t>
      </w:r>
      <w:r>
        <w:t xml:space="preserve"> of the government share </w:t>
      </w:r>
      <w:r w:rsidR="00732B75">
        <w:t>of profits from a hypothetical</w:t>
      </w:r>
      <w:r>
        <w:t xml:space="preserve"> offshore oil project and how sensitive this was to changing oil prices. Overall, Australia benchmarks as a neutral, competitive regime</w:t>
      </w:r>
      <w:r w:rsidR="006554DF">
        <w:t>,</w:t>
      </w:r>
      <w:r>
        <w:t xml:space="preserve"> regardless of changes in price</w:t>
      </w:r>
      <w:r w:rsidR="006554DF">
        <w:t>,</w:t>
      </w:r>
      <w:r w:rsidR="00773534">
        <w:t xml:space="preserve"> with</w:t>
      </w:r>
      <w:r>
        <w:t xml:space="preserve"> the government</w:t>
      </w:r>
      <w:r w:rsidR="005D6F39">
        <w:t>’</w:t>
      </w:r>
      <w:r>
        <w:t xml:space="preserve">s share of profits </w:t>
      </w:r>
      <w:r w:rsidR="00F25E47">
        <w:t>associated with an oil and gas project</w:t>
      </w:r>
      <w:r w:rsidR="005D6F39">
        <w:t>’</w:t>
      </w:r>
      <w:r w:rsidR="00F25E47">
        <w:t xml:space="preserve">s extraction </w:t>
      </w:r>
      <w:r w:rsidR="00773534">
        <w:t>at 58</w:t>
      </w:r>
      <w:r>
        <w:t xml:space="preserve"> per cent. This is consistent with the </w:t>
      </w:r>
      <w:r w:rsidR="00732B75">
        <w:t>combined company and PRRT tax rate on PRRT profits</w:t>
      </w:r>
      <w:r w:rsidRPr="00732B75">
        <w:t>.</w:t>
      </w:r>
    </w:p>
    <w:p w14:paraId="072B3F84" w14:textId="213056F0" w:rsidR="00052D63" w:rsidRDefault="00052D63" w:rsidP="00052D63">
      <w:pPr>
        <w:pStyle w:val="Heading4"/>
        <w:rPr>
          <w:b w:val="0"/>
          <w:bCs w:val="0"/>
        </w:rPr>
      </w:pPr>
      <w:bookmarkStart w:id="4643" w:name="_Toc476749052"/>
      <w:r>
        <w:br w:type="page"/>
      </w:r>
    </w:p>
    <w:bookmarkEnd w:id="4643"/>
    <w:p w14:paraId="4FD75D34" w14:textId="20285653" w:rsidR="00065660" w:rsidRDefault="00065660" w:rsidP="00221C2A">
      <w:pPr>
        <w:pStyle w:val="ChartMainHeading"/>
      </w:pPr>
      <w:r w:rsidRPr="00F43CD0">
        <w:t xml:space="preserve">Figure </w:t>
      </w:r>
      <w:r w:rsidR="007973A2" w:rsidRPr="006D28D4">
        <w:t>2.1</w:t>
      </w:r>
      <w:r w:rsidR="00216573">
        <w:t>2</w:t>
      </w:r>
      <w:r w:rsidRPr="00F43CD0">
        <w:t xml:space="preserve"> </w:t>
      </w:r>
      <w:r w:rsidR="00052D63" w:rsidRPr="00F43CD0">
        <w:t xml:space="preserve">— </w:t>
      </w:r>
      <w:r w:rsidRPr="00F43CD0">
        <w:t xml:space="preserve">Wood Mackenzie </w:t>
      </w:r>
      <w:r w:rsidR="00DB0A15">
        <w:t>sensitivity analysis of fiscal terms to changing oil price on a theoretical d</w:t>
      </w:r>
      <w:r w:rsidR="00052D63" w:rsidRPr="00F43CD0">
        <w:t>iscovery</w:t>
      </w:r>
    </w:p>
    <w:p w14:paraId="7E32B0B2" w14:textId="461EC6B4" w:rsidR="00065660" w:rsidRDefault="00065660" w:rsidP="003E3536">
      <w:pPr>
        <w:pStyle w:val="ChartorTableNote"/>
      </w:pPr>
      <w:r>
        <w:rPr>
          <w:noProof/>
        </w:rPr>
        <w:drawing>
          <wp:anchor distT="0" distB="0" distL="114300" distR="114300" simplePos="0" relativeHeight="251658242" behindDoc="0" locked="0" layoutInCell="1" allowOverlap="1" wp14:anchorId="78E7D840" wp14:editId="79F321E8">
            <wp:simplePos x="0" y="0"/>
            <wp:positionH relativeFrom="column">
              <wp:posOffset>-27940</wp:posOffset>
            </wp:positionH>
            <wp:positionV relativeFrom="paragraph">
              <wp:posOffset>88265</wp:posOffset>
            </wp:positionV>
            <wp:extent cx="5759450" cy="2830195"/>
            <wp:effectExtent l="0" t="0" r="0" b="8255"/>
            <wp:wrapTopAndBottom/>
            <wp:docPr id="302" name="Picture 302" descr="Figure 2.12 shows Wood Mackenzie’s sensitivity analysis of fiscal terms to changing oil price on a theoretical discovery. The countries features in the chart are Australia, China, Indonesia, Malaysia, the United Kingdom, Norway, the United States and Brazil. Australian fiscal terms are relatively stable across changes in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2.4 Sensitivity of fiscal terms to changing oil pric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2830195"/>
                    </a:xfrm>
                    <a:prstGeom prst="rect">
                      <a:avLst/>
                    </a:prstGeom>
                  </pic:spPr>
                </pic:pic>
              </a:graphicData>
            </a:graphic>
            <wp14:sizeRelH relativeFrom="page">
              <wp14:pctWidth>0</wp14:pctWidth>
            </wp14:sizeRelH>
            <wp14:sizeRelV relativeFrom="page">
              <wp14:pctHeight>0</wp14:pctHeight>
            </wp14:sizeRelV>
          </wp:anchor>
        </w:drawing>
      </w:r>
      <w:r w:rsidRPr="00812CC2">
        <w:t>Source: APPEA Submission</w:t>
      </w:r>
      <w:r w:rsidR="00A30EFB" w:rsidRPr="00812CC2">
        <w:t>, Attachment 3</w:t>
      </w:r>
      <w:r w:rsidR="00812CC2" w:rsidRPr="00812CC2">
        <w:t>.</w:t>
      </w:r>
    </w:p>
    <w:p w14:paraId="34F8C15C" w14:textId="77777777" w:rsidR="003E3536" w:rsidRPr="003E3536" w:rsidRDefault="003E3536" w:rsidP="003E3536">
      <w:pPr>
        <w:pStyle w:val="SingleParagraph"/>
      </w:pPr>
    </w:p>
    <w:p w14:paraId="58FCEC83" w14:textId="2FFE4C7A" w:rsidR="00AA7794" w:rsidRDefault="003937CB" w:rsidP="00EC77AC">
      <w:pPr>
        <w:pStyle w:val="Heading2"/>
      </w:pPr>
      <w:bookmarkStart w:id="4644" w:name="_Toc476749053"/>
      <w:bookmarkStart w:id="4645" w:name="_Toc476753919"/>
      <w:bookmarkStart w:id="4646" w:name="_Toc476754414"/>
      <w:bookmarkStart w:id="4647" w:name="_Toc476754579"/>
      <w:bookmarkStart w:id="4648" w:name="_Toc476759815"/>
      <w:bookmarkStart w:id="4649" w:name="_Toc476761437"/>
      <w:bookmarkStart w:id="4650" w:name="_Toc476767075"/>
      <w:bookmarkStart w:id="4651" w:name="_Toc476827121"/>
      <w:bookmarkStart w:id="4652" w:name="_Toc476828814"/>
      <w:bookmarkStart w:id="4653" w:name="_Toc476833688"/>
      <w:bookmarkStart w:id="4654" w:name="_Toc476837161"/>
      <w:bookmarkStart w:id="4655" w:name="_Toc476841034"/>
      <w:bookmarkStart w:id="4656" w:name="_Toc476841239"/>
      <w:bookmarkStart w:id="4657" w:name="_Toc476841998"/>
      <w:bookmarkStart w:id="4658" w:name="_Toc476842942"/>
      <w:bookmarkStart w:id="4659" w:name="_Toc476843113"/>
      <w:bookmarkStart w:id="4660" w:name="_Toc476844611"/>
      <w:bookmarkStart w:id="4661" w:name="_Toc476845504"/>
      <w:bookmarkStart w:id="4662" w:name="_Toc476926835"/>
      <w:bookmarkStart w:id="4663" w:name="_Toc476927183"/>
      <w:bookmarkStart w:id="4664" w:name="_Toc476928447"/>
      <w:bookmarkStart w:id="4665" w:name="_Toc476929490"/>
      <w:bookmarkStart w:id="4666" w:name="_Toc476929665"/>
      <w:bookmarkStart w:id="4667" w:name="_Toc476930708"/>
      <w:bookmarkStart w:id="4668" w:name="_Toc476931515"/>
      <w:bookmarkStart w:id="4669" w:name="_Toc476926896"/>
      <w:bookmarkStart w:id="4670" w:name="_Toc477869882"/>
      <w:bookmarkStart w:id="4671" w:name="_Toc477871121"/>
      <w:bookmarkStart w:id="4672" w:name="_Toc477873280"/>
      <w:bookmarkStart w:id="4673" w:name="_Toc477875274"/>
      <w:bookmarkStart w:id="4674" w:name="_Toc477880187"/>
      <w:bookmarkStart w:id="4675" w:name="_Toc477881447"/>
      <w:bookmarkStart w:id="4676" w:name="_Toc477955851"/>
      <w:bookmarkStart w:id="4677" w:name="_Toc477963096"/>
      <w:bookmarkStart w:id="4678" w:name="_Toc477963582"/>
      <w:bookmarkStart w:id="4679" w:name="_Toc477965168"/>
      <w:bookmarkStart w:id="4680" w:name="_Toc477966672"/>
      <w:bookmarkStart w:id="4681" w:name="_Toc477966841"/>
      <w:bookmarkStart w:id="4682" w:name="_Toc477967181"/>
      <w:bookmarkStart w:id="4683" w:name="_Toc478121318"/>
      <w:bookmarkStart w:id="4684" w:name="_Toc478122231"/>
      <w:bookmarkStart w:id="4685" w:name="_Toc478132205"/>
      <w:bookmarkStart w:id="4686" w:name="_Toc478133231"/>
      <w:bookmarkStart w:id="4687" w:name="_Toc478132368"/>
      <w:bookmarkStart w:id="4688" w:name="_Toc478134697"/>
      <w:bookmarkStart w:id="4689" w:name="_Toc478137399"/>
      <w:bookmarkStart w:id="4690" w:name="_Toc478138471"/>
      <w:bookmarkStart w:id="4691" w:name="_Toc478140041"/>
      <w:bookmarkStart w:id="4692" w:name="_Toc478140457"/>
      <w:bookmarkStart w:id="4693" w:name="_Toc478142663"/>
      <w:bookmarkStart w:id="4694" w:name="_Toc478566379"/>
      <w:bookmarkStart w:id="4695" w:name="_Toc478569546"/>
      <w:bookmarkStart w:id="4696" w:name="_Toc478569720"/>
      <w:bookmarkStart w:id="4697" w:name="_Toc478570794"/>
      <w:bookmarkStart w:id="4698" w:name="_Toc478632993"/>
      <w:bookmarkStart w:id="4699" w:name="_Toc478641401"/>
      <w:bookmarkStart w:id="4700" w:name="_Toc478654295"/>
      <w:bookmarkStart w:id="4701" w:name="_Toc478654469"/>
      <w:bookmarkStart w:id="4702" w:name="_Toc478657764"/>
      <w:bookmarkStart w:id="4703" w:name="_Toc478993185"/>
      <w:bookmarkStart w:id="4704" w:name="_Toc479000256"/>
      <w:bookmarkStart w:id="4705" w:name="_Toc479002190"/>
      <w:bookmarkStart w:id="4706" w:name="_Toc479002362"/>
      <w:bookmarkStart w:id="4707" w:name="_Toc479254337"/>
      <w:bookmarkStart w:id="4708" w:name="_Toc479258526"/>
      <w:bookmarkStart w:id="4709" w:name="_Toc479258842"/>
      <w:bookmarkStart w:id="4710" w:name="_Toc479259734"/>
      <w:bookmarkStart w:id="4711" w:name="_Toc479262157"/>
      <w:bookmarkStart w:id="4712" w:name="_Toc479262578"/>
      <w:bookmarkStart w:id="4713" w:name="_Toc479321279"/>
      <w:bookmarkStart w:id="4714" w:name="_Toc479326718"/>
      <w:bookmarkStart w:id="4715" w:name="_Toc479333317"/>
      <w:bookmarkStart w:id="4716" w:name="_Toc479335014"/>
      <w:bookmarkStart w:id="4717" w:name="_Toc479341729"/>
      <w:bookmarkStart w:id="4718" w:name="_Toc479345145"/>
      <w:bookmarkStart w:id="4719" w:name="_Toc479345354"/>
      <w:bookmarkStart w:id="4720" w:name="_Toc479348335"/>
      <w:bookmarkStart w:id="4721" w:name="_Toc479675929"/>
      <w:bookmarkStart w:id="4722" w:name="_Toc479690896"/>
      <w:bookmarkStart w:id="4723" w:name="_Toc479693474"/>
      <w:bookmarkStart w:id="4724" w:name="_Toc479770643"/>
      <w:r w:rsidRPr="00950EFA">
        <w:t>2.5</w:t>
      </w:r>
      <w:r w:rsidRPr="00950EFA">
        <w:tab/>
      </w:r>
      <w:r w:rsidR="0087192E" w:rsidRPr="00950EFA">
        <w:t xml:space="preserve">Comparing Australian LNG </w:t>
      </w:r>
      <w:r w:rsidR="003C1E3F">
        <w:t>R</w:t>
      </w:r>
      <w:r w:rsidR="0087192E" w:rsidRPr="00950EFA">
        <w:t xml:space="preserve">evenue </w:t>
      </w:r>
      <w:r w:rsidR="003C1E3F">
        <w:t>W</w:t>
      </w:r>
      <w:r w:rsidR="0087192E" w:rsidRPr="00950EFA">
        <w:t xml:space="preserve">ith </w:t>
      </w:r>
      <w:r w:rsidR="00AA7794" w:rsidRPr="00950EFA">
        <w:t>Qatar</w:t>
      </w:r>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7A0A3D7F" w14:textId="289CB16A" w:rsidR="00AA7794" w:rsidRDefault="00AA7794" w:rsidP="00697BC1">
      <w:r>
        <w:t>With Australia set to equal or exceed Qatar as the world</w:t>
      </w:r>
      <w:r w:rsidR="005D6F39">
        <w:t>’</w:t>
      </w:r>
      <w:r>
        <w:t xml:space="preserve">s largest LNG exporter, </w:t>
      </w:r>
      <w:r w:rsidR="00D277A0">
        <w:t xml:space="preserve">comparisons have been made between </w:t>
      </w:r>
      <w:r w:rsidR="00E90B65">
        <w:t>the export</w:t>
      </w:r>
      <w:r>
        <w:t xml:space="preserve"> volumes and government earnings of the two countries. For example</w:t>
      </w:r>
      <w:r w:rsidR="00FA19DA">
        <w:t>,</w:t>
      </w:r>
      <w:r>
        <w:t xml:space="preserve"> the </w:t>
      </w:r>
      <w:r w:rsidR="001A77BD">
        <w:t>International Transport Workers</w:t>
      </w:r>
      <w:r w:rsidR="005D6F39">
        <w:t>’</w:t>
      </w:r>
      <w:r w:rsidR="001A77BD">
        <w:t xml:space="preserve"> Federation</w:t>
      </w:r>
      <w:r w:rsidR="00B33D05">
        <w:t xml:space="preserve"> </w:t>
      </w:r>
      <w:r>
        <w:t>has commented:</w:t>
      </w:r>
    </w:p>
    <w:p w14:paraId="75E61E28" w14:textId="20D4ABF2" w:rsidR="00AA7794" w:rsidRPr="009136D8" w:rsidRDefault="00AA7794" w:rsidP="009136D8">
      <w:pPr>
        <w:ind w:left="567" w:right="565"/>
        <w:rPr>
          <w:color w:val="1F497D" w:themeColor="text2"/>
          <w:sz w:val="20"/>
        </w:rPr>
      </w:pPr>
      <w:r w:rsidRPr="009136D8">
        <w:rPr>
          <w:color w:val="1F497D" w:themeColor="text2"/>
          <w:sz w:val="20"/>
        </w:rPr>
        <w:t>By 2021, Australia</w:t>
      </w:r>
      <w:r w:rsidR="005D6F39">
        <w:rPr>
          <w:color w:val="1F497D" w:themeColor="text2"/>
          <w:sz w:val="20"/>
        </w:rPr>
        <w:t>’</w:t>
      </w:r>
      <w:r w:rsidRPr="009136D8">
        <w:rPr>
          <w:color w:val="1F497D" w:themeColor="text2"/>
          <w:sz w:val="20"/>
        </w:rPr>
        <w:t>s LNG export volumes are predicted to exceed those of Qatar, reaching 103.72 cubic meters (bcm) while Qatar</w:t>
      </w:r>
      <w:r w:rsidR="005D6F39">
        <w:rPr>
          <w:color w:val="1F497D" w:themeColor="text2"/>
          <w:sz w:val="20"/>
        </w:rPr>
        <w:t>’</w:t>
      </w:r>
      <w:r w:rsidRPr="009136D8">
        <w:rPr>
          <w:color w:val="1F497D" w:themeColor="text2"/>
          <w:sz w:val="20"/>
        </w:rPr>
        <w:t>s output falls to 101.7 bcm. The Australian Government is expected to receive only $0.8 billion in PRRT revenues in 2019</w:t>
      </w:r>
      <w:r w:rsidR="005D6F39">
        <w:rPr>
          <w:color w:val="1F497D" w:themeColor="text2"/>
          <w:sz w:val="20"/>
        </w:rPr>
        <w:noBreakHyphen/>
      </w:r>
      <w:r w:rsidRPr="009136D8">
        <w:rPr>
          <w:color w:val="1F497D" w:themeColor="text2"/>
          <w:sz w:val="20"/>
        </w:rPr>
        <w:t>20, or 1.97</w:t>
      </w:r>
      <w:r w:rsidR="003E3536">
        <w:rPr>
          <w:color w:val="1F497D" w:themeColor="text2"/>
          <w:sz w:val="20"/>
        </w:rPr>
        <w:t> </w:t>
      </w:r>
      <w:r w:rsidRPr="009136D8">
        <w:rPr>
          <w:color w:val="1F497D" w:themeColor="text2"/>
          <w:sz w:val="20"/>
        </w:rPr>
        <w:t>per cent of LNG export sales. At the same time, the Government of Qatar is forecast to collect $26.6 billion in royalties from LNG exports, equivalent to a share of 23.35 per cent</w:t>
      </w:r>
      <w:r w:rsidR="005F49AC">
        <w:rPr>
          <w:color w:val="1F497D" w:themeColor="text2"/>
          <w:sz w:val="20"/>
        </w:rPr>
        <w:t xml:space="preserve"> </w:t>
      </w:r>
      <w:r w:rsidR="005E5BB9" w:rsidRPr="00197C1D">
        <w:rPr>
          <w:color w:val="1F497D" w:themeColor="text2"/>
          <w:sz w:val="20"/>
        </w:rPr>
        <w:t>(International Transport Workers</w:t>
      </w:r>
      <w:r w:rsidR="005D6F39">
        <w:rPr>
          <w:color w:val="1F497D" w:themeColor="text2"/>
          <w:sz w:val="20"/>
        </w:rPr>
        <w:t>’</w:t>
      </w:r>
      <w:r w:rsidR="005E5BB9" w:rsidRPr="00197C1D">
        <w:rPr>
          <w:color w:val="1F497D" w:themeColor="text2"/>
          <w:sz w:val="20"/>
        </w:rPr>
        <w:t xml:space="preserve"> Federation</w:t>
      </w:r>
      <w:r w:rsidR="00D858AA">
        <w:rPr>
          <w:color w:val="1F497D" w:themeColor="text2"/>
          <w:sz w:val="20"/>
        </w:rPr>
        <w:t>,</w:t>
      </w:r>
      <w:r w:rsidR="00141DE8" w:rsidRPr="00197C1D">
        <w:rPr>
          <w:color w:val="1F497D" w:themeColor="text2"/>
          <w:sz w:val="20"/>
        </w:rPr>
        <w:t xml:space="preserve"> 2016</w:t>
      </w:r>
      <w:r w:rsidR="005E5BB9" w:rsidRPr="00197C1D">
        <w:rPr>
          <w:color w:val="1F497D" w:themeColor="text2"/>
          <w:sz w:val="20"/>
        </w:rPr>
        <w:t>, p</w:t>
      </w:r>
      <w:r w:rsidR="003E69D7">
        <w:rPr>
          <w:color w:val="1F497D" w:themeColor="text2"/>
          <w:sz w:val="20"/>
        </w:rPr>
        <w:t>.</w:t>
      </w:r>
      <w:r w:rsidR="005E5BB9" w:rsidRPr="00197C1D">
        <w:rPr>
          <w:color w:val="1F497D" w:themeColor="text2"/>
          <w:sz w:val="20"/>
        </w:rPr>
        <w:t xml:space="preserve"> 1)</w:t>
      </w:r>
      <w:r w:rsidRPr="00197C1D">
        <w:rPr>
          <w:color w:val="1F497D" w:themeColor="text2"/>
          <w:sz w:val="20"/>
        </w:rPr>
        <w:t>.</w:t>
      </w:r>
      <w:r w:rsidR="005F49AC" w:rsidRPr="00197C1D">
        <w:rPr>
          <w:color w:val="1F497D" w:themeColor="text2"/>
          <w:sz w:val="20"/>
        </w:rPr>
        <w:t xml:space="preserve"> </w:t>
      </w:r>
    </w:p>
    <w:p w14:paraId="37189019" w14:textId="4DADD016" w:rsidR="00EC77AC" w:rsidRDefault="00EC77AC" w:rsidP="00EC77AC">
      <w:r>
        <w:t>APPEA and the Business Council of Australia submissions cautioned against comparing revenue collections between countries because of the differences that exist between Australia and Qatar.</w:t>
      </w:r>
      <w:r w:rsidR="00773534">
        <w:t xml:space="preserve"> APPEA noted:</w:t>
      </w:r>
      <w:r>
        <w:t xml:space="preserve"> </w:t>
      </w:r>
    </w:p>
    <w:p w14:paraId="1680811F" w14:textId="2014C5A5" w:rsidR="00AA7794" w:rsidRPr="006D28D4" w:rsidRDefault="00AA7794" w:rsidP="009136D8">
      <w:pPr>
        <w:ind w:left="567" w:right="565"/>
        <w:rPr>
          <w:color w:val="1F497D" w:themeColor="text2"/>
          <w:sz w:val="20"/>
        </w:rPr>
      </w:pPr>
      <w:r w:rsidRPr="009136D8">
        <w:rPr>
          <w:color w:val="1F497D" w:themeColor="text2"/>
          <w:sz w:val="20"/>
        </w:rPr>
        <w:t xml:space="preserve">The Tax Justice Network has used project revenues as a simplified basis for comparing tax contributions for projects from different countries. This methodology is fundamentally flawed, as it implicitly assumes turnover is a proxy for profitability or capacity to pay. The failure of this approach is clear when a comparison of unit costs of production are made between projects </w:t>
      </w:r>
      <w:r w:rsidR="00DB0A15">
        <w:rPr>
          <w:color w:val="1F497D" w:themeColor="text2"/>
          <w:sz w:val="20"/>
        </w:rPr>
        <w:t>(</w:t>
      </w:r>
      <w:r w:rsidR="00DB0A15" w:rsidRPr="00862CD7">
        <w:rPr>
          <w:color w:val="1F497D" w:themeColor="text2"/>
          <w:sz w:val="20"/>
        </w:rPr>
        <w:t>APPEA Submission,</w:t>
      </w:r>
      <w:r w:rsidR="00DB0A15">
        <w:rPr>
          <w:color w:val="1F497D" w:themeColor="text2"/>
          <w:sz w:val="20"/>
        </w:rPr>
        <w:t xml:space="preserve"> p. 57).</w:t>
      </w:r>
    </w:p>
    <w:p w14:paraId="4D85CFE5" w14:textId="45B3A36F" w:rsidR="00197C1D" w:rsidRDefault="00240364" w:rsidP="00221C2A">
      <w:pPr>
        <w:rPr>
          <w:color w:val="1F497D" w:themeColor="text2"/>
          <w:sz w:val="20"/>
        </w:rPr>
      </w:pPr>
      <w:r w:rsidRPr="006D28D4">
        <w:t>Figure 2.1</w:t>
      </w:r>
      <w:r w:rsidR="00216573">
        <w:t>3</w:t>
      </w:r>
      <w:r>
        <w:t xml:space="preserve"> from APPEA</w:t>
      </w:r>
      <w:r w:rsidR="005D6F39">
        <w:t>’</w:t>
      </w:r>
      <w:r>
        <w:t>s submission illustrates the high costs per volume of product faced by Australian LNG projects relative to LNG projects in other countries</w:t>
      </w:r>
      <w:r w:rsidR="005D6F39">
        <w:t xml:space="preserve">. </w:t>
      </w:r>
      <w:r>
        <w:t xml:space="preserve">   </w:t>
      </w:r>
      <w:r w:rsidR="00812CC2">
        <w:rPr>
          <w:color w:val="1F497D" w:themeColor="text2"/>
          <w:sz w:val="20"/>
        </w:rPr>
        <w:br w:type="page"/>
      </w:r>
    </w:p>
    <w:p w14:paraId="412EE63C" w14:textId="0F273167" w:rsidR="00812CC2" w:rsidRDefault="00812CC2" w:rsidP="00221C2A">
      <w:pPr>
        <w:pStyle w:val="ChartMainHeading"/>
      </w:pPr>
      <w:r w:rsidRPr="00F43CD0">
        <w:t xml:space="preserve">Figure </w:t>
      </w:r>
      <w:r w:rsidR="007973A2" w:rsidRPr="006D28D4">
        <w:t>2.1</w:t>
      </w:r>
      <w:r w:rsidR="00216573">
        <w:t>3</w:t>
      </w:r>
      <w:r w:rsidRPr="00F43CD0">
        <w:t xml:space="preserve"> — </w:t>
      </w:r>
      <w:r>
        <w:t xml:space="preserve">Comparison of LNG </w:t>
      </w:r>
      <w:r w:rsidR="00455604">
        <w:t>p</w:t>
      </w:r>
      <w:r>
        <w:t xml:space="preserve">roject </w:t>
      </w:r>
      <w:r w:rsidR="00455604">
        <w:t>r</w:t>
      </w:r>
      <w:r>
        <w:t xml:space="preserve">evenues and </w:t>
      </w:r>
      <w:r w:rsidR="00455604">
        <w:t>c</w:t>
      </w:r>
      <w:r>
        <w:t>osts</w:t>
      </w:r>
    </w:p>
    <w:p w14:paraId="407A19CF" w14:textId="3F4374EC" w:rsidR="00812CC2" w:rsidRDefault="00812CC2" w:rsidP="00812CC2">
      <w:pPr>
        <w:pStyle w:val="Heading4"/>
      </w:pPr>
      <w:r w:rsidRPr="006D28D4">
        <w:rPr>
          <w:noProof/>
        </w:rPr>
        <w:drawing>
          <wp:inline distT="0" distB="0" distL="0" distR="0" wp14:anchorId="53086D4A" wp14:editId="2066B961">
            <wp:extent cx="5536565" cy="3895725"/>
            <wp:effectExtent l="0" t="0" r="6985" b="9525"/>
            <wp:docPr id="6" name="Picture 6" descr="Figure 2.13 provides a comparison of LNG projects revenues and costs for different projects. It shows that Australian projects have relatively high costs compared to Qatari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6565" cy="3895725"/>
                    </a:xfrm>
                    <a:prstGeom prst="rect">
                      <a:avLst/>
                    </a:prstGeom>
                    <a:noFill/>
                  </pic:spPr>
                </pic:pic>
              </a:graphicData>
            </a:graphic>
          </wp:inline>
        </w:drawing>
      </w:r>
    </w:p>
    <w:p w14:paraId="7E7E529B" w14:textId="60A10DE3" w:rsidR="00D10118" w:rsidRDefault="00812CC2" w:rsidP="003E3536">
      <w:pPr>
        <w:pStyle w:val="ChartorTableNote"/>
      </w:pPr>
      <w:r w:rsidRPr="00812CC2">
        <w:t xml:space="preserve">Source:  </w:t>
      </w:r>
      <w:r w:rsidR="004C7D5D" w:rsidRPr="00197C1D">
        <w:t>APPEA Submission</w:t>
      </w:r>
      <w:r w:rsidR="001668BA">
        <w:t>, Attachment 3</w:t>
      </w:r>
      <w:r w:rsidRPr="00812CC2">
        <w:t>.</w:t>
      </w:r>
    </w:p>
    <w:p w14:paraId="0C46F77A" w14:textId="77777777" w:rsidR="003E3536" w:rsidRPr="003E3536" w:rsidRDefault="003E3536" w:rsidP="003E3536">
      <w:pPr>
        <w:pStyle w:val="SingleParagraph"/>
      </w:pPr>
    </w:p>
    <w:p w14:paraId="537FC612" w14:textId="5E53E2A8" w:rsidR="00AA7794" w:rsidRDefault="00EC77AC" w:rsidP="00697BC1">
      <w:r>
        <w:t>T</w:t>
      </w:r>
      <w:r w:rsidR="00AA7794">
        <w:t xml:space="preserve">he </w:t>
      </w:r>
      <w:r w:rsidR="00B33D05">
        <w:t>Business Council of Australia</w:t>
      </w:r>
      <w:r w:rsidR="00AA7794">
        <w:t xml:space="preserve"> </w:t>
      </w:r>
      <w:r w:rsidR="00BC245B">
        <w:t>s</w:t>
      </w:r>
      <w:r w:rsidR="00AA7794">
        <w:t xml:space="preserve">ubmission </w:t>
      </w:r>
      <w:r w:rsidR="00773534">
        <w:t>identifie</w:t>
      </w:r>
      <w:r w:rsidR="00BC245B">
        <w:t>d</w:t>
      </w:r>
      <w:r w:rsidR="00AA7794" w:rsidDel="00223826">
        <w:t xml:space="preserve"> </w:t>
      </w:r>
      <w:r w:rsidR="00AA7794">
        <w:t xml:space="preserve">issues </w:t>
      </w:r>
      <w:r w:rsidR="00BC245B">
        <w:t xml:space="preserve">that need to be taken into account when </w:t>
      </w:r>
      <w:r w:rsidR="00AA7794">
        <w:t>mak</w:t>
      </w:r>
      <w:r w:rsidR="00BC245B">
        <w:t>ing</w:t>
      </w:r>
      <w:r w:rsidR="00AA7794">
        <w:t xml:space="preserve"> comparison</w:t>
      </w:r>
      <w:r w:rsidR="00773534">
        <w:t>s between countries</w:t>
      </w:r>
      <w:r w:rsidR="00AA7794">
        <w:t>:</w:t>
      </w:r>
    </w:p>
    <w:p w14:paraId="5D5A294A" w14:textId="3150552F"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The characteristics of the project, including technical, geological and operational factors. Project characteristics differ across Australia, let alone the world. Australian LNG projects, such as for coal seam gas, were a world</w:t>
      </w:r>
      <w:r w:rsidR="005D6F39">
        <w:rPr>
          <w:color w:val="1F497D" w:themeColor="text2"/>
          <w:sz w:val="20"/>
        </w:rPr>
        <w:noBreakHyphen/>
      </w:r>
      <w:r w:rsidRPr="0091258B">
        <w:rPr>
          <w:color w:val="1F497D" w:themeColor="text2"/>
          <w:sz w:val="20"/>
        </w:rPr>
        <w:t>first and as such presented different challenges to those based on conventional offshore resources.</w:t>
      </w:r>
    </w:p>
    <w:p w14:paraId="66EED4F8" w14:textId="4E0D311B"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The stage of the project life cycle. Is it new or mature? Have costs been recovered?</w:t>
      </w:r>
    </w:p>
    <w:p w14:paraId="736D2D2B" w14:textId="50AAD276"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Are taxes like</w:t>
      </w:r>
      <w:r w:rsidR="005D6F39">
        <w:rPr>
          <w:color w:val="1F497D" w:themeColor="text2"/>
          <w:sz w:val="20"/>
        </w:rPr>
        <w:noBreakHyphen/>
      </w:r>
      <w:r w:rsidRPr="0091258B">
        <w:rPr>
          <w:color w:val="1F497D" w:themeColor="text2"/>
          <w:sz w:val="20"/>
        </w:rPr>
        <w:t>for</w:t>
      </w:r>
      <w:r w:rsidR="005D6F39">
        <w:rPr>
          <w:color w:val="1F497D" w:themeColor="text2"/>
          <w:sz w:val="20"/>
        </w:rPr>
        <w:noBreakHyphen/>
      </w:r>
      <w:r w:rsidRPr="0091258B">
        <w:rPr>
          <w:color w:val="1F497D" w:themeColor="text2"/>
          <w:sz w:val="20"/>
        </w:rPr>
        <w:t>like? How do tax systems compare? Is the taxing point the same?</w:t>
      </w:r>
    </w:p>
    <w:p w14:paraId="3E6ACD39" w14:textId="3A737426"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What other taxes are paid?</w:t>
      </w:r>
    </w:p>
    <w:p w14:paraId="224FCE43" w14:textId="61AC0C20"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Geography</w:t>
      </w:r>
      <w:r w:rsidR="005D6F39">
        <w:rPr>
          <w:color w:val="1F497D" w:themeColor="text2"/>
          <w:sz w:val="20"/>
        </w:rPr>
        <w:t xml:space="preserve"> — </w:t>
      </w:r>
      <w:r w:rsidRPr="0091258B">
        <w:rPr>
          <w:color w:val="1F497D" w:themeColor="text2"/>
          <w:sz w:val="20"/>
        </w:rPr>
        <w:t>is the area remote or close to urban areas? Is climate an issue, such as cyclones? Are there environmental considerations, such as nature reserves?</w:t>
      </w:r>
    </w:p>
    <w:p w14:paraId="6AA8AFE9" w14:textId="1454D643"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Differences in input costs, including those driven by labour market conditions and workplace regulations, and broader regulations including environmental regulation.</w:t>
      </w:r>
    </w:p>
    <w:p w14:paraId="64717A19" w14:textId="7AF8A55B" w:rsidR="00AA7794" w:rsidRPr="0091258B" w:rsidRDefault="00AA7794" w:rsidP="003E59D9">
      <w:pPr>
        <w:pStyle w:val="ListParagraph"/>
        <w:numPr>
          <w:ilvl w:val="0"/>
          <w:numId w:val="9"/>
        </w:numPr>
        <w:ind w:left="1071" w:hanging="357"/>
        <w:contextualSpacing w:val="0"/>
        <w:rPr>
          <w:color w:val="1F497D" w:themeColor="text2"/>
          <w:sz w:val="20"/>
        </w:rPr>
      </w:pPr>
      <w:r w:rsidRPr="0091258B">
        <w:rPr>
          <w:color w:val="1F497D" w:themeColor="text2"/>
          <w:sz w:val="20"/>
        </w:rPr>
        <w:t xml:space="preserve">How do taxes compare over the life of a project? </w:t>
      </w:r>
      <w:r w:rsidR="00B33D05" w:rsidRPr="00862CD7">
        <w:rPr>
          <w:color w:val="1F497D" w:themeColor="text2"/>
          <w:sz w:val="20"/>
        </w:rPr>
        <w:t>(</w:t>
      </w:r>
      <w:r w:rsidR="0091258B" w:rsidRPr="00862CD7">
        <w:rPr>
          <w:color w:val="1F497D" w:themeColor="text2"/>
          <w:sz w:val="20"/>
        </w:rPr>
        <w:t xml:space="preserve">Business Council of Australia </w:t>
      </w:r>
      <w:r w:rsidR="00B33D05" w:rsidRPr="00862CD7">
        <w:rPr>
          <w:color w:val="1F497D" w:themeColor="text2"/>
          <w:sz w:val="20"/>
        </w:rPr>
        <w:t>S</w:t>
      </w:r>
      <w:r w:rsidR="0091258B" w:rsidRPr="00862CD7">
        <w:rPr>
          <w:color w:val="1F497D" w:themeColor="text2"/>
          <w:sz w:val="20"/>
        </w:rPr>
        <w:t>ubmission, p</w:t>
      </w:r>
      <w:r w:rsidR="00B33D05" w:rsidRPr="00862CD7">
        <w:rPr>
          <w:color w:val="1F497D" w:themeColor="text2"/>
          <w:sz w:val="20"/>
        </w:rPr>
        <w:t xml:space="preserve">. </w:t>
      </w:r>
      <w:r w:rsidR="0091258B" w:rsidRPr="00862CD7">
        <w:rPr>
          <w:color w:val="1F497D" w:themeColor="text2"/>
          <w:sz w:val="20"/>
        </w:rPr>
        <w:t>10</w:t>
      </w:r>
      <w:r w:rsidR="00B33D05">
        <w:rPr>
          <w:color w:val="1F497D" w:themeColor="text2"/>
          <w:sz w:val="20"/>
        </w:rPr>
        <w:t>)</w:t>
      </w:r>
      <w:r w:rsidR="0091258B">
        <w:rPr>
          <w:color w:val="1F497D" w:themeColor="text2"/>
          <w:sz w:val="20"/>
        </w:rPr>
        <w:t>.</w:t>
      </w:r>
    </w:p>
    <w:p w14:paraId="1BDB4C9B" w14:textId="7FDCE2A2" w:rsidR="00EC77AC" w:rsidRDefault="00EC77AC" w:rsidP="002B6B01">
      <w:r>
        <w:t xml:space="preserve">As outlined </w:t>
      </w:r>
      <w:r w:rsidR="00AA7794" w:rsidRPr="00052D63">
        <w:t xml:space="preserve">in </w:t>
      </w:r>
      <w:r w:rsidR="00AA7794" w:rsidRPr="006D28D4">
        <w:t>section 1.3</w:t>
      </w:r>
      <w:r w:rsidR="00AA7794">
        <w:t>, many of Australia</w:t>
      </w:r>
      <w:r w:rsidR="005D6F39">
        <w:t>’</w:t>
      </w:r>
      <w:r w:rsidR="00AA7794">
        <w:t xml:space="preserve">s recent LNG investments have relatively low profit margins because of the high costs associated with building infrastructure in remote locations combined with high labour costs, a high Australian dollar and productivity issues that resulted in large cost increases. </w:t>
      </w:r>
    </w:p>
    <w:p w14:paraId="706605F8" w14:textId="0C41C717" w:rsidR="00AA7794" w:rsidRDefault="00AA7794" w:rsidP="002B6B01">
      <w:r>
        <w:t>Australia</w:t>
      </w:r>
      <w:r w:rsidR="005D6F39">
        <w:t>’</w:t>
      </w:r>
      <w:r>
        <w:t xml:space="preserve">s petroleum resources are </w:t>
      </w:r>
      <w:r w:rsidR="00BC245B">
        <w:t xml:space="preserve">largely </w:t>
      </w:r>
      <w:r>
        <w:t xml:space="preserve">remote and widely dispersed, with low levels of liquids, such as condensate. In contrast, Qatar has a lower cost upstream and downstream operating environment, and large reserves that are concentrated with relatively easy access to existing infrastructure. The gas is also more liquids rich, with considerable reserves of profitable condensate and LPGs, as well as significant volumes of ethane, sulphur and helium. </w:t>
      </w:r>
      <w:r w:rsidR="00E977C8">
        <w:t>An example of cost difference</w:t>
      </w:r>
      <w:r w:rsidR="003B4D08">
        <w:t>s</w:t>
      </w:r>
      <w:r w:rsidR="00E977C8">
        <w:t xml:space="preserve"> between Gorgon and QatarGas was illustrated in the Wood</w:t>
      </w:r>
      <w:r w:rsidR="00C70E89">
        <w:t xml:space="preserve"> </w:t>
      </w:r>
      <w:r w:rsidR="00E977C8">
        <w:t>Mackenzie report</w:t>
      </w:r>
      <w:r w:rsidR="00483C45">
        <w:t xml:space="preserve"> </w:t>
      </w:r>
      <w:r w:rsidR="00504499">
        <w:t>attached</w:t>
      </w:r>
      <w:r w:rsidR="00483C45">
        <w:t xml:space="preserve"> to</w:t>
      </w:r>
      <w:r w:rsidR="00E977C8">
        <w:t xml:space="preserve"> the APPEA submission</w:t>
      </w:r>
      <w:r w:rsidR="00B5306C">
        <w:t xml:space="preserve"> (</w:t>
      </w:r>
      <w:r w:rsidR="007453FC" w:rsidRPr="006D28D4">
        <w:t>Figure</w:t>
      </w:r>
      <w:r w:rsidR="007973A2" w:rsidRPr="006D28D4">
        <w:t xml:space="preserve"> 2.1</w:t>
      </w:r>
      <w:r w:rsidR="00216573">
        <w:t>4</w:t>
      </w:r>
      <w:r w:rsidR="00B5306C">
        <w:t>)</w:t>
      </w:r>
      <w:r w:rsidR="00EC77AC">
        <w:t xml:space="preserve">. </w:t>
      </w:r>
      <w:r w:rsidR="0085299C">
        <w:t>Gorgon came on</w:t>
      </w:r>
      <w:r w:rsidR="006554DF">
        <w:t> </w:t>
      </w:r>
      <w:r w:rsidR="003B4D08">
        <w:t>line</w:t>
      </w:r>
      <w:r w:rsidR="0085299C">
        <w:t xml:space="preserve"> in 2016, with an output </w:t>
      </w:r>
      <w:r w:rsidR="00687CAB">
        <w:t xml:space="preserve">of </w:t>
      </w:r>
      <w:r w:rsidR="0085299C">
        <w:t xml:space="preserve">15.6 million metric tonne per annum (mmtpa) </w:t>
      </w:r>
      <w:r w:rsidR="00687CAB">
        <w:t>while</w:t>
      </w:r>
      <w:r w:rsidR="0085299C">
        <w:t xml:space="preserve"> QatarGas 4 </w:t>
      </w:r>
      <w:r w:rsidR="00687CAB">
        <w:t>had</w:t>
      </w:r>
      <w:r w:rsidR="0085299C">
        <w:t xml:space="preserve"> an output of 7.9 mmtpa</w:t>
      </w:r>
      <w:r w:rsidR="00687CAB">
        <w:t xml:space="preserve"> in 2011</w:t>
      </w:r>
      <w:r w:rsidR="0085299C">
        <w:t>. The comparison shows</w:t>
      </w:r>
      <w:r w:rsidR="00504499">
        <w:t xml:space="preserve"> Gorgon</w:t>
      </w:r>
      <w:r w:rsidR="005D6F39">
        <w:t>’</w:t>
      </w:r>
      <w:r w:rsidR="00504499">
        <w:t xml:space="preserve">s total </w:t>
      </w:r>
      <w:r w:rsidR="00EC77AC">
        <w:t>life</w:t>
      </w:r>
      <w:r w:rsidR="00504499">
        <w:t xml:space="preserve">time capital expenditure to be $97 billion </w:t>
      </w:r>
      <w:r w:rsidR="00B5306C">
        <w:t>versus</w:t>
      </w:r>
      <w:r w:rsidR="00504499">
        <w:t xml:space="preserve"> $7 billion for QatarGas</w:t>
      </w:r>
      <w:r w:rsidR="005C0ADA">
        <w:t>, leading to an internal project rate of return of 7</w:t>
      </w:r>
      <w:r w:rsidR="006554DF">
        <w:t xml:space="preserve"> per cent</w:t>
      </w:r>
      <w:r w:rsidR="005C0ADA">
        <w:t xml:space="preserve"> and 32.5</w:t>
      </w:r>
      <w:r w:rsidR="006554DF">
        <w:t xml:space="preserve"> per cent</w:t>
      </w:r>
      <w:r w:rsidR="005C0ADA">
        <w:t xml:space="preserve"> </w:t>
      </w:r>
      <w:r w:rsidR="00B5306C">
        <w:t>for Gorgon and QatarGas,</w:t>
      </w:r>
      <w:r w:rsidR="005C0ADA">
        <w:t xml:space="preserve"> respectively.</w:t>
      </w:r>
      <w:r>
        <w:t xml:space="preserve"> </w:t>
      </w:r>
    </w:p>
    <w:p w14:paraId="4079C2DF" w14:textId="134304F7" w:rsidR="002B6B01" w:rsidRPr="00B23402" w:rsidRDefault="007453FC" w:rsidP="00221C2A">
      <w:pPr>
        <w:pStyle w:val="ChartMainHeading"/>
      </w:pPr>
      <w:r>
        <w:t xml:space="preserve">Figure </w:t>
      </w:r>
      <w:r w:rsidR="007973A2" w:rsidRPr="006D28D4">
        <w:t>2.1</w:t>
      </w:r>
      <w:r w:rsidR="00216573">
        <w:t>4</w:t>
      </w:r>
      <w:r w:rsidR="00455604">
        <w:t xml:space="preserve"> —</w:t>
      </w:r>
      <w:r w:rsidR="008A7481">
        <w:t xml:space="preserve"> </w:t>
      </w:r>
      <w:r>
        <w:t>Revenue c</w:t>
      </w:r>
      <w:r w:rsidR="008A7481">
        <w:t xml:space="preserve">omparison of Gorgon and Qatar Gas </w:t>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3118"/>
        <w:gridCol w:w="5590"/>
      </w:tblGrid>
      <w:tr w:rsidR="00E46FEC" w:rsidRPr="00E46FEC" w14:paraId="3F5CF2DA" w14:textId="77777777" w:rsidTr="00C026C1">
        <w:trPr>
          <w:trHeight w:val="547"/>
        </w:trPr>
        <w:tc>
          <w:tcPr>
            <w:tcW w:w="3544" w:type="dxa"/>
            <w:gridSpan w:val="2"/>
          </w:tcPr>
          <w:p w14:paraId="4397F6E3" w14:textId="77777777" w:rsidR="00E46FEC" w:rsidRPr="00E46FEC" w:rsidRDefault="00E46FEC" w:rsidP="00E46FEC">
            <w:pPr>
              <w:rPr>
                <w:rFonts w:ascii="Calibri" w:hAnsi="Calibri"/>
                <w:color w:val="auto"/>
              </w:rPr>
            </w:pPr>
          </w:p>
        </w:tc>
        <w:tc>
          <w:tcPr>
            <w:tcW w:w="5590" w:type="dxa"/>
            <w:vMerge w:val="restart"/>
          </w:tcPr>
          <w:p w14:paraId="37E74C0A" w14:textId="77777777" w:rsidR="00E46FEC" w:rsidRPr="00E46FEC" w:rsidRDefault="00E46FEC" w:rsidP="00E46FEC">
            <w:pPr>
              <w:spacing w:after="0" w:line="240" w:lineRule="auto"/>
              <w:jc w:val="left"/>
              <w:rPr>
                <w:rFonts w:ascii="Calibri" w:hAnsi="Calibri"/>
                <w:noProof/>
                <w:color w:val="auto"/>
              </w:rPr>
            </w:pPr>
            <w:r w:rsidRPr="00E46FEC">
              <w:rPr>
                <w:rFonts w:ascii="Calibri" w:hAnsi="Calibri"/>
                <w:noProof/>
                <w:color w:val="auto"/>
              </w:rPr>
              <w:drawing>
                <wp:inline distT="0" distB="0" distL="0" distR="0" wp14:anchorId="4451A2EE" wp14:editId="653D581B">
                  <wp:extent cx="3027284" cy="2533650"/>
                  <wp:effectExtent l="0" t="0" r="1905" b="0"/>
                  <wp:docPr id="18" name="Picture 18" descr="Figure 2.14 is a column chart that compares on a percentage basis Gorgon’s lifetime capital expenditure with that of Qatar Gas under four areas: integrated company profit, integrated government share, downstream costs and upstream costs. The internal rate of return for each project is also illustrated as a do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8050" cy="2534291"/>
                          </a:xfrm>
                          <a:prstGeom prst="rect">
                            <a:avLst/>
                          </a:prstGeom>
                          <a:noFill/>
                          <a:ln>
                            <a:noFill/>
                          </a:ln>
                        </pic:spPr>
                      </pic:pic>
                    </a:graphicData>
                  </a:graphic>
                </wp:inline>
              </w:drawing>
            </w:r>
          </w:p>
        </w:tc>
      </w:tr>
      <w:tr w:rsidR="00E46FEC" w:rsidRPr="00E46FEC" w14:paraId="1D9EF392" w14:textId="77777777" w:rsidTr="00C026C1">
        <w:tc>
          <w:tcPr>
            <w:tcW w:w="426" w:type="dxa"/>
          </w:tcPr>
          <w:p w14:paraId="6BDD5927" w14:textId="77777777" w:rsidR="00E46FEC" w:rsidRPr="00E46FEC" w:rsidRDefault="00E46FEC" w:rsidP="00E46FEC">
            <w:pPr>
              <w:spacing w:after="0" w:line="240" w:lineRule="auto"/>
              <w:jc w:val="left"/>
              <w:rPr>
                <w:rFonts w:ascii="Calibri" w:hAnsi="Calibri"/>
                <w:color w:val="auto"/>
              </w:rPr>
            </w:pPr>
          </w:p>
        </w:tc>
        <w:tc>
          <w:tcPr>
            <w:tcW w:w="3118" w:type="dxa"/>
          </w:tcPr>
          <w:p w14:paraId="25B223B5" w14:textId="77777777" w:rsidR="00E46FEC" w:rsidRPr="00E46FEC" w:rsidRDefault="00E46FEC" w:rsidP="00E46FEC">
            <w:pPr>
              <w:spacing w:after="0" w:line="240" w:lineRule="auto"/>
              <w:jc w:val="left"/>
              <w:rPr>
                <w:rFonts w:ascii="Calibri" w:hAnsi="Calibri"/>
                <w:color w:val="auto"/>
              </w:rPr>
            </w:pPr>
          </w:p>
        </w:tc>
        <w:tc>
          <w:tcPr>
            <w:tcW w:w="5590" w:type="dxa"/>
            <w:vMerge/>
          </w:tcPr>
          <w:p w14:paraId="3E1097DE" w14:textId="77777777" w:rsidR="00E46FEC" w:rsidRPr="00E46FEC" w:rsidRDefault="00E46FEC" w:rsidP="00E46FEC">
            <w:pPr>
              <w:spacing w:after="0" w:line="240" w:lineRule="auto"/>
              <w:jc w:val="left"/>
              <w:rPr>
                <w:rFonts w:ascii="Calibri" w:hAnsi="Calibri"/>
                <w:noProof/>
                <w:color w:val="auto"/>
              </w:rPr>
            </w:pPr>
          </w:p>
        </w:tc>
      </w:tr>
      <w:tr w:rsidR="00E46FEC" w:rsidRPr="00E46FEC" w14:paraId="5FFCD299" w14:textId="77777777" w:rsidTr="00C026C1">
        <w:tc>
          <w:tcPr>
            <w:tcW w:w="426" w:type="dxa"/>
          </w:tcPr>
          <w:p w14:paraId="75F2EC4C" w14:textId="77777777" w:rsidR="00E46FEC" w:rsidRPr="00E46FEC" w:rsidRDefault="00E46FEC" w:rsidP="00E46FEC">
            <w:pPr>
              <w:spacing w:after="0" w:line="240" w:lineRule="auto"/>
              <w:jc w:val="left"/>
              <w:rPr>
                <w:rFonts w:ascii="Calibri" w:hAnsi="Calibri"/>
                <w:color w:val="auto"/>
              </w:rPr>
            </w:pPr>
          </w:p>
        </w:tc>
        <w:tc>
          <w:tcPr>
            <w:tcW w:w="3118" w:type="dxa"/>
          </w:tcPr>
          <w:p w14:paraId="03600BA9" w14:textId="77777777" w:rsidR="00E46FEC" w:rsidRPr="00E46FEC" w:rsidRDefault="00E46FEC" w:rsidP="00E46FEC">
            <w:pPr>
              <w:spacing w:after="0" w:line="240" w:lineRule="auto"/>
              <w:jc w:val="left"/>
              <w:rPr>
                <w:rFonts w:ascii="Calibri" w:hAnsi="Calibri"/>
                <w:color w:val="auto"/>
              </w:rPr>
            </w:pPr>
          </w:p>
        </w:tc>
        <w:tc>
          <w:tcPr>
            <w:tcW w:w="5590" w:type="dxa"/>
            <w:vMerge/>
          </w:tcPr>
          <w:p w14:paraId="16AC0307" w14:textId="77777777" w:rsidR="00E46FEC" w:rsidRPr="00E46FEC" w:rsidRDefault="00E46FEC" w:rsidP="00E46FEC">
            <w:pPr>
              <w:spacing w:after="0" w:line="240" w:lineRule="auto"/>
              <w:jc w:val="left"/>
              <w:rPr>
                <w:rFonts w:ascii="Calibri" w:hAnsi="Calibri"/>
                <w:noProof/>
                <w:color w:val="auto"/>
              </w:rPr>
            </w:pPr>
          </w:p>
        </w:tc>
      </w:tr>
      <w:tr w:rsidR="00E46FEC" w:rsidRPr="00E46FEC" w14:paraId="0C51457A" w14:textId="77777777" w:rsidTr="00C026C1">
        <w:tc>
          <w:tcPr>
            <w:tcW w:w="426" w:type="dxa"/>
          </w:tcPr>
          <w:p w14:paraId="0128141F" w14:textId="77777777" w:rsidR="00E46FEC" w:rsidRPr="00E46FEC" w:rsidRDefault="00E46FEC" w:rsidP="00E46FEC">
            <w:pPr>
              <w:spacing w:after="0" w:line="240" w:lineRule="auto"/>
              <w:jc w:val="left"/>
              <w:rPr>
                <w:rFonts w:ascii="Calibri" w:hAnsi="Calibri"/>
                <w:color w:val="auto"/>
              </w:rPr>
            </w:pPr>
          </w:p>
        </w:tc>
        <w:tc>
          <w:tcPr>
            <w:tcW w:w="3118" w:type="dxa"/>
          </w:tcPr>
          <w:p w14:paraId="7998A93F" w14:textId="77777777" w:rsidR="00E46FEC" w:rsidRPr="00E46FEC" w:rsidRDefault="00E46FEC" w:rsidP="00E46FEC">
            <w:pPr>
              <w:spacing w:after="0" w:line="240" w:lineRule="auto"/>
              <w:jc w:val="left"/>
              <w:rPr>
                <w:rFonts w:ascii="Calibri" w:hAnsi="Calibri"/>
                <w:color w:val="auto"/>
              </w:rPr>
            </w:pPr>
          </w:p>
        </w:tc>
        <w:tc>
          <w:tcPr>
            <w:tcW w:w="5590" w:type="dxa"/>
            <w:vMerge/>
          </w:tcPr>
          <w:p w14:paraId="70A1DABC" w14:textId="77777777" w:rsidR="00E46FEC" w:rsidRPr="00E46FEC" w:rsidRDefault="00E46FEC" w:rsidP="00E46FEC">
            <w:pPr>
              <w:spacing w:after="0" w:line="240" w:lineRule="auto"/>
              <w:jc w:val="left"/>
              <w:rPr>
                <w:rFonts w:ascii="Calibri" w:hAnsi="Calibri"/>
                <w:noProof/>
                <w:color w:val="auto"/>
              </w:rPr>
            </w:pPr>
          </w:p>
        </w:tc>
      </w:tr>
      <w:tr w:rsidR="00E46FEC" w:rsidRPr="00E46FEC" w14:paraId="593B4828" w14:textId="77777777" w:rsidTr="00C026C1">
        <w:tc>
          <w:tcPr>
            <w:tcW w:w="426" w:type="dxa"/>
          </w:tcPr>
          <w:p w14:paraId="24E31172" w14:textId="77777777" w:rsidR="00E46FEC" w:rsidRPr="00E46FEC" w:rsidRDefault="00E46FEC" w:rsidP="00E46FEC">
            <w:pPr>
              <w:spacing w:after="0" w:line="240" w:lineRule="auto"/>
              <w:jc w:val="left"/>
              <w:rPr>
                <w:rFonts w:ascii="Calibri" w:hAnsi="Calibri"/>
                <w:color w:val="auto"/>
              </w:rPr>
            </w:pPr>
          </w:p>
        </w:tc>
        <w:tc>
          <w:tcPr>
            <w:tcW w:w="3118" w:type="dxa"/>
          </w:tcPr>
          <w:p w14:paraId="3620F7C4" w14:textId="77777777" w:rsidR="00E46FEC" w:rsidRPr="00E46FEC" w:rsidRDefault="00E46FEC" w:rsidP="00E46FEC">
            <w:pPr>
              <w:spacing w:after="0" w:line="240" w:lineRule="auto"/>
              <w:jc w:val="left"/>
              <w:rPr>
                <w:rFonts w:ascii="Calibri" w:hAnsi="Calibri"/>
                <w:color w:val="auto"/>
              </w:rPr>
            </w:pPr>
          </w:p>
        </w:tc>
        <w:tc>
          <w:tcPr>
            <w:tcW w:w="5590" w:type="dxa"/>
            <w:vMerge/>
          </w:tcPr>
          <w:p w14:paraId="29CDDA45" w14:textId="77777777" w:rsidR="00E46FEC" w:rsidRPr="00E46FEC" w:rsidRDefault="00E46FEC" w:rsidP="00E46FEC">
            <w:pPr>
              <w:spacing w:after="0" w:line="240" w:lineRule="auto"/>
              <w:jc w:val="left"/>
              <w:rPr>
                <w:rFonts w:ascii="Calibri" w:hAnsi="Calibri"/>
                <w:noProof/>
                <w:color w:val="auto"/>
              </w:rPr>
            </w:pPr>
          </w:p>
        </w:tc>
      </w:tr>
      <w:tr w:rsidR="00E46FEC" w:rsidRPr="00E46FEC" w14:paraId="314F0F60" w14:textId="77777777" w:rsidTr="00C026C1">
        <w:tc>
          <w:tcPr>
            <w:tcW w:w="426" w:type="dxa"/>
            <w:shd w:val="clear" w:color="auto" w:fill="00B050"/>
          </w:tcPr>
          <w:p w14:paraId="524BFE1F" w14:textId="77777777" w:rsidR="00E46FEC" w:rsidRPr="00E46FEC" w:rsidRDefault="00E46FEC" w:rsidP="00E46FEC">
            <w:pPr>
              <w:spacing w:after="0" w:line="240" w:lineRule="auto"/>
              <w:jc w:val="left"/>
              <w:rPr>
                <w:rFonts w:ascii="Calibri" w:hAnsi="Calibri"/>
                <w:color w:val="auto"/>
              </w:rPr>
            </w:pPr>
          </w:p>
        </w:tc>
        <w:tc>
          <w:tcPr>
            <w:tcW w:w="3118" w:type="dxa"/>
          </w:tcPr>
          <w:p w14:paraId="4860D210" w14:textId="77777777" w:rsidR="00E46FEC" w:rsidRPr="00E46FEC" w:rsidRDefault="00E46FEC" w:rsidP="00E46FEC">
            <w:pPr>
              <w:spacing w:after="0" w:line="240" w:lineRule="auto"/>
              <w:jc w:val="left"/>
              <w:rPr>
                <w:rFonts w:ascii="Calibri" w:hAnsi="Calibri"/>
                <w:color w:val="auto"/>
              </w:rPr>
            </w:pPr>
            <w:r w:rsidRPr="00E46FEC">
              <w:rPr>
                <w:rFonts w:ascii="Calibri" w:hAnsi="Calibri"/>
                <w:color w:val="auto"/>
              </w:rPr>
              <w:t>Integrated Company Profit</w:t>
            </w:r>
          </w:p>
        </w:tc>
        <w:tc>
          <w:tcPr>
            <w:tcW w:w="5590" w:type="dxa"/>
            <w:vMerge/>
          </w:tcPr>
          <w:p w14:paraId="456791BE" w14:textId="77777777" w:rsidR="00E46FEC" w:rsidRPr="00E46FEC" w:rsidRDefault="00E46FEC" w:rsidP="00E46FEC">
            <w:pPr>
              <w:spacing w:after="0" w:line="240" w:lineRule="auto"/>
              <w:jc w:val="left"/>
              <w:rPr>
                <w:rFonts w:ascii="Calibri" w:hAnsi="Calibri"/>
                <w:color w:val="auto"/>
              </w:rPr>
            </w:pPr>
          </w:p>
        </w:tc>
      </w:tr>
      <w:tr w:rsidR="00E46FEC" w:rsidRPr="00E46FEC" w14:paraId="28F34282" w14:textId="77777777" w:rsidTr="00C026C1">
        <w:tc>
          <w:tcPr>
            <w:tcW w:w="426" w:type="dxa"/>
            <w:shd w:val="clear" w:color="auto" w:fill="FFC000"/>
          </w:tcPr>
          <w:p w14:paraId="410D9830" w14:textId="77777777" w:rsidR="00E46FEC" w:rsidRPr="00E46FEC" w:rsidRDefault="00E46FEC" w:rsidP="00E46FEC">
            <w:pPr>
              <w:spacing w:after="0" w:line="240" w:lineRule="auto"/>
              <w:jc w:val="left"/>
              <w:rPr>
                <w:rFonts w:ascii="Calibri" w:hAnsi="Calibri"/>
                <w:color w:val="auto"/>
              </w:rPr>
            </w:pPr>
          </w:p>
        </w:tc>
        <w:tc>
          <w:tcPr>
            <w:tcW w:w="3118" w:type="dxa"/>
          </w:tcPr>
          <w:p w14:paraId="419439C3" w14:textId="77777777" w:rsidR="00E46FEC" w:rsidRPr="00E46FEC" w:rsidRDefault="00E46FEC" w:rsidP="00E46FEC">
            <w:pPr>
              <w:spacing w:after="0" w:line="240" w:lineRule="auto"/>
              <w:jc w:val="left"/>
              <w:rPr>
                <w:rFonts w:ascii="Calibri" w:hAnsi="Calibri"/>
                <w:color w:val="auto"/>
              </w:rPr>
            </w:pPr>
            <w:r w:rsidRPr="00E46FEC">
              <w:rPr>
                <w:rFonts w:ascii="Calibri" w:hAnsi="Calibri"/>
                <w:color w:val="auto"/>
              </w:rPr>
              <w:t>Integrated Government Share</w:t>
            </w:r>
          </w:p>
        </w:tc>
        <w:tc>
          <w:tcPr>
            <w:tcW w:w="5590" w:type="dxa"/>
            <w:vMerge/>
          </w:tcPr>
          <w:p w14:paraId="6E78BCE3" w14:textId="77777777" w:rsidR="00E46FEC" w:rsidRPr="00E46FEC" w:rsidRDefault="00E46FEC" w:rsidP="00E46FEC">
            <w:pPr>
              <w:spacing w:after="0" w:line="240" w:lineRule="auto"/>
              <w:jc w:val="left"/>
              <w:rPr>
                <w:rFonts w:ascii="Calibri" w:hAnsi="Calibri"/>
                <w:color w:val="auto"/>
              </w:rPr>
            </w:pPr>
          </w:p>
        </w:tc>
      </w:tr>
      <w:tr w:rsidR="00E46FEC" w:rsidRPr="00E46FEC" w14:paraId="028EF691" w14:textId="77777777" w:rsidTr="00C026C1">
        <w:tc>
          <w:tcPr>
            <w:tcW w:w="426" w:type="dxa"/>
            <w:shd w:val="clear" w:color="auto" w:fill="00B0F0"/>
          </w:tcPr>
          <w:p w14:paraId="174B3A3D" w14:textId="77777777" w:rsidR="00E46FEC" w:rsidRPr="00E46FEC" w:rsidRDefault="00E46FEC" w:rsidP="00E46FEC">
            <w:pPr>
              <w:spacing w:after="0" w:line="240" w:lineRule="auto"/>
              <w:jc w:val="left"/>
              <w:rPr>
                <w:rFonts w:ascii="Calibri" w:hAnsi="Calibri"/>
                <w:color w:val="auto"/>
              </w:rPr>
            </w:pPr>
          </w:p>
        </w:tc>
        <w:tc>
          <w:tcPr>
            <w:tcW w:w="3118" w:type="dxa"/>
          </w:tcPr>
          <w:p w14:paraId="3C05F4CD" w14:textId="77777777" w:rsidR="00E46FEC" w:rsidRPr="00E46FEC" w:rsidRDefault="00E46FEC" w:rsidP="00E46FEC">
            <w:pPr>
              <w:spacing w:after="0" w:line="240" w:lineRule="auto"/>
              <w:jc w:val="left"/>
              <w:rPr>
                <w:rFonts w:ascii="Calibri" w:hAnsi="Calibri"/>
                <w:color w:val="auto"/>
              </w:rPr>
            </w:pPr>
            <w:r w:rsidRPr="00E46FEC">
              <w:rPr>
                <w:rFonts w:ascii="Calibri" w:hAnsi="Calibri"/>
                <w:color w:val="auto"/>
              </w:rPr>
              <w:t>Downstream Costs</w:t>
            </w:r>
          </w:p>
        </w:tc>
        <w:tc>
          <w:tcPr>
            <w:tcW w:w="5590" w:type="dxa"/>
            <w:vMerge/>
          </w:tcPr>
          <w:p w14:paraId="4B8D309E" w14:textId="77777777" w:rsidR="00E46FEC" w:rsidRPr="00E46FEC" w:rsidRDefault="00E46FEC" w:rsidP="00E46FEC">
            <w:pPr>
              <w:spacing w:after="0" w:line="240" w:lineRule="auto"/>
              <w:jc w:val="left"/>
              <w:rPr>
                <w:rFonts w:ascii="Calibri" w:hAnsi="Calibri"/>
                <w:color w:val="auto"/>
              </w:rPr>
            </w:pPr>
          </w:p>
        </w:tc>
      </w:tr>
      <w:tr w:rsidR="00E46FEC" w:rsidRPr="00E46FEC" w14:paraId="4270987A" w14:textId="77777777" w:rsidTr="00C026C1">
        <w:tc>
          <w:tcPr>
            <w:tcW w:w="426" w:type="dxa"/>
            <w:shd w:val="clear" w:color="auto" w:fill="0070C0"/>
          </w:tcPr>
          <w:p w14:paraId="4195D1FF" w14:textId="77777777" w:rsidR="00E46FEC" w:rsidRPr="00E46FEC" w:rsidRDefault="00E46FEC" w:rsidP="00E46FEC">
            <w:pPr>
              <w:spacing w:after="0" w:line="240" w:lineRule="auto"/>
              <w:jc w:val="left"/>
              <w:rPr>
                <w:rFonts w:ascii="Calibri" w:hAnsi="Calibri"/>
                <w:color w:val="auto"/>
              </w:rPr>
            </w:pPr>
          </w:p>
        </w:tc>
        <w:tc>
          <w:tcPr>
            <w:tcW w:w="3118" w:type="dxa"/>
          </w:tcPr>
          <w:p w14:paraId="2BA5FBC2" w14:textId="77777777" w:rsidR="00E46FEC" w:rsidRPr="00E46FEC" w:rsidRDefault="00E46FEC" w:rsidP="00E46FEC">
            <w:pPr>
              <w:spacing w:after="0" w:line="240" w:lineRule="auto"/>
              <w:jc w:val="left"/>
              <w:rPr>
                <w:rFonts w:ascii="Calibri" w:hAnsi="Calibri"/>
                <w:color w:val="auto"/>
              </w:rPr>
            </w:pPr>
            <w:r w:rsidRPr="00E46FEC">
              <w:rPr>
                <w:rFonts w:ascii="Calibri" w:hAnsi="Calibri"/>
                <w:color w:val="auto"/>
              </w:rPr>
              <w:t>Upstream Costs</w:t>
            </w:r>
          </w:p>
        </w:tc>
        <w:tc>
          <w:tcPr>
            <w:tcW w:w="5590" w:type="dxa"/>
            <w:vMerge/>
          </w:tcPr>
          <w:p w14:paraId="19B7FCF9" w14:textId="77777777" w:rsidR="00E46FEC" w:rsidRPr="00E46FEC" w:rsidRDefault="00E46FEC" w:rsidP="00E46FEC">
            <w:pPr>
              <w:spacing w:after="0" w:line="240" w:lineRule="auto"/>
              <w:jc w:val="left"/>
              <w:rPr>
                <w:rFonts w:ascii="Calibri" w:hAnsi="Calibri"/>
                <w:color w:val="auto"/>
              </w:rPr>
            </w:pPr>
          </w:p>
        </w:tc>
      </w:tr>
      <w:tr w:rsidR="00E46FEC" w:rsidRPr="00E46FEC" w14:paraId="7925C1C0" w14:textId="77777777" w:rsidTr="00C026C1">
        <w:trPr>
          <w:trHeight w:val="377"/>
        </w:trPr>
        <w:tc>
          <w:tcPr>
            <w:tcW w:w="426" w:type="dxa"/>
          </w:tcPr>
          <w:p w14:paraId="749646C0" w14:textId="77777777" w:rsidR="00E46FEC" w:rsidRPr="00E46FEC" w:rsidRDefault="00E46FEC" w:rsidP="00E46FEC">
            <w:pPr>
              <w:spacing w:after="0" w:line="240" w:lineRule="auto"/>
              <w:jc w:val="left"/>
              <w:rPr>
                <w:rFonts w:ascii="Calibri" w:hAnsi="Calibri"/>
                <w:color w:val="auto"/>
              </w:rPr>
            </w:pPr>
            <w:r w:rsidRPr="00E46FEC">
              <w:rPr>
                <w:rFonts w:ascii="Calibri" w:hAnsi="Calibri"/>
                <w:noProof/>
                <w:color w:val="auto"/>
              </w:rPr>
              <mc:AlternateContent>
                <mc:Choice Requires="wps">
                  <w:drawing>
                    <wp:anchor distT="0" distB="0" distL="114300" distR="114300" simplePos="0" relativeHeight="251658245" behindDoc="0" locked="0" layoutInCell="1" allowOverlap="1" wp14:anchorId="750B4CC3" wp14:editId="4D8CDDBC">
                      <wp:simplePos x="0" y="0"/>
                      <wp:positionH relativeFrom="column">
                        <wp:posOffset>0</wp:posOffset>
                      </wp:positionH>
                      <wp:positionV relativeFrom="paragraph">
                        <wp:posOffset>26035</wp:posOffset>
                      </wp:positionV>
                      <wp:extent cx="200025" cy="200025"/>
                      <wp:effectExtent l="0" t="0" r="28575" b="28575"/>
                      <wp:wrapNone/>
                      <wp:docPr id="17" name="Diamond 17"/>
                      <wp:cNvGraphicFramePr/>
                      <a:graphic xmlns:a="http://schemas.openxmlformats.org/drawingml/2006/main">
                        <a:graphicData uri="http://schemas.microsoft.com/office/word/2010/wordprocessingShape">
                          <wps:wsp>
                            <wps:cNvSpPr/>
                            <wps:spPr>
                              <a:xfrm>
                                <a:off x="0" y="0"/>
                                <a:ext cx="200025" cy="200025"/>
                              </a:xfrm>
                              <a:prstGeom prst="diamond">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17" o:spid="_x0000_s1026" type="#_x0000_t4" style="position:absolute;margin-left:0;margin-top:2.05pt;width:15.75pt;height:15.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" fillcolor="#c0504d" strokecolor="window" strokeweight="2pt"/>
                  </w:pict>
                </mc:Fallback>
              </mc:AlternateContent>
            </w:r>
          </w:p>
        </w:tc>
        <w:tc>
          <w:tcPr>
            <w:tcW w:w="3118" w:type="dxa"/>
          </w:tcPr>
          <w:p w14:paraId="44252A10" w14:textId="77777777" w:rsidR="00E46FEC" w:rsidRPr="00E46FEC" w:rsidRDefault="00E46FEC" w:rsidP="00E46FEC">
            <w:pPr>
              <w:spacing w:after="0" w:line="240" w:lineRule="auto"/>
              <w:jc w:val="left"/>
              <w:rPr>
                <w:rFonts w:ascii="Calibri" w:hAnsi="Calibri"/>
                <w:color w:val="auto"/>
              </w:rPr>
            </w:pPr>
            <w:r w:rsidRPr="00E46FEC">
              <w:rPr>
                <w:rFonts w:ascii="Calibri" w:hAnsi="Calibri"/>
                <w:color w:val="auto"/>
              </w:rPr>
              <w:t>Internal Rate of Return</w:t>
            </w:r>
          </w:p>
        </w:tc>
        <w:tc>
          <w:tcPr>
            <w:tcW w:w="5590" w:type="dxa"/>
            <w:vMerge/>
          </w:tcPr>
          <w:p w14:paraId="60CB7A75" w14:textId="77777777" w:rsidR="00E46FEC" w:rsidRPr="00E46FEC" w:rsidRDefault="00E46FEC" w:rsidP="00E46FEC">
            <w:pPr>
              <w:spacing w:after="0" w:line="240" w:lineRule="auto"/>
              <w:jc w:val="left"/>
              <w:rPr>
                <w:rFonts w:ascii="Calibri" w:hAnsi="Calibri"/>
                <w:color w:val="auto"/>
              </w:rPr>
            </w:pPr>
          </w:p>
        </w:tc>
      </w:tr>
      <w:tr w:rsidR="00E46FEC" w:rsidRPr="00E46FEC" w14:paraId="3B68F37C" w14:textId="77777777" w:rsidTr="00C026C1">
        <w:trPr>
          <w:trHeight w:val="1275"/>
        </w:trPr>
        <w:tc>
          <w:tcPr>
            <w:tcW w:w="426" w:type="dxa"/>
          </w:tcPr>
          <w:p w14:paraId="3886EE7E" w14:textId="77777777" w:rsidR="00E46FEC" w:rsidRPr="00E46FEC" w:rsidRDefault="00E46FEC" w:rsidP="00E46FEC">
            <w:pPr>
              <w:spacing w:after="0" w:line="240" w:lineRule="auto"/>
              <w:jc w:val="left"/>
              <w:rPr>
                <w:rFonts w:ascii="Calibri" w:hAnsi="Calibri"/>
                <w:color w:val="auto"/>
              </w:rPr>
            </w:pPr>
          </w:p>
        </w:tc>
        <w:tc>
          <w:tcPr>
            <w:tcW w:w="3118" w:type="dxa"/>
          </w:tcPr>
          <w:p w14:paraId="2B782879" w14:textId="77777777" w:rsidR="00E46FEC" w:rsidRPr="00E46FEC" w:rsidRDefault="00E46FEC" w:rsidP="00E46FEC">
            <w:pPr>
              <w:spacing w:after="0" w:line="240" w:lineRule="auto"/>
              <w:jc w:val="left"/>
              <w:rPr>
                <w:rFonts w:ascii="Calibri" w:hAnsi="Calibri"/>
                <w:color w:val="auto"/>
              </w:rPr>
            </w:pPr>
          </w:p>
        </w:tc>
        <w:tc>
          <w:tcPr>
            <w:tcW w:w="5590" w:type="dxa"/>
            <w:vMerge/>
          </w:tcPr>
          <w:p w14:paraId="3BB5757C" w14:textId="77777777" w:rsidR="00E46FEC" w:rsidRPr="00E46FEC" w:rsidRDefault="00E46FEC" w:rsidP="00E46FEC">
            <w:pPr>
              <w:spacing w:after="0" w:line="240" w:lineRule="auto"/>
              <w:jc w:val="left"/>
              <w:rPr>
                <w:rFonts w:ascii="Calibri" w:hAnsi="Calibri"/>
                <w:color w:val="auto"/>
              </w:rPr>
            </w:pPr>
          </w:p>
        </w:tc>
      </w:tr>
    </w:tbl>
    <w:p w14:paraId="45540395" w14:textId="3AB1C0AF" w:rsidR="00A30EFB" w:rsidRDefault="00A30EFB" w:rsidP="00C026C1">
      <w:pPr>
        <w:pStyle w:val="ChartorTableNote"/>
      </w:pPr>
      <w:r w:rsidRPr="00A30EFB">
        <w:t xml:space="preserve">Source: </w:t>
      </w:r>
      <w:r w:rsidR="001668BA">
        <w:t>APPEA Submission, Attachment 3</w:t>
      </w:r>
      <w:r w:rsidRPr="00A30EFB">
        <w:t>.</w:t>
      </w:r>
    </w:p>
    <w:p w14:paraId="3F9C195D" w14:textId="77777777" w:rsidR="00C026C1" w:rsidRPr="00C026C1" w:rsidRDefault="00C026C1" w:rsidP="00C026C1">
      <w:pPr>
        <w:pStyle w:val="SingleParagraph"/>
      </w:pPr>
    </w:p>
    <w:p w14:paraId="6371039F" w14:textId="03EC1608" w:rsidR="00AA7794" w:rsidRDefault="00CD2B05" w:rsidP="00697BC1">
      <w:r>
        <w:t xml:space="preserve">While aggregate sales revenue in </w:t>
      </w:r>
      <w:r w:rsidR="00AA7794">
        <w:t xml:space="preserve">company </w:t>
      </w:r>
      <w:r w:rsidR="00AA7794" w:rsidRPr="00CD2B05">
        <w:t>profit</w:t>
      </w:r>
      <w:r>
        <w:t>s is similar</w:t>
      </w:r>
      <w:r w:rsidR="00AA7794">
        <w:t xml:space="preserve"> for both projects, downstream and upstream costs are significantly higher in Gorgon, </w:t>
      </w:r>
      <w:r>
        <w:t>resulting in much lower profitability</w:t>
      </w:r>
      <w:r w:rsidR="00AA7794">
        <w:t xml:space="preserve"> for </w:t>
      </w:r>
      <w:r>
        <w:t xml:space="preserve">Gorgon and much </w:t>
      </w:r>
      <w:r w:rsidR="00AA7794">
        <w:t>reduce</w:t>
      </w:r>
      <w:r>
        <w:t>d</w:t>
      </w:r>
      <w:r w:rsidR="00AA7794">
        <w:t xml:space="preserve"> government tax</w:t>
      </w:r>
      <w:r>
        <w:t xml:space="preserve"> </w:t>
      </w:r>
      <w:r w:rsidR="00AA7794">
        <w:t>revenue. Wood</w:t>
      </w:r>
      <w:r w:rsidR="008A7481">
        <w:t xml:space="preserve"> Mack</w:t>
      </w:r>
      <w:r w:rsidR="00AA7794">
        <w:t>enzie state</w:t>
      </w:r>
      <w:r w:rsidR="006554DF">
        <w:t>s</w:t>
      </w:r>
      <w:r w:rsidR="00AA7794">
        <w:t xml:space="preserve">: </w:t>
      </w:r>
    </w:p>
    <w:p w14:paraId="01A4DF34" w14:textId="7CEA9AA0" w:rsidR="00AA7794" w:rsidRPr="002B6B01" w:rsidRDefault="00AA7794" w:rsidP="002B6B01">
      <w:pPr>
        <w:ind w:left="567" w:right="565"/>
        <w:rPr>
          <w:color w:val="1F497D" w:themeColor="text2"/>
          <w:sz w:val="20"/>
        </w:rPr>
      </w:pPr>
      <w:r w:rsidRPr="002B6B01">
        <w:rPr>
          <w:color w:val="1F497D" w:themeColor="text2"/>
          <w:sz w:val="20"/>
        </w:rPr>
        <w:t xml:space="preserve">Higher costs at a project like Gorgon reduce the profit, thus reducing the government taxes. However the profitability (as measured by IRR) is also low for the company—representing a borderline investment. In a project like Qatargas 4, the very low cost environment increases profitability for both the company (Qatar Petroleum) and the </w:t>
      </w:r>
      <w:r w:rsidR="00052D63">
        <w:rPr>
          <w:color w:val="1F497D" w:themeColor="text2"/>
          <w:sz w:val="20"/>
        </w:rPr>
        <w:t>government (</w:t>
      </w:r>
      <w:r w:rsidR="00065660" w:rsidRPr="00862CD7">
        <w:rPr>
          <w:color w:val="1F497D" w:themeColor="text2"/>
          <w:sz w:val="20"/>
        </w:rPr>
        <w:t xml:space="preserve">APPEA </w:t>
      </w:r>
      <w:r w:rsidR="00052D63" w:rsidRPr="00862CD7">
        <w:rPr>
          <w:color w:val="1F497D" w:themeColor="text2"/>
          <w:sz w:val="20"/>
        </w:rPr>
        <w:t>S</w:t>
      </w:r>
      <w:r w:rsidR="00065660" w:rsidRPr="00862CD7">
        <w:rPr>
          <w:color w:val="1F497D" w:themeColor="text2"/>
          <w:sz w:val="20"/>
        </w:rPr>
        <w:t>ubmission, Attachment 3</w:t>
      </w:r>
      <w:r w:rsidR="005D6F39">
        <w:rPr>
          <w:color w:val="1F497D" w:themeColor="text2"/>
          <w:sz w:val="20"/>
        </w:rPr>
        <w:t xml:space="preserve"> — </w:t>
      </w:r>
      <w:r w:rsidR="00065660" w:rsidRPr="00862CD7">
        <w:rPr>
          <w:color w:val="1F497D" w:themeColor="text2"/>
          <w:sz w:val="20"/>
        </w:rPr>
        <w:t>Wood</w:t>
      </w:r>
      <w:r w:rsidR="006554DF">
        <w:rPr>
          <w:color w:val="1F497D" w:themeColor="text2"/>
          <w:sz w:val="20"/>
        </w:rPr>
        <w:t xml:space="preserve"> </w:t>
      </w:r>
      <w:r w:rsidR="00065660" w:rsidRPr="00862CD7">
        <w:rPr>
          <w:color w:val="1F497D" w:themeColor="text2"/>
          <w:sz w:val="20"/>
        </w:rPr>
        <w:t xml:space="preserve">Mackenzie 2017 </w:t>
      </w:r>
      <w:r w:rsidR="005D6F39">
        <w:rPr>
          <w:color w:val="1F497D" w:themeColor="text2"/>
          <w:sz w:val="20"/>
        </w:rPr>
        <w:t>‘</w:t>
      </w:r>
      <w:r w:rsidR="00E501BA" w:rsidRPr="00862CD7">
        <w:rPr>
          <w:color w:val="1F497D" w:themeColor="text2"/>
          <w:sz w:val="20"/>
        </w:rPr>
        <w:t>Independent</w:t>
      </w:r>
      <w:r w:rsidR="00065660" w:rsidRPr="00862CD7">
        <w:rPr>
          <w:color w:val="1F497D" w:themeColor="text2"/>
          <w:sz w:val="20"/>
        </w:rPr>
        <w:t xml:space="preserve"> Report on the PRRT Review in Australia, p 15</w:t>
      </w:r>
      <w:r w:rsidR="00052D63" w:rsidRPr="00862CD7">
        <w:rPr>
          <w:color w:val="1F497D" w:themeColor="text2"/>
          <w:sz w:val="20"/>
        </w:rPr>
        <w:t>).</w:t>
      </w:r>
    </w:p>
    <w:p w14:paraId="2D138BB5" w14:textId="30483CF4" w:rsidR="00AA7794" w:rsidRDefault="008A7481" w:rsidP="002B6B01">
      <w:r>
        <w:t>Additionally,</w:t>
      </w:r>
      <w:r w:rsidR="00AA7794">
        <w:t xml:space="preserve"> Australia is </w:t>
      </w:r>
      <w:r w:rsidR="00E66031">
        <w:t>at</w:t>
      </w:r>
      <w:r w:rsidR="00AA7794">
        <w:t xml:space="preserve"> a different </w:t>
      </w:r>
      <w:r w:rsidR="00E66031">
        <w:t>point in the</w:t>
      </w:r>
      <w:r w:rsidR="00AA7794">
        <w:t xml:space="preserve"> investment and production cycle </w:t>
      </w:r>
      <w:r w:rsidR="00E66031">
        <w:t xml:space="preserve">compared </w:t>
      </w:r>
      <w:r w:rsidR="00AA7794">
        <w:t>to Qatar. Qatar has been the world</w:t>
      </w:r>
      <w:r w:rsidR="005D6F39">
        <w:t>’</w:t>
      </w:r>
      <w:r w:rsidR="00AA7794">
        <w:t>s largest LNG exporter since 2006. To reach this position, Qatar underwent a large investment phase in the mid</w:t>
      </w:r>
      <w:r w:rsidR="005D6F39">
        <w:noBreakHyphen/>
      </w:r>
      <w:r w:rsidR="00AA7794">
        <w:t xml:space="preserve">1990s resulting in a significant increase in gas production and LNG exports. Since 2012, gas production has plateaued with only incremental increases in capacity expected to 2030. As described in </w:t>
      </w:r>
      <w:r w:rsidR="00AA7794" w:rsidRPr="006D28D4">
        <w:t>section 1.2.2</w:t>
      </w:r>
      <w:r w:rsidR="00AA7794">
        <w:t>, Australia</w:t>
      </w:r>
      <w:r w:rsidR="005D6F39">
        <w:t>’</w:t>
      </w:r>
      <w:r w:rsidR="00E66031">
        <w:t xml:space="preserve">s large investment phase </w:t>
      </w:r>
      <w:r w:rsidR="00DE73B3">
        <w:t xml:space="preserve">has </w:t>
      </w:r>
      <w:r w:rsidR="00E66031">
        <w:t>occurred relatively recently</w:t>
      </w:r>
      <w:r w:rsidR="00AA7794">
        <w:t xml:space="preserve">. </w:t>
      </w:r>
    </w:p>
    <w:p w14:paraId="6DBEA617" w14:textId="2697F837" w:rsidR="00AA7794" w:rsidRDefault="008A7481" w:rsidP="00697BC1">
      <w:r>
        <w:t>With</w:t>
      </w:r>
      <w:r w:rsidR="00AA7794">
        <w:t xml:space="preserve"> PRRT collected after all expenditure is deducted, PRRT revenue </w:t>
      </w:r>
      <w:r>
        <w:t xml:space="preserve">collections </w:t>
      </w:r>
      <w:r w:rsidR="00E66031">
        <w:t xml:space="preserve">should not be expected </w:t>
      </w:r>
      <w:r w:rsidR="00AA7794">
        <w:t>to align with the ramp</w:t>
      </w:r>
      <w:r w:rsidR="005D6F39">
        <w:noBreakHyphen/>
      </w:r>
      <w:r w:rsidR="00AA7794">
        <w:t xml:space="preserve">up in LNG </w:t>
      </w:r>
      <w:r w:rsidR="00E66031">
        <w:t>production</w:t>
      </w:r>
      <w:r w:rsidR="00755941">
        <w:t xml:space="preserve">. </w:t>
      </w:r>
      <w:r w:rsidR="00DE73B3">
        <w:t>Instead</w:t>
      </w:r>
      <w:r>
        <w:t>,</w:t>
      </w:r>
      <w:r w:rsidR="00DE73B3">
        <w:t xml:space="preserve"> a delay</w:t>
      </w:r>
      <w:r>
        <w:t xml:space="preserve"> in timing is expected.</w:t>
      </w:r>
      <w:r w:rsidR="00DE73B3">
        <w:t xml:space="preserve"> T</w:t>
      </w:r>
      <w:r w:rsidR="00AA7794">
        <w:t xml:space="preserve">he time </w:t>
      </w:r>
      <w:r w:rsidR="00DE73B3">
        <w:t>it takes</w:t>
      </w:r>
      <w:r w:rsidR="00AA7794">
        <w:t xml:space="preserve"> a project </w:t>
      </w:r>
      <w:r w:rsidR="00DE73B3">
        <w:t xml:space="preserve">to </w:t>
      </w:r>
      <w:r w:rsidR="00AA7794">
        <w:t xml:space="preserve">pay PRRT will depend on </w:t>
      </w:r>
      <w:r w:rsidR="00DE73B3">
        <w:t xml:space="preserve">how soon the project becomes cash flow positive, reflecting the interaction of current </w:t>
      </w:r>
      <w:r w:rsidR="001E4F5B">
        <w:t xml:space="preserve">and past </w:t>
      </w:r>
      <w:r w:rsidR="00DE73B3">
        <w:t xml:space="preserve">expenditures </w:t>
      </w:r>
      <w:r w:rsidR="001E4F5B">
        <w:t>(</w:t>
      </w:r>
      <w:r w:rsidR="00DE73B3">
        <w:t xml:space="preserve">and </w:t>
      </w:r>
      <w:r w:rsidR="001E4F5B">
        <w:t>associated uplifts)</w:t>
      </w:r>
      <w:r w:rsidR="00DE73B3">
        <w:t xml:space="preserve"> and </w:t>
      </w:r>
      <w:r w:rsidR="001E4F5B">
        <w:t>assessable receipts</w:t>
      </w:r>
      <w:r w:rsidR="00DE73B3">
        <w:t>.</w:t>
      </w:r>
      <w:r w:rsidR="00AA7794">
        <w:t xml:space="preserve"> </w:t>
      </w:r>
      <w:r w:rsidR="00AA7794" w:rsidRPr="006D28D4">
        <w:t xml:space="preserve">Section </w:t>
      </w:r>
      <w:r w:rsidR="00654E62" w:rsidRPr="006D28D4">
        <w:t>3.</w:t>
      </w:r>
      <w:r w:rsidR="001E4F5B" w:rsidRPr="006D28D4">
        <w:t>1</w:t>
      </w:r>
      <w:r w:rsidR="00AA7794">
        <w:t xml:space="preserve"> describes how the PRRT operates and </w:t>
      </w:r>
      <w:r w:rsidR="00BE7773">
        <w:t>the modelling in</w:t>
      </w:r>
      <w:r w:rsidR="00AA7794">
        <w:t xml:space="preserve"> </w:t>
      </w:r>
      <w:r w:rsidR="00AA7794" w:rsidRPr="006D28D4">
        <w:t xml:space="preserve">section </w:t>
      </w:r>
      <w:r w:rsidR="001E4F5B" w:rsidRPr="006D28D4">
        <w:t>2.3.</w:t>
      </w:r>
      <w:r w:rsidR="00276D98" w:rsidRPr="006D28D4">
        <w:t>4</w:t>
      </w:r>
      <w:r w:rsidR="00AA7794">
        <w:t xml:space="preserve"> </w:t>
      </w:r>
      <w:r w:rsidR="001E4F5B">
        <w:t>shows the effects of some key influences</w:t>
      </w:r>
      <w:r w:rsidR="00AA7794">
        <w:t xml:space="preserve"> </w:t>
      </w:r>
      <w:r w:rsidR="001E4F5B">
        <w:t>on</w:t>
      </w:r>
      <w:r w:rsidR="00AA7794">
        <w:t xml:space="preserve"> the </w:t>
      </w:r>
      <w:r w:rsidR="001E4F5B">
        <w:t>timing of</w:t>
      </w:r>
      <w:r w:rsidR="00AA7794">
        <w:t xml:space="preserve"> PRRT</w:t>
      </w:r>
      <w:r w:rsidR="001E4F5B">
        <w:t xml:space="preserve"> payments by Australian oil and gas projects</w:t>
      </w:r>
      <w:r w:rsidR="00AA7794">
        <w:t>.</w:t>
      </w:r>
      <w:r w:rsidR="002B6B01">
        <w:t xml:space="preserve"> </w:t>
      </w:r>
    </w:p>
    <w:p w14:paraId="3FC21A9F" w14:textId="77777777" w:rsidR="002B6B01" w:rsidRDefault="002B6B01">
      <w:pPr>
        <w:spacing w:after="0" w:line="240" w:lineRule="auto"/>
        <w:jc w:val="left"/>
      </w:pPr>
      <w:r>
        <w:br w:type="page"/>
      </w:r>
    </w:p>
    <w:p w14:paraId="45F6AA9B" w14:textId="19DF18F6" w:rsidR="006A1DBA" w:rsidRPr="006A1DBA" w:rsidRDefault="002B6B01" w:rsidP="006A1DBA">
      <w:pPr>
        <w:pStyle w:val="Heading1"/>
      </w:pPr>
      <w:bookmarkStart w:id="4725" w:name="_Toc476577335"/>
      <w:bookmarkStart w:id="4726" w:name="_Toc476582324"/>
      <w:bookmarkStart w:id="4727" w:name="_Toc476582998"/>
      <w:bookmarkStart w:id="4728" w:name="_Toc476583715"/>
      <w:bookmarkStart w:id="4729" w:name="_Toc476584163"/>
      <w:bookmarkStart w:id="4730" w:name="_Toc476738069"/>
      <w:bookmarkStart w:id="4731" w:name="_Toc476747644"/>
      <w:bookmarkStart w:id="4732" w:name="_Toc476749054"/>
      <w:bookmarkStart w:id="4733" w:name="_Toc476753920"/>
      <w:bookmarkStart w:id="4734" w:name="_Toc476754415"/>
      <w:bookmarkStart w:id="4735" w:name="_Toc476754580"/>
      <w:bookmarkStart w:id="4736" w:name="_Toc476759816"/>
      <w:bookmarkStart w:id="4737" w:name="_Toc476761438"/>
      <w:bookmarkStart w:id="4738" w:name="_Toc476767076"/>
      <w:bookmarkStart w:id="4739" w:name="_Toc476827122"/>
      <w:bookmarkStart w:id="4740" w:name="_Toc476828815"/>
      <w:bookmarkStart w:id="4741" w:name="_Toc476833689"/>
      <w:bookmarkStart w:id="4742" w:name="_Toc476837162"/>
      <w:bookmarkStart w:id="4743" w:name="_Toc476841035"/>
      <w:bookmarkStart w:id="4744" w:name="_Toc476841240"/>
      <w:bookmarkStart w:id="4745" w:name="_Toc476841999"/>
      <w:bookmarkStart w:id="4746" w:name="_Toc476842943"/>
      <w:bookmarkStart w:id="4747" w:name="_Toc476843114"/>
      <w:bookmarkStart w:id="4748" w:name="_Toc476844612"/>
      <w:bookmarkStart w:id="4749" w:name="_Toc476845505"/>
      <w:bookmarkStart w:id="4750" w:name="_Toc476926897"/>
      <w:bookmarkStart w:id="4751" w:name="_Toc476926836"/>
      <w:bookmarkStart w:id="4752" w:name="_Toc476927184"/>
      <w:bookmarkStart w:id="4753" w:name="_Toc476928448"/>
      <w:bookmarkStart w:id="4754" w:name="_Toc476929491"/>
      <w:bookmarkStart w:id="4755" w:name="_Toc476929666"/>
      <w:bookmarkStart w:id="4756" w:name="_Toc476930709"/>
      <w:bookmarkStart w:id="4757" w:name="_Toc476931516"/>
      <w:bookmarkStart w:id="4758" w:name="_Toc477869883"/>
      <w:bookmarkStart w:id="4759" w:name="_Toc477871122"/>
      <w:bookmarkStart w:id="4760" w:name="_Toc477873281"/>
      <w:bookmarkStart w:id="4761" w:name="_Toc477875275"/>
      <w:bookmarkStart w:id="4762" w:name="_Toc477880188"/>
      <w:bookmarkStart w:id="4763" w:name="_Toc477881448"/>
      <w:bookmarkStart w:id="4764" w:name="_Toc477955852"/>
      <w:bookmarkStart w:id="4765" w:name="_Toc477963097"/>
      <w:bookmarkStart w:id="4766" w:name="_Toc477963583"/>
      <w:bookmarkStart w:id="4767" w:name="_Toc477965169"/>
      <w:bookmarkStart w:id="4768" w:name="_Toc477966673"/>
      <w:bookmarkStart w:id="4769" w:name="_Toc477966842"/>
      <w:bookmarkStart w:id="4770" w:name="_Toc477967182"/>
      <w:bookmarkStart w:id="4771" w:name="_Toc478121319"/>
      <w:bookmarkStart w:id="4772" w:name="_Toc478122232"/>
      <w:bookmarkStart w:id="4773" w:name="_Toc478132206"/>
      <w:bookmarkStart w:id="4774" w:name="_Toc478133232"/>
      <w:bookmarkStart w:id="4775" w:name="_Toc478132369"/>
      <w:bookmarkStart w:id="4776" w:name="_Toc478134698"/>
      <w:bookmarkStart w:id="4777" w:name="_Toc478137400"/>
      <w:bookmarkStart w:id="4778" w:name="_Toc478138472"/>
      <w:bookmarkStart w:id="4779" w:name="_Toc478140042"/>
      <w:bookmarkStart w:id="4780" w:name="_Toc478140458"/>
      <w:bookmarkStart w:id="4781" w:name="_Toc478142664"/>
      <w:bookmarkStart w:id="4782" w:name="_Toc478566380"/>
      <w:bookmarkStart w:id="4783" w:name="_Toc478569547"/>
      <w:bookmarkStart w:id="4784" w:name="_Toc478569721"/>
      <w:bookmarkStart w:id="4785" w:name="_Toc478570795"/>
      <w:bookmarkStart w:id="4786" w:name="_Toc478632994"/>
      <w:bookmarkStart w:id="4787" w:name="_Toc478641402"/>
      <w:bookmarkStart w:id="4788" w:name="_Toc478654296"/>
      <w:bookmarkStart w:id="4789" w:name="_Toc478654470"/>
      <w:bookmarkStart w:id="4790" w:name="_Toc478657765"/>
      <w:bookmarkStart w:id="4791" w:name="_Toc478993186"/>
      <w:bookmarkStart w:id="4792" w:name="_Toc479000257"/>
      <w:bookmarkStart w:id="4793" w:name="_Toc479002191"/>
      <w:bookmarkStart w:id="4794" w:name="_Toc479002363"/>
      <w:bookmarkStart w:id="4795" w:name="_Toc479254338"/>
      <w:bookmarkStart w:id="4796" w:name="_Toc479258527"/>
      <w:bookmarkStart w:id="4797" w:name="_Toc479258843"/>
      <w:bookmarkStart w:id="4798" w:name="_Toc479259735"/>
      <w:bookmarkStart w:id="4799" w:name="_Toc479262158"/>
      <w:bookmarkStart w:id="4800" w:name="_Toc479262579"/>
      <w:bookmarkStart w:id="4801" w:name="_Toc479321280"/>
      <w:bookmarkStart w:id="4802" w:name="_Toc479326719"/>
      <w:bookmarkStart w:id="4803" w:name="_Toc479333318"/>
      <w:bookmarkStart w:id="4804" w:name="_Toc479335015"/>
      <w:bookmarkStart w:id="4805" w:name="_Toc479341730"/>
      <w:bookmarkStart w:id="4806" w:name="_Toc479345146"/>
      <w:bookmarkStart w:id="4807" w:name="_Toc479345355"/>
      <w:bookmarkStart w:id="4808" w:name="_Toc479348336"/>
      <w:bookmarkStart w:id="4809" w:name="_Toc479675930"/>
      <w:bookmarkStart w:id="4810" w:name="_Toc479690897"/>
      <w:bookmarkStart w:id="4811" w:name="_Toc479693475"/>
      <w:bookmarkStart w:id="4812" w:name="_Toc479770644"/>
      <w:r>
        <w:t>3.</w:t>
      </w:r>
      <w:r>
        <w:tab/>
        <w:t>The Petroleum Resource Rent Tax</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14:paraId="22FBC584" w14:textId="05AD31E1" w:rsidR="00AA7794" w:rsidRPr="008C60EC" w:rsidRDefault="002B6B01" w:rsidP="002B6B01">
      <w:pPr>
        <w:pStyle w:val="Heading2"/>
      </w:pPr>
      <w:bookmarkStart w:id="4813" w:name="_Toc476577336"/>
      <w:bookmarkStart w:id="4814" w:name="_Toc476582325"/>
      <w:bookmarkStart w:id="4815" w:name="_Toc476582999"/>
      <w:bookmarkStart w:id="4816" w:name="_Toc476583716"/>
      <w:bookmarkStart w:id="4817" w:name="_Toc476584164"/>
      <w:bookmarkStart w:id="4818" w:name="_Toc476738070"/>
      <w:bookmarkStart w:id="4819" w:name="_Toc476747645"/>
      <w:bookmarkStart w:id="4820" w:name="_Toc476749055"/>
      <w:bookmarkStart w:id="4821" w:name="_Toc476759817"/>
      <w:bookmarkStart w:id="4822" w:name="_Toc476761439"/>
      <w:bookmarkStart w:id="4823" w:name="_Toc476767077"/>
      <w:bookmarkStart w:id="4824" w:name="_Toc476827123"/>
      <w:bookmarkStart w:id="4825" w:name="_Toc476828816"/>
      <w:bookmarkStart w:id="4826" w:name="_Toc476833690"/>
      <w:bookmarkStart w:id="4827" w:name="_Toc476837163"/>
      <w:bookmarkStart w:id="4828" w:name="_Toc476841036"/>
      <w:bookmarkStart w:id="4829" w:name="_Toc476841241"/>
      <w:bookmarkStart w:id="4830" w:name="_Toc476842000"/>
      <w:bookmarkStart w:id="4831" w:name="_Toc476842944"/>
      <w:bookmarkStart w:id="4832" w:name="_Toc476843115"/>
      <w:bookmarkStart w:id="4833" w:name="_Toc476844613"/>
      <w:bookmarkStart w:id="4834" w:name="_Toc476845506"/>
      <w:bookmarkStart w:id="4835" w:name="_Toc476926898"/>
      <w:bookmarkStart w:id="4836" w:name="_Toc476926837"/>
      <w:bookmarkStart w:id="4837" w:name="_Toc476927185"/>
      <w:bookmarkStart w:id="4838" w:name="_Toc476928449"/>
      <w:bookmarkStart w:id="4839" w:name="_Toc476929492"/>
      <w:bookmarkStart w:id="4840" w:name="_Toc476929667"/>
      <w:bookmarkStart w:id="4841" w:name="_Toc476930710"/>
      <w:bookmarkStart w:id="4842" w:name="_Toc476931517"/>
      <w:bookmarkStart w:id="4843" w:name="_Toc477869884"/>
      <w:bookmarkStart w:id="4844" w:name="_Toc477871123"/>
      <w:bookmarkStart w:id="4845" w:name="_Toc477873282"/>
      <w:bookmarkStart w:id="4846" w:name="_Toc477875276"/>
      <w:bookmarkStart w:id="4847" w:name="_Toc477880189"/>
      <w:bookmarkStart w:id="4848" w:name="_Toc477881449"/>
      <w:bookmarkStart w:id="4849" w:name="_Toc477955853"/>
      <w:bookmarkStart w:id="4850" w:name="_Toc477963098"/>
      <w:bookmarkStart w:id="4851" w:name="_Toc477963584"/>
      <w:bookmarkStart w:id="4852" w:name="_Toc477965170"/>
      <w:bookmarkStart w:id="4853" w:name="_Toc477966674"/>
      <w:bookmarkStart w:id="4854" w:name="_Toc477966843"/>
      <w:bookmarkStart w:id="4855" w:name="_Toc477967183"/>
      <w:bookmarkStart w:id="4856" w:name="_Toc478121320"/>
      <w:bookmarkStart w:id="4857" w:name="_Toc478122233"/>
      <w:bookmarkStart w:id="4858" w:name="_Toc478132207"/>
      <w:bookmarkStart w:id="4859" w:name="_Toc478133233"/>
      <w:bookmarkStart w:id="4860" w:name="_Toc478132370"/>
      <w:bookmarkStart w:id="4861" w:name="_Toc478134699"/>
      <w:bookmarkStart w:id="4862" w:name="_Toc478137401"/>
      <w:bookmarkStart w:id="4863" w:name="_Toc478138473"/>
      <w:bookmarkStart w:id="4864" w:name="_Toc478140043"/>
      <w:bookmarkStart w:id="4865" w:name="_Toc478140459"/>
      <w:bookmarkStart w:id="4866" w:name="_Toc478142665"/>
      <w:bookmarkStart w:id="4867" w:name="_Toc478566381"/>
      <w:bookmarkStart w:id="4868" w:name="_Toc478569548"/>
      <w:bookmarkStart w:id="4869" w:name="_Toc478569722"/>
      <w:bookmarkStart w:id="4870" w:name="_Toc478570796"/>
      <w:bookmarkStart w:id="4871" w:name="_Toc478632995"/>
      <w:bookmarkStart w:id="4872" w:name="_Toc478641403"/>
      <w:bookmarkStart w:id="4873" w:name="_Toc478654297"/>
      <w:bookmarkStart w:id="4874" w:name="_Toc478654471"/>
      <w:bookmarkStart w:id="4875" w:name="_Toc478657766"/>
      <w:bookmarkStart w:id="4876" w:name="_Toc478993187"/>
      <w:bookmarkStart w:id="4877" w:name="_Toc479000258"/>
      <w:bookmarkStart w:id="4878" w:name="_Toc479002192"/>
      <w:bookmarkStart w:id="4879" w:name="_Toc479002364"/>
      <w:bookmarkStart w:id="4880" w:name="_Toc479254339"/>
      <w:bookmarkStart w:id="4881" w:name="_Toc479258528"/>
      <w:bookmarkStart w:id="4882" w:name="_Toc479258844"/>
      <w:bookmarkStart w:id="4883" w:name="_Toc479259736"/>
      <w:bookmarkStart w:id="4884" w:name="_Toc479262159"/>
      <w:bookmarkStart w:id="4885" w:name="_Toc479262580"/>
      <w:bookmarkStart w:id="4886" w:name="_Toc479321281"/>
      <w:bookmarkStart w:id="4887" w:name="_Toc479326720"/>
      <w:bookmarkStart w:id="4888" w:name="_Toc479333319"/>
      <w:bookmarkStart w:id="4889" w:name="_Toc479335016"/>
      <w:bookmarkStart w:id="4890" w:name="_Toc479341731"/>
      <w:bookmarkStart w:id="4891" w:name="_Toc479345147"/>
      <w:bookmarkStart w:id="4892" w:name="_Toc479345356"/>
      <w:bookmarkStart w:id="4893" w:name="_Toc479348337"/>
      <w:bookmarkStart w:id="4894" w:name="_Toc479675931"/>
      <w:bookmarkStart w:id="4895" w:name="_Toc479690898"/>
      <w:bookmarkStart w:id="4896" w:name="_Toc479693476"/>
      <w:bookmarkStart w:id="4897" w:name="_Toc479770645"/>
      <w:bookmarkStart w:id="4898" w:name="_Toc476753921"/>
      <w:bookmarkStart w:id="4899" w:name="_Toc476754416"/>
      <w:bookmarkStart w:id="4900" w:name="_Toc476754581"/>
      <w:r>
        <w:t>3.1</w:t>
      </w:r>
      <w:r>
        <w:tab/>
        <w:t xml:space="preserve">Overview </w:t>
      </w:r>
      <w:r w:rsidR="003C1E3F">
        <w:t>o</w:t>
      </w:r>
      <w:r w:rsidR="00486B7A" w:rsidRPr="00486B7A">
        <w:t xml:space="preserve">f </w:t>
      </w:r>
      <w:r w:rsidR="003C1E3F">
        <w:t>t</w:t>
      </w:r>
      <w:r w:rsidR="00486B7A" w:rsidRPr="00486B7A">
        <w:t>he</w:t>
      </w:r>
      <w:r>
        <w:t xml:space="preserve"> PRRT</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bookmarkEnd w:id="4898"/>
    <w:bookmarkEnd w:id="4899"/>
    <w:bookmarkEnd w:id="4900"/>
    <w:p w14:paraId="68C2D51C" w14:textId="471B353D" w:rsidR="006A1DBA" w:rsidRDefault="006A1DBA" w:rsidP="006A1DBA">
      <w:r w:rsidRPr="006A1DBA">
        <w:t xml:space="preserve">The PRRT was </w:t>
      </w:r>
      <w:r w:rsidR="00594E39">
        <w:t>enacted</w:t>
      </w:r>
      <w:r w:rsidRPr="006A1DBA">
        <w:t xml:space="preserve"> in 198</w:t>
      </w:r>
      <w:r w:rsidR="008703B7">
        <w:t>8</w:t>
      </w:r>
      <w:r w:rsidRPr="006A1DBA">
        <w:t xml:space="preserve"> to apply to offshore greenfield petroleum projects. As </w:t>
      </w:r>
      <w:r w:rsidR="00243FA7">
        <w:t>explained</w:t>
      </w:r>
      <w:r w:rsidRPr="006A1DBA">
        <w:t xml:space="preserve"> in </w:t>
      </w:r>
      <w:r w:rsidR="004D5D6F" w:rsidRPr="006D28D4">
        <w:t>s</w:t>
      </w:r>
      <w:r w:rsidRPr="006D28D4">
        <w:t>ection 3.</w:t>
      </w:r>
      <w:r w:rsidR="00243FA7" w:rsidRPr="006D28D4">
        <w:t>2</w:t>
      </w:r>
      <w:r w:rsidRPr="006D28D4">
        <w:t>.1</w:t>
      </w:r>
      <w:r w:rsidRPr="006A1DBA">
        <w:t xml:space="preserve">, the existing Bass Strait and </w:t>
      </w:r>
      <w:r w:rsidR="003C4529">
        <w:t>NWS</w:t>
      </w:r>
      <w:r w:rsidRPr="006A1DBA">
        <w:t xml:space="preserve"> </w:t>
      </w:r>
      <w:r w:rsidR="007333F7" w:rsidRPr="006A1DBA">
        <w:t xml:space="preserve">offshore projects </w:t>
      </w:r>
      <w:r w:rsidRPr="006A1DBA">
        <w:t xml:space="preserve">continued </w:t>
      </w:r>
      <w:r w:rsidR="00630E40">
        <w:t>to be subject to</w:t>
      </w:r>
      <w:r w:rsidRPr="006A1DBA">
        <w:t xml:space="preserve"> excise and royalty arrangements and were </w:t>
      </w:r>
      <w:r w:rsidR="00630E40">
        <w:t xml:space="preserve">initially </w:t>
      </w:r>
      <w:r w:rsidRPr="006A1DBA">
        <w:t>exempt</w:t>
      </w:r>
      <w:r w:rsidR="00630E40">
        <w:t>ed</w:t>
      </w:r>
      <w:r w:rsidRPr="006A1DBA">
        <w:t xml:space="preserve"> from the PRRT</w:t>
      </w:r>
      <w:r w:rsidR="003C4529">
        <w:t>.</w:t>
      </w:r>
      <w:r w:rsidRPr="006A1DBA">
        <w:rPr>
          <w:vertAlign w:val="superscript"/>
        </w:rPr>
        <w:footnoteReference w:id="16"/>
      </w:r>
    </w:p>
    <w:p w14:paraId="07BA14AA" w14:textId="72939174" w:rsidR="006A1DBA" w:rsidRDefault="006A1DBA" w:rsidP="006A1DBA">
      <w:r w:rsidRPr="006A1DBA">
        <w:t>The PRRT was introduced because of deficiencies with the excise and royalty regimes</w:t>
      </w:r>
      <w:r>
        <w:t xml:space="preserve"> which were </w:t>
      </w:r>
      <w:r w:rsidRPr="006A1DBA">
        <w:t>seen to distort investment and production decisions, impacting overall productivity and long term growth. When introduced the then Government noted</w:t>
      </w:r>
      <w:r w:rsidR="00175163">
        <w:t>:</w:t>
      </w:r>
    </w:p>
    <w:p w14:paraId="18A8EE46" w14:textId="2F6C3969" w:rsidR="006A1DBA" w:rsidRPr="006A1DBA" w:rsidRDefault="00C026C1" w:rsidP="006A1DBA">
      <w:pPr>
        <w:ind w:left="567" w:right="565"/>
        <w:rPr>
          <w:color w:val="1F497D" w:themeColor="text2"/>
          <w:sz w:val="20"/>
        </w:rPr>
      </w:pPr>
      <w:r>
        <w:rPr>
          <w:color w:val="1F497D" w:themeColor="text2"/>
          <w:sz w:val="20"/>
        </w:rPr>
        <w:t>‘</w:t>
      </w:r>
      <w:r w:rsidR="006A1DBA" w:rsidRPr="006A1DBA">
        <w:rPr>
          <w:color w:val="1F497D" w:themeColor="text2"/>
          <w:sz w:val="20"/>
        </w:rPr>
        <w:t xml:space="preserve">The Government believes that a resource rent tax related to achieved profits is a more efficient and equitable secondary taxation regime </w:t>
      </w:r>
      <w:r w:rsidR="003C4529">
        <w:rPr>
          <w:color w:val="1F497D" w:themeColor="text2"/>
          <w:sz w:val="20"/>
        </w:rPr>
        <w:t>than</w:t>
      </w:r>
      <w:r w:rsidR="006A1DBA" w:rsidRPr="006A1DBA">
        <w:rPr>
          <w:color w:val="1F497D" w:themeColor="text2"/>
          <w:sz w:val="20"/>
        </w:rPr>
        <w:t xml:space="preserve"> the excise and royalty system that it is to replace</w:t>
      </w:r>
      <w:r>
        <w:rPr>
          <w:color w:val="1F497D" w:themeColor="text2"/>
          <w:sz w:val="20"/>
        </w:rPr>
        <w:t>’</w:t>
      </w:r>
      <w:r w:rsidR="00862CD7">
        <w:rPr>
          <w:color w:val="1F497D" w:themeColor="text2"/>
          <w:sz w:val="20"/>
        </w:rPr>
        <w:t xml:space="preserve">. </w:t>
      </w:r>
      <w:r w:rsidR="006A1DBA">
        <w:rPr>
          <w:color w:val="1F497D" w:themeColor="text2"/>
          <w:sz w:val="20"/>
        </w:rPr>
        <w:t>The Hon John Kerin MP</w:t>
      </w:r>
      <w:r w:rsidR="00862CD7">
        <w:rPr>
          <w:color w:val="1F497D" w:themeColor="text2"/>
          <w:sz w:val="20"/>
        </w:rPr>
        <w:t xml:space="preserve"> (Parliament of Australia,</w:t>
      </w:r>
      <w:r w:rsidR="006A1DBA" w:rsidRPr="00862CD7">
        <w:rPr>
          <w:color w:val="1F497D" w:themeColor="text2"/>
          <w:sz w:val="20"/>
        </w:rPr>
        <w:t xml:space="preserve"> 1987, p. 1215)</w:t>
      </w:r>
      <w:r w:rsidR="00F43CD0" w:rsidRPr="00862CD7">
        <w:rPr>
          <w:color w:val="1F497D" w:themeColor="text2"/>
          <w:sz w:val="20"/>
        </w:rPr>
        <w:t>.</w:t>
      </w:r>
    </w:p>
    <w:p w14:paraId="23C9A21D" w14:textId="18C672B1" w:rsidR="006A1DBA" w:rsidRPr="006A1DBA" w:rsidRDefault="00642EA7" w:rsidP="006A1DBA">
      <w:r>
        <w:t>T</w:t>
      </w:r>
      <w:r w:rsidR="004D0C56">
        <w:t xml:space="preserve">he </w:t>
      </w:r>
      <w:r w:rsidR="005A3103">
        <w:t xml:space="preserve">change to the </w:t>
      </w:r>
      <w:r w:rsidR="006A1DBA" w:rsidRPr="006A1DBA">
        <w:t xml:space="preserve">PRRT </w:t>
      </w:r>
      <w:r w:rsidR="005A3103">
        <w:t xml:space="preserve">from excises and royalties was expected to </w:t>
      </w:r>
      <w:r w:rsidR="006A1DBA" w:rsidRPr="006A1DBA">
        <w:t>result in more revenue being raised from profitable projects, with less (and potentially no) revenue from marginal projects. This was seen as striking a better balance between providing a return to the community for the exploitation of high value non</w:t>
      </w:r>
      <w:r w:rsidR="005D6F39">
        <w:noBreakHyphen/>
      </w:r>
      <w:r w:rsidR="006A1DBA" w:rsidRPr="006A1DBA">
        <w:t>renewable resources and providing industry with adequate returns on exploration and development, including more marginal projects:</w:t>
      </w:r>
    </w:p>
    <w:p w14:paraId="095CEC3C" w14:textId="308A2A8B" w:rsidR="006A1DBA" w:rsidRPr="006A1DBA" w:rsidRDefault="00C026C1" w:rsidP="006A1DBA">
      <w:pPr>
        <w:ind w:left="567" w:right="565"/>
        <w:rPr>
          <w:color w:val="1F497D" w:themeColor="text2"/>
          <w:sz w:val="20"/>
        </w:rPr>
      </w:pPr>
      <w:r>
        <w:rPr>
          <w:color w:val="1F497D" w:themeColor="text2"/>
          <w:sz w:val="20"/>
        </w:rPr>
        <w:t>‘</w:t>
      </w:r>
      <w:r w:rsidR="006A1DBA" w:rsidRPr="006A1DBA">
        <w:rPr>
          <w:color w:val="1F497D" w:themeColor="text2"/>
          <w:sz w:val="20"/>
        </w:rPr>
        <w:t>Petroleum resources are, in their most basic sense, community property and the Government believes that the community as a whole should share in the potentially high returns from the exploitation of these scarce, non</w:t>
      </w:r>
      <w:r w:rsidR="005D6F39">
        <w:rPr>
          <w:color w:val="1F497D" w:themeColor="text2"/>
          <w:sz w:val="20"/>
        </w:rPr>
        <w:noBreakHyphen/>
      </w:r>
      <w:r w:rsidR="006A1DBA" w:rsidRPr="006A1DBA">
        <w:rPr>
          <w:color w:val="1F497D" w:themeColor="text2"/>
          <w:sz w:val="20"/>
        </w:rPr>
        <w:t>renewable resources. At the same time it is recognised that participants in petroleum projects who do not earn high profits in relation to the amount invested and the risk involved, particularly when oil prices decline, should be able to operate secure in the knowledge that excise and royalties which are based on production will not apply</w:t>
      </w:r>
      <w:r>
        <w:rPr>
          <w:color w:val="1F497D" w:themeColor="text2"/>
          <w:sz w:val="20"/>
        </w:rPr>
        <w:t>’</w:t>
      </w:r>
      <w:r w:rsidR="00862CD7">
        <w:rPr>
          <w:color w:val="1F497D" w:themeColor="text2"/>
          <w:sz w:val="20"/>
        </w:rPr>
        <w:t xml:space="preserve">. </w:t>
      </w:r>
      <w:r w:rsidR="006A1DBA">
        <w:rPr>
          <w:color w:val="1F497D" w:themeColor="text2"/>
          <w:sz w:val="20"/>
        </w:rPr>
        <w:t>The Hon John Kerin MP</w:t>
      </w:r>
      <w:r w:rsidR="00862CD7">
        <w:rPr>
          <w:color w:val="1F497D" w:themeColor="text2"/>
          <w:sz w:val="20"/>
        </w:rPr>
        <w:t xml:space="preserve"> (Parliament of Australia,</w:t>
      </w:r>
      <w:r w:rsidR="006A1DBA" w:rsidRPr="00862CD7">
        <w:rPr>
          <w:color w:val="1F497D" w:themeColor="text2"/>
          <w:sz w:val="20"/>
        </w:rPr>
        <w:t xml:space="preserve"> 1987, p. 1215)</w:t>
      </w:r>
      <w:r w:rsidR="00F43CD0" w:rsidRPr="00862CD7">
        <w:rPr>
          <w:color w:val="1F497D" w:themeColor="text2"/>
          <w:sz w:val="20"/>
        </w:rPr>
        <w:t>.</w:t>
      </w:r>
    </w:p>
    <w:p w14:paraId="4DAB6097" w14:textId="03588A24" w:rsidR="00A577C2" w:rsidRPr="00B61B95" w:rsidRDefault="00A577C2" w:rsidP="00A577C2">
      <w:r w:rsidRPr="00B61B95">
        <w:t>The PRRT is a profit</w:t>
      </w:r>
      <w:r w:rsidR="005D6F39">
        <w:noBreakHyphen/>
      </w:r>
      <w:r w:rsidRPr="00B61B95">
        <w:t xml:space="preserve">based tax </w:t>
      </w:r>
      <w:r w:rsidR="00E50FFF">
        <w:t>designed to avoid the practical disadvantages of cash flow taxation (</w:t>
      </w:r>
      <w:r w:rsidR="004D5D6F" w:rsidRPr="006D28D4">
        <w:t>s</w:t>
      </w:r>
      <w:r w:rsidR="00E50FFF" w:rsidRPr="006D28D4">
        <w:t>ection 2.1.1</w:t>
      </w:r>
      <w:r w:rsidR="00E50FFF">
        <w:t>)</w:t>
      </w:r>
      <w:r w:rsidR="0078780A">
        <w:t xml:space="preserve"> and</w:t>
      </w:r>
      <w:r w:rsidR="00625F94">
        <w:t xml:space="preserve"> </w:t>
      </w:r>
      <w:r w:rsidRPr="00B61B95">
        <w:t>now appl</w:t>
      </w:r>
      <w:r w:rsidR="00625F94">
        <w:t>ies</w:t>
      </w:r>
      <w:r w:rsidRPr="00B61B95">
        <w:t xml:space="preserve"> to all </w:t>
      </w:r>
      <w:r w:rsidR="00EF7C54">
        <w:t xml:space="preserve">onshore and offshore </w:t>
      </w:r>
      <w:r w:rsidRPr="00B61B95">
        <w:t xml:space="preserve">petroleum projects in Australia. </w:t>
      </w:r>
      <w:r w:rsidR="00F43CD0">
        <w:t>The k</w:t>
      </w:r>
      <w:r w:rsidRPr="00B61B95">
        <w:t>ey features of the PRRT are</w:t>
      </w:r>
      <w:r w:rsidR="00576249">
        <w:t>:</w:t>
      </w:r>
    </w:p>
    <w:p w14:paraId="42A560B0" w14:textId="6E02E457" w:rsidR="00A577C2" w:rsidRPr="00B61B95" w:rsidRDefault="00A577C2" w:rsidP="002F4BAE">
      <w:pPr>
        <w:pStyle w:val="Bullet"/>
      </w:pPr>
      <w:r w:rsidRPr="00B61B95">
        <w:t xml:space="preserve">Assessment is on individual projects which </w:t>
      </w:r>
      <w:r w:rsidR="00EF7C54">
        <w:t xml:space="preserve">arise when a production </w:t>
      </w:r>
      <w:r w:rsidR="000A33FC">
        <w:t>licenc</w:t>
      </w:r>
      <w:r w:rsidR="00EF7C54">
        <w:t xml:space="preserve">e comes into existence. A project </w:t>
      </w:r>
      <w:r w:rsidRPr="00B61B95">
        <w:t xml:space="preserve">may </w:t>
      </w:r>
      <w:r w:rsidR="00EF7C54">
        <w:t>include</w:t>
      </w:r>
      <w:r w:rsidRPr="00B61B95">
        <w:t xml:space="preserve"> a number of production licences</w:t>
      </w:r>
      <w:r w:rsidR="00EF7C54">
        <w:t xml:space="preserve"> where the combination rules are satisfied</w:t>
      </w:r>
      <w:r w:rsidRPr="00B61B95">
        <w:t>.</w:t>
      </w:r>
    </w:p>
    <w:p w14:paraId="0699F371" w14:textId="69B8A209" w:rsidR="00625F94" w:rsidRDefault="00A577C2" w:rsidP="002F4BAE">
      <w:pPr>
        <w:pStyle w:val="Bullet"/>
      </w:pPr>
      <w:r w:rsidRPr="00B61B95">
        <w:t xml:space="preserve">The boundary of a project that defines receipts and expenditures to be included for assessment purposes is determined by the taxing point of </w:t>
      </w:r>
      <w:r w:rsidR="00EF7C54">
        <w:t xml:space="preserve">petroleum </w:t>
      </w:r>
      <w:r w:rsidRPr="00B61B95">
        <w:t>products (first point at which a product becomes marketable) and the activities necessary to get the product to the taxing point</w:t>
      </w:r>
      <w:r w:rsidR="00755941">
        <w:t>.</w:t>
      </w:r>
    </w:p>
    <w:p w14:paraId="586D43E2" w14:textId="257206D3" w:rsidR="00A577C2" w:rsidRPr="00B61B95" w:rsidRDefault="00A577C2" w:rsidP="002F4BAE">
      <w:pPr>
        <w:pStyle w:val="Bullet"/>
      </w:pPr>
      <w:r w:rsidRPr="00B61B95">
        <w:t>Assessable receipts include receipts from the sale of petroleum products at the taxing point or attributed value if no arm</w:t>
      </w:r>
      <w:r w:rsidR="005D6F39">
        <w:t>’</w:t>
      </w:r>
      <w:r w:rsidRPr="00B61B95">
        <w:t>s length sale occurs at that point</w:t>
      </w:r>
      <w:r w:rsidR="003C4529">
        <w:t>,</w:t>
      </w:r>
      <w:r w:rsidR="008705CE">
        <w:t xml:space="preserve"> and for integrated </w:t>
      </w:r>
      <w:r w:rsidR="00F2694F">
        <w:t>GTL</w:t>
      </w:r>
      <w:r w:rsidR="008705CE">
        <w:t xml:space="preserve"> projects the methods for determining the price of gas for PRRT purposes include a dedicated pricing methodology (</w:t>
      </w:r>
      <w:r w:rsidR="00E434D0">
        <w:t xml:space="preserve">Gas Transfer Pricing </w:t>
      </w:r>
      <w:r w:rsidR="00AE2AF9">
        <w:t>r</w:t>
      </w:r>
      <w:r w:rsidR="00E434D0">
        <w:t>egulations</w:t>
      </w:r>
      <w:r w:rsidR="00576249">
        <w:t xml:space="preserve">, </w:t>
      </w:r>
      <w:r w:rsidR="00C63A00" w:rsidRPr="006D28D4">
        <w:t>s</w:t>
      </w:r>
      <w:r w:rsidR="00576249" w:rsidRPr="006D28D4">
        <w:t xml:space="preserve">ee </w:t>
      </w:r>
      <w:r w:rsidR="004D5D6F" w:rsidRPr="006D28D4">
        <w:t>s</w:t>
      </w:r>
      <w:r w:rsidR="00576249" w:rsidRPr="006D28D4">
        <w:t xml:space="preserve">ection </w:t>
      </w:r>
      <w:r w:rsidR="00F52958" w:rsidRPr="006D28D4">
        <w:t>4.9</w:t>
      </w:r>
      <w:r w:rsidRPr="00B61B95">
        <w:t>).</w:t>
      </w:r>
    </w:p>
    <w:p w14:paraId="72D2214C" w14:textId="231012E7" w:rsidR="00A577C2" w:rsidRPr="00B61B95" w:rsidRDefault="00A577C2" w:rsidP="002F4BAE">
      <w:pPr>
        <w:pStyle w:val="Bullet"/>
      </w:pPr>
      <w:r w:rsidRPr="00B61B95">
        <w:t xml:space="preserve">Expenditures (both capital and recurrent outlays) necessary to bring product to the taxing point, other than </w:t>
      </w:r>
      <w:r w:rsidR="00EF7C54">
        <w:t xml:space="preserve">certain </w:t>
      </w:r>
      <w:r w:rsidRPr="00B61B95">
        <w:t xml:space="preserve">excluded </w:t>
      </w:r>
      <w:r w:rsidR="00EF7C54">
        <w:t>costs such as</w:t>
      </w:r>
      <w:r w:rsidRPr="00B61B95">
        <w:t xml:space="preserve"> financing costs, are deductible in the year incurred and include those related to exploration, development, operating and closing</w:t>
      </w:r>
      <w:r w:rsidR="00C63A00">
        <w:t xml:space="preserve"> </w:t>
      </w:r>
      <w:r w:rsidRPr="00B61B95">
        <w:t>down activities.</w:t>
      </w:r>
    </w:p>
    <w:p w14:paraId="0254458B" w14:textId="273DBEFD" w:rsidR="00A577C2" w:rsidRPr="00B61B95" w:rsidRDefault="005920AA" w:rsidP="002F4BAE">
      <w:pPr>
        <w:pStyle w:val="Bullet"/>
      </w:pPr>
      <w:r>
        <w:t>E</w:t>
      </w:r>
      <w:r w:rsidR="00A577C2" w:rsidRPr="00B61B95">
        <w:t xml:space="preserve">xploration expenditure </w:t>
      </w:r>
      <w:r>
        <w:t>is expenditure that is incurred in, or in connection with exploration for petroleum</w:t>
      </w:r>
      <w:r w:rsidR="0019392A">
        <w:t xml:space="preserve"> in the eligible exploration or recovery area of a project.</w:t>
      </w:r>
    </w:p>
    <w:p w14:paraId="75FC8C62" w14:textId="78D456A9" w:rsidR="00A577C2" w:rsidRPr="00B61B95" w:rsidRDefault="00A577C2" w:rsidP="002F4BAE">
      <w:pPr>
        <w:pStyle w:val="Bullet"/>
      </w:pPr>
      <w:r w:rsidRPr="00B61B95">
        <w:t xml:space="preserve">Expenditure not deducted against assessable receipts in a year is carried forward and uplifted at an uplift rate that depends on the type and timing of the expenditure in relation to the time of application of the associated production licence. </w:t>
      </w:r>
    </w:p>
    <w:p w14:paraId="74A26FDB" w14:textId="7061ED16" w:rsidR="00A577C2" w:rsidRPr="00B61B95" w:rsidRDefault="00A577C2" w:rsidP="002F4BAE">
      <w:pPr>
        <w:pStyle w:val="Dash"/>
      </w:pPr>
      <w:r w:rsidRPr="00B61B95">
        <w:t>Exploration expenditure attracts uplift at LTBR plus 15 percentage points if incurred within five years of the granting of the associated production licence</w:t>
      </w:r>
      <w:r w:rsidR="00C63A00">
        <w:t>.</w:t>
      </w:r>
    </w:p>
    <w:p w14:paraId="16AA16AD" w14:textId="425CDBE1" w:rsidR="00A577C2" w:rsidRPr="00B61B95" w:rsidRDefault="00A577C2" w:rsidP="002F4BAE">
      <w:pPr>
        <w:pStyle w:val="Dash"/>
      </w:pPr>
      <w:r w:rsidRPr="00B61B95">
        <w:t xml:space="preserve">Exploration expenditure, as well as other general expenditure, incurred prior to that five year period attracts uplift at </w:t>
      </w:r>
      <w:r w:rsidR="00C63A00">
        <w:t xml:space="preserve">the </w:t>
      </w:r>
      <w:r w:rsidRPr="00B61B95">
        <w:t>GDP deflator rate.</w:t>
      </w:r>
    </w:p>
    <w:p w14:paraId="1634B6E7" w14:textId="275E619A" w:rsidR="00A577C2" w:rsidRPr="00B61B95" w:rsidRDefault="00A577C2" w:rsidP="002F4BAE">
      <w:pPr>
        <w:pStyle w:val="Dash"/>
      </w:pPr>
      <w:r w:rsidRPr="00B61B95">
        <w:t xml:space="preserve">Other general costs as well as starting bases for existing onshore projects and </w:t>
      </w:r>
      <w:r w:rsidR="00594E39">
        <w:t>the</w:t>
      </w:r>
      <w:r w:rsidRPr="00B61B95">
        <w:t xml:space="preserve"> </w:t>
      </w:r>
      <w:r w:rsidR="00C63A00">
        <w:t>NWS</w:t>
      </w:r>
      <w:r w:rsidR="00EB2024">
        <w:t xml:space="preserve"> project</w:t>
      </w:r>
      <w:r w:rsidR="00C63A00">
        <w:t>,</w:t>
      </w:r>
      <w:r w:rsidRPr="00B61B95">
        <w:t xml:space="preserve"> and creditable state and Commonwealth royalties and excises generally attract </w:t>
      </w:r>
      <w:r w:rsidR="00EB2024">
        <w:t xml:space="preserve">an </w:t>
      </w:r>
      <w:r w:rsidRPr="00B61B95">
        <w:t xml:space="preserve">uplift </w:t>
      </w:r>
      <w:r w:rsidR="00EB2024">
        <w:t xml:space="preserve">of </w:t>
      </w:r>
      <w:r w:rsidRPr="00B61B95">
        <w:t xml:space="preserve">LTBR plus 5 percentage points. </w:t>
      </w:r>
    </w:p>
    <w:p w14:paraId="43862D79" w14:textId="3B121D86" w:rsidR="006737DF" w:rsidRDefault="006737DF" w:rsidP="002F4BAE">
      <w:pPr>
        <w:pStyle w:val="Bullet"/>
      </w:pPr>
      <w:r>
        <w:t>Undeducted eligible closing</w:t>
      </w:r>
      <w:r w:rsidR="00C63A00">
        <w:t xml:space="preserve"> </w:t>
      </w:r>
      <w:r>
        <w:t>down expenditure attracts a 40 per cent cash rebate</w:t>
      </w:r>
      <w:r w:rsidR="00183CDD">
        <w:t xml:space="preserve"> </w:t>
      </w:r>
      <w:r w:rsidR="00EB2024">
        <w:t>to the extent that a project has previously paid PRRT</w:t>
      </w:r>
      <w:r w:rsidR="00755941">
        <w:t xml:space="preserve">. </w:t>
      </w:r>
    </w:p>
    <w:p w14:paraId="15E053BA" w14:textId="04090463" w:rsidR="00FC5E2D" w:rsidRDefault="0056568A" w:rsidP="002F4BAE">
      <w:pPr>
        <w:pStyle w:val="Bullet"/>
      </w:pPr>
      <w:r>
        <w:t>A</w:t>
      </w:r>
      <w:r w:rsidR="00FC5E2D" w:rsidRPr="00FA3DB1">
        <w:t xml:space="preserve"> tax credit of 40</w:t>
      </w:r>
      <w:r w:rsidR="00FC5E2D">
        <w:t xml:space="preserve"> per cent </w:t>
      </w:r>
      <w:r w:rsidR="00FC5E2D" w:rsidRPr="00FA3DB1">
        <w:t>of the excess expenditure is provided</w:t>
      </w:r>
      <w:r w:rsidR="00FC5E2D">
        <w:t xml:space="preserve"> to the extent that a project has previously paid PRRT</w:t>
      </w:r>
      <w:r>
        <w:t>.</w:t>
      </w:r>
    </w:p>
    <w:p w14:paraId="7F597D67" w14:textId="57AE6C29" w:rsidR="00A577C2" w:rsidRPr="00B61B95" w:rsidRDefault="00A577C2" w:rsidP="002F4BAE">
      <w:pPr>
        <w:pStyle w:val="Bullet"/>
      </w:pPr>
      <w:r w:rsidRPr="00B61B95">
        <w:t xml:space="preserve">PRRT liabilities are deductible for income tax purposes. </w:t>
      </w:r>
    </w:p>
    <w:p w14:paraId="335AB21A" w14:textId="37F68E29" w:rsidR="00A577C2" w:rsidRPr="00A577C2" w:rsidRDefault="00EE70AB" w:rsidP="00A577C2">
      <w:pPr>
        <w:pStyle w:val="OutlineNumbered1"/>
        <w:numPr>
          <w:ilvl w:val="0"/>
          <w:numId w:val="0"/>
        </w:numPr>
        <w:ind w:left="567" w:hanging="567"/>
      </w:pPr>
      <w:r w:rsidRPr="006D28D4">
        <w:rPr>
          <w:color w:val="auto"/>
        </w:rPr>
        <w:t xml:space="preserve">Appendix </w:t>
      </w:r>
      <w:r w:rsidR="00E434D0" w:rsidRPr="006D28D4">
        <w:rPr>
          <w:color w:val="auto"/>
        </w:rPr>
        <w:t>B</w:t>
      </w:r>
      <w:r w:rsidRPr="00F74D0E">
        <w:rPr>
          <w:color w:val="auto"/>
        </w:rPr>
        <w:t xml:space="preserve"> </w:t>
      </w:r>
      <w:r>
        <w:t>provides a detailed outline of the operation and administration of the PRRT.</w:t>
      </w:r>
    </w:p>
    <w:p w14:paraId="048DEF73" w14:textId="3886AF0B" w:rsidR="00AA7794" w:rsidRDefault="00C76D6C" w:rsidP="00C76D6C">
      <w:pPr>
        <w:pStyle w:val="Heading2"/>
      </w:pPr>
      <w:bookmarkStart w:id="4901" w:name="_Toc476577348"/>
      <w:bookmarkStart w:id="4902" w:name="_Toc476582337"/>
      <w:bookmarkStart w:id="4903" w:name="_Toc476583011"/>
      <w:bookmarkStart w:id="4904" w:name="_Toc476583728"/>
      <w:bookmarkStart w:id="4905" w:name="_Toc476584176"/>
      <w:bookmarkStart w:id="4906" w:name="_Toc476738083"/>
      <w:bookmarkStart w:id="4907" w:name="_Toc476747658"/>
      <w:bookmarkStart w:id="4908" w:name="_Toc476749068"/>
      <w:bookmarkStart w:id="4909" w:name="_Toc476753935"/>
      <w:bookmarkStart w:id="4910" w:name="_Toc476754430"/>
      <w:bookmarkStart w:id="4911" w:name="_Toc476754595"/>
      <w:bookmarkStart w:id="4912" w:name="_Toc476759831"/>
      <w:bookmarkStart w:id="4913" w:name="_Toc476761453"/>
      <w:bookmarkStart w:id="4914" w:name="_Toc476767091"/>
      <w:bookmarkStart w:id="4915" w:name="_Toc476827137"/>
      <w:bookmarkStart w:id="4916" w:name="_Toc476828830"/>
      <w:bookmarkStart w:id="4917" w:name="_Toc476833704"/>
      <w:bookmarkStart w:id="4918" w:name="_Toc476837177"/>
      <w:bookmarkStart w:id="4919" w:name="_Toc476841050"/>
      <w:bookmarkStart w:id="4920" w:name="_Toc476841255"/>
      <w:bookmarkStart w:id="4921" w:name="_Toc476842014"/>
      <w:bookmarkStart w:id="4922" w:name="_Toc476842958"/>
      <w:bookmarkStart w:id="4923" w:name="_Toc476843129"/>
      <w:bookmarkStart w:id="4924" w:name="_Toc476844627"/>
      <w:bookmarkStart w:id="4925" w:name="_Toc476845520"/>
      <w:bookmarkStart w:id="4926" w:name="_Toc476926913"/>
      <w:bookmarkStart w:id="4927" w:name="_Toc476927026"/>
      <w:bookmarkStart w:id="4928" w:name="_Toc476927200"/>
      <w:bookmarkStart w:id="4929" w:name="_Toc476928464"/>
      <w:bookmarkStart w:id="4930" w:name="_Toc476929507"/>
      <w:bookmarkStart w:id="4931" w:name="_Toc476929682"/>
      <w:bookmarkStart w:id="4932" w:name="_Toc476930725"/>
      <w:bookmarkStart w:id="4933" w:name="_Toc476931532"/>
      <w:bookmarkStart w:id="4934" w:name="_Toc477869885"/>
      <w:bookmarkStart w:id="4935" w:name="_Toc477871124"/>
      <w:bookmarkStart w:id="4936" w:name="_Toc477873283"/>
      <w:bookmarkStart w:id="4937" w:name="_Toc477875277"/>
      <w:bookmarkStart w:id="4938" w:name="_Toc477880190"/>
      <w:bookmarkStart w:id="4939" w:name="_Toc477881450"/>
      <w:bookmarkStart w:id="4940" w:name="_Toc477955854"/>
      <w:bookmarkStart w:id="4941" w:name="_Toc477963099"/>
      <w:bookmarkStart w:id="4942" w:name="_Toc477963585"/>
      <w:bookmarkStart w:id="4943" w:name="_Toc477965171"/>
      <w:bookmarkStart w:id="4944" w:name="_Toc477966675"/>
      <w:bookmarkStart w:id="4945" w:name="_Toc477966844"/>
      <w:bookmarkStart w:id="4946" w:name="_Toc477967184"/>
      <w:bookmarkStart w:id="4947" w:name="_Toc478121321"/>
      <w:bookmarkStart w:id="4948" w:name="_Toc478122234"/>
      <w:bookmarkStart w:id="4949" w:name="_Toc478132208"/>
      <w:bookmarkStart w:id="4950" w:name="_Toc478133234"/>
      <w:bookmarkStart w:id="4951" w:name="_Toc478132371"/>
      <w:bookmarkStart w:id="4952" w:name="_Toc478134700"/>
      <w:bookmarkStart w:id="4953" w:name="_Toc478137402"/>
      <w:bookmarkStart w:id="4954" w:name="_Toc478138474"/>
      <w:bookmarkStart w:id="4955" w:name="_Toc478140044"/>
      <w:bookmarkStart w:id="4956" w:name="_Toc478140460"/>
      <w:bookmarkStart w:id="4957" w:name="_Toc478142666"/>
      <w:bookmarkStart w:id="4958" w:name="_Toc478566382"/>
      <w:bookmarkStart w:id="4959" w:name="_Toc478569549"/>
      <w:bookmarkStart w:id="4960" w:name="_Toc478569723"/>
      <w:bookmarkStart w:id="4961" w:name="_Toc478570797"/>
      <w:bookmarkStart w:id="4962" w:name="_Toc478632996"/>
      <w:bookmarkStart w:id="4963" w:name="_Toc478641404"/>
      <w:bookmarkStart w:id="4964" w:name="_Toc478654298"/>
      <w:bookmarkStart w:id="4965" w:name="_Toc478654472"/>
      <w:bookmarkStart w:id="4966" w:name="_Toc478657767"/>
      <w:bookmarkStart w:id="4967" w:name="_Toc478993188"/>
      <w:bookmarkStart w:id="4968" w:name="_Toc479000259"/>
      <w:bookmarkStart w:id="4969" w:name="_Toc479002193"/>
      <w:bookmarkStart w:id="4970" w:name="_Toc479002365"/>
      <w:bookmarkStart w:id="4971" w:name="_Toc479254340"/>
      <w:bookmarkStart w:id="4972" w:name="_Toc479258529"/>
      <w:bookmarkStart w:id="4973" w:name="_Toc479258845"/>
      <w:bookmarkStart w:id="4974" w:name="_Toc479259737"/>
      <w:bookmarkStart w:id="4975" w:name="_Toc479262160"/>
      <w:bookmarkStart w:id="4976" w:name="_Toc479262581"/>
      <w:bookmarkStart w:id="4977" w:name="_Toc479321282"/>
      <w:bookmarkStart w:id="4978" w:name="_Toc479326721"/>
      <w:bookmarkStart w:id="4979" w:name="_Toc479333320"/>
      <w:bookmarkStart w:id="4980" w:name="_Toc479335017"/>
      <w:bookmarkStart w:id="4981" w:name="_Toc479341732"/>
      <w:bookmarkStart w:id="4982" w:name="_Toc479345148"/>
      <w:bookmarkStart w:id="4983" w:name="_Toc479345357"/>
      <w:bookmarkStart w:id="4984" w:name="_Toc479348338"/>
      <w:bookmarkStart w:id="4985" w:name="_Toc479675932"/>
      <w:bookmarkStart w:id="4986" w:name="_Toc479690899"/>
      <w:bookmarkStart w:id="4987" w:name="_Toc479693477"/>
      <w:bookmarkStart w:id="4988" w:name="_Toc479770646"/>
      <w:r>
        <w:t>3.</w:t>
      </w:r>
      <w:r w:rsidR="00243FA7">
        <w:t>2</w:t>
      </w:r>
      <w:r>
        <w:tab/>
        <w:t>Historical Changes to the PRRT</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079D0D4C" w14:textId="00A71683" w:rsidR="00174927" w:rsidRDefault="00B32C1C" w:rsidP="00D854F3">
      <w:r>
        <w:t xml:space="preserve">The PRRT has been amended a number of times since it was </w:t>
      </w:r>
      <w:r w:rsidR="00594E39">
        <w:t>enacted</w:t>
      </w:r>
      <w:r>
        <w:t xml:space="preserve"> in 198</w:t>
      </w:r>
      <w:r w:rsidR="00F772E9">
        <w:t>8</w:t>
      </w:r>
      <w:r>
        <w:t>.</w:t>
      </w:r>
      <w:r w:rsidR="00174927">
        <w:t xml:space="preserve"> </w:t>
      </w:r>
      <w:r w:rsidR="008A3D05">
        <w:t>These</w:t>
      </w:r>
      <w:r w:rsidR="00271A80">
        <w:t xml:space="preserve"> </w:t>
      </w:r>
      <w:r w:rsidR="00174927">
        <w:t>amendments have broadly fallen into three categories</w:t>
      </w:r>
      <w:r w:rsidR="00594E39">
        <w:t>:</w:t>
      </w:r>
    </w:p>
    <w:p w14:paraId="12BA6E7B" w14:textId="3EDC39DC" w:rsidR="00AA7794" w:rsidRDefault="00174927" w:rsidP="00174927">
      <w:pPr>
        <w:pStyle w:val="Bullet"/>
      </w:pPr>
      <w:r>
        <w:t>expansion of the PRRT regime</w:t>
      </w:r>
      <w:r w:rsidR="00594E39">
        <w:t>;</w:t>
      </w:r>
    </w:p>
    <w:p w14:paraId="4681961E" w14:textId="31B0B826" w:rsidR="00174927" w:rsidRDefault="00174927" w:rsidP="00174927">
      <w:pPr>
        <w:pStyle w:val="Bullet"/>
      </w:pPr>
      <w:r>
        <w:t xml:space="preserve">changes to </w:t>
      </w:r>
      <w:r w:rsidR="007E6D6A">
        <w:t xml:space="preserve">encourage </w:t>
      </w:r>
      <w:r>
        <w:t>exploration</w:t>
      </w:r>
      <w:r w:rsidR="00594E39">
        <w:t>; and</w:t>
      </w:r>
    </w:p>
    <w:p w14:paraId="5991895C" w14:textId="5F5C2607" w:rsidR="00174927" w:rsidRDefault="00174927" w:rsidP="00174927">
      <w:pPr>
        <w:pStyle w:val="Bullet"/>
      </w:pPr>
      <w:r>
        <w:t>changes to ensure the law continues to work as industry develops and the law is tested.</w:t>
      </w:r>
    </w:p>
    <w:p w14:paraId="5CF3A0CE" w14:textId="6430EEF2" w:rsidR="00271A80" w:rsidRDefault="00271A80" w:rsidP="00D854F3">
      <w:r>
        <w:t xml:space="preserve">Key changes to the PRRT are outlined </w:t>
      </w:r>
      <w:r w:rsidR="00F772E9">
        <w:t>in section 3.2.1</w:t>
      </w:r>
      <w:r>
        <w:t xml:space="preserve">. A more comprehensive timeline of changes to the PRRT is </w:t>
      </w:r>
      <w:r w:rsidR="00594E39">
        <w:t>in</w:t>
      </w:r>
      <w:r>
        <w:t xml:space="preserve"> </w:t>
      </w:r>
      <w:r w:rsidRPr="006D28D4">
        <w:t>Appendix C.</w:t>
      </w:r>
      <w:r>
        <w:t xml:space="preserve"> </w:t>
      </w:r>
    </w:p>
    <w:p w14:paraId="06F82989" w14:textId="6AD2DC0D" w:rsidR="00486B7A" w:rsidRDefault="00104706" w:rsidP="00104706">
      <w:pPr>
        <w:pStyle w:val="Heading3"/>
      </w:pPr>
      <w:bookmarkStart w:id="4989" w:name="_Toc476759832"/>
      <w:bookmarkStart w:id="4990" w:name="_Toc476761454"/>
      <w:bookmarkStart w:id="4991" w:name="_Toc476767092"/>
      <w:bookmarkStart w:id="4992" w:name="_Toc476827138"/>
      <w:bookmarkStart w:id="4993" w:name="_Toc476828831"/>
      <w:bookmarkStart w:id="4994" w:name="_Toc476833705"/>
      <w:bookmarkStart w:id="4995" w:name="_Toc476837178"/>
      <w:bookmarkStart w:id="4996" w:name="_Toc476841051"/>
      <w:bookmarkStart w:id="4997" w:name="_Toc476841256"/>
      <w:bookmarkStart w:id="4998" w:name="_Toc476842015"/>
      <w:bookmarkStart w:id="4999" w:name="_Toc476842959"/>
      <w:bookmarkStart w:id="5000" w:name="_Toc476843130"/>
      <w:bookmarkStart w:id="5001" w:name="_Toc476844628"/>
      <w:bookmarkStart w:id="5002" w:name="_Toc476845521"/>
      <w:bookmarkStart w:id="5003" w:name="_Toc476926914"/>
      <w:bookmarkStart w:id="5004" w:name="_Toc476927027"/>
      <w:bookmarkStart w:id="5005" w:name="_Toc476927201"/>
      <w:bookmarkStart w:id="5006" w:name="_Toc476928465"/>
      <w:bookmarkStart w:id="5007" w:name="_Toc476929508"/>
      <w:bookmarkStart w:id="5008" w:name="_Toc476929683"/>
      <w:bookmarkStart w:id="5009" w:name="_Toc476930726"/>
      <w:bookmarkStart w:id="5010" w:name="_Toc476931533"/>
      <w:bookmarkStart w:id="5011" w:name="_Toc477869886"/>
      <w:bookmarkStart w:id="5012" w:name="_Toc477871125"/>
      <w:bookmarkStart w:id="5013" w:name="_Toc477873284"/>
      <w:bookmarkStart w:id="5014" w:name="_Toc477875278"/>
      <w:bookmarkStart w:id="5015" w:name="_Toc477880191"/>
      <w:bookmarkStart w:id="5016" w:name="_Toc477881451"/>
      <w:bookmarkStart w:id="5017" w:name="_Toc477955855"/>
      <w:bookmarkStart w:id="5018" w:name="_Toc477963100"/>
      <w:bookmarkStart w:id="5019" w:name="_Toc477963586"/>
      <w:bookmarkStart w:id="5020" w:name="_Toc477965172"/>
      <w:bookmarkStart w:id="5021" w:name="_Toc477966676"/>
      <w:bookmarkStart w:id="5022" w:name="_Toc477966845"/>
      <w:bookmarkStart w:id="5023" w:name="_Toc477967185"/>
      <w:bookmarkStart w:id="5024" w:name="_Toc478121322"/>
      <w:bookmarkStart w:id="5025" w:name="_Toc478122235"/>
      <w:bookmarkStart w:id="5026" w:name="_Toc478132209"/>
      <w:bookmarkStart w:id="5027" w:name="_Toc478133235"/>
      <w:bookmarkStart w:id="5028" w:name="_Toc478132372"/>
      <w:bookmarkStart w:id="5029" w:name="_Toc478134701"/>
      <w:bookmarkStart w:id="5030" w:name="_Toc478137403"/>
      <w:bookmarkStart w:id="5031" w:name="_Toc478138475"/>
      <w:bookmarkStart w:id="5032" w:name="_Toc478140045"/>
      <w:bookmarkStart w:id="5033" w:name="_Toc478140461"/>
      <w:bookmarkStart w:id="5034" w:name="_Toc478142667"/>
      <w:bookmarkStart w:id="5035" w:name="_Toc478566383"/>
      <w:bookmarkStart w:id="5036" w:name="_Toc478569550"/>
      <w:bookmarkStart w:id="5037" w:name="_Toc478569724"/>
      <w:bookmarkStart w:id="5038" w:name="_Toc478570798"/>
      <w:bookmarkStart w:id="5039" w:name="_Toc478632997"/>
      <w:bookmarkStart w:id="5040" w:name="_Toc478641405"/>
      <w:bookmarkStart w:id="5041" w:name="_Toc478654299"/>
      <w:bookmarkStart w:id="5042" w:name="_Toc478654473"/>
      <w:bookmarkStart w:id="5043" w:name="_Toc478657768"/>
      <w:bookmarkStart w:id="5044" w:name="_Toc478993189"/>
      <w:bookmarkStart w:id="5045" w:name="_Toc479000260"/>
      <w:bookmarkStart w:id="5046" w:name="_Toc479002194"/>
      <w:bookmarkStart w:id="5047" w:name="_Toc479002366"/>
      <w:bookmarkStart w:id="5048" w:name="_Toc479254341"/>
      <w:bookmarkStart w:id="5049" w:name="_Toc479258530"/>
      <w:bookmarkStart w:id="5050" w:name="_Toc479258846"/>
      <w:bookmarkStart w:id="5051" w:name="_Toc479259738"/>
      <w:bookmarkStart w:id="5052" w:name="_Toc479262161"/>
      <w:bookmarkStart w:id="5053" w:name="_Toc479262582"/>
      <w:bookmarkStart w:id="5054" w:name="_Toc479321283"/>
      <w:bookmarkStart w:id="5055" w:name="_Toc479326722"/>
      <w:bookmarkStart w:id="5056" w:name="_Toc479333321"/>
      <w:bookmarkStart w:id="5057" w:name="_Toc479335018"/>
      <w:bookmarkStart w:id="5058" w:name="_Toc479341733"/>
      <w:bookmarkStart w:id="5059" w:name="_Toc479345149"/>
      <w:bookmarkStart w:id="5060" w:name="_Toc479345358"/>
      <w:bookmarkStart w:id="5061" w:name="_Toc479348339"/>
      <w:bookmarkStart w:id="5062" w:name="_Toc479675933"/>
      <w:bookmarkStart w:id="5063" w:name="_Toc479690900"/>
      <w:bookmarkStart w:id="5064" w:name="_Toc479693478"/>
      <w:bookmarkStart w:id="5065" w:name="_Toc479770647"/>
      <w:r>
        <w:t>3.</w:t>
      </w:r>
      <w:r w:rsidR="00243FA7">
        <w:t>2</w:t>
      </w:r>
      <w:r>
        <w:t>.1</w:t>
      </w:r>
      <w:r w:rsidR="00E706BF">
        <w:tab/>
      </w:r>
      <w:r w:rsidR="00B32C1C">
        <w:t xml:space="preserve">Expansion of the PRRT </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r w:rsidR="00F772E9">
        <w:t>r</w:t>
      </w:r>
      <w:r w:rsidR="00B32C1C">
        <w:t>egime</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14:paraId="4A9E1151" w14:textId="4E9A5DA6" w:rsidR="00734B2C" w:rsidRDefault="00734B2C" w:rsidP="00B32C1C">
      <w:r>
        <w:t>When the PRRT was enacted in 198</w:t>
      </w:r>
      <w:r w:rsidR="008703B7">
        <w:t>8</w:t>
      </w:r>
      <w:r>
        <w:t xml:space="preserve"> it only appl</w:t>
      </w:r>
      <w:r w:rsidR="00243FA7">
        <w:t>ied</w:t>
      </w:r>
      <w:r>
        <w:t xml:space="preserve"> to </w:t>
      </w:r>
      <w:r w:rsidR="00243FA7">
        <w:t>greenfield</w:t>
      </w:r>
      <w:r w:rsidR="007E6D6A">
        <w:t xml:space="preserve"> </w:t>
      </w:r>
      <w:r w:rsidR="00DE1651">
        <w:t>offshore</w:t>
      </w:r>
      <w:r>
        <w:t xml:space="preserve"> petroleum projects in Commonwealth waters. </w:t>
      </w:r>
      <w:r w:rsidR="00B32C1C">
        <w:t xml:space="preserve">The </w:t>
      </w:r>
      <w:r w:rsidR="00DE1651">
        <w:t>two significant</w:t>
      </w:r>
      <w:r w:rsidR="00B32C1C">
        <w:t xml:space="preserve"> offshore projects </w:t>
      </w:r>
      <w:r w:rsidR="00A27A44">
        <w:t>already in operation</w:t>
      </w:r>
      <w:r w:rsidR="00DE1651">
        <w:t xml:space="preserve"> at th</w:t>
      </w:r>
      <w:r w:rsidR="005920AA">
        <w:t>at</w:t>
      </w:r>
      <w:r w:rsidR="00DE1651">
        <w:t xml:space="preserve"> time</w:t>
      </w:r>
      <w:r w:rsidR="005D6F39">
        <w:t xml:space="preserve"> — </w:t>
      </w:r>
      <w:r w:rsidR="00B32C1C">
        <w:t xml:space="preserve">Bass Strait and the </w:t>
      </w:r>
      <w:r w:rsidR="00F772E9">
        <w:t>NWS</w:t>
      </w:r>
      <w:r w:rsidR="00104706">
        <w:t>,</w:t>
      </w:r>
      <w:r w:rsidR="00DE1651">
        <w:t xml:space="preserve"> were exempt</w:t>
      </w:r>
      <w:r w:rsidR="005920AA">
        <w:t xml:space="preserve"> from the PRRT</w:t>
      </w:r>
      <w:r w:rsidR="00297347">
        <w:t>. However, they</w:t>
      </w:r>
      <w:r w:rsidR="00104706">
        <w:t xml:space="preserve"> continued to be subject to excise and royalt</w:t>
      </w:r>
      <w:r w:rsidR="005920AA">
        <w:t>ies instead</w:t>
      </w:r>
      <w:r w:rsidR="005D6F39">
        <w:t xml:space="preserve">. </w:t>
      </w:r>
    </w:p>
    <w:p w14:paraId="7EA92E52" w14:textId="5F942E58" w:rsidR="00B32C1C" w:rsidRDefault="00B32C1C" w:rsidP="00B32C1C">
      <w:r>
        <w:t>Over time, the PRRT has been extended to cover all oil and gas projects in Australia. The first expansion occurred in 1991</w:t>
      </w:r>
      <w:r w:rsidR="005D6F39">
        <w:noBreakHyphen/>
      </w:r>
      <w:r>
        <w:t xml:space="preserve">92 when the Bass Strait </w:t>
      </w:r>
      <w:r w:rsidR="00104706">
        <w:t xml:space="preserve">project </w:t>
      </w:r>
      <w:r>
        <w:t>switched from the previous excise and royalty system into the PRRT regime.</w:t>
      </w:r>
      <w:r w:rsidR="00104706">
        <w:t xml:space="preserve"> The Bass Strait project entered the PRRT regime with no </w:t>
      </w:r>
      <w:r w:rsidR="00243FA7">
        <w:t xml:space="preserve">explicit </w:t>
      </w:r>
      <w:r w:rsidR="00104706">
        <w:t xml:space="preserve">recognition </w:t>
      </w:r>
      <w:r w:rsidR="00243FA7">
        <w:t>of</w:t>
      </w:r>
      <w:r w:rsidR="00104706">
        <w:t xml:space="preserve"> historical expenditure or resource value</w:t>
      </w:r>
      <w:r w:rsidR="00956FB0">
        <w:t>,</w:t>
      </w:r>
      <w:r w:rsidR="00243FA7">
        <w:t xml:space="preserve"> but with the application of the excise and royalty regime</w:t>
      </w:r>
      <w:r w:rsidR="00956FB0">
        <w:t>s</w:t>
      </w:r>
      <w:r w:rsidR="00243FA7">
        <w:t xml:space="preserve"> lifted</w:t>
      </w:r>
      <w:r w:rsidR="00104706">
        <w:t>.</w:t>
      </w:r>
    </w:p>
    <w:p w14:paraId="7C9D60EE" w14:textId="3615DD9F" w:rsidR="00271A80" w:rsidRDefault="00B32C1C" w:rsidP="00B32C1C">
      <w:r>
        <w:t xml:space="preserve">On 1 July 2012, the PRRT was extended to onshore oil and gas projects and to the </w:t>
      </w:r>
      <w:r w:rsidR="00956FB0">
        <w:t>NWS</w:t>
      </w:r>
      <w:r>
        <w:t xml:space="preserve">. While this change broadened the PRRT </w:t>
      </w:r>
      <w:r w:rsidR="00956FB0">
        <w:t>coverage</w:t>
      </w:r>
      <w:r>
        <w:t xml:space="preserve">, existing projects were given </w:t>
      </w:r>
      <w:r w:rsidR="00271A80">
        <w:t xml:space="preserve">transitional arrangements that mean they </w:t>
      </w:r>
      <w:r w:rsidR="00A06666">
        <w:t xml:space="preserve">are </w:t>
      </w:r>
      <w:r w:rsidR="005A06AE">
        <w:t>unlikely to</w:t>
      </w:r>
      <w:r w:rsidR="00271A80">
        <w:t xml:space="preserve"> pay PRRT (</w:t>
      </w:r>
      <w:r w:rsidR="00F43CD0" w:rsidRPr="006D28D4">
        <w:t>s</w:t>
      </w:r>
      <w:r w:rsidRPr="006D28D4">
        <w:t xml:space="preserve">ee </w:t>
      </w:r>
      <w:r w:rsidR="00243FA7" w:rsidRPr="006D28D4">
        <w:t>Appendix B.1.5</w:t>
      </w:r>
      <w:r>
        <w:t xml:space="preserve">). </w:t>
      </w:r>
      <w:r w:rsidR="00734B2C">
        <w:t xml:space="preserve">It was recognised that existing royalties and excise arrangements </w:t>
      </w:r>
      <w:r w:rsidR="00806904">
        <w:t>would be</w:t>
      </w:r>
      <w:r w:rsidR="007E6D6A">
        <w:t xml:space="preserve"> </w:t>
      </w:r>
      <w:r w:rsidR="00734B2C">
        <w:t>the primary form of resource taxation</w:t>
      </w:r>
      <w:r w:rsidR="007E6D6A">
        <w:t xml:space="preserve"> applying to these projects</w:t>
      </w:r>
      <w:r w:rsidR="00734B2C">
        <w:t xml:space="preserve">. </w:t>
      </w:r>
    </w:p>
    <w:p w14:paraId="3B630D2E" w14:textId="38B69C04" w:rsidR="00B32C1C" w:rsidRDefault="00104706" w:rsidP="00104706">
      <w:pPr>
        <w:pStyle w:val="Heading3"/>
      </w:pPr>
      <w:bookmarkStart w:id="5066" w:name="_Toc476759833"/>
      <w:bookmarkStart w:id="5067" w:name="_Toc476761455"/>
      <w:bookmarkStart w:id="5068" w:name="_Toc476767093"/>
      <w:bookmarkStart w:id="5069" w:name="_Toc476827139"/>
      <w:bookmarkStart w:id="5070" w:name="_Toc476828832"/>
      <w:bookmarkStart w:id="5071" w:name="_Toc476833706"/>
      <w:bookmarkStart w:id="5072" w:name="_Toc476837179"/>
      <w:bookmarkStart w:id="5073" w:name="_Toc476841052"/>
      <w:bookmarkStart w:id="5074" w:name="_Toc476841257"/>
      <w:bookmarkStart w:id="5075" w:name="_Toc476842016"/>
      <w:bookmarkStart w:id="5076" w:name="_Toc476842960"/>
      <w:bookmarkStart w:id="5077" w:name="_Toc476843131"/>
      <w:bookmarkStart w:id="5078" w:name="_Toc476844629"/>
      <w:bookmarkStart w:id="5079" w:name="_Toc476845522"/>
      <w:bookmarkStart w:id="5080" w:name="_Toc476926915"/>
      <w:bookmarkStart w:id="5081" w:name="_Toc476927028"/>
      <w:bookmarkStart w:id="5082" w:name="_Toc476927202"/>
      <w:bookmarkStart w:id="5083" w:name="_Toc476928466"/>
      <w:bookmarkStart w:id="5084" w:name="_Toc476929509"/>
      <w:bookmarkStart w:id="5085" w:name="_Toc476929684"/>
      <w:bookmarkStart w:id="5086" w:name="_Toc476930727"/>
      <w:bookmarkStart w:id="5087" w:name="_Toc476931534"/>
      <w:bookmarkStart w:id="5088" w:name="_Toc477869887"/>
      <w:bookmarkStart w:id="5089" w:name="_Toc477871126"/>
      <w:bookmarkStart w:id="5090" w:name="_Toc477873285"/>
      <w:bookmarkStart w:id="5091" w:name="_Toc477875279"/>
      <w:bookmarkStart w:id="5092" w:name="_Toc477880192"/>
      <w:bookmarkStart w:id="5093" w:name="_Toc477881452"/>
      <w:bookmarkStart w:id="5094" w:name="_Toc477955856"/>
      <w:bookmarkStart w:id="5095" w:name="_Toc477963101"/>
      <w:bookmarkStart w:id="5096" w:name="_Toc477963587"/>
      <w:bookmarkStart w:id="5097" w:name="_Toc477965173"/>
      <w:bookmarkStart w:id="5098" w:name="_Toc477966677"/>
      <w:bookmarkStart w:id="5099" w:name="_Toc477966846"/>
      <w:bookmarkStart w:id="5100" w:name="_Toc477967186"/>
      <w:bookmarkStart w:id="5101" w:name="_Toc478121323"/>
      <w:bookmarkStart w:id="5102" w:name="_Toc478122236"/>
      <w:bookmarkStart w:id="5103" w:name="_Toc478132210"/>
      <w:bookmarkStart w:id="5104" w:name="_Toc478133236"/>
      <w:bookmarkStart w:id="5105" w:name="_Toc478132373"/>
      <w:bookmarkStart w:id="5106" w:name="_Toc478134702"/>
      <w:bookmarkStart w:id="5107" w:name="_Toc478137404"/>
      <w:bookmarkStart w:id="5108" w:name="_Toc478138476"/>
      <w:bookmarkStart w:id="5109" w:name="_Toc478140046"/>
      <w:bookmarkStart w:id="5110" w:name="_Toc478140462"/>
      <w:bookmarkStart w:id="5111" w:name="_Toc478142668"/>
      <w:bookmarkStart w:id="5112" w:name="_Toc478566384"/>
      <w:bookmarkStart w:id="5113" w:name="_Toc478569551"/>
      <w:bookmarkStart w:id="5114" w:name="_Toc478569725"/>
      <w:bookmarkStart w:id="5115" w:name="_Toc478570799"/>
      <w:bookmarkStart w:id="5116" w:name="_Toc478632998"/>
      <w:bookmarkStart w:id="5117" w:name="_Toc478641406"/>
      <w:bookmarkStart w:id="5118" w:name="_Toc478654300"/>
      <w:bookmarkStart w:id="5119" w:name="_Toc478654474"/>
      <w:bookmarkStart w:id="5120" w:name="_Toc478657769"/>
      <w:bookmarkStart w:id="5121" w:name="_Toc478993190"/>
      <w:bookmarkStart w:id="5122" w:name="_Toc479000261"/>
      <w:bookmarkStart w:id="5123" w:name="_Toc479002195"/>
      <w:bookmarkStart w:id="5124" w:name="_Toc479002367"/>
      <w:bookmarkStart w:id="5125" w:name="_Toc479254342"/>
      <w:bookmarkStart w:id="5126" w:name="_Toc479258531"/>
      <w:bookmarkStart w:id="5127" w:name="_Toc479258847"/>
      <w:bookmarkStart w:id="5128" w:name="_Toc479259739"/>
      <w:bookmarkStart w:id="5129" w:name="_Toc479262162"/>
      <w:bookmarkStart w:id="5130" w:name="_Toc479262583"/>
      <w:bookmarkStart w:id="5131" w:name="_Toc479321284"/>
      <w:bookmarkStart w:id="5132" w:name="_Toc479326723"/>
      <w:bookmarkStart w:id="5133" w:name="_Toc479333322"/>
      <w:bookmarkStart w:id="5134" w:name="_Toc479335019"/>
      <w:bookmarkStart w:id="5135" w:name="_Toc479341734"/>
      <w:bookmarkStart w:id="5136" w:name="_Toc479345150"/>
      <w:bookmarkStart w:id="5137" w:name="_Toc479345359"/>
      <w:bookmarkStart w:id="5138" w:name="_Toc479348340"/>
      <w:bookmarkStart w:id="5139" w:name="_Toc479675934"/>
      <w:bookmarkStart w:id="5140" w:name="_Toc479690901"/>
      <w:bookmarkStart w:id="5141" w:name="_Toc479693479"/>
      <w:bookmarkStart w:id="5142" w:name="_Toc479770648"/>
      <w:r>
        <w:t>3.</w:t>
      </w:r>
      <w:r w:rsidR="00243FA7">
        <w:t>2</w:t>
      </w:r>
      <w:r>
        <w:t>.2</w:t>
      </w:r>
      <w:r w:rsidR="00E706BF">
        <w:tab/>
      </w:r>
      <w:r w:rsidR="00AA03F0">
        <w:t xml:space="preserve">Incentives </w:t>
      </w:r>
      <w:bookmarkEnd w:id="5066"/>
      <w:bookmarkEnd w:id="5067"/>
      <w:bookmarkEnd w:id="5068"/>
      <w:r w:rsidR="00087C29">
        <w:t>for</w:t>
      </w:r>
      <w:r w:rsidR="001514C3">
        <w:t xml:space="preserve"> </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r w:rsidR="00956FB0">
        <w:t>e</w:t>
      </w:r>
      <w:r w:rsidR="001514C3">
        <w:t>xploration</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74B0A8F9" w14:textId="48A6924A" w:rsidR="00AA03F0" w:rsidRDefault="00AA03F0" w:rsidP="00B32C1C">
      <w:r>
        <w:t xml:space="preserve">Other changes to the PRRT have focused on </w:t>
      </w:r>
      <w:r w:rsidR="007E6D6A">
        <w:t xml:space="preserve">encouraging </w:t>
      </w:r>
      <w:r>
        <w:t>petroleum exploration.</w:t>
      </w:r>
    </w:p>
    <w:p w14:paraId="0056FC65" w14:textId="1E3DBA5F" w:rsidR="00C52C2E" w:rsidRDefault="00B32C1C" w:rsidP="00B32C1C">
      <w:r>
        <w:t xml:space="preserve">In 1991, deductibility </w:t>
      </w:r>
      <w:r w:rsidR="00281921">
        <w:t xml:space="preserve">of </w:t>
      </w:r>
      <w:r>
        <w:t xml:space="preserve">exploration </w:t>
      </w:r>
      <w:r w:rsidR="00281921">
        <w:t>expenditure</w:t>
      </w:r>
      <w:r>
        <w:t xml:space="preserve"> was widened from a project </w:t>
      </w:r>
      <w:r w:rsidR="00FB6C5C">
        <w:t xml:space="preserve">basis </w:t>
      </w:r>
      <w:r>
        <w:t>to a company basis</w:t>
      </w:r>
      <w:r w:rsidR="00281921">
        <w:t>.</w:t>
      </w:r>
      <w:r>
        <w:t xml:space="preserve"> </w:t>
      </w:r>
      <w:r w:rsidR="00F94057">
        <w:t>E</w:t>
      </w:r>
      <w:r>
        <w:t>xploration expenditure</w:t>
      </w:r>
      <w:r w:rsidR="00281921">
        <w:t xml:space="preserve"> from all offshore operations</w:t>
      </w:r>
      <w:r>
        <w:t xml:space="preserve"> </w:t>
      </w:r>
      <w:r w:rsidR="00DF0262">
        <w:t>(both greenfields and project</w:t>
      </w:r>
      <w:r w:rsidR="005D6F39">
        <w:noBreakHyphen/>
      </w:r>
      <w:r w:rsidR="00DF0262">
        <w:t xml:space="preserve">specific expenditure) </w:t>
      </w:r>
      <w:r w:rsidR="00281921">
        <w:t xml:space="preserve">by a </w:t>
      </w:r>
      <w:r w:rsidR="00F94057">
        <w:t>company</w:t>
      </w:r>
      <w:r w:rsidR="00281921">
        <w:t xml:space="preserve"> </w:t>
      </w:r>
      <w:r>
        <w:t xml:space="preserve">after 1 July 1990 </w:t>
      </w:r>
      <w:r w:rsidR="00FB6C5C">
        <w:t>became</w:t>
      </w:r>
      <w:r w:rsidR="00281921">
        <w:t xml:space="preserve"> </w:t>
      </w:r>
      <w:r w:rsidR="00F94057">
        <w:t>transferable to PRRT paying projects held within a wholly owned group of companies</w:t>
      </w:r>
      <w:r>
        <w:t xml:space="preserve">. </w:t>
      </w:r>
      <w:r w:rsidR="00AA03F0">
        <w:t>Th</w:t>
      </w:r>
      <w:r w:rsidR="005A06AE">
        <w:t xml:space="preserve">e objective </w:t>
      </w:r>
      <w:r w:rsidR="00AA03F0">
        <w:t>was to encourage exploration</w:t>
      </w:r>
      <w:r w:rsidR="0096234C">
        <w:t xml:space="preserve"> throughout Australia. At the same time the</w:t>
      </w:r>
      <w:r>
        <w:t xml:space="preserve"> uplift factor for general </w:t>
      </w:r>
      <w:r w:rsidR="00FB6C5C">
        <w:t xml:space="preserve">project </w:t>
      </w:r>
      <w:r>
        <w:t>expenditure incurred after 1 July 1990 was lowered to LTBR plus 5 per</w:t>
      </w:r>
      <w:r w:rsidR="006A72A9">
        <w:t>centage points</w:t>
      </w:r>
      <w:r>
        <w:t xml:space="preserve">. </w:t>
      </w:r>
      <w:r w:rsidR="00FB6C5C">
        <w:t>However, e</w:t>
      </w:r>
      <w:r>
        <w:t xml:space="preserve">xploration expenditure was still carried forward </w:t>
      </w:r>
      <w:r w:rsidR="00F94057">
        <w:t xml:space="preserve">at </w:t>
      </w:r>
      <w:r>
        <w:t>LTBR plus 15</w:t>
      </w:r>
      <w:r w:rsidR="00C026C1">
        <w:t> </w:t>
      </w:r>
      <w:r>
        <w:t>per</w:t>
      </w:r>
      <w:r w:rsidR="006A72A9">
        <w:t>centage</w:t>
      </w:r>
      <w:r w:rsidR="00C026C1">
        <w:t> </w:t>
      </w:r>
      <w:r w:rsidR="006A72A9">
        <w:t>points</w:t>
      </w:r>
      <w:r w:rsidR="00F94057">
        <w:t xml:space="preserve"> where it was incurred within 5 years of granting a production </w:t>
      </w:r>
      <w:r w:rsidR="000A33FC">
        <w:t>licenc</w:t>
      </w:r>
      <w:r w:rsidR="00F94057">
        <w:t>e</w:t>
      </w:r>
      <w:r>
        <w:t>.</w:t>
      </w:r>
      <w:r w:rsidR="00C52C2E">
        <w:t xml:space="preserve"> This change moved the PRRT away from a pure project</w:t>
      </w:r>
      <w:r w:rsidR="005D6F39">
        <w:noBreakHyphen/>
      </w:r>
      <w:r w:rsidR="00C52C2E">
        <w:t>based tax (</w:t>
      </w:r>
      <w:r w:rsidR="00C52C2E" w:rsidRPr="006D28D4">
        <w:t xml:space="preserve">see </w:t>
      </w:r>
      <w:r w:rsidR="004D5D6F" w:rsidRPr="006D28D4">
        <w:t>s</w:t>
      </w:r>
      <w:r w:rsidR="00C52C2E" w:rsidRPr="006D28D4">
        <w:t>ection 4.3</w:t>
      </w:r>
      <w:r w:rsidR="00C52C2E">
        <w:t>).</w:t>
      </w:r>
    </w:p>
    <w:p w14:paraId="7A4777D4" w14:textId="2EDB3F42" w:rsidR="006D7098" w:rsidRDefault="0096234C" w:rsidP="00B32C1C">
      <w:r>
        <w:t xml:space="preserve">The </w:t>
      </w:r>
      <w:r w:rsidR="009F4C02">
        <w:t>d</w:t>
      </w:r>
      <w:r>
        <w:t>esignate</w:t>
      </w:r>
      <w:r w:rsidR="0041270C">
        <w:t>d</w:t>
      </w:r>
      <w:r>
        <w:t xml:space="preserve"> frontier exploration incentive was introduced as part of the 2004</w:t>
      </w:r>
      <w:r w:rsidR="005D6F39">
        <w:noBreakHyphen/>
      </w:r>
      <w:r>
        <w:t xml:space="preserve">05 </w:t>
      </w:r>
      <w:r w:rsidR="00E56626">
        <w:t>Commonwealth</w:t>
      </w:r>
      <w:r>
        <w:t xml:space="preserve"> Budget. The incentive provided </w:t>
      </w:r>
      <w:r w:rsidR="006D7098">
        <w:t xml:space="preserve">a </w:t>
      </w:r>
      <w:r>
        <w:t>150</w:t>
      </w:r>
      <w:r w:rsidR="007E6D6A">
        <w:t xml:space="preserve"> per cent</w:t>
      </w:r>
      <w:r>
        <w:t xml:space="preserve"> </w:t>
      </w:r>
      <w:r w:rsidR="00594C12">
        <w:t>allowance</w:t>
      </w:r>
      <w:r>
        <w:t xml:space="preserve"> on PRRT deductions incurred in designated offshore frontier areas for </w:t>
      </w:r>
      <w:r w:rsidR="00956FB0">
        <w:t>five</w:t>
      </w:r>
      <w:r>
        <w:t xml:space="preserve"> years. The measure had a range of restrictions and was designed to encourage exploration in areas where discoveries had not yet been commercialised. The incentive was </w:t>
      </w:r>
      <w:r w:rsidR="006D7098">
        <w:t xml:space="preserve">subsequently </w:t>
      </w:r>
      <w:r>
        <w:t xml:space="preserve">extended to cover the 2009 release </w:t>
      </w:r>
      <w:r w:rsidR="006D7098">
        <w:t>of exploration permits.</w:t>
      </w:r>
    </w:p>
    <w:p w14:paraId="419CF16B" w14:textId="1749C83F" w:rsidR="00C76D6C" w:rsidRDefault="00C76D6C">
      <w:pPr>
        <w:spacing w:after="0" w:line="240" w:lineRule="auto"/>
        <w:jc w:val="left"/>
      </w:pPr>
      <w:r>
        <w:br w:type="page"/>
      </w:r>
    </w:p>
    <w:p w14:paraId="457A88DC" w14:textId="1B23EDDC" w:rsidR="00AA7794" w:rsidRDefault="00A27226" w:rsidP="00917251">
      <w:pPr>
        <w:pStyle w:val="Heading1"/>
      </w:pPr>
      <w:bookmarkStart w:id="5143" w:name="_Toc477869888"/>
      <w:bookmarkStart w:id="5144" w:name="_Toc477871127"/>
      <w:bookmarkStart w:id="5145" w:name="_Toc477873286"/>
      <w:bookmarkStart w:id="5146" w:name="_Toc477875280"/>
      <w:bookmarkStart w:id="5147" w:name="_Toc477880193"/>
      <w:bookmarkStart w:id="5148" w:name="_Toc477881453"/>
      <w:bookmarkStart w:id="5149" w:name="_Toc477955857"/>
      <w:bookmarkStart w:id="5150" w:name="_Toc477963102"/>
      <w:bookmarkStart w:id="5151" w:name="_Toc477963588"/>
      <w:bookmarkStart w:id="5152" w:name="_Toc477965174"/>
      <w:bookmarkStart w:id="5153" w:name="_Toc477966678"/>
      <w:bookmarkStart w:id="5154" w:name="_Toc477966847"/>
      <w:bookmarkStart w:id="5155" w:name="_Toc477967187"/>
      <w:bookmarkStart w:id="5156" w:name="_Toc478121324"/>
      <w:bookmarkStart w:id="5157" w:name="_Toc478122237"/>
      <w:bookmarkStart w:id="5158" w:name="_Toc478132211"/>
      <w:bookmarkStart w:id="5159" w:name="_Toc478133237"/>
      <w:bookmarkStart w:id="5160" w:name="_Toc478132374"/>
      <w:bookmarkStart w:id="5161" w:name="_Toc478134703"/>
      <w:bookmarkStart w:id="5162" w:name="_Toc478137405"/>
      <w:bookmarkStart w:id="5163" w:name="_Toc478138477"/>
      <w:bookmarkStart w:id="5164" w:name="_Toc478140047"/>
      <w:bookmarkStart w:id="5165" w:name="_Toc478140463"/>
      <w:bookmarkStart w:id="5166" w:name="_Toc478142669"/>
      <w:bookmarkStart w:id="5167" w:name="_Toc478566385"/>
      <w:bookmarkStart w:id="5168" w:name="_Toc478569552"/>
      <w:bookmarkStart w:id="5169" w:name="_Toc478569726"/>
      <w:bookmarkStart w:id="5170" w:name="_Toc478570800"/>
      <w:bookmarkStart w:id="5171" w:name="_Toc478632999"/>
      <w:bookmarkStart w:id="5172" w:name="_Toc478641407"/>
      <w:bookmarkStart w:id="5173" w:name="_Toc478654301"/>
      <w:bookmarkStart w:id="5174" w:name="_Toc478654475"/>
      <w:bookmarkStart w:id="5175" w:name="_Toc478657770"/>
      <w:bookmarkStart w:id="5176" w:name="_Toc478993191"/>
      <w:bookmarkStart w:id="5177" w:name="_Toc479000262"/>
      <w:bookmarkStart w:id="5178" w:name="_Toc479002196"/>
      <w:bookmarkStart w:id="5179" w:name="_Toc479002368"/>
      <w:bookmarkStart w:id="5180" w:name="_Toc476577352"/>
      <w:bookmarkStart w:id="5181" w:name="_Toc476582341"/>
      <w:bookmarkStart w:id="5182" w:name="_Toc476583015"/>
      <w:bookmarkStart w:id="5183" w:name="_Toc476583732"/>
      <w:bookmarkStart w:id="5184" w:name="_Toc476584180"/>
      <w:bookmarkStart w:id="5185" w:name="_Toc476738087"/>
      <w:bookmarkStart w:id="5186" w:name="_Toc476747662"/>
      <w:bookmarkStart w:id="5187" w:name="_Toc476749072"/>
      <w:bookmarkStart w:id="5188" w:name="_Toc476753939"/>
      <w:bookmarkStart w:id="5189" w:name="_Toc476754434"/>
      <w:bookmarkStart w:id="5190" w:name="_Toc476754599"/>
      <w:bookmarkStart w:id="5191" w:name="_Toc476759838"/>
      <w:bookmarkStart w:id="5192" w:name="_Toc476761460"/>
      <w:bookmarkStart w:id="5193" w:name="_Toc476767098"/>
      <w:bookmarkStart w:id="5194" w:name="_Toc476827144"/>
      <w:bookmarkStart w:id="5195" w:name="_Toc476828837"/>
      <w:bookmarkStart w:id="5196" w:name="_Toc476833711"/>
      <w:bookmarkStart w:id="5197" w:name="_Toc476837184"/>
      <w:bookmarkStart w:id="5198" w:name="_Toc476841057"/>
      <w:bookmarkStart w:id="5199" w:name="_Toc476841262"/>
      <w:bookmarkStart w:id="5200" w:name="_Toc476842021"/>
      <w:bookmarkStart w:id="5201" w:name="_Toc476842965"/>
      <w:bookmarkStart w:id="5202" w:name="_Toc476843136"/>
      <w:bookmarkStart w:id="5203" w:name="_Toc476844634"/>
      <w:bookmarkStart w:id="5204" w:name="_Toc476845527"/>
      <w:bookmarkStart w:id="5205" w:name="_Toc476926920"/>
      <w:bookmarkStart w:id="5206" w:name="_Toc476927033"/>
      <w:bookmarkStart w:id="5207" w:name="_Toc476927207"/>
      <w:bookmarkStart w:id="5208" w:name="_Toc476928471"/>
      <w:bookmarkStart w:id="5209" w:name="_Toc476929514"/>
      <w:bookmarkStart w:id="5210" w:name="_Toc476929689"/>
      <w:bookmarkStart w:id="5211" w:name="_Toc476930732"/>
      <w:bookmarkStart w:id="5212" w:name="_Toc476931539"/>
      <w:bookmarkStart w:id="5213" w:name="_Toc479254343"/>
      <w:bookmarkStart w:id="5214" w:name="_Toc479258532"/>
      <w:bookmarkStart w:id="5215" w:name="_Toc479258848"/>
      <w:bookmarkStart w:id="5216" w:name="_Toc479259740"/>
      <w:bookmarkStart w:id="5217" w:name="_Toc479262163"/>
      <w:bookmarkStart w:id="5218" w:name="_Toc479262584"/>
      <w:bookmarkStart w:id="5219" w:name="_Toc479321285"/>
      <w:bookmarkStart w:id="5220" w:name="_Toc479326724"/>
      <w:bookmarkStart w:id="5221" w:name="_Toc479333323"/>
      <w:bookmarkStart w:id="5222" w:name="_Toc479335020"/>
      <w:bookmarkStart w:id="5223" w:name="_Toc479341735"/>
      <w:bookmarkStart w:id="5224" w:name="_Toc479345151"/>
      <w:bookmarkStart w:id="5225" w:name="_Toc479345360"/>
      <w:bookmarkStart w:id="5226" w:name="_Toc479348341"/>
      <w:bookmarkStart w:id="5227" w:name="_Toc479675935"/>
      <w:bookmarkStart w:id="5228" w:name="_Toc479690902"/>
      <w:bookmarkStart w:id="5229" w:name="_Toc479693480"/>
      <w:bookmarkStart w:id="5230" w:name="_Toc479770649"/>
      <w:r>
        <w:t>4.</w:t>
      </w:r>
      <w:r>
        <w:tab/>
      </w:r>
      <w:r w:rsidR="00336804">
        <w:t xml:space="preserve">Assessment of </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r w:rsidR="00484B7B">
        <w:t>PRRT</w:t>
      </w:r>
      <w:r w:rsidR="00336804">
        <w:t xml:space="preserve"> </w:t>
      </w:r>
      <w:r w:rsidR="00342FF2">
        <w:t>Design</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r w:rsidR="00336804">
        <w:t xml:space="preserve"> </w:t>
      </w:r>
    </w:p>
    <w:p w14:paraId="784756B7" w14:textId="2B3FEE34" w:rsidR="00AA7794" w:rsidRDefault="00002DAA" w:rsidP="00262C3E">
      <w:r>
        <w:t>T</w:t>
      </w:r>
      <w:r w:rsidR="00AA7794">
        <w:t xml:space="preserve">he PRRT is a tax with a number of design features </w:t>
      </w:r>
      <w:r w:rsidR="00615AE1">
        <w:t>of varying complexity</w:t>
      </w:r>
      <w:r w:rsidR="00AA7794">
        <w:t xml:space="preserve"> that are intended to work together. </w:t>
      </w:r>
      <w:r w:rsidR="00961C73">
        <w:t xml:space="preserve">These features </w:t>
      </w:r>
      <w:r w:rsidR="00AA7794">
        <w:t xml:space="preserve">are </w:t>
      </w:r>
      <w:r w:rsidR="006A72A9">
        <w:t>aimed at</w:t>
      </w:r>
      <w:r w:rsidR="00961C73">
        <w:t xml:space="preserve"> emulat</w:t>
      </w:r>
      <w:r w:rsidR="006A72A9">
        <w:t>ing</w:t>
      </w:r>
      <w:r w:rsidR="00615AE1">
        <w:t xml:space="preserve"> </w:t>
      </w:r>
      <w:r w:rsidR="00961C73">
        <w:t>cash flow tax outcomes</w:t>
      </w:r>
      <w:r w:rsidR="00A42B12">
        <w:t xml:space="preserve"> (</w:t>
      </w:r>
      <w:r w:rsidR="006A5285">
        <w:t xml:space="preserve">see </w:t>
      </w:r>
      <w:r w:rsidR="00673420" w:rsidRPr="006D28D4">
        <w:t>s</w:t>
      </w:r>
      <w:r w:rsidR="00A42B12" w:rsidRPr="006D28D4">
        <w:t>ection</w:t>
      </w:r>
      <w:r w:rsidR="00B457EC" w:rsidRPr="006D28D4">
        <w:t> </w:t>
      </w:r>
      <w:r w:rsidR="00A42B12" w:rsidRPr="006D28D4">
        <w:t>2.1.1</w:t>
      </w:r>
      <w:r w:rsidR="00A42B12">
        <w:t>)</w:t>
      </w:r>
      <w:r w:rsidR="00654DE6">
        <w:t>, while</w:t>
      </w:r>
      <w:r w:rsidR="00961C73">
        <w:t xml:space="preserve"> limiting the consequences of </w:t>
      </w:r>
      <w:r w:rsidR="00AA7794">
        <w:t xml:space="preserve">not </w:t>
      </w:r>
      <w:r w:rsidR="00961C73">
        <w:t xml:space="preserve">guaranteeing the </w:t>
      </w:r>
      <w:r w:rsidR="00A42B12">
        <w:t>utilisation</w:t>
      </w:r>
      <w:r w:rsidR="00961C73">
        <w:t xml:space="preserve"> of tax losses</w:t>
      </w:r>
      <w:r w:rsidR="00654DE6">
        <w:t xml:space="preserve"> (and consequent </w:t>
      </w:r>
      <w:r w:rsidR="0056443A">
        <w:t xml:space="preserve">Government </w:t>
      </w:r>
      <w:r w:rsidR="00654DE6">
        <w:t>budget risk)</w:t>
      </w:r>
      <w:r w:rsidR="005D6F39">
        <w:t xml:space="preserve"> — </w:t>
      </w:r>
      <w:r w:rsidR="001A245A">
        <w:t xml:space="preserve">as </w:t>
      </w:r>
      <w:r w:rsidR="00A42B12">
        <w:t>well as</w:t>
      </w:r>
      <w:r w:rsidR="00AA7794">
        <w:t xml:space="preserve"> </w:t>
      </w:r>
      <w:r w:rsidR="00961C73">
        <w:t>separat</w:t>
      </w:r>
      <w:r w:rsidR="00183CDD">
        <w:t>ing</w:t>
      </w:r>
      <w:r w:rsidR="00961C73">
        <w:t xml:space="preserve"> the resource tax base from downstream activities.</w:t>
      </w:r>
      <w:r w:rsidR="00AA7794">
        <w:t xml:space="preserve"> </w:t>
      </w:r>
      <w:r>
        <w:t>T</w:t>
      </w:r>
      <w:r w:rsidR="00AA7794">
        <w:t xml:space="preserve">he uplift rates, the taxing point, </w:t>
      </w:r>
      <w:r w:rsidR="001A245A">
        <w:t>the</w:t>
      </w:r>
      <w:r w:rsidR="00AA7794">
        <w:t xml:space="preserve"> tax base (defined by what can be included as deductible expenditure and what constitutes assessable receipts) </w:t>
      </w:r>
      <w:r w:rsidR="001A245A">
        <w:t xml:space="preserve">and establishing the resource price at the taxing point </w:t>
      </w:r>
      <w:r w:rsidR="00AA7794">
        <w:t>are all important elements of the design aimed at tax</w:t>
      </w:r>
      <w:r w:rsidR="00171BE4">
        <w:t>ing</w:t>
      </w:r>
      <w:r w:rsidR="00AA7794">
        <w:t xml:space="preserve"> resource rents</w:t>
      </w:r>
      <w:r w:rsidR="001A245A">
        <w:t xml:space="preserve"> (</w:t>
      </w:r>
      <w:r w:rsidR="006A5285">
        <w:t xml:space="preserve">see </w:t>
      </w:r>
      <w:r w:rsidR="00673420" w:rsidRPr="006D28D4">
        <w:t>s</w:t>
      </w:r>
      <w:r w:rsidR="001A245A" w:rsidRPr="006D28D4">
        <w:t>ection 3.1</w:t>
      </w:r>
      <w:r w:rsidR="001A245A">
        <w:t>)</w:t>
      </w:r>
      <w:r w:rsidR="00AA7794">
        <w:t xml:space="preserve">. </w:t>
      </w:r>
      <w:r w:rsidR="001A245A">
        <w:t>F</w:t>
      </w:r>
      <w:r w:rsidR="00AA7794">
        <w:t xml:space="preserve">eatures </w:t>
      </w:r>
      <w:r w:rsidR="006A72A9">
        <w:t>such as</w:t>
      </w:r>
      <w:r w:rsidR="00AA7794">
        <w:t xml:space="preserve"> the headline </w:t>
      </w:r>
      <w:r w:rsidR="001A245A">
        <w:t xml:space="preserve">tax </w:t>
      </w:r>
      <w:r w:rsidR="00AA7794">
        <w:t>rate rest on judgements about balancing the need to deliver a</w:t>
      </w:r>
      <w:r>
        <w:t>n</w:t>
      </w:r>
      <w:r w:rsidR="00AA7794">
        <w:t xml:space="preserve"> </w:t>
      </w:r>
      <w:r>
        <w:t>equitable</w:t>
      </w:r>
      <w:r w:rsidR="00AA7794">
        <w:t xml:space="preserve"> return to the community for the use of its resources while ensuring industry has a sufficient incentive to take on risk and invest in projects.</w:t>
      </w:r>
    </w:p>
    <w:p w14:paraId="63D69540" w14:textId="794E19D7" w:rsidR="00AA7794" w:rsidRDefault="00AA7794" w:rsidP="00262C3E">
      <w:r>
        <w:t xml:space="preserve">The review has been conscious that in </w:t>
      </w:r>
      <w:r w:rsidR="00E90B65">
        <w:t>assessing particular</w:t>
      </w:r>
      <w:r>
        <w:t xml:space="preserve"> PRRT design features </w:t>
      </w:r>
      <w:r w:rsidR="00002DAA">
        <w:t xml:space="preserve">to </w:t>
      </w:r>
      <w:r w:rsidR="007854D3">
        <w:t>judge</w:t>
      </w:r>
      <w:r w:rsidR="00002DAA">
        <w:t xml:space="preserve"> whether</w:t>
      </w:r>
      <w:r w:rsidR="0022200F">
        <w:t xml:space="preserve"> the </w:t>
      </w:r>
      <w:r w:rsidR="00E90B65">
        <w:t>PRRT is</w:t>
      </w:r>
      <w:r w:rsidR="00002DAA">
        <w:t xml:space="preserve"> operating as intended</w:t>
      </w:r>
      <w:r>
        <w:t xml:space="preserve">, those features need to be balanced against how they interact with other </w:t>
      </w:r>
      <w:r w:rsidR="005553F5">
        <w:t>elements</w:t>
      </w:r>
      <w:r>
        <w:t xml:space="preserve"> </w:t>
      </w:r>
      <w:r w:rsidR="00002DAA">
        <w:t>of the PRRT</w:t>
      </w:r>
      <w:r w:rsidR="007D78B5">
        <w:t xml:space="preserve"> and</w:t>
      </w:r>
      <w:r>
        <w:t xml:space="preserve"> in the context of how the tax </w:t>
      </w:r>
      <w:r w:rsidR="005553F5">
        <w:t>is working</w:t>
      </w:r>
      <w:r>
        <w:t xml:space="preserve"> as whole.</w:t>
      </w:r>
    </w:p>
    <w:p w14:paraId="3A28B24F" w14:textId="15EAE35F" w:rsidR="00AA7794" w:rsidRDefault="00262C3E" w:rsidP="00262C3E">
      <w:pPr>
        <w:pStyle w:val="Heading2"/>
      </w:pPr>
      <w:bookmarkStart w:id="5231" w:name="_Toc476577353"/>
      <w:bookmarkStart w:id="5232" w:name="_Toc476582342"/>
      <w:bookmarkStart w:id="5233" w:name="_Toc476583016"/>
      <w:bookmarkStart w:id="5234" w:name="_Toc476583733"/>
      <w:bookmarkStart w:id="5235" w:name="_Toc476584181"/>
      <w:bookmarkStart w:id="5236" w:name="_Toc476738088"/>
      <w:bookmarkStart w:id="5237" w:name="_Toc476747663"/>
      <w:bookmarkStart w:id="5238" w:name="_Toc476749073"/>
      <w:bookmarkStart w:id="5239" w:name="_Toc476753940"/>
      <w:bookmarkStart w:id="5240" w:name="_Toc476754435"/>
      <w:bookmarkStart w:id="5241" w:name="_Toc476754600"/>
      <w:bookmarkStart w:id="5242" w:name="_Toc476759839"/>
      <w:bookmarkStart w:id="5243" w:name="_Toc476761461"/>
      <w:bookmarkStart w:id="5244" w:name="_Toc476767099"/>
      <w:bookmarkStart w:id="5245" w:name="_Toc476827145"/>
      <w:bookmarkStart w:id="5246" w:name="_Toc476828838"/>
      <w:bookmarkStart w:id="5247" w:name="_Toc476833712"/>
      <w:bookmarkStart w:id="5248" w:name="_Toc476837185"/>
      <w:bookmarkStart w:id="5249" w:name="_Toc476841058"/>
      <w:bookmarkStart w:id="5250" w:name="_Toc476841263"/>
      <w:bookmarkStart w:id="5251" w:name="_Toc476842022"/>
      <w:bookmarkStart w:id="5252" w:name="_Toc476842966"/>
      <w:bookmarkStart w:id="5253" w:name="_Toc476843137"/>
      <w:bookmarkStart w:id="5254" w:name="_Toc476844635"/>
      <w:bookmarkStart w:id="5255" w:name="_Toc476845528"/>
      <w:bookmarkStart w:id="5256" w:name="_Toc476926921"/>
      <w:bookmarkStart w:id="5257" w:name="_Toc476927034"/>
      <w:bookmarkStart w:id="5258" w:name="_Toc476927208"/>
      <w:bookmarkStart w:id="5259" w:name="_Toc476928472"/>
      <w:bookmarkStart w:id="5260" w:name="_Toc476929515"/>
      <w:bookmarkStart w:id="5261" w:name="_Toc476929690"/>
      <w:bookmarkStart w:id="5262" w:name="_Toc476930733"/>
      <w:bookmarkStart w:id="5263" w:name="_Toc476931540"/>
      <w:bookmarkStart w:id="5264" w:name="_Toc477869889"/>
      <w:bookmarkStart w:id="5265" w:name="_Toc477871128"/>
      <w:bookmarkStart w:id="5266" w:name="_Toc477873287"/>
      <w:bookmarkStart w:id="5267" w:name="_Toc477875281"/>
      <w:bookmarkStart w:id="5268" w:name="_Toc477880194"/>
      <w:bookmarkStart w:id="5269" w:name="_Toc477881454"/>
      <w:bookmarkStart w:id="5270" w:name="_Toc477955858"/>
      <w:bookmarkStart w:id="5271" w:name="_Toc477963103"/>
      <w:bookmarkStart w:id="5272" w:name="_Toc477963589"/>
      <w:bookmarkStart w:id="5273" w:name="_Toc477965175"/>
      <w:bookmarkStart w:id="5274" w:name="_Toc477966679"/>
      <w:bookmarkStart w:id="5275" w:name="_Toc477966848"/>
      <w:bookmarkStart w:id="5276" w:name="_Toc477967188"/>
      <w:bookmarkStart w:id="5277" w:name="_Toc478121325"/>
      <w:bookmarkStart w:id="5278" w:name="_Toc478122238"/>
      <w:bookmarkStart w:id="5279" w:name="_Toc478132212"/>
      <w:bookmarkStart w:id="5280" w:name="_Toc478133238"/>
      <w:bookmarkStart w:id="5281" w:name="_Toc478132375"/>
      <w:bookmarkStart w:id="5282" w:name="_Toc478134704"/>
      <w:bookmarkStart w:id="5283" w:name="_Toc478137406"/>
      <w:bookmarkStart w:id="5284" w:name="_Toc478138478"/>
      <w:bookmarkStart w:id="5285" w:name="_Toc478140048"/>
      <w:bookmarkStart w:id="5286" w:name="_Toc478140464"/>
      <w:bookmarkStart w:id="5287" w:name="_Toc478142670"/>
      <w:bookmarkStart w:id="5288" w:name="_Toc478566386"/>
      <w:bookmarkStart w:id="5289" w:name="_Toc478569553"/>
      <w:bookmarkStart w:id="5290" w:name="_Toc478569727"/>
      <w:bookmarkStart w:id="5291" w:name="_Toc478570801"/>
      <w:bookmarkStart w:id="5292" w:name="_Toc478633000"/>
      <w:bookmarkStart w:id="5293" w:name="_Toc478641408"/>
      <w:bookmarkStart w:id="5294" w:name="_Toc478654302"/>
      <w:bookmarkStart w:id="5295" w:name="_Toc478654476"/>
      <w:bookmarkStart w:id="5296" w:name="_Toc478657771"/>
      <w:bookmarkStart w:id="5297" w:name="_Toc478993192"/>
      <w:bookmarkStart w:id="5298" w:name="_Toc479000263"/>
      <w:bookmarkStart w:id="5299" w:name="_Toc479002197"/>
      <w:bookmarkStart w:id="5300" w:name="_Toc479002369"/>
      <w:bookmarkStart w:id="5301" w:name="_Toc479254344"/>
      <w:bookmarkStart w:id="5302" w:name="_Toc479258533"/>
      <w:bookmarkStart w:id="5303" w:name="_Toc479258849"/>
      <w:bookmarkStart w:id="5304" w:name="_Toc479259741"/>
      <w:bookmarkStart w:id="5305" w:name="_Toc479262164"/>
      <w:bookmarkStart w:id="5306" w:name="_Toc479262585"/>
      <w:bookmarkStart w:id="5307" w:name="_Toc479321286"/>
      <w:bookmarkStart w:id="5308" w:name="_Toc479326725"/>
      <w:bookmarkStart w:id="5309" w:name="_Toc479333324"/>
      <w:bookmarkStart w:id="5310" w:name="_Toc479335021"/>
      <w:bookmarkStart w:id="5311" w:name="_Toc479341736"/>
      <w:bookmarkStart w:id="5312" w:name="_Toc479345152"/>
      <w:bookmarkStart w:id="5313" w:name="_Toc479345361"/>
      <w:bookmarkStart w:id="5314" w:name="_Toc479348342"/>
      <w:bookmarkStart w:id="5315" w:name="_Toc479675936"/>
      <w:bookmarkStart w:id="5316" w:name="_Toc479690903"/>
      <w:bookmarkStart w:id="5317" w:name="_Toc479693481"/>
      <w:bookmarkStart w:id="5318" w:name="_Toc479770650"/>
      <w:r>
        <w:t>4.1</w:t>
      </w:r>
      <w:r>
        <w:tab/>
        <w:t>The PRRT Rate</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464D566B" w14:textId="77001E60" w:rsidR="00AA7794" w:rsidRDefault="00AA7794" w:rsidP="00262C3E">
      <w:r>
        <w:t xml:space="preserve">The </w:t>
      </w:r>
      <w:r w:rsidR="00451086">
        <w:t xml:space="preserve">PRRT </w:t>
      </w:r>
      <w:r>
        <w:t xml:space="preserve">tax rate determines how the resource rent in a petroleum project is shared between the company and the government. </w:t>
      </w:r>
      <w:r w:rsidR="0022200F">
        <w:t>T</w:t>
      </w:r>
      <w:r>
        <w:t xml:space="preserve">he PRRT is levied at a rate of 40 per cent of a </w:t>
      </w:r>
      <w:r w:rsidR="00A8014A">
        <w:t xml:space="preserve">petroleum </w:t>
      </w:r>
      <w:r w:rsidR="00F52950">
        <w:t>project</w:t>
      </w:r>
      <w:r w:rsidR="005D6F39">
        <w:t>’</w:t>
      </w:r>
      <w:r w:rsidR="00F52950">
        <w:t>s taxable profit.</w:t>
      </w:r>
    </w:p>
    <w:p w14:paraId="482D5F06" w14:textId="1DA2A634" w:rsidR="00F52950" w:rsidRPr="00F52950" w:rsidRDefault="00F52950" w:rsidP="00F52950">
      <w:pPr>
        <w:rPr>
          <w:color w:val="1F497D" w:themeColor="text2"/>
          <w:sz w:val="20"/>
        </w:rPr>
      </w:pPr>
      <w:r>
        <w:t>The Australia</w:t>
      </w:r>
      <w:r w:rsidR="005D6F39">
        <w:t>’</w:t>
      </w:r>
      <w:r>
        <w:t xml:space="preserve">s Future Tax </w:t>
      </w:r>
      <w:r w:rsidR="00535785">
        <w:t xml:space="preserve">System </w:t>
      </w:r>
      <w:r>
        <w:t>Review</w:t>
      </w:r>
      <w:r w:rsidR="006A5285">
        <w:t xml:space="preserve"> </w:t>
      </w:r>
      <w:r w:rsidR="00535785">
        <w:t>(AFTS</w:t>
      </w:r>
      <w:r w:rsidR="00F43CD0">
        <w:t>)</w:t>
      </w:r>
      <w:r>
        <w:t xml:space="preserve"> noted that, </w:t>
      </w:r>
      <w:r w:rsidR="005D6F39">
        <w:t>‘</w:t>
      </w:r>
      <w:r>
        <w:t>the rate of the resource rent tax should be set to achieve an appropriate return for the community for the exploitation of its resources</w:t>
      </w:r>
      <w:r w:rsidR="00317E15">
        <w:t xml:space="preserve"> (</w:t>
      </w:r>
      <w:r w:rsidR="00317E15" w:rsidRPr="006A5285">
        <w:t>Australia</w:t>
      </w:r>
      <w:r w:rsidR="005D6F39">
        <w:t>’</w:t>
      </w:r>
      <w:r w:rsidR="00317E15" w:rsidRPr="006A5285">
        <w:t>s Future Tax System Review, 2010, p. 233</w:t>
      </w:r>
      <w:r w:rsidR="00317E15">
        <w:t>)</w:t>
      </w:r>
      <w:r w:rsidR="005D6F39">
        <w:t>’</w:t>
      </w:r>
      <w:r>
        <w:t xml:space="preserve">. </w:t>
      </w:r>
      <w:r w:rsidR="0022200F">
        <w:t>As AFTS implies,</w:t>
      </w:r>
      <w:r>
        <w:t xml:space="preserve"> the rate of </w:t>
      </w:r>
      <w:r w:rsidR="00FB47DC">
        <w:t xml:space="preserve">the resource rent </w:t>
      </w:r>
      <w:r>
        <w:t>tax is a matter for the judgement of the government of the day.</w:t>
      </w:r>
    </w:p>
    <w:p w14:paraId="22487106" w14:textId="18EEA925" w:rsidR="00F52950" w:rsidRDefault="00673420" w:rsidP="00262C3E">
      <w:r>
        <w:t>In its submission, T</w:t>
      </w:r>
      <w:r w:rsidR="00F52950">
        <w:t>he Australia Institute noted that a higher tax rate could be considered.</w:t>
      </w:r>
    </w:p>
    <w:p w14:paraId="08D63EB8" w14:textId="2F8023F3" w:rsidR="00F52950" w:rsidRPr="00451086" w:rsidRDefault="00F52950" w:rsidP="00F52950">
      <w:pPr>
        <w:ind w:left="567" w:right="565"/>
        <w:rPr>
          <w:color w:val="1F497D" w:themeColor="text2"/>
          <w:sz w:val="20"/>
        </w:rPr>
      </w:pPr>
      <w:r w:rsidRPr="00451086">
        <w:rPr>
          <w:color w:val="1F497D" w:themeColor="text2"/>
          <w:sz w:val="20"/>
        </w:rPr>
        <w:t>Once the operator</w:t>
      </w:r>
      <w:r w:rsidR="005D6F39">
        <w:rPr>
          <w:color w:val="1F497D" w:themeColor="text2"/>
          <w:sz w:val="20"/>
        </w:rPr>
        <w:t>’</w:t>
      </w:r>
      <w:r w:rsidRPr="00451086">
        <w:rPr>
          <w:color w:val="1F497D" w:themeColor="text2"/>
          <w:sz w:val="20"/>
        </w:rPr>
        <w:t xml:space="preserve">s reasonable costs (including the going rate of return) are covered, any additional revenue is unnecessary to attract the operator and so can be taken by the government without affecting the incentive to operate that project. In principle </w:t>
      </w:r>
      <w:r w:rsidRPr="00F52950">
        <w:rPr>
          <w:color w:val="1F497D" w:themeColor="text2"/>
          <w:sz w:val="20"/>
        </w:rPr>
        <w:t>all</w:t>
      </w:r>
      <w:r w:rsidRPr="00451086">
        <w:rPr>
          <w:color w:val="1F497D" w:themeColor="text2"/>
          <w:sz w:val="20"/>
        </w:rPr>
        <w:t xml:space="preserve"> the super profit should be returned to the people who own the superior resource.</w:t>
      </w:r>
      <w:r>
        <w:rPr>
          <w:color w:val="1F497D" w:themeColor="text2"/>
          <w:sz w:val="20"/>
        </w:rPr>
        <w:t xml:space="preserve"> </w:t>
      </w:r>
      <w:r w:rsidRPr="00F52950">
        <w:rPr>
          <w:color w:val="1F497D" w:themeColor="text2"/>
          <w:sz w:val="20"/>
        </w:rPr>
        <w:t>If we acknowledge that the PRRT is a mechanism for recovering the benefit of the</w:t>
      </w:r>
      <w:r>
        <w:rPr>
          <w:color w:val="1F497D" w:themeColor="text2"/>
          <w:sz w:val="20"/>
        </w:rPr>
        <w:t xml:space="preserve"> </w:t>
      </w:r>
      <w:r w:rsidRPr="00F52950">
        <w:rPr>
          <w:color w:val="1F497D" w:themeColor="text2"/>
          <w:sz w:val="20"/>
        </w:rPr>
        <w:t>resource for the community then it is unnecessary to share over half of the super profit with the operator. However, just enough has to be left with the operator so there remains some incentive to operate efficiently. Experience in countries like Norway suggests the total tax on profits can approach 90 per cent witho</w:t>
      </w:r>
      <w:r w:rsidR="000240DB">
        <w:rPr>
          <w:color w:val="1F497D" w:themeColor="text2"/>
          <w:sz w:val="20"/>
        </w:rPr>
        <w:t xml:space="preserve">ut deterring investment </w:t>
      </w:r>
      <w:r w:rsidR="000240DB" w:rsidRPr="006A5285">
        <w:rPr>
          <w:color w:val="1F497D" w:themeColor="text2"/>
          <w:sz w:val="20"/>
        </w:rPr>
        <w:t>(</w:t>
      </w:r>
      <w:r w:rsidR="00673420">
        <w:rPr>
          <w:color w:val="1F497D" w:themeColor="text2"/>
          <w:sz w:val="20"/>
        </w:rPr>
        <w:t xml:space="preserve">The </w:t>
      </w:r>
      <w:r w:rsidRPr="006A5285">
        <w:rPr>
          <w:color w:val="1F497D" w:themeColor="text2"/>
          <w:sz w:val="20"/>
        </w:rPr>
        <w:t xml:space="preserve">Australia Institute Submission, </w:t>
      </w:r>
      <w:r w:rsidR="000A6931" w:rsidRPr="006A5285">
        <w:rPr>
          <w:color w:val="1F497D" w:themeColor="text2"/>
          <w:sz w:val="20"/>
        </w:rPr>
        <w:t xml:space="preserve">2010, </w:t>
      </w:r>
      <w:r w:rsidRPr="006A5285">
        <w:rPr>
          <w:color w:val="1F497D" w:themeColor="text2"/>
          <w:sz w:val="20"/>
        </w:rPr>
        <w:t>p. 5</w:t>
      </w:r>
      <w:r w:rsidR="000240DB" w:rsidRPr="006A5285">
        <w:rPr>
          <w:color w:val="1F497D" w:themeColor="text2"/>
          <w:sz w:val="20"/>
        </w:rPr>
        <w:t>)</w:t>
      </w:r>
      <w:r w:rsidR="00F43CD0">
        <w:rPr>
          <w:color w:val="1F497D" w:themeColor="text2"/>
          <w:sz w:val="20"/>
        </w:rPr>
        <w:t>.</w:t>
      </w:r>
    </w:p>
    <w:p w14:paraId="11CC8B35" w14:textId="5030CB45" w:rsidR="00F52950" w:rsidRDefault="00F52950" w:rsidP="00F52950">
      <w:r>
        <w:t xml:space="preserve">While well designed resource rent taxes can in theory be levied at relatively high rates without deterring incentives to invest and develop projects, the </w:t>
      </w:r>
      <w:r w:rsidR="00FB47DC">
        <w:t xml:space="preserve">academic </w:t>
      </w:r>
      <w:r>
        <w:t>literature recognises the difficulty of tar</w:t>
      </w:r>
      <w:r w:rsidR="00065642">
        <w:t>geting resource rents precisely</w:t>
      </w:r>
      <w:r w:rsidR="00183CDD">
        <w:t xml:space="preserve"> </w:t>
      </w:r>
      <w:r>
        <w:t xml:space="preserve">and notes </w:t>
      </w:r>
      <w:r w:rsidR="006542D3">
        <w:t xml:space="preserve">a </w:t>
      </w:r>
      <w:r>
        <w:t xml:space="preserve">sufficient incentive </w:t>
      </w:r>
      <w:r w:rsidR="000B1CE6">
        <w:t xml:space="preserve">still </w:t>
      </w:r>
      <w:r>
        <w:t xml:space="preserve">needs to be present for firms to take on project risks. AFTS also cautioned against setting the </w:t>
      </w:r>
      <w:r w:rsidR="000B1CE6">
        <w:t xml:space="preserve">resource rent tax </w:t>
      </w:r>
      <w:r>
        <w:t>rate too high.</w:t>
      </w:r>
    </w:p>
    <w:p w14:paraId="6F053346" w14:textId="3F61ED1F" w:rsidR="00F52950" w:rsidRPr="00F52950" w:rsidRDefault="00F52950" w:rsidP="00F52950">
      <w:pPr>
        <w:ind w:left="567" w:right="565"/>
        <w:rPr>
          <w:color w:val="1F497D" w:themeColor="text2"/>
          <w:sz w:val="20"/>
        </w:rPr>
      </w:pPr>
      <w:r w:rsidRPr="00F52950">
        <w:rPr>
          <w:color w:val="1F497D" w:themeColor="text2"/>
          <w:sz w:val="20"/>
        </w:rPr>
        <w:t>If a rent</w:t>
      </w:r>
      <w:r w:rsidR="005D6F39">
        <w:rPr>
          <w:color w:val="1F497D" w:themeColor="text2"/>
          <w:sz w:val="20"/>
        </w:rPr>
        <w:noBreakHyphen/>
      </w:r>
      <w:r w:rsidRPr="00F52950">
        <w:rPr>
          <w:color w:val="1F497D" w:themeColor="text2"/>
          <w:sz w:val="20"/>
        </w:rPr>
        <w:t xml:space="preserve">based tax is levied at a rate of 100 per cent, it would be similar to the government outsourcing exploration and production to private firms — the government would effectively pay all the costs and, in return, receive all the receipts from a project. This would erode the return to resources because there would be no incentive for private firms to make decisions that maximise the return. Further, a very high tax rate would increase the incentive for private firms to minimise tax by understating revenue and overstating costs. It could also lead to viable projects not being undertaken if the amount subject to tax overstates the rent due to the design of the tax law </w:t>
      </w:r>
      <w:r w:rsidRPr="006A5285">
        <w:rPr>
          <w:color w:val="1F497D" w:themeColor="text2"/>
          <w:sz w:val="20"/>
        </w:rPr>
        <w:t>(Australia</w:t>
      </w:r>
      <w:r w:rsidR="005D6F39">
        <w:rPr>
          <w:color w:val="1F497D" w:themeColor="text2"/>
          <w:sz w:val="20"/>
        </w:rPr>
        <w:t>’</w:t>
      </w:r>
      <w:r w:rsidRPr="006A5285">
        <w:rPr>
          <w:color w:val="1F497D" w:themeColor="text2"/>
          <w:sz w:val="20"/>
        </w:rPr>
        <w:t>s Future Tax System Review, 2010, p. 233)</w:t>
      </w:r>
      <w:r w:rsidRPr="000A6931">
        <w:rPr>
          <w:color w:val="1F497D" w:themeColor="text2"/>
          <w:sz w:val="20"/>
        </w:rPr>
        <w:t>.</w:t>
      </w:r>
    </w:p>
    <w:p w14:paraId="674BD79B" w14:textId="16AE94FB" w:rsidR="000B1CE6" w:rsidRDefault="00184C13" w:rsidP="00262C3E">
      <w:r>
        <w:t>Most submissions from the oil and gas sector indicated that the current tax rate is fair and appropriate.</w:t>
      </w:r>
    </w:p>
    <w:p w14:paraId="06C49526" w14:textId="09D15D80" w:rsidR="000B1CE6" w:rsidRPr="00184C13" w:rsidRDefault="00184C13" w:rsidP="00184C13">
      <w:pPr>
        <w:ind w:left="567" w:right="565"/>
        <w:rPr>
          <w:color w:val="1F497D" w:themeColor="text2"/>
          <w:sz w:val="20"/>
        </w:rPr>
      </w:pPr>
      <w:r w:rsidRPr="00184C13">
        <w:rPr>
          <w:color w:val="1F497D" w:themeColor="text2"/>
          <w:sz w:val="20"/>
        </w:rPr>
        <w:t>The fiscal benefit for Australia is that once PRRT is payable, it is levied at a high rate of 40</w:t>
      </w:r>
      <w:r w:rsidR="00C026C1">
        <w:rPr>
          <w:color w:val="1F497D" w:themeColor="text2"/>
          <w:sz w:val="20"/>
        </w:rPr>
        <w:t> per cent</w:t>
      </w:r>
      <w:r w:rsidRPr="00184C13">
        <w:rPr>
          <w:color w:val="1F497D" w:themeColor="text2"/>
          <w:sz w:val="20"/>
        </w:rPr>
        <w:t>, ensuring that the long</w:t>
      </w:r>
      <w:r w:rsidR="005D6F39">
        <w:rPr>
          <w:color w:val="1F497D" w:themeColor="text2"/>
          <w:sz w:val="20"/>
        </w:rPr>
        <w:noBreakHyphen/>
      </w:r>
      <w:r w:rsidRPr="00184C13">
        <w:rPr>
          <w:color w:val="1F497D" w:themeColor="text2"/>
          <w:sz w:val="20"/>
        </w:rPr>
        <w:t>term return for the nation can be substantial</w:t>
      </w:r>
      <w:r>
        <w:rPr>
          <w:color w:val="1F497D" w:themeColor="text2"/>
          <w:sz w:val="20"/>
        </w:rPr>
        <w:t xml:space="preserve"> </w:t>
      </w:r>
      <w:r w:rsidR="00251335" w:rsidRPr="006A5285">
        <w:rPr>
          <w:color w:val="1F497D" w:themeColor="text2"/>
          <w:sz w:val="20"/>
        </w:rPr>
        <w:t>(</w:t>
      </w:r>
      <w:r w:rsidR="000A6931" w:rsidRPr="006A5285">
        <w:rPr>
          <w:color w:val="1F497D" w:themeColor="text2"/>
          <w:sz w:val="20"/>
        </w:rPr>
        <w:t>Chevron Submission, p. 3</w:t>
      </w:r>
      <w:r w:rsidR="00251335" w:rsidRPr="006A5285">
        <w:rPr>
          <w:color w:val="1F497D" w:themeColor="text2"/>
          <w:sz w:val="20"/>
        </w:rPr>
        <w:t>)</w:t>
      </w:r>
      <w:r w:rsidR="000A6931">
        <w:rPr>
          <w:color w:val="1F497D" w:themeColor="text2"/>
          <w:sz w:val="20"/>
        </w:rPr>
        <w:t>.</w:t>
      </w:r>
    </w:p>
    <w:p w14:paraId="3E9A7A11" w14:textId="2F6A7261" w:rsidR="00AA7794" w:rsidRDefault="00184C13" w:rsidP="00262C3E">
      <w:r>
        <w:t xml:space="preserve">In addition, </w:t>
      </w:r>
      <w:r w:rsidR="00F52950">
        <w:t>A</w:t>
      </w:r>
      <w:r w:rsidR="005730BF" w:rsidRPr="005730BF">
        <w:t>PPEA noted that project estimates prepared</w:t>
      </w:r>
      <w:r w:rsidR="005730BF">
        <w:t xml:space="preserve"> for the </w:t>
      </w:r>
      <w:r w:rsidR="005730BF" w:rsidRPr="00184C13">
        <w:rPr>
          <w:i/>
        </w:rPr>
        <w:t>2012 Business Tax Working Group</w:t>
      </w:r>
      <w:r w:rsidR="00673420">
        <w:t xml:space="preserve"> indicated that the G</w:t>
      </w:r>
      <w:r w:rsidR="005730BF">
        <w:t>overnment</w:t>
      </w:r>
      <w:r w:rsidR="005D6F39">
        <w:t>’</w:t>
      </w:r>
      <w:r w:rsidR="005730BF">
        <w:t>s share of the present value of net project cash flows exceeded the share</w:t>
      </w:r>
      <w:r w:rsidR="00E35FBD">
        <w:t xml:space="preserve"> for investors (</w:t>
      </w:r>
      <w:r w:rsidR="00E35FBD" w:rsidRPr="006A5285">
        <w:t xml:space="preserve">APPEA </w:t>
      </w:r>
      <w:r w:rsidR="00C57BE3" w:rsidRPr="006A5285">
        <w:t>Submission, p</w:t>
      </w:r>
      <w:r w:rsidR="00E35FBD" w:rsidRPr="006A5285">
        <w:t>. 19</w:t>
      </w:r>
      <w:r w:rsidR="00E35FBD">
        <w:t>)</w:t>
      </w:r>
      <w:r w:rsidR="00C57BE3">
        <w:t>.</w:t>
      </w:r>
      <w:r w:rsidR="00E35FBD">
        <w:t xml:space="preserve"> Similarly, Woodside noted that:</w:t>
      </w:r>
    </w:p>
    <w:p w14:paraId="194EC4EB" w14:textId="1E10CD87" w:rsidR="00E35FBD" w:rsidRPr="00E35FBD" w:rsidRDefault="00E35FBD" w:rsidP="00E35FBD">
      <w:pPr>
        <w:ind w:left="567" w:right="565"/>
        <w:rPr>
          <w:color w:val="1F497D" w:themeColor="text2"/>
          <w:sz w:val="20"/>
        </w:rPr>
      </w:pPr>
      <w:r w:rsidRPr="00E35FBD">
        <w:rPr>
          <w:color w:val="1F497D" w:themeColor="text2"/>
          <w:sz w:val="20"/>
        </w:rPr>
        <w:t>The Australian tax regime enables the government to receive revenue from the start</w:t>
      </w:r>
      <w:r w:rsidR="005D6F39">
        <w:rPr>
          <w:color w:val="1F497D" w:themeColor="text2"/>
          <w:sz w:val="20"/>
        </w:rPr>
        <w:noBreakHyphen/>
      </w:r>
      <w:r w:rsidRPr="00E35FBD">
        <w:rPr>
          <w:color w:val="1F497D" w:themeColor="text2"/>
          <w:sz w:val="20"/>
        </w:rPr>
        <w:t>up and extract the majority of a project</w:t>
      </w:r>
      <w:r w:rsidR="005D6F39">
        <w:rPr>
          <w:color w:val="1F497D" w:themeColor="text2"/>
          <w:sz w:val="20"/>
        </w:rPr>
        <w:t>’</w:t>
      </w:r>
      <w:r w:rsidRPr="00E35FBD">
        <w:rPr>
          <w:color w:val="1F497D" w:themeColor="text2"/>
          <w:sz w:val="20"/>
        </w:rPr>
        <w:t>s value well before investors have</w:t>
      </w:r>
      <w:r w:rsidR="00251335">
        <w:rPr>
          <w:color w:val="1F497D" w:themeColor="text2"/>
          <w:sz w:val="20"/>
        </w:rPr>
        <w:t xml:space="preserve"> even met their cost of capital (</w:t>
      </w:r>
      <w:r w:rsidRPr="006A5285">
        <w:rPr>
          <w:color w:val="1F497D" w:themeColor="text2"/>
          <w:sz w:val="20"/>
        </w:rPr>
        <w:t xml:space="preserve">Woodside </w:t>
      </w:r>
      <w:r w:rsidR="00C57BE3" w:rsidRPr="006A5285">
        <w:rPr>
          <w:color w:val="1F497D" w:themeColor="text2"/>
          <w:sz w:val="20"/>
        </w:rPr>
        <w:t>S</w:t>
      </w:r>
      <w:r w:rsidRPr="006A5285">
        <w:rPr>
          <w:color w:val="1F497D" w:themeColor="text2"/>
          <w:sz w:val="20"/>
        </w:rPr>
        <w:t>ubmission, p.</w:t>
      </w:r>
      <w:r w:rsidR="008B4FA4" w:rsidRPr="006A5285">
        <w:rPr>
          <w:color w:val="1F497D" w:themeColor="text2"/>
          <w:sz w:val="20"/>
        </w:rPr>
        <w:t xml:space="preserve"> </w:t>
      </w:r>
      <w:r w:rsidRPr="006A5285">
        <w:rPr>
          <w:color w:val="1F497D" w:themeColor="text2"/>
          <w:sz w:val="20"/>
        </w:rPr>
        <w:t>7</w:t>
      </w:r>
      <w:r w:rsidR="00251335" w:rsidRPr="006A5285">
        <w:rPr>
          <w:color w:val="1F497D" w:themeColor="text2"/>
          <w:sz w:val="20"/>
        </w:rPr>
        <w:t>)</w:t>
      </w:r>
      <w:r w:rsidR="000A6931">
        <w:rPr>
          <w:color w:val="1F497D" w:themeColor="text2"/>
          <w:sz w:val="20"/>
        </w:rPr>
        <w:t>.</w:t>
      </w:r>
    </w:p>
    <w:p w14:paraId="48058B28" w14:textId="510EB2CE" w:rsidR="00E35FBD" w:rsidRDefault="00E35FBD" w:rsidP="00262C3E">
      <w:r>
        <w:t xml:space="preserve">These high estimates of the share of government tax take arise due to the operation of the company </w:t>
      </w:r>
      <w:r w:rsidR="00251335">
        <w:t xml:space="preserve">income </w:t>
      </w:r>
      <w:r>
        <w:t>tax</w:t>
      </w:r>
      <w:r w:rsidR="00251335">
        <w:t xml:space="preserve"> system</w:t>
      </w:r>
      <w:r>
        <w:t xml:space="preserve">, where tax is payable before projects are cash flow positive due to capital being depreciated rather than immediately expensed. In addition, investors will typically have </w:t>
      </w:r>
      <w:r w:rsidR="007756E7">
        <w:t>higher discount rates than the G</w:t>
      </w:r>
      <w:r>
        <w:t>overnment</w:t>
      </w:r>
      <w:r w:rsidR="00536FD8">
        <w:t xml:space="preserve">, which will </w:t>
      </w:r>
      <w:r w:rsidR="007756E7">
        <w:t>increase their estimate of the G</w:t>
      </w:r>
      <w:r w:rsidR="00536FD8">
        <w:t>overnment</w:t>
      </w:r>
      <w:r w:rsidR="005D6F39">
        <w:t>’</w:t>
      </w:r>
      <w:r w:rsidR="00536FD8">
        <w:t>s take of project profits in NPV terms, relative to a government discount rate.</w:t>
      </w:r>
    </w:p>
    <w:p w14:paraId="2AB1C616" w14:textId="42B9BF1E" w:rsidR="00831E00" w:rsidRDefault="005C7C4F" w:rsidP="00262C3E">
      <w:r>
        <w:t>Reviewing c</w:t>
      </w:r>
      <w:r w:rsidR="00C90D3B">
        <w:t>urrent income tax arrangements are outside the review</w:t>
      </w:r>
      <w:r w:rsidR="005D6F39">
        <w:t>’</w:t>
      </w:r>
      <w:r w:rsidR="00C90D3B">
        <w:t>s terms of reference</w:t>
      </w:r>
      <w:r w:rsidR="00831E00">
        <w:t xml:space="preserve"> and the </w:t>
      </w:r>
      <w:r w:rsidR="00427E37">
        <w:t>point</w:t>
      </w:r>
      <w:r w:rsidR="00831E00">
        <w:t xml:space="preserve"> raised </w:t>
      </w:r>
      <w:r w:rsidR="003652DA">
        <w:t xml:space="preserve">in a number of submissions that </w:t>
      </w:r>
      <w:r w:rsidR="00831E00">
        <w:t xml:space="preserve">company tax </w:t>
      </w:r>
      <w:r w:rsidR="003652DA">
        <w:t>is</w:t>
      </w:r>
      <w:r w:rsidR="00831E00">
        <w:t xml:space="preserve"> payable before </w:t>
      </w:r>
      <w:r w:rsidR="00427E37">
        <w:t>a project is cash flow positive</w:t>
      </w:r>
      <w:r w:rsidR="00831E00">
        <w:t xml:space="preserve"> </w:t>
      </w:r>
      <w:r w:rsidR="003652DA">
        <w:t xml:space="preserve">is not unique to </w:t>
      </w:r>
      <w:r w:rsidR="00A300D6">
        <w:t>the tax arrangements applying to the</w:t>
      </w:r>
      <w:r w:rsidR="00831E00">
        <w:t xml:space="preserve"> oil and gas sector</w:t>
      </w:r>
      <w:r w:rsidR="00183CDD">
        <w:t>.</w:t>
      </w:r>
    </w:p>
    <w:p w14:paraId="3666181C" w14:textId="04D678EC" w:rsidR="00536FD8" w:rsidRDefault="00F83EE9" w:rsidP="00262C3E">
      <w:r>
        <w:t>T</w:t>
      </w:r>
      <w:r w:rsidR="00536FD8">
        <w:t xml:space="preserve">here does not </w:t>
      </w:r>
      <w:r>
        <w:t xml:space="preserve">currently </w:t>
      </w:r>
      <w:r w:rsidR="00536FD8">
        <w:t xml:space="preserve">appear to be </w:t>
      </w:r>
      <w:r w:rsidR="006542D3">
        <w:t xml:space="preserve">a </w:t>
      </w:r>
      <w:r w:rsidR="00536FD8">
        <w:t>strong policy justification for</w:t>
      </w:r>
      <w:r>
        <w:t xml:space="preserve"> raising the PRRT tax rate</w:t>
      </w:r>
      <w:r w:rsidR="00427E37">
        <w:t>,</w:t>
      </w:r>
      <w:r w:rsidR="005B22DE">
        <w:t xml:space="preserve"> which is broadly comparable with that applying under similar</w:t>
      </w:r>
      <w:r w:rsidR="00536FD8">
        <w:t xml:space="preserve"> tax </w:t>
      </w:r>
      <w:r w:rsidR="005B22DE">
        <w:t>arrangements elsewhere.</w:t>
      </w:r>
      <w:r w:rsidR="00300F15">
        <w:t xml:space="preserve"> The </w:t>
      </w:r>
      <w:r w:rsidR="00251335">
        <w:t xml:space="preserve">PRRT </w:t>
      </w:r>
      <w:r w:rsidR="00300F15">
        <w:t xml:space="preserve">tax rate has been stable since </w:t>
      </w:r>
      <w:r w:rsidR="00251335">
        <w:t xml:space="preserve">the </w:t>
      </w:r>
      <w:r w:rsidR="00300F15">
        <w:t>introduction</w:t>
      </w:r>
      <w:r w:rsidR="00251335">
        <w:t xml:space="preserve"> of the tax</w:t>
      </w:r>
      <w:r w:rsidR="002561F9">
        <w:t xml:space="preserve"> and </w:t>
      </w:r>
      <w:r w:rsidR="00300F15">
        <w:t xml:space="preserve">significant industry investment has </w:t>
      </w:r>
      <w:r w:rsidR="00E02112">
        <w:t>been undertaken</w:t>
      </w:r>
      <w:r w:rsidR="00300F15">
        <w:t xml:space="preserve"> with the strong expectation that the tax rate would remain stable.</w:t>
      </w:r>
      <w:r>
        <w:t xml:space="preserve"> </w:t>
      </w:r>
    </w:p>
    <w:p w14:paraId="4749BEE8" w14:textId="157DD3B3" w:rsidR="00AA7794" w:rsidRDefault="00AA7794" w:rsidP="00262C3E">
      <w:r>
        <w:t>Ultimately</w:t>
      </w:r>
      <w:r w:rsidR="00E43F34">
        <w:t>,</w:t>
      </w:r>
      <w:r w:rsidR="004C2DE0">
        <w:t xml:space="preserve"> </w:t>
      </w:r>
      <w:r w:rsidR="00E43F34">
        <w:t>a</w:t>
      </w:r>
      <w:r w:rsidR="004C2DE0">
        <w:t>s</w:t>
      </w:r>
      <w:r w:rsidR="00E43F34">
        <w:t xml:space="preserve"> previously noted,</w:t>
      </w:r>
      <w:r>
        <w:t xml:space="preserve"> what </w:t>
      </w:r>
      <w:r w:rsidR="00E43F34">
        <w:t>is considered to be</w:t>
      </w:r>
      <w:r>
        <w:t xml:space="preserve"> an appropriate </w:t>
      </w:r>
      <w:r w:rsidR="002561F9">
        <w:t>PR</w:t>
      </w:r>
      <w:r w:rsidR="00E02112">
        <w:t>RT rate to deliver a</w:t>
      </w:r>
      <w:r w:rsidR="00E43F34">
        <w:t xml:space="preserve">n equitable return </w:t>
      </w:r>
      <w:r w:rsidR="00E90B65">
        <w:t>to the</w:t>
      </w:r>
      <w:r>
        <w:t xml:space="preserve"> </w:t>
      </w:r>
      <w:r w:rsidR="00E43F34">
        <w:t xml:space="preserve">Australian </w:t>
      </w:r>
      <w:r>
        <w:t>community</w:t>
      </w:r>
      <w:r w:rsidR="00E43F34">
        <w:t xml:space="preserve"> for the use of its resources</w:t>
      </w:r>
      <w:r>
        <w:t xml:space="preserve"> is a matter of judgement</w:t>
      </w:r>
      <w:r w:rsidR="007B03B1">
        <w:t>.</w:t>
      </w:r>
    </w:p>
    <w:p w14:paraId="3BDB09F5" w14:textId="42A5A901" w:rsidR="00AA7794" w:rsidRDefault="00AB00E4" w:rsidP="00262C3E">
      <w:pPr>
        <w:pStyle w:val="Heading2"/>
      </w:pPr>
      <w:bookmarkStart w:id="5319" w:name="_Toc476577354"/>
      <w:bookmarkStart w:id="5320" w:name="_Toc476582343"/>
      <w:bookmarkStart w:id="5321" w:name="_Toc476583017"/>
      <w:bookmarkStart w:id="5322" w:name="_Toc476583734"/>
      <w:bookmarkStart w:id="5323" w:name="_Toc476584182"/>
      <w:bookmarkStart w:id="5324" w:name="_Toc476738089"/>
      <w:bookmarkStart w:id="5325" w:name="_Toc476747664"/>
      <w:bookmarkStart w:id="5326" w:name="_Toc476749074"/>
      <w:bookmarkStart w:id="5327" w:name="_Toc476753941"/>
      <w:bookmarkStart w:id="5328" w:name="_Toc476754436"/>
      <w:bookmarkStart w:id="5329" w:name="_Toc476754601"/>
      <w:bookmarkStart w:id="5330" w:name="_Toc476759840"/>
      <w:bookmarkStart w:id="5331" w:name="_Toc476761462"/>
      <w:bookmarkStart w:id="5332" w:name="_Toc476767100"/>
      <w:bookmarkStart w:id="5333" w:name="_Toc476827146"/>
      <w:bookmarkStart w:id="5334" w:name="_Toc476828839"/>
      <w:bookmarkStart w:id="5335" w:name="_Toc476833713"/>
      <w:bookmarkStart w:id="5336" w:name="_Toc476837186"/>
      <w:bookmarkStart w:id="5337" w:name="_Toc476841059"/>
      <w:bookmarkStart w:id="5338" w:name="_Toc476841264"/>
      <w:bookmarkStart w:id="5339" w:name="_Toc476842023"/>
      <w:bookmarkStart w:id="5340" w:name="_Toc476842967"/>
      <w:bookmarkStart w:id="5341" w:name="_Toc476843138"/>
      <w:bookmarkStart w:id="5342" w:name="_Toc476844636"/>
      <w:bookmarkStart w:id="5343" w:name="_Toc476845529"/>
      <w:bookmarkStart w:id="5344" w:name="_Toc476926922"/>
      <w:bookmarkStart w:id="5345" w:name="_Toc476927035"/>
      <w:bookmarkStart w:id="5346" w:name="_Toc476927209"/>
      <w:bookmarkStart w:id="5347" w:name="_Toc476928473"/>
      <w:bookmarkStart w:id="5348" w:name="_Toc476929516"/>
      <w:bookmarkStart w:id="5349" w:name="_Toc476929691"/>
      <w:bookmarkStart w:id="5350" w:name="_Toc476930734"/>
      <w:bookmarkStart w:id="5351" w:name="_Toc476931541"/>
      <w:bookmarkStart w:id="5352" w:name="_Toc477869890"/>
      <w:bookmarkStart w:id="5353" w:name="_Toc477871129"/>
      <w:bookmarkStart w:id="5354" w:name="_Toc477873288"/>
      <w:bookmarkStart w:id="5355" w:name="_Toc477875282"/>
      <w:bookmarkStart w:id="5356" w:name="_Toc477880195"/>
      <w:bookmarkStart w:id="5357" w:name="_Toc477881455"/>
      <w:bookmarkStart w:id="5358" w:name="_Toc477955859"/>
      <w:bookmarkStart w:id="5359" w:name="_Toc477963104"/>
      <w:bookmarkStart w:id="5360" w:name="_Toc477963590"/>
      <w:bookmarkStart w:id="5361" w:name="_Toc477965176"/>
      <w:bookmarkStart w:id="5362" w:name="_Toc477966680"/>
      <w:bookmarkStart w:id="5363" w:name="_Toc477966849"/>
      <w:bookmarkStart w:id="5364" w:name="_Toc477967189"/>
      <w:bookmarkStart w:id="5365" w:name="_Toc478121326"/>
      <w:bookmarkStart w:id="5366" w:name="_Toc478122239"/>
      <w:bookmarkStart w:id="5367" w:name="_Toc478132213"/>
      <w:bookmarkStart w:id="5368" w:name="_Toc478133239"/>
      <w:bookmarkStart w:id="5369" w:name="_Toc478132376"/>
      <w:bookmarkStart w:id="5370" w:name="_Toc478134705"/>
      <w:bookmarkStart w:id="5371" w:name="_Toc478137407"/>
      <w:bookmarkStart w:id="5372" w:name="_Toc478138479"/>
      <w:bookmarkStart w:id="5373" w:name="_Toc478140049"/>
      <w:bookmarkStart w:id="5374" w:name="_Toc478140465"/>
      <w:bookmarkStart w:id="5375" w:name="_Toc478142671"/>
      <w:bookmarkStart w:id="5376" w:name="_Toc478566387"/>
      <w:bookmarkStart w:id="5377" w:name="_Toc478569554"/>
      <w:bookmarkStart w:id="5378" w:name="_Toc478569728"/>
      <w:bookmarkStart w:id="5379" w:name="_Toc478570802"/>
      <w:bookmarkStart w:id="5380" w:name="_Toc478633001"/>
      <w:bookmarkStart w:id="5381" w:name="_Toc478641409"/>
      <w:bookmarkStart w:id="5382" w:name="_Toc478654303"/>
      <w:bookmarkStart w:id="5383" w:name="_Toc478654477"/>
      <w:bookmarkStart w:id="5384" w:name="_Toc478657772"/>
      <w:bookmarkStart w:id="5385" w:name="_Toc478993193"/>
      <w:bookmarkStart w:id="5386" w:name="_Toc479000264"/>
      <w:bookmarkStart w:id="5387" w:name="_Toc479002198"/>
      <w:bookmarkStart w:id="5388" w:name="_Toc479002370"/>
      <w:bookmarkStart w:id="5389" w:name="_Toc479254345"/>
      <w:bookmarkStart w:id="5390" w:name="_Toc479258534"/>
      <w:bookmarkStart w:id="5391" w:name="_Toc479258850"/>
      <w:bookmarkStart w:id="5392" w:name="_Toc479259742"/>
      <w:bookmarkStart w:id="5393" w:name="_Toc479262165"/>
      <w:bookmarkStart w:id="5394" w:name="_Toc479262586"/>
      <w:bookmarkStart w:id="5395" w:name="_Toc479321287"/>
      <w:bookmarkStart w:id="5396" w:name="_Toc479326726"/>
      <w:bookmarkStart w:id="5397" w:name="_Toc479333325"/>
      <w:bookmarkStart w:id="5398" w:name="_Toc479335022"/>
      <w:bookmarkStart w:id="5399" w:name="_Toc479341737"/>
      <w:bookmarkStart w:id="5400" w:name="_Toc479345153"/>
      <w:bookmarkStart w:id="5401" w:name="_Toc479345362"/>
      <w:bookmarkStart w:id="5402" w:name="_Toc479348343"/>
      <w:bookmarkStart w:id="5403" w:name="_Toc479675937"/>
      <w:bookmarkStart w:id="5404" w:name="_Toc479690904"/>
      <w:bookmarkStart w:id="5405" w:name="_Toc479693482"/>
      <w:bookmarkStart w:id="5406" w:name="_Toc479770651"/>
      <w:r>
        <w:t>4.2</w:t>
      </w:r>
      <w:r>
        <w:tab/>
        <w:t>Uplift</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r w:rsidR="00E43F34">
        <w:t xml:space="preserve"> </w:t>
      </w:r>
      <w:r w:rsidR="003C1E3F">
        <w:t>R</w:t>
      </w:r>
      <w:r w:rsidR="00E43F34">
        <w:t>ates</w:t>
      </w:r>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p>
    <w:p w14:paraId="75D7B73E" w14:textId="6F9E85CB" w:rsidR="00AA7794" w:rsidRDefault="00AA7794" w:rsidP="00262C3E">
      <w:r>
        <w:t xml:space="preserve">Under the PRRT, when </w:t>
      </w:r>
      <w:r w:rsidR="005C7C4F">
        <w:t>deductible</w:t>
      </w:r>
      <w:r>
        <w:t xml:space="preserve"> expenditure exceeds </w:t>
      </w:r>
      <w:r w:rsidR="00DA5836">
        <w:t xml:space="preserve">assessable </w:t>
      </w:r>
      <w:r w:rsidR="00F14C3A">
        <w:t xml:space="preserve">PRRT </w:t>
      </w:r>
      <w:r>
        <w:t>receipts</w:t>
      </w:r>
      <w:r w:rsidR="00DA5836">
        <w:t xml:space="preserve"> from a project</w:t>
      </w:r>
      <w:r>
        <w:t xml:space="preserve">, the </w:t>
      </w:r>
      <w:r w:rsidR="00DA5836">
        <w:t xml:space="preserve">excess deductible expenditure </w:t>
      </w:r>
      <w:r w:rsidR="006909BD">
        <w:t xml:space="preserve">(PRRT </w:t>
      </w:r>
      <w:r w:rsidR="005D6F39">
        <w:t>‘</w:t>
      </w:r>
      <w:r w:rsidR="006909BD">
        <w:t>loss</w:t>
      </w:r>
      <w:r w:rsidR="005D6F39">
        <w:t>’</w:t>
      </w:r>
      <w:r w:rsidR="006909BD">
        <w:t xml:space="preserve">) </w:t>
      </w:r>
      <w:r>
        <w:t xml:space="preserve">is carried forward with </w:t>
      </w:r>
      <w:r w:rsidR="005526BE">
        <w:t xml:space="preserve">an </w:t>
      </w:r>
      <w:r>
        <w:t>annual uplift. This is the most notable design feature that distinguishes the PRRT from a tax</w:t>
      </w:r>
      <w:r w:rsidR="005D6F39">
        <w:noBreakHyphen/>
      </w:r>
      <w:r>
        <w:t xml:space="preserve">neutral cash flow tax (Brown tax) which provides immediate cash rebates for losses. Consistent with </w:t>
      </w:r>
      <w:r w:rsidR="005526BE">
        <w:t xml:space="preserve">the </w:t>
      </w:r>
      <w:r>
        <w:t>cash flow design</w:t>
      </w:r>
      <w:r w:rsidR="005526BE">
        <w:t xml:space="preserve"> of the tax</w:t>
      </w:r>
      <w:r>
        <w:t xml:space="preserve">, the PRRT uplift (threshold) rate is intended to maintain the value of excess PRRT deductions </w:t>
      </w:r>
      <w:r w:rsidR="005526BE">
        <w:t xml:space="preserve">until they can be </w:t>
      </w:r>
      <w:r>
        <w:t>written</w:t>
      </w:r>
      <w:r w:rsidR="00A5060C">
        <w:t xml:space="preserve"> </w:t>
      </w:r>
      <w:r>
        <w:t>off against future positive cash flow</w:t>
      </w:r>
      <w:r w:rsidR="005526BE">
        <w:t>s from the project</w:t>
      </w:r>
      <w:r>
        <w:t>.</w:t>
      </w:r>
    </w:p>
    <w:p w14:paraId="6F9DCA85" w14:textId="4BB615F7" w:rsidR="00AA7794" w:rsidRPr="00262C3E" w:rsidRDefault="00AA7794" w:rsidP="00262C3E">
      <w:pPr>
        <w:ind w:left="567" w:right="565"/>
        <w:rPr>
          <w:color w:val="1F497D" w:themeColor="text2"/>
          <w:sz w:val="20"/>
        </w:rPr>
      </w:pPr>
      <w:r w:rsidRPr="00262C3E">
        <w:rPr>
          <w:color w:val="1F497D" w:themeColor="text2"/>
          <w:sz w:val="20"/>
        </w:rPr>
        <w:t>When costs cannot be recouped immediately because of the lack of available income, the threshold rate applied to any unrecouped deductions aims at maintaining the value of these deductions until sufficient income is available</w:t>
      </w:r>
      <w:r w:rsidR="006A5285" w:rsidRPr="006A5285">
        <w:rPr>
          <w:color w:val="1F497D" w:themeColor="text2"/>
          <w:sz w:val="20"/>
        </w:rPr>
        <w:t xml:space="preserve"> (</w:t>
      </w:r>
      <w:r w:rsidRPr="006A5285">
        <w:rPr>
          <w:color w:val="1F497D" w:themeColor="text2"/>
          <w:sz w:val="20"/>
        </w:rPr>
        <w:t>Commonwealth Government</w:t>
      </w:r>
      <w:r w:rsidR="006A5285" w:rsidRPr="006A5285">
        <w:rPr>
          <w:color w:val="1F497D" w:themeColor="text2"/>
          <w:sz w:val="20"/>
        </w:rPr>
        <w:t xml:space="preserve">, </w:t>
      </w:r>
      <w:r w:rsidRPr="006A5285">
        <w:rPr>
          <w:color w:val="1F497D" w:themeColor="text2"/>
          <w:sz w:val="20"/>
        </w:rPr>
        <w:t>1983, p. 4</w:t>
      </w:r>
      <w:r w:rsidR="006A5285" w:rsidRPr="006A5285">
        <w:rPr>
          <w:color w:val="1F497D" w:themeColor="text2"/>
          <w:sz w:val="20"/>
        </w:rPr>
        <w:t>)</w:t>
      </w:r>
      <w:r w:rsidRPr="006A5285">
        <w:rPr>
          <w:color w:val="1F497D" w:themeColor="text2"/>
          <w:sz w:val="20"/>
        </w:rPr>
        <w:t>.</w:t>
      </w:r>
      <w:r w:rsidRPr="00262C3E">
        <w:rPr>
          <w:color w:val="1F497D" w:themeColor="text2"/>
          <w:sz w:val="20"/>
        </w:rPr>
        <w:t xml:space="preserve"> </w:t>
      </w:r>
    </w:p>
    <w:p w14:paraId="2D1276DD" w14:textId="54B07073" w:rsidR="00AA7794" w:rsidRDefault="00AA7794" w:rsidP="00262C3E">
      <w:r>
        <w:t xml:space="preserve">Government statements at the time of </w:t>
      </w:r>
      <w:r w:rsidR="00EE5ABA">
        <w:t xml:space="preserve">the </w:t>
      </w:r>
      <w:r>
        <w:t xml:space="preserve">PRRT design </w:t>
      </w:r>
      <w:r w:rsidR="00EE5ABA">
        <w:t xml:space="preserve">suggest an uplift </w:t>
      </w:r>
      <w:r w:rsidR="00A5060C">
        <w:t>rate of</w:t>
      </w:r>
      <w:r w:rsidR="002561F9">
        <w:t xml:space="preserve"> LTBR would be appropriate if it</w:t>
      </w:r>
      <w:r w:rsidR="00EE5ABA">
        <w:t xml:space="preserve"> were certain excess deductions would eventually be written off against future assessable receipts.</w:t>
      </w:r>
      <w:r>
        <w:t xml:space="preserve"> </w:t>
      </w:r>
    </w:p>
    <w:p w14:paraId="3866BEF9" w14:textId="20D81AF2" w:rsidR="00AA7794" w:rsidRPr="00262C3E" w:rsidRDefault="00AA7794" w:rsidP="00262C3E">
      <w:pPr>
        <w:ind w:left="567" w:right="565"/>
        <w:rPr>
          <w:color w:val="1F497D" w:themeColor="text2"/>
          <w:sz w:val="20"/>
        </w:rPr>
      </w:pPr>
      <w:r w:rsidRPr="00262C3E">
        <w:rPr>
          <w:color w:val="1F497D" w:themeColor="text2"/>
          <w:sz w:val="20"/>
        </w:rPr>
        <w:t>In circumstances where at the time of investment it is certain that any excess costs will be written off in full eventually, the threshold rate required to maintain the value of the deductions will correspond to the year</w:t>
      </w:r>
      <w:r w:rsidR="005D6F39">
        <w:rPr>
          <w:color w:val="1F497D" w:themeColor="text2"/>
          <w:sz w:val="20"/>
        </w:rPr>
        <w:noBreakHyphen/>
      </w:r>
      <w:r w:rsidRPr="00262C3E">
        <w:rPr>
          <w:color w:val="1F497D" w:themeColor="text2"/>
          <w:sz w:val="20"/>
        </w:rPr>
        <w:t>by</w:t>
      </w:r>
      <w:r w:rsidR="005D6F39">
        <w:rPr>
          <w:color w:val="1F497D" w:themeColor="text2"/>
          <w:sz w:val="20"/>
        </w:rPr>
        <w:noBreakHyphen/>
      </w:r>
      <w:r w:rsidRPr="00262C3E">
        <w:rPr>
          <w:color w:val="1F497D" w:themeColor="text2"/>
          <w:sz w:val="20"/>
        </w:rPr>
        <w:t>year cost of having to wait to recoup that certain value</w:t>
      </w:r>
      <w:r w:rsidR="006A5285" w:rsidRPr="006A5285">
        <w:rPr>
          <w:color w:val="1F497D" w:themeColor="text2"/>
          <w:sz w:val="20"/>
        </w:rPr>
        <w:t xml:space="preserve"> (</w:t>
      </w:r>
      <w:r w:rsidRPr="006A5285">
        <w:rPr>
          <w:color w:val="1F497D" w:themeColor="text2"/>
          <w:sz w:val="20"/>
        </w:rPr>
        <w:t>Commonwealth Government</w:t>
      </w:r>
      <w:r w:rsidR="006A5285" w:rsidRPr="006A5285">
        <w:rPr>
          <w:color w:val="1F497D" w:themeColor="text2"/>
          <w:sz w:val="20"/>
        </w:rPr>
        <w:t xml:space="preserve">, </w:t>
      </w:r>
      <w:r w:rsidRPr="006A5285">
        <w:rPr>
          <w:color w:val="1F497D" w:themeColor="text2"/>
          <w:sz w:val="20"/>
        </w:rPr>
        <w:t>1983</w:t>
      </w:r>
      <w:r w:rsidR="006A5285" w:rsidRPr="006A5285">
        <w:rPr>
          <w:color w:val="1F497D" w:themeColor="text2"/>
          <w:sz w:val="20"/>
        </w:rPr>
        <w:t>, p.</w:t>
      </w:r>
      <w:r w:rsidRPr="006A5285">
        <w:rPr>
          <w:color w:val="1F497D" w:themeColor="text2"/>
          <w:sz w:val="20"/>
        </w:rPr>
        <w:t xml:space="preserve"> 4</w:t>
      </w:r>
      <w:r w:rsidR="006A5285" w:rsidRPr="006A5285">
        <w:rPr>
          <w:color w:val="1F497D" w:themeColor="text2"/>
          <w:sz w:val="20"/>
        </w:rPr>
        <w:t>).</w:t>
      </w:r>
    </w:p>
    <w:p w14:paraId="518A7BC8" w14:textId="0B64483D" w:rsidR="00AA7794" w:rsidRDefault="00AA7794" w:rsidP="00262C3E">
      <w:r>
        <w:t xml:space="preserve">This observation has been supported by a range of academics and others since 1984 (in absence of income tax implications), including in </w:t>
      </w:r>
      <w:r w:rsidR="005526BE">
        <w:t xml:space="preserve">the </w:t>
      </w:r>
      <w:r w:rsidR="00F43CD0">
        <w:t>AFTS</w:t>
      </w:r>
      <w:r w:rsidR="00983292">
        <w:t xml:space="preserve"> </w:t>
      </w:r>
      <w:r>
        <w:t xml:space="preserve">where the idea is canvassed </w:t>
      </w:r>
      <w:r w:rsidR="00FD2DCE">
        <w:t>for</w:t>
      </w:r>
      <w:r>
        <w:t xml:space="preserve"> </w:t>
      </w:r>
      <w:r w:rsidR="005526BE">
        <w:t xml:space="preserve">the </w:t>
      </w:r>
      <w:r>
        <w:t>full recoupment of carried forward and uplifted losses via delayed government rebates.</w:t>
      </w:r>
    </w:p>
    <w:p w14:paraId="48BB9B92" w14:textId="3B2901DD" w:rsidR="00AA7794" w:rsidRPr="00262C3E" w:rsidRDefault="00AA7794" w:rsidP="00262C3E">
      <w:pPr>
        <w:ind w:left="567" w:right="565"/>
        <w:rPr>
          <w:color w:val="1F497D" w:themeColor="text2"/>
          <w:sz w:val="20"/>
        </w:rPr>
      </w:pPr>
      <w:r w:rsidRPr="00262C3E">
        <w:rPr>
          <w:color w:val="1F497D" w:themeColor="text2"/>
          <w:sz w:val="20"/>
        </w:rPr>
        <w:t>If the government promises to provide a refund for the tax value of losses at the time a project is closed (full loss offset), the appropriate interest rate is the government bond rate. The uplift or allowance rate does not need to reflect the required rate of return of the project, which includes a risk premium that va</w:t>
      </w:r>
      <w:r w:rsidR="00C026C1">
        <w:rPr>
          <w:color w:val="1F497D" w:themeColor="text2"/>
          <w:sz w:val="20"/>
        </w:rPr>
        <w:t xml:space="preserve">ries according to the project … </w:t>
      </w:r>
      <w:r w:rsidR="00262C3E">
        <w:rPr>
          <w:color w:val="1F497D" w:themeColor="text2"/>
          <w:sz w:val="20"/>
        </w:rPr>
        <w:t>w</w:t>
      </w:r>
      <w:r w:rsidRPr="00262C3E">
        <w:rPr>
          <w:color w:val="1F497D" w:themeColor="text2"/>
          <w:sz w:val="20"/>
        </w:rPr>
        <w:t xml:space="preserve">here the government provides a full loss offset, the riskiness of the project </w:t>
      </w:r>
      <w:r w:rsidR="00A05B1B">
        <w:rPr>
          <w:color w:val="1F497D" w:themeColor="text2"/>
          <w:sz w:val="20"/>
        </w:rPr>
        <w:t xml:space="preserve">is irrelevant </w:t>
      </w:r>
      <w:r w:rsidR="00A05B1B" w:rsidRPr="006A5285">
        <w:rPr>
          <w:color w:val="1F497D" w:themeColor="text2"/>
          <w:sz w:val="20"/>
        </w:rPr>
        <w:t>(</w:t>
      </w:r>
      <w:r w:rsidRPr="006A5285">
        <w:rPr>
          <w:color w:val="1F497D" w:themeColor="text2"/>
          <w:sz w:val="20"/>
        </w:rPr>
        <w:t>Australia</w:t>
      </w:r>
      <w:r w:rsidR="005D6F39">
        <w:rPr>
          <w:color w:val="1F497D" w:themeColor="text2"/>
          <w:sz w:val="20"/>
        </w:rPr>
        <w:t>’</w:t>
      </w:r>
      <w:r w:rsidRPr="006A5285">
        <w:rPr>
          <w:color w:val="1F497D" w:themeColor="text2"/>
          <w:sz w:val="20"/>
        </w:rPr>
        <w:t>s Future Tax Review</w:t>
      </w:r>
      <w:r w:rsidR="00DB57E2" w:rsidRPr="006A5285">
        <w:rPr>
          <w:color w:val="1F497D" w:themeColor="text2"/>
          <w:sz w:val="20"/>
        </w:rPr>
        <w:t>,</w:t>
      </w:r>
      <w:r w:rsidRPr="006A5285">
        <w:rPr>
          <w:color w:val="1F497D" w:themeColor="text2"/>
          <w:sz w:val="20"/>
        </w:rPr>
        <w:t xml:space="preserve"> 20</w:t>
      </w:r>
      <w:r w:rsidR="00A05B1B" w:rsidRPr="006A5285">
        <w:rPr>
          <w:color w:val="1F497D" w:themeColor="text2"/>
          <w:sz w:val="20"/>
        </w:rPr>
        <w:t>10</w:t>
      </w:r>
      <w:r w:rsidRPr="006A5285">
        <w:rPr>
          <w:color w:val="1F497D" w:themeColor="text2"/>
          <w:sz w:val="20"/>
        </w:rPr>
        <w:t>, p. 223</w:t>
      </w:r>
      <w:r w:rsidR="00A05B1B" w:rsidRPr="006A5285">
        <w:rPr>
          <w:color w:val="1F497D" w:themeColor="text2"/>
          <w:sz w:val="20"/>
        </w:rPr>
        <w:t>)</w:t>
      </w:r>
      <w:r w:rsidRPr="00262C3E">
        <w:rPr>
          <w:color w:val="1F497D" w:themeColor="text2"/>
          <w:sz w:val="20"/>
        </w:rPr>
        <w:t>.</w:t>
      </w:r>
    </w:p>
    <w:p w14:paraId="604C09CD" w14:textId="145FF9EB" w:rsidR="00AA7794" w:rsidRDefault="00AA7794" w:rsidP="00262C3E">
      <w:r>
        <w:t xml:space="preserve">Specifically in </w:t>
      </w:r>
      <w:r w:rsidR="00CD25AD">
        <w:t>a</w:t>
      </w:r>
      <w:r>
        <w:t xml:space="preserve"> PRRT context, </w:t>
      </w:r>
      <w:r w:rsidR="00C01D2F">
        <w:t xml:space="preserve">if it were certain these losses would be able to be utilised, </w:t>
      </w:r>
      <w:r w:rsidR="00CD25AD">
        <w:t xml:space="preserve">investors would only have to be compensated for the time delay before carried </w:t>
      </w:r>
      <w:r w:rsidR="00DA57B1">
        <w:t xml:space="preserve">forward </w:t>
      </w:r>
      <w:r w:rsidR="00CD25AD">
        <w:t xml:space="preserve">losses </w:t>
      </w:r>
      <w:r w:rsidR="00C01D2F">
        <w:t>were</w:t>
      </w:r>
      <w:r w:rsidR="00DA57B1">
        <w:t xml:space="preserve"> written off against future </w:t>
      </w:r>
      <w:r w:rsidR="00CD25AD">
        <w:t>PRRT receipts</w:t>
      </w:r>
      <w:r w:rsidR="00DA57B1">
        <w:t xml:space="preserve">. </w:t>
      </w:r>
      <w:r w:rsidR="008E58D6">
        <w:t xml:space="preserve">In these circumstances the PRRT </w:t>
      </w:r>
      <w:r w:rsidR="00DA57B1">
        <w:t xml:space="preserve">would </w:t>
      </w:r>
      <w:r w:rsidR="00C01D2F">
        <w:t>be financially equivalent to</w:t>
      </w:r>
      <w:r w:rsidR="00DA57B1">
        <w:t xml:space="preserve"> a pure cash flow tax</w:t>
      </w:r>
      <w:r w:rsidR="00480314">
        <w:t>,</w:t>
      </w:r>
      <w:r w:rsidR="00DA57B1">
        <w:t xml:space="preserve"> as it would </w:t>
      </w:r>
      <w:r w:rsidR="00225ED1">
        <w:t xml:space="preserve">have the same </w:t>
      </w:r>
      <w:r w:rsidR="00DA57B1">
        <w:t xml:space="preserve">financial </w:t>
      </w:r>
      <w:r w:rsidR="00480314">
        <w:t>e</w:t>
      </w:r>
      <w:r w:rsidR="00225ED1">
        <w:t xml:space="preserve">ffect </w:t>
      </w:r>
      <w:r w:rsidR="00480314">
        <w:t xml:space="preserve">on investors </w:t>
      </w:r>
      <w:r w:rsidR="00225ED1">
        <w:t xml:space="preserve">as </w:t>
      </w:r>
      <w:r w:rsidR="00DA57B1">
        <w:t xml:space="preserve">receiving a cash rebate </w:t>
      </w:r>
      <w:r w:rsidR="00225ED1">
        <w:t>for the loss</w:t>
      </w:r>
      <w:r w:rsidR="00ED5017">
        <w:t xml:space="preserve"> </w:t>
      </w:r>
      <w:r w:rsidR="00DA57B1">
        <w:t xml:space="preserve">at the time </w:t>
      </w:r>
      <w:r w:rsidR="00225ED1">
        <w:t xml:space="preserve">it </w:t>
      </w:r>
      <w:r w:rsidR="00480314">
        <w:t>arose</w:t>
      </w:r>
      <w:r w:rsidR="00ED5017">
        <w:t>,</w:t>
      </w:r>
      <w:r w:rsidR="00225ED1">
        <w:t xml:space="preserve"> and would therefore have a neutral impact on the overall return of the project (</w:t>
      </w:r>
      <w:r w:rsidR="002561F9">
        <w:t xml:space="preserve">see </w:t>
      </w:r>
      <w:r w:rsidR="002561F9" w:rsidRPr="006D28D4">
        <w:t>s</w:t>
      </w:r>
      <w:r w:rsidR="00183CDD" w:rsidRPr="006D28D4">
        <w:t>ection 2.1</w:t>
      </w:r>
      <w:r w:rsidR="00225ED1">
        <w:t>)</w:t>
      </w:r>
      <w:r>
        <w:t>.</w:t>
      </w:r>
      <w:r w:rsidR="00262C3E">
        <w:t xml:space="preserve"> </w:t>
      </w:r>
    </w:p>
    <w:p w14:paraId="6020EE8A" w14:textId="7F0B895A" w:rsidR="00AA7794" w:rsidRDefault="00AA7794" w:rsidP="00262C3E">
      <w:r>
        <w:t xml:space="preserve">Inevitably, however, some investments in the petroleum resources sector will never be rewarded with </w:t>
      </w:r>
      <w:r w:rsidR="00103712">
        <w:t>sufficient revenue to be cash flow positive</w:t>
      </w:r>
      <w:r w:rsidR="00480314">
        <w:t>,</w:t>
      </w:r>
      <w:r w:rsidR="008E58D6">
        <w:t xml:space="preserve"> </w:t>
      </w:r>
      <w:r w:rsidR="00480314">
        <w:t xml:space="preserve">and </w:t>
      </w:r>
      <w:r w:rsidR="00A5060C">
        <w:t>will</w:t>
      </w:r>
      <w:r w:rsidR="00480314">
        <w:t xml:space="preserve"> therefore </w:t>
      </w:r>
      <w:r w:rsidR="00A5060C">
        <w:t xml:space="preserve">be </w:t>
      </w:r>
      <w:r w:rsidR="00480314">
        <w:t xml:space="preserve">unable to </w:t>
      </w:r>
      <w:r w:rsidR="008E58D6">
        <w:t xml:space="preserve">recoup all their carried forward </w:t>
      </w:r>
      <w:r w:rsidR="00480314">
        <w:t>losses</w:t>
      </w:r>
      <w:r w:rsidR="00103712">
        <w:t>.</w:t>
      </w:r>
      <w:r>
        <w:t xml:space="preserve"> </w:t>
      </w:r>
      <w:r w:rsidR="00E371DD">
        <w:t>T</w:t>
      </w:r>
      <w:r w:rsidR="007F41FC">
        <w:t xml:space="preserve">he </w:t>
      </w:r>
      <w:r w:rsidR="00E371DD">
        <w:t>PRRT design avoids up</w:t>
      </w:r>
      <w:r w:rsidR="005D6F39">
        <w:noBreakHyphen/>
      </w:r>
      <w:r>
        <w:t xml:space="preserve">front cash rebates and does not provide rebates for all losses at </w:t>
      </w:r>
      <w:r w:rsidR="003E3262">
        <w:t>the end of a project</w:t>
      </w:r>
      <w:r w:rsidR="00E371DD">
        <w:t xml:space="preserve"> (losses out of closing </w:t>
      </w:r>
      <w:r>
        <w:t>down expenditure being the exception). That mea</w:t>
      </w:r>
      <w:r w:rsidR="00187E5C">
        <w:t xml:space="preserve">ns there is a risk that carried </w:t>
      </w:r>
      <w:r>
        <w:t>forward</w:t>
      </w:r>
      <w:r w:rsidR="00A5060C">
        <w:t>,</w:t>
      </w:r>
      <w:r w:rsidR="00821B86">
        <w:t xml:space="preserve"> deductible expenditure</w:t>
      </w:r>
      <w:r>
        <w:t xml:space="preserve"> will never be written off in full. Government statements at the time </w:t>
      </w:r>
      <w:r w:rsidR="0024541F">
        <w:t>the</w:t>
      </w:r>
      <w:r>
        <w:t xml:space="preserve"> PRRT </w:t>
      </w:r>
      <w:r w:rsidR="0024541F">
        <w:t xml:space="preserve">was being </w:t>
      </w:r>
      <w:r>
        <w:t>design</w:t>
      </w:r>
      <w:r w:rsidR="0024541F">
        <w:t>ed</w:t>
      </w:r>
      <w:r>
        <w:t xml:space="preserve"> point to the intention </w:t>
      </w:r>
      <w:r w:rsidR="008E58D6">
        <w:t xml:space="preserve">that </w:t>
      </w:r>
      <w:r>
        <w:t xml:space="preserve">the loading on LTBR in the uplift rate </w:t>
      </w:r>
      <w:r w:rsidR="008E58D6">
        <w:t xml:space="preserve">was meant </w:t>
      </w:r>
      <w:r w:rsidR="0024541F">
        <w:t>to be</w:t>
      </w:r>
      <w:r>
        <w:t xml:space="preserve"> a counterweight to th</w:t>
      </w:r>
      <w:r w:rsidR="0024541F">
        <w:t>e</w:t>
      </w:r>
      <w:r>
        <w:t xml:space="preserve"> risk of losing PRRT deductions completely.</w:t>
      </w:r>
    </w:p>
    <w:p w14:paraId="4C87E4CB" w14:textId="20E5D49B" w:rsidR="00AA7794" w:rsidRPr="00262C3E" w:rsidRDefault="00AA7794" w:rsidP="00262C3E">
      <w:pPr>
        <w:ind w:left="567" w:right="565"/>
        <w:rPr>
          <w:color w:val="1F497D" w:themeColor="text2"/>
          <w:sz w:val="20"/>
        </w:rPr>
      </w:pPr>
      <w:r w:rsidRPr="00262C3E">
        <w:rPr>
          <w:color w:val="1F497D" w:themeColor="text2"/>
          <w:sz w:val="20"/>
        </w:rPr>
        <w:t>In practice, there will be some risk that the allowable deductions will not be recouped.</w:t>
      </w:r>
      <w:r w:rsidR="00262C3E" w:rsidRPr="00262C3E">
        <w:rPr>
          <w:color w:val="1F497D" w:themeColor="text2"/>
          <w:sz w:val="20"/>
        </w:rPr>
        <w:t xml:space="preserve"> </w:t>
      </w:r>
      <w:r w:rsidRPr="00262C3E">
        <w:rPr>
          <w:color w:val="1F497D" w:themeColor="text2"/>
          <w:sz w:val="20"/>
        </w:rPr>
        <w:t>One means of attempting to take account of this risk would be to provide a loading for it in the threshold rate</w:t>
      </w:r>
      <w:r w:rsidR="006A5285" w:rsidRPr="006A5285">
        <w:rPr>
          <w:color w:val="1F497D" w:themeColor="text2"/>
          <w:sz w:val="20"/>
        </w:rPr>
        <w:t xml:space="preserve"> (</w:t>
      </w:r>
      <w:r w:rsidRPr="006A5285">
        <w:rPr>
          <w:color w:val="1F497D" w:themeColor="text2"/>
          <w:sz w:val="20"/>
        </w:rPr>
        <w:t>Commonwealth Government</w:t>
      </w:r>
      <w:r w:rsidR="006A5285" w:rsidRPr="006A5285">
        <w:rPr>
          <w:color w:val="1F497D" w:themeColor="text2"/>
          <w:sz w:val="20"/>
        </w:rPr>
        <w:t>,</w:t>
      </w:r>
      <w:r w:rsidR="007B4819" w:rsidRPr="006A5285">
        <w:rPr>
          <w:color w:val="1F497D" w:themeColor="text2"/>
          <w:sz w:val="20"/>
        </w:rPr>
        <w:t xml:space="preserve"> </w:t>
      </w:r>
      <w:r w:rsidRPr="006A5285">
        <w:rPr>
          <w:color w:val="1F497D" w:themeColor="text2"/>
          <w:sz w:val="20"/>
        </w:rPr>
        <w:t>1983, p. 5</w:t>
      </w:r>
      <w:r w:rsidR="006A5285" w:rsidRPr="006A5285">
        <w:rPr>
          <w:color w:val="1F497D" w:themeColor="text2"/>
          <w:sz w:val="20"/>
        </w:rPr>
        <w:t>)</w:t>
      </w:r>
      <w:r w:rsidRPr="006A5285">
        <w:rPr>
          <w:color w:val="1F497D" w:themeColor="text2"/>
          <w:sz w:val="20"/>
        </w:rPr>
        <w:t>.</w:t>
      </w:r>
    </w:p>
    <w:p w14:paraId="6A8A1366" w14:textId="526AC82D" w:rsidR="00AA7794" w:rsidRDefault="00AA7794" w:rsidP="00262C3E">
      <w:r>
        <w:t xml:space="preserve">The initial design had a single uplift rate of LTBR plus 15 percentage points applying to both </w:t>
      </w:r>
      <w:r w:rsidR="005D6F39">
        <w:t>‘</w:t>
      </w:r>
      <w:r>
        <w:t>qualifying</w:t>
      </w:r>
      <w:r w:rsidR="005D6F39">
        <w:t>’</w:t>
      </w:r>
      <w:r>
        <w:t xml:space="preserve"> e</w:t>
      </w:r>
      <w:r w:rsidR="00187E5C">
        <w:t>xploration expenditure (within five</w:t>
      </w:r>
      <w:r>
        <w:t xml:space="preserve"> years of a project</w:t>
      </w:r>
      <w:r w:rsidR="005D6F39">
        <w:t>’</w:t>
      </w:r>
      <w:r>
        <w:t xml:space="preserve">s first production licence) and general </w:t>
      </w:r>
      <w:r w:rsidR="00821B86">
        <w:t xml:space="preserve">project </w:t>
      </w:r>
      <w:r>
        <w:t>expenditure. Practical advantages of a single uplift rate may have been a consideration.</w:t>
      </w:r>
    </w:p>
    <w:p w14:paraId="4E170F10" w14:textId="54ED7144" w:rsidR="00AA7794" w:rsidRPr="00262C3E" w:rsidRDefault="00AA7794" w:rsidP="00262C3E">
      <w:pPr>
        <w:ind w:left="567" w:right="565"/>
        <w:rPr>
          <w:color w:val="1F497D" w:themeColor="text2"/>
          <w:sz w:val="20"/>
        </w:rPr>
      </w:pPr>
      <w:r w:rsidRPr="00262C3E">
        <w:rPr>
          <w:color w:val="1F497D" w:themeColor="text2"/>
          <w:sz w:val="20"/>
        </w:rPr>
        <w:t>From an administrative perspective, a single threshold and tax rate also has the advantage of simplicity relative to more complex RRT tax structures</w:t>
      </w:r>
      <w:r w:rsidR="006A5285" w:rsidRPr="006A5285">
        <w:rPr>
          <w:color w:val="1F497D" w:themeColor="text2"/>
          <w:sz w:val="20"/>
        </w:rPr>
        <w:t xml:space="preserve"> (</w:t>
      </w:r>
      <w:r w:rsidRPr="006A5285">
        <w:rPr>
          <w:color w:val="1F497D" w:themeColor="text2"/>
          <w:sz w:val="20"/>
        </w:rPr>
        <w:t>Commonwealth Government</w:t>
      </w:r>
      <w:r w:rsidR="006A5285" w:rsidRPr="006A5285">
        <w:rPr>
          <w:color w:val="1F497D" w:themeColor="text2"/>
          <w:sz w:val="20"/>
        </w:rPr>
        <w:t xml:space="preserve">, </w:t>
      </w:r>
      <w:r w:rsidRPr="006A5285">
        <w:rPr>
          <w:color w:val="1F497D" w:themeColor="text2"/>
          <w:sz w:val="20"/>
        </w:rPr>
        <w:t>1983</w:t>
      </w:r>
      <w:r w:rsidR="006A5285" w:rsidRPr="006A5285">
        <w:rPr>
          <w:color w:val="1F497D" w:themeColor="text2"/>
          <w:sz w:val="20"/>
        </w:rPr>
        <w:t>,</w:t>
      </w:r>
      <w:r w:rsidRPr="006A5285">
        <w:rPr>
          <w:color w:val="1F497D" w:themeColor="text2"/>
          <w:sz w:val="20"/>
        </w:rPr>
        <w:t xml:space="preserve"> p. 5</w:t>
      </w:r>
      <w:r w:rsidR="006A5285" w:rsidRPr="006A5285">
        <w:rPr>
          <w:color w:val="1F497D" w:themeColor="text2"/>
          <w:sz w:val="20"/>
        </w:rPr>
        <w:t>).</w:t>
      </w:r>
    </w:p>
    <w:p w14:paraId="65A9BEF0" w14:textId="1FAE272D" w:rsidR="00AA7794" w:rsidRDefault="00AA7794" w:rsidP="00262C3E">
      <w:r>
        <w:t xml:space="preserve">Nevertheless, exploration and general </w:t>
      </w:r>
      <w:r w:rsidR="00821B86">
        <w:t xml:space="preserve">project </w:t>
      </w:r>
      <w:r w:rsidR="00187E5C">
        <w:t>expenditure more than five</w:t>
      </w:r>
      <w:r>
        <w:t xml:space="preserve"> years before the granting of a project</w:t>
      </w:r>
      <w:r w:rsidR="005D6F39">
        <w:t>’</w:t>
      </w:r>
      <w:r>
        <w:t>s first production licence was allocated an uplift of GDP deflator, allowing only for the effects of inflation over time</w:t>
      </w:r>
      <w:r w:rsidR="005D6F39">
        <w:t xml:space="preserve"> — </w:t>
      </w:r>
      <w:r>
        <w:t xml:space="preserve">presumably recognising </w:t>
      </w:r>
      <w:r w:rsidR="003C7299">
        <w:t xml:space="preserve">the </w:t>
      </w:r>
      <w:r>
        <w:t xml:space="preserve">potentially large effects on PRRT collections </w:t>
      </w:r>
      <w:r w:rsidR="003C7299">
        <w:t xml:space="preserve">if expenditure on </w:t>
      </w:r>
      <w:r>
        <w:t>very old exploration activity</w:t>
      </w:r>
      <w:r w:rsidR="003C7299">
        <w:t xml:space="preserve"> was uplifted at LTBR plus 15 percentage points</w:t>
      </w:r>
      <w:r w:rsidR="00755941">
        <w:t xml:space="preserve">. </w:t>
      </w:r>
    </w:p>
    <w:p w14:paraId="3C0EED22" w14:textId="275F8FDF" w:rsidR="00AA7794" w:rsidRDefault="00AA7794" w:rsidP="00262C3E">
      <w:r>
        <w:t xml:space="preserve">Despite the uniform uplift rate of LTBR plus 15 percentage points, Government statements </w:t>
      </w:r>
      <w:r w:rsidR="008E58D6">
        <w:t xml:space="preserve">at the time </w:t>
      </w:r>
      <w:r>
        <w:t xml:space="preserve">noted that the uplift rate should be lower </w:t>
      </w:r>
      <w:r w:rsidR="00821B86">
        <w:t xml:space="preserve">where the </w:t>
      </w:r>
      <w:r>
        <w:t xml:space="preserve">PRRT design </w:t>
      </w:r>
      <w:r w:rsidR="00821B86">
        <w:t xml:space="preserve">reduces </w:t>
      </w:r>
      <w:r>
        <w:t xml:space="preserve">the possibility of </w:t>
      </w:r>
      <w:r w:rsidR="0024541F">
        <w:t xml:space="preserve">deductions not being </w:t>
      </w:r>
      <w:r>
        <w:t>utilised.</w:t>
      </w:r>
    </w:p>
    <w:p w14:paraId="23ABF311" w14:textId="63EF8544" w:rsidR="00AA7794" w:rsidRPr="00262C3E" w:rsidRDefault="00AA7794" w:rsidP="00262C3E">
      <w:pPr>
        <w:ind w:left="567" w:right="565"/>
        <w:rPr>
          <w:color w:val="1F497D" w:themeColor="text2"/>
          <w:sz w:val="20"/>
        </w:rPr>
      </w:pPr>
      <w:r w:rsidRPr="00567788">
        <w:rPr>
          <w:color w:val="1F497D"/>
          <w:sz w:val="20"/>
        </w:rPr>
        <w:t>The greater the degree of loss offset incorporated in the RRT structure the more the threshold rate should be reduced</w:t>
      </w:r>
      <w:r w:rsidRPr="006A5285">
        <w:rPr>
          <w:color w:val="1F497D" w:themeColor="text2"/>
          <w:sz w:val="20"/>
        </w:rPr>
        <w:t xml:space="preserve"> </w:t>
      </w:r>
      <w:r w:rsidR="006A5285" w:rsidRPr="006A5285">
        <w:rPr>
          <w:color w:val="1F497D" w:themeColor="text2"/>
          <w:sz w:val="20"/>
        </w:rPr>
        <w:t>(</w:t>
      </w:r>
      <w:r w:rsidRPr="006A5285">
        <w:rPr>
          <w:color w:val="1F497D" w:themeColor="text2"/>
          <w:sz w:val="20"/>
        </w:rPr>
        <w:t>Commonwealth Government</w:t>
      </w:r>
      <w:r w:rsidR="006A5285" w:rsidRPr="006A5285">
        <w:rPr>
          <w:color w:val="1F497D" w:themeColor="text2"/>
          <w:sz w:val="20"/>
        </w:rPr>
        <w:t>,</w:t>
      </w:r>
      <w:r w:rsidR="007B4819" w:rsidRPr="006A5285">
        <w:rPr>
          <w:color w:val="1F497D" w:themeColor="text2"/>
          <w:sz w:val="20"/>
        </w:rPr>
        <w:t xml:space="preserve"> </w:t>
      </w:r>
      <w:r w:rsidRPr="006A5285">
        <w:rPr>
          <w:color w:val="1F497D" w:themeColor="text2"/>
          <w:sz w:val="20"/>
        </w:rPr>
        <w:t>1984</w:t>
      </w:r>
      <w:r w:rsidR="006A5285" w:rsidRPr="006A5285">
        <w:rPr>
          <w:color w:val="1F497D" w:themeColor="text2"/>
          <w:sz w:val="20"/>
        </w:rPr>
        <w:t>a</w:t>
      </w:r>
      <w:r w:rsidR="00DB57E2" w:rsidRPr="006A5285">
        <w:rPr>
          <w:color w:val="1F497D" w:themeColor="text2"/>
          <w:sz w:val="20"/>
        </w:rPr>
        <w:t xml:space="preserve">, p. </w:t>
      </w:r>
      <w:r w:rsidR="007B4819" w:rsidRPr="006A5285">
        <w:rPr>
          <w:color w:val="1F497D" w:themeColor="text2"/>
          <w:sz w:val="20"/>
        </w:rPr>
        <w:t>2</w:t>
      </w:r>
      <w:r w:rsidR="006A5285" w:rsidRPr="006A5285">
        <w:rPr>
          <w:color w:val="1F497D" w:themeColor="text2"/>
          <w:sz w:val="20"/>
        </w:rPr>
        <w:t>)</w:t>
      </w:r>
      <w:r w:rsidR="007B4819" w:rsidRPr="006A5285">
        <w:rPr>
          <w:color w:val="1F497D" w:themeColor="text2"/>
          <w:sz w:val="20"/>
        </w:rPr>
        <w:t>.</w:t>
      </w:r>
    </w:p>
    <w:p w14:paraId="762A528D" w14:textId="2E7EBDC8" w:rsidR="00AA7794" w:rsidRDefault="00AA7794" w:rsidP="00262C3E">
      <w:r>
        <w:t>Academics and others have also noted how an uplift rate incorporating a loading on LTBR may be viewed as an attempt to ma</w:t>
      </w:r>
      <w:r w:rsidR="00187E5C">
        <w:t xml:space="preserve">ke up for the risk that carried </w:t>
      </w:r>
      <w:r>
        <w:t xml:space="preserve">forward </w:t>
      </w:r>
      <w:r w:rsidR="00821B86">
        <w:t xml:space="preserve">expenditure </w:t>
      </w:r>
      <w:r>
        <w:t>may</w:t>
      </w:r>
      <w:r w:rsidR="00187E5C">
        <w:t xml:space="preserve"> never be utilised. In doing so</w:t>
      </w:r>
      <w:r>
        <w:t xml:space="preserve"> they invariably make a clear distinction between project risk and the risk </w:t>
      </w:r>
      <w:r w:rsidR="00F75EDF">
        <w:t xml:space="preserve">that </w:t>
      </w:r>
      <w:r>
        <w:t>tax deductions</w:t>
      </w:r>
      <w:r w:rsidR="00F75EDF">
        <w:t xml:space="preserve"> will </w:t>
      </w:r>
      <w:r w:rsidR="00AB044D">
        <w:t xml:space="preserve">never be </w:t>
      </w:r>
      <w:r w:rsidR="00F75EDF">
        <w:t>utilised</w:t>
      </w:r>
      <w:r>
        <w:t>.</w:t>
      </w:r>
    </w:p>
    <w:p w14:paraId="50ADDA44" w14:textId="5F61F090" w:rsidR="00AA7794" w:rsidRDefault="00AA7794" w:rsidP="00262C3E">
      <w:pPr>
        <w:ind w:left="567" w:right="565"/>
        <w:rPr>
          <w:color w:val="1F497D" w:themeColor="text2"/>
          <w:sz w:val="20"/>
        </w:rPr>
      </w:pPr>
      <w:r w:rsidRPr="00262C3E">
        <w:rPr>
          <w:color w:val="1F497D" w:themeColor="text2"/>
          <w:sz w:val="20"/>
        </w:rPr>
        <w:t xml:space="preserve">If it </w:t>
      </w:r>
      <w:r w:rsidR="00262C3E">
        <w:rPr>
          <w:color w:val="1F497D" w:themeColor="text2"/>
          <w:sz w:val="20"/>
        </w:rPr>
        <w:t>is not certain that tax credits</w:t>
      </w:r>
      <w:r w:rsidR="00C026C1">
        <w:rPr>
          <w:color w:val="1F497D" w:themeColor="text2"/>
          <w:sz w:val="20"/>
        </w:rPr>
        <w:t xml:space="preserve"> </w:t>
      </w:r>
      <w:r w:rsidR="00262C3E">
        <w:rPr>
          <w:color w:val="1F497D" w:themeColor="text2"/>
          <w:sz w:val="20"/>
        </w:rPr>
        <w:t>…</w:t>
      </w:r>
      <w:r w:rsidR="00C026C1">
        <w:rPr>
          <w:color w:val="1F497D" w:themeColor="text2"/>
          <w:sz w:val="20"/>
        </w:rPr>
        <w:t xml:space="preserve"> </w:t>
      </w:r>
      <w:r w:rsidRPr="00262C3E">
        <w:rPr>
          <w:color w:val="1F497D" w:themeColor="text2"/>
          <w:sz w:val="20"/>
        </w:rPr>
        <w:t>will eventually be redeemed</w:t>
      </w:r>
      <w:r w:rsidR="005D6F39">
        <w:rPr>
          <w:color w:val="1F497D" w:themeColor="text2"/>
          <w:sz w:val="20"/>
        </w:rPr>
        <w:t xml:space="preserve"> — </w:t>
      </w:r>
      <w:r w:rsidRPr="00262C3E">
        <w:rPr>
          <w:color w:val="1F497D" w:themeColor="text2"/>
          <w:sz w:val="20"/>
        </w:rPr>
        <w:t>perhaps beca</w:t>
      </w:r>
      <w:r w:rsidR="00262C3E">
        <w:rPr>
          <w:color w:val="1F497D" w:themeColor="text2"/>
          <w:sz w:val="20"/>
        </w:rPr>
        <w:t>use…</w:t>
      </w:r>
      <w:r w:rsidRPr="00262C3E">
        <w:rPr>
          <w:color w:val="1F497D" w:themeColor="text2"/>
          <w:sz w:val="20"/>
        </w:rPr>
        <w:t>the tax laws do not guarantee full loss offset</w:t>
      </w:r>
      <w:r w:rsidR="005D6F39">
        <w:rPr>
          <w:color w:val="1F497D" w:themeColor="text2"/>
          <w:sz w:val="20"/>
        </w:rPr>
        <w:t xml:space="preserve"> — </w:t>
      </w:r>
      <w:r w:rsidRPr="00262C3E">
        <w:rPr>
          <w:color w:val="1F497D" w:themeColor="text2"/>
          <w:sz w:val="20"/>
        </w:rPr>
        <w:t xml:space="preserve">the appropriate interest rate </w:t>
      </w:r>
      <w:r w:rsidRPr="00262C3E">
        <w:rPr>
          <w:color w:val="1F497D" w:themeColor="text2"/>
          <w:sz w:val="20"/>
          <w:u w:val="single"/>
        </w:rPr>
        <w:t>only</w:t>
      </w:r>
      <w:r w:rsidRPr="00262C3E">
        <w:rPr>
          <w:color w:val="1F497D" w:themeColor="text2"/>
          <w:sz w:val="20"/>
        </w:rPr>
        <w:t xml:space="preserve"> depends on the risk characteristics of the asset being taxed </w:t>
      </w:r>
      <w:r w:rsidRPr="00262C3E">
        <w:rPr>
          <w:color w:val="1F497D" w:themeColor="text2"/>
          <w:sz w:val="20"/>
          <w:u w:val="single"/>
        </w:rPr>
        <w:t>to the extent that</w:t>
      </w:r>
      <w:r w:rsidRPr="00262C3E">
        <w:rPr>
          <w:color w:val="1F497D" w:themeColor="text2"/>
          <w:sz w:val="20"/>
        </w:rPr>
        <w:t xml:space="preserve"> these characteristics determine the p</w:t>
      </w:r>
      <w:r w:rsidR="00262C3E">
        <w:rPr>
          <w:color w:val="1F497D" w:themeColor="text2"/>
          <w:sz w:val="20"/>
        </w:rPr>
        <w:t>robability that the tax credits</w:t>
      </w:r>
      <w:r w:rsidR="00C026C1">
        <w:rPr>
          <w:color w:val="1F497D" w:themeColor="text2"/>
          <w:sz w:val="20"/>
        </w:rPr>
        <w:t xml:space="preserve"> </w:t>
      </w:r>
      <w:r w:rsidR="00262C3E">
        <w:rPr>
          <w:color w:val="1F497D" w:themeColor="text2"/>
          <w:sz w:val="20"/>
        </w:rPr>
        <w:t>…</w:t>
      </w:r>
      <w:r w:rsidR="00C026C1">
        <w:rPr>
          <w:color w:val="1F497D" w:themeColor="text2"/>
          <w:sz w:val="20"/>
        </w:rPr>
        <w:t xml:space="preserve"> </w:t>
      </w:r>
      <w:r w:rsidR="00187E5C">
        <w:rPr>
          <w:color w:val="1F497D" w:themeColor="text2"/>
          <w:sz w:val="20"/>
        </w:rPr>
        <w:t>will never be redeemed</w:t>
      </w:r>
      <w:r w:rsidRPr="00262C3E">
        <w:rPr>
          <w:color w:val="1F497D" w:themeColor="text2"/>
          <w:sz w:val="20"/>
        </w:rPr>
        <w:t xml:space="preserve"> (</w:t>
      </w:r>
      <w:r w:rsidR="008315B7">
        <w:rPr>
          <w:color w:val="1F497D" w:themeColor="text2"/>
          <w:sz w:val="20"/>
        </w:rPr>
        <w:t xml:space="preserve">emphasis </w:t>
      </w:r>
      <w:r w:rsidRPr="00262C3E">
        <w:rPr>
          <w:color w:val="1F497D" w:themeColor="text2"/>
          <w:sz w:val="20"/>
        </w:rPr>
        <w:t xml:space="preserve">added) </w:t>
      </w:r>
      <w:r w:rsidR="006A5285" w:rsidRPr="006A5285">
        <w:rPr>
          <w:color w:val="1F497D" w:themeColor="text2"/>
          <w:sz w:val="20"/>
        </w:rPr>
        <w:t>(</w:t>
      </w:r>
      <w:r w:rsidRPr="006A5285">
        <w:rPr>
          <w:color w:val="1F497D" w:themeColor="text2"/>
          <w:sz w:val="20"/>
        </w:rPr>
        <w:t>Fane</w:t>
      </w:r>
      <w:r w:rsidR="006A5285" w:rsidRPr="006A5285">
        <w:rPr>
          <w:color w:val="1F497D" w:themeColor="text2"/>
          <w:sz w:val="20"/>
        </w:rPr>
        <w:t>,</w:t>
      </w:r>
      <w:r w:rsidR="00D75C92" w:rsidRPr="006A5285">
        <w:rPr>
          <w:color w:val="1F497D" w:themeColor="text2"/>
          <w:sz w:val="20"/>
        </w:rPr>
        <w:t xml:space="preserve"> </w:t>
      </w:r>
      <w:r w:rsidRPr="006A5285">
        <w:rPr>
          <w:color w:val="1F497D" w:themeColor="text2"/>
          <w:sz w:val="20"/>
        </w:rPr>
        <w:t>198</w:t>
      </w:r>
      <w:r w:rsidR="00436460">
        <w:rPr>
          <w:color w:val="1F497D" w:themeColor="text2"/>
          <w:sz w:val="20"/>
        </w:rPr>
        <w:t>7</w:t>
      </w:r>
      <w:r w:rsidRPr="006A5285">
        <w:rPr>
          <w:color w:val="1F497D" w:themeColor="text2"/>
          <w:sz w:val="20"/>
        </w:rPr>
        <w:t>, p</w:t>
      </w:r>
      <w:r w:rsidR="00C57BE3" w:rsidRPr="006A5285">
        <w:rPr>
          <w:color w:val="1F497D" w:themeColor="text2"/>
          <w:sz w:val="20"/>
        </w:rPr>
        <w:t>.</w:t>
      </w:r>
      <w:r w:rsidRPr="006A5285">
        <w:rPr>
          <w:color w:val="1F497D" w:themeColor="text2"/>
          <w:sz w:val="20"/>
        </w:rPr>
        <w:t xml:space="preserve"> 103</w:t>
      </w:r>
      <w:r w:rsidR="006A5285" w:rsidRPr="006A5285">
        <w:rPr>
          <w:color w:val="1F497D" w:themeColor="text2"/>
          <w:sz w:val="20"/>
        </w:rPr>
        <w:t>)</w:t>
      </w:r>
      <w:r w:rsidRPr="006A5285">
        <w:rPr>
          <w:color w:val="1F497D" w:themeColor="text2"/>
          <w:sz w:val="20"/>
        </w:rPr>
        <w:t xml:space="preserve">. </w:t>
      </w:r>
    </w:p>
    <w:p w14:paraId="437ED80C" w14:textId="0FEEA644" w:rsidR="00183CDD" w:rsidRPr="00183CDD" w:rsidRDefault="00183CDD" w:rsidP="00183CDD">
      <w:pPr>
        <w:ind w:right="565"/>
        <w:rPr>
          <w:color w:val="auto"/>
          <w:szCs w:val="22"/>
        </w:rPr>
      </w:pPr>
      <w:r w:rsidRPr="00183CDD">
        <w:rPr>
          <w:color w:val="auto"/>
          <w:szCs w:val="22"/>
        </w:rPr>
        <w:t xml:space="preserve">In the </w:t>
      </w:r>
      <w:r>
        <w:rPr>
          <w:color w:val="auto"/>
          <w:szCs w:val="22"/>
        </w:rPr>
        <w:t>PRRT context, the loading on LTBR, which bolsters the return on profitable investment outcomes, can also be viewed as a counterweight to the reality that no level of uplift rate can remove the possibility of in</w:t>
      </w:r>
      <w:r w:rsidR="00187E5C">
        <w:rPr>
          <w:color w:val="auto"/>
          <w:szCs w:val="22"/>
        </w:rPr>
        <w:t xml:space="preserve">vestment outcomes where carried </w:t>
      </w:r>
      <w:r>
        <w:rPr>
          <w:color w:val="auto"/>
          <w:szCs w:val="22"/>
        </w:rPr>
        <w:t>forward losses are never utilised.</w:t>
      </w:r>
    </w:p>
    <w:p w14:paraId="389B43E3" w14:textId="07F6CABF" w:rsidR="00AA7794" w:rsidRDefault="00187E5C" w:rsidP="00262C3E">
      <w:pPr>
        <w:pStyle w:val="Heading3"/>
      </w:pPr>
      <w:bookmarkStart w:id="5407" w:name="_Toc476577355"/>
      <w:bookmarkStart w:id="5408" w:name="_Toc476582344"/>
      <w:bookmarkStart w:id="5409" w:name="_Toc476583018"/>
      <w:bookmarkStart w:id="5410" w:name="_Toc476583735"/>
      <w:bookmarkStart w:id="5411" w:name="_Toc476584183"/>
      <w:bookmarkStart w:id="5412" w:name="_Toc476738090"/>
      <w:bookmarkStart w:id="5413" w:name="_Toc476747665"/>
      <w:bookmarkStart w:id="5414" w:name="_Toc476749075"/>
      <w:bookmarkStart w:id="5415" w:name="_Toc476753942"/>
      <w:bookmarkStart w:id="5416" w:name="_Toc476754437"/>
      <w:bookmarkStart w:id="5417" w:name="_Toc476754602"/>
      <w:bookmarkStart w:id="5418" w:name="_Toc476759841"/>
      <w:bookmarkStart w:id="5419" w:name="_Toc476761463"/>
      <w:bookmarkStart w:id="5420" w:name="_Toc476767101"/>
      <w:bookmarkStart w:id="5421" w:name="_Toc476827147"/>
      <w:bookmarkStart w:id="5422" w:name="_Toc476828840"/>
      <w:bookmarkStart w:id="5423" w:name="_Toc476833714"/>
      <w:bookmarkStart w:id="5424" w:name="_Toc476837187"/>
      <w:bookmarkStart w:id="5425" w:name="_Toc476841060"/>
      <w:bookmarkStart w:id="5426" w:name="_Toc476841265"/>
      <w:bookmarkStart w:id="5427" w:name="_Toc476842024"/>
      <w:bookmarkStart w:id="5428" w:name="_Toc476842968"/>
      <w:bookmarkStart w:id="5429" w:name="_Toc476843139"/>
      <w:bookmarkStart w:id="5430" w:name="_Toc476844637"/>
      <w:bookmarkStart w:id="5431" w:name="_Toc476845530"/>
      <w:bookmarkStart w:id="5432" w:name="_Toc476926923"/>
      <w:bookmarkStart w:id="5433" w:name="_Toc476927036"/>
      <w:bookmarkStart w:id="5434" w:name="_Toc476927210"/>
      <w:bookmarkStart w:id="5435" w:name="_Toc476928474"/>
      <w:bookmarkStart w:id="5436" w:name="_Toc476929517"/>
      <w:bookmarkStart w:id="5437" w:name="_Toc476929692"/>
      <w:bookmarkStart w:id="5438" w:name="_Toc476930735"/>
      <w:bookmarkStart w:id="5439" w:name="_Toc476931542"/>
      <w:bookmarkStart w:id="5440" w:name="_Toc477869891"/>
      <w:bookmarkStart w:id="5441" w:name="_Toc477871130"/>
      <w:bookmarkStart w:id="5442" w:name="_Toc477873289"/>
      <w:bookmarkStart w:id="5443" w:name="_Toc477875283"/>
      <w:bookmarkStart w:id="5444" w:name="_Toc477880196"/>
      <w:bookmarkStart w:id="5445" w:name="_Toc477881456"/>
      <w:bookmarkStart w:id="5446" w:name="_Toc477955860"/>
      <w:bookmarkStart w:id="5447" w:name="_Toc477963105"/>
      <w:bookmarkStart w:id="5448" w:name="_Toc477963591"/>
      <w:bookmarkStart w:id="5449" w:name="_Toc477965177"/>
      <w:bookmarkStart w:id="5450" w:name="_Toc477966681"/>
      <w:bookmarkStart w:id="5451" w:name="_Toc477966850"/>
      <w:bookmarkStart w:id="5452" w:name="_Toc477967190"/>
      <w:bookmarkStart w:id="5453" w:name="_Toc478121327"/>
      <w:bookmarkStart w:id="5454" w:name="_Toc478122240"/>
      <w:bookmarkStart w:id="5455" w:name="_Toc478132214"/>
      <w:bookmarkStart w:id="5456" w:name="_Toc478133240"/>
      <w:bookmarkStart w:id="5457" w:name="_Toc478132377"/>
      <w:bookmarkStart w:id="5458" w:name="_Toc478134706"/>
      <w:bookmarkStart w:id="5459" w:name="_Toc478137408"/>
      <w:bookmarkStart w:id="5460" w:name="_Toc478138480"/>
      <w:bookmarkStart w:id="5461" w:name="_Toc478140050"/>
      <w:bookmarkStart w:id="5462" w:name="_Toc478140466"/>
      <w:bookmarkStart w:id="5463" w:name="_Toc478142672"/>
      <w:bookmarkStart w:id="5464" w:name="_Toc478566388"/>
      <w:bookmarkStart w:id="5465" w:name="_Toc478569555"/>
      <w:bookmarkStart w:id="5466" w:name="_Toc478569729"/>
      <w:bookmarkStart w:id="5467" w:name="_Toc478570803"/>
      <w:bookmarkStart w:id="5468" w:name="_Toc478633002"/>
      <w:bookmarkStart w:id="5469" w:name="_Toc478641410"/>
      <w:bookmarkStart w:id="5470" w:name="_Toc478654304"/>
      <w:bookmarkStart w:id="5471" w:name="_Toc478654478"/>
      <w:bookmarkStart w:id="5472" w:name="_Toc478657773"/>
      <w:bookmarkStart w:id="5473" w:name="_Toc478993194"/>
      <w:bookmarkStart w:id="5474" w:name="_Toc479000265"/>
      <w:bookmarkStart w:id="5475" w:name="_Toc479002199"/>
      <w:bookmarkStart w:id="5476" w:name="_Toc479002371"/>
      <w:bookmarkStart w:id="5477" w:name="_Toc479254346"/>
      <w:bookmarkStart w:id="5478" w:name="_Toc479258535"/>
      <w:bookmarkStart w:id="5479" w:name="_Toc479258851"/>
      <w:bookmarkStart w:id="5480" w:name="_Toc479259743"/>
      <w:bookmarkStart w:id="5481" w:name="_Toc479262166"/>
      <w:bookmarkStart w:id="5482" w:name="_Toc479262587"/>
      <w:bookmarkStart w:id="5483" w:name="_Toc479321288"/>
      <w:bookmarkStart w:id="5484" w:name="_Toc479326727"/>
      <w:bookmarkStart w:id="5485" w:name="_Toc479333326"/>
      <w:bookmarkStart w:id="5486" w:name="_Toc479335023"/>
      <w:bookmarkStart w:id="5487" w:name="_Toc479341738"/>
      <w:bookmarkStart w:id="5488" w:name="_Toc479345154"/>
      <w:bookmarkStart w:id="5489" w:name="_Toc479345363"/>
      <w:bookmarkStart w:id="5490" w:name="_Toc479348344"/>
      <w:bookmarkStart w:id="5491" w:name="_Toc479675938"/>
      <w:bookmarkStart w:id="5492" w:name="_Toc479690905"/>
      <w:bookmarkStart w:id="5493" w:name="_Toc479693483"/>
      <w:bookmarkStart w:id="5494" w:name="_Toc479770652"/>
      <w:r>
        <w:t>4.2.1</w:t>
      </w:r>
      <w:r>
        <w:tab/>
        <w:t xml:space="preserve">Basis of </w:t>
      </w:r>
      <w:r w:rsidR="0006458A">
        <w:t>I</w:t>
      </w:r>
      <w:r>
        <w:t xml:space="preserve">nitial </w:t>
      </w:r>
      <w:r w:rsidR="0006458A">
        <w:t>U</w:t>
      </w:r>
      <w:r>
        <w:t xml:space="preserve">niform </w:t>
      </w:r>
      <w:r w:rsidR="0006458A">
        <w:t>U</w:t>
      </w:r>
      <w:r>
        <w:t xml:space="preserve">plift </w:t>
      </w:r>
      <w:r w:rsidR="0006458A">
        <w:t>R</w:t>
      </w:r>
      <w:r w:rsidR="00AA7794">
        <w:t>ate</w:t>
      </w:r>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14:paraId="3788257F" w14:textId="37FA78E0" w:rsidR="00AA7794" w:rsidRDefault="00AA7794" w:rsidP="00262C3E">
      <w:r>
        <w:t xml:space="preserve">In the </w:t>
      </w:r>
      <w:r w:rsidR="003845E9">
        <w:t xml:space="preserve">original </w:t>
      </w:r>
      <w:r>
        <w:t xml:space="preserve">development of </w:t>
      </w:r>
      <w:r w:rsidR="003845E9">
        <w:t>the</w:t>
      </w:r>
      <w:r w:rsidR="00211DB4">
        <w:t xml:space="preserve"> PRRT</w:t>
      </w:r>
      <w:r>
        <w:t>, the Government undertook lengthy consultations with industry on designs with different combinations of uplift and tax rates, as well as immediate cash rebates for eligible exploration expenditure.</w:t>
      </w:r>
    </w:p>
    <w:p w14:paraId="7D133E4B" w14:textId="1DB83D2A" w:rsidR="00AA7794" w:rsidRDefault="00AA7794" w:rsidP="00262C3E">
      <w:r>
        <w:t xml:space="preserve">One approach involved two uplift rates and two associated tax rates, as well as a cash rebate for eligible exploration expenditure. </w:t>
      </w:r>
      <w:r w:rsidR="002B4B36">
        <w:t xml:space="preserve">The cash rebate </w:t>
      </w:r>
      <w:r>
        <w:t xml:space="preserve">effectively </w:t>
      </w:r>
      <w:r w:rsidR="002B4B36">
        <w:t>removed any risk of losing deductions for</w:t>
      </w:r>
      <w:r>
        <w:t xml:space="preserve"> exploration expenditure. The lower uplift/tax rate combination under this approach incorporated an uplift of LTBR plus 5 percentage points. </w:t>
      </w:r>
    </w:p>
    <w:p w14:paraId="6649B62F" w14:textId="061030BA" w:rsidR="00AA7794" w:rsidRDefault="0024541F" w:rsidP="00262C3E">
      <w:r>
        <w:t>An</w:t>
      </w:r>
      <w:r w:rsidR="00AA7794">
        <w:t xml:space="preserve"> alternative approach, which proved to be the template for</w:t>
      </w:r>
      <w:r>
        <w:t xml:space="preserve"> </w:t>
      </w:r>
      <w:r w:rsidR="00AA7794">
        <w:t>final design, incorporated a single uplift rate at LTBR plus 10 percentage points (LTBR was about 15</w:t>
      </w:r>
      <w:r w:rsidR="00663979">
        <w:t xml:space="preserve"> per cent</w:t>
      </w:r>
      <w:r w:rsidR="00AA7794">
        <w:t xml:space="preserve"> at the time) and accompanying tax rate of 45</w:t>
      </w:r>
      <w:r w:rsidR="00663979">
        <w:t xml:space="preserve"> per cent</w:t>
      </w:r>
      <w:r w:rsidR="00AA7794">
        <w:t xml:space="preserve">. No cash rebate for exploration expenditure was included. The shift in </w:t>
      </w:r>
      <w:r w:rsidR="00ED686E">
        <w:t xml:space="preserve">the </w:t>
      </w:r>
      <w:r w:rsidR="00AA7794">
        <w:t xml:space="preserve">loading on LTBR in the single uplift rate </w:t>
      </w:r>
      <w:r w:rsidR="00F61CC1">
        <w:t>to</w:t>
      </w:r>
      <w:r w:rsidR="00AA7794">
        <w:t xml:space="preserve"> 15 percentage points </w:t>
      </w:r>
      <w:r w:rsidR="00ED686E">
        <w:t>when the PRRT was introduced</w:t>
      </w:r>
      <w:r w:rsidR="008315B7">
        <w:t>,</w:t>
      </w:r>
      <w:r w:rsidR="00AA7794">
        <w:t xml:space="preserve"> points to </w:t>
      </w:r>
      <w:r w:rsidR="00ED686E">
        <w:t>a</w:t>
      </w:r>
      <w:r w:rsidR="00AA7794">
        <w:t xml:space="preserve"> particular focus given to risks at the exploration phase in the selection of </w:t>
      </w:r>
      <w:r w:rsidR="008315B7">
        <w:t xml:space="preserve">the </w:t>
      </w:r>
      <w:r w:rsidR="00AA7794">
        <w:t>uplift rate.</w:t>
      </w:r>
    </w:p>
    <w:p w14:paraId="34DF1B57" w14:textId="234CA971" w:rsidR="00AA7794" w:rsidRPr="00262C3E" w:rsidRDefault="00AA7794" w:rsidP="00262C3E">
      <w:pPr>
        <w:ind w:left="567" w:right="565"/>
        <w:rPr>
          <w:color w:val="1F497D" w:themeColor="text2"/>
          <w:sz w:val="20"/>
        </w:rPr>
      </w:pPr>
      <w:r w:rsidRPr="00262C3E">
        <w:rPr>
          <w:color w:val="1F497D" w:themeColor="text2"/>
          <w:sz w:val="20"/>
        </w:rPr>
        <w:t>This approach seeks to achieve a reasonable balance between revenue and exploration objectives by means of a relatively high threshold and a relatively low tax rate. The relatively high threshold rate and the single, low tax rate reflect the risk of the deductions in respect of exploration not being recouped in full for RRT purposes</w:t>
      </w:r>
      <w:r w:rsidRPr="00436460">
        <w:rPr>
          <w:color w:val="1F497D" w:themeColor="text2"/>
          <w:sz w:val="20"/>
        </w:rPr>
        <w:t xml:space="preserve"> </w:t>
      </w:r>
      <w:r w:rsidR="00436460" w:rsidRPr="00436460">
        <w:rPr>
          <w:color w:val="1F497D" w:themeColor="text2"/>
          <w:sz w:val="20"/>
        </w:rPr>
        <w:t>(</w:t>
      </w:r>
      <w:r w:rsidRPr="00436460">
        <w:rPr>
          <w:color w:val="1F497D" w:themeColor="text2"/>
          <w:sz w:val="20"/>
        </w:rPr>
        <w:t>Commonwealth Government</w:t>
      </w:r>
      <w:r w:rsidR="00436460" w:rsidRPr="00436460">
        <w:rPr>
          <w:color w:val="1F497D" w:themeColor="text2"/>
          <w:sz w:val="20"/>
        </w:rPr>
        <w:t>,</w:t>
      </w:r>
      <w:r w:rsidRPr="00436460">
        <w:rPr>
          <w:color w:val="1F497D" w:themeColor="text2"/>
          <w:sz w:val="20"/>
        </w:rPr>
        <w:t xml:space="preserve"> 1984</w:t>
      </w:r>
      <w:r w:rsidR="00436460" w:rsidRPr="00436460">
        <w:rPr>
          <w:color w:val="1F497D" w:themeColor="text2"/>
          <w:sz w:val="20"/>
        </w:rPr>
        <w:t>b</w:t>
      </w:r>
      <w:r w:rsidRPr="00436460">
        <w:rPr>
          <w:color w:val="1F497D" w:themeColor="text2"/>
          <w:sz w:val="20"/>
        </w:rPr>
        <w:t>, p. 6</w:t>
      </w:r>
      <w:r w:rsidR="00436460" w:rsidRPr="00436460">
        <w:rPr>
          <w:color w:val="1F497D" w:themeColor="text2"/>
          <w:sz w:val="20"/>
        </w:rPr>
        <w:t>)</w:t>
      </w:r>
      <w:r w:rsidRPr="00436460">
        <w:rPr>
          <w:color w:val="1F497D" w:themeColor="text2"/>
          <w:sz w:val="20"/>
        </w:rPr>
        <w:t>.</w:t>
      </w:r>
    </w:p>
    <w:p w14:paraId="2A5570F5" w14:textId="31A428BC" w:rsidR="00AA7794" w:rsidRDefault="00A0461E" w:rsidP="00262C3E">
      <w:r>
        <w:t>G</w:t>
      </w:r>
      <w:r w:rsidR="00AA7794">
        <w:t xml:space="preserve">etting the uplift rates </w:t>
      </w:r>
      <w:r w:rsidR="005D6F39">
        <w:t>‘</w:t>
      </w:r>
      <w:r w:rsidR="00D23F3A">
        <w:t>right</w:t>
      </w:r>
      <w:r w:rsidR="005D6F39">
        <w:t>’</w:t>
      </w:r>
      <w:r w:rsidR="00D23F3A">
        <w:t xml:space="preserve"> </w:t>
      </w:r>
      <w:r w:rsidR="00E90B65">
        <w:t>is</w:t>
      </w:r>
      <w:r>
        <w:t xml:space="preserve"> </w:t>
      </w:r>
      <w:r w:rsidR="00AA7794">
        <w:t xml:space="preserve">clearly desirable. </w:t>
      </w:r>
      <w:r>
        <w:t>H</w:t>
      </w:r>
      <w:r w:rsidR="00AA7794">
        <w:t>owever, there is no precise formula for setting uplift loadings</w:t>
      </w:r>
      <w:r w:rsidR="005D6F39">
        <w:t xml:space="preserve"> — </w:t>
      </w:r>
      <w:r w:rsidR="00AA7794">
        <w:t>a difficulty magnified if a uniform uplift rate is to be applied. That is because the risk of losing PRRT deductions varies greatly from exploration phase to development phase and from project to project. Consequently, the initial application of a single generally</w:t>
      </w:r>
      <w:r w:rsidR="005D6F39">
        <w:noBreakHyphen/>
      </w:r>
      <w:r w:rsidR="00AA7794">
        <w:t>applicable uplift rate was recognised as imperfe</w:t>
      </w:r>
      <w:r w:rsidR="00D23F3A">
        <w:t>ct, and the selection of the 15 percentage point</w:t>
      </w:r>
      <w:r w:rsidR="00AA7794">
        <w:t xml:space="preserve"> loading above LTBR</w:t>
      </w:r>
      <w:r w:rsidR="00536F9F">
        <w:t xml:space="preserve"> that</w:t>
      </w:r>
      <w:r w:rsidR="00AA7794">
        <w:t xml:space="preserve"> </w:t>
      </w:r>
      <w:r>
        <w:t xml:space="preserve">was </w:t>
      </w:r>
      <w:r w:rsidR="00536F9F">
        <w:t xml:space="preserve">eventually adopted, was </w:t>
      </w:r>
      <w:r w:rsidR="00AA7794">
        <w:t>necessarily arbitrary.</w:t>
      </w:r>
    </w:p>
    <w:p w14:paraId="37A6F7E7" w14:textId="6E6E16A1" w:rsidR="00AA7794" w:rsidRPr="00262C3E" w:rsidRDefault="00AA7794" w:rsidP="00262C3E">
      <w:pPr>
        <w:ind w:left="567" w:right="565"/>
        <w:rPr>
          <w:color w:val="1F497D" w:themeColor="text2"/>
          <w:sz w:val="20"/>
        </w:rPr>
      </w:pPr>
      <w:r w:rsidRPr="00262C3E">
        <w:rPr>
          <w:color w:val="1F497D" w:themeColor="text2"/>
          <w:sz w:val="20"/>
        </w:rPr>
        <w:t>In practice, however, there are very significant difficulties in attempting to devise an objective test of the degrees of risk inherent in different projects or categories of expenditure and in translating such tests into particular threshold loadings</w:t>
      </w:r>
      <w:r w:rsidR="00436460">
        <w:rPr>
          <w:color w:val="1F497D" w:themeColor="text2"/>
          <w:sz w:val="20"/>
        </w:rPr>
        <w:t xml:space="preserve"> </w:t>
      </w:r>
      <w:r w:rsidR="00436460" w:rsidRPr="00436460">
        <w:rPr>
          <w:color w:val="1F497D" w:themeColor="text2"/>
          <w:sz w:val="20"/>
        </w:rPr>
        <w:t>(</w:t>
      </w:r>
      <w:r w:rsidRPr="00436460">
        <w:rPr>
          <w:color w:val="1F497D" w:themeColor="text2"/>
          <w:sz w:val="20"/>
        </w:rPr>
        <w:t>Commonwealth Government</w:t>
      </w:r>
      <w:r w:rsidR="00436460" w:rsidRPr="00436460">
        <w:rPr>
          <w:color w:val="1F497D" w:themeColor="text2"/>
          <w:sz w:val="20"/>
        </w:rPr>
        <w:t>,</w:t>
      </w:r>
      <w:r w:rsidRPr="00436460">
        <w:rPr>
          <w:color w:val="1F497D" w:themeColor="text2"/>
          <w:sz w:val="20"/>
        </w:rPr>
        <w:t xml:space="preserve"> 1983, p. 5</w:t>
      </w:r>
      <w:r w:rsidR="00436460" w:rsidRPr="00436460">
        <w:rPr>
          <w:color w:val="1F497D" w:themeColor="text2"/>
          <w:sz w:val="20"/>
        </w:rPr>
        <w:t>)</w:t>
      </w:r>
      <w:r w:rsidRPr="00436460">
        <w:rPr>
          <w:color w:val="1F497D" w:themeColor="text2"/>
          <w:sz w:val="20"/>
        </w:rPr>
        <w:t>.</w:t>
      </w:r>
    </w:p>
    <w:p w14:paraId="434373A7" w14:textId="547A6838" w:rsidR="00AA7794" w:rsidRPr="00262C3E" w:rsidRDefault="00AA7794" w:rsidP="00262C3E">
      <w:pPr>
        <w:ind w:left="567" w:right="565"/>
        <w:rPr>
          <w:color w:val="1F497D" w:themeColor="text2"/>
          <w:sz w:val="20"/>
        </w:rPr>
      </w:pPr>
      <w:r w:rsidRPr="00262C3E">
        <w:rPr>
          <w:color w:val="1F497D" w:themeColor="text2"/>
          <w:sz w:val="20"/>
        </w:rPr>
        <w:t>If the threshold rate were set too high, revenue would suffer because fewer projects would be taxable, and/or the consequent high tax rate required to raise sufficient revenue would provide an incentive to over</w:t>
      </w:r>
      <w:r w:rsidR="005D6F39">
        <w:rPr>
          <w:color w:val="1F497D" w:themeColor="text2"/>
          <w:sz w:val="20"/>
        </w:rPr>
        <w:noBreakHyphen/>
      </w:r>
      <w:r w:rsidRPr="00262C3E">
        <w:rPr>
          <w:color w:val="1F497D" w:themeColor="text2"/>
          <w:sz w:val="20"/>
        </w:rPr>
        <w:t>invest in taxable projects. If the threshold rate were set to</w:t>
      </w:r>
      <w:r w:rsidR="00654DE6">
        <w:rPr>
          <w:color w:val="1F497D" w:themeColor="text2"/>
          <w:sz w:val="20"/>
        </w:rPr>
        <w:t>o</w:t>
      </w:r>
      <w:r w:rsidRPr="00262C3E">
        <w:rPr>
          <w:color w:val="1F497D" w:themeColor="text2"/>
          <w:sz w:val="20"/>
        </w:rPr>
        <w:t xml:space="preserve"> low, less profitable projects are likely to be deferred</w:t>
      </w:r>
      <w:r w:rsidR="00436460">
        <w:rPr>
          <w:color w:val="1F497D" w:themeColor="text2"/>
          <w:sz w:val="20"/>
        </w:rPr>
        <w:t xml:space="preserve"> </w:t>
      </w:r>
      <w:r w:rsidR="00436460" w:rsidRPr="00436460">
        <w:rPr>
          <w:color w:val="1F497D" w:themeColor="text2"/>
          <w:sz w:val="20"/>
        </w:rPr>
        <w:t>(</w:t>
      </w:r>
      <w:r w:rsidRPr="00436460">
        <w:rPr>
          <w:color w:val="1F497D" w:themeColor="text2"/>
          <w:sz w:val="20"/>
        </w:rPr>
        <w:t>Commonwealth Government</w:t>
      </w:r>
      <w:r w:rsidR="00436460" w:rsidRPr="00436460">
        <w:rPr>
          <w:color w:val="1F497D" w:themeColor="text2"/>
          <w:sz w:val="20"/>
        </w:rPr>
        <w:t xml:space="preserve">, </w:t>
      </w:r>
      <w:r w:rsidRPr="00436460">
        <w:rPr>
          <w:color w:val="1F497D" w:themeColor="text2"/>
          <w:sz w:val="20"/>
        </w:rPr>
        <w:t>1983, p. 5</w:t>
      </w:r>
      <w:r w:rsidR="00436460" w:rsidRPr="00436460">
        <w:rPr>
          <w:color w:val="1F497D" w:themeColor="text2"/>
          <w:sz w:val="20"/>
        </w:rPr>
        <w:t>)</w:t>
      </w:r>
      <w:r w:rsidR="00436460">
        <w:rPr>
          <w:color w:val="1F497D" w:themeColor="text2"/>
          <w:sz w:val="20"/>
        </w:rPr>
        <w:t>.</w:t>
      </w:r>
    </w:p>
    <w:p w14:paraId="00CDEE97" w14:textId="741D5DD1" w:rsidR="00AA7794" w:rsidRDefault="00AA7794" w:rsidP="00262C3E">
      <w:pPr>
        <w:ind w:left="567" w:right="565"/>
        <w:rPr>
          <w:color w:val="1F497D" w:themeColor="text2"/>
          <w:sz w:val="20"/>
        </w:rPr>
      </w:pPr>
      <w:r w:rsidRPr="00262C3E">
        <w:rPr>
          <w:color w:val="1F497D" w:themeColor="text2"/>
          <w:sz w:val="20"/>
        </w:rPr>
        <w:t>The threshold and tax rate have been set at levels which, in the Government</w:t>
      </w:r>
      <w:r w:rsidR="005D6F39">
        <w:rPr>
          <w:color w:val="1F497D" w:themeColor="text2"/>
          <w:sz w:val="20"/>
        </w:rPr>
        <w:t>’</w:t>
      </w:r>
      <w:r w:rsidRPr="00262C3E">
        <w:rPr>
          <w:color w:val="1F497D" w:themeColor="text2"/>
          <w:sz w:val="20"/>
        </w:rPr>
        <w:t>s view, represent a reasonable balance between revenue</w:t>
      </w:r>
      <w:r w:rsidR="00D23F3A">
        <w:rPr>
          <w:color w:val="1F497D" w:themeColor="text2"/>
          <w:sz w:val="20"/>
        </w:rPr>
        <w:t xml:space="preserve"> and oil exploration objectives</w:t>
      </w:r>
      <w:r w:rsidRPr="00262C3E">
        <w:rPr>
          <w:color w:val="1F497D" w:themeColor="text2"/>
          <w:sz w:val="20"/>
        </w:rPr>
        <w:t xml:space="preserve"> </w:t>
      </w:r>
      <w:r w:rsidR="00436460" w:rsidRPr="00436460">
        <w:rPr>
          <w:color w:val="1F497D" w:themeColor="text2"/>
          <w:sz w:val="20"/>
        </w:rPr>
        <w:t>(</w:t>
      </w:r>
      <w:r w:rsidRPr="00436460">
        <w:rPr>
          <w:color w:val="1F497D" w:themeColor="text2"/>
          <w:sz w:val="20"/>
        </w:rPr>
        <w:t>Commonwealth Government</w:t>
      </w:r>
      <w:r w:rsidR="00436460" w:rsidRPr="00436460">
        <w:rPr>
          <w:color w:val="1F497D" w:themeColor="text2"/>
          <w:sz w:val="20"/>
        </w:rPr>
        <w:t>,</w:t>
      </w:r>
      <w:r w:rsidRPr="00436460">
        <w:rPr>
          <w:color w:val="1F497D" w:themeColor="text2"/>
          <w:sz w:val="20"/>
        </w:rPr>
        <w:t xml:space="preserve"> 1984</w:t>
      </w:r>
      <w:r w:rsidR="00436460" w:rsidRPr="00436460">
        <w:rPr>
          <w:color w:val="1F497D" w:themeColor="text2"/>
          <w:sz w:val="20"/>
        </w:rPr>
        <w:t>c</w:t>
      </w:r>
      <w:r w:rsidR="00D23F3A">
        <w:rPr>
          <w:color w:val="1F497D" w:themeColor="text2"/>
          <w:sz w:val="20"/>
        </w:rPr>
        <w:t xml:space="preserve">, p. </w:t>
      </w:r>
      <w:r w:rsidRPr="00436460">
        <w:rPr>
          <w:color w:val="1F497D" w:themeColor="text2"/>
          <w:sz w:val="20"/>
        </w:rPr>
        <w:t>6</w:t>
      </w:r>
      <w:r w:rsidR="00436460" w:rsidRPr="00436460">
        <w:rPr>
          <w:color w:val="1F497D" w:themeColor="text2"/>
          <w:sz w:val="20"/>
        </w:rPr>
        <w:t>)</w:t>
      </w:r>
      <w:r w:rsidRPr="00436460">
        <w:rPr>
          <w:color w:val="1F497D" w:themeColor="text2"/>
          <w:sz w:val="20"/>
        </w:rPr>
        <w:t>.</w:t>
      </w:r>
    </w:p>
    <w:p w14:paraId="7AE85C65" w14:textId="23EE10A7" w:rsidR="00A0461E" w:rsidRPr="00654DE6" w:rsidRDefault="00A0461E" w:rsidP="00654DE6">
      <w:r w:rsidRPr="00654DE6">
        <w:t xml:space="preserve">While there is no precise formula or benchmark for selecting </w:t>
      </w:r>
      <w:r w:rsidR="00ED7FB6" w:rsidRPr="00654DE6">
        <w:t xml:space="preserve">the specific uplift rate to use in the PRRT, it does have a major bearing on the amount of PRRT revenue </w:t>
      </w:r>
      <w:r w:rsidR="008315B7">
        <w:t xml:space="preserve">that </w:t>
      </w:r>
      <w:r w:rsidR="00ED7FB6" w:rsidRPr="00654DE6">
        <w:t>will be collected from petroleum projects, including whether projects pay any PRRT.</w:t>
      </w:r>
    </w:p>
    <w:p w14:paraId="5DF6FBF0" w14:textId="4AD6A626" w:rsidR="00AA7794" w:rsidRDefault="00AA7794" w:rsidP="00262C3E">
      <w:pPr>
        <w:pStyle w:val="Heading3"/>
      </w:pPr>
      <w:bookmarkStart w:id="5495" w:name="_Toc476577356"/>
      <w:bookmarkStart w:id="5496" w:name="_Toc476582345"/>
      <w:bookmarkStart w:id="5497" w:name="_Toc476583019"/>
      <w:bookmarkStart w:id="5498" w:name="_Toc476583736"/>
      <w:bookmarkStart w:id="5499" w:name="_Toc476584184"/>
      <w:bookmarkStart w:id="5500" w:name="_Toc476738091"/>
      <w:bookmarkStart w:id="5501" w:name="_Toc476747666"/>
      <w:bookmarkStart w:id="5502" w:name="_Toc476749076"/>
      <w:bookmarkStart w:id="5503" w:name="_Toc476753943"/>
      <w:bookmarkStart w:id="5504" w:name="_Toc476754438"/>
      <w:bookmarkStart w:id="5505" w:name="_Toc476754603"/>
      <w:bookmarkStart w:id="5506" w:name="_Toc476759842"/>
      <w:bookmarkStart w:id="5507" w:name="_Toc476761464"/>
      <w:bookmarkStart w:id="5508" w:name="_Toc476767102"/>
      <w:bookmarkStart w:id="5509" w:name="_Toc476827148"/>
      <w:bookmarkStart w:id="5510" w:name="_Toc476828841"/>
      <w:bookmarkStart w:id="5511" w:name="_Toc476833715"/>
      <w:bookmarkStart w:id="5512" w:name="_Toc476837188"/>
      <w:bookmarkStart w:id="5513" w:name="_Toc476841061"/>
      <w:bookmarkStart w:id="5514" w:name="_Toc476841266"/>
      <w:bookmarkStart w:id="5515" w:name="_Toc476842025"/>
      <w:bookmarkStart w:id="5516" w:name="_Toc476842969"/>
      <w:bookmarkStart w:id="5517" w:name="_Toc476843140"/>
      <w:bookmarkStart w:id="5518" w:name="_Toc476844638"/>
      <w:bookmarkStart w:id="5519" w:name="_Toc476845531"/>
      <w:bookmarkStart w:id="5520" w:name="_Toc476926924"/>
      <w:bookmarkStart w:id="5521" w:name="_Toc476927037"/>
      <w:bookmarkStart w:id="5522" w:name="_Toc476927211"/>
      <w:bookmarkStart w:id="5523" w:name="_Toc476928475"/>
      <w:bookmarkStart w:id="5524" w:name="_Toc476929518"/>
      <w:bookmarkStart w:id="5525" w:name="_Toc476929693"/>
      <w:bookmarkStart w:id="5526" w:name="_Toc476930736"/>
      <w:bookmarkStart w:id="5527" w:name="_Toc476931543"/>
      <w:bookmarkStart w:id="5528" w:name="_Toc477869892"/>
      <w:bookmarkStart w:id="5529" w:name="_Toc477871131"/>
      <w:bookmarkStart w:id="5530" w:name="_Toc477873290"/>
      <w:bookmarkStart w:id="5531" w:name="_Toc477875284"/>
      <w:bookmarkStart w:id="5532" w:name="_Toc477880197"/>
      <w:bookmarkStart w:id="5533" w:name="_Toc477881457"/>
      <w:bookmarkStart w:id="5534" w:name="_Toc477955861"/>
      <w:bookmarkStart w:id="5535" w:name="_Toc477963106"/>
      <w:bookmarkStart w:id="5536" w:name="_Toc477963592"/>
      <w:bookmarkStart w:id="5537" w:name="_Toc477965178"/>
      <w:bookmarkStart w:id="5538" w:name="_Toc477966682"/>
      <w:bookmarkStart w:id="5539" w:name="_Toc477966851"/>
      <w:bookmarkStart w:id="5540" w:name="_Toc477967191"/>
      <w:bookmarkStart w:id="5541" w:name="_Toc478121328"/>
      <w:bookmarkStart w:id="5542" w:name="_Toc478122241"/>
      <w:bookmarkStart w:id="5543" w:name="_Toc478132215"/>
      <w:bookmarkStart w:id="5544" w:name="_Toc478133241"/>
      <w:bookmarkStart w:id="5545" w:name="_Toc478132378"/>
      <w:bookmarkStart w:id="5546" w:name="_Toc478134707"/>
      <w:bookmarkStart w:id="5547" w:name="_Toc478137409"/>
      <w:bookmarkStart w:id="5548" w:name="_Toc478138481"/>
      <w:bookmarkStart w:id="5549" w:name="_Toc478140051"/>
      <w:bookmarkStart w:id="5550" w:name="_Toc478140467"/>
      <w:bookmarkStart w:id="5551" w:name="_Toc478142673"/>
      <w:bookmarkStart w:id="5552" w:name="_Toc478566389"/>
      <w:bookmarkStart w:id="5553" w:name="_Toc478569556"/>
      <w:bookmarkStart w:id="5554" w:name="_Toc478569730"/>
      <w:bookmarkStart w:id="5555" w:name="_Toc478570804"/>
      <w:bookmarkStart w:id="5556" w:name="_Toc478633003"/>
      <w:bookmarkStart w:id="5557" w:name="_Toc478641411"/>
      <w:bookmarkStart w:id="5558" w:name="_Toc478654305"/>
      <w:bookmarkStart w:id="5559" w:name="_Toc478654479"/>
      <w:bookmarkStart w:id="5560" w:name="_Toc478657774"/>
      <w:bookmarkStart w:id="5561" w:name="_Toc478993195"/>
      <w:bookmarkStart w:id="5562" w:name="_Toc479000266"/>
      <w:bookmarkStart w:id="5563" w:name="_Toc479002200"/>
      <w:bookmarkStart w:id="5564" w:name="_Toc479002372"/>
      <w:bookmarkStart w:id="5565" w:name="_Toc479254347"/>
      <w:bookmarkStart w:id="5566" w:name="_Toc479258536"/>
      <w:bookmarkStart w:id="5567" w:name="_Toc479258852"/>
      <w:bookmarkStart w:id="5568" w:name="_Toc479259744"/>
      <w:bookmarkStart w:id="5569" w:name="_Toc479262167"/>
      <w:bookmarkStart w:id="5570" w:name="_Toc479262588"/>
      <w:bookmarkStart w:id="5571" w:name="_Toc479321289"/>
      <w:bookmarkStart w:id="5572" w:name="_Toc479326728"/>
      <w:bookmarkStart w:id="5573" w:name="_Toc479333327"/>
      <w:bookmarkStart w:id="5574" w:name="_Toc479335024"/>
      <w:bookmarkStart w:id="5575" w:name="_Toc479341739"/>
      <w:bookmarkStart w:id="5576" w:name="_Toc479345155"/>
      <w:bookmarkStart w:id="5577" w:name="_Toc479345364"/>
      <w:bookmarkStart w:id="5578" w:name="_Toc479348345"/>
      <w:bookmarkStart w:id="5579" w:name="_Toc479675939"/>
      <w:bookmarkStart w:id="5580" w:name="_Toc479690906"/>
      <w:bookmarkStart w:id="5581" w:name="_Toc479693484"/>
      <w:bookmarkStart w:id="5582" w:name="_Toc479770653"/>
      <w:r>
        <w:t>4.2.2</w:t>
      </w:r>
      <w:r w:rsidR="005F3A83">
        <w:tab/>
      </w:r>
      <w:r w:rsidR="00D23F3A">
        <w:t>Transferability for exploration costs and reduced uplift</w:t>
      </w:r>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14:paraId="672BFDC7" w14:textId="62C9576B" w:rsidR="00AA7794" w:rsidRDefault="00AA7794" w:rsidP="00262C3E">
      <w:r>
        <w:t xml:space="preserve">Most relevant to the uplift rate for </w:t>
      </w:r>
      <w:r w:rsidR="00ED7FB6">
        <w:t xml:space="preserve">petroleum </w:t>
      </w:r>
      <w:r>
        <w:t xml:space="preserve">exploration expenditure is the </w:t>
      </w:r>
      <w:r w:rsidR="00ED7FB6">
        <w:t xml:space="preserve">risk that there will </w:t>
      </w:r>
      <w:r w:rsidR="00E90B65">
        <w:t>be</w:t>
      </w:r>
      <w:r>
        <w:t xml:space="preserve"> no ensuing pro</w:t>
      </w:r>
      <w:r w:rsidR="00103712">
        <w:t>ject re</w:t>
      </w:r>
      <w:r w:rsidR="00811189">
        <w:t>ceipts</w:t>
      </w:r>
      <w:r>
        <w:t xml:space="preserve"> to absorb </w:t>
      </w:r>
      <w:r w:rsidR="00103712">
        <w:t>th</w:t>
      </w:r>
      <w:r w:rsidR="00ED7FB6">
        <w:t>is</w:t>
      </w:r>
      <w:r>
        <w:t xml:space="preserve"> expenditure. In </w:t>
      </w:r>
      <w:r w:rsidR="00F61CC1">
        <w:t>such</w:t>
      </w:r>
      <w:r>
        <w:t xml:space="preserve"> circumstances, </w:t>
      </w:r>
      <w:r w:rsidR="00861488">
        <w:t xml:space="preserve">a </w:t>
      </w:r>
      <w:r>
        <w:t>project</w:t>
      </w:r>
      <w:r w:rsidR="005D6F39">
        <w:noBreakHyphen/>
      </w:r>
      <w:r>
        <w:t>based PRRT design</w:t>
      </w:r>
      <w:r w:rsidR="000B3AC5">
        <w:t xml:space="preserve"> </w:t>
      </w:r>
      <w:r>
        <w:t xml:space="preserve">offers no recompense for </w:t>
      </w:r>
      <w:r w:rsidR="00861488">
        <w:t xml:space="preserve">the </w:t>
      </w:r>
      <w:r>
        <w:t>expenditure outlaid</w:t>
      </w:r>
      <w:r w:rsidR="00861488">
        <w:t>.</w:t>
      </w:r>
    </w:p>
    <w:p w14:paraId="1DB3A219" w14:textId="07D03687" w:rsidR="00AA7794" w:rsidRDefault="00AA7794" w:rsidP="00262C3E">
      <w:r>
        <w:t>Th</w:t>
      </w:r>
      <w:r w:rsidR="00861488">
        <w:t>e</w:t>
      </w:r>
      <w:r>
        <w:t xml:space="preserve"> situation </w:t>
      </w:r>
      <w:r w:rsidR="00861488">
        <w:t xml:space="preserve">was significantly changed with </w:t>
      </w:r>
      <w:r w:rsidR="004501EE">
        <w:t>the introduction in 1991 of</w:t>
      </w:r>
      <w:r>
        <w:t xml:space="preserve"> transferability of exploration expenditure within the same company group (see </w:t>
      </w:r>
      <w:r w:rsidR="00D23F3A" w:rsidRPr="006D28D4">
        <w:t>s</w:t>
      </w:r>
      <w:r w:rsidRPr="006D28D4">
        <w:t>ection 4.3</w:t>
      </w:r>
      <w:r>
        <w:t>). Th</w:t>
      </w:r>
      <w:r w:rsidR="00861488">
        <w:t>e</w:t>
      </w:r>
      <w:r>
        <w:t xml:space="preserve"> benefits </w:t>
      </w:r>
      <w:r w:rsidR="00861488">
        <w:t xml:space="preserve">of transferability </w:t>
      </w:r>
      <w:r>
        <w:t xml:space="preserve">were explained in the second reading speech for the </w:t>
      </w:r>
      <w:r w:rsidRPr="007A1E7A">
        <w:rPr>
          <w:i/>
        </w:rPr>
        <w:t>Petroleum Resource Rent Legislation Amendment Act 1991</w:t>
      </w:r>
      <w:r>
        <w:t>:</w:t>
      </w:r>
    </w:p>
    <w:p w14:paraId="0F5E54A7" w14:textId="035BCA05" w:rsidR="00AA7794" w:rsidRPr="001009AB" w:rsidRDefault="00C026C1" w:rsidP="001009AB">
      <w:pPr>
        <w:ind w:left="567" w:right="565"/>
        <w:rPr>
          <w:color w:val="1F497D" w:themeColor="text2"/>
          <w:sz w:val="20"/>
        </w:rPr>
      </w:pPr>
      <w:r>
        <w:rPr>
          <w:color w:val="1F497D" w:themeColor="text2"/>
          <w:sz w:val="20"/>
        </w:rPr>
        <w:t>‘</w:t>
      </w:r>
      <w:r w:rsidR="00AA7794" w:rsidRPr="001009AB">
        <w:rPr>
          <w:color w:val="1F497D" w:themeColor="text2"/>
          <w:sz w:val="20"/>
        </w:rPr>
        <w:t>The introduction of wider deductibility for exploration expenditure will improve the efficiency of the resource rent tax and stimulate the exploration effort in offshore Australia. Previously, deductibility was limited to individual permit areas. The new arrangements make the after tax cost of exploration within RRT paying permits the same as the cost outside those permits. The current disincentive to explore in frontier areas will, therefore, be removed, an important change for the discovery of new hydrocarbon accumulation</w:t>
      </w:r>
      <w:r>
        <w:rPr>
          <w:color w:val="1F497D" w:themeColor="text2"/>
          <w:sz w:val="20"/>
        </w:rPr>
        <w:t>.’</w:t>
      </w:r>
      <w:r w:rsidR="00AA7794" w:rsidRPr="00436460">
        <w:rPr>
          <w:color w:val="1F497D" w:themeColor="text2"/>
          <w:sz w:val="20"/>
        </w:rPr>
        <w:t xml:space="preserve"> </w:t>
      </w:r>
      <w:r w:rsidR="00A05B1B" w:rsidRPr="00436460">
        <w:rPr>
          <w:color w:val="1F497D" w:themeColor="text2"/>
          <w:sz w:val="20"/>
        </w:rPr>
        <w:t>The Hon Paul Keating MP</w:t>
      </w:r>
      <w:r w:rsidR="002879F9" w:rsidRPr="00436460">
        <w:rPr>
          <w:color w:val="1F497D" w:themeColor="text2"/>
          <w:sz w:val="20"/>
        </w:rPr>
        <w:t xml:space="preserve"> (Parliament of Australia</w:t>
      </w:r>
      <w:r w:rsidR="001D0355" w:rsidRPr="00436460">
        <w:rPr>
          <w:color w:val="1F497D" w:themeColor="text2"/>
          <w:sz w:val="20"/>
        </w:rPr>
        <w:t>,</w:t>
      </w:r>
      <w:r w:rsidR="00A05B1B" w:rsidRPr="00436460">
        <w:rPr>
          <w:color w:val="1F497D" w:themeColor="text2"/>
          <w:sz w:val="20"/>
        </w:rPr>
        <w:t xml:space="preserve"> 1991, p. </w:t>
      </w:r>
      <w:r w:rsidR="001D0355" w:rsidRPr="00436460">
        <w:rPr>
          <w:color w:val="1F497D" w:themeColor="text2"/>
          <w:sz w:val="20"/>
        </w:rPr>
        <w:t>343</w:t>
      </w:r>
      <w:r w:rsidR="00335E65">
        <w:rPr>
          <w:color w:val="1F497D" w:themeColor="text2"/>
          <w:sz w:val="20"/>
        </w:rPr>
        <w:t>6</w:t>
      </w:r>
      <w:r w:rsidR="002879F9" w:rsidRPr="00436460">
        <w:rPr>
          <w:color w:val="1F497D" w:themeColor="text2"/>
          <w:sz w:val="20"/>
        </w:rPr>
        <w:t>)</w:t>
      </w:r>
      <w:r w:rsidR="00AA7794" w:rsidRPr="00436460">
        <w:rPr>
          <w:color w:val="1F497D" w:themeColor="text2"/>
          <w:sz w:val="20"/>
        </w:rPr>
        <w:t>.</w:t>
      </w:r>
    </w:p>
    <w:p w14:paraId="058BA416" w14:textId="335E4D75" w:rsidR="002B4B36" w:rsidRDefault="00AA7794" w:rsidP="00262C3E">
      <w:r>
        <w:t>With transferability, a company group m</w:t>
      </w:r>
      <w:r w:rsidR="001A0572">
        <w:t xml:space="preserve">ay see that failed and uplifted </w:t>
      </w:r>
      <w:r>
        <w:t xml:space="preserve">greenfields exploration expenditure will ultimately be able to be offset against PRRT receipts </w:t>
      </w:r>
      <w:r w:rsidR="00861488">
        <w:t>on other projects</w:t>
      </w:r>
      <w:r>
        <w:t xml:space="preserve"> within the group</w:t>
      </w:r>
      <w:r w:rsidR="00755941">
        <w:t xml:space="preserve">. </w:t>
      </w:r>
      <w:r w:rsidR="00861488">
        <w:t>With a significant reduction in the risk of not being able to deduct</w:t>
      </w:r>
      <w:r w:rsidR="00D90B5D">
        <w:t xml:space="preserve"> unsuccessful</w:t>
      </w:r>
      <w:r w:rsidR="00861488">
        <w:t xml:space="preserve"> exploration expenditure</w:t>
      </w:r>
      <w:r w:rsidR="00D90B5D">
        <w:t>, it could be expected that the uplift rate for such expenditure of LTBR plus 15 percentage points would have been reduced. This was not the case.</w:t>
      </w:r>
    </w:p>
    <w:p w14:paraId="74C9E857" w14:textId="58B84176" w:rsidR="00AA7794" w:rsidRDefault="00D90B5D" w:rsidP="00262C3E">
      <w:r>
        <w:t>W</w:t>
      </w:r>
      <w:r w:rsidR="00AA7794">
        <w:t xml:space="preserve">hen exploration transferability was introduced, it was not the loading </w:t>
      </w:r>
      <w:r w:rsidR="005E0AE3">
        <w:t xml:space="preserve">on LTBR </w:t>
      </w:r>
      <w:r w:rsidR="00AA7794">
        <w:t xml:space="preserve">for exploration expenditure that was reduced. The loading </w:t>
      </w:r>
      <w:r w:rsidR="005E0AE3">
        <w:t>for</w:t>
      </w:r>
      <w:r w:rsidR="00AA7794">
        <w:t xml:space="preserve"> general </w:t>
      </w:r>
      <w:r w:rsidR="00916BA5">
        <w:t xml:space="preserve">project </w:t>
      </w:r>
      <w:r w:rsidR="00AA7794">
        <w:t>expenditure was reduced from 15 to 5</w:t>
      </w:r>
      <w:r w:rsidR="00026DF6">
        <w:t> </w:t>
      </w:r>
      <w:r w:rsidR="00AA7794">
        <w:t>percentage points for expenditures after 1</w:t>
      </w:r>
      <w:r w:rsidR="006154D7">
        <w:t> </w:t>
      </w:r>
      <w:r w:rsidR="00AA7794">
        <w:t>July</w:t>
      </w:r>
      <w:r w:rsidR="006154D7">
        <w:t> </w:t>
      </w:r>
      <w:r w:rsidR="00AA7794">
        <w:t>1990</w:t>
      </w:r>
      <w:r w:rsidR="00B01FE1">
        <w:t>,</w:t>
      </w:r>
      <w:r w:rsidR="00AA7794">
        <w:t xml:space="preserve"> </w:t>
      </w:r>
      <w:r w:rsidR="00B01FE1">
        <w:t xml:space="preserve">which is </w:t>
      </w:r>
      <w:r w:rsidR="00AA7794">
        <w:t xml:space="preserve">consistent with </w:t>
      </w:r>
      <w:r>
        <w:t>the lower</w:t>
      </w:r>
      <w:r w:rsidR="00AA7794">
        <w:t xml:space="preserve"> risks of losing PRRT deductions </w:t>
      </w:r>
      <w:r w:rsidR="0060470A">
        <w:t>at</w:t>
      </w:r>
      <w:r w:rsidR="00AA7794">
        <w:t xml:space="preserve"> </w:t>
      </w:r>
      <w:r w:rsidR="00B01FE1">
        <w:t xml:space="preserve">the </w:t>
      </w:r>
      <w:r w:rsidR="00AA7794">
        <w:t xml:space="preserve">development </w:t>
      </w:r>
      <w:r w:rsidR="00B01FE1">
        <w:t xml:space="preserve">and production </w:t>
      </w:r>
      <w:r w:rsidR="00AA7794">
        <w:t>stage</w:t>
      </w:r>
      <w:r w:rsidR="00B01FE1">
        <w:t>s</w:t>
      </w:r>
      <w:r w:rsidR="00AA7794">
        <w:t xml:space="preserve"> </w:t>
      </w:r>
      <w:r w:rsidR="00B01FE1">
        <w:t>of a project. However,</w:t>
      </w:r>
      <w:r w:rsidR="00AA7794" w:rsidDel="00B01FE1">
        <w:t xml:space="preserve"> </w:t>
      </w:r>
      <w:r w:rsidR="00AA7794">
        <w:t xml:space="preserve">there was no change to the exploration uplift, </w:t>
      </w:r>
      <w:r w:rsidR="00DF334A">
        <w:t xml:space="preserve">even though the risk of losing exploration deductions </w:t>
      </w:r>
      <w:r w:rsidR="00166D52">
        <w:t>was</w:t>
      </w:r>
      <w:r w:rsidR="00DF334A">
        <w:t xml:space="preserve"> </w:t>
      </w:r>
      <w:r w:rsidR="00AD4FA4">
        <w:t xml:space="preserve">reduced by the introduction </w:t>
      </w:r>
      <w:r w:rsidR="00AA7794" w:rsidDel="00AD4FA4">
        <w:t xml:space="preserve">of </w:t>
      </w:r>
      <w:r w:rsidR="00AA7794">
        <w:t>transferability.</w:t>
      </w:r>
    </w:p>
    <w:p w14:paraId="00E3484C" w14:textId="0414BE9B" w:rsidR="00AA7794" w:rsidRDefault="00AA7794" w:rsidP="00262C3E">
      <w:r>
        <w:t>The second reading speech points to a focus in 1991 on how transferability provides the opportunity for early, perhaps immediate, offset of exploration expenditure</w:t>
      </w:r>
      <w:r w:rsidR="00755941">
        <w:t>.</w:t>
      </w:r>
    </w:p>
    <w:p w14:paraId="2A59344C" w14:textId="4F96E707" w:rsidR="00AA7794" w:rsidRPr="001009AB" w:rsidRDefault="00C026C1" w:rsidP="001009AB">
      <w:pPr>
        <w:ind w:left="567" w:right="565"/>
        <w:rPr>
          <w:color w:val="1F497D" w:themeColor="text2"/>
          <w:sz w:val="20"/>
        </w:rPr>
      </w:pPr>
      <w:r>
        <w:rPr>
          <w:color w:val="1F497D" w:themeColor="text2"/>
          <w:sz w:val="20"/>
        </w:rPr>
        <w:t>‘</w:t>
      </w:r>
      <w:r w:rsidR="00AA7794" w:rsidRPr="001009AB">
        <w:rPr>
          <w:color w:val="1F497D" w:themeColor="text2"/>
          <w:sz w:val="20"/>
        </w:rPr>
        <w:t>The new arrangement will reflect the relative likelihood of recovering exploration and development expenditures, in contrast to the existing composite carry forward rate. The carry forward rate for general expenditures incurred from 1 July 1990 will be reduced from the long term bond rate plus 15 percentage points to the long term bond rate plus five percentage points. Undeducted exploration expenditure will continue to be eligible for compounding at the long term bond rate plus 15 percentage points</w:t>
      </w:r>
      <w:r w:rsidR="005E0AE3">
        <w:rPr>
          <w:color w:val="1F497D" w:themeColor="text2"/>
          <w:sz w:val="20"/>
        </w:rPr>
        <w:t>.</w:t>
      </w:r>
      <w:r>
        <w:rPr>
          <w:color w:val="1F497D" w:themeColor="text2"/>
          <w:sz w:val="20"/>
        </w:rPr>
        <w:t>’</w:t>
      </w:r>
      <w:r w:rsidR="00980A54" w:rsidRPr="00436460">
        <w:rPr>
          <w:color w:val="1F497D" w:themeColor="text2"/>
          <w:sz w:val="20"/>
        </w:rPr>
        <w:t xml:space="preserve"> </w:t>
      </w:r>
      <w:r w:rsidR="00026DF6">
        <w:rPr>
          <w:color w:val="1F497D" w:themeColor="text2"/>
          <w:sz w:val="20"/>
        </w:rPr>
        <w:t>The Hon Paul K</w:t>
      </w:r>
      <w:r w:rsidR="00A05B1B" w:rsidRPr="00436460">
        <w:rPr>
          <w:color w:val="1F497D" w:themeColor="text2"/>
          <w:sz w:val="20"/>
        </w:rPr>
        <w:t xml:space="preserve">eating MP (Parliament of Australia, 1991, p. </w:t>
      </w:r>
      <w:r w:rsidR="002756DE">
        <w:rPr>
          <w:color w:val="1F497D" w:themeColor="text2"/>
          <w:sz w:val="20"/>
        </w:rPr>
        <w:t>3436</w:t>
      </w:r>
      <w:r w:rsidR="00A05B1B" w:rsidRPr="00436460">
        <w:rPr>
          <w:color w:val="1F497D" w:themeColor="text2"/>
          <w:sz w:val="20"/>
        </w:rPr>
        <w:t>.</w:t>
      </w:r>
    </w:p>
    <w:p w14:paraId="19C38174" w14:textId="77777777" w:rsidR="00026DF6" w:rsidRDefault="00AA7794" w:rsidP="00262C3E">
      <w:r>
        <w:t xml:space="preserve">The focus on the benefit </w:t>
      </w:r>
      <w:r w:rsidR="00B84661">
        <w:t xml:space="preserve">in being able </w:t>
      </w:r>
      <w:r>
        <w:t xml:space="preserve">to </w:t>
      </w:r>
      <w:r w:rsidR="00B84661">
        <w:t xml:space="preserve">transfer </w:t>
      </w:r>
      <w:r>
        <w:t>exploration expenditure ignored the overall reduc</w:t>
      </w:r>
      <w:r w:rsidR="00B84661">
        <w:t xml:space="preserve">tion in the </w:t>
      </w:r>
      <w:r>
        <w:t>risk of losing exploration deductions associated with wider deductibility.</w:t>
      </w:r>
      <w:r w:rsidR="00026DF6">
        <w:t xml:space="preserve"> </w:t>
      </w:r>
    </w:p>
    <w:p w14:paraId="1122C605" w14:textId="04C6EB39" w:rsidR="00AA7794" w:rsidRDefault="00342FF2" w:rsidP="00262C3E">
      <w:r>
        <w:t xml:space="preserve">As outlined in </w:t>
      </w:r>
      <w:r w:rsidR="00026DF6" w:rsidRPr="006D28D4">
        <w:t>s</w:t>
      </w:r>
      <w:r w:rsidRPr="006D28D4">
        <w:t xml:space="preserve">ection </w:t>
      </w:r>
      <w:r w:rsidR="001418C7" w:rsidRPr="006D28D4">
        <w:t>1.2.2</w:t>
      </w:r>
      <w:r>
        <w:t>, a major change that has taken place in the Australian petroleum industry since the introduction of the PRRT is the increased importance of large, long</w:t>
      </w:r>
      <w:r w:rsidR="00026DF6">
        <w:t xml:space="preserve"> life</w:t>
      </w:r>
      <w:r>
        <w:t xml:space="preserve"> LNG projects</w:t>
      </w:r>
      <w:r w:rsidDel="00DD010F">
        <w:t xml:space="preserve">. </w:t>
      </w:r>
      <w:r w:rsidR="004A6CAB">
        <w:t>Even though</w:t>
      </w:r>
      <w:r w:rsidR="00AA7794">
        <w:t xml:space="preserve"> the PRRT was designed to accommodate all petroleum products, large scale gas projects have put a particular focus on the appropriateness of the PRRT uplift rates.</w:t>
      </w:r>
    </w:p>
    <w:p w14:paraId="4B232DEA" w14:textId="6B7F5428" w:rsidR="00AA7794" w:rsidRPr="001009AB" w:rsidRDefault="009E61EE" w:rsidP="00980A54">
      <w:pPr>
        <w:rPr>
          <w:color w:val="1F497D" w:themeColor="text2"/>
          <w:sz w:val="20"/>
        </w:rPr>
      </w:pPr>
      <w:r>
        <w:t>A</w:t>
      </w:r>
      <w:r w:rsidR="00AA7794">
        <w:t xml:space="preserve"> number of submissions to the </w:t>
      </w:r>
      <w:r w:rsidR="004A6CAB">
        <w:t>r</w:t>
      </w:r>
      <w:r w:rsidR="00AA7794">
        <w:t>eview</w:t>
      </w:r>
      <w:r w:rsidR="00AA7794" w:rsidDel="00484123">
        <w:t xml:space="preserve"> </w:t>
      </w:r>
      <w:r w:rsidR="00AA7794">
        <w:t>point out that</w:t>
      </w:r>
      <w:r w:rsidDel="00E64C4F">
        <w:t>,</w:t>
      </w:r>
      <w:r w:rsidR="00AA7794">
        <w:t xml:space="preserve"> compared to typical offshore crude oil projects, offshore </w:t>
      </w:r>
      <w:r w:rsidR="000A33FC">
        <w:t>LNG</w:t>
      </w:r>
      <w:r w:rsidR="00AA7794">
        <w:t xml:space="preserve"> projects involve very high capital intensity, long development lead times and long production periods</w:t>
      </w:r>
      <w:r w:rsidR="005D6F39">
        <w:t xml:space="preserve"> — </w:t>
      </w:r>
      <w:r w:rsidR="00AA7794">
        <w:t>resulting in longer timeframes before commercial returns are achieved</w:t>
      </w:r>
      <w:r w:rsidR="00AA7794" w:rsidDel="00484123">
        <w:t>.</w:t>
      </w:r>
    </w:p>
    <w:p w14:paraId="1FA54666" w14:textId="5F795EA5" w:rsidR="00AA7794" w:rsidRDefault="00B71071" w:rsidP="00262C3E">
      <w:r>
        <w:t>U</w:t>
      </w:r>
      <w:r w:rsidR="00AA7794">
        <w:t xml:space="preserve">plift rates </w:t>
      </w:r>
      <w:r>
        <w:t>are</w:t>
      </w:r>
      <w:r w:rsidR="00AA7794">
        <w:t xml:space="preserve"> particularly important for projects with high development costs</w:t>
      </w:r>
      <w:r w:rsidR="00AA7794" w:rsidDel="00405FEB">
        <w:t xml:space="preserve"> </w:t>
      </w:r>
      <w:r w:rsidR="00AA7794">
        <w:t xml:space="preserve">and long lead times before production commences. </w:t>
      </w:r>
      <w:r>
        <w:t>Low u</w:t>
      </w:r>
      <w:r w:rsidR="00AA7794">
        <w:t xml:space="preserve">plift rates may choke off prospective exploration activity and project development. But </w:t>
      </w:r>
      <w:r>
        <w:t xml:space="preserve">high </w:t>
      </w:r>
      <w:r w:rsidR="00AA7794">
        <w:t>uplift rates will see</w:t>
      </w:r>
      <w:r w:rsidR="00AA7794" w:rsidDel="00142680">
        <w:t xml:space="preserve"> </w:t>
      </w:r>
      <w:r w:rsidR="00AA7794">
        <w:t xml:space="preserve">losses compound over time to such an extent that the return to the community may be reduced considerably even for large projects with good profitability. </w:t>
      </w:r>
      <w:r w:rsidR="00142680">
        <w:t>This is particularly so for exploration losses which</w:t>
      </w:r>
      <w:r w:rsidR="0062162B">
        <w:t>, with</w:t>
      </w:r>
      <w:r w:rsidR="00142680">
        <w:t xml:space="preserve"> an uplift </w:t>
      </w:r>
      <w:r w:rsidR="0062162B">
        <w:t xml:space="preserve">rate </w:t>
      </w:r>
      <w:r w:rsidR="00142680">
        <w:t>of LTBR plus 15 percentage points</w:t>
      </w:r>
      <w:r w:rsidR="0062162B">
        <w:t>,</w:t>
      </w:r>
      <w:r w:rsidR="00142680">
        <w:t xml:space="preserve"> double approximately every four years. </w:t>
      </w:r>
      <w:r w:rsidR="00AA7794">
        <w:t xml:space="preserve">This compounding effect </w:t>
      </w:r>
      <w:r>
        <w:t>is</w:t>
      </w:r>
      <w:r w:rsidR="00AA7794">
        <w:t xml:space="preserve"> exacerbated by current arrangements for the ordering of PRRT deductions </w:t>
      </w:r>
      <w:r w:rsidR="00AA7794" w:rsidRPr="006D28D4">
        <w:t>(</w:t>
      </w:r>
      <w:r w:rsidR="00026DF6" w:rsidRPr="006D28D4">
        <w:t xml:space="preserve">see </w:t>
      </w:r>
      <w:r w:rsidR="003C4529" w:rsidRPr="006D28D4">
        <w:t>s</w:t>
      </w:r>
      <w:r w:rsidR="00AA7794" w:rsidRPr="006D28D4">
        <w:t>ection 4.</w:t>
      </w:r>
      <w:r w:rsidR="00405FEB" w:rsidRPr="006D28D4">
        <w:t>4</w:t>
      </w:r>
      <w:r w:rsidR="00AA7794" w:rsidRPr="006D28D4">
        <w:t>),</w:t>
      </w:r>
      <w:r w:rsidR="00DE607E">
        <w:t xml:space="preserve"> </w:t>
      </w:r>
      <w:r>
        <w:t>potentially</w:t>
      </w:r>
      <w:r w:rsidR="00026DF6">
        <w:t xml:space="preserve"> resulting in a continual build</w:t>
      </w:r>
      <w:r w:rsidR="005D6F39">
        <w:noBreakHyphen/>
      </w:r>
      <w:r w:rsidR="00026DF6">
        <w:t>up</w:t>
      </w:r>
      <w:r w:rsidR="00AA7794">
        <w:t xml:space="preserve"> of deductions well beyond the start of production and possibly throughout the life of some projects. </w:t>
      </w:r>
    </w:p>
    <w:p w14:paraId="5B4203B8" w14:textId="5448A74C" w:rsidR="00AA7794" w:rsidRDefault="00AA7794" w:rsidP="00262C3E">
      <w:r>
        <w:t xml:space="preserve">Figures </w:t>
      </w:r>
      <w:r w:rsidRPr="006D28D4">
        <w:t>4.</w:t>
      </w:r>
      <w:r w:rsidR="001F78AC" w:rsidRPr="006D28D4">
        <w:t>1</w:t>
      </w:r>
      <w:r>
        <w:t xml:space="preserve"> and </w:t>
      </w:r>
      <w:r w:rsidRPr="006D28D4">
        <w:t>4.2</w:t>
      </w:r>
      <w:r w:rsidR="00451308">
        <w:t xml:space="preserve"> compare the impact</w:t>
      </w:r>
      <w:r>
        <w:t xml:space="preserve"> on PRRT </w:t>
      </w:r>
      <w:r w:rsidR="00F14C3A">
        <w:t>revenue</w:t>
      </w:r>
      <w:r>
        <w:t xml:space="preserve"> </w:t>
      </w:r>
      <w:r w:rsidR="001A3236">
        <w:t>paid by</w:t>
      </w:r>
      <w:r>
        <w:t xml:space="preserve"> a hypothetical gas project </w:t>
      </w:r>
      <w:r w:rsidR="00026DF6">
        <w:t xml:space="preserve">with an </w:t>
      </w:r>
      <w:r w:rsidR="00451308">
        <w:t>uplift</w:t>
      </w:r>
      <w:r>
        <w:t xml:space="preserve"> </w:t>
      </w:r>
      <w:r w:rsidR="00260E17">
        <w:t xml:space="preserve">rate </w:t>
      </w:r>
      <w:r>
        <w:t xml:space="preserve">for exploration expenditure </w:t>
      </w:r>
      <w:r w:rsidR="00451308">
        <w:t xml:space="preserve">at LTBR plus </w:t>
      </w:r>
      <w:r>
        <w:t xml:space="preserve">15 </w:t>
      </w:r>
      <w:r w:rsidR="00451308">
        <w:t>percentage points and LTBR plus</w:t>
      </w:r>
      <w:r w:rsidR="00026DF6">
        <w:t xml:space="preserve"> 5 </w:t>
      </w:r>
      <w:r>
        <w:t>percentage points</w:t>
      </w:r>
      <w:r w:rsidR="00260E17">
        <w:t>, respectively</w:t>
      </w:r>
      <w:r>
        <w:t xml:space="preserve">. Figure </w:t>
      </w:r>
      <w:r w:rsidRPr="006D28D4">
        <w:t>4.</w:t>
      </w:r>
      <w:r w:rsidR="001F78AC" w:rsidRPr="006D28D4">
        <w:t>1</w:t>
      </w:r>
      <w:r>
        <w:t xml:space="preserve"> shows </w:t>
      </w:r>
      <w:r w:rsidR="00451308">
        <w:t xml:space="preserve">that with the uplift rate </w:t>
      </w:r>
      <w:r w:rsidR="0002743A">
        <w:t xml:space="preserve">for exploration expenditure </w:t>
      </w:r>
      <w:r w:rsidR="00451308">
        <w:t>at LTBR plus 15 percentage points</w:t>
      </w:r>
      <w:r w:rsidR="0002743A">
        <w:t>,</w:t>
      </w:r>
      <w:r w:rsidR="00451308">
        <w:t xml:space="preserve"> </w:t>
      </w:r>
      <w:r>
        <w:t xml:space="preserve">the compounding effect of </w:t>
      </w:r>
      <w:r w:rsidR="0002743A">
        <w:t xml:space="preserve">this </w:t>
      </w:r>
      <w:r>
        <w:t xml:space="preserve">uplift </w:t>
      </w:r>
      <w:r w:rsidR="0002743A">
        <w:t>combined with the uplift for</w:t>
      </w:r>
      <w:r>
        <w:t xml:space="preserve"> general </w:t>
      </w:r>
      <w:r w:rsidR="001D1BA1">
        <w:t xml:space="preserve">project </w:t>
      </w:r>
      <w:r>
        <w:t xml:space="preserve">expenditure </w:t>
      </w:r>
      <w:r w:rsidR="0002743A">
        <w:t>is such that</w:t>
      </w:r>
      <w:r>
        <w:t xml:space="preserve"> PRRT payments</w:t>
      </w:r>
      <w:r w:rsidR="00493758">
        <w:t xml:space="preserve"> </w:t>
      </w:r>
      <w:r w:rsidR="00260E17">
        <w:t>do</w:t>
      </w:r>
      <w:r w:rsidR="0002743A">
        <w:t xml:space="preserve"> not begin until</w:t>
      </w:r>
      <w:r w:rsidR="00493758">
        <w:t xml:space="preserve"> </w:t>
      </w:r>
      <w:r w:rsidR="0002743A">
        <w:t>y</w:t>
      </w:r>
      <w:r w:rsidR="00493758">
        <w:t>ear 36</w:t>
      </w:r>
      <w:r>
        <w:t xml:space="preserve">. In contrast, </w:t>
      </w:r>
      <w:r w:rsidR="0002743A">
        <w:t xml:space="preserve">as shown in </w:t>
      </w:r>
      <w:r>
        <w:t xml:space="preserve">Figure </w:t>
      </w:r>
      <w:r w:rsidRPr="006D28D4">
        <w:t>4.2</w:t>
      </w:r>
      <w:r w:rsidR="0002743A">
        <w:t xml:space="preserve">, if the uplift rate for exploration expenditure is the same as that for general </w:t>
      </w:r>
      <w:r w:rsidR="001D1BA1">
        <w:t xml:space="preserve">project </w:t>
      </w:r>
      <w:r w:rsidR="0002743A">
        <w:t xml:space="preserve">expenditure at </w:t>
      </w:r>
      <w:r>
        <w:t>LTBR plus 5 percentage points</w:t>
      </w:r>
      <w:r w:rsidR="0002743A">
        <w:t>, the project begin</w:t>
      </w:r>
      <w:r w:rsidR="00260E17">
        <w:t>s</w:t>
      </w:r>
      <w:r w:rsidR="0002743A">
        <w:t xml:space="preserve"> to pay</w:t>
      </w:r>
      <w:r>
        <w:t xml:space="preserve"> PRRT</w:t>
      </w:r>
      <w:r w:rsidR="00493758">
        <w:t xml:space="preserve"> in </w:t>
      </w:r>
      <w:r w:rsidR="0002743A">
        <w:t>y</w:t>
      </w:r>
      <w:r w:rsidR="00493758">
        <w:t>ear 18</w:t>
      </w:r>
      <w:r>
        <w:t xml:space="preserve">. </w:t>
      </w:r>
    </w:p>
    <w:p w14:paraId="0E957DB1" w14:textId="6862F074" w:rsidR="00AA7794" w:rsidRDefault="00AA7794" w:rsidP="00221C2A">
      <w:pPr>
        <w:pStyle w:val="ChartMainHeading"/>
      </w:pPr>
      <w:r w:rsidRPr="006D28D4">
        <w:t>Figure 4.</w:t>
      </w:r>
      <w:r w:rsidR="001F78AC" w:rsidRPr="006D28D4">
        <w:t>1</w:t>
      </w:r>
      <w:r w:rsidR="0015589E">
        <w:t xml:space="preserve"> —</w:t>
      </w:r>
      <w:r>
        <w:t xml:space="preserve"> </w:t>
      </w:r>
      <w:r w:rsidR="00AB00E4">
        <w:t>H</w:t>
      </w:r>
      <w:r>
        <w:t xml:space="preserve">ypothetical </w:t>
      </w:r>
      <w:r w:rsidR="00026DF6">
        <w:t>gas p</w:t>
      </w:r>
      <w:r>
        <w:t>roject</w:t>
      </w:r>
      <w:r w:rsidR="0002743A">
        <w:t xml:space="preserve">: </w:t>
      </w:r>
      <w:r w:rsidR="002850A1">
        <w:t>e</w:t>
      </w:r>
      <w:r w:rsidR="0002743A">
        <w:t>xploration uplift at LTBR plus 15 percentage points</w:t>
      </w:r>
    </w:p>
    <w:p w14:paraId="7FE389A6" w14:textId="08F7D21C" w:rsidR="00AA13E9" w:rsidRDefault="00C026C1" w:rsidP="0094144C">
      <w:pPr>
        <w:pStyle w:val="ChartGraphic"/>
      </w:pPr>
      <w:r>
        <w:object w:dxaOrig="10260" w:dyaOrig="6015" w14:anchorId="4C0D9A0F">
          <v:shape id="_x0000_i1039" type="#_x0000_t75" alt="Figure 4.1 shows the compounding effect of the exploration uplift at LTBR plus 15 percentage points for a hypothetical gas project. The compounding effect results in the project not paying PRRT until year 36." style="width:453pt;height:267pt" o:ole="">
            <v:imagedata r:id="rId63" o:title=""/>
          </v:shape>
          <o:OLEObject Type="Link" ProgID="Excel.SheetMacroEnabled.12" ShapeID="_x0000_i1039" DrawAspect="Content" r:id="rId64" UpdateMode="Always">
            <o:LinkType>EnhancedMetaFile</o:LinkType>
            <o:LockedField>false</o:LockedField>
          </o:OLEObject>
        </w:object>
      </w:r>
    </w:p>
    <w:p w14:paraId="205C5DA6" w14:textId="5613A0D5" w:rsidR="00BB50A4" w:rsidRDefault="00BB50A4" w:rsidP="00C026C1">
      <w:pPr>
        <w:pStyle w:val="ChartorTableNote"/>
      </w:pPr>
      <w:r>
        <w:t xml:space="preserve">Source: </w:t>
      </w:r>
      <w:r w:rsidR="00436460">
        <w:t>Petroleum Resource Rent Tax</w:t>
      </w:r>
      <w:r>
        <w:t xml:space="preserve"> Review Secretariat</w:t>
      </w:r>
      <w:r w:rsidR="00F93371">
        <w:t>.</w:t>
      </w:r>
    </w:p>
    <w:p w14:paraId="26443498" w14:textId="77777777" w:rsidR="00C026C1" w:rsidRPr="00C026C1" w:rsidRDefault="00C026C1" w:rsidP="00C026C1">
      <w:pPr>
        <w:pStyle w:val="SingleParagraph"/>
      </w:pPr>
    </w:p>
    <w:p w14:paraId="1E406B4F" w14:textId="35CB8F1E" w:rsidR="00AA13E9" w:rsidRDefault="00AA7794" w:rsidP="00221C2A">
      <w:pPr>
        <w:pStyle w:val="ChartMainHeading"/>
      </w:pPr>
      <w:r w:rsidRPr="006D28D4">
        <w:t xml:space="preserve">Figure </w:t>
      </w:r>
      <w:r w:rsidR="00AB00E4" w:rsidRPr="006D28D4">
        <w:t>4.2</w:t>
      </w:r>
      <w:r w:rsidR="00AB00E4" w:rsidRPr="0015589E">
        <w:t xml:space="preserve"> </w:t>
      </w:r>
      <w:r w:rsidR="0015589E">
        <w:t>—</w:t>
      </w:r>
      <w:r w:rsidR="00AB00E4">
        <w:t xml:space="preserve"> </w:t>
      </w:r>
      <w:r w:rsidR="00026DF6">
        <w:t>Hypothetical gas p</w:t>
      </w:r>
      <w:r w:rsidR="0002743A">
        <w:t xml:space="preserve">roject: </w:t>
      </w:r>
      <w:r w:rsidR="002850A1">
        <w:t>e</w:t>
      </w:r>
      <w:r w:rsidR="0002743A">
        <w:t>xploration uplift at LTBR plus 5 percentage points</w:t>
      </w:r>
    </w:p>
    <w:p w14:paraId="14F121AE" w14:textId="2B4F5A05" w:rsidR="003F1263" w:rsidRDefault="00C026C1" w:rsidP="00C026C1">
      <w:pPr>
        <w:pStyle w:val="ChartorTableNote"/>
      </w:pPr>
      <w:r>
        <w:object w:dxaOrig="10260" w:dyaOrig="6015" w14:anchorId="3E9698A2">
          <v:shape id="_x0000_i1040" type="#_x0000_t75" alt="Figure 4.2 shows the reduced compounding effect of the exploration uplift at LTBR plus 5 percentage points for the same hypothetical gas project as Figure 4.1. The reduced compounding effect results in the project paying PRRT in year 18 as the assessable receipts absorbs the carried forward expenditure at a faster rate than in figure 4.1." style="width:453pt;height:270.75pt" o:ole="">
            <v:imagedata r:id="rId65" o:title=""/>
          </v:shape>
          <o:OLEObject Type="Link" ProgID="Excel.SheetMacroEnabled.12" ShapeID="_x0000_i1040" DrawAspect="Content" r:id="rId66" UpdateMode="Always">
            <o:LinkType>EnhancedMetaFile</o:LinkType>
            <o:LockedField>false</o:LockedField>
          </o:OLEObject>
        </w:object>
      </w:r>
      <w:r w:rsidR="00BB50A4">
        <w:t xml:space="preserve">Source: </w:t>
      </w:r>
      <w:r w:rsidR="00436460">
        <w:t>Petroleum Resource Rent Tax</w:t>
      </w:r>
      <w:r w:rsidR="003F1263">
        <w:t xml:space="preserve"> Review Secretariat</w:t>
      </w:r>
      <w:r w:rsidR="00F93371">
        <w:t>.</w:t>
      </w:r>
    </w:p>
    <w:p w14:paraId="05055536" w14:textId="1CE3F24B" w:rsidR="00AA13E9" w:rsidRDefault="00AA13E9" w:rsidP="00C026C1">
      <w:pPr>
        <w:pStyle w:val="SingleParagraph"/>
      </w:pPr>
      <w:r>
        <w:t xml:space="preserve">  </w:t>
      </w:r>
    </w:p>
    <w:p w14:paraId="38A2A2F4" w14:textId="2A9239FD" w:rsidR="00AA13E9" w:rsidRDefault="00AA13E9" w:rsidP="00AA13E9">
      <w:r w:rsidRPr="006D28D4">
        <w:t>Figure 4.</w:t>
      </w:r>
      <w:r w:rsidR="001F78AC" w:rsidRPr="006D28D4">
        <w:t>3</w:t>
      </w:r>
      <w:r>
        <w:t xml:space="preserve"> illustrates possible effects on </w:t>
      </w:r>
      <w:r w:rsidR="003415C5">
        <w:t xml:space="preserve">future </w:t>
      </w:r>
      <w:r>
        <w:t xml:space="preserve">PRRT revenue of a reduction in the uplift </w:t>
      </w:r>
      <w:r w:rsidR="002850A1">
        <w:t>loading</w:t>
      </w:r>
      <w:r w:rsidR="00BD3BA5">
        <w:t xml:space="preserve"> </w:t>
      </w:r>
      <w:r w:rsidR="00090093">
        <w:t xml:space="preserve">on LTBR </w:t>
      </w:r>
      <w:r>
        <w:t xml:space="preserve">for exploration expenditure from 15 to 5 percentage points. </w:t>
      </w:r>
      <w:r w:rsidR="006F4E0D">
        <w:t>It</w:t>
      </w:r>
      <w:r>
        <w:t xml:space="preserve"> shows increased PRRT revenue from 2024 to 2029 (totalling </w:t>
      </w:r>
      <w:r w:rsidR="004C464B">
        <w:t xml:space="preserve">approximately </w:t>
      </w:r>
      <w:r>
        <w:t>$6</w:t>
      </w:r>
      <w:r w:rsidR="00BD3BA5">
        <w:t> </w:t>
      </w:r>
      <w:r>
        <w:t>b</w:t>
      </w:r>
      <w:r w:rsidR="00BD3BA5">
        <w:t>illion</w:t>
      </w:r>
      <w:r>
        <w:t xml:space="preserve">) followed by </w:t>
      </w:r>
      <w:r w:rsidDel="004C464B">
        <w:t xml:space="preserve">somewhat </w:t>
      </w:r>
      <w:r>
        <w:t xml:space="preserve">steady annual increases in revenue to </w:t>
      </w:r>
      <w:r w:rsidR="00821C41">
        <w:t>2044.</w:t>
      </w:r>
      <w:r>
        <w:t xml:space="preserve"> </w:t>
      </w:r>
      <w:r w:rsidR="00821C41">
        <w:t xml:space="preserve">Over the period to 2050, total </w:t>
      </w:r>
      <w:r w:rsidR="002850A1">
        <w:t>increase in</w:t>
      </w:r>
      <w:r w:rsidR="00821C41">
        <w:t xml:space="preserve"> revenue is estimated to </w:t>
      </w:r>
      <w:r w:rsidR="00804796">
        <w:t xml:space="preserve">be </w:t>
      </w:r>
      <w:r w:rsidR="00821C41">
        <w:t xml:space="preserve">around </w:t>
      </w:r>
      <w:r>
        <w:t>$19</w:t>
      </w:r>
      <w:r w:rsidR="00BD3BA5">
        <w:t> </w:t>
      </w:r>
      <w:r>
        <w:t>b</w:t>
      </w:r>
      <w:r w:rsidR="00BD3BA5">
        <w:t>illion</w:t>
      </w:r>
      <w:r w:rsidR="00755941">
        <w:t xml:space="preserve">. </w:t>
      </w:r>
      <w:r w:rsidR="001A3236">
        <w:t>These revenue figures reflect the changed uplift rate applying to the stock of past uplifted e</w:t>
      </w:r>
      <w:r w:rsidR="00804796">
        <w:t>xploration expenditure</w:t>
      </w:r>
      <w:r w:rsidR="001A3236">
        <w:t>, as well as future exploration expenditure. Were the change applied only to future exploration expenditure</w:t>
      </w:r>
      <w:r w:rsidR="00BD2EF5">
        <w:t xml:space="preserve">, the </w:t>
      </w:r>
      <w:r w:rsidR="001D1BA1">
        <w:t xml:space="preserve">effect on </w:t>
      </w:r>
      <w:r w:rsidR="00BD2EF5">
        <w:t>PRRT revenue would be significantly less.</w:t>
      </w:r>
      <w:r w:rsidR="001A3236">
        <w:t xml:space="preserve"> </w:t>
      </w:r>
    </w:p>
    <w:p w14:paraId="5252362B" w14:textId="62CE8CBE" w:rsidR="00AA13E9" w:rsidRDefault="00AA13E9" w:rsidP="00221C2A">
      <w:pPr>
        <w:pStyle w:val="ChartMainHeading"/>
      </w:pPr>
      <w:r w:rsidRPr="006D28D4">
        <w:t>Figure 4.</w:t>
      </w:r>
      <w:r w:rsidR="001F78AC">
        <w:t>3</w:t>
      </w:r>
      <w:r>
        <w:t xml:space="preserve"> — </w:t>
      </w:r>
      <w:r w:rsidR="006E060A">
        <w:t xml:space="preserve">Effect on PRRT of cutting uplift on exploration expenditure </w:t>
      </w:r>
      <w:r w:rsidR="00F93371">
        <w:t xml:space="preserve">to </w:t>
      </w:r>
      <w:r w:rsidR="008A6C2F">
        <w:t>L</w:t>
      </w:r>
      <w:r w:rsidR="000A33FC">
        <w:t>TB</w:t>
      </w:r>
      <w:r w:rsidR="008A6C2F">
        <w:t>R</w:t>
      </w:r>
      <w:r w:rsidR="00F93371">
        <w:t xml:space="preserve"> </w:t>
      </w:r>
      <w:r w:rsidR="008A6C2F">
        <w:t>plus</w:t>
      </w:r>
      <w:r w:rsidR="00F93371">
        <w:t xml:space="preserve"> 5 percentage points </w:t>
      </w:r>
    </w:p>
    <w:bookmarkStart w:id="5583" w:name="_1553413945"/>
    <w:bookmarkStart w:id="5584" w:name="_1553502258"/>
    <w:bookmarkEnd w:id="5583"/>
    <w:bookmarkEnd w:id="5584"/>
    <w:p w14:paraId="36F4ED0F" w14:textId="54D39A75" w:rsidR="00AA13E9" w:rsidRDefault="00C026C1" w:rsidP="00AA13E9">
      <w:pPr>
        <w:pStyle w:val="ChartGraphic"/>
      </w:pPr>
      <w:r>
        <w:object w:dxaOrig="8775" w:dyaOrig="4516" w14:anchorId="1C918F09">
          <v:shape id="_x0000_i1041" type="#_x0000_t75" alt="Figure 4.3 shows the effect on PRRT of cutting the uplift rate on exploration expenditure from the long term bond rate plus 15 percentage points to the long term bond rate plus 5 percentage points." style="width:439.5pt;height:227.25pt" o:ole="">
            <v:imagedata r:id="rId67" o:title=""/>
          </v:shape>
          <o:OLEObject Type="Link" ProgID="Excel.Sheet.12" ShapeID="_x0000_i1041" DrawAspect="Content" r:id="rId68" UpdateMode="Always">
            <o:LinkType>EnhancedMetaFile</o:LinkType>
            <o:LockedField>false</o:LockedField>
          </o:OLEObject>
        </w:object>
      </w:r>
      <w:r w:rsidR="00AA13E9" w:rsidRPr="006D28D4">
        <w:fldChar w:fldCharType="begin"/>
      </w:r>
      <w:r w:rsidR="00AA13E9" w:rsidRPr="006D28D4">
        <w:instrText xml:space="preserve"> LINK Excel.Sheet.12 "http://tweb/sites/rg/prrtsecretariat/03 Final Report/Chart - Changing Exploration From 15 to 5.xlsx!Sheet1![Chart - Changing Exploration From 15 to 5.xlsx]Sheet1 Chart 1" "" \a \p </w:instrText>
      </w:r>
      <w:r w:rsidR="006D28D4">
        <w:instrText xml:space="preserve"> \* MERGEFORMAT </w:instrText>
      </w:r>
      <w:r w:rsidR="00AA13E9" w:rsidRPr="006D28D4">
        <w:fldChar w:fldCharType="end"/>
      </w:r>
    </w:p>
    <w:p w14:paraId="6D371F54" w14:textId="7CD83274" w:rsidR="00AA13E9" w:rsidRDefault="00AA13E9" w:rsidP="00C026C1">
      <w:pPr>
        <w:pStyle w:val="ChartorTableNote"/>
      </w:pPr>
      <w:r>
        <w:t xml:space="preserve">Source: </w:t>
      </w:r>
      <w:r w:rsidR="00436460">
        <w:t>Petroleum Resource Rent Tax</w:t>
      </w:r>
      <w:r>
        <w:t xml:space="preserve"> Review Secretariat</w:t>
      </w:r>
      <w:r w:rsidR="00F93371">
        <w:t>.</w:t>
      </w:r>
    </w:p>
    <w:p w14:paraId="16E7324A" w14:textId="77777777" w:rsidR="00C026C1" w:rsidRPr="00C026C1" w:rsidRDefault="00C026C1" w:rsidP="00C026C1">
      <w:pPr>
        <w:pStyle w:val="SingleParagraph"/>
      </w:pPr>
    </w:p>
    <w:p w14:paraId="7A78797F" w14:textId="7582FDCE" w:rsidR="00AA7794" w:rsidRDefault="009E57E7" w:rsidP="00262C3E">
      <w:r>
        <w:t xml:space="preserve">As noted previously, in 1991 when transferability of exploration expenditure was introduced, the uplift rate for </w:t>
      </w:r>
      <w:r w:rsidR="009C63A6">
        <w:t>general project</w:t>
      </w:r>
      <w:r>
        <w:t xml:space="preserve"> expenditure was reduced to LTBR plus 5</w:t>
      </w:r>
      <w:r w:rsidR="006E060A">
        <w:t> </w:t>
      </w:r>
      <w:r>
        <w:t>percentage points. Given that t</w:t>
      </w:r>
      <w:r w:rsidR="00AA7794">
        <w:t xml:space="preserve">he risk of </w:t>
      </w:r>
      <w:r>
        <w:t>not being able to deduct</w:t>
      </w:r>
      <w:r w:rsidR="00AA7794">
        <w:t xml:space="preserve"> losses at </w:t>
      </w:r>
      <w:r w:rsidR="006E060A">
        <w:t xml:space="preserve">the </w:t>
      </w:r>
      <w:r w:rsidR="00AA7794">
        <w:t>project development stage</w:t>
      </w:r>
      <w:r>
        <w:t xml:space="preserve"> is likely to be low</w:t>
      </w:r>
      <w:r w:rsidR="00AA7794">
        <w:t xml:space="preserve">, </w:t>
      </w:r>
      <w:r>
        <w:t>though vary</w:t>
      </w:r>
      <w:r w:rsidR="00BB50A4">
        <w:t>ing</w:t>
      </w:r>
      <w:r w:rsidR="00AA7794">
        <w:t xml:space="preserve"> between projects, </w:t>
      </w:r>
      <w:r>
        <w:t>the reduction in th</w:t>
      </w:r>
      <w:r w:rsidR="00C66AC3">
        <w:t>at</w:t>
      </w:r>
      <w:r w:rsidR="004E037A">
        <w:t xml:space="preserve"> uplift rate can be justified. </w:t>
      </w:r>
      <w:r w:rsidR="006E060A">
        <w:t>W</w:t>
      </w:r>
      <w:r>
        <w:t xml:space="preserve">hy the specific uplift rate for general </w:t>
      </w:r>
      <w:r w:rsidR="00945CF3">
        <w:t xml:space="preserve">project </w:t>
      </w:r>
      <w:r>
        <w:t>expenditure was chose</w:t>
      </w:r>
      <w:r w:rsidR="00BB50A4">
        <w:t>n</w:t>
      </w:r>
      <w:r>
        <w:t xml:space="preserve"> in 1991 is not documented</w:t>
      </w:r>
      <w:r w:rsidR="00755941">
        <w:t xml:space="preserve">. </w:t>
      </w:r>
      <w:r w:rsidR="006E060A">
        <w:t>AFT</w:t>
      </w:r>
      <w:r>
        <w:t>S</w:t>
      </w:r>
      <w:r w:rsidR="00AA7794">
        <w:t xml:space="preserve"> and s</w:t>
      </w:r>
      <w:r w:rsidR="005C0CED">
        <w:t>everal</w:t>
      </w:r>
      <w:r w:rsidR="00AA7794">
        <w:t xml:space="preserve"> submissions to the </w:t>
      </w:r>
      <w:r>
        <w:t>r</w:t>
      </w:r>
      <w:r w:rsidR="00AA7794">
        <w:t xml:space="preserve">eview argue that </w:t>
      </w:r>
      <w:r>
        <w:t xml:space="preserve">current </w:t>
      </w:r>
      <w:r w:rsidR="00AA7794">
        <w:t xml:space="preserve">uplift </w:t>
      </w:r>
      <w:r w:rsidR="004E037A">
        <w:t xml:space="preserve">rates </w:t>
      </w:r>
      <w:r w:rsidR="00AA7794">
        <w:t xml:space="preserve">for both exploration and general </w:t>
      </w:r>
      <w:r w:rsidR="00945CF3">
        <w:t xml:space="preserve">project </w:t>
      </w:r>
      <w:r w:rsidR="00AA7794">
        <w:t>expenditure are too high.</w:t>
      </w:r>
    </w:p>
    <w:p w14:paraId="7ADA07FA" w14:textId="1CE7DCE3" w:rsidR="00AA7794" w:rsidRPr="00AB00E4" w:rsidRDefault="00AA7794" w:rsidP="00AB00E4">
      <w:pPr>
        <w:ind w:left="567" w:right="565"/>
        <w:rPr>
          <w:color w:val="1F497D" w:themeColor="text2"/>
          <w:sz w:val="20"/>
        </w:rPr>
      </w:pPr>
      <w:r w:rsidRPr="00AB00E4">
        <w:rPr>
          <w:color w:val="1F497D" w:themeColor="text2"/>
          <w:sz w:val="20"/>
        </w:rPr>
        <w:t>Although the current PRRT collects a more stable share of rents in varying economic circumstances, it fails to collect an appropriate and constant share of resource rents from successful projects due to uplift rates that over</w:t>
      </w:r>
      <w:r w:rsidR="005D6F39">
        <w:rPr>
          <w:color w:val="1F497D" w:themeColor="text2"/>
          <w:sz w:val="20"/>
        </w:rPr>
        <w:noBreakHyphen/>
      </w:r>
      <w:r w:rsidRPr="00AB00E4">
        <w:rPr>
          <w:color w:val="1F497D" w:themeColor="text2"/>
          <w:sz w:val="20"/>
        </w:rPr>
        <w:t xml:space="preserve">compensate successful investors for the deferral of PRRT deductions </w:t>
      </w:r>
      <w:r w:rsidR="004B72F6" w:rsidRPr="00436460">
        <w:rPr>
          <w:color w:val="1F497D" w:themeColor="text2"/>
          <w:sz w:val="20"/>
        </w:rPr>
        <w:t>(Australia</w:t>
      </w:r>
      <w:r w:rsidR="005D6F39">
        <w:rPr>
          <w:color w:val="1F497D" w:themeColor="text2"/>
          <w:sz w:val="20"/>
        </w:rPr>
        <w:t>’</w:t>
      </w:r>
      <w:r w:rsidR="004B72F6" w:rsidRPr="00436460">
        <w:rPr>
          <w:color w:val="1F497D" w:themeColor="text2"/>
          <w:sz w:val="20"/>
        </w:rPr>
        <w:t xml:space="preserve">s Future Tax System </w:t>
      </w:r>
      <w:r w:rsidR="00614023" w:rsidRPr="00436460">
        <w:rPr>
          <w:color w:val="1F497D" w:themeColor="text2"/>
          <w:sz w:val="20"/>
        </w:rPr>
        <w:t>Review</w:t>
      </w:r>
      <w:r w:rsidR="004B72F6" w:rsidRPr="00436460">
        <w:rPr>
          <w:color w:val="1F497D" w:themeColor="text2"/>
          <w:sz w:val="20"/>
        </w:rPr>
        <w:t>,</w:t>
      </w:r>
      <w:r w:rsidRPr="00436460">
        <w:rPr>
          <w:color w:val="1F497D" w:themeColor="text2"/>
          <w:sz w:val="20"/>
        </w:rPr>
        <w:t xml:space="preserve"> 20</w:t>
      </w:r>
      <w:r w:rsidR="00A05B1B" w:rsidRPr="00436460">
        <w:rPr>
          <w:color w:val="1F497D" w:themeColor="text2"/>
          <w:sz w:val="20"/>
        </w:rPr>
        <w:t>10</w:t>
      </w:r>
      <w:r w:rsidR="004B72F6" w:rsidRPr="00436460">
        <w:rPr>
          <w:color w:val="1F497D" w:themeColor="text2"/>
          <w:sz w:val="20"/>
        </w:rPr>
        <w:t>, p.</w:t>
      </w:r>
      <w:r w:rsidRPr="00436460">
        <w:rPr>
          <w:color w:val="1F497D" w:themeColor="text2"/>
          <w:sz w:val="20"/>
        </w:rPr>
        <w:t xml:space="preserve"> 223</w:t>
      </w:r>
      <w:r w:rsidR="004B72F6" w:rsidRPr="00436460">
        <w:rPr>
          <w:color w:val="1F497D" w:themeColor="text2"/>
          <w:sz w:val="20"/>
        </w:rPr>
        <w:t>)</w:t>
      </w:r>
      <w:r w:rsidR="004B72F6" w:rsidRPr="00A05B1B">
        <w:rPr>
          <w:color w:val="1F497D" w:themeColor="text2"/>
          <w:sz w:val="20"/>
        </w:rPr>
        <w:t>.</w:t>
      </w:r>
    </w:p>
    <w:p w14:paraId="52CE88A9" w14:textId="2DA2B058" w:rsidR="00BA7C76" w:rsidRDefault="00AA7794" w:rsidP="00BB50A4">
      <w:pPr>
        <w:spacing w:after="0"/>
        <w:ind w:left="567" w:right="567"/>
        <w:rPr>
          <w:color w:val="1F497D" w:themeColor="text2"/>
          <w:sz w:val="20"/>
        </w:rPr>
      </w:pPr>
      <w:r w:rsidRPr="00AB00E4">
        <w:rPr>
          <w:color w:val="1F497D" w:themeColor="text2"/>
          <w:sz w:val="20"/>
        </w:rPr>
        <w:t>Generous uplift of cost deductions erodes the resource rental base</w:t>
      </w:r>
      <w:r w:rsidR="00C026C1">
        <w:rPr>
          <w:color w:val="1F497D" w:themeColor="text2"/>
          <w:sz w:val="20"/>
        </w:rPr>
        <w:t xml:space="preserve"> … The 15 per cent</w:t>
      </w:r>
      <w:r w:rsidRPr="00AB00E4">
        <w:rPr>
          <w:color w:val="1F497D" w:themeColor="text2"/>
          <w:sz w:val="20"/>
        </w:rPr>
        <w:t xml:space="preserve"> uplift above the Long Term Bond Rate (LTBR) is an extraordinary gift that undermines the resource rent tax base by allowing it to be minimised any time there is new investment by the owner </w:t>
      </w:r>
      <w:r w:rsidR="00617BEB">
        <w:rPr>
          <w:color w:val="1F497D" w:themeColor="text2"/>
          <w:sz w:val="20"/>
        </w:rPr>
        <w:t>of the PRRT project, whether it</w:t>
      </w:r>
      <w:r w:rsidRPr="00AB00E4">
        <w:rPr>
          <w:color w:val="1F497D" w:themeColor="text2"/>
          <w:sz w:val="20"/>
        </w:rPr>
        <w:t xml:space="preserve"> is related to the project or not</w:t>
      </w:r>
      <w:r w:rsidR="00C026C1">
        <w:rPr>
          <w:color w:val="1F497D" w:themeColor="text2"/>
          <w:sz w:val="20"/>
        </w:rPr>
        <w:t xml:space="preserve"> … </w:t>
      </w:r>
      <w:r w:rsidR="00BA7C76" w:rsidDel="00BA7C76">
        <w:rPr>
          <w:color w:val="1F497D" w:themeColor="text2"/>
          <w:sz w:val="20"/>
        </w:rPr>
        <w:t xml:space="preserve"> </w:t>
      </w:r>
    </w:p>
    <w:p w14:paraId="109D3D65" w14:textId="1419FDCD" w:rsidR="004E037A" w:rsidRPr="003D366F" w:rsidRDefault="004866AA" w:rsidP="004E037A">
      <w:pPr>
        <w:spacing w:after="0"/>
        <w:ind w:left="567" w:right="567"/>
        <w:rPr>
          <w:color w:val="1F497D" w:themeColor="text2"/>
          <w:sz w:val="20"/>
        </w:rPr>
      </w:pPr>
      <w:r w:rsidRPr="00C66AC3">
        <w:rPr>
          <w:color w:val="1F497D" w:themeColor="text2"/>
          <w:sz w:val="20"/>
        </w:rPr>
        <w:t xml:space="preserve">Recommendation: </w:t>
      </w:r>
      <w:r w:rsidR="00AA7794" w:rsidRPr="00C66AC3">
        <w:rPr>
          <w:color w:val="1F497D" w:themeColor="text2"/>
          <w:sz w:val="20"/>
        </w:rPr>
        <w:t>Apply the LTBR as a maximum uplift on all costs</w:t>
      </w:r>
      <w:r w:rsidR="00AA7794" w:rsidRPr="00AB00E4">
        <w:rPr>
          <w:color w:val="1F497D" w:themeColor="text2"/>
          <w:sz w:val="20"/>
        </w:rPr>
        <w:t xml:space="preserve"> </w:t>
      </w:r>
      <w:r w:rsidR="004B72F6" w:rsidRPr="003D366F">
        <w:rPr>
          <w:color w:val="1F497D" w:themeColor="text2"/>
          <w:sz w:val="20"/>
        </w:rPr>
        <w:t>(</w:t>
      </w:r>
      <w:r w:rsidR="00AA7794" w:rsidRPr="00436460">
        <w:rPr>
          <w:color w:val="1F497D" w:themeColor="text2"/>
          <w:sz w:val="20"/>
        </w:rPr>
        <w:t xml:space="preserve">Prosper Australia </w:t>
      </w:r>
      <w:r w:rsidR="004B72F6" w:rsidRPr="00436460">
        <w:rPr>
          <w:color w:val="1F497D" w:themeColor="text2"/>
          <w:sz w:val="20"/>
        </w:rPr>
        <w:t>Su</w:t>
      </w:r>
      <w:r w:rsidR="00AA7794" w:rsidRPr="00436460">
        <w:rPr>
          <w:color w:val="1F497D" w:themeColor="text2"/>
          <w:sz w:val="20"/>
        </w:rPr>
        <w:t>bmission, p</w:t>
      </w:r>
      <w:r w:rsidR="004B72F6" w:rsidRPr="00436460">
        <w:rPr>
          <w:color w:val="1F497D" w:themeColor="text2"/>
          <w:sz w:val="20"/>
        </w:rPr>
        <w:t>.</w:t>
      </w:r>
      <w:r>
        <w:rPr>
          <w:color w:val="1F497D" w:themeColor="text2"/>
          <w:sz w:val="20"/>
        </w:rPr>
        <w:t> </w:t>
      </w:r>
      <w:r w:rsidR="004E037A">
        <w:rPr>
          <w:color w:val="1F497D" w:themeColor="text2"/>
          <w:sz w:val="20"/>
        </w:rPr>
        <w:t>10</w:t>
      </w:r>
      <w:r w:rsidR="005D6F39">
        <w:rPr>
          <w:color w:val="1F497D" w:themeColor="text2"/>
          <w:sz w:val="20"/>
        </w:rPr>
        <w:noBreakHyphen/>
      </w:r>
      <w:r w:rsidR="00AA7794" w:rsidRPr="00436460">
        <w:rPr>
          <w:color w:val="1F497D" w:themeColor="text2"/>
          <w:sz w:val="20"/>
        </w:rPr>
        <w:t>11</w:t>
      </w:r>
      <w:r w:rsidR="004B72F6" w:rsidRPr="003D366F">
        <w:rPr>
          <w:color w:val="1F497D" w:themeColor="text2"/>
          <w:sz w:val="20"/>
        </w:rPr>
        <w:t>)</w:t>
      </w:r>
      <w:r w:rsidR="004B72F6">
        <w:rPr>
          <w:color w:val="1F497D" w:themeColor="text2"/>
          <w:sz w:val="20"/>
        </w:rPr>
        <w:t>.</w:t>
      </w:r>
    </w:p>
    <w:p w14:paraId="29FFA6D6" w14:textId="1E48E1AB" w:rsidR="00AA7794" w:rsidRDefault="00A574AE" w:rsidP="004E037A">
      <w:pPr>
        <w:spacing w:before="240"/>
      </w:pPr>
      <w:r>
        <w:t xml:space="preserve">A first step in considering </w:t>
      </w:r>
      <w:r w:rsidR="00AA7794">
        <w:t xml:space="preserve">the appropriateness </w:t>
      </w:r>
      <w:r>
        <w:t xml:space="preserve">or otherwise </w:t>
      </w:r>
      <w:r w:rsidR="00AA7794">
        <w:t xml:space="preserve">of the uplift rate for general </w:t>
      </w:r>
      <w:r w:rsidR="00945CF3">
        <w:t xml:space="preserve">project </w:t>
      </w:r>
      <w:r w:rsidR="00AA7794">
        <w:t>expenditure</w:t>
      </w:r>
      <w:r>
        <w:t xml:space="preserve"> is to determine </w:t>
      </w:r>
      <w:r w:rsidR="00AA7794">
        <w:t xml:space="preserve">the </w:t>
      </w:r>
      <w:r w:rsidR="009E61EE">
        <w:t xml:space="preserve">conceptual </w:t>
      </w:r>
      <w:r w:rsidR="00AA7794">
        <w:t xml:space="preserve">basis for </w:t>
      </w:r>
      <w:r w:rsidR="00BA7C76">
        <w:t>setting</w:t>
      </w:r>
      <w:r w:rsidR="005601FB">
        <w:t xml:space="preserve"> </w:t>
      </w:r>
      <w:r w:rsidR="00AA7794">
        <w:t>PRRT uplift rates.</w:t>
      </w:r>
    </w:p>
    <w:p w14:paraId="4FB025F3" w14:textId="54BD9663" w:rsidR="00AA7794" w:rsidRDefault="00AA7794" w:rsidP="00262C3E">
      <w:r>
        <w:t xml:space="preserve">Submissions to the </w:t>
      </w:r>
      <w:r w:rsidR="00980A54">
        <w:t>review</w:t>
      </w:r>
      <w:r>
        <w:t xml:space="preserve"> and the </w:t>
      </w:r>
      <w:r w:rsidR="00980A54">
        <w:t>r</w:t>
      </w:r>
      <w:r>
        <w:t>eview</w:t>
      </w:r>
      <w:r w:rsidR="005D6F39">
        <w:t>’</w:t>
      </w:r>
      <w:r>
        <w:t xml:space="preserve">s consultations with industry reveal a distinctive and important difference between </w:t>
      </w:r>
      <w:r w:rsidR="009E2F6B">
        <w:t xml:space="preserve">the </w:t>
      </w:r>
      <w:r>
        <w:t xml:space="preserve">two views on the conceptual basis </w:t>
      </w:r>
      <w:r w:rsidR="00945CF3">
        <w:t xml:space="preserve">for </w:t>
      </w:r>
      <w:r>
        <w:t xml:space="preserve">setting </w:t>
      </w:r>
      <w:r w:rsidR="00945CF3">
        <w:t xml:space="preserve">the </w:t>
      </w:r>
      <w:r>
        <w:t xml:space="preserve">PRRT uplift rates. On the one hand, </w:t>
      </w:r>
      <w:r w:rsidR="0051409F">
        <w:t xml:space="preserve">and as outlined in </w:t>
      </w:r>
      <w:r w:rsidR="009E2F6B" w:rsidRPr="006D28D4">
        <w:t>s</w:t>
      </w:r>
      <w:r w:rsidR="0051409F" w:rsidRPr="006D28D4">
        <w:t>ection 4.2.1</w:t>
      </w:r>
      <w:r w:rsidR="0051409F" w:rsidRPr="004E746A">
        <w:t xml:space="preserve">, </w:t>
      </w:r>
      <w:r>
        <w:t>there is the view reflected in Government statements when the PRRT design was being formulated</w:t>
      </w:r>
      <w:r w:rsidR="009E2F6B">
        <w:t>,</w:t>
      </w:r>
      <w:r>
        <w:t xml:space="preserve"> and in subsequent views of academics and others, that </w:t>
      </w:r>
      <w:r w:rsidR="00945CF3">
        <w:t xml:space="preserve">the </w:t>
      </w:r>
      <w:r>
        <w:t xml:space="preserve">PRRT uplifts should be based on the risk of losing PRRT deductions. </w:t>
      </w:r>
      <w:r w:rsidR="00617BEB">
        <w:t xml:space="preserve">This would be consistent with the conceptual design of a cash flow tax. </w:t>
      </w:r>
      <w:r>
        <w:t xml:space="preserve">On the other hand, there is the </w:t>
      </w:r>
      <w:r w:rsidR="004E746A">
        <w:t xml:space="preserve">general </w:t>
      </w:r>
      <w:r>
        <w:t xml:space="preserve">view </w:t>
      </w:r>
      <w:r w:rsidR="00945CF3">
        <w:t xml:space="preserve">held by </w:t>
      </w:r>
      <w:r>
        <w:t>the petroleum industry that PRRT uplifts should reflect project risk and associated risk</w:t>
      </w:r>
      <w:r w:rsidR="005D6F39">
        <w:noBreakHyphen/>
      </w:r>
      <w:r>
        <w:t xml:space="preserve">weighted hurdle rates. </w:t>
      </w:r>
    </w:p>
    <w:p w14:paraId="33ACBCAF" w14:textId="74D4A3C2" w:rsidR="00AA7794" w:rsidRDefault="00AA7794" w:rsidP="00AB00E4">
      <w:pPr>
        <w:pStyle w:val="Heading3"/>
      </w:pPr>
      <w:bookmarkStart w:id="5585" w:name="_Toc476577357"/>
      <w:bookmarkStart w:id="5586" w:name="_Toc476582346"/>
      <w:bookmarkStart w:id="5587" w:name="_Toc476583020"/>
      <w:bookmarkStart w:id="5588" w:name="_Toc476583737"/>
      <w:bookmarkStart w:id="5589" w:name="_Toc476584185"/>
      <w:bookmarkStart w:id="5590" w:name="_Toc476738092"/>
      <w:bookmarkStart w:id="5591" w:name="_Toc476747667"/>
      <w:bookmarkStart w:id="5592" w:name="_Toc476749077"/>
      <w:bookmarkStart w:id="5593" w:name="_Toc476753944"/>
      <w:bookmarkStart w:id="5594" w:name="_Toc476754439"/>
      <w:bookmarkStart w:id="5595" w:name="_Toc476754604"/>
      <w:bookmarkStart w:id="5596" w:name="_Toc476759843"/>
      <w:bookmarkStart w:id="5597" w:name="_Toc476761465"/>
      <w:bookmarkStart w:id="5598" w:name="_Toc476767103"/>
      <w:bookmarkStart w:id="5599" w:name="_Toc476827149"/>
      <w:bookmarkStart w:id="5600" w:name="_Toc476828842"/>
      <w:bookmarkStart w:id="5601" w:name="_Toc476833716"/>
      <w:bookmarkStart w:id="5602" w:name="_Toc476837189"/>
      <w:bookmarkStart w:id="5603" w:name="_Toc476841062"/>
      <w:bookmarkStart w:id="5604" w:name="_Toc476841267"/>
      <w:bookmarkStart w:id="5605" w:name="_Toc476842026"/>
      <w:bookmarkStart w:id="5606" w:name="_Toc476842970"/>
      <w:bookmarkStart w:id="5607" w:name="_Toc476843141"/>
      <w:bookmarkStart w:id="5608" w:name="_Toc476844639"/>
      <w:bookmarkStart w:id="5609" w:name="_Toc476845532"/>
      <w:bookmarkStart w:id="5610" w:name="_Toc476926925"/>
      <w:bookmarkStart w:id="5611" w:name="_Toc476927038"/>
      <w:bookmarkStart w:id="5612" w:name="_Toc476927212"/>
      <w:bookmarkStart w:id="5613" w:name="_Toc476928476"/>
      <w:bookmarkStart w:id="5614" w:name="_Toc476929519"/>
      <w:bookmarkStart w:id="5615" w:name="_Toc476929694"/>
      <w:bookmarkStart w:id="5616" w:name="_Toc476930737"/>
      <w:bookmarkStart w:id="5617" w:name="_Toc476931544"/>
      <w:bookmarkStart w:id="5618" w:name="_Toc477869893"/>
      <w:bookmarkStart w:id="5619" w:name="_Toc477871132"/>
      <w:bookmarkStart w:id="5620" w:name="_Toc477873291"/>
      <w:bookmarkStart w:id="5621" w:name="_Toc477875285"/>
      <w:bookmarkStart w:id="5622" w:name="_Toc477880198"/>
      <w:bookmarkStart w:id="5623" w:name="_Toc477881458"/>
      <w:bookmarkStart w:id="5624" w:name="_Toc477955862"/>
      <w:bookmarkStart w:id="5625" w:name="_Toc477963107"/>
      <w:bookmarkStart w:id="5626" w:name="_Toc477963593"/>
      <w:bookmarkStart w:id="5627" w:name="_Toc477965179"/>
      <w:bookmarkStart w:id="5628" w:name="_Toc477966683"/>
      <w:bookmarkStart w:id="5629" w:name="_Toc477966852"/>
      <w:bookmarkStart w:id="5630" w:name="_Toc477967192"/>
      <w:bookmarkStart w:id="5631" w:name="_Toc478121329"/>
      <w:bookmarkStart w:id="5632" w:name="_Toc478122242"/>
      <w:bookmarkStart w:id="5633" w:name="_Toc478132216"/>
      <w:bookmarkStart w:id="5634" w:name="_Toc478133242"/>
      <w:bookmarkStart w:id="5635" w:name="_Toc478132379"/>
      <w:bookmarkStart w:id="5636" w:name="_Toc478134708"/>
      <w:bookmarkStart w:id="5637" w:name="_Toc478137410"/>
      <w:bookmarkStart w:id="5638" w:name="_Toc478138482"/>
      <w:bookmarkStart w:id="5639" w:name="_Toc478140052"/>
      <w:bookmarkStart w:id="5640" w:name="_Toc478140468"/>
      <w:bookmarkStart w:id="5641" w:name="_Toc478142674"/>
      <w:bookmarkStart w:id="5642" w:name="_Toc478566390"/>
      <w:bookmarkStart w:id="5643" w:name="_Toc478569557"/>
      <w:bookmarkStart w:id="5644" w:name="_Toc478569731"/>
      <w:bookmarkStart w:id="5645" w:name="_Toc478570805"/>
      <w:bookmarkStart w:id="5646" w:name="_Toc478633004"/>
      <w:bookmarkStart w:id="5647" w:name="_Toc478641412"/>
      <w:bookmarkStart w:id="5648" w:name="_Toc478654306"/>
      <w:bookmarkStart w:id="5649" w:name="_Toc478654480"/>
      <w:bookmarkStart w:id="5650" w:name="_Toc478657775"/>
      <w:bookmarkStart w:id="5651" w:name="_Toc478993196"/>
      <w:bookmarkStart w:id="5652" w:name="_Toc479000267"/>
      <w:bookmarkStart w:id="5653" w:name="_Toc479002201"/>
      <w:bookmarkStart w:id="5654" w:name="_Toc479002373"/>
      <w:bookmarkStart w:id="5655" w:name="_Toc479254348"/>
      <w:bookmarkStart w:id="5656" w:name="_Toc479258537"/>
      <w:bookmarkStart w:id="5657" w:name="_Toc479258853"/>
      <w:bookmarkStart w:id="5658" w:name="_Toc479259745"/>
      <w:bookmarkStart w:id="5659" w:name="_Toc479262168"/>
      <w:bookmarkStart w:id="5660" w:name="_Toc479262589"/>
      <w:bookmarkStart w:id="5661" w:name="_Toc479321290"/>
      <w:bookmarkStart w:id="5662" w:name="_Toc479326729"/>
      <w:bookmarkStart w:id="5663" w:name="_Toc479333328"/>
      <w:bookmarkStart w:id="5664" w:name="_Toc479335025"/>
      <w:bookmarkStart w:id="5665" w:name="_Toc479341740"/>
      <w:bookmarkStart w:id="5666" w:name="_Toc479345156"/>
      <w:bookmarkStart w:id="5667" w:name="_Toc479345365"/>
      <w:bookmarkStart w:id="5668" w:name="_Toc479348346"/>
      <w:bookmarkStart w:id="5669" w:name="_Toc479675940"/>
      <w:bookmarkStart w:id="5670" w:name="_Toc479690907"/>
      <w:bookmarkStart w:id="5671" w:name="_Toc479693485"/>
      <w:bookmarkStart w:id="5672" w:name="_Toc479770654"/>
      <w:r>
        <w:t>4.2.3</w:t>
      </w:r>
      <w:r>
        <w:tab/>
        <w:t xml:space="preserve">Petroleum </w:t>
      </w:r>
      <w:r w:rsidR="009E2F6B">
        <w:t>industry view</w:t>
      </w:r>
      <w:r>
        <w:t xml:space="preserve"> of </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r w:rsidR="009E2F6B">
        <w:t>uplift r</w:t>
      </w:r>
      <w:r>
        <w:t>ates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14:paraId="04CF6483" w14:textId="3E46FC6A" w:rsidR="00AA7794" w:rsidRDefault="00AA7794" w:rsidP="00262C3E">
      <w:r>
        <w:t>The petroleum industry has a very clear, almost unanimous</w:t>
      </w:r>
      <w:r w:rsidR="005601FB">
        <w:t xml:space="preserve"> </w:t>
      </w:r>
      <w:r>
        <w:t xml:space="preserve">view that the uplift rate equates </w:t>
      </w:r>
      <w:r w:rsidR="00E90B65">
        <w:t xml:space="preserve">with </w:t>
      </w:r>
      <w:r w:rsidR="003A17CA">
        <w:t xml:space="preserve">the </w:t>
      </w:r>
      <w:r w:rsidR="00E90B65">
        <w:t>typical</w:t>
      </w:r>
      <w:r>
        <w:t xml:space="preserve"> </w:t>
      </w:r>
      <w:r w:rsidR="00A72B02">
        <w:t xml:space="preserve">overall </w:t>
      </w:r>
      <w:r w:rsidR="003A17CA">
        <w:t xml:space="preserve">risk of a </w:t>
      </w:r>
      <w:r>
        <w:t xml:space="preserve">petroleum project measured </w:t>
      </w:r>
      <w:r w:rsidR="003A17CA">
        <w:t xml:space="preserve">by </w:t>
      </w:r>
      <w:r>
        <w:t>weighted average cost of capital (WACC) or</w:t>
      </w:r>
      <w:r w:rsidR="00647A00">
        <w:t>,</w:t>
      </w:r>
      <w:r>
        <w:t xml:space="preserve"> more </w:t>
      </w:r>
      <w:r w:rsidR="009E61EE">
        <w:t>specifically</w:t>
      </w:r>
      <w:r w:rsidDel="003A17CA">
        <w:t xml:space="preserve">, </w:t>
      </w:r>
      <w:r>
        <w:t>risk</w:t>
      </w:r>
      <w:r w:rsidR="005D6F39">
        <w:noBreakHyphen/>
      </w:r>
      <w:r>
        <w:t xml:space="preserve">weighted discount rates used </w:t>
      </w:r>
      <w:r w:rsidR="003A17CA">
        <w:t xml:space="preserve">to </w:t>
      </w:r>
      <w:r>
        <w:t>assess</w:t>
      </w:r>
      <w:r w:rsidR="003A17CA">
        <w:t xml:space="preserve"> potential petroleum </w:t>
      </w:r>
      <w:r>
        <w:t xml:space="preserve">projects. </w:t>
      </w:r>
      <w:r w:rsidR="00BA6EC7">
        <w:t>The i</w:t>
      </w:r>
      <w:r w:rsidR="0051409F">
        <w:t>ndustry sees</w:t>
      </w:r>
      <w:r>
        <w:t xml:space="preserve"> no distinction between project risk and </w:t>
      </w:r>
      <w:r w:rsidR="0051409F">
        <w:t xml:space="preserve">the </w:t>
      </w:r>
      <w:r>
        <w:t>risk of losing PRRT deductions</w:t>
      </w:r>
      <w:r w:rsidR="006F4762">
        <w:t xml:space="preserve"> and therefore believes PRRT should not be payable until a return on expenditure has been realised that aligns with typical risk</w:t>
      </w:r>
      <w:r w:rsidR="005D6F39">
        <w:noBreakHyphen/>
      </w:r>
      <w:r w:rsidR="006F4762">
        <w:t xml:space="preserve">weighted hurdle rates used in the </w:t>
      </w:r>
      <w:r w:rsidR="00AE026C">
        <w:t xml:space="preserve">petroleum </w:t>
      </w:r>
      <w:r w:rsidR="006F4762">
        <w:t>industry</w:t>
      </w:r>
      <w:r w:rsidR="00755941">
        <w:t xml:space="preserve">. </w:t>
      </w:r>
    </w:p>
    <w:p w14:paraId="234FAE63" w14:textId="50930CFF" w:rsidR="00AA7794" w:rsidRPr="00AB00E4" w:rsidRDefault="00AA7794" w:rsidP="00AB00E4">
      <w:pPr>
        <w:ind w:left="567" w:right="565"/>
        <w:rPr>
          <w:color w:val="1F497D" w:themeColor="text2"/>
          <w:sz w:val="20"/>
        </w:rPr>
      </w:pPr>
      <w:r w:rsidRPr="00AB00E4">
        <w:rPr>
          <w:color w:val="1F497D" w:themeColor="text2"/>
          <w:sz w:val="20"/>
        </w:rPr>
        <w:t>The carry forward rates remain a cornerstone of the PRRT system and ensure that it operates in a manner such that an initial tax liability is not incurred until such a time an entity has generated a risk adjusted return based on the modest rates contained in the legislation</w:t>
      </w:r>
      <w:r w:rsidR="004B72F6">
        <w:rPr>
          <w:color w:val="1F497D" w:themeColor="text2"/>
          <w:sz w:val="20"/>
        </w:rPr>
        <w:t xml:space="preserve"> (</w:t>
      </w:r>
      <w:r w:rsidRPr="00436460">
        <w:rPr>
          <w:color w:val="1F497D" w:themeColor="text2"/>
          <w:sz w:val="20"/>
        </w:rPr>
        <w:t xml:space="preserve">APPEA </w:t>
      </w:r>
      <w:r w:rsidR="004B72F6" w:rsidRPr="00436460">
        <w:rPr>
          <w:color w:val="1F497D" w:themeColor="text2"/>
          <w:sz w:val="20"/>
        </w:rPr>
        <w:t>S</w:t>
      </w:r>
      <w:r w:rsidRPr="00436460">
        <w:rPr>
          <w:color w:val="1F497D" w:themeColor="text2"/>
          <w:sz w:val="20"/>
        </w:rPr>
        <w:t>ubmission, p. 66</w:t>
      </w:r>
      <w:r w:rsidR="004B72F6" w:rsidRPr="00436460">
        <w:rPr>
          <w:color w:val="1F497D" w:themeColor="text2"/>
          <w:sz w:val="20"/>
        </w:rPr>
        <w:t>)</w:t>
      </w:r>
      <w:r w:rsidRPr="00A05B1B">
        <w:rPr>
          <w:color w:val="1F497D" w:themeColor="text2"/>
          <w:sz w:val="20"/>
        </w:rPr>
        <w:t>.</w:t>
      </w:r>
    </w:p>
    <w:p w14:paraId="6D683675" w14:textId="0A73CD6C" w:rsidR="00AA7794" w:rsidRDefault="00AE026C" w:rsidP="00262C3E">
      <w:r>
        <w:t xml:space="preserve">The </w:t>
      </w:r>
      <w:r w:rsidR="0051409F">
        <w:t xml:space="preserve">view of the petroleum industry that </w:t>
      </w:r>
      <w:r w:rsidR="00B1459D">
        <w:t xml:space="preserve">the </w:t>
      </w:r>
      <w:r w:rsidR="0051409F">
        <w:t xml:space="preserve">PRRT </w:t>
      </w:r>
      <w:r w:rsidR="00B1459D">
        <w:t>uplift rate</w:t>
      </w:r>
      <w:r w:rsidR="009E2F6B">
        <w:t>s</w:t>
      </w:r>
      <w:r w:rsidR="00B1459D">
        <w:t xml:space="preserve"> should match typical risk</w:t>
      </w:r>
      <w:r w:rsidR="005D6F39">
        <w:noBreakHyphen/>
      </w:r>
      <w:r w:rsidR="00B1459D">
        <w:t xml:space="preserve">weighted industry discount </w:t>
      </w:r>
      <w:r w:rsidR="00E90B65">
        <w:t>rates may</w:t>
      </w:r>
      <w:r w:rsidR="00AA7794">
        <w:t xml:space="preserve"> be based on Government statements at the time the PRRT design was announced, </w:t>
      </w:r>
      <w:r w:rsidR="00B1459D">
        <w:t>such as</w:t>
      </w:r>
      <w:r w:rsidR="00AA7794">
        <w:t>:</w:t>
      </w:r>
    </w:p>
    <w:p w14:paraId="51FE0F54" w14:textId="0AE3E588" w:rsidR="00AA7794" w:rsidRPr="00AB00E4" w:rsidRDefault="00AA7794" w:rsidP="00AB00E4">
      <w:pPr>
        <w:ind w:left="567" w:right="565"/>
        <w:rPr>
          <w:color w:val="1F497D" w:themeColor="text2"/>
          <w:sz w:val="20"/>
        </w:rPr>
      </w:pPr>
      <w:r w:rsidRPr="00AB00E4">
        <w:rPr>
          <w:color w:val="1F497D" w:themeColor="text2"/>
          <w:sz w:val="20"/>
        </w:rPr>
        <w:t>The tax will apply to profits which exceed the specified threshold level</w:t>
      </w:r>
      <w:r w:rsidRPr="00436460">
        <w:rPr>
          <w:color w:val="1F497D" w:themeColor="text2"/>
          <w:sz w:val="20"/>
        </w:rPr>
        <w:t xml:space="preserve"> </w:t>
      </w:r>
      <w:r w:rsidR="00436460" w:rsidRPr="00436460">
        <w:rPr>
          <w:color w:val="1F497D" w:themeColor="text2"/>
          <w:sz w:val="20"/>
        </w:rPr>
        <w:t>(</w:t>
      </w:r>
      <w:r w:rsidRPr="00436460">
        <w:rPr>
          <w:color w:val="1F497D" w:themeColor="text2"/>
          <w:sz w:val="20"/>
        </w:rPr>
        <w:t>Commonwealth Government</w:t>
      </w:r>
      <w:r w:rsidR="00436460" w:rsidRPr="00436460">
        <w:rPr>
          <w:color w:val="1F497D" w:themeColor="text2"/>
          <w:sz w:val="20"/>
        </w:rPr>
        <w:t>, 1</w:t>
      </w:r>
      <w:r w:rsidRPr="00436460">
        <w:rPr>
          <w:color w:val="1F497D" w:themeColor="text2"/>
          <w:sz w:val="20"/>
        </w:rPr>
        <w:t>984</w:t>
      </w:r>
      <w:r w:rsidR="00436460" w:rsidRPr="00436460">
        <w:rPr>
          <w:color w:val="1F497D" w:themeColor="text2"/>
          <w:sz w:val="20"/>
        </w:rPr>
        <w:t>c</w:t>
      </w:r>
      <w:r w:rsidRPr="00436460">
        <w:rPr>
          <w:color w:val="1F497D" w:themeColor="text2"/>
          <w:sz w:val="20"/>
        </w:rPr>
        <w:t xml:space="preserve">, </w:t>
      </w:r>
      <w:r w:rsidR="00436460" w:rsidRPr="00436460">
        <w:rPr>
          <w:color w:val="1F497D" w:themeColor="text2"/>
          <w:sz w:val="20"/>
        </w:rPr>
        <w:t>p.</w:t>
      </w:r>
      <w:r w:rsidRPr="00436460">
        <w:rPr>
          <w:color w:val="1F497D" w:themeColor="text2"/>
          <w:sz w:val="20"/>
        </w:rPr>
        <w:t xml:space="preserve"> 5</w:t>
      </w:r>
      <w:r w:rsidR="00436460" w:rsidRPr="00436460">
        <w:rPr>
          <w:color w:val="1F497D" w:themeColor="text2"/>
          <w:sz w:val="20"/>
        </w:rPr>
        <w:t>)</w:t>
      </w:r>
      <w:r w:rsidRPr="00436460">
        <w:rPr>
          <w:color w:val="1F497D" w:themeColor="text2"/>
          <w:sz w:val="20"/>
        </w:rPr>
        <w:t>.</w:t>
      </w:r>
      <w:r w:rsidRPr="00AB00E4">
        <w:rPr>
          <w:color w:val="1F497D" w:themeColor="text2"/>
          <w:sz w:val="20"/>
        </w:rPr>
        <w:t xml:space="preserve"> </w:t>
      </w:r>
    </w:p>
    <w:p w14:paraId="1A9EE7DA" w14:textId="66BB4E7C" w:rsidR="00AA7794" w:rsidRDefault="00B1459D" w:rsidP="00AB00E4">
      <w:r>
        <w:t>T</w:t>
      </w:r>
      <w:r w:rsidR="00AA7794">
        <w:t xml:space="preserve">he second reading </w:t>
      </w:r>
      <w:r w:rsidR="00C35CE6">
        <w:t xml:space="preserve">speech </w:t>
      </w:r>
      <w:r w:rsidR="00AA7794">
        <w:t xml:space="preserve">of the PRRT Bill </w:t>
      </w:r>
      <w:r w:rsidR="00C35CE6">
        <w:t xml:space="preserve">in </w:t>
      </w:r>
      <w:r w:rsidR="00AA7794">
        <w:t xml:space="preserve">1987 </w:t>
      </w:r>
      <w:r>
        <w:t>also s</w:t>
      </w:r>
      <w:r w:rsidR="00C35CE6">
        <w:t>aid</w:t>
      </w:r>
      <w:r>
        <w:t>:</w:t>
      </w:r>
    </w:p>
    <w:p w14:paraId="5D3163F8" w14:textId="609EDD9E" w:rsidR="00AA7794" w:rsidRPr="002F2665" w:rsidRDefault="00C026C1" w:rsidP="002F2665">
      <w:pPr>
        <w:ind w:left="720"/>
        <w:rPr>
          <w:color w:val="1F497D" w:themeColor="text2"/>
          <w:sz w:val="20"/>
        </w:rPr>
      </w:pPr>
      <w:r>
        <w:rPr>
          <w:color w:val="1F497D" w:themeColor="text2"/>
          <w:sz w:val="20"/>
        </w:rPr>
        <w:t>‘</w:t>
      </w:r>
      <w:r w:rsidR="00AA7794" w:rsidRPr="002F2665">
        <w:rPr>
          <w:color w:val="1F497D" w:themeColor="text2"/>
          <w:sz w:val="20"/>
        </w:rPr>
        <w:t xml:space="preserve">As the </w:t>
      </w:r>
      <w:r w:rsidR="00527D49" w:rsidRPr="002F2665">
        <w:rPr>
          <w:color w:val="1F497D" w:themeColor="text2"/>
          <w:sz w:val="20"/>
        </w:rPr>
        <w:t>PRRT</w:t>
      </w:r>
      <w:r w:rsidR="00AA7794" w:rsidRPr="002F2665">
        <w:rPr>
          <w:color w:val="1F497D" w:themeColor="text2"/>
          <w:sz w:val="20"/>
        </w:rPr>
        <w:t xml:space="preserve"> is profit</w:t>
      </w:r>
      <w:r w:rsidR="005D6F39">
        <w:rPr>
          <w:color w:val="1F497D" w:themeColor="text2"/>
          <w:sz w:val="20"/>
        </w:rPr>
        <w:noBreakHyphen/>
      </w:r>
      <w:r w:rsidR="00AA7794" w:rsidRPr="002F2665">
        <w:rPr>
          <w:color w:val="1F497D" w:themeColor="text2"/>
          <w:sz w:val="20"/>
        </w:rPr>
        <w:t>based, rather than production</w:t>
      </w:r>
      <w:r w:rsidR="005D6F39">
        <w:rPr>
          <w:color w:val="1F497D" w:themeColor="text2"/>
          <w:sz w:val="20"/>
        </w:rPr>
        <w:noBreakHyphen/>
      </w:r>
      <w:r w:rsidR="00AA7794" w:rsidRPr="002F2665">
        <w:rPr>
          <w:color w:val="1F497D" w:themeColor="text2"/>
          <w:sz w:val="20"/>
        </w:rPr>
        <w:t>based, it will apply only where there is an excess of project</w:t>
      </w:r>
      <w:r w:rsidR="005D6F39">
        <w:rPr>
          <w:color w:val="1F497D" w:themeColor="text2"/>
          <w:sz w:val="20"/>
        </w:rPr>
        <w:noBreakHyphen/>
      </w:r>
      <w:r w:rsidR="00AA7794" w:rsidRPr="002F2665">
        <w:rPr>
          <w:color w:val="1F497D" w:themeColor="text2"/>
          <w:sz w:val="20"/>
        </w:rPr>
        <w:t>related receipts for a financial year over both project</w:t>
      </w:r>
      <w:r w:rsidR="005D6F39">
        <w:rPr>
          <w:color w:val="1F497D" w:themeColor="text2"/>
          <w:sz w:val="20"/>
        </w:rPr>
        <w:noBreakHyphen/>
      </w:r>
      <w:r w:rsidR="00AA7794" w:rsidRPr="002F2665">
        <w:rPr>
          <w:color w:val="1F497D" w:themeColor="text2"/>
          <w:sz w:val="20"/>
        </w:rPr>
        <w:t>related expenditure for the year and undeducted expenditure of previous years brought forward at a compound rate. This compounding of expenditure ensures that the investment represented by the expenditure obtains an appropriate rate of return free of secondary tax</w:t>
      </w:r>
      <w:r w:rsidR="009E2F6B">
        <w:rPr>
          <w:color w:val="1F497D" w:themeColor="text2"/>
          <w:sz w:val="20"/>
        </w:rPr>
        <w:t>.</w:t>
      </w:r>
      <w:r>
        <w:rPr>
          <w:color w:val="1F497D" w:themeColor="text2"/>
          <w:sz w:val="20"/>
        </w:rPr>
        <w:t>’</w:t>
      </w:r>
      <w:r w:rsidR="00980A54" w:rsidRPr="00980A54">
        <w:rPr>
          <w:color w:val="1F497D" w:themeColor="text2"/>
          <w:sz w:val="20"/>
        </w:rPr>
        <w:t xml:space="preserve"> </w:t>
      </w:r>
      <w:r w:rsidR="00AA7794" w:rsidRPr="00980A54">
        <w:rPr>
          <w:color w:val="1F497D" w:themeColor="text2"/>
          <w:sz w:val="20"/>
        </w:rPr>
        <w:t>The Hon John Kerin MP</w:t>
      </w:r>
      <w:r w:rsidR="009E2F6B">
        <w:rPr>
          <w:color w:val="1F497D" w:themeColor="text2"/>
          <w:sz w:val="20"/>
        </w:rPr>
        <w:t xml:space="preserve"> (</w:t>
      </w:r>
      <w:r w:rsidR="00980A54" w:rsidRPr="00436460">
        <w:rPr>
          <w:color w:val="1F497D" w:themeColor="text2"/>
          <w:sz w:val="20"/>
        </w:rPr>
        <w:t>Parliament of Australia,</w:t>
      </w:r>
      <w:r w:rsidR="00AA7794" w:rsidRPr="00436460">
        <w:rPr>
          <w:color w:val="1F497D" w:themeColor="text2"/>
          <w:sz w:val="20"/>
        </w:rPr>
        <w:t xml:space="preserve"> 1987, p. </w:t>
      </w:r>
      <w:r w:rsidR="002F2665" w:rsidRPr="00436460">
        <w:rPr>
          <w:color w:val="1F497D" w:themeColor="text2"/>
          <w:sz w:val="20"/>
        </w:rPr>
        <w:t>1215</w:t>
      </w:r>
      <w:r w:rsidR="00980A54" w:rsidRPr="00436460">
        <w:rPr>
          <w:color w:val="1F497D" w:themeColor="text2"/>
          <w:sz w:val="20"/>
        </w:rPr>
        <w:t>).</w:t>
      </w:r>
    </w:p>
    <w:p w14:paraId="10766122" w14:textId="47479230" w:rsidR="00B1459D" w:rsidRDefault="00B1459D" w:rsidP="00AB00E4">
      <w:r>
        <w:t xml:space="preserve">The rationale for the PRRT uplift </w:t>
      </w:r>
      <w:r w:rsidR="009E2F6B">
        <w:t>rates</w:t>
      </w:r>
      <w:r>
        <w:t xml:space="preserve"> has to be clarified. </w:t>
      </w:r>
      <w:r w:rsidR="009E2F6B">
        <w:t>To</w:t>
      </w:r>
      <w:r>
        <w:t xml:space="preserve"> this end</w:t>
      </w:r>
      <w:r w:rsidR="009E2F6B">
        <w:t>,</w:t>
      </w:r>
      <w:r>
        <w:t xml:space="preserve"> it is </w:t>
      </w:r>
      <w:r w:rsidR="00FE41E4">
        <w:t>relevant to consider the difference between project risk and the risk of not being able to use PRRT deductions.</w:t>
      </w:r>
    </w:p>
    <w:p w14:paraId="78180321" w14:textId="6F016731" w:rsidR="00AA7794" w:rsidRDefault="00AB00E4" w:rsidP="00AB00E4">
      <w:pPr>
        <w:pStyle w:val="Heading3"/>
      </w:pPr>
      <w:bookmarkStart w:id="5673" w:name="_Toc476577358"/>
      <w:bookmarkStart w:id="5674" w:name="_Toc476582347"/>
      <w:bookmarkStart w:id="5675" w:name="_Toc476583021"/>
      <w:bookmarkStart w:id="5676" w:name="_Toc476583738"/>
      <w:bookmarkStart w:id="5677" w:name="_Toc476584186"/>
      <w:bookmarkStart w:id="5678" w:name="_Toc476738093"/>
      <w:bookmarkStart w:id="5679" w:name="_Toc476747668"/>
      <w:bookmarkStart w:id="5680" w:name="_Toc476749078"/>
      <w:bookmarkStart w:id="5681" w:name="_Toc476753945"/>
      <w:bookmarkStart w:id="5682" w:name="_Toc476754440"/>
      <w:bookmarkStart w:id="5683" w:name="_Toc476754605"/>
      <w:bookmarkStart w:id="5684" w:name="_Toc476759844"/>
      <w:bookmarkStart w:id="5685" w:name="_Toc476761466"/>
      <w:bookmarkStart w:id="5686" w:name="_Toc476767104"/>
      <w:bookmarkStart w:id="5687" w:name="_Toc476827150"/>
      <w:bookmarkStart w:id="5688" w:name="_Toc476828843"/>
      <w:bookmarkStart w:id="5689" w:name="_Toc476833717"/>
      <w:bookmarkStart w:id="5690" w:name="_Toc476837190"/>
      <w:bookmarkStart w:id="5691" w:name="_Toc476841063"/>
      <w:bookmarkStart w:id="5692" w:name="_Toc476841268"/>
      <w:bookmarkStart w:id="5693" w:name="_Toc476842027"/>
      <w:bookmarkStart w:id="5694" w:name="_Toc476842971"/>
      <w:bookmarkStart w:id="5695" w:name="_Toc476843142"/>
      <w:bookmarkStart w:id="5696" w:name="_Toc476844640"/>
      <w:bookmarkStart w:id="5697" w:name="_Toc476845533"/>
      <w:bookmarkStart w:id="5698" w:name="_Toc476926926"/>
      <w:bookmarkStart w:id="5699" w:name="_Toc476927039"/>
      <w:bookmarkStart w:id="5700" w:name="_Toc476927213"/>
      <w:bookmarkStart w:id="5701" w:name="_Toc476928477"/>
      <w:bookmarkStart w:id="5702" w:name="_Toc476929520"/>
      <w:bookmarkStart w:id="5703" w:name="_Toc476929695"/>
      <w:bookmarkStart w:id="5704" w:name="_Toc476930738"/>
      <w:bookmarkStart w:id="5705" w:name="_Toc476931545"/>
      <w:bookmarkStart w:id="5706" w:name="_Toc477869894"/>
      <w:bookmarkStart w:id="5707" w:name="_Toc477871133"/>
      <w:bookmarkStart w:id="5708" w:name="_Toc477873292"/>
      <w:bookmarkStart w:id="5709" w:name="_Toc477875286"/>
      <w:bookmarkStart w:id="5710" w:name="_Toc477880199"/>
      <w:bookmarkStart w:id="5711" w:name="_Toc477881459"/>
      <w:bookmarkStart w:id="5712" w:name="_Toc477955863"/>
      <w:bookmarkStart w:id="5713" w:name="_Toc477963108"/>
      <w:bookmarkStart w:id="5714" w:name="_Toc477963594"/>
      <w:bookmarkStart w:id="5715" w:name="_Toc477965180"/>
      <w:bookmarkStart w:id="5716" w:name="_Toc477966684"/>
      <w:bookmarkStart w:id="5717" w:name="_Toc477966853"/>
      <w:bookmarkStart w:id="5718" w:name="_Toc477967193"/>
      <w:bookmarkStart w:id="5719" w:name="_Toc478121330"/>
      <w:bookmarkStart w:id="5720" w:name="_Toc478122243"/>
      <w:bookmarkStart w:id="5721" w:name="_Toc478132217"/>
      <w:bookmarkStart w:id="5722" w:name="_Toc478133243"/>
      <w:bookmarkStart w:id="5723" w:name="_Toc478132380"/>
      <w:bookmarkStart w:id="5724" w:name="_Toc478134709"/>
      <w:bookmarkStart w:id="5725" w:name="_Toc478137411"/>
      <w:bookmarkStart w:id="5726" w:name="_Toc478138483"/>
      <w:bookmarkStart w:id="5727" w:name="_Toc478140053"/>
      <w:bookmarkStart w:id="5728" w:name="_Toc478140469"/>
      <w:bookmarkStart w:id="5729" w:name="_Toc478142675"/>
      <w:bookmarkStart w:id="5730" w:name="_Toc478566391"/>
      <w:bookmarkStart w:id="5731" w:name="_Toc478569558"/>
      <w:bookmarkStart w:id="5732" w:name="_Toc478569732"/>
      <w:bookmarkStart w:id="5733" w:name="_Toc478570806"/>
      <w:bookmarkStart w:id="5734" w:name="_Toc478633005"/>
      <w:bookmarkStart w:id="5735" w:name="_Toc478641413"/>
      <w:bookmarkStart w:id="5736" w:name="_Toc478654307"/>
      <w:bookmarkStart w:id="5737" w:name="_Toc478654481"/>
      <w:bookmarkStart w:id="5738" w:name="_Toc478657776"/>
      <w:bookmarkStart w:id="5739" w:name="_Toc478993197"/>
      <w:bookmarkStart w:id="5740" w:name="_Toc479000268"/>
      <w:bookmarkStart w:id="5741" w:name="_Toc479002202"/>
      <w:bookmarkStart w:id="5742" w:name="_Toc479002374"/>
      <w:bookmarkStart w:id="5743" w:name="_Toc479254349"/>
      <w:bookmarkStart w:id="5744" w:name="_Toc479258538"/>
      <w:bookmarkStart w:id="5745" w:name="_Toc479258854"/>
      <w:bookmarkStart w:id="5746" w:name="_Toc479259746"/>
      <w:bookmarkStart w:id="5747" w:name="_Toc479262169"/>
      <w:bookmarkStart w:id="5748" w:name="_Toc479262590"/>
      <w:bookmarkStart w:id="5749" w:name="_Toc479321291"/>
      <w:bookmarkStart w:id="5750" w:name="_Toc479326730"/>
      <w:bookmarkStart w:id="5751" w:name="_Toc479333329"/>
      <w:bookmarkStart w:id="5752" w:name="_Toc479335026"/>
      <w:bookmarkStart w:id="5753" w:name="_Toc479341741"/>
      <w:bookmarkStart w:id="5754" w:name="_Toc479345157"/>
      <w:bookmarkStart w:id="5755" w:name="_Toc479345366"/>
      <w:bookmarkStart w:id="5756" w:name="_Toc479348347"/>
      <w:bookmarkStart w:id="5757" w:name="_Toc479675941"/>
      <w:bookmarkStart w:id="5758" w:name="_Toc479690908"/>
      <w:bookmarkStart w:id="5759" w:name="_Toc479693486"/>
      <w:bookmarkStart w:id="5760" w:name="_Toc479770655"/>
      <w:r>
        <w:t>4.2.4</w:t>
      </w:r>
      <w:r w:rsidR="00AA7794">
        <w:tab/>
        <w:t xml:space="preserve">Project </w:t>
      </w:r>
      <w:r w:rsidR="009E2F6B">
        <w:t>risk versus risk</w:t>
      </w:r>
      <w:r w:rsidR="00AA7794">
        <w:t xml:space="preserve"> of </w:t>
      </w:r>
      <w:r w:rsidR="009E2F6B">
        <w:t>losing</w:t>
      </w:r>
      <w:r w:rsidR="00AA7794">
        <w:t xml:space="preserve"> </w:t>
      </w:r>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r w:rsidR="009E2F6B">
        <w:t>d</w:t>
      </w:r>
      <w:r w:rsidR="00AA7794">
        <w:t>eductions</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59381558" w14:textId="4629C0A8" w:rsidR="00AA7794" w:rsidRDefault="00FE41E4" w:rsidP="00AB00E4">
      <w:r>
        <w:t>T</w:t>
      </w:r>
      <w:r w:rsidR="00AA7794">
        <w:t xml:space="preserve">he risk of losing PRRT deductions is </w:t>
      </w:r>
      <w:r w:rsidR="00617BEB">
        <w:t>significantly</w:t>
      </w:r>
      <w:r w:rsidR="00AA7794">
        <w:t xml:space="preserve"> different from the overall risk of a petroleum project. </w:t>
      </w:r>
    </w:p>
    <w:p w14:paraId="5797BA04" w14:textId="15081FD2" w:rsidR="00AA7794" w:rsidRDefault="00AA7794" w:rsidP="00AB00E4">
      <w:r>
        <w:t>Risk of a prospective petroleum project is reflected in the wide range of possible realised outcomes arising from changes in</w:t>
      </w:r>
      <w:r w:rsidDel="00617BEB">
        <w:t xml:space="preserve"> </w:t>
      </w:r>
      <w:r>
        <w:t xml:space="preserve">prices, costs and </w:t>
      </w:r>
      <w:r w:rsidR="00617BEB">
        <w:t xml:space="preserve">other </w:t>
      </w:r>
      <w:r>
        <w:t>events</w:t>
      </w:r>
      <w:r w:rsidR="00FE41E4">
        <w:t>;</w:t>
      </w:r>
      <w:r>
        <w:t xml:space="preserve"> outcomes spanning </w:t>
      </w:r>
      <w:r w:rsidR="00FE41E4">
        <w:t xml:space="preserve">from </w:t>
      </w:r>
      <w:r>
        <w:t xml:space="preserve">very high profitability, moderate/marginal profitability and a spread of losses. The spread of possible outcomes is inevitably higher at </w:t>
      </w:r>
      <w:r w:rsidR="00652D17">
        <w:t xml:space="preserve">the </w:t>
      </w:r>
      <w:r>
        <w:t>exploration stage</w:t>
      </w:r>
      <w:r w:rsidR="006B1F24">
        <w:t>,</w:t>
      </w:r>
      <w:r>
        <w:t xml:space="preserve"> given the high chances of failure at that stage</w:t>
      </w:r>
      <w:r w:rsidR="006B1F24">
        <w:t>,</w:t>
      </w:r>
      <w:r>
        <w:t xml:space="preserve"> but that spread contracts considerably once petroleum is discovered and proved up for development. </w:t>
      </w:r>
    </w:p>
    <w:p w14:paraId="72C81E9D" w14:textId="34B83E70" w:rsidR="00AA7794" w:rsidRDefault="00AA7794" w:rsidP="00262C3E">
      <w:r>
        <w:t>The risk of losing PRRT deductions also depends on changes in the same myriad of prices, costs and events. But this risk is only reflected in the spread of possible outcomes where uplifted expenditures exceed revenue. Irrelevant to that spread are outcomes where revenues exceed uplifted expenditures</w:t>
      </w:r>
      <w:r w:rsidR="005D6F39">
        <w:t xml:space="preserve"> — </w:t>
      </w:r>
      <w:r>
        <w:t>though these outcomes are a vital part of a project</w:t>
      </w:r>
      <w:r w:rsidR="005D6F39">
        <w:t>’</w:t>
      </w:r>
      <w:r>
        <w:t xml:space="preserve">s overall risk spectrum. </w:t>
      </w:r>
    </w:p>
    <w:p w14:paraId="024B7436" w14:textId="08A745FA" w:rsidR="00AA7794" w:rsidRDefault="00AA7794" w:rsidP="00262C3E">
      <w:r>
        <w:t>Successful exploration programs may point to the prospect of highly profitable projects with a wide spread of possible outcomes (high project risk), none of which have any significant prospect of losing carried forward losses (low risk of losing deductions), particularly given the availability of cash rebates for closing</w:t>
      </w:r>
      <w:r w:rsidR="006B1F24">
        <w:t xml:space="preserve"> </w:t>
      </w:r>
      <w:r>
        <w:t xml:space="preserve">down expenditures. More generally, once developed, rare would be the (still risky) project that could not utilise PRRT deductions uplifted at LTBR. </w:t>
      </w:r>
      <w:r w:rsidR="00617BEB">
        <w:t>This is confirmed by the review</w:t>
      </w:r>
      <w:r w:rsidR="005D6F39">
        <w:t>’</w:t>
      </w:r>
      <w:r w:rsidR="00617BEB">
        <w:t xml:space="preserve">s modelling. </w:t>
      </w:r>
      <w:r>
        <w:t>In contrast, much exploration expenditure never gives rise to a production licence and, absent exploration transfer</w:t>
      </w:r>
      <w:r w:rsidR="006B1F24">
        <w:t>s</w:t>
      </w:r>
      <w:r>
        <w:t>, would never be applied against project revenue and would therefore be lost.</w:t>
      </w:r>
    </w:p>
    <w:p w14:paraId="23B5E2CF" w14:textId="353E7616" w:rsidR="00AA7794" w:rsidRDefault="00AB00E4" w:rsidP="00AB00E4">
      <w:pPr>
        <w:pStyle w:val="Heading3"/>
      </w:pPr>
      <w:bookmarkStart w:id="5761" w:name="_Toc476577359"/>
      <w:bookmarkStart w:id="5762" w:name="_Toc476582348"/>
      <w:bookmarkStart w:id="5763" w:name="_Toc476583022"/>
      <w:bookmarkStart w:id="5764" w:name="_Toc476583739"/>
      <w:bookmarkStart w:id="5765" w:name="_Toc476584187"/>
      <w:bookmarkStart w:id="5766" w:name="_Toc476738094"/>
      <w:bookmarkStart w:id="5767" w:name="_Toc476747669"/>
      <w:bookmarkStart w:id="5768" w:name="_Toc476749079"/>
      <w:bookmarkStart w:id="5769" w:name="_Toc476753946"/>
      <w:bookmarkStart w:id="5770" w:name="_Toc476754441"/>
      <w:bookmarkStart w:id="5771" w:name="_Toc476754606"/>
      <w:bookmarkStart w:id="5772" w:name="_Toc476759845"/>
      <w:bookmarkStart w:id="5773" w:name="_Toc476761467"/>
      <w:bookmarkStart w:id="5774" w:name="_Toc476767105"/>
      <w:bookmarkStart w:id="5775" w:name="_Toc476827151"/>
      <w:bookmarkStart w:id="5776" w:name="_Toc476828844"/>
      <w:bookmarkStart w:id="5777" w:name="_Toc476833718"/>
      <w:bookmarkStart w:id="5778" w:name="_Toc476837191"/>
      <w:bookmarkStart w:id="5779" w:name="_Toc476841064"/>
      <w:bookmarkStart w:id="5780" w:name="_Toc476841269"/>
      <w:bookmarkStart w:id="5781" w:name="_Toc476842028"/>
      <w:bookmarkStart w:id="5782" w:name="_Toc476842972"/>
      <w:bookmarkStart w:id="5783" w:name="_Toc476843143"/>
      <w:bookmarkStart w:id="5784" w:name="_Toc476844641"/>
      <w:bookmarkStart w:id="5785" w:name="_Toc476845534"/>
      <w:bookmarkStart w:id="5786" w:name="_Toc476926927"/>
      <w:bookmarkStart w:id="5787" w:name="_Toc476927040"/>
      <w:bookmarkStart w:id="5788" w:name="_Toc476927214"/>
      <w:bookmarkStart w:id="5789" w:name="_Toc476928478"/>
      <w:bookmarkStart w:id="5790" w:name="_Toc476929521"/>
      <w:bookmarkStart w:id="5791" w:name="_Toc476929696"/>
      <w:bookmarkStart w:id="5792" w:name="_Toc476930739"/>
      <w:bookmarkStart w:id="5793" w:name="_Toc476931546"/>
      <w:bookmarkStart w:id="5794" w:name="_Toc477869895"/>
      <w:bookmarkStart w:id="5795" w:name="_Toc477871134"/>
      <w:bookmarkStart w:id="5796" w:name="_Toc477873293"/>
      <w:bookmarkStart w:id="5797" w:name="_Toc477875287"/>
      <w:bookmarkStart w:id="5798" w:name="_Toc477880200"/>
      <w:bookmarkStart w:id="5799" w:name="_Toc477881460"/>
      <w:bookmarkStart w:id="5800" w:name="_Toc477955864"/>
      <w:bookmarkStart w:id="5801" w:name="_Toc477963109"/>
      <w:bookmarkStart w:id="5802" w:name="_Toc477963595"/>
      <w:bookmarkStart w:id="5803" w:name="_Toc477965181"/>
      <w:bookmarkStart w:id="5804" w:name="_Toc477966685"/>
      <w:bookmarkStart w:id="5805" w:name="_Toc477966854"/>
      <w:bookmarkStart w:id="5806" w:name="_Toc477967194"/>
      <w:bookmarkStart w:id="5807" w:name="_Toc478121331"/>
      <w:bookmarkStart w:id="5808" w:name="_Toc478122244"/>
      <w:bookmarkStart w:id="5809" w:name="_Toc478132218"/>
      <w:bookmarkStart w:id="5810" w:name="_Toc478133244"/>
      <w:bookmarkStart w:id="5811" w:name="_Toc478132381"/>
      <w:bookmarkStart w:id="5812" w:name="_Toc478134710"/>
      <w:bookmarkStart w:id="5813" w:name="_Toc478137412"/>
      <w:bookmarkStart w:id="5814" w:name="_Toc478138484"/>
      <w:bookmarkStart w:id="5815" w:name="_Toc478140054"/>
      <w:bookmarkStart w:id="5816" w:name="_Toc478140470"/>
      <w:bookmarkStart w:id="5817" w:name="_Toc478142676"/>
      <w:bookmarkStart w:id="5818" w:name="_Toc478566392"/>
      <w:bookmarkStart w:id="5819" w:name="_Toc478569559"/>
      <w:bookmarkStart w:id="5820" w:name="_Toc478569733"/>
      <w:bookmarkStart w:id="5821" w:name="_Toc478570807"/>
      <w:bookmarkStart w:id="5822" w:name="_Toc478633006"/>
      <w:bookmarkStart w:id="5823" w:name="_Toc478641414"/>
      <w:bookmarkStart w:id="5824" w:name="_Toc478654308"/>
      <w:bookmarkStart w:id="5825" w:name="_Toc478654482"/>
      <w:bookmarkStart w:id="5826" w:name="_Toc478657777"/>
      <w:bookmarkStart w:id="5827" w:name="_Toc478993198"/>
      <w:bookmarkStart w:id="5828" w:name="_Toc479000269"/>
      <w:bookmarkStart w:id="5829" w:name="_Toc479002203"/>
      <w:bookmarkStart w:id="5830" w:name="_Toc479002375"/>
      <w:bookmarkStart w:id="5831" w:name="_Toc479254350"/>
      <w:bookmarkStart w:id="5832" w:name="_Toc479258539"/>
      <w:bookmarkStart w:id="5833" w:name="_Toc479258855"/>
      <w:bookmarkStart w:id="5834" w:name="_Toc479259747"/>
      <w:bookmarkStart w:id="5835" w:name="_Toc479262170"/>
      <w:bookmarkStart w:id="5836" w:name="_Toc479262591"/>
      <w:bookmarkStart w:id="5837" w:name="_Toc479321292"/>
      <w:bookmarkStart w:id="5838" w:name="_Toc479326731"/>
      <w:bookmarkStart w:id="5839" w:name="_Toc479333330"/>
      <w:bookmarkStart w:id="5840" w:name="_Toc479335027"/>
      <w:bookmarkStart w:id="5841" w:name="_Toc479341742"/>
      <w:bookmarkStart w:id="5842" w:name="_Toc479345158"/>
      <w:bookmarkStart w:id="5843" w:name="_Toc479345367"/>
      <w:bookmarkStart w:id="5844" w:name="_Toc479348348"/>
      <w:bookmarkStart w:id="5845" w:name="_Toc479675942"/>
      <w:bookmarkStart w:id="5846" w:name="_Toc479690909"/>
      <w:bookmarkStart w:id="5847" w:name="_Toc479693487"/>
      <w:bookmarkStart w:id="5848" w:name="_Toc479770656"/>
      <w:r>
        <w:t>4.2.5</w:t>
      </w:r>
      <w:r w:rsidR="006B1F24">
        <w:tab/>
        <w:t>Tax neutrality o</w:t>
      </w:r>
      <w:r w:rsidR="00AA7794">
        <w:t>bjectives</w:t>
      </w:r>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p>
    <w:p w14:paraId="13CAD29B" w14:textId="529D23CF" w:rsidR="00AA7794" w:rsidRDefault="00AA7794" w:rsidP="00262C3E">
      <w:r>
        <w:t>The risk of losing deductions will inevitably vary between prospective exploration programs and between prospective developments of discovered petroleum deposits</w:t>
      </w:r>
      <w:r w:rsidR="006B1F24">
        <w:t>,</w:t>
      </w:r>
      <w:r>
        <w:t xml:space="preserve"> just as overall project risk varies considerably between projects.</w:t>
      </w:r>
    </w:p>
    <w:p w14:paraId="66FE3FA6" w14:textId="4ED5AD8F" w:rsidR="00AA7794" w:rsidRDefault="00AA7794" w:rsidP="00262C3E">
      <w:r>
        <w:t xml:space="preserve">Consequently, </w:t>
      </w:r>
      <w:r w:rsidR="00FE41E4">
        <w:t xml:space="preserve">and </w:t>
      </w:r>
      <w:r>
        <w:t>as observed in the submission by the Business Council of Australia, generally</w:t>
      </w:r>
      <w:r w:rsidR="005D6F39">
        <w:noBreakHyphen/>
      </w:r>
      <w:r>
        <w:t xml:space="preserve">applicable threshold rates </w:t>
      </w:r>
      <w:r w:rsidR="00FE41E4">
        <w:t xml:space="preserve">unavoidably </w:t>
      </w:r>
      <w:r>
        <w:t xml:space="preserve">mean that some projects will be </w:t>
      </w:r>
      <w:r w:rsidR="006B1F24">
        <w:t>overcompensated</w:t>
      </w:r>
      <w:r>
        <w:t xml:space="preserve"> and some </w:t>
      </w:r>
      <w:r w:rsidR="006B1F24">
        <w:t>under</w:t>
      </w:r>
      <w:r>
        <w:t>compensated for their particular risks, no matter the level of uplift rates.</w:t>
      </w:r>
    </w:p>
    <w:p w14:paraId="42DCBE1D" w14:textId="45D06952" w:rsidR="00AA7794" w:rsidRDefault="00FE41E4" w:rsidP="00262C3E">
      <w:r>
        <w:t>O</w:t>
      </w:r>
      <w:r w:rsidR="00AA7794">
        <w:t xml:space="preserve">nce uplifted losses are written off, </w:t>
      </w:r>
      <w:r>
        <w:t xml:space="preserve">however, the </w:t>
      </w:r>
      <w:r w:rsidR="00AA7794">
        <w:t>value</w:t>
      </w:r>
      <w:r w:rsidR="00D96B00">
        <w:t>s</w:t>
      </w:r>
      <w:r w:rsidR="00AA7794">
        <w:t xml:space="preserve"> of the original deductions ha</w:t>
      </w:r>
      <w:r>
        <w:t>ve</w:t>
      </w:r>
      <w:r w:rsidR="00AA7794">
        <w:t xml:space="preserve"> been maintained. It is as if the taxpayer had been able to deduct the loss when originally incurred. This PRRT outcome matches that of a cash flow tax </w:t>
      </w:r>
      <w:r w:rsidR="009E61EE">
        <w:t>(</w:t>
      </w:r>
      <w:r w:rsidR="006B1F24" w:rsidRPr="006D28D4">
        <w:t>see s</w:t>
      </w:r>
      <w:r w:rsidR="009E61EE" w:rsidRPr="006D28D4">
        <w:t>ection 2.1</w:t>
      </w:r>
      <w:r w:rsidR="009E61EE">
        <w:t xml:space="preserve">) </w:t>
      </w:r>
      <w:r w:rsidR="00AA7794">
        <w:t>and consequently investors</w:t>
      </w:r>
      <w:r w:rsidR="005D6F39">
        <w:t>’</w:t>
      </w:r>
      <w:r w:rsidR="00AA7794">
        <w:t xml:space="preserve"> assessments of pre</w:t>
      </w:r>
      <w:r w:rsidR="005D6F39">
        <w:noBreakHyphen/>
      </w:r>
      <w:r w:rsidR="00AA7794">
        <w:t xml:space="preserve"> and post</w:t>
      </w:r>
      <w:r w:rsidR="005D6F39">
        <w:noBreakHyphen/>
      </w:r>
      <w:r w:rsidR="00AA7794">
        <w:t xml:space="preserve">PRRT economic rent depend on </w:t>
      </w:r>
      <w:r w:rsidR="009A0BF3">
        <w:t xml:space="preserve">the </w:t>
      </w:r>
      <w:r w:rsidR="00AA7794">
        <w:t>return</w:t>
      </w:r>
      <w:r w:rsidR="004E0A8E">
        <w:t>s</w:t>
      </w:r>
      <w:r w:rsidR="00AA7794">
        <w:t xml:space="preserve"> </w:t>
      </w:r>
      <w:r w:rsidR="009A0BF3">
        <w:t xml:space="preserve">of their projects </w:t>
      </w:r>
      <w:r w:rsidR="00AA7794">
        <w:t>relative to their risk</w:t>
      </w:r>
      <w:r w:rsidR="005D6F39">
        <w:noBreakHyphen/>
      </w:r>
      <w:r w:rsidR="00AA7794">
        <w:t>weighted discount rates</w:t>
      </w:r>
      <w:r w:rsidR="00755941">
        <w:t>.</w:t>
      </w:r>
    </w:p>
    <w:p w14:paraId="29762D36" w14:textId="0F75D5CC" w:rsidR="00AA7794" w:rsidRDefault="00AA7794" w:rsidP="00262C3E">
      <w:r>
        <w:t>Inevitably, some uplifted losses will never be fully utilised</w:t>
      </w:r>
      <w:r w:rsidDel="004D1464">
        <w:t xml:space="preserve">: these are the </w:t>
      </w:r>
      <w:r w:rsidR="006B1F24">
        <w:t>under</w:t>
      </w:r>
      <w:r w:rsidDel="004D1464">
        <w:t xml:space="preserve">compensated </w:t>
      </w:r>
      <w:r w:rsidR="009A0BF3" w:rsidDel="004D1464">
        <w:t xml:space="preserve">exploration </w:t>
      </w:r>
      <w:r w:rsidDel="004D1464">
        <w:t xml:space="preserve">programs </w:t>
      </w:r>
      <w:r>
        <w:t xml:space="preserve">that </w:t>
      </w:r>
      <w:r w:rsidDel="004D1464">
        <w:t xml:space="preserve">can </w:t>
      </w:r>
      <w:r>
        <w:t>never achieve the equivalence of full loss offset with</w:t>
      </w:r>
      <w:r w:rsidR="003A73A3">
        <w:t>in the</w:t>
      </w:r>
      <w:r>
        <w:t xml:space="preserve"> PRRT design. </w:t>
      </w:r>
      <w:r w:rsidR="004D1464">
        <w:t>However, o</w:t>
      </w:r>
      <w:r>
        <w:t xml:space="preserve">ther projects will be overcompensated </w:t>
      </w:r>
      <w:r w:rsidR="004D1464">
        <w:t xml:space="preserve">where </w:t>
      </w:r>
      <w:r>
        <w:t xml:space="preserve">the risk of </w:t>
      </w:r>
      <w:r w:rsidR="003A73A3">
        <w:t xml:space="preserve">losing </w:t>
      </w:r>
      <w:r>
        <w:t>deduction</w:t>
      </w:r>
      <w:r w:rsidR="003A73A3">
        <w:t>s</w:t>
      </w:r>
      <w:r>
        <w:t xml:space="preserve"> </w:t>
      </w:r>
      <w:r w:rsidR="004D1464">
        <w:t>in th</w:t>
      </w:r>
      <w:r w:rsidR="00D62950">
        <w:t>ose</w:t>
      </w:r>
      <w:r w:rsidR="004D1464">
        <w:t xml:space="preserve"> particular project</w:t>
      </w:r>
      <w:r w:rsidR="00D62950">
        <w:t>s</w:t>
      </w:r>
      <w:r w:rsidDel="004D1464">
        <w:t xml:space="preserve"> </w:t>
      </w:r>
      <w:r w:rsidR="004D1464">
        <w:t xml:space="preserve">is </w:t>
      </w:r>
      <w:r>
        <w:t>less tha</w:t>
      </w:r>
      <w:r w:rsidR="004E0A8E">
        <w:t>n the</w:t>
      </w:r>
      <w:r>
        <w:t xml:space="preserve"> uplift</w:t>
      </w:r>
      <w:r w:rsidR="004E0A8E">
        <w:t xml:space="preserve"> rate</w:t>
      </w:r>
      <w:r w:rsidR="004D1464">
        <w:t xml:space="preserve"> applied to th</w:t>
      </w:r>
      <w:r w:rsidR="00D62950">
        <w:t>e</w:t>
      </w:r>
      <w:r w:rsidR="004D1464">
        <w:t xml:space="preserve"> deductions</w:t>
      </w:r>
      <w:r>
        <w:t>.</w:t>
      </w:r>
    </w:p>
    <w:p w14:paraId="07D9EF26" w14:textId="3E7054CA" w:rsidR="00932935" w:rsidRDefault="004E0A8E" w:rsidP="00932935">
      <w:r>
        <w:t>Nevertheless</w:t>
      </w:r>
      <w:r w:rsidR="00AA7794">
        <w:t xml:space="preserve">, </w:t>
      </w:r>
      <w:r w:rsidR="00172B8A">
        <w:t xml:space="preserve">a </w:t>
      </w:r>
      <w:r w:rsidR="00AA7794">
        <w:t>PRRT design that sets uplift rates on the basis of investors</w:t>
      </w:r>
      <w:r w:rsidR="005D6F39">
        <w:t>’</w:t>
      </w:r>
      <w:r w:rsidR="00AA7794">
        <w:t xml:space="preserve"> risk</w:t>
      </w:r>
      <w:r w:rsidR="005D6F39">
        <w:noBreakHyphen/>
      </w:r>
      <w:r w:rsidR="00AA7794">
        <w:t xml:space="preserve">weighted </w:t>
      </w:r>
      <w:r w:rsidR="00B5128F">
        <w:t>hurdle rates</w:t>
      </w:r>
      <w:r w:rsidR="00172B8A">
        <w:t xml:space="preserve"> </w:t>
      </w:r>
      <w:r w:rsidR="00AA7794">
        <w:t>is likely to underestimate the levels of economic rent and therefore collect lower levels of PRRT.</w:t>
      </w:r>
      <w:r w:rsidR="00932935">
        <w:t xml:space="preserve"> In contrast,</w:t>
      </w:r>
      <w:r w:rsidR="00AA7794">
        <w:t xml:space="preserve"> uplift</w:t>
      </w:r>
      <w:r>
        <w:t>ing PRRT</w:t>
      </w:r>
      <w:r w:rsidR="00AA7794">
        <w:t xml:space="preserve"> losses at a rate commensurate with </w:t>
      </w:r>
      <w:r w:rsidR="00932935">
        <w:t>the</w:t>
      </w:r>
      <w:r w:rsidR="00AA7794">
        <w:t xml:space="preserve"> risk of </w:t>
      </w:r>
      <w:r w:rsidR="00B5128F">
        <w:t xml:space="preserve">unutilised PRRT </w:t>
      </w:r>
      <w:r w:rsidR="00AA7794">
        <w:t>deductions</w:t>
      </w:r>
      <w:r w:rsidR="00932935">
        <w:t xml:space="preserve"> would further tax neutrality and tax revenue objectives.</w:t>
      </w:r>
    </w:p>
    <w:p w14:paraId="627F5AF8" w14:textId="01345EF1" w:rsidR="00915D49" w:rsidRDefault="00AA7794" w:rsidP="00932935">
      <w:r w:rsidRPr="006D28D4">
        <w:t>Box 4.1</w:t>
      </w:r>
      <w:r>
        <w:t xml:space="preserve"> shows how PRRT </w:t>
      </w:r>
      <w:r w:rsidR="00932935">
        <w:t xml:space="preserve">uplift rate set in line with the risk of losing deductions (5 per cent in the example) provides a </w:t>
      </w:r>
      <w:r>
        <w:t>PRRT outcome equivalent to that of a tax</w:t>
      </w:r>
      <w:r w:rsidR="005D6F39">
        <w:noBreakHyphen/>
      </w:r>
      <w:r>
        <w:t>neutral cash flow tax</w:t>
      </w:r>
      <w:r w:rsidR="00932935">
        <w:t xml:space="preserve"> (see </w:t>
      </w:r>
      <w:r w:rsidR="006B1F24" w:rsidRPr="006D28D4">
        <w:t>s</w:t>
      </w:r>
      <w:r w:rsidR="00932935" w:rsidRPr="006D28D4">
        <w:t>ection 2.1.1</w:t>
      </w:r>
      <w:r w:rsidR="00932935">
        <w:t xml:space="preserve">, </w:t>
      </w:r>
      <w:r w:rsidR="00932935" w:rsidRPr="006D28D4">
        <w:t>Box 2.1</w:t>
      </w:r>
      <w:r w:rsidR="00932935">
        <w:t>)</w:t>
      </w:r>
      <w:r>
        <w:t>.</w:t>
      </w:r>
    </w:p>
    <w:p w14:paraId="5DED463E" w14:textId="77777777" w:rsidR="008A543E" w:rsidRDefault="008A543E">
      <w:pPr>
        <w:spacing w:after="0" w:line="240" w:lineRule="auto"/>
        <w:jc w:val="left"/>
      </w:pPr>
      <w:r>
        <w:br w:type="page"/>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AB00E4" w14:paraId="7441DF31" w14:textId="77777777" w:rsidTr="00AB00E4">
        <w:tc>
          <w:tcPr>
            <w:tcW w:w="9286" w:type="dxa"/>
          </w:tcPr>
          <w:p w14:paraId="6AF3A903" w14:textId="690643C4" w:rsidR="00AB00E4" w:rsidRPr="0020041D" w:rsidRDefault="00AB00E4" w:rsidP="00221C2A">
            <w:pPr>
              <w:pStyle w:val="BoxHeadingnonumber"/>
            </w:pPr>
            <w:r w:rsidRPr="0020041D">
              <w:t xml:space="preserve">Box </w:t>
            </w:r>
            <w:r w:rsidRPr="008A6C2F">
              <w:t>4.1</w:t>
            </w:r>
            <w:r w:rsidRPr="0020041D">
              <w:t xml:space="preserve">: </w:t>
            </w:r>
            <w:r>
              <w:t xml:space="preserve">PRRT uplift rate </w:t>
            </w:r>
            <w:r w:rsidR="00B5128F">
              <w:t>aligned with risk of unutilised PRRT deductions</w:t>
            </w:r>
          </w:p>
          <w:p w14:paraId="20A7C005" w14:textId="53E942C2" w:rsidR="00AB00E4" w:rsidRDefault="00AB00E4" w:rsidP="00AB00E4">
            <w:r w:rsidRPr="008D775C">
              <w:rPr>
                <w:u w:val="single"/>
              </w:rPr>
              <w:t>Before tax</w:t>
            </w:r>
            <w:r>
              <w:t>, an investor is assessing the prospects of a petroleum resource project involving $1000 of exploration/development expenditure in Year 1 to get $1100 in Year 2. The project</w:t>
            </w:r>
            <w:r w:rsidR="005D6F39">
              <w:t>’</w:t>
            </w:r>
            <w:r>
              <w:t>s 10</w:t>
            </w:r>
            <w:r w:rsidR="00B535D9">
              <w:t xml:space="preserve"> per cent per annum</w:t>
            </w:r>
            <w:r>
              <w:t xml:space="preserve"> pre</w:t>
            </w:r>
            <w:r w:rsidR="005D6F39">
              <w:noBreakHyphen/>
            </w:r>
            <w:r>
              <w:t>tax return matches the investor</w:t>
            </w:r>
            <w:r w:rsidR="005D6F39">
              <w:t>’</w:t>
            </w:r>
            <w:r>
              <w:t>s 10</w:t>
            </w:r>
            <w:r w:rsidR="00B535D9">
              <w:t> per cent</w:t>
            </w:r>
            <w:r>
              <w:t xml:space="preserve"> risk</w:t>
            </w:r>
            <w:r w:rsidR="005D6F39">
              <w:noBreakHyphen/>
            </w:r>
            <w:r>
              <w:t>weighted discount rate so, to the investor, the project has a zero NPV ($1100/1.1</w:t>
            </w:r>
            <w:r w:rsidR="005D6F39">
              <w:t xml:space="preserve"> — </w:t>
            </w:r>
            <w:r>
              <w:t xml:space="preserve">$1000) before </w:t>
            </w:r>
            <w:r w:rsidR="00147DEF">
              <w:t>PRRT</w:t>
            </w:r>
            <w:r>
              <w:t>.</w:t>
            </w:r>
          </w:p>
          <w:p w14:paraId="5E7E30E5" w14:textId="15FD82AA" w:rsidR="00AB00E4" w:rsidRDefault="00AB00E4" w:rsidP="00E81CD0">
            <w:r w:rsidRPr="008C54CE">
              <w:rPr>
                <w:u w:val="single"/>
              </w:rPr>
              <w:t>After 40</w:t>
            </w:r>
            <w:r w:rsidR="000A33FC">
              <w:rPr>
                <w:u w:val="single"/>
              </w:rPr>
              <w:t xml:space="preserve"> per cent</w:t>
            </w:r>
            <w:r w:rsidRPr="008C54CE">
              <w:rPr>
                <w:u w:val="single"/>
              </w:rPr>
              <w:t xml:space="preserve"> </w:t>
            </w:r>
            <w:r>
              <w:rPr>
                <w:u w:val="single"/>
              </w:rPr>
              <w:t>PRRT with 5</w:t>
            </w:r>
            <w:r w:rsidR="000A33FC">
              <w:rPr>
                <w:u w:val="single"/>
              </w:rPr>
              <w:t xml:space="preserve"> per cent</w:t>
            </w:r>
            <w:r>
              <w:rPr>
                <w:u w:val="single"/>
              </w:rPr>
              <w:t xml:space="preserve"> uplift,</w:t>
            </w:r>
            <w:r>
              <w:t xml:space="preserve"> the 5</w:t>
            </w:r>
            <w:r w:rsidR="000A33FC">
              <w:t xml:space="preserve"> per cent</w:t>
            </w:r>
            <w:r>
              <w:t xml:space="preserve"> reflecting risk of unutilised PRRT losses:</w:t>
            </w:r>
          </w:p>
          <w:tbl>
            <w:tblPr>
              <w:tblStyle w:val="TableGrid"/>
              <w:tblW w:w="0" w:type="auto"/>
              <w:tblLook w:val="04A0" w:firstRow="1" w:lastRow="0" w:firstColumn="1" w:lastColumn="0" w:noHBand="0" w:noVBand="1"/>
            </w:tblPr>
            <w:tblGrid>
              <w:gridCol w:w="2380"/>
              <w:gridCol w:w="1022"/>
              <w:gridCol w:w="284"/>
              <w:gridCol w:w="1134"/>
              <w:gridCol w:w="3544"/>
            </w:tblGrid>
            <w:tr w:rsidR="00E81CD0" w14:paraId="2755C02C" w14:textId="26973628" w:rsidTr="00E81CD0">
              <w:tc>
                <w:tcPr>
                  <w:tcW w:w="2380" w:type="dxa"/>
                </w:tcPr>
                <w:p w14:paraId="09C3AEC0" w14:textId="77777777" w:rsidR="00E81CD0" w:rsidRDefault="00E81CD0" w:rsidP="002C153D">
                  <w:pPr>
                    <w:spacing w:after="120"/>
                  </w:pPr>
                </w:p>
              </w:tc>
              <w:tc>
                <w:tcPr>
                  <w:tcW w:w="1022" w:type="dxa"/>
                </w:tcPr>
                <w:p w14:paraId="3313BC6A" w14:textId="4A870480" w:rsidR="00E81CD0" w:rsidRPr="00E81CD0" w:rsidRDefault="00E81CD0" w:rsidP="002C153D">
                  <w:pPr>
                    <w:spacing w:after="120"/>
                    <w:jc w:val="right"/>
                    <w:rPr>
                      <w:b/>
                    </w:rPr>
                  </w:pPr>
                  <w:r w:rsidRPr="00E81CD0">
                    <w:rPr>
                      <w:b/>
                    </w:rPr>
                    <w:t>Year 1</w:t>
                  </w:r>
                </w:p>
              </w:tc>
              <w:tc>
                <w:tcPr>
                  <w:tcW w:w="284" w:type="dxa"/>
                </w:tcPr>
                <w:p w14:paraId="3385B7A8" w14:textId="77777777" w:rsidR="00E81CD0" w:rsidRPr="00E81CD0" w:rsidRDefault="00E81CD0" w:rsidP="002C153D">
                  <w:pPr>
                    <w:spacing w:after="120"/>
                    <w:jc w:val="left"/>
                    <w:rPr>
                      <w:b/>
                    </w:rPr>
                  </w:pPr>
                </w:p>
              </w:tc>
              <w:tc>
                <w:tcPr>
                  <w:tcW w:w="1134" w:type="dxa"/>
                </w:tcPr>
                <w:p w14:paraId="172FFEFC" w14:textId="2370A564" w:rsidR="00E81CD0" w:rsidRPr="00E81CD0" w:rsidRDefault="00E81CD0" w:rsidP="002C153D">
                  <w:pPr>
                    <w:spacing w:after="120"/>
                    <w:jc w:val="right"/>
                    <w:rPr>
                      <w:b/>
                    </w:rPr>
                  </w:pPr>
                  <w:r w:rsidRPr="00E81CD0">
                    <w:rPr>
                      <w:b/>
                    </w:rPr>
                    <w:t>Year 2</w:t>
                  </w:r>
                </w:p>
              </w:tc>
              <w:tc>
                <w:tcPr>
                  <w:tcW w:w="3544" w:type="dxa"/>
                </w:tcPr>
                <w:p w14:paraId="12055A20" w14:textId="77777777" w:rsidR="00E81CD0" w:rsidRPr="00E81CD0" w:rsidRDefault="00E81CD0" w:rsidP="002C153D">
                  <w:pPr>
                    <w:spacing w:after="120"/>
                    <w:jc w:val="left"/>
                    <w:rPr>
                      <w:b/>
                    </w:rPr>
                  </w:pPr>
                </w:p>
              </w:tc>
            </w:tr>
            <w:tr w:rsidR="00E81CD0" w14:paraId="06846019" w14:textId="725F3CF0" w:rsidTr="00E81CD0">
              <w:tc>
                <w:tcPr>
                  <w:tcW w:w="2380" w:type="dxa"/>
                </w:tcPr>
                <w:p w14:paraId="1FBA1B6C" w14:textId="24A443AA" w:rsidR="00E81CD0" w:rsidRDefault="00E81CD0" w:rsidP="002C153D">
                  <w:pPr>
                    <w:spacing w:after="120"/>
                  </w:pPr>
                  <w:r>
                    <w:t>Pre</w:t>
                  </w:r>
                  <w:r w:rsidR="005D6F39">
                    <w:noBreakHyphen/>
                  </w:r>
                  <w:r>
                    <w:t>tax cash flow</w:t>
                  </w:r>
                </w:p>
              </w:tc>
              <w:tc>
                <w:tcPr>
                  <w:tcW w:w="1022" w:type="dxa"/>
                </w:tcPr>
                <w:p w14:paraId="41BAC3FE" w14:textId="38C48089" w:rsidR="00E81CD0" w:rsidRDefault="00E81CD0" w:rsidP="002C153D">
                  <w:pPr>
                    <w:spacing w:after="120"/>
                    <w:jc w:val="right"/>
                  </w:pPr>
                  <w:r>
                    <w:t>$1000</w:t>
                  </w:r>
                </w:p>
              </w:tc>
              <w:tc>
                <w:tcPr>
                  <w:tcW w:w="284" w:type="dxa"/>
                </w:tcPr>
                <w:p w14:paraId="530E0D44" w14:textId="77777777" w:rsidR="00E81CD0" w:rsidRDefault="00E81CD0" w:rsidP="002C153D">
                  <w:pPr>
                    <w:spacing w:after="120"/>
                    <w:jc w:val="left"/>
                  </w:pPr>
                </w:p>
              </w:tc>
              <w:tc>
                <w:tcPr>
                  <w:tcW w:w="1134" w:type="dxa"/>
                </w:tcPr>
                <w:p w14:paraId="34FDC53C" w14:textId="2BE38911" w:rsidR="00E81CD0" w:rsidRDefault="00E81CD0" w:rsidP="002C153D">
                  <w:pPr>
                    <w:spacing w:after="120"/>
                    <w:jc w:val="right"/>
                  </w:pPr>
                  <w:r>
                    <w:t>$1100</w:t>
                  </w:r>
                </w:p>
              </w:tc>
              <w:tc>
                <w:tcPr>
                  <w:tcW w:w="3544" w:type="dxa"/>
                </w:tcPr>
                <w:p w14:paraId="4AB1AFAF" w14:textId="77777777" w:rsidR="00E81CD0" w:rsidRDefault="00E81CD0" w:rsidP="002C153D">
                  <w:pPr>
                    <w:spacing w:after="120"/>
                    <w:jc w:val="left"/>
                  </w:pPr>
                </w:p>
              </w:tc>
            </w:tr>
            <w:tr w:rsidR="00E81CD0" w14:paraId="72C768B4" w14:textId="1DADA704" w:rsidTr="00E81CD0">
              <w:tc>
                <w:tcPr>
                  <w:tcW w:w="2380" w:type="dxa"/>
                </w:tcPr>
                <w:p w14:paraId="1F6755A2" w14:textId="1FE7B704" w:rsidR="00E81CD0" w:rsidRDefault="00E81CD0" w:rsidP="002C153D">
                  <w:pPr>
                    <w:spacing w:after="120"/>
                  </w:pPr>
                  <w:r>
                    <w:t>PRRT loss</w:t>
                  </w:r>
                </w:p>
              </w:tc>
              <w:tc>
                <w:tcPr>
                  <w:tcW w:w="1022" w:type="dxa"/>
                </w:tcPr>
                <w:p w14:paraId="5A4CE451" w14:textId="2BE08EA6" w:rsidR="00E81CD0" w:rsidRDefault="005D6F39" w:rsidP="002C153D">
                  <w:pPr>
                    <w:spacing w:after="120"/>
                    <w:jc w:val="right"/>
                  </w:pPr>
                  <w:r>
                    <w:noBreakHyphen/>
                  </w:r>
                  <w:r w:rsidR="00E81CD0">
                    <w:t>$1000</w:t>
                  </w:r>
                </w:p>
              </w:tc>
              <w:tc>
                <w:tcPr>
                  <w:tcW w:w="284" w:type="dxa"/>
                </w:tcPr>
                <w:p w14:paraId="2A80106C" w14:textId="77777777" w:rsidR="00E81CD0" w:rsidRDefault="00E81CD0" w:rsidP="002C153D">
                  <w:pPr>
                    <w:spacing w:after="120"/>
                    <w:jc w:val="left"/>
                  </w:pPr>
                </w:p>
              </w:tc>
              <w:tc>
                <w:tcPr>
                  <w:tcW w:w="1134" w:type="dxa"/>
                </w:tcPr>
                <w:p w14:paraId="52DFE7AB" w14:textId="5D1FDD77" w:rsidR="00E81CD0" w:rsidRDefault="00E81CD0" w:rsidP="002C153D">
                  <w:pPr>
                    <w:spacing w:after="120"/>
                    <w:jc w:val="right"/>
                  </w:pPr>
                </w:p>
              </w:tc>
              <w:tc>
                <w:tcPr>
                  <w:tcW w:w="3544" w:type="dxa"/>
                </w:tcPr>
                <w:p w14:paraId="29ED0126" w14:textId="77777777" w:rsidR="00E81CD0" w:rsidRDefault="00E81CD0" w:rsidP="002C153D">
                  <w:pPr>
                    <w:spacing w:after="120"/>
                    <w:jc w:val="left"/>
                  </w:pPr>
                </w:p>
              </w:tc>
            </w:tr>
            <w:tr w:rsidR="00E81CD0" w14:paraId="03E6C5FD" w14:textId="0451C73B" w:rsidTr="00E81CD0">
              <w:tc>
                <w:tcPr>
                  <w:tcW w:w="2380" w:type="dxa"/>
                </w:tcPr>
                <w:p w14:paraId="6708BC92" w14:textId="6DC3848F" w:rsidR="00E81CD0" w:rsidRDefault="00E81CD0" w:rsidP="002C153D">
                  <w:pPr>
                    <w:spacing w:after="120"/>
                  </w:pPr>
                  <w:r>
                    <w:t>5 per cent loss uplift</w:t>
                  </w:r>
                </w:p>
              </w:tc>
              <w:tc>
                <w:tcPr>
                  <w:tcW w:w="1022" w:type="dxa"/>
                  <w:tcBorders>
                    <w:bottom w:val="single" w:sz="4" w:space="0" w:color="auto"/>
                  </w:tcBorders>
                </w:tcPr>
                <w:p w14:paraId="55371E8E" w14:textId="1336027E" w:rsidR="00E81CD0" w:rsidRDefault="00E81CD0" w:rsidP="002C153D">
                  <w:pPr>
                    <w:spacing w:after="120"/>
                    <w:jc w:val="right"/>
                  </w:pPr>
                  <w:r>
                    <w:t>0</w:t>
                  </w:r>
                </w:p>
              </w:tc>
              <w:tc>
                <w:tcPr>
                  <w:tcW w:w="284" w:type="dxa"/>
                </w:tcPr>
                <w:p w14:paraId="1D460B79" w14:textId="77777777" w:rsidR="00E81CD0" w:rsidRDefault="00E81CD0" w:rsidP="002C153D">
                  <w:pPr>
                    <w:spacing w:after="120"/>
                    <w:jc w:val="left"/>
                  </w:pPr>
                </w:p>
              </w:tc>
              <w:tc>
                <w:tcPr>
                  <w:tcW w:w="1134" w:type="dxa"/>
                  <w:tcBorders>
                    <w:bottom w:val="single" w:sz="4" w:space="0" w:color="auto"/>
                  </w:tcBorders>
                </w:tcPr>
                <w:p w14:paraId="3E9C0E8B" w14:textId="3DC5216B" w:rsidR="00E81CD0" w:rsidRDefault="005D6F39" w:rsidP="002C153D">
                  <w:pPr>
                    <w:spacing w:after="120"/>
                    <w:jc w:val="right"/>
                  </w:pPr>
                  <w:r>
                    <w:noBreakHyphen/>
                  </w:r>
                  <w:r w:rsidR="00E81CD0">
                    <w:t>$1050</w:t>
                  </w:r>
                </w:p>
              </w:tc>
              <w:tc>
                <w:tcPr>
                  <w:tcW w:w="3544" w:type="dxa"/>
                </w:tcPr>
                <w:p w14:paraId="5054CD4B" w14:textId="135C9646" w:rsidR="00E81CD0" w:rsidRDefault="00E81CD0" w:rsidP="002C153D">
                  <w:pPr>
                    <w:spacing w:after="120"/>
                    <w:jc w:val="left"/>
                  </w:pPr>
                  <w:r>
                    <w:t>(x 0.4 = $420 PRRT savings</w:t>
                  </w:r>
                  <w:r w:rsidR="00281C41">
                    <w:t>)</w:t>
                  </w:r>
                </w:p>
              </w:tc>
            </w:tr>
            <w:tr w:rsidR="00E81CD0" w14:paraId="004BB508" w14:textId="60548C30" w:rsidTr="00E81CD0">
              <w:tc>
                <w:tcPr>
                  <w:tcW w:w="2380" w:type="dxa"/>
                </w:tcPr>
                <w:p w14:paraId="47462612" w14:textId="0F9E1C6E" w:rsidR="00E81CD0" w:rsidRDefault="00E81CD0" w:rsidP="002C153D">
                  <w:pPr>
                    <w:spacing w:after="120"/>
                  </w:pPr>
                  <w:r>
                    <w:t>PRRT</w:t>
                  </w:r>
                </w:p>
              </w:tc>
              <w:tc>
                <w:tcPr>
                  <w:tcW w:w="1022" w:type="dxa"/>
                  <w:tcBorders>
                    <w:top w:val="single" w:sz="4" w:space="0" w:color="auto"/>
                    <w:bottom w:val="single" w:sz="4" w:space="0" w:color="auto"/>
                  </w:tcBorders>
                </w:tcPr>
                <w:p w14:paraId="692F4BFD" w14:textId="1A0A6069" w:rsidR="00E81CD0" w:rsidRDefault="00E81CD0" w:rsidP="002C153D">
                  <w:pPr>
                    <w:spacing w:after="120"/>
                    <w:jc w:val="right"/>
                  </w:pPr>
                  <w:r>
                    <w:t>0</w:t>
                  </w:r>
                </w:p>
              </w:tc>
              <w:tc>
                <w:tcPr>
                  <w:tcW w:w="284" w:type="dxa"/>
                </w:tcPr>
                <w:p w14:paraId="750E7E50" w14:textId="77777777" w:rsidR="00E81CD0" w:rsidRDefault="00E81CD0" w:rsidP="002C153D">
                  <w:pPr>
                    <w:spacing w:after="120"/>
                    <w:jc w:val="left"/>
                  </w:pPr>
                </w:p>
              </w:tc>
              <w:tc>
                <w:tcPr>
                  <w:tcW w:w="1134" w:type="dxa"/>
                  <w:tcBorders>
                    <w:top w:val="single" w:sz="4" w:space="0" w:color="auto"/>
                    <w:bottom w:val="single" w:sz="4" w:space="0" w:color="auto"/>
                  </w:tcBorders>
                </w:tcPr>
                <w:p w14:paraId="568325BD" w14:textId="657E847D" w:rsidR="00E81CD0" w:rsidRDefault="005D6F39" w:rsidP="002C153D">
                  <w:pPr>
                    <w:spacing w:after="120"/>
                    <w:jc w:val="right"/>
                  </w:pPr>
                  <w:r>
                    <w:noBreakHyphen/>
                  </w:r>
                  <w:r w:rsidR="00E81CD0">
                    <w:t>$20</w:t>
                  </w:r>
                </w:p>
              </w:tc>
              <w:tc>
                <w:tcPr>
                  <w:tcW w:w="3544" w:type="dxa"/>
                </w:tcPr>
                <w:p w14:paraId="2692F464" w14:textId="77777777" w:rsidR="00E81CD0" w:rsidRDefault="00E81CD0" w:rsidP="002C153D">
                  <w:pPr>
                    <w:spacing w:after="120"/>
                    <w:jc w:val="left"/>
                  </w:pPr>
                </w:p>
              </w:tc>
            </w:tr>
            <w:tr w:rsidR="00E81CD0" w14:paraId="5DDB955C" w14:textId="6EB669D5" w:rsidTr="00E81CD0">
              <w:tc>
                <w:tcPr>
                  <w:tcW w:w="2380" w:type="dxa"/>
                </w:tcPr>
                <w:p w14:paraId="736CA090" w14:textId="39B94AF3" w:rsidR="00E81CD0" w:rsidRDefault="00E81CD0" w:rsidP="002C153D">
                  <w:pPr>
                    <w:spacing w:after="120"/>
                  </w:pPr>
                  <w:r>
                    <w:t>Post</w:t>
                  </w:r>
                  <w:r w:rsidR="005D6F39">
                    <w:noBreakHyphen/>
                  </w:r>
                  <w:r>
                    <w:t>PRRT</w:t>
                  </w:r>
                </w:p>
              </w:tc>
              <w:tc>
                <w:tcPr>
                  <w:tcW w:w="1022" w:type="dxa"/>
                  <w:tcBorders>
                    <w:top w:val="single" w:sz="4" w:space="0" w:color="auto"/>
                  </w:tcBorders>
                </w:tcPr>
                <w:p w14:paraId="2958980C" w14:textId="1D661E84" w:rsidR="00E81CD0" w:rsidRDefault="005D6F39" w:rsidP="002C153D">
                  <w:pPr>
                    <w:spacing w:after="120"/>
                    <w:jc w:val="right"/>
                  </w:pPr>
                  <w:r>
                    <w:noBreakHyphen/>
                  </w:r>
                  <w:r w:rsidR="00E81CD0">
                    <w:t>$1000</w:t>
                  </w:r>
                </w:p>
              </w:tc>
              <w:tc>
                <w:tcPr>
                  <w:tcW w:w="284" w:type="dxa"/>
                </w:tcPr>
                <w:p w14:paraId="4692D447" w14:textId="77777777" w:rsidR="00E81CD0" w:rsidRDefault="00E81CD0" w:rsidP="002C153D">
                  <w:pPr>
                    <w:spacing w:after="120"/>
                    <w:jc w:val="left"/>
                  </w:pPr>
                </w:p>
              </w:tc>
              <w:tc>
                <w:tcPr>
                  <w:tcW w:w="1134" w:type="dxa"/>
                  <w:tcBorders>
                    <w:top w:val="single" w:sz="4" w:space="0" w:color="auto"/>
                  </w:tcBorders>
                </w:tcPr>
                <w:p w14:paraId="46CDBD14" w14:textId="7A15A2F8" w:rsidR="00E81CD0" w:rsidRDefault="00E81CD0" w:rsidP="002C153D">
                  <w:pPr>
                    <w:spacing w:after="120"/>
                    <w:jc w:val="right"/>
                  </w:pPr>
                  <w:r>
                    <w:t>$1080</w:t>
                  </w:r>
                </w:p>
              </w:tc>
              <w:tc>
                <w:tcPr>
                  <w:tcW w:w="3544" w:type="dxa"/>
                </w:tcPr>
                <w:p w14:paraId="6706F17C" w14:textId="77777777" w:rsidR="00E81CD0" w:rsidRDefault="00E81CD0" w:rsidP="002C153D">
                  <w:pPr>
                    <w:spacing w:after="120"/>
                    <w:jc w:val="left"/>
                  </w:pPr>
                </w:p>
              </w:tc>
            </w:tr>
          </w:tbl>
          <w:p w14:paraId="004C2032" w14:textId="6B57530E" w:rsidR="008D775C" w:rsidRDefault="00AB00E4" w:rsidP="00E81CD0">
            <w:r>
              <w:t>With discounting at the investor</w:t>
            </w:r>
            <w:r w:rsidR="005D6F39">
              <w:t>’</w:t>
            </w:r>
            <w:r>
              <w:t>s 10</w:t>
            </w:r>
            <w:r w:rsidR="00E81CD0">
              <w:t xml:space="preserve"> per cent</w:t>
            </w:r>
            <w:r>
              <w:t xml:space="preserve"> discount rate, NPV is </w:t>
            </w:r>
            <w:r w:rsidR="005D6F39">
              <w:noBreakHyphen/>
            </w:r>
            <w:r>
              <w:t>$18.2 ($1080/1.1</w:t>
            </w:r>
            <w:r w:rsidR="005D6F39">
              <w:noBreakHyphen/>
            </w:r>
            <w:r>
              <w:t>1000), which might suggest the project, marginal before tax, is now unviable.</w:t>
            </w:r>
          </w:p>
          <w:p w14:paraId="12C5F40B" w14:textId="0064B3E3" w:rsidR="00AB00E4" w:rsidRDefault="00AB00E4" w:rsidP="00E81CD0">
            <w:r>
              <w:t>However, sound analysis requires the $420 PRRT savings in Year 2 to be discounted back to Year 1 at 5</w:t>
            </w:r>
            <w:r w:rsidR="00E81CD0">
              <w:t xml:space="preserve"> per cent</w:t>
            </w:r>
            <w:r>
              <w:t>, the rate commensurate with the risk of losing those PRRT savings, not the investor</w:t>
            </w:r>
            <w:r w:rsidR="005D6F39">
              <w:t>’</w:t>
            </w:r>
            <w:r>
              <w:t>s risk</w:t>
            </w:r>
            <w:r w:rsidR="005D6F39">
              <w:noBreakHyphen/>
            </w:r>
            <w:r>
              <w:t xml:space="preserve">weighted discount rate which reflects overall (unique plus market) risk of the project: </w:t>
            </w:r>
          </w:p>
          <w:tbl>
            <w:tblPr>
              <w:tblStyle w:val="TableGrid"/>
              <w:tblW w:w="0" w:type="auto"/>
              <w:tblLook w:val="04A0" w:firstRow="1" w:lastRow="0" w:firstColumn="1" w:lastColumn="0" w:noHBand="0" w:noVBand="1"/>
            </w:tblPr>
            <w:tblGrid>
              <w:gridCol w:w="3686"/>
              <w:gridCol w:w="850"/>
              <w:gridCol w:w="284"/>
              <w:gridCol w:w="850"/>
              <w:gridCol w:w="2694"/>
            </w:tblGrid>
            <w:tr w:rsidR="002C153D" w14:paraId="220DF504" w14:textId="77777777" w:rsidTr="002C153D">
              <w:tc>
                <w:tcPr>
                  <w:tcW w:w="3686" w:type="dxa"/>
                </w:tcPr>
                <w:p w14:paraId="2CB97B4F" w14:textId="77777777" w:rsidR="00E81CD0" w:rsidRDefault="00E81CD0" w:rsidP="002C153D">
                  <w:pPr>
                    <w:spacing w:after="120"/>
                    <w:jc w:val="left"/>
                  </w:pPr>
                </w:p>
              </w:tc>
              <w:tc>
                <w:tcPr>
                  <w:tcW w:w="850" w:type="dxa"/>
                </w:tcPr>
                <w:p w14:paraId="62BC624F" w14:textId="77777777" w:rsidR="00E81CD0" w:rsidRPr="00E81CD0" w:rsidRDefault="00E81CD0" w:rsidP="002C153D">
                  <w:pPr>
                    <w:spacing w:after="120"/>
                    <w:jc w:val="right"/>
                    <w:rPr>
                      <w:b/>
                    </w:rPr>
                  </w:pPr>
                  <w:r w:rsidRPr="00E81CD0">
                    <w:rPr>
                      <w:b/>
                    </w:rPr>
                    <w:t>Year 1</w:t>
                  </w:r>
                </w:p>
              </w:tc>
              <w:tc>
                <w:tcPr>
                  <w:tcW w:w="284" w:type="dxa"/>
                </w:tcPr>
                <w:p w14:paraId="70145E04" w14:textId="77777777" w:rsidR="00E81CD0" w:rsidRPr="00E81CD0" w:rsidRDefault="00E81CD0" w:rsidP="002C153D">
                  <w:pPr>
                    <w:spacing w:after="120"/>
                    <w:jc w:val="left"/>
                    <w:rPr>
                      <w:b/>
                    </w:rPr>
                  </w:pPr>
                </w:p>
              </w:tc>
              <w:tc>
                <w:tcPr>
                  <w:tcW w:w="850" w:type="dxa"/>
                </w:tcPr>
                <w:p w14:paraId="5867C02E" w14:textId="77777777" w:rsidR="00E81CD0" w:rsidRPr="00E81CD0" w:rsidRDefault="00E81CD0" w:rsidP="002C153D">
                  <w:pPr>
                    <w:spacing w:after="120"/>
                    <w:jc w:val="left"/>
                    <w:rPr>
                      <w:b/>
                    </w:rPr>
                  </w:pPr>
                  <w:r w:rsidRPr="00E81CD0">
                    <w:rPr>
                      <w:b/>
                    </w:rPr>
                    <w:t>Year 2</w:t>
                  </w:r>
                </w:p>
              </w:tc>
              <w:tc>
                <w:tcPr>
                  <w:tcW w:w="2694" w:type="dxa"/>
                </w:tcPr>
                <w:p w14:paraId="1F4480CD" w14:textId="77777777" w:rsidR="00E81CD0" w:rsidRPr="00E81CD0" w:rsidRDefault="00E81CD0" w:rsidP="002C153D">
                  <w:pPr>
                    <w:spacing w:after="120"/>
                    <w:jc w:val="left"/>
                    <w:rPr>
                      <w:b/>
                    </w:rPr>
                  </w:pPr>
                </w:p>
              </w:tc>
            </w:tr>
            <w:tr w:rsidR="002C153D" w14:paraId="34F255AB" w14:textId="77777777" w:rsidTr="002C153D">
              <w:tc>
                <w:tcPr>
                  <w:tcW w:w="3686" w:type="dxa"/>
                </w:tcPr>
                <w:p w14:paraId="0C7D6B4E" w14:textId="14F9BACF" w:rsidR="00E81CD0" w:rsidRDefault="00E81CD0" w:rsidP="002C153D">
                  <w:pPr>
                    <w:spacing w:after="120"/>
                    <w:jc w:val="left"/>
                  </w:pPr>
                  <w:r>
                    <w:t>Pre</w:t>
                  </w:r>
                  <w:r w:rsidR="005D6F39">
                    <w:noBreakHyphen/>
                  </w:r>
                  <w:r>
                    <w:t>tax cash flow</w:t>
                  </w:r>
                </w:p>
              </w:tc>
              <w:tc>
                <w:tcPr>
                  <w:tcW w:w="850" w:type="dxa"/>
                </w:tcPr>
                <w:p w14:paraId="428A4270" w14:textId="1328273F" w:rsidR="00E81CD0" w:rsidRDefault="005D6F39" w:rsidP="002C153D">
                  <w:pPr>
                    <w:spacing w:after="120"/>
                    <w:jc w:val="right"/>
                  </w:pPr>
                  <w:r>
                    <w:noBreakHyphen/>
                  </w:r>
                  <w:r w:rsidR="00E81CD0">
                    <w:t>$1000</w:t>
                  </w:r>
                </w:p>
              </w:tc>
              <w:tc>
                <w:tcPr>
                  <w:tcW w:w="284" w:type="dxa"/>
                </w:tcPr>
                <w:p w14:paraId="4D2397E1" w14:textId="77777777" w:rsidR="00E81CD0" w:rsidRDefault="00E81CD0" w:rsidP="002C153D">
                  <w:pPr>
                    <w:spacing w:after="120"/>
                    <w:jc w:val="left"/>
                  </w:pPr>
                </w:p>
              </w:tc>
              <w:tc>
                <w:tcPr>
                  <w:tcW w:w="850" w:type="dxa"/>
                </w:tcPr>
                <w:p w14:paraId="698680BB" w14:textId="77777777" w:rsidR="00E81CD0" w:rsidRDefault="00E81CD0" w:rsidP="002C153D">
                  <w:pPr>
                    <w:spacing w:after="120"/>
                    <w:jc w:val="left"/>
                  </w:pPr>
                  <w:r>
                    <w:t>$1100</w:t>
                  </w:r>
                </w:p>
              </w:tc>
              <w:tc>
                <w:tcPr>
                  <w:tcW w:w="2694" w:type="dxa"/>
                </w:tcPr>
                <w:p w14:paraId="680578A6" w14:textId="77777777" w:rsidR="00E81CD0" w:rsidRDefault="00E81CD0" w:rsidP="002C153D">
                  <w:pPr>
                    <w:spacing w:after="120"/>
                    <w:jc w:val="left"/>
                  </w:pPr>
                </w:p>
              </w:tc>
            </w:tr>
            <w:tr w:rsidR="002C153D" w14:paraId="7C43651D" w14:textId="77777777" w:rsidTr="002C153D">
              <w:tc>
                <w:tcPr>
                  <w:tcW w:w="3686" w:type="dxa"/>
                </w:tcPr>
                <w:p w14:paraId="4FCD4109" w14:textId="7D3F9B79" w:rsidR="00E81CD0" w:rsidRDefault="00E81CD0" w:rsidP="002C153D">
                  <w:pPr>
                    <w:spacing w:after="120"/>
                    <w:jc w:val="left"/>
                  </w:pPr>
                  <w:r>
                    <w:t>Discounted (</w:t>
                  </w:r>
                  <w:r w:rsidR="00281C41">
                    <w:t xml:space="preserve">at </w:t>
                  </w:r>
                  <w:r>
                    <w:t>5 per cent) Year 2 tax savings</w:t>
                  </w:r>
                </w:p>
              </w:tc>
              <w:tc>
                <w:tcPr>
                  <w:tcW w:w="850" w:type="dxa"/>
                </w:tcPr>
                <w:p w14:paraId="1044CDCA" w14:textId="3768145D" w:rsidR="00E81CD0" w:rsidRDefault="002C153D" w:rsidP="002C153D">
                  <w:pPr>
                    <w:spacing w:after="120"/>
                    <w:jc w:val="right"/>
                  </w:pPr>
                  <w:r>
                    <w:t>$4</w:t>
                  </w:r>
                  <w:r w:rsidR="00E81CD0">
                    <w:t>00</w:t>
                  </w:r>
                </w:p>
              </w:tc>
              <w:tc>
                <w:tcPr>
                  <w:tcW w:w="284" w:type="dxa"/>
                </w:tcPr>
                <w:p w14:paraId="3A9777DA" w14:textId="77777777" w:rsidR="00E81CD0" w:rsidRDefault="00E81CD0" w:rsidP="002C153D">
                  <w:pPr>
                    <w:spacing w:after="120"/>
                    <w:jc w:val="left"/>
                  </w:pPr>
                </w:p>
              </w:tc>
              <w:tc>
                <w:tcPr>
                  <w:tcW w:w="850" w:type="dxa"/>
                </w:tcPr>
                <w:p w14:paraId="5FDDCC3F" w14:textId="1C85300A" w:rsidR="00E81CD0" w:rsidRDefault="002C153D" w:rsidP="002C153D">
                  <w:pPr>
                    <w:spacing w:after="120"/>
                    <w:jc w:val="left"/>
                  </w:pPr>
                  <w:r>
                    <w:t>$0</w:t>
                  </w:r>
                </w:p>
              </w:tc>
              <w:tc>
                <w:tcPr>
                  <w:tcW w:w="2694" w:type="dxa"/>
                </w:tcPr>
                <w:p w14:paraId="5AF175DC" w14:textId="77777777" w:rsidR="00E81CD0" w:rsidRDefault="00E81CD0" w:rsidP="002C153D">
                  <w:pPr>
                    <w:spacing w:after="120"/>
                    <w:jc w:val="left"/>
                  </w:pPr>
                </w:p>
              </w:tc>
            </w:tr>
            <w:tr w:rsidR="002C153D" w14:paraId="36704A80" w14:textId="77777777" w:rsidTr="002C153D">
              <w:tc>
                <w:tcPr>
                  <w:tcW w:w="3686" w:type="dxa"/>
                </w:tcPr>
                <w:p w14:paraId="408B14D4" w14:textId="7AC75C90" w:rsidR="00E81CD0" w:rsidRDefault="00E81CD0" w:rsidP="002C153D">
                  <w:pPr>
                    <w:spacing w:after="120"/>
                    <w:jc w:val="left"/>
                  </w:pPr>
                  <w:r>
                    <w:t>Year 2 PRRT ex uplifted loss</w:t>
                  </w:r>
                </w:p>
              </w:tc>
              <w:tc>
                <w:tcPr>
                  <w:tcW w:w="850" w:type="dxa"/>
                  <w:tcBorders>
                    <w:bottom w:val="single" w:sz="4" w:space="0" w:color="auto"/>
                  </w:tcBorders>
                </w:tcPr>
                <w:p w14:paraId="32AAD645" w14:textId="2EE21139" w:rsidR="00E81CD0" w:rsidRDefault="00E81CD0" w:rsidP="002C153D">
                  <w:pPr>
                    <w:spacing w:after="120"/>
                    <w:jc w:val="right"/>
                  </w:pPr>
                </w:p>
              </w:tc>
              <w:tc>
                <w:tcPr>
                  <w:tcW w:w="284" w:type="dxa"/>
                </w:tcPr>
                <w:p w14:paraId="5EEAD2F5" w14:textId="77777777" w:rsidR="00E81CD0" w:rsidRDefault="00E81CD0" w:rsidP="002C153D">
                  <w:pPr>
                    <w:spacing w:after="120"/>
                    <w:jc w:val="left"/>
                  </w:pPr>
                </w:p>
              </w:tc>
              <w:tc>
                <w:tcPr>
                  <w:tcW w:w="850" w:type="dxa"/>
                  <w:tcBorders>
                    <w:bottom w:val="single" w:sz="4" w:space="0" w:color="auto"/>
                  </w:tcBorders>
                </w:tcPr>
                <w:p w14:paraId="71ABDC30" w14:textId="071C8E70" w:rsidR="00E81CD0" w:rsidRDefault="005D6F39" w:rsidP="002C153D">
                  <w:pPr>
                    <w:spacing w:after="120"/>
                    <w:jc w:val="left"/>
                  </w:pPr>
                  <w:r>
                    <w:noBreakHyphen/>
                  </w:r>
                  <w:r w:rsidR="002C153D">
                    <w:t>$440</w:t>
                  </w:r>
                </w:p>
              </w:tc>
              <w:tc>
                <w:tcPr>
                  <w:tcW w:w="2694" w:type="dxa"/>
                </w:tcPr>
                <w:p w14:paraId="692B1FCF" w14:textId="45B6E8B9" w:rsidR="00E81CD0" w:rsidRDefault="00E81CD0" w:rsidP="002C153D">
                  <w:pPr>
                    <w:spacing w:after="120"/>
                    <w:jc w:val="left"/>
                  </w:pPr>
                  <w:r>
                    <w:t>(</w:t>
                  </w:r>
                  <w:r w:rsidR="002C153D">
                    <w:t xml:space="preserve">$1100 </w:t>
                  </w:r>
                  <w:r>
                    <w:t>x 0.4</w:t>
                  </w:r>
                  <w:r w:rsidR="002C153D">
                    <w:t>)</w:t>
                  </w:r>
                </w:p>
              </w:tc>
            </w:tr>
            <w:tr w:rsidR="002C153D" w14:paraId="5F68AE7F" w14:textId="77777777" w:rsidTr="002C153D">
              <w:trPr>
                <w:trHeight w:val="319"/>
              </w:trPr>
              <w:tc>
                <w:tcPr>
                  <w:tcW w:w="3686" w:type="dxa"/>
                </w:tcPr>
                <w:p w14:paraId="0CE6E579" w14:textId="512DF950" w:rsidR="00E81CD0" w:rsidRDefault="00E81CD0" w:rsidP="002C153D">
                  <w:pPr>
                    <w:spacing w:after="120"/>
                    <w:jc w:val="left"/>
                  </w:pPr>
                  <w:r>
                    <w:t>Adjusted post PRRT cash flow</w:t>
                  </w:r>
                </w:p>
              </w:tc>
              <w:tc>
                <w:tcPr>
                  <w:tcW w:w="850" w:type="dxa"/>
                  <w:tcBorders>
                    <w:top w:val="single" w:sz="4" w:space="0" w:color="auto"/>
                    <w:bottom w:val="single" w:sz="4" w:space="0" w:color="auto"/>
                  </w:tcBorders>
                </w:tcPr>
                <w:p w14:paraId="10FE05B0" w14:textId="73C88C07" w:rsidR="00E81CD0" w:rsidRDefault="005D6F39" w:rsidP="002C153D">
                  <w:pPr>
                    <w:spacing w:after="120"/>
                    <w:jc w:val="right"/>
                  </w:pPr>
                  <w:r>
                    <w:noBreakHyphen/>
                  </w:r>
                  <w:r w:rsidR="002C153D">
                    <w:t>$600</w:t>
                  </w:r>
                </w:p>
              </w:tc>
              <w:tc>
                <w:tcPr>
                  <w:tcW w:w="284" w:type="dxa"/>
                </w:tcPr>
                <w:p w14:paraId="7C2CE349" w14:textId="77777777" w:rsidR="00E81CD0" w:rsidRDefault="00E81CD0" w:rsidP="002C153D">
                  <w:pPr>
                    <w:spacing w:after="120"/>
                    <w:jc w:val="left"/>
                  </w:pPr>
                </w:p>
              </w:tc>
              <w:tc>
                <w:tcPr>
                  <w:tcW w:w="850" w:type="dxa"/>
                  <w:tcBorders>
                    <w:top w:val="single" w:sz="4" w:space="0" w:color="auto"/>
                    <w:bottom w:val="single" w:sz="4" w:space="0" w:color="auto"/>
                  </w:tcBorders>
                </w:tcPr>
                <w:p w14:paraId="61186A1E" w14:textId="5B0B22AA" w:rsidR="00E81CD0" w:rsidRDefault="00E81CD0" w:rsidP="002C153D">
                  <w:pPr>
                    <w:spacing w:after="120"/>
                    <w:jc w:val="left"/>
                  </w:pPr>
                  <w:r>
                    <w:t>$</w:t>
                  </w:r>
                  <w:r w:rsidR="002C153D">
                    <w:t>660</w:t>
                  </w:r>
                </w:p>
              </w:tc>
              <w:tc>
                <w:tcPr>
                  <w:tcW w:w="2694" w:type="dxa"/>
                </w:tcPr>
                <w:p w14:paraId="00ABF1D2" w14:textId="77777777" w:rsidR="00E81CD0" w:rsidRDefault="00E81CD0" w:rsidP="002C153D">
                  <w:pPr>
                    <w:spacing w:after="120"/>
                    <w:jc w:val="left"/>
                  </w:pPr>
                </w:p>
              </w:tc>
            </w:tr>
          </w:tbl>
          <w:p w14:paraId="21AC90F6" w14:textId="7765073B" w:rsidR="00AB00E4" w:rsidRDefault="008D775C" w:rsidP="002C153D">
            <w:pPr>
              <w:spacing w:before="240"/>
            </w:pPr>
            <w:r>
              <w:t>Thus,</w:t>
            </w:r>
            <w:r w:rsidR="00AB00E4">
              <w:t xml:space="preserve"> </w:t>
            </w:r>
            <w:r>
              <w:t xml:space="preserve">after </w:t>
            </w:r>
            <w:r w:rsidR="00AB00E4">
              <w:t xml:space="preserve">discounting </w:t>
            </w:r>
            <w:r>
              <w:t>the project</w:t>
            </w:r>
            <w:r w:rsidR="005D6F39">
              <w:t>’</w:t>
            </w:r>
            <w:r>
              <w:t xml:space="preserve">s adjusted cash flows </w:t>
            </w:r>
            <w:r w:rsidR="00AB00E4">
              <w:t>at the investor</w:t>
            </w:r>
            <w:r w:rsidR="005D6F39">
              <w:t>’</w:t>
            </w:r>
            <w:r w:rsidR="00AB00E4">
              <w:t>s 10</w:t>
            </w:r>
            <w:r w:rsidR="000A33FC">
              <w:t xml:space="preserve"> per cent</w:t>
            </w:r>
            <w:r w:rsidR="00AB00E4">
              <w:t xml:space="preserve"> discount rate, the project remains on the investor</w:t>
            </w:r>
            <w:r w:rsidR="005D6F39">
              <w:t>’</w:t>
            </w:r>
            <w:r w:rsidR="00AB00E4">
              <w:t xml:space="preserve">s margin </w:t>
            </w:r>
            <w:r w:rsidR="00B5128F">
              <w:t>post</w:t>
            </w:r>
            <w:r w:rsidR="005D6F39">
              <w:noBreakHyphen/>
            </w:r>
            <w:r w:rsidR="00B5128F">
              <w:t xml:space="preserve">PRRT </w:t>
            </w:r>
            <w:r w:rsidR="00AB00E4">
              <w:t>with zero NPV ($660/1.1</w:t>
            </w:r>
            <w:r w:rsidR="005D6F39">
              <w:noBreakHyphen/>
            </w:r>
            <w:r w:rsidR="00AB00E4">
              <w:t xml:space="preserve">$600). </w:t>
            </w:r>
          </w:p>
        </w:tc>
      </w:tr>
    </w:tbl>
    <w:p w14:paraId="284040E7" w14:textId="079070B3" w:rsidR="00E14274" w:rsidRPr="00567788" w:rsidRDefault="00E14274" w:rsidP="00CD2AE5">
      <w:pPr>
        <w:pStyle w:val="Heading2"/>
        <w:rPr>
          <w:b w:val="0"/>
          <w:szCs w:val="32"/>
        </w:rPr>
      </w:pPr>
      <w:bookmarkStart w:id="5849" w:name="_Toc476747671"/>
      <w:bookmarkStart w:id="5850" w:name="_Toc476749081"/>
      <w:bookmarkStart w:id="5851" w:name="_Toc476753948"/>
      <w:bookmarkStart w:id="5852" w:name="_Toc476754443"/>
      <w:bookmarkStart w:id="5853" w:name="_Toc476754608"/>
      <w:bookmarkStart w:id="5854" w:name="_Toc476759847"/>
      <w:bookmarkStart w:id="5855" w:name="_Toc476761469"/>
      <w:bookmarkStart w:id="5856" w:name="_Toc476767107"/>
      <w:bookmarkStart w:id="5857" w:name="_Toc476827153"/>
      <w:bookmarkStart w:id="5858" w:name="_Toc476828846"/>
      <w:bookmarkStart w:id="5859" w:name="_Toc476833720"/>
      <w:bookmarkStart w:id="5860" w:name="_Toc476837193"/>
      <w:bookmarkStart w:id="5861" w:name="_Toc476841066"/>
      <w:bookmarkStart w:id="5862" w:name="_Toc476841271"/>
      <w:bookmarkStart w:id="5863" w:name="_Toc476842030"/>
      <w:bookmarkStart w:id="5864" w:name="_Toc476842974"/>
      <w:bookmarkStart w:id="5865" w:name="_Toc476843145"/>
      <w:bookmarkStart w:id="5866" w:name="_Toc476844643"/>
      <w:bookmarkStart w:id="5867" w:name="_Toc476845536"/>
      <w:bookmarkStart w:id="5868" w:name="_Toc476926928"/>
      <w:bookmarkStart w:id="5869" w:name="_Toc476927041"/>
      <w:bookmarkStart w:id="5870" w:name="_Toc476927215"/>
      <w:bookmarkStart w:id="5871" w:name="_Toc476928479"/>
      <w:bookmarkStart w:id="5872" w:name="_Toc476929522"/>
      <w:bookmarkStart w:id="5873" w:name="_Toc476929697"/>
      <w:bookmarkStart w:id="5874" w:name="_Toc476930740"/>
      <w:bookmarkStart w:id="5875" w:name="_Toc476931547"/>
      <w:bookmarkStart w:id="5876" w:name="_Toc477869896"/>
      <w:bookmarkStart w:id="5877" w:name="_Toc477871135"/>
      <w:bookmarkStart w:id="5878" w:name="_Toc477873294"/>
      <w:bookmarkStart w:id="5879" w:name="_Toc477875288"/>
      <w:bookmarkStart w:id="5880" w:name="_Toc477880201"/>
      <w:bookmarkStart w:id="5881" w:name="_Toc477881461"/>
      <w:bookmarkStart w:id="5882" w:name="_Toc477955865"/>
      <w:bookmarkStart w:id="5883" w:name="_Toc477963110"/>
      <w:bookmarkStart w:id="5884" w:name="_Toc477963596"/>
      <w:bookmarkStart w:id="5885" w:name="_Toc477965182"/>
      <w:bookmarkStart w:id="5886" w:name="_Toc477966686"/>
      <w:bookmarkStart w:id="5887" w:name="_Toc477966855"/>
      <w:bookmarkStart w:id="5888" w:name="_Toc477967195"/>
      <w:bookmarkStart w:id="5889" w:name="_Toc478121332"/>
      <w:bookmarkStart w:id="5890" w:name="_Toc478122245"/>
      <w:bookmarkStart w:id="5891" w:name="_Toc478132219"/>
      <w:bookmarkStart w:id="5892" w:name="_Toc478133245"/>
      <w:bookmarkStart w:id="5893" w:name="_Toc478132382"/>
      <w:bookmarkStart w:id="5894" w:name="_Toc478134711"/>
      <w:bookmarkStart w:id="5895" w:name="_Toc478137413"/>
      <w:bookmarkStart w:id="5896" w:name="_Toc478138485"/>
      <w:bookmarkStart w:id="5897" w:name="_Toc478140055"/>
      <w:bookmarkStart w:id="5898" w:name="_Toc478140471"/>
      <w:bookmarkStart w:id="5899" w:name="_Toc478142677"/>
      <w:bookmarkStart w:id="5900" w:name="_Toc478566393"/>
      <w:bookmarkStart w:id="5901" w:name="_Toc478569560"/>
      <w:bookmarkStart w:id="5902" w:name="_Toc478569734"/>
      <w:bookmarkStart w:id="5903" w:name="_Toc478570808"/>
      <w:bookmarkStart w:id="5904" w:name="_Toc478633007"/>
      <w:bookmarkStart w:id="5905" w:name="_Toc478641415"/>
      <w:bookmarkStart w:id="5906" w:name="_Toc478654309"/>
      <w:bookmarkStart w:id="5907" w:name="_Toc478654483"/>
      <w:bookmarkStart w:id="5908" w:name="_Toc478657778"/>
      <w:bookmarkStart w:id="5909" w:name="_Toc478993199"/>
      <w:bookmarkStart w:id="5910" w:name="_Toc479000270"/>
      <w:bookmarkStart w:id="5911" w:name="_Toc479002204"/>
      <w:bookmarkStart w:id="5912" w:name="_Toc479002376"/>
      <w:bookmarkStart w:id="5913" w:name="_Toc479254351"/>
      <w:bookmarkStart w:id="5914" w:name="_Toc479258540"/>
      <w:bookmarkStart w:id="5915" w:name="_Toc479258856"/>
      <w:bookmarkStart w:id="5916" w:name="_Toc479259748"/>
      <w:bookmarkStart w:id="5917" w:name="_Toc479262171"/>
      <w:bookmarkStart w:id="5918" w:name="_Toc479262592"/>
      <w:bookmarkStart w:id="5919" w:name="_Toc479321293"/>
      <w:bookmarkStart w:id="5920" w:name="_Toc479326732"/>
      <w:bookmarkStart w:id="5921" w:name="_Toc479333331"/>
      <w:bookmarkStart w:id="5922" w:name="_Toc479335028"/>
      <w:bookmarkStart w:id="5923" w:name="_Toc479341743"/>
      <w:bookmarkStart w:id="5924" w:name="_Toc479345159"/>
      <w:bookmarkStart w:id="5925" w:name="_Toc479345368"/>
      <w:bookmarkStart w:id="5926" w:name="_Toc479348349"/>
      <w:bookmarkStart w:id="5927" w:name="_Toc479675943"/>
      <w:bookmarkStart w:id="5928" w:name="_Toc479690910"/>
      <w:bookmarkStart w:id="5929" w:name="_Toc479693488"/>
      <w:bookmarkStart w:id="5930" w:name="_Toc479770657"/>
      <w:r w:rsidRPr="00CD2AE5">
        <w:t>4.3</w:t>
      </w:r>
      <w:r w:rsidR="00CD2AE5">
        <w:tab/>
      </w:r>
      <w:r w:rsidRPr="00CD2AE5">
        <w:t xml:space="preserve">Transferability of </w:t>
      </w:r>
      <w:r w:rsidR="003C1E3F">
        <w:t>E</w:t>
      </w:r>
      <w:r w:rsidRPr="00CD2AE5">
        <w:t xml:space="preserve">xploration </w:t>
      </w:r>
      <w:r w:rsidR="003C1E3F">
        <w:t>E</w:t>
      </w:r>
      <w:r w:rsidRPr="00CD2AE5">
        <w:t xml:space="preserve">xpenditure </w:t>
      </w:r>
      <w:r w:rsidR="003C1E3F">
        <w:t>D</w:t>
      </w:r>
      <w:r w:rsidRPr="00CD2AE5">
        <w:t>eductions</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p>
    <w:p w14:paraId="4406A879" w14:textId="19480C97" w:rsidR="00E14274" w:rsidRPr="00370506" w:rsidRDefault="00E14274" w:rsidP="00E14274">
      <w:r w:rsidRPr="00370506">
        <w:t xml:space="preserve">Views varied widely in submissions on the value of </w:t>
      </w:r>
      <w:r w:rsidR="004D567D">
        <w:t>the transferability</w:t>
      </w:r>
      <w:r w:rsidRPr="00370506">
        <w:t xml:space="preserve"> of exploration expenditure introduced in 1991 for expenditure from 1 July 1990</w:t>
      </w:r>
      <w:r w:rsidR="00976FEC">
        <w:t xml:space="preserve"> (</w:t>
      </w:r>
      <w:r w:rsidR="00976FEC" w:rsidRPr="00370506">
        <w:t>including greenfields exploration associated with an exploration permit)</w:t>
      </w:r>
      <w:r w:rsidRPr="00370506">
        <w:t>.</w:t>
      </w:r>
    </w:p>
    <w:p w14:paraId="4E79F988" w14:textId="088D41BC" w:rsidR="00E14274" w:rsidRDefault="00E14274" w:rsidP="00E14274">
      <w:r w:rsidRPr="00370506">
        <w:t>Some view</w:t>
      </w:r>
      <w:r w:rsidR="004D567D">
        <w:t xml:space="preserve"> the</w:t>
      </w:r>
      <w:r w:rsidRPr="00370506">
        <w:t xml:space="preserve"> wider deductibility </w:t>
      </w:r>
      <w:r w:rsidR="004D567D">
        <w:t xml:space="preserve">of exploration </w:t>
      </w:r>
      <w:r w:rsidR="00946BE8">
        <w:t>expenditure</w:t>
      </w:r>
      <w:r w:rsidR="004D567D">
        <w:t xml:space="preserve"> </w:t>
      </w:r>
      <w:r w:rsidRPr="00370506">
        <w:t>positively.</w:t>
      </w:r>
    </w:p>
    <w:p w14:paraId="3866AC80" w14:textId="718BBAE6" w:rsidR="00E14274" w:rsidRPr="00567788" w:rsidRDefault="00E14274" w:rsidP="00CD2AE5">
      <w:pPr>
        <w:ind w:left="567" w:right="565"/>
        <w:rPr>
          <w:color w:val="1F497D" w:themeColor="text2"/>
          <w:sz w:val="20"/>
        </w:rPr>
      </w:pPr>
      <w:r w:rsidRPr="00567788">
        <w:rPr>
          <w:color w:val="1F497D" w:themeColor="text2"/>
          <w:sz w:val="20"/>
        </w:rPr>
        <w:t>While difficult to quantify, the advice from APPEA member companies indicates wider deductibility considerations form an important element in company exploration decisions. Any change to the current provisions would need to be mindful of the impact on exploration in Australia, particularly at a time of hist</w:t>
      </w:r>
      <w:r w:rsidR="00A05B1B">
        <w:rPr>
          <w:color w:val="1F497D" w:themeColor="text2"/>
          <w:sz w:val="20"/>
        </w:rPr>
        <w:t>orically low levels of activity</w:t>
      </w:r>
      <w:r w:rsidRPr="00567788">
        <w:rPr>
          <w:color w:val="1F497D" w:themeColor="text2"/>
          <w:sz w:val="20"/>
        </w:rPr>
        <w:t xml:space="preserve"> </w:t>
      </w:r>
      <w:r w:rsidR="00A05B1B" w:rsidRPr="00CD2AE5">
        <w:rPr>
          <w:color w:val="1F497D" w:themeColor="text2"/>
          <w:sz w:val="20"/>
        </w:rPr>
        <w:t>(</w:t>
      </w:r>
      <w:r w:rsidRPr="007E3CCC">
        <w:rPr>
          <w:color w:val="1F497D" w:themeColor="text2"/>
          <w:sz w:val="20"/>
        </w:rPr>
        <w:t xml:space="preserve">APPEA </w:t>
      </w:r>
      <w:r w:rsidR="00CD2AE5" w:rsidRPr="007E3CCC">
        <w:rPr>
          <w:color w:val="1F497D" w:themeColor="text2"/>
          <w:sz w:val="20"/>
        </w:rPr>
        <w:t>S</w:t>
      </w:r>
      <w:r w:rsidRPr="007E3CCC">
        <w:rPr>
          <w:color w:val="1F497D" w:themeColor="text2"/>
          <w:sz w:val="20"/>
        </w:rPr>
        <w:t>ubmission, p. 67</w:t>
      </w:r>
      <w:r w:rsidR="00A05B1B" w:rsidRPr="00CD2AE5">
        <w:rPr>
          <w:color w:val="1F497D" w:themeColor="text2"/>
          <w:sz w:val="20"/>
        </w:rPr>
        <w:t>)</w:t>
      </w:r>
      <w:r w:rsidRPr="00567788">
        <w:rPr>
          <w:color w:val="1F497D" w:themeColor="text2"/>
          <w:sz w:val="20"/>
        </w:rPr>
        <w:t>.</w:t>
      </w:r>
    </w:p>
    <w:p w14:paraId="55F47906" w14:textId="48416B91" w:rsidR="00E14274" w:rsidRPr="00370506" w:rsidRDefault="00E14274" w:rsidP="00E14274">
      <w:r w:rsidRPr="00370506">
        <w:t xml:space="preserve">Others have an </w:t>
      </w:r>
      <w:r w:rsidR="003D366F">
        <w:t>opposing</w:t>
      </w:r>
      <w:r w:rsidRPr="00370506">
        <w:t xml:space="preserve"> view.</w:t>
      </w:r>
    </w:p>
    <w:p w14:paraId="1ED3C2CF" w14:textId="2155C6B4" w:rsidR="00E14274" w:rsidRPr="00567788" w:rsidRDefault="00E14274" w:rsidP="00CD2AE5">
      <w:pPr>
        <w:ind w:left="567" w:right="565"/>
        <w:rPr>
          <w:color w:val="1F497D" w:themeColor="text2"/>
          <w:sz w:val="20"/>
        </w:rPr>
      </w:pPr>
      <w:r w:rsidRPr="00567788">
        <w:rPr>
          <w:color w:val="1F497D" w:themeColor="text2"/>
          <w:sz w:val="20"/>
        </w:rPr>
        <w:t xml:space="preserve">The exploration uplifts are also transferable between projects. They can be earned on one project and used to delay PRRT payments on other projects. </w:t>
      </w:r>
      <w:r w:rsidRPr="00C25D21">
        <w:rPr>
          <w:color w:val="1F497D" w:themeColor="text2"/>
          <w:sz w:val="20"/>
          <w:u w:val="single"/>
        </w:rPr>
        <w:t>These PRRT credits are likely to prevent any significant new PRRT p</w:t>
      </w:r>
      <w:r w:rsidR="00C25D21" w:rsidRPr="00C25D21">
        <w:rPr>
          <w:color w:val="1F497D" w:themeColor="text2"/>
          <w:sz w:val="20"/>
          <w:u w:val="single"/>
        </w:rPr>
        <w:t>ayments for many years to come</w:t>
      </w:r>
      <w:r w:rsidR="00C25D21">
        <w:rPr>
          <w:color w:val="1F497D" w:themeColor="text2"/>
          <w:sz w:val="20"/>
        </w:rPr>
        <w:t xml:space="preserve"> </w:t>
      </w:r>
      <w:r w:rsidR="00C25D21" w:rsidRPr="00CD2AE5">
        <w:rPr>
          <w:color w:val="1F497D" w:themeColor="text2"/>
          <w:sz w:val="20"/>
        </w:rPr>
        <w:t>(</w:t>
      </w:r>
      <w:r w:rsidRPr="007E3CCC">
        <w:rPr>
          <w:color w:val="1F497D" w:themeColor="text2"/>
          <w:sz w:val="20"/>
        </w:rPr>
        <w:t>Tax Justice Network</w:t>
      </w:r>
      <w:r w:rsidR="00C25D21" w:rsidRPr="007E3CCC">
        <w:rPr>
          <w:color w:val="1F497D" w:themeColor="text2"/>
          <w:sz w:val="20"/>
        </w:rPr>
        <w:t xml:space="preserve"> Australia</w:t>
      </w:r>
      <w:r w:rsidRPr="007E3CCC">
        <w:rPr>
          <w:color w:val="1F497D" w:themeColor="text2"/>
          <w:sz w:val="20"/>
        </w:rPr>
        <w:t xml:space="preserve"> </w:t>
      </w:r>
      <w:r w:rsidR="00C25D21" w:rsidRPr="007E3CCC">
        <w:rPr>
          <w:color w:val="1F497D" w:themeColor="text2"/>
          <w:sz w:val="20"/>
        </w:rPr>
        <w:t>Submission, p. 3</w:t>
      </w:r>
      <w:r w:rsidR="00C25D21" w:rsidRPr="00CD2AE5">
        <w:rPr>
          <w:color w:val="1F497D" w:themeColor="text2"/>
          <w:sz w:val="20"/>
        </w:rPr>
        <w:t>)</w:t>
      </w:r>
      <w:r w:rsidRPr="00567788">
        <w:rPr>
          <w:color w:val="1F497D" w:themeColor="text2"/>
          <w:sz w:val="20"/>
        </w:rPr>
        <w:t>.</w:t>
      </w:r>
    </w:p>
    <w:p w14:paraId="3CE53AB1" w14:textId="72716E05" w:rsidR="00E14274" w:rsidRPr="00370506" w:rsidRDefault="004D567D" w:rsidP="00E14274">
      <w:r>
        <w:t xml:space="preserve">The view was also </w:t>
      </w:r>
      <w:r w:rsidR="00035ABE">
        <w:t>expressed</w:t>
      </w:r>
      <w:r>
        <w:t xml:space="preserve"> that</w:t>
      </w:r>
      <w:r w:rsidR="00E14274" w:rsidRPr="00370506">
        <w:t xml:space="preserve"> </w:t>
      </w:r>
      <w:r>
        <w:t>transferability</w:t>
      </w:r>
      <w:r w:rsidR="00E14274" w:rsidRPr="00370506">
        <w:t xml:space="preserve"> distorts investment decision</w:t>
      </w:r>
      <w:r>
        <w:t>s</w:t>
      </w:r>
      <w:r w:rsidR="00E14274" w:rsidRPr="00370506">
        <w:t xml:space="preserve"> and consequently all PRRT costs </w:t>
      </w:r>
      <w:r>
        <w:t xml:space="preserve">should </w:t>
      </w:r>
      <w:r w:rsidR="00E14274" w:rsidRPr="00370506">
        <w:t>be quarantined on a project basis.</w:t>
      </w:r>
    </w:p>
    <w:p w14:paraId="41097AAF" w14:textId="501FB949" w:rsidR="00E14274" w:rsidRPr="00567788" w:rsidRDefault="00E14274" w:rsidP="00CD2AE5">
      <w:pPr>
        <w:ind w:left="567" w:right="565"/>
        <w:rPr>
          <w:color w:val="1F497D" w:themeColor="text2"/>
          <w:sz w:val="20"/>
        </w:rPr>
      </w:pPr>
      <w:r w:rsidRPr="00567788">
        <w:rPr>
          <w:color w:val="1F497D" w:themeColor="text2"/>
          <w:sz w:val="20"/>
        </w:rPr>
        <w:t>The fact that exploration and other spending can be offset against other projects adds a serious distortion to the market. That means an entity with a profitable project that actually pays the PRRT has a greater incentive to explore new fields than a company without such a project/s. The taxable unit for the PRRT should be limited to the project in question and not tran</w:t>
      </w:r>
      <w:r w:rsidR="00C25D21">
        <w:rPr>
          <w:color w:val="1F497D" w:themeColor="text2"/>
          <w:sz w:val="20"/>
        </w:rPr>
        <w:t xml:space="preserve">sferable to unrelated projects </w:t>
      </w:r>
      <w:r w:rsidR="00C25D21" w:rsidRPr="00CD2AE5">
        <w:rPr>
          <w:color w:val="1F497D" w:themeColor="text2"/>
          <w:sz w:val="20"/>
        </w:rPr>
        <w:t>(</w:t>
      </w:r>
      <w:r w:rsidR="00946BE8">
        <w:rPr>
          <w:color w:val="1F497D" w:themeColor="text2"/>
          <w:sz w:val="20"/>
        </w:rPr>
        <w:t xml:space="preserve">The </w:t>
      </w:r>
      <w:r w:rsidRPr="007E3CCC">
        <w:rPr>
          <w:color w:val="1F497D" w:themeColor="text2"/>
          <w:sz w:val="20"/>
        </w:rPr>
        <w:t xml:space="preserve">Australia Institute </w:t>
      </w:r>
      <w:r w:rsidR="00C25D21" w:rsidRPr="007E3CCC">
        <w:rPr>
          <w:color w:val="1F497D" w:themeColor="text2"/>
          <w:sz w:val="20"/>
        </w:rPr>
        <w:t>Submission, p.</w:t>
      </w:r>
      <w:r w:rsidR="00946BE8">
        <w:rPr>
          <w:color w:val="1F497D" w:themeColor="text2"/>
          <w:sz w:val="20"/>
        </w:rPr>
        <w:t> </w:t>
      </w:r>
      <w:r w:rsidR="00C25D21" w:rsidRPr="007E3CCC">
        <w:rPr>
          <w:color w:val="1F497D" w:themeColor="text2"/>
          <w:sz w:val="20"/>
        </w:rPr>
        <w:t>5</w:t>
      </w:r>
      <w:r w:rsidR="00C25D21" w:rsidRPr="00CD2AE5">
        <w:rPr>
          <w:color w:val="1F497D" w:themeColor="text2"/>
          <w:sz w:val="20"/>
        </w:rPr>
        <w:t>)</w:t>
      </w:r>
      <w:r w:rsidRPr="00567788">
        <w:rPr>
          <w:color w:val="1F497D" w:themeColor="text2"/>
          <w:sz w:val="20"/>
        </w:rPr>
        <w:t>.</w:t>
      </w:r>
    </w:p>
    <w:p w14:paraId="70FAE4E9" w14:textId="7D91D73A" w:rsidR="00C25D21" w:rsidRDefault="00E14274" w:rsidP="00CD2AE5">
      <w:pPr>
        <w:ind w:left="567" w:right="565"/>
        <w:rPr>
          <w:color w:val="1F497D" w:themeColor="text2"/>
          <w:sz w:val="20"/>
        </w:rPr>
      </w:pPr>
      <w:r w:rsidRPr="00567788">
        <w:rPr>
          <w:color w:val="1F497D" w:themeColor="text2"/>
          <w:sz w:val="20"/>
        </w:rPr>
        <w:t xml:space="preserve">This mechanism erodes the resource rental tax base without providing additional incentives for exploration. It is almost exactly like </w:t>
      </w:r>
      <w:r w:rsidR="00C026C1">
        <w:rPr>
          <w:color w:val="1F497D" w:themeColor="text2"/>
          <w:sz w:val="20"/>
        </w:rPr>
        <w:t>‘</w:t>
      </w:r>
      <w:r w:rsidRPr="00567788">
        <w:rPr>
          <w:color w:val="1F497D" w:themeColor="text2"/>
          <w:sz w:val="20"/>
        </w:rPr>
        <w:t>negative gearing for oil and gas exploration.</w:t>
      </w:r>
      <w:r w:rsidR="00C026C1">
        <w:rPr>
          <w:color w:val="1F497D" w:themeColor="text2"/>
          <w:sz w:val="20"/>
        </w:rPr>
        <w:t>’</w:t>
      </w:r>
      <w:r w:rsidRPr="00567788">
        <w:rPr>
          <w:color w:val="1F497D" w:themeColor="text2"/>
          <w:sz w:val="20"/>
        </w:rPr>
        <w:t xml:space="preserve"> A major adverse effect is that companies who already have PRRT liable projects will have a higher return from exploration, crowding entry of any potential new competitors who cannot deduct explorations losses from other PRRT projects (which is especially valuable with an uplift), with no overall improv</w:t>
      </w:r>
      <w:r w:rsidR="00C25D21">
        <w:rPr>
          <w:color w:val="1F497D" w:themeColor="text2"/>
          <w:sz w:val="20"/>
        </w:rPr>
        <w:t xml:space="preserve">ement in exploration incentives </w:t>
      </w:r>
      <w:r w:rsidR="00C25D21" w:rsidRPr="00CD2AE5">
        <w:rPr>
          <w:color w:val="1F497D" w:themeColor="text2"/>
          <w:sz w:val="20"/>
        </w:rPr>
        <w:t>(</w:t>
      </w:r>
      <w:r w:rsidR="00C25D21" w:rsidRPr="007E3CCC">
        <w:rPr>
          <w:color w:val="1F497D" w:themeColor="text2"/>
          <w:sz w:val="20"/>
        </w:rPr>
        <w:t>Prosper Australia Submission, p. 11</w:t>
      </w:r>
      <w:r w:rsidR="00C25D21" w:rsidRPr="00CD2AE5">
        <w:rPr>
          <w:color w:val="1F497D" w:themeColor="text2"/>
          <w:sz w:val="20"/>
        </w:rPr>
        <w:t>)</w:t>
      </w:r>
      <w:r w:rsidR="00C25D21">
        <w:rPr>
          <w:color w:val="1F497D" w:themeColor="text2"/>
          <w:sz w:val="20"/>
        </w:rPr>
        <w:t>.</w:t>
      </w:r>
    </w:p>
    <w:p w14:paraId="38304D6B" w14:textId="31282344" w:rsidR="00E14274" w:rsidRPr="00567788" w:rsidRDefault="00E14274" w:rsidP="00CD2AE5">
      <w:pPr>
        <w:ind w:left="567" w:right="565"/>
        <w:rPr>
          <w:color w:val="1F497D" w:themeColor="text2"/>
          <w:sz w:val="20"/>
        </w:rPr>
      </w:pPr>
      <w:r w:rsidRPr="00567788">
        <w:rPr>
          <w:color w:val="1F497D" w:themeColor="text2"/>
          <w:sz w:val="20"/>
        </w:rPr>
        <w:t>If costs expended in unrelated exploration can be deducted against a profitable project, rather than quarantined against future profitable projects in the exploration area, it simply diminishes the resource rental</w:t>
      </w:r>
      <w:r w:rsidR="00C25D21">
        <w:rPr>
          <w:color w:val="1F497D" w:themeColor="text2"/>
          <w:sz w:val="20"/>
        </w:rPr>
        <w:t xml:space="preserve"> base </w:t>
      </w:r>
      <w:r w:rsidR="00C25D21" w:rsidRPr="00CD2AE5">
        <w:rPr>
          <w:color w:val="1F497D" w:themeColor="text2"/>
          <w:sz w:val="20"/>
        </w:rPr>
        <w:t>(</w:t>
      </w:r>
      <w:r w:rsidRPr="007E3CCC">
        <w:rPr>
          <w:color w:val="1F497D" w:themeColor="text2"/>
          <w:sz w:val="20"/>
        </w:rPr>
        <w:t>Pr</w:t>
      </w:r>
      <w:r w:rsidR="00C25D21" w:rsidRPr="007E3CCC">
        <w:rPr>
          <w:color w:val="1F497D" w:themeColor="text2"/>
          <w:sz w:val="20"/>
        </w:rPr>
        <w:t>osper Australia submission, p. 11)</w:t>
      </w:r>
      <w:r w:rsidRPr="007E3CCC">
        <w:rPr>
          <w:color w:val="1F497D" w:themeColor="text2"/>
          <w:sz w:val="20"/>
        </w:rPr>
        <w:t>.</w:t>
      </w:r>
    </w:p>
    <w:p w14:paraId="7E6DFF5E" w14:textId="7EBD207F" w:rsidR="00E14274" w:rsidRPr="00370506" w:rsidRDefault="00A00ED1" w:rsidP="00E14274">
      <w:r>
        <w:t xml:space="preserve">The </w:t>
      </w:r>
      <w:r w:rsidR="00E14274" w:rsidRPr="00370506">
        <w:t>design of any profit</w:t>
      </w:r>
      <w:r w:rsidR="005D6F39">
        <w:noBreakHyphen/>
      </w:r>
      <w:r w:rsidR="00E14274" w:rsidRPr="00370506">
        <w:t>related tax will affect decision</w:t>
      </w:r>
      <w:r w:rsidR="00946BE8">
        <w:t xml:space="preserve"> </w:t>
      </w:r>
      <w:r w:rsidR="00E14274" w:rsidRPr="00370506">
        <w:t xml:space="preserve">making </w:t>
      </w:r>
      <w:r>
        <w:t>to some extent</w:t>
      </w:r>
      <w:r w:rsidR="00E14274" w:rsidRPr="00370506">
        <w:t xml:space="preserve"> if it does not provide full loss offset and requires taxpayers to obtain the value of annual tax losses from one activity by offsetting those losses against taxable profits from other activities</w:t>
      </w:r>
      <w:r>
        <w:t xml:space="preserve"> through loss transfer</w:t>
      </w:r>
      <w:r w:rsidR="00E14274" w:rsidRPr="00370506">
        <w:t>. Under such design, those who do not have taxable profits from other activities have to carry stand</w:t>
      </w:r>
      <w:r w:rsidR="005D6F39">
        <w:noBreakHyphen/>
      </w:r>
      <w:r w:rsidR="00E14274" w:rsidRPr="00370506">
        <w:t>alone losses forward to offset against hoped</w:t>
      </w:r>
      <w:r w:rsidR="00946BE8">
        <w:t xml:space="preserve"> </w:t>
      </w:r>
      <w:r w:rsidR="00E14274" w:rsidRPr="00370506">
        <w:t>for future taxable profit from their taxable activity.</w:t>
      </w:r>
    </w:p>
    <w:p w14:paraId="5CEAA7AB" w14:textId="3864564A" w:rsidR="00E14274" w:rsidRPr="00370506" w:rsidRDefault="00E14274" w:rsidP="00E14274">
      <w:r w:rsidRPr="00370506">
        <w:t xml:space="preserve">As explained in </w:t>
      </w:r>
      <w:r w:rsidR="00946BE8" w:rsidRPr="006D28D4">
        <w:t>s</w:t>
      </w:r>
      <w:r w:rsidR="007E3CCC" w:rsidRPr="006D28D4">
        <w:t>ection</w:t>
      </w:r>
      <w:r w:rsidRPr="006D28D4">
        <w:t xml:space="preserve"> 3</w:t>
      </w:r>
      <w:r w:rsidRPr="00370506">
        <w:t xml:space="preserve"> and </w:t>
      </w:r>
      <w:r w:rsidR="00946BE8" w:rsidRPr="006D28D4">
        <w:t>s</w:t>
      </w:r>
      <w:r w:rsidRPr="006D28D4">
        <w:t>ection 4.2</w:t>
      </w:r>
      <w:r w:rsidRPr="00370506">
        <w:t>, the original design of the PRRT sought to minimise this potential tax distortion even though the PRRT then applied on the basis of ring</w:t>
      </w:r>
      <w:r w:rsidR="00946BE8">
        <w:t xml:space="preserve"> </w:t>
      </w:r>
      <w:r w:rsidRPr="00370506">
        <w:t>fenced projects</w:t>
      </w:r>
      <w:r w:rsidR="00F13E73">
        <w:t xml:space="preserve"> with no transferability</w:t>
      </w:r>
      <w:r w:rsidRPr="00370506">
        <w:t>. To minimise this effect, PRRT losses are not just carried forward at face value, they are carried forward with uplift to maintain the value of losses over time. The aim is for the writing</w:t>
      </w:r>
      <w:r w:rsidR="005D6F39">
        <w:noBreakHyphen/>
      </w:r>
      <w:r w:rsidRPr="00370506">
        <w:t>off of the losses against future PRRT profit to provide an outcome financially equivalent to one where the investors had been able to offset the losses fully up front.</w:t>
      </w:r>
    </w:p>
    <w:p w14:paraId="7836C835" w14:textId="15B4DC8E" w:rsidR="00E14274" w:rsidRPr="00370506" w:rsidRDefault="00E14274" w:rsidP="00E14274">
      <w:r w:rsidRPr="00370506">
        <w:t>Being a project</w:t>
      </w:r>
      <w:r w:rsidR="005D6F39">
        <w:noBreakHyphen/>
      </w:r>
      <w:r w:rsidRPr="00370506">
        <w:t xml:space="preserve">based system, however, there </w:t>
      </w:r>
      <w:r w:rsidR="00897652">
        <w:t xml:space="preserve">is </w:t>
      </w:r>
      <w:r w:rsidRPr="00370506">
        <w:t>no guarantee investors with PRRT losses from a project w</w:t>
      </w:r>
      <w:r w:rsidR="00897652">
        <w:t xml:space="preserve">ill </w:t>
      </w:r>
      <w:r w:rsidRPr="00370506">
        <w:t xml:space="preserve">always be able to </w:t>
      </w:r>
      <w:r w:rsidR="00897652">
        <w:t xml:space="preserve">fully </w:t>
      </w:r>
      <w:r w:rsidRPr="00370506">
        <w:t xml:space="preserve">offset losses against </w:t>
      </w:r>
      <w:r w:rsidR="00897652">
        <w:t xml:space="preserve">future </w:t>
      </w:r>
      <w:r w:rsidRPr="00370506">
        <w:t>PRRT profits from th</w:t>
      </w:r>
      <w:r w:rsidR="00897652">
        <w:t xml:space="preserve">e </w:t>
      </w:r>
      <w:r w:rsidRPr="00370506">
        <w:t>same project</w:t>
      </w:r>
      <w:r w:rsidR="005D6F39">
        <w:t xml:space="preserve"> — </w:t>
      </w:r>
      <w:r w:rsidRPr="00370506">
        <w:t xml:space="preserve">regardless of the level of the uplift rate applying to the losses. </w:t>
      </w:r>
      <w:r w:rsidRPr="006D28D4">
        <w:t>Section 4.2</w:t>
      </w:r>
      <w:r w:rsidRPr="00370506">
        <w:t xml:space="preserve"> explains that the </w:t>
      </w:r>
      <w:r w:rsidR="009E61EE">
        <w:t xml:space="preserve">loading on LTBR in the </w:t>
      </w:r>
      <w:r w:rsidRPr="00370506">
        <w:t>uplift rate was designed as a counterweight to the risk of losing deductions entirely.</w:t>
      </w:r>
    </w:p>
    <w:p w14:paraId="25340979" w14:textId="62D94EF6" w:rsidR="008854C5" w:rsidRPr="00370506" w:rsidRDefault="008854C5" w:rsidP="00E14274">
      <w:r>
        <w:t xml:space="preserve">After the </w:t>
      </w:r>
      <w:r w:rsidR="003742EE">
        <w:t>introduction of t</w:t>
      </w:r>
      <w:r w:rsidR="00763E75">
        <w:t>ransferability</w:t>
      </w:r>
      <w:r>
        <w:t>, investors without PRRT profits still attract a</w:t>
      </w:r>
      <w:r w:rsidR="00946BE8">
        <w:t>n</w:t>
      </w:r>
      <w:r>
        <w:t xml:space="preserve"> </w:t>
      </w:r>
      <w:r w:rsidR="00946BE8">
        <w:t>uplift</w:t>
      </w:r>
      <w:r>
        <w:t xml:space="preserve"> on LTBR for the risk of losing their</w:t>
      </w:r>
      <w:r w:rsidR="003742EE">
        <w:t xml:space="preserve"> exploration deductions</w:t>
      </w:r>
      <w:r>
        <w:t xml:space="preserve">. But those investors with PRRT profits can immediately offset their exploration deductions, including deductions from greenfields exploration, against these PRRT profits. The </w:t>
      </w:r>
      <w:r w:rsidR="000A5B1D">
        <w:t xml:space="preserve">overall </w:t>
      </w:r>
      <w:r>
        <w:t xml:space="preserve">risk of losing exploration deductions across the industry must therefore be </w:t>
      </w:r>
      <w:r w:rsidR="000A5B1D">
        <w:t xml:space="preserve">significantly </w:t>
      </w:r>
      <w:r>
        <w:t>reduced</w:t>
      </w:r>
      <w:r w:rsidR="005D6F39">
        <w:t xml:space="preserve">. </w:t>
      </w:r>
      <w:r>
        <w:t xml:space="preserve"> </w:t>
      </w:r>
    </w:p>
    <w:p w14:paraId="1C63F208" w14:textId="2E45193D" w:rsidR="00E14274" w:rsidRPr="00370506" w:rsidRDefault="003742EE" w:rsidP="00E14274">
      <w:r>
        <w:t xml:space="preserve">The </w:t>
      </w:r>
      <w:r w:rsidR="008854C5">
        <w:t>consequent</w:t>
      </w:r>
      <w:r w:rsidR="00E14274" w:rsidRPr="00370506">
        <w:t xml:space="preserve"> </w:t>
      </w:r>
      <w:r w:rsidR="00EE4FBB">
        <w:t>different</w:t>
      </w:r>
      <w:r w:rsidR="00E14274" w:rsidRPr="00370506">
        <w:t xml:space="preserve"> treatment of losses of different investors</w:t>
      </w:r>
      <w:r w:rsidR="00EE4FBB">
        <w:t xml:space="preserve"> should be viewed in the context of the prior variability in PRRT treatment of different investors</w:t>
      </w:r>
      <w:r w:rsidR="00E14274" w:rsidRPr="00370506">
        <w:t>. That variability already existed because of the vastly different risks of losing deductions across different projects matched up against a necessarily uniform uplift rate and design which cannot guarantee ultimate loss offset. Wider deductibility simply reduced the overall degree of risk of losing deduction</w:t>
      </w:r>
      <w:r w:rsidR="002037AA">
        <w:t>s</w:t>
      </w:r>
      <w:r w:rsidR="00E14274" w:rsidRPr="00370506">
        <w:t xml:space="preserve"> for exploration expenditure. Consequently, as discussed in </w:t>
      </w:r>
      <w:r w:rsidR="00CB4D9C" w:rsidRPr="006D28D4">
        <w:t>s</w:t>
      </w:r>
      <w:r w:rsidR="00E14274" w:rsidRPr="006D28D4">
        <w:t>ection 4.2</w:t>
      </w:r>
      <w:r w:rsidR="00E14274" w:rsidRPr="00370506">
        <w:t xml:space="preserve">, </w:t>
      </w:r>
      <w:r w:rsidR="00763E75">
        <w:t xml:space="preserve">the </w:t>
      </w:r>
      <w:r w:rsidR="00E14274" w:rsidRPr="00370506">
        <w:t xml:space="preserve">reduced overall risk of </w:t>
      </w:r>
      <w:r w:rsidR="00763E75">
        <w:t xml:space="preserve">losing </w:t>
      </w:r>
      <w:r w:rsidR="00E14274" w:rsidRPr="00370506">
        <w:t>deduction</w:t>
      </w:r>
      <w:r w:rsidR="00763E75">
        <w:t>s</w:t>
      </w:r>
      <w:r w:rsidR="00E14274" w:rsidRPr="00370506">
        <w:t xml:space="preserve"> </w:t>
      </w:r>
      <w:r>
        <w:t>suggests that</w:t>
      </w:r>
      <w:r w:rsidR="00E14274" w:rsidRPr="00370506">
        <w:t xml:space="preserve"> the uplift rate of LTBR plus 15</w:t>
      </w:r>
      <w:r w:rsidR="00CB4D9C">
        <w:t> </w:t>
      </w:r>
      <w:r w:rsidR="00E14274" w:rsidRPr="00370506">
        <w:t>percentage points</w:t>
      </w:r>
      <w:r>
        <w:t xml:space="preserve"> should be reduced</w:t>
      </w:r>
      <w:r w:rsidR="00E14274" w:rsidRPr="00370506">
        <w:t>.</w:t>
      </w:r>
    </w:p>
    <w:p w14:paraId="4397F3BD" w14:textId="7F4DEAB8" w:rsidR="00763E75" w:rsidRDefault="00E14274" w:rsidP="00E14274">
      <w:r w:rsidRPr="00370506">
        <w:t xml:space="preserve">It might seem that a reduction in the uplift rate as a consequence of widened deductibility disadvantages </w:t>
      </w:r>
      <w:r w:rsidR="003742EE">
        <w:t>investors</w:t>
      </w:r>
      <w:r w:rsidRPr="00370506">
        <w:t xml:space="preserve"> with </w:t>
      </w:r>
      <w:r w:rsidR="00CB4D9C">
        <w:t>stand</w:t>
      </w:r>
      <w:r w:rsidRPr="00370506">
        <w:t xml:space="preserve">alone projects. </w:t>
      </w:r>
      <w:r w:rsidR="00F13E73">
        <w:t>Attempting to address this by applying</w:t>
      </w:r>
      <w:r w:rsidR="003742EE">
        <w:t xml:space="preserve"> a different uplift rate for such projects would be impracticable because i</w:t>
      </w:r>
      <w:r w:rsidRPr="00370506">
        <w:t xml:space="preserve">t is impossible to know in advance which investors might or might not ultimately have interests in more than one project. </w:t>
      </w:r>
      <w:r w:rsidR="00763E75">
        <w:t>The industry is largely characterised</w:t>
      </w:r>
      <w:r w:rsidRPr="00370506">
        <w:t xml:space="preserve"> </w:t>
      </w:r>
      <w:r w:rsidR="00763E75">
        <w:t xml:space="preserve">by multiple partners, in joint ventures, typically with interests in more than one project. </w:t>
      </w:r>
      <w:r w:rsidR="000A5B1D">
        <w:t>In any case</w:t>
      </w:r>
      <w:r w:rsidR="00EE4FBB">
        <w:t xml:space="preserve">, once a </w:t>
      </w:r>
      <w:r w:rsidR="00CB4D9C">
        <w:t>stand</w:t>
      </w:r>
      <w:r w:rsidR="00EE4FBB">
        <w:t>alone project becomes profitable, prior uplifted greenfield</w:t>
      </w:r>
      <w:r w:rsidR="000A33FC">
        <w:t>s</w:t>
      </w:r>
      <w:r w:rsidR="00EE4FBB">
        <w:t xml:space="preserve"> exploration expenditure of the associated investors is deductible against the project</w:t>
      </w:r>
      <w:r w:rsidR="005D6F39">
        <w:t>’</w:t>
      </w:r>
      <w:r w:rsidR="00EE4FBB">
        <w:t>s PRRT profits.</w:t>
      </w:r>
    </w:p>
    <w:p w14:paraId="44630EFD" w14:textId="18035736" w:rsidR="00984A4A" w:rsidRDefault="002A1310" w:rsidP="00E14274">
      <w:r>
        <w:t>T</w:t>
      </w:r>
      <w:r w:rsidR="00E14274" w:rsidRPr="00370506">
        <w:t xml:space="preserve">ransferability of exploration expenditure offers the prospect of </w:t>
      </w:r>
      <w:r w:rsidR="004630E9">
        <w:t>helping to ensure that the Australian community receives an equitable return from the use of its petroleum resources while</w:t>
      </w:r>
      <w:r w:rsidR="00E14274" w:rsidRPr="00370506">
        <w:t xml:space="preserve"> not discouraging petroleum investment. </w:t>
      </w:r>
      <w:r w:rsidR="004630E9">
        <w:t>The introduction of</w:t>
      </w:r>
      <w:r w:rsidR="00E14274" w:rsidRPr="00370506">
        <w:t xml:space="preserve"> </w:t>
      </w:r>
      <w:r w:rsidR="00984A4A">
        <w:t>transferability</w:t>
      </w:r>
      <w:r w:rsidR="00E14274" w:rsidRPr="00370506">
        <w:t xml:space="preserve"> provides the basis for reduc</w:t>
      </w:r>
      <w:r w:rsidR="004630E9">
        <w:t>ing</w:t>
      </w:r>
      <w:r w:rsidR="00E14274" w:rsidRPr="00370506">
        <w:t xml:space="preserve"> the uplift rate for qualifying exploration </w:t>
      </w:r>
      <w:r w:rsidR="00E90B65" w:rsidRPr="00370506">
        <w:t xml:space="preserve">expenditure </w:t>
      </w:r>
      <w:r w:rsidR="00E90B65">
        <w:t>which</w:t>
      </w:r>
      <w:r w:rsidR="004630E9">
        <w:t xml:space="preserve"> would increase future PRRT income. </w:t>
      </w:r>
      <w:r w:rsidR="00AB2A99">
        <w:t>T</w:t>
      </w:r>
      <w:r w:rsidR="00E95060">
        <w:t>he mo</w:t>
      </w:r>
      <w:r w:rsidR="009E61EE">
        <w:t xml:space="preserve">delling in </w:t>
      </w:r>
      <w:r w:rsidR="00904C5D" w:rsidRPr="006D28D4">
        <w:t>s</w:t>
      </w:r>
      <w:r w:rsidR="009E61EE" w:rsidRPr="006D28D4">
        <w:t>ection 2.</w:t>
      </w:r>
      <w:r w:rsidR="009F4EDD" w:rsidRPr="006D28D4">
        <w:t>3.4</w:t>
      </w:r>
      <w:r w:rsidR="009E61EE">
        <w:t xml:space="preserve"> illustrates how </w:t>
      </w:r>
      <w:r w:rsidR="00E95060">
        <w:t xml:space="preserve">the impact of the compulsory </w:t>
      </w:r>
      <w:r w:rsidR="009E61EE">
        <w:t xml:space="preserve">transfer </w:t>
      </w:r>
      <w:r w:rsidR="00E95060">
        <w:t>of exploration deductions</w:t>
      </w:r>
      <w:r w:rsidR="009E61EE">
        <w:t xml:space="preserve"> avoid</w:t>
      </w:r>
      <w:r w:rsidR="00E95060">
        <w:t>s</w:t>
      </w:r>
      <w:r w:rsidR="009E61EE">
        <w:t xml:space="preserve"> the compounding of </w:t>
      </w:r>
      <w:r w:rsidR="00E95060">
        <w:t>these</w:t>
      </w:r>
      <w:r w:rsidR="009E61EE">
        <w:t xml:space="preserve"> deductions </w:t>
      </w:r>
      <w:r w:rsidR="00E95060">
        <w:t xml:space="preserve">in many of the recent major LNG projects </w:t>
      </w:r>
      <w:r w:rsidR="009E61EE">
        <w:t xml:space="preserve">that can delay PRRT </w:t>
      </w:r>
      <w:r w:rsidR="00F14C3A">
        <w:t>revenue</w:t>
      </w:r>
      <w:r w:rsidR="009E61EE">
        <w:t xml:space="preserve"> for lengthy periods</w:t>
      </w:r>
      <w:r w:rsidR="005D6F39">
        <w:t xml:space="preserve"> — </w:t>
      </w:r>
      <w:r w:rsidR="009E61EE">
        <w:t>perhaps indefinitely</w:t>
      </w:r>
      <w:r w:rsidR="00755941">
        <w:t xml:space="preserve">. </w:t>
      </w:r>
      <w:r w:rsidR="00E95060">
        <w:t>T</w:t>
      </w:r>
      <w:r w:rsidR="00984A4A">
        <w:t>ransferability</w:t>
      </w:r>
      <w:r w:rsidR="00E95060">
        <w:t xml:space="preserve"> also ensures that</w:t>
      </w:r>
      <w:r w:rsidR="00E14274" w:rsidRPr="00370506">
        <w:t xml:space="preserve"> some investors </w:t>
      </w:r>
      <w:r w:rsidR="00E95060">
        <w:t>will not</w:t>
      </w:r>
      <w:r w:rsidR="00E14274" w:rsidRPr="00370506">
        <w:t xml:space="preserve"> </w:t>
      </w:r>
      <w:r w:rsidR="00673D88" w:rsidRPr="00370506">
        <w:t>lo</w:t>
      </w:r>
      <w:r w:rsidR="00673D88">
        <w:t>s</w:t>
      </w:r>
      <w:r w:rsidR="00673D88" w:rsidRPr="00370506">
        <w:t>e</w:t>
      </w:r>
      <w:r w:rsidR="00E14274" w:rsidRPr="00370506">
        <w:t xml:space="preserve"> deductions for risky </w:t>
      </w:r>
      <w:r w:rsidR="00365F84">
        <w:t>exploration activities.</w:t>
      </w:r>
    </w:p>
    <w:p w14:paraId="3298C688" w14:textId="0D2ABB22" w:rsidR="002E18D7" w:rsidRDefault="003F1392" w:rsidP="00E14274">
      <w:bookmarkStart w:id="5931" w:name="_Toc476577361"/>
      <w:bookmarkStart w:id="5932" w:name="_Toc476582350"/>
      <w:bookmarkStart w:id="5933" w:name="_Toc476583024"/>
      <w:bookmarkStart w:id="5934" w:name="_Toc476583741"/>
      <w:bookmarkStart w:id="5935" w:name="_Toc476584189"/>
      <w:bookmarkStart w:id="5936" w:name="_Toc476738096"/>
      <w:bookmarkStart w:id="5937" w:name="_Toc476747675"/>
      <w:bookmarkStart w:id="5938" w:name="_Toc476749085"/>
      <w:bookmarkStart w:id="5939" w:name="_Toc476753952"/>
      <w:bookmarkStart w:id="5940" w:name="_Toc476754447"/>
      <w:bookmarkStart w:id="5941" w:name="_Toc476754612"/>
      <w:bookmarkStart w:id="5942" w:name="_Toc476759851"/>
      <w:bookmarkStart w:id="5943" w:name="_Toc476761473"/>
      <w:bookmarkStart w:id="5944" w:name="_Toc476767111"/>
      <w:bookmarkStart w:id="5945" w:name="_Toc476827157"/>
      <w:bookmarkStart w:id="5946" w:name="_Toc476828850"/>
      <w:bookmarkStart w:id="5947" w:name="_Toc476833724"/>
      <w:bookmarkStart w:id="5948" w:name="_Toc476837197"/>
      <w:bookmarkStart w:id="5949" w:name="_Toc476841070"/>
      <w:bookmarkStart w:id="5950" w:name="_Toc476841275"/>
      <w:bookmarkStart w:id="5951" w:name="_Toc476842034"/>
      <w:bookmarkStart w:id="5952" w:name="_Toc476842978"/>
      <w:bookmarkStart w:id="5953" w:name="_Toc476843149"/>
      <w:bookmarkStart w:id="5954" w:name="_Toc476844647"/>
      <w:bookmarkStart w:id="5955" w:name="_Toc476845540"/>
      <w:bookmarkStart w:id="5956" w:name="_Toc476926932"/>
      <w:bookmarkStart w:id="5957" w:name="_Toc476927045"/>
      <w:bookmarkStart w:id="5958" w:name="_Toc476927219"/>
      <w:bookmarkStart w:id="5959" w:name="_Toc476928483"/>
      <w:bookmarkStart w:id="5960" w:name="_Toc476929526"/>
      <w:bookmarkStart w:id="5961" w:name="_Toc476929701"/>
      <w:bookmarkStart w:id="5962" w:name="_Toc476930744"/>
      <w:bookmarkStart w:id="5963" w:name="_Toc476931551"/>
      <w:bookmarkStart w:id="5964" w:name="_Toc477869897"/>
      <w:bookmarkStart w:id="5965" w:name="_Toc477871136"/>
      <w:bookmarkStart w:id="5966" w:name="_Toc477873295"/>
      <w:bookmarkStart w:id="5967" w:name="_Toc477875289"/>
      <w:bookmarkStart w:id="5968" w:name="_Toc477880202"/>
      <w:bookmarkStart w:id="5969" w:name="_Toc477881462"/>
      <w:bookmarkStart w:id="5970" w:name="_Toc477955866"/>
      <w:bookmarkStart w:id="5971" w:name="_Toc477963111"/>
      <w:bookmarkStart w:id="5972" w:name="_Toc477963597"/>
      <w:bookmarkStart w:id="5973" w:name="_Toc477965183"/>
      <w:bookmarkStart w:id="5974" w:name="_Toc477966687"/>
      <w:bookmarkStart w:id="5975" w:name="_Toc477966856"/>
      <w:bookmarkStart w:id="5976" w:name="_Toc477967196"/>
      <w:bookmarkStart w:id="5977" w:name="_Toc478121333"/>
      <w:bookmarkStart w:id="5978" w:name="_Toc478122246"/>
      <w:bookmarkStart w:id="5979" w:name="_Toc478132220"/>
      <w:bookmarkStart w:id="5980" w:name="_Toc478133246"/>
      <w:bookmarkStart w:id="5981" w:name="_Toc478132383"/>
      <w:bookmarkStart w:id="5982" w:name="_Toc478134712"/>
      <w:bookmarkStart w:id="5983" w:name="_Toc478137414"/>
      <w:bookmarkStart w:id="5984" w:name="_Toc478138486"/>
      <w:bookmarkStart w:id="5985" w:name="_Toc478140056"/>
      <w:bookmarkStart w:id="5986" w:name="_Toc478140472"/>
      <w:bookmarkStart w:id="5987" w:name="_Toc478142678"/>
      <w:bookmarkStart w:id="5988" w:name="_Toc478566394"/>
      <w:bookmarkStart w:id="5989" w:name="_Toc478569561"/>
      <w:bookmarkStart w:id="5990" w:name="_Toc478569735"/>
      <w:bookmarkStart w:id="5991" w:name="_Toc478570809"/>
      <w:bookmarkStart w:id="5992" w:name="_Toc478633008"/>
      <w:bookmarkStart w:id="5993" w:name="_Toc478641416"/>
      <w:bookmarkStart w:id="5994" w:name="_Toc478654310"/>
      <w:bookmarkStart w:id="5995" w:name="_Toc478654484"/>
      <w:bookmarkStart w:id="5996" w:name="_Toc478657779"/>
      <w:bookmarkStart w:id="5997" w:name="_Toc478993200"/>
      <w:bookmarkStart w:id="5998" w:name="_Toc479000271"/>
      <w:bookmarkStart w:id="5999" w:name="_Toc479002205"/>
      <w:bookmarkStart w:id="6000" w:name="_Toc479002377"/>
      <w:r>
        <w:t>However, a project</w:t>
      </w:r>
      <w:r w:rsidR="005D6F39">
        <w:t>’</w:t>
      </w:r>
      <w:r>
        <w:t xml:space="preserve">s own exploration expenditure compulsorily transferred (to the project with the most recent production licence as explained in </w:t>
      </w:r>
      <w:r w:rsidRPr="006D28D4">
        <w:t>Appendix B.1.7</w:t>
      </w:r>
      <w:r>
        <w:t>) may see its uplift rate reduced from LTBR plus 15 percentage points to GDP deflator. This is because it is treated as exploration expenditure of the receiving project and the receiving project</w:t>
      </w:r>
      <w:r w:rsidR="005D6F39">
        <w:t>’</w:t>
      </w:r>
      <w:r w:rsidR="00B817F1">
        <w:t>s</w:t>
      </w:r>
      <w:r>
        <w:t xml:space="preserve"> production licence </w:t>
      </w:r>
      <w:r w:rsidR="00D605E2">
        <w:t xml:space="preserve">may be </w:t>
      </w:r>
      <w:r>
        <w:t>more than five years after the transferred exploration expenditure was incurred. As noted by ExxonMobil</w:t>
      </w:r>
      <w:r w:rsidR="00A22A9F">
        <w:t xml:space="preserve"> Australia</w:t>
      </w:r>
      <w:r>
        <w:t xml:space="preserve"> in their submission:</w:t>
      </w:r>
    </w:p>
    <w:p w14:paraId="1477EBF3" w14:textId="64F4DFEA" w:rsidR="00AF31B2" w:rsidRPr="005216D8" w:rsidRDefault="00AF31B2" w:rsidP="003122F3">
      <w:pPr>
        <w:ind w:left="720"/>
        <w:rPr>
          <w:color w:val="1F497D" w:themeColor="text2"/>
          <w:sz w:val="20"/>
        </w:rPr>
      </w:pPr>
      <w:r w:rsidRPr="003122F3">
        <w:rPr>
          <w:color w:val="1F497D" w:themeColor="text2"/>
          <w:sz w:val="20"/>
        </w:rPr>
        <w:t>Further, the way the ordering and transferability rules operate, the</w:t>
      </w:r>
      <w:r w:rsidRPr="005216D8">
        <w:rPr>
          <w:color w:val="1F497D" w:themeColor="text2"/>
          <w:sz w:val="20"/>
        </w:rPr>
        <w:t xml:space="preserve"> investor may find that exploration expenditure of an initial marginal project that is</w:t>
      </w:r>
      <w:r w:rsidR="00C026C1">
        <w:rPr>
          <w:color w:val="1F497D" w:themeColor="text2"/>
          <w:sz w:val="20"/>
        </w:rPr>
        <w:t xml:space="preserve"> being uplifted at LTBR plus 15 per cent</w:t>
      </w:r>
      <w:r w:rsidRPr="005216D8">
        <w:rPr>
          <w:color w:val="1F497D" w:themeColor="text2"/>
          <w:sz w:val="20"/>
        </w:rPr>
        <w:t xml:space="preserve"> is suddenly reduced to GDP deflator when it is compulsorily transferred to a second, more profitable, project. This effectively means that in many cases the investor does not receive the benefit of the headline LTBR </w:t>
      </w:r>
      <w:r w:rsidR="00C026C1">
        <w:rPr>
          <w:color w:val="1F497D" w:themeColor="text2"/>
          <w:sz w:val="20"/>
        </w:rPr>
        <w:t>plus 15 per cent</w:t>
      </w:r>
      <w:r w:rsidRPr="005216D8">
        <w:rPr>
          <w:color w:val="1F497D" w:themeColor="text2"/>
          <w:sz w:val="20"/>
        </w:rPr>
        <w:t xml:space="preserve"> uplift rate (ExxonMobil </w:t>
      </w:r>
      <w:r w:rsidR="00A22A9F">
        <w:rPr>
          <w:color w:val="1F497D" w:themeColor="text2"/>
          <w:sz w:val="20"/>
        </w:rPr>
        <w:t xml:space="preserve">Australia </w:t>
      </w:r>
      <w:r w:rsidRPr="005216D8">
        <w:rPr>
          <w:color w:val="1F497D" w:themeColor="text2"/>
          <w:sz w:val="20"/>
        </w:rPr>
        <w:t>submission, p. 5).</w:t>
      </w:r>
    </w:p>
    <w:p w14:paraId="67F0FBD3" w14:textId="6EA05E51" w:rsidR="003F1392" w:rsidRDefault="003F1392" w:rsidP="00E14274">
      <w:r>
        <w:t>In different circumstances, transferred exploration expenditure recently incurred could attract immediate offset against PRRT profit of the receiving project, and so would avoid the risk of losing the associated deductions completely.</w:t>
      </w:r>
      <w:r w:rsidR="00AF31B2">
        <w:t xml:space="preserve"> </w:t>
      </w:r>
      <w:r w:rsidR="003F5357">
        <w:t xml:space="preserve">Moreover, transferred exploration that was being uplifted at GDP deflator in its own project may have its uplift rate increased to LTBR plus 15 percentage points if the production licence of the receiving project </w:t>
      </w:r>
      <w:r w:rsidR="00D605E2">
        <w:t>came</w:t>
      </w:r>
      <w:r w:rsidR="003F5357">
        <w:t xml:space="preserve"> before, or not greater than</w:t>
      </w:r>
      <w:r w:rsidR="009F4EDD">
        <w:t>,</w:t>
      </w:r>
      <w:r w:rsidR="003F5357">
        <w:t xml:space="preserve"> five years after the exploration expenditure was incurred. </w:t>
      </w:r>
      <w:r w:rsidR="00AF31B2" w:rsidRPr="006D28D4">
        <w:t xml:space="preserve">Nevertheless, preferred design would allow transferability of exploration deductions without inconsistent </w:t>
      </w:r>
      <w:r w:rsidR="005216D8" w:rsidRPr="006D28D4">
        <w:t>application of uplift rates</w:t>
      </w:r>
      <w:r w:rsidR="00AF31B2" w:rsidRPr="006D28D4">
        <w:t>.</w:t>
      </w:r>
    </w:p>
    <w:p w14:paraId="4CF1FB33" w14:textId="5E287A12" w:rsidR="00AA7794" w:rsidRDefault="00F004AE" w:rsidP="00AB00E4">
      <w:pPr>
        <w:pStyle w:val="Heading2"/>
      </w:pPr>
      <w:bookmarkStart w:id="6001" w:name="_Toc479254352"/>
      <w:bookmarkStart w:id="6002" w:name="_Toc479258541"/>
      <w:bookmarkStart w:id="6003" w:name="_Toc479258857"/>
      <w:bookmarkStart w:id="6004" w:name="_Toc479259749"/>
      <w:bookmarkStart w:id="6005" w:name="_Toc479262172"/>
      <w:bookmarkStart w:id="6006" w:name="_Toc479262593"/>
      <w:bookmarkStart w:id="6007" w:name="_Toc479321294"/>
      <w:bookmarkStart w:id="6008" w:name="_Toc479326733"/>
      <w:bookmarkStart w:id="6009" w:name="_Toc479333332"/>
      <w:bookmarkStart w:id="6010" w:name="_Toc479335029"/>
      <w:bookmarkStart w:id="6011" w:name="_Toc479341744"/>
      <w:bookmarkStart w:id="6012" w:name="_Toc479345160"/>
      <w:bookmarkStart w:id="6013" w:name="_Toc479345369"/>
      <w:bookmarkStart w:id="6014" w:name="_Toc479348350"/>
      <w:bookmarkStart w:id="6015" w:name="_Toc479675944"/>
      <w:bookmarkStart w:id="6016" w:name="_Toc479690911"/>
      <w:bookmarkStart w:id="6017" w:name="_Toc479693489"/>
      <w:bookmarkStart w:id="6018" w:name="_Toc479770658"/>
      <w:r>
        <w:t>4.</w:t>
      </w:r>
      <w:r w:rsidR="00E14274">
        <w:t>4</w:t>
      </w:r>
      <w:r>
        <w:tab/>
        <w:t xml:space="preserve">Ordering </w:t>
      </w:r>
      <w:r w:rsidR="00823B29">
        <w:t>o</w:t>
      </w:r>
      <w:r>
        <w:t>f Deductions</w: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p>
    <w:p w14:paraId="4D585552" w14:textId="17C75006" w:rsidR="008D4178" w:rsidRDefault="00E14274" w:rsidP="00E14274">
      <w:bookmarkStart w:id="6019" w:name="_Toc476577362"/>
      <w:bookmarkStart w:id="6020" w:name="_Toc476582351"/>
      <w:bookmarkStart w:id="6021" w:name="_Toc476583025"/>
      <w:bookmarkStart w:id="6022" w:name="_Toc476583742"/>
      <w:bookmarkStart w:id="6023" w:name="_Toc476584190"/>
      <w:r w:rsidRPr="00370506">
        <w:t>In the original PRRT design</w:t>
      </w:r>
      <w:r w:rsidR="008D4178" w:rsidRPr="008D4178">
        <w:t xml:space="preserve"> deductible expenditure</w:t>
      </w:r>
      <w:r w:rsidR="008B1BB9">
        <w:t xml:space="preserve">s </w:t>
      </w:r>
      <w:r w:rsidR="008D4178" w:rsidRPr="008D4178">
        <w:t>with highe</w:t>
      </w:r>
      <w:r w:rsidR="008B1BB9">
        <w:t>r</w:t>
      </w:r>
      <w:r w:rsidR="008D4178" w:rsidRPr="008D4178">
        <w:t xml:space="preserve"> uplift were deducted before </w:t>
      </w:r>
      <w:r w:rsidR="008B1BB9">
        <w:t xml:space="preserve">those with </w:t>
      </w:r>
      <w:r w:rsidR="008D4178" w:rsidRPr="008D4178">
        <w:t>lower uplift, with closing down expenditure last as it potentially provided a credit to the PRRT taxpayer</w:t>
      </w:r>
      <w:r w:rsidR="008D4178">
        <w:t>.</w:t>
      </w:r>
    </w:p>
    <w:p w14:paraId="16518D4F" w14:textId="56308B90" w:rsidR="00713966" w:rsidRDefault="008D4178" w:rsidP="00713966">
      <w:r>
        <w:t>When wider transferability was introduced in 1991, the ordering rules were changed to first utilise deductible expenditure that is</w:t>
      </w:r>
      <w:r w:rsidR="005001BB">
        <w:t xml:space="preserve"> not</w:t>
      </w:r>
      <w:r>
        <w:t xml:space="preserve"> transferable. </w:t>
      </w:r>
      <w:r w:rsidR="00713966" w:rsidRPr="00370506">
        <w:t>The aim was to make sure that a project</w:t>
      </w:r>
      <w:r w:rsidR="005D6F39">
        <w:t>’</w:t>
      </w:r>
      <w:r w:rsidR="00713966" w:rsidRPr="00370506">
        <w:t xml:space="preserve">s deductions that are quarantined to the project </w:t>
      </w:r>
      <w:r w:rsidR="00904C5D">
        <w:t>(</w:t>
      </w:r>
      <w:r w:rsidR="00713966" w:rsidRPr="00370506">
        <w:t>project</w:t>
      </w:r>
      <w:r w:rsidR="005D6F39">
        <w:noBreakHyphen/>
      </w:r>
      <w:r w:rsidR="00904C5D">
        <w:t>specific</w:t>
      </w:r>
      <w:r w:rsidR="00713966" w:rsidRPr="00370506">
        <w:t xml:space="preserve"> or non</w:t>
      </w:r>
      <w:r w:rsidR="005D6F39">
        <w:noBreakHyphen/>
      </w:r>
      <w:r w:rsidR="00713966" w:rsidRPr="00370506">
        <w:t xml:space="preserve">transferable deductions) </w:t>
      </w:r>
      <w:r w:rsidR="009F4EDD">
        <w:t>were</w:t>
      </w:r>
      <w:r w:rsidR="00713966" w:rsidRPr="00370506">
        <w:t xml:space="preserve"> not displaced by deduction of the project</w:t>
      </w:r>
      <w:r w:rsidR="005D6F39">
        <w:t>’</w:t>
      </w:r>
      <w:r w:rsidR="00713966" w:rsidRPr="00370506">
        <w:t>s exploration expenditure that could potentially be transferred to other projects.</w:t>
      </w:r>
    </w:p>
    <w:p w14:paraId="10D0202E" w14:textId="4E386E8F" w:rsidR="00921FC3" w:rsidRDefault="00921FC3" w:rsidP="00921FC3">
      <w:r>
        <w:t>This was</w:t>
      </w:r>
      <w:r w:rsidR="005001BB">
        <w:t xml:space="preserve"> </w:t>
      </w:r>
      <w:r>
        <w:t xml:space="preserve">explained in the second reading speech for the </w:t>
      </w:r>
      <w:r w:rsidRPr="00904C5D">
        <w:rPr>
          <w:i/>
        </w:rPr>
        <w:t>Petroleum Resource Rent Legislation Amendment Act 1991</w:t>
      </w:r>
      <w:r>
        <w:t xml:space="preserve"> (where </w:t>
      </w:r>
      <w:r w:rsidR="005D6F39">
        <w:t>‘</w:t>
      </w:r>
      <w:r>
        <w:t>other project</w:t>
      </w:r>
      <w:r w:rsidR="005D6F39">
        <w:t>’</w:t>
      </w:r>
      <w:r>
        <w:t xml:space="preserve"> exploration expenditure refers to exploration expenditure transferred in): </w:t>
      </w:r>
    </w:p>
    <w:p w14:paraId="654E7492" w14:textId="359CB423" w:rsidR="00921FC3" w:rsidRPr="00921FC3" w:rsidRDefault="00C026C1" w:rsidP="002941C5">
      <w:pPr>
        <w:ind w:left="720"/>
        <w:rPr>
          <w:color w:val="002060"/>
          <w:sz w:val="20"/>
        </w:rPr>
      </w:pPr>
      <w:r>
        <w:rPr>
          <w:color w:val="002060"/>
          <w:sz w:val="20"/>
        </w:rPr>
        <w:t>‘</w:t>
      </w:r>
      <w:r w:rsidR="00921FC3" w:rsidRPr="002941C5">
        <w:rPr>
          <w:color w:val="002060"/>
          <w:sz w:val="20"/>
        </w:rPr>
        <w:t>To minimise the risk that project specific expenditure for unsuccessful or marginal projects would not be deducted, the amendments will provide fo</w:t>
      </w:r>
      <w:r w:rsidR="00921FC3" w:rsidRPr="00462894">
        <w:rPr>
          <w:color w:val="002060"/>
          <w:sz w:val="20"/>
        </w:rPr>
        <w:t>r an order of deductions that will ensure project specific expenditures are written off first. The order of deductions for RRT liable projects will be non</w:t>
      </w:r>
      <w:r w:rsidR="005D6F39">
        <w:rPr>
          <w:color w:val="002060"/>
          <w:sz w:val="20"/>
        </w:rPr>
        <w:noBreakHyphen/>
      </w:r>
      <w:r w:rsidR="00921FC3" w:rsidRPr="00462894">
        <w:rPr>
          <w:color w:val="002060"/>
          <w:sz w:val="20"/>
        </w:rPr>
        <w:t>transferable project expenditure, including general expenditure and pre</w:t>
      </w:r>
      <w:r w:rsidR="005D6F39">
        <w:rPr>
          <w:color w:val="002060"/>
          <w:sz w:val="20"/>
        </w:rPr>
        <w:noBreakHyphen/>
      </w:r>
      <w:r w:rsidR="00921FC3" w:rsidRPr="00462894">
        <w:rPr>
          <w:color w:val="002060"/>
          <w:sz w:val="20"/>
        </w:rPr>
        <w:t>1 July 1990 exploration expen</w:t>
      </w:r>
      <w:r w:rsidR="00921FC3" w:rsidRPr="00921FC3">
        <w:rPr>
          <w:color w:val="002060"/>
          <w:sz w:val="20"/>
        </w:rPr>
        <w:t>diture, project specific exploration expenditure, closing down expenditure and other project transferable exploration expenditure</w:t>
      </w:r>
      <w:r w:rsidR="00B34317">
        <w:rPr>
          <w:color w:val="002060"/>
          <w:sz w:val="20"/>
        </w:rPr>
        <w:t>.</w:t>
      </w:r>
      <w:r>
        <w:rPr>
          <w:color w:val="002060"/>
          <w:sz w:val="20"/>
        </w:rPr>
        <w:t>’</w:t>
      </w:r>
      <w:r w:rsidR="00921FC3" w:rsidRPr="00921FC3">
        <w:rPr>
          <w:color w:val="002060"/>
          <w:sz w:val="20"/>
        </w:rPr>
        <w:t xml:space="preserve"> The Hon Paul</w:t>
      </w:r>
      <w:r w:rsidR="004F0F71">
        <w:rPr>
          <w:color w:val="002060"/>
          <w:sz w:val="20"/>
        </w:rPr>
        <w:t> </w:t>
      </w:r>
      <w:r w:rsidR="00921FC3" w:rsidRPr="00921FC3">
        <w:rPr>
          <w:color w:val="002060"/>
          <w:sz w:val="20"/>
        </w:rPr>
        <w:t>Keating MP (Parlia</w:t>
      </w:r>
      <w:r w:rsidR="002756DE">
        <w:rPr>
          <w:color w:val="002060"/>
          <w:sz w:val="20"/>
        </w:rPr>
        <w:t>ment of Australia, 1991, p. 3437</w:t>
      </w:r>
      <w:r w:rsidR="00921FC3" w:rsidRPr="00921FC3">
        <w:rPr>
          <w:color w:val="002060"/>
          <w:sz w:val="20"/>
        </w:rPr>
        <w:t>).</w:t>
      </w:r>
    </w:p>
    <w:p w14:paraId="22FDD880" w14:textId="31902B9A" w:rsidR="00E14274" w:rsidRPr="00370506" w:rsidRDefault="00E14274" w:rsidP="00E14274">
      <w:r w:rsidRPr="00370506">
        <w:t xml:space="preserve">In </w:t>
      </w:r>
      <w:r w:rsidR="00713966">
        <w:t xml:space="preserve">the </w:t>
      </w:r>
      <w:r w:rsidRPr="00370506">
        <w:t>1991</w:t>
      </w:r>
      <w:r w:rsidR="00713966">
        <w:t xml:space="preserve"> amendments</w:t>
      </w:r>
      <w:r w:rsidRPr="00370506">
        <w:t>, the uplift rate for general expenditure was reduced from LTBR plus 15</w:t>
      </w:r>
      <w:r w:rsidR="004F0F71">
        <w:t> </w:t>
      </w:r>
      <w:r w:rsidRPr="00370506">
        <w:t>percentage points to L</w:t>
      </w:r>
      <w:r w:rsidR="000A33FC">
        <w:t>TB</w:t>
      </w:r>
      <w:r w:rsidRPr="00370506">
        <w:t xml:space="preserve">R plus 5 percentage points (for expenditure </w:t>
      </w:r>
      <w:r w:rsidR="00921FC3">
        <w:t>incurred after</w:t>
      </w:r>
      <w:r w:rsidR="00921FC3" w:rsidRPr="00370506">
        <w:t xml:space="preserve"> </w:t>
      </w:r>
      <w:r w:rsidRPr="00370506">
        <w:t>1</w:t>
      </w:r>
      <w:r w:rsidR="004F0F71">
        <w:t> </w:t>
      </w:r>
      <w:r w:rsidRPr="00370506">
        <w:t>July</w:t>
      </w:r>
      <w:r w:rsidR="004F0F71">
        <w:t> </w:t>
      </w:r>
      <w:r w:rsidRPr="00370506">
        <w:t>1990).</w:t>
      </w:r>
      <w:r w:rsidR="00921FC3">
        <w:t xml:space="preserve"> The</w:t>
      </w:r>
      <w:r w:rsidRPr="00370506">
        <w:t xml:space="preserve"> </w:t>
      </w:r>
      <w:r w:rsidR="004841E9">
        <w:t xml:space="preserve">uplift rate for </w:t>
      </w:r>
      <w:r w:rsidRPr="00370506">
        <w:t>exploration expenditure incurred after 1 July 1990</w:t>
      </w:r>
      <w:r w:rsidR="004841E9">
        <w:t xml:space="preserve"> was maintained at LTBR plus 15 percentage points.</w:t>
      </w:r>
      <w:r w:rsidRPr="00370506">
        <w:t xml:space="preserve"> </w:t>
      </w:r>
    </w:p>
    <w:p w14:paraId="7F675A7F" w14:textId="5C2B83D8" w:rsidR="00E14274" w:rsidRPr="00370506" w:rsidRDefault="00E14274" w:rsidP="00E14274">
      <w:r w:rsidRPr="00370506">
        <w:t xml:space="preserve">The </w:t>
      </w:r>
      <w:r w:rsidR="00713966">
        <w:t>accompanying</w:t>
      </w:r>
      <w:r w:rsidR="004841E9">
        <w:t xml:space="preserve"> changes to the ordering rules meant that deductible expenditures with higher uplift rates were no longer deducted first. Instead</w:t>
      </w:r>
      <w:r w:rsidRPr="00370506">
        <w:t xml:space="preserve"> a project</w:t>
      </w:r>
      <w:r w:rsidR="005D6F39">
        <w:t>’</w:t>
      </w:r>
      <w:r w:rsidRPr="00370506">
        <w:t xml:space="preserve">s general expenditure </w:t>
      </w:r>
      <w:r w:rsidR="004841E9">
        <w:t xml:space="preserve">is </w:t>
      </w:r>
      <w:r w:rsidRPr="00370506">
        <w:t>deducted before (transferable) exploration expenditure (although exploration expenditure uplifted at L</w:t>
      </w:r>
      <w:r w:rsidR="000A33FC">
        <w:t>TB</w:t>
      </w:r>
      <w:r w:rsidRPr="00370506">
        <w:t xml:space="preserve">R plus 15 percentage points </w:t>
      </w:r>
      <w:r w:rsidR="00482386">
        <w:t xml:space="preserve">is </w:t>
      </w:r>
      <w:r w:rsidRPr="00370506">
        <w:t>deducted before exploration expenditure uplifted at the GDP deflator). Th</w:t>
      </w:r>
      <w:r w:rsidR="00B97201">
        <w:t>e result is that, if exploration expenditure for a project is not transferred but is deducted against the receipts of that project,</w:t>
      </w:r>
      <w:r w:rsidRPr="00370506">
        <w:t xml:space="preserve"> </w:t>
      </w:r>
      <w:r w:rsidR="00B97201">
        <w:t xml:space="preserve">the </w:t>
      </w:r>
      <w:r w:rsidRPr="00370506">
        <w:t>exploration expenditure deductions</w:t>
      </w:r>
      <w:r w:rsidR="004F0F71">
        <w:t xml:space="preserve"> (</w:t>
      </w:r>
      <w:r w:rsidRPr="00370506">
        <w:t>uplifted at LTBR plus 15 percentage points</w:t>
      </w:r>
      <w:r w:rsidR="004F0F71">
        <w:t>)</w:t>
      </w:r>
      <w:r w:rsidRPr="00370506">
        <w:t xml:space="preserve"> c</w:t>
      </w:r>
      <w:r w:rsidR="00713966">
        <w:t>an</w:t>
      </w:r>
      <w:r w:rsidRPr="00370506">
        <w:t xml:space="preserve"> accumulate and grow rapidly well into the production phase before the project</w:t>
      </w:r>
      <w:r w:rsidR="005D6F39">
        <w:t>’</w:t>
      </w:r>
      <w:r w:rsidRPr="00370506">
        <w:t xml:space="preserve">s accumulated pool of uplifted general expenditure deductions </w:t>
      </w:r>
      <w:r w:rsidR="00713966">
        <w:t>is</w:t>
      </w:r>
      <w:r w:rsidRPr="00370506">
        <w:t xml:space="preserve"> exhausted. Exploration expenditure that is transferred into a project from elsewhere remain</w:t>
      </w:r>
      <w:r w:rsidR="00713966">
        <w:t>s</w:t>
      </w:r>
      <w:r w:rsidRPr="00370506">
        <w:t xml:space="preserve"> last in the order of deductions (absorbed by pre</w:t>
      </w:r>
      <w:r w:rsidR="005D6F39">
        <w:noBreakHyphen/>
      </w:r>
      <w:r w:rsidRPr="00370506">
        <w:t>transfer PRRT profit).</w:t>
      </w:r>
    </w:p>
    <w:p w14:paraId="0F02C94A" w14:textId="0290F1E5" w:rsidR="00E14274" w:rsidRPr="00370506" w:rsidRDefault="00E14274" w:rsidP="00CD2AE5">
      <w:pPr>
        <w:pStyle w:val="Heading3"/>
        <w:rPr>
          <w:b w:val="0"/>
        </w:rPr>
      </w:pPr>
      <w:bookmarkStart w:id="6024" w:name="_Toc476747677"/>
      <w:bookmarkStart w:id="6025" w:name="_Toc476749087"/>
      <w:bookmarkStart w:id="6026" w:name="_Toc476753954"/>
      <w:bookmarkStart w:id="6027" w:name="_Toc476754449"/>
      <w:bookmarkStart w:id="6028" w:name="_Toc476754614"/>
      <w:bookmarkStart w:id="6029" w:name="_Toc476759853"/>
      <w:bookmarkStart w:id="6030" w:name="_Toc476761475"/>
      <w:bookmarkStart w:id="6031" w:name="_Toc476767113"/>
      <w:bookmarkStart w:id="6032" w:name="_Toc476827159"/>
      <w:bookmarkStart w:id="6033" w:name="_Toc476828852"/>
      <w:bookmarkStart w:id="6034" w:name="_Toc476833726"/>
      <w:bookmarkStart w:id="6035" w:name="_Toc476837199"/>
      <w:bookmarkStart w:id="6036" w:name="_Toc476841072"/>
      <w:bookmarkStart w:id="6037" w:name="_Toc476841277"/>
      <w:bookmarkStart w:id="6038" w:name="_Toc476842036"/>
      <w:bookmarkStart w:id="6039" w:name="_Toc476842980"/>
      <w:bookmarkStart w:id="6040" w:name="_Toc476843151"/>
      <w:bookmarkStart w:id="6041" w:name="_Toc476844649"/>
      <w:bookmarkStart w:id="6042" w:name="_Toc476845542"/>
      <w:bookmarkStart w:id="6043" w:name="_Toc476926934"/>
      <w:bookmarkStart w:id="6044" w:name="_Toc476927047"/>
      <w:bookmarkStart w:id="6045" w:name="_Toc476927221"/>
      <w:bookmarkStart w:id="6046" w:name="_Toc476928485"/>
      <w:bookmarkStart w:id="6047" w:name="_Toc476929528"/>
      <w:bookmarkStart w:id="6048" w:name="_Toc476929703"/>
      <w:bookmarkStart w:id="6049" w:name="_Toc476930746"/>
      <w:bookmarkStart w:id="6050" w:name="_Toc476931553"/>
      <w:bookmarkStart w:id="6051" w:name="_Toc477869898"/>
      <w:bookmarkStart w:id="6052" w:name="_Toc477871137"/>
      <w:bookmarkStart w:id="6053" w:name="_Toc477873296"/>
      <w:bookmarkStart w:id="6054" w:name="_Toc477875290"/>
      <w:bookmarkStart w:id="6055" w:name="_Toc477880203"/>
      <w:bookmarkStart w:id="6056" w:name="_Toc477881463"/>
      <w:bookmarkStart w:id="6057" w:name="_Toc477955867"/>
      <w:bookmarkStart w:id="6058" w:name="_Toc477963112"/>
      <w:bookmarkStart w:id="6059" w:name="_Toc477963598"/>
      <w:bookmarkStart w:id="6060" w:name="_Toc477965184"/>
      <w:bookmarkStart w:id="6061" w:name="_Toc477966688"/>
      <w:bookmarkStart w:id="6062" w:name="_Toc477966857"/>
      <w:bookmarkStart w:id="6063" w:name="_Toc477967197"/>
      <w:bookmarkStart w:id="6064" w:name="_Toc478121334"/>
      <w:bookmarkStart w:id="6065" w:name="_Toc478122247"/>
      <w:bookmarkStart w:id="6066" w:name="_Toc478132221"/>
      <w:bookmarkStart w:id="6067" w:name="_Toc478133247"/>
      <w:bookmarkStart w:id="6068" w:name="_Toc478132384"/>
      <w:bookmarkStart w:id="6069" w:name="_Toc478134713"/>
      <w:bookmarkStart w:id="6070" w:name="_Toc478137415"/>
      <w:bookmarkStart w:id="6071" w:name="_Toc478138487"/>
      <w:bookmarkStart w:id="6072" w:name="_Toc478140057"/>
      <w:bookmarkStart w:id="6073" w:name="_Toc478140473"/>
      <w:bookmarkStart w:id="6074" w:name="_Toc478142679"/>
      <w:bookmarkStart w:id="6075" w:name="_Toc478566395"/>
      <w:bookmarkStart w:id="6076" w:name="_Toc478569562"/>
      <w:bookmarkStart w:id="6077" w:name="_Toc478569736"/>
      <w:bookmarkStart w:id="6078" w:name="_Toc478570810"/>
      <w:bookmarkStart w:id="6079" w:name="_Toc478633009"/>
      <w:bookmarkStart w:id="6080" w:name="_Toc478641417"/>
      <w:bookmarkStart w:id="6081" w:name="_Toc478654311"/>
      <w:bookmarkStart w:id="6082" w:name="_Toc478654485"/>
      <w:bookmarkStart w:id="6083" w:name="_Toc478657780"/>
      <w:bookmarkStart w:id="6084" w:name="_Toc478993201"/>
      <w:bookmarkStart w:id="6085" w:name="_Toc479000272"/>
      <w:bookmarkStart w:id="6086" w:name="_Toc479002206"/>
      <w:bookmarkStart w:id="6087" w:name="_Toc479002378"/>
      <w:bookmarkStart w:id="6088" w:name="_Toc479254353"/>
      <w:bookmarkStart w:id="6089" w:name="_Toc479258542"/>
      <w:bookmarkStart w:id="6090" w:name="_Toc479258858"/>
      <w:bookmarkStart w:id="6091" w:name="_Toc479259750"/>
      <w:bookmarkStart w:id="6092" w:name="_Toc479262173"/>
      <w:bookmarkStart w:id="6093" w:name="_Toc479262594"/>
      <w:bookmarkStart w:id="6094" w:name="_Toc479321295"/>
      <w:bookmarkStart w:id="6095" w:name="_Toc479326734"/>
      <w:bookmarkStart w:id="6096" w:name="_Toc479333333"/>
      <w:bookmarkStart w:id="6097" w:name="_Toc479335030"/>
      <w:bookmarkStart w:id="6098" w:name="_Toc479341745"/>
      <w:bookmarkStart w:id="6099" w:name="_Toc479345161"/>
      <w:bookmarkStart w:id="6100" w:name="_Toc479345370"/>
      <w:bookmarkStart w:id="6101" w:name="_Toc479348351"/>
      <w:bookmarkStart w:id="6102" w:name="_Toc479675945"/>
      <w:bookmarkStart w:id="6103" w:name="_Toc479690912"/>
      <w:bookmarkStart w:id="6104" w:name="_Toc479693490"/>
      <w:bookmarkStart w:id="6105" w:name="_Toc479770659"/>
      <w:r>
        <w:t>4.4.</w:t>
      </w:r>
      <w:r w:rsidR="00AB0CBB">
        <w:t>1</w:t>
      </w:r>
      <w:r w:rsidR="00F9635B">
        <w:tab/>
      </w:r>
      <w:r w:rsidR="009B3F13">
        <w:t>Further</w:t>
      </w:r>
      <w:r w:rsidRPr="00370506">
        <w:t xml:space="preserve"> </w:t>
      </w:r>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r w:rsidR="00723BBB">
        <w:t>c</w:t>
      </w:r>
      <w:r w:rsidR="00F9635B" w:rsidRPr="00370506">
        <w:t>hanges</w:t>
      </w:r>
      <w:r w:rsidR="009B3F13">
        <w:t xml:space="preserve"> to the </w:t>
      </w:r>
      <w:r w:rsidR="00723BBB">
        <w:t>ordering</w:t>
      </w:r>
      <w:r w:rsidR="009B3F13">
        <w:t xml:space="preserve"> of </w:t>
      </w:r>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r w:rsidR="00723BBB">
        <w:t>d</w:t>
      </w:r>
      <w:r w:rsidR="009B3F13">
        <w:t>eductions</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p>
    <w:p w14:paraId="78F0CBC2" w14:textId="3A776420" w:rsidR="00E14274" w:rsidRPr="00370506" w:rsidRDefault="00E14274" w:rsidP="00E14274">
      <w:r w:rsidRPr="00370506">
        <w:t xml:space="preserve">In 2012, the ordering of deductions was again amended when PRRT was extended onshore and to the </w:t>
      </w:r>
      <w:r w:rsidR="004F0F71">
        <w:t>NWS</w:t>
      </w:r>
      <w:r w:rsidRPr="00370506">
        <w:t>. The projects transitioned into the PRRT were already subject to state or Commonwealth royalties and excises and attracted starting bases in recognition of the imposition of PRRT (</w:t>
      </w:r>
      <w:r w:rsidRPr="006D28D4">
        <w:t xml:space="preserve">see </w:t>
      </w:r>
      <w:r w:rsidR="00723BBB" w:rsidRPr="006D28D4">
        <w:t>s</w:t>
      </w:r>
      <w:r w:rsidRPr="006D28D4">
        <w:t xml:space="preserve">ection </w:t>
      </w:r>
      <w:r w:rsidR="00B34317" w:rsidRPr="006D28D4">
        <w:t>4.7.1</w:t>
      </w:r>
      <w:r w:rsidRPr="00370506">
        <w:t xml:space="preserve">). </w:t>
      </w:r>
      <w:r w:rsidR="00E90B65">
        <w:t>The issue raised</w:t>
      </w:r>
      <w:r w:rsidR="009B3F13">
        <w:t xml:space="preserve"> was the</w:t>
      </w:r>
      <w:r w:rsidRPr="00370506">
        <w:t xml:space="preserve"> ordering of deductions for royalties/excises (which are creditable for PRRT purposes), starting base deductions and acquired exploration expenditure (associated with one method of starting base determination)</w:t>
      </w:r>
      <w:r w:rsidR="00ED393E">
        <w:t xml:space="preserve">. These </w:t>
      </w:r>
      <w:r w:rsidRPr="00370506">
        <w:t xml:space="preserve">deductions generally attract </w:t>
      </w:r>
      <w:r w:rsidR="00ED393E">
        <w:t xml:space="preserve">an </w:t>
      </w:r>
      <w:r w:rsidRPr="00370506">
        <w:t xml:space="preserve">uplift </w:t>
      </w:r>
      <w:r w:rsidR="00ED393E">
        <w:t xml:space="preserve">of </w:t>
      </w:r>
      <w:r w:rsidRPr="00370506">
        <w:t>LTBR plus 5 percentage points.</w:t>
      </w:r>
    </w:p>
    <w:p w14:paraId="48C5D44D" w14:textId="21B27A86" w:rsidR="00E14274" w:rsidRPr="00370506" w:rsidRDefault="00E14274" w:rsidP="00E14274">
      <w:r w:rsidRPr="00370506">
        <w:t>Expenditure in these new categories is deducted after the project</w:t>
      </w:r>
      <w:r w:rsidR="005D6F39">
        <w:t>’</w:t>
      </w:r>
      <w:r w:rsidRPr="00370506">
        <w:t>s own (transferable) exploration expenditure. This ordering would seem to contradict the 1991 policy aim of having a project</w:t>
      </w:r>
      <w:r w:rsidR="005D6F39">
        <w:t>’</w:t>
      </w:r>
      <w:r w:rsidRPr="00370506">
        <w:t>s quarantined deductions applied ahead of its (transferable) exploration deductions</w:t>
      </w:r>
      <w:r w:rsidR="00755941">
        <w:t xml:space="preserve">. </w:t>
      </w:r>
    </w:p>
    <w:p w14:paraId="686E6D5B" w14:textId="6EF90159" w:rsidR="00E14274" w:rsidRPr="00370506" w:rsidRDefault="00E14274" w:rsidP="00E14274">
      <w:r w:rsidRPr="00370506">
        <w:t>As a result, the ordering of PRRT deductions is complex with no consistent rationale. In broad terms and ignoring pre</w:t>
      </w:r>
      <w:r w:rsidR="005D6F39">
        <w:noBreakHyphen/>
      </w:r>
      <w:r w:rsidRPr="00370506">
        <w:t>1990 and closing</w:t>
      </w:r>
      <w:r w:rsidR="004F0F71">
        <w:t xml:space="preserve"> </w:t>
      </w:r>
      <w:r w:rsidRPr="00370506">
        <w:t>down expenditures, the current ordering is:</w:t>
      </w:r>
    </w:p>
    <w:p w14:paraId="6F661EA9" w14:textId="2D9A4318" w:rsidR="00E14274" w:rsidRPr="00370506" w:rsidRDefault="00E14274" w:rsidP="003D366F">
      <w:pPr>
        <w:pStyle w:val="Bullet"/>
      </w:pPr>
      <w:r w:rsidRPr="00370506">
        <w:t>general expenditure (LTBR plus 5</w:t>
      </w:r>
      <w:r w:rsidR="004F0F71">
        <w:t xml:space="preserve"> per cent</w:t>
      </w:r>
      <w:r w:rsidRPr="00370506">
        <w:t xml:space="preserve"> uplift); </w:t>
      </w:r>
    </w:p>
    <w:p w14:paraId="3BB33B19" w14:textId="15718497" w:rsidR="00E14274" w:rsidRPr="00370506" w:rsidRDefault="00E14274" w:rsidP="003D366F">
      <w:pPr>
        <w:pStyle w:val="Bullet"/>
      </w:pPr>
      <w:r w:rsidRPr="00370506">
        <w:t>project</w:t>
      </w:r>
      <w:r w:rsidR="005D6F39">
        <w:t>’</w:t>
      </w:r>
      <w:r w:rsidRPr="00370506">
        <w:t xml:space="preserve">s own (transferable) qualifying exploration expenditure </w:t>
      </w:r>
      <w:r w:rsidR="00B34317">
        <w:t xml:space="preserve">incurred </w:t>
      </w:r>
      <w:r w:rsidR="00B34317" w:rsidRPr="00370506">
        <w:t xml:space="preserve">within </w:t>
      </w:r>
      <w:r w:rsidR="00B34317">
        <w:t>five</w:t>
      </w:r>
      <w:r w:rsidR="00B34317" w:rsidRPr="00370506">
        <w:t xml:space="preserve"> years of production licence </w:t>
      </w:r>
      <w:r w:rsidRPr="00370506">
        <w:t>(LTBR plus 15</w:t>
      </w:r>
      <w:r w:rsidR="004F0F71">
        <w:t xml:space="preserve"> per cent</w:t>
      </w:r>
      <w:r w:rsidRPr="00370506">
        <w:t xml:space="preserve"> uplift); </w:t>
      </w:r>
    </w:p>
    <w:p w14:paraId="65EEF1BE" w14:textId="5837BCD0" w:rsidR="00E14274" w:rsidRPr="00370506" w:rsidRDefault="00E14274" w:rsidP="003D366F">
      <w:pPr>
        <w:pStyle w:val="Bullet"/>
      </w:pPr>
      <w:r w:rsidRPr="00370506">
        <w:t>project</w:t>
      </w:r>
      <w:r w:rsidR="005D6F39">
        <w:t>’</w:t>
      </w:r>
      <w:r w:rsidRPr="00370506">
        <w:t xml:space="preserve">s own (transferable) exploration expenditure </w:t>
      </w:r>
      <w:r w:rsidR="00B34317">
        <w:t>incurred more than</w:t>
      </w:r>
      <w:r w:rsidRPr="00370506">
        <w:t xml:space="preserve"> </w:t>
      </w:r>
      <w:r w:rsidR="004F0F71">
        <w:t>five</w:t>
      </w:r>
      <w:r w:rsidRPr="00370506">
        <w:t xml:space="preserve"> years </w:t>
      </w:r>
      <w:r w:rsidR="00B34317">
        <w:t>before</w:t>
      </w:r>
      <w:r w:rsidRPr="00370506">
        <w:t xml:space="preserve"> production licence (GDP deflator uplift); </w:t>
      </w:r>
    </w:p>
    <w:p w14:paraId="1ABCE0B0" w14:textId="0EAA8F14" w:rsidR="00E14274" w:rsidRPr="00370506" w:rsidRDefault="00E14274" w:rsidP="003D366F">
      <w:pPr>
        <w:pStyle w:val="Bullet"/>
      </w:pPr>
      <w:r w:rsidRPr="00370506">
        <w:t>grossed</w:t>
      </w:r>
      <w:r w:rsidR="005D6F39">
        <w:noBreakHyphen/>
      </w:r>
      <w:r w:rsidRPr="00370506">
        <w:t>up deductions for royalties and excises (LTBR plus 5</w:t>
      </w:r>
      <w:r w:rsidR="004F0F71">
        <w:t xml:space="preserve"> per cent</w:t>
      </w:r>
      <w:r w:rsidRPr="00370506">
        <w:t xml:space="preserve"> uplift); </w:t>
      </w:r>
    </w:p>
    <w:p w14:paraId="5B049188" w14:textId="48C5E207" w:rsidR="00E14274" w:rsidRPr="00370506" w:rsidRDefault="00E14274" w:rsidP="003D366F">
      <w:pPr>
        <w:pStyle w:val="Bullet"/>
      </w:pPr>
      <w:r w:rsidRPr="00370506">
        <w:t>acquired exploration expenditure (generally LTBR plus 5</w:t>
      </w:r>
      <w:r w:rsidR="004F0F71">
        <w:t xml:space="preserve"> per cent</w:t>
      </w:r>
      <w:r w:rsidRPr="00370506">
        <w:t xml:space="preserve"> uplift);  </w:t>
      </w:r>
    </w:p>
    <w:p w14:paraId="59500730" w14:textId="35575200" w:rsidR="00E14274" w:rsidRPr="00370506" w:rsidRDefault="00E14274" w:rsidP="003D366F">
      <w:pPr>
        <w:pStyle w:val="Bullet"/>
      </w:pPr>
      <w:r w:rsidRPr="00370506">
        <w:t>starting base deductions (generally LTBR plus 5</w:t>
      </w:r>
      <w:r w:rsidR="004F0F71">
        <w:t xml:space="preserve"> per cent</w:t>
      </w:r>
      <w:r w:rsidRPr="00370506">
        <w:t xml:space="preserve"> uplift); and</w:t>
      </w:r>
    </w:p>
    <w:p w14:paraId="6E30B525" w14:textId="17F3F554" w:rsidR="00E14274" w:rsidRPr="00370506" w:rsidRDefault="00E14274" w:rsidP="003D366F">
      <w:pPr>
        <w:pStyle w:val="Bullet"/>
      </w:pPr>
      <w:r w:rsidRPr="00370506">
        <w:t>exploration expenditure transferred in from elsewhere (LTBR plus 15</w:t>
      </w:r>
      <w:r w:rsidR="004F0F71">
        <w:t xml:space="preserve"> per cent</w:t>
      </w:r>
      <w:r w:rsidRPr="00370506">
        <w:t xml:space="preserve"> or GDP</w:t>
      </w:r>
      <w:r w:rsidR="004F0F71">
        <w:t> </w:t>
      </w:r>
      <w:r w:rsidRPr="00370506">
        <w:t>deflator uplift).</w:t>
      </w:r>
    </w:p>
    <w:p w14:paraId="5DA23E2E" w14:textId="33EA659D" w:rsidR="00E14274" w:rsidRPr="00370506" w:rsidRDefault="00ED393E" w:rsidP="00E14274">
      <w:r>
        <w:t xml:space="preserve">The </w:t>
      </w:r>
      <w:r w:rsidR="009B3F13">
        <w:t>1991 change</w:t>
      </w:r>
      <w:r>
        <w:t>s</w:t>
      </w:r>
      <w:r w:rsidR="009B3F13">
        <w:t xml:space="preserve"> </w:t>
      </w:r>
      <w:r>
        <w:t xml:space="preserve">to </w:t>
      </w:r>
      <w:r w:rsidR="009B3F13">
        <w:t>the ordering of deductions can have a major impact on the amount of PRRT a project may pay</w:t>
      </w:r>
      <w:r>
        <w:t xml:space="preserve"> as the expenditure with the highest uplift rate may not be deductible first</w:t>
      </w:r>
      <w:r w:rsidR="009B3F13">
        <w:t>.</w:t>
      </w:r>
      <w:r w:rsidR="00E14274" w:rsidRPr="00370506">
        <w:t xml:space="preserve"> </w:t>
      </w:r>
      <w:r w:rsidR="003A127D">
        <w:t xml:space="preserve">As illustrated in </w:t>
      </w:r>
      <w:r w:rsidR="003A127D" w:rsidRPr="006D28D4">
        <w:t>Figure 4.</w:t>
      </w:r>
      <w:r w:rsidR="001F78AC">
        <w:t>4</w:t>
      </w:r>
      <w:r w:rsidR="003A127D">
        <w:t>, t</w:t>
      </w:r>
      <w:r w:rsidR="00E14274" w:rsidRPr="00370506">
        <w:t xml:space="preserve">his can result in </w:t>
      </w:r>
      <w:r w:rsidR="00246E32">
        <w:t xml:space="preserve">deductions with </w:t>
      </w:r>
      <w:r w:rsidR="00E14274" w:rsidRPr="00370506">
        <w:t>uplift at LTBR plus 15</w:t>
      </w:r>
      <w:r w:rsidR="004F0F71">
        <w:t> </w:t>
      </w:r>
      <w:r w:rsidR="00E14274" w:rsidRPr="00370506">
        <w:t>percentage points dominating a project</w:t>
      </w:r>
      <w:r w:rsidR="005D6F39">
        <w:t>’</w:t>
      </w:r>
      <w:r w:rsidR="00E14274" w:rsidRPr="00370506">
        <w:t>s profile of PRRT payments</w:t>
      </w:r>
      <w:r w:rsidR="00246E32">
        <w:t>.</w:t>
      </w:r>
      <w:r w:rsidR="00E14274" w:rsidRPr="00370506">
        <w:t xml:space="preserve"> This is particularly so for gas projects with moderate profitability, </w:t>
      </w:r>
      <w:r>
        <w:t xml:space="preserve">and </w:t>
      </w:r>
      <w:r w:rsidR="00C579BA">
        <w:t xml:space="preserve">long </w:t>
      </w:r>
      <w:r w:rsidR="00E14274" w:rsidRPr="00370506">
        <w:t xml:space="preserve">lead times before production </w:t>
      </w:r>
      <w:r>
        <w:t xml:space="preserve">begins </w:t>
      </w:r>
      <w:r w:rsidR="00E14274" w:rsidRPr="00370506">
        <w:t xml:space="preserve">and </w:t>
      </w:r>
      <w:r w:rsidR="00246E32">
        <w:t xml:space="preserve">very </w:t>
      </w:r>
      <w:r w:rsidR="00E14274" w:rsidRPr="00370506">
        <w:t>high levels of</w:t>
      </w:r>
      <w:r w:rsidR="00F9105C">
        <w:t xml:space="preserve"> general project</w:t>
      </w:r>
      <w:r w:rsidR="00E14274" w:rsidRPr="00370506">
        <w:t xml:space="preserve"> expenditure.</w:t>
      </w:r>
      <w:r w:rsidR="00246E32">
        <w:t xml:space="preserve"> The implications of changing the order of deductions </w:t>
      </w:r>
      <w:r w:rsidR="0010204E">
        <w:t>for</w:t>
      </w:r>
      <w:r w:rsidR="00246E32">
        <w:t xml:space="preserve"> a petroleum industry that is now dominated by major LNG projects would not have been a consideration in 1991 when the ordering of deductions was changed. </w:t>
      </w:r>
    </w:p>
    <w:p w14:paraId="71DDB686" w14:textId="028E4C77" w:rsidR="00E14274" w:rsidRPr="00567788" w:rsidRDefault="00E14274" w:rsidP="00221C2A">
      <w:pPr>
        <w:pStyle w:val="ChartMainHeading"/>
      </w:pPr>
      <w:r w:rsidRPr="00567788">
        <w:t>Figure 4.</w:t>
      </w:r>
      <w:r w:rsidR="001F78AC">
        <w:t>4</w:t>
      </w:r>
      <w:r w:rsidR="00455604">
        <w:t xml:space="preserve"> — </w:t>
      </w:r>
      <w:r w:rsidRPr="00567788">
        <w:t xml:space="preserve">Hypothetical </w:t>
      </w:r>
      <w:r w:rsidR="00455604">
        <w:t>g</w:t>
      </w:r>
      <w:r w:rsidR="00F9635B" w:rsidRPr="00567788">
        <w:t xml:space="preserve">as </w:t>
      </w:r>
      <w:r w:rsidR="00455604">
        <w:t>p</w:t>
      </w:r>
      <w:r w:rsidR="00F9635B" w:rsidRPr="00567788">
        <w:t xml:space="preserve">roject </w:t>
      </w:r>
      <w:r w:rsidR="00455604">
        <w:t>s</w:t>
      </w:r>
      <w:r w:rsidR="00F9635B" w:rsidRPr="00567788">
        <w:t xml:space="preserve">ubject </w:t>
      </w:r>
      <w:r w:rsidR="00455604">
        <w:t>t</w:t>
      </w:r>
      <w:r w:rsidR="00F9635B" w:rsidRPr="00567788">
        <w:t xml:space="preserve">o </w:t>
      </w:r>
      <w:r w:rsidR="00455604">
        <w:t>c</w:t>
      </w:r>
      <w:r w:rsidR="00F9635B" w:rsidRPr="00567788">
        <w:t xml:space="preserve">urrent </w:t>
      </w:r>
      <w:r w:rsidR="00455604">
        <w:t>o</w:t>
      </w:r>
      <w:r w:rsidR="00F9635B" w:rsidRPr="00567788">
        <w:t>rdering</w:t>
      </w:r>
    </w:p>
    <w:p w14:paraId="73D2DB58" w14:textId="3EFA58B2" w:rsidR="00F9105C" w:rsidRDefault="00C026C1" w:rsidP="00C026C1">
      <w:pPr>
        <w:pStyle w:val="ChartorTableNote"/>
      </w:pPr>
      <w:r>
        <w:object w:dxaOrig="10260" w:dyaOrig="6015" w14:anchorId="5278620D">
          <v:shape id="_x0000_i1042" type="#_x0000_t75" alt="Figure 4.4 shows a hypothetical gas project subject to current ordering. It shows that under the current ordering, deductions with uplift at LTBR plus 15 percentage points dominate a project’s profile of PRRT payments" style="width:452.25pt;height:249.75pt" o:ole="">
            <v:imagedata r:id="rId69" o:title=""/>
          </v:shape>
          <o:OLEObject Type="Link" ProgID="Excel.SheetMacroEnabled.12" ShapeID="_x0000_i1042" DrawAspect="Content" r:id="rId70" UpdateMode="Always">
            <o:LinkType>EnhancedMetaFile</o:LinkType>
            <o:LockedField>false</o:LockedField>
          </o:OLEObject>
        </w:object>
      </w:r>
      <w:r w:rsidR="00F9105C">
        <w:t xml:space="preserve">Source: </w:t>
      </w:r>
      <w:r w:rsidR="007E3CCC">
        <w:t>Petroleum Resource Rent Tax</w:t>
      </w:r>
      <w:r w:rsidR="00F9105C">
        <w:t xml:space="preserve"> Review Secretariat</w:t>
      </w:r>
      <w:r w:rsidR="00455604">
        <w:t xml:space="preserve">. </w:t>
      </w:r>
    </w:p>
    <w:p w14:paraId="2918FEF9" w14:textId="77777777" w:rsidR="00C026C1" w:rsidRPr="00C026C1" w:rsidRDefault="00C026C1" w:rsidP="00C026C1">
      <w:pPr>
        <w:pStyle w:val="SingleParagraph"/>
      </w:pPr>
    </w:p>
    <w:p w14:paraId="3DAE840B" w14:textId="049C39F4" w:rsidR="00DC731C" w:rsidRDefault="00E14274" w:rsidP="00C026C1">
      <w:r w:rsidRPr="00370506">
        <w:t>In addition, the ordering in 2012 of royalty and starting base deductions after a project</w:t>
      </w:r>
      <w:r w:rsidR="005D6F39">
        <w:t>’</w:t>
      </w:r>
      <w:r w:rsidRPr="00370506">
        <w:t>s own exploration expenditure means that an extra expenditure pool for royalty and starting base deductions needs to be maintained (to be applied when uplifted exploration deductions are exhausted). This results in additional complexity and means the ordering of deductions works differently for those companies who have their historical expenditure recognised in the starting base (deductible last) compared to those who have it recognised as general expenditure (deducted first).</w:t>
      </w:r>
    </w:p>
    <w:p w14:paraId="4DA3F510" w14:textId="61559F74" w:rsidR="00DC731C" w:rsidRPr="00DC731C" w:rsidRDefault="00DC731C" w:rsidP="008A543E">
      <w:pPr>
        <w:spacing w:before="240"/>
        <w:rPr>
          <w:rStyle w:val="CommentReference"/>
          <w:sz w:val="22"/>
          <w:szCs w:val="20"/>
        </w:rPr>
      </w:pPr>
      <w:r>
        <w:rPr>
          <w:rStyle w:val="CommentReference"/>
          <w:sz w:val="22"/>
          <w:szCs w:val="20"/>
        </w:rPr>
        <w:t>The 2012 ordering may have been in response to the recognition that transitioning projects were unlikely to ever pay PRRT and as a consequence transferable expenditure was placed higher in the order of deductions to reduce the revenue risk of this expenditure reducing PRRT payable in other projects, although this is not documented.</w:t>
      </w:r>
    </w:p>
    <w:p w14:paraId="354BFF7B" w14:textId="150F149F" w:rsidR="00E14274" w:rsidRPr="00370506" w:rsidRDefault="00E14274" w:rsidP="00E14274">
      <w:pPr>
        <w:spacing w:line="240" w:lineRule="auto"/>
      </w:pPr>
      <w:r w:rsidRPr="00370506">
        <w:t xml:space="preserve">Overall, the current system </w:t>
      </w:r>
      <w:r w:rsidR="008D4178">
        <w:t>appears</w:t>
      </w:r>
      <w:r w:rsidRPr="00370506">
        <w:t xml:space="preserve"> complex and </w:t>
      </w:r>
      <w:r w:rsidR="00B42722">
        <w:t>tries</w:t>
      </w:r>
      <w:r w:rsidR="008D4178">
        <w:t xml:space="preserve"> to accommodate </w:t>
      </w:r>
      <w:r w:rsidR="00B42722">
        <w:t>varying</w:t>
      </w:r>
      <w:r w:rsidR="008D4178">
        <w:t xml:space="preserve"> underlying principles</w:t>
      </w:r>
      <w:r w:rsidRPr="00370506">
        <w:t>.</w:t>
      </w:r>
    </w:p>
    <w:p w14:paraId="3F94F4E4" w14:textId="7594782B" w:rsidR="00E14274" w:rsidRPr="00567788" w:rsidRDefault="003932BC" w:rsidP="00CD2AE5">
      <w:pPr>
        <w:pStyle w:val="Heading3"/>
        <w:rPr>
          <w:b w:val="0"/>
        </w:rPr>
      </w:pPr>
      <w:bookmarkStart w:id="6106" w:name="_Toc476747678"/>
      <w:bookmarkStart w:id="6107" w:name="_Toc476749088"/>
      <w:bookmarkStart w:id="6108" w:name="_Toc476753955"/>
      <w:bookmarkStart w:id="6109" w:name="_Toc476754450"/>
      <w:bookmarkStart w:id="6110" w:name="_Toc476754615"/>
      <w:bookmarkStart w:id="6111" w:name="_Toc476759854"/>
      <w:bookmarkStart w:id="6112" w:name="_Toc476761476"/>
      <w:bookmarkStart w:id="6113" w:name="_Toc476767114"/>
      <w:bookmarkStart w:id="6114" w:name="_Toc476827160"/>
      <w:bookmarkStart w:id="6115" w:name="_Toc476828853"/>
      <w:bookmarkStart w:id="6116" w:name="_Toc476833727"/>
      <w:bookmarkStart w:id="6117" w:name="_Toc476837200"/>
      <w:bookmarkStart w:id="6118" w:name="_Toc476841073"/>
      <w:bookmarkStart w:id="6119" w:name="_Toc476841278"/>
      <w:bookmarkStart w:id="6120" w:name="_Toc476842037"/>
      <w:bookmarkStart w:id="6121" w:name="_Toc476842981"/>
      <w:bookmarkStart w:id="6122" w:name="_Toc476843152"/>
      <w:bookmarkStart w:id="6123" w:name="_Toc476844650"/>
      <w:bookmarkStart w:id="6124" w:name="_Toc476845543"/>
      <w:bookmarkStart w:id="6125" w:name="_Toc476926935"/>
      <w:bookmarkStart w:id="6126" w:name="_Toc476927048"/>
      <w:bookmarkStart w:id="6127" w:name="_Toc476927222"/>
      <w:bookmarkStart w:id="6128" w:name="_Toc476928486"/>
      <w:bookmarkStart w:id="6129" w:name="_Toc476929529"/>
      <w:bookmarkStart w:id="6130" w:name="_Toc476929704"/>
      <w:bookmarkStart w:id="6131" w:name="_Toc476930747"/>
      <w:bookmarkStart w:id="6132" w:name="_Toc476931554"/>
      <w:bookmarkStart w:id="6133" w:name="_Toc477869899"/>
      <w:bookmarkStart w:id="6134" w:name="_Toc477871138"/>
      <w:bookmarkStart w:id="6135" w:name="_Toc477873297"/>
      <w:bookmarkStart w:id="6136" w:name="_Toc477875291"/>
      <w:bookmarkStart w:id="6137" w:name="_Toc477880204"/>
      <w:bookmarkStart w:id="6138" w:name="_Toc477881464"/>
      <w:bookmarkStart w:id="6139" w:name="_Toc477955868"/>
      <w:bookmarkStart w:id="6140" w:name="_Toc477963113"/>
      <w:bookmarkStart w:id="6141" w:name="_Toc477963599"/>
      <w:bookmarkStart w:id="6142" w:name="_Toc477965185"/>
      <w:bookmarkStart w:id="6143" w:name="_Toc477966689"/>
      <w:bookmarkStart w:id="6144" w:name="_Toc477966858"/>
      <w:bookmarkStart w:id="6145" w:name="_Toc477967198"/>
      <w:bookmarkStart w:id="6146" w:name="_Toc478121335"/>
      <w:bookmarkStart w:id="6147" w:name="_Toc478122248"/>
      <w:bookmarkStart w:id="6148" w:name="_Toc478132222"/>
      <w:bookmarkStart w:id="6149" w:name="_Toc478133248"/>
      <w:bookmarkStart w:id="6150" w:name="_Toc478132385"/>
      <w:bookmarkStart w:id="6151" w:name="_Toc478134714"/>
      <w:bookmarkStart w:id="6152" w:name="_Toc478137416"/>
      <w:bookmarkStart w:id="6153" w:name="_Toc478138488"/>
      <w:bookmarkStart w:id="6154" w:name="_Toc478140058"/>
      <w:bookmarkStart w:id="6155" w:name="_Toc478140474"/>
      <w:bookmarkStart w:id="6156" w:name="_Toc478142680"/>
      <w:bookmarkStart w:id="6157" w:name="_Toc478566396"/>
      <w:bookmarkStart w:id="6158" w:name="_Toc478569563"/>
      <w:bookmarkStart w:id="6159" w:name="_Toc478569737"/>
      <w:bookmarkStart w:id="6160" w:name="_Toc478570811"/>
      <w:bookmarkStart w:id="6161" w:name="_Toc478633010"/>
      <w:bookmarkStart w:id="6162" w:name="_Toc478641418"/>
      <w:bookmarkStart w:id="6163" w:name="_Toc478654312"/>
      <w:bookmarkStart w:id="6164" w:name="_Toc478654486"/>
      <w:bookmarkStart w:id="6165" w:name="_Toc478657781"/>
      <w:bookmarkStart w:id="6166" w:name="_Toc478993202"/>
      <w:bookmarkStart w:id="6167" w:name="_Toc479000273"/>
      <w:bookmarkStart w:id="6168" w:name="_Toc479002207"/>
      <w:bookmarkStart w:id="6169" w:name="_Toc479002379"/>
      <w:bookmarkStart w:id="6170" w:name="_Toc479254354"/>
      <w:bookmarkStart w:id="6171" w:name="_Toc479258543"/>
      <w:bookmarkStart w:id="6172" w:name="_Toc479258859"/>
      <w:bookmarkStart w:id="6173" w:name="_Toc479259751"/>
      <w:bookmarkStart w:id="6174" w:name="_Toc479262174"/>
      <w:bookmarkStart w:id="6175" w:name="_Toc479262595"/>
      <w:bookmarkStart w:id="6176" w:name="_Toc479321296"/>
      <w:bookmarkStart w:id="6177" w:name="_Toc479326735"/>
      <w:bookmarkStart w:id="6178" w:name="_Toc479333334"/>
      <w:bookmarkStart w:id="6179" w:name="_Toc479335031"/>
      <w:bookmarkStart w:id="6180" w:name="_Toc479341746"/>
      <w:bookmarkStart w:id="6181" w:name="_Toc479345162"/>
      <w:bookmarkStart w:id="6182" w:name="_Toc479345371"/>
      <w:bookmarkStart w:id="6183" w:name="_Toc479348352"/>
      <w:bookmarkStart w:id="6184" w:name="_Toc479675946"/>
      <w:bookmarkStart w:id="6185" w:name="_Toc479690913"/>
      <w:bookmarkStart w:id="6186" w:name="_Toc479693491"/>
      <w:bookmarkStart w:id="6187" w:name="_Toc479770660"/>
      <w:r>
        <w:t>4.4</w:t>
      </w:r>
      <w:r w:rsidR="00E14274">
        <w:t>.</w:t>
      </w:r>
      <w:r w:rsidR="00AB0CBB">
        <w:t>2</w:t>
      </w:r>
      <w:r w:rsidR="00F9635B">
        <w:tab/>
      </w:r>
      <w:r w:rsidR="00E14274" w:rsidRPr="00567788">
        <w:t xml:space="preserve">Possible </w:t>
      </w:r>
      <w:r w:rsidR="00723BBB">
        <w:t>c</w:t>
      </w:r>
      <w:r w:rsidR="00F9635B">
        <w:t>hanges</w:t>
      </w:r>
      <w:r w:rsidR="00E14274">
        <w:t xml:space="preserve"> t</w:t>
      </w:r>
      <w:r w:rsidR="00E14274" w:rsidRPr="00567788">
        <w:t xml:space="preserve">o </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r w:rsidR="00723BBB">
        <w:t>ordering a</w:t>
      </w:r>
      <w:r w:rsidR="00F9635B" w:rsidRPr="00567788">
        <w:t>rrangements</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r w:rsidR="00E14274" w:rsidRPr="00567788">
        <w:t xml:space="preserve"> </w:t>
      </w:r>
    </w:p>
    <w:p w14:paraId="62FF1B6A" w14:textId="469C1347" w:rsidR="00E14274" w:rsidRPr="00E14274" w:rsidRDefault="00684369" w:rsidP="00E14274">
      <w:pPr>
        <w:rPr>
          <w:rStyle w:val="CommentReference"/>
          <w:sz w:val="22"/>
          <w:szCs w:val="22"/>
        </w:rPr>
      </w:pPr>
      <w:r>
        <w:rPr>
          <w:rStyle w:val="CommentReference"/>
          <w:sz w:val="22"/>
          <w:szCs w:val="22"/>
        </w:rPr>
        <w:t>R</w:t>
      </w:r>
      <w:r w:rsidR="008D4178" w:rsidRPr="008D4178">
        <w:rPr>
          <w:rStyle w:val="CommentReference"/>
          <w:sz w:val="22"/>
          <w:szCs w:val="22"/>
        </w:rPr>
        <w:t>ules set</w:t>
      </w:r>
      <w:r>
        <w:rPr>
          <w:rStyle w:val="CommentReference"/>
          <w:sz w:val="22"/>
          <w:szCs w:val="22"/>
        </w:rPr>
        <w:t>ting</w:t>
      </w:r>
      <w:r w:rsidR="008D4178" w:rsidRPr="008D4178">
        <w:rPr>
          <w:rStyle w:val="CommentReference"/>
          <w:sz w:val="22"/>
          <w:szCs w:val="22"/>
        </w:rPr>
        <w:t xml:space="preserve"> out the order in which a project</w:t>
      </w:r>
      <w:r w:rsidR="005D6F39">
        <w:rPr>
          <w:rStyle w:val="CommentReference"/>
          <w:sz w:val="22"/>
          <w:szCs w:val="22"/>
        </w:rPr>
        <w:t>’</w:t>
      </w:r>
      <w:r w:rsidR="008D4178" w:rsidRPr="008D4178">
        <w:rPr>
          <w:rStyle w:val="CommentReference"/>
          <w:sz w:val="22"/>
          <w:szCs w:val="22"/>
        </w:rPr>
        <w:t>s uplifted PRRT expenditures are deducted would not be necessary if a single uplift rate were applied to all expenditures. However, since the inception of the PRRT different uplift rates have applied to different classes of expenditure</w:t>
      </w:r>
      <w:r w:rsidR="00755941">
        <w:rPr>
          <w:rStyle w:val="CommentReference"/>
          <w:sz w:val="22"/>
          <w:szCs w:val="22"/>
        </w:rPr>
        <w:t xml:space="preserve">. </w:t>
      </w:r>
      <w:r w:rsidR="00E14274" w:rsidRPr="00E14274">
        <w:rPr>
          <w:rStyle w:val="CommentReference"/>
          <w:sz w:val="22"/>
          <w:szCs w:val="22"/>
        </w:rPr>
        <w:t xml:space="preserve">The order of deductions will have a significant impact on PRRT revenue as long as there are </w:t>
      </w:r>
      <w:r w:rsidR="00DC731C">
        <w:rPr>
          <w:rStyle w:val="CommentReference"/>
          <w:sz w:val="22"/>
          <w:szCs w:val="22"/>
        </w:rPr>
        <w:t>large</w:t>
      </w:r>
      <w:r w:rsidR="00E14274" w:rsidRPr="00E14274">
        <w:rPr>
          <w:rStyle w:val="CommentReference"/>
          <w:sz w:val="22"/>
          <w:szCs w:val="22"/>
        </w:rPr>
        <w:t xml:space="preserve"> differences in uplift rates for different types of expenditure.</w:t>
      </w:r>
    </w:p>
    <w:p w14:paraId="7B470F4D" w14:textId="63DD662B" w:rsidR="00CF4605" w:rsidRDefault="001D2C10" w:rsidP="00E14274">
      <w:r>
        <w:t>C</w:t>
      </w:r>
      <w:r w:rsidR="00E14274" w:rsidRPr="00370506">
        <w:t xml:space="preserve">onsistency could be achieved in the ordering of deductions by following the </w:t>
      </w:r>
      <w:r w:rsidR="00684369">
        <w:t xml:space="preserve">broad </w:t>
      </w:r>
      <w:r w:rsidR="00E14274" w:rsidRPr="00370506">
        <w:t xml:space="preserve">principle that expenditure with the highest uplift rate is ordered first. </w:t>
      </w:r>
      <w:r w:rsidR="007A0AC9">
        <w:t>However, were royalty and starting base deductions applied before own</w:t>
      </w:r>
      <w:r w:rsidR="005D6F39">
        <w:noBreakHyphen/>
      </w:r>
      <w:r w:rsidR="007A0AC9">
        <w:t>project exploration expenditure attracting GDP deflator uplift</w:t>
      </w:r>
      <w:r w:rsidR="00A32F2F">
        <w:t xml:space="preserve">, there would be </w:t>
      </w:r>
      <w:r w:rsidR="004F0F71">
        <w:t xml:space="preserve">a </w:t>
      </w:r>
      <w:r w:rsidR="00A32F2F">
        <w:t xml:space="preserve">greater chance that this uplifted exploration expenditure would remain available to be transferred to profitable projects. </w:t>
      </w:r>
    </w:p>
    <w:p w14:paraId="0FB49385" w14:textId="7B61FAD1" w:rsidR="004C26A0" w:rsidRDefault="004C26A0" w:rsidP="00E14274">
      <w:r>
        <w:t>Given that the circumstances of the starting base provided to transitioning projects</w:t>
      </w:r>
      <w:r w:rsidR="00EB4BFD">
        <w:t xml:space="preserve"> has largely eliminated the possibility </w:t>
      </w:r>
      <w:r w:rsidR="0077693C">
        <w:t xml:space="preserve">that </w:t>
      </w:r>
      <w:r w:rsidR="00EB4BFD">
        <w:t xml:space="preserve">these projects will pay PRRT </w:t>
      </w:r>
      <w:r w:rsidR="00EB4BFD" w:rsidRPr="006D28D4">
        <w:t>(as discussed in section</w:t>
      </w:r>
      <w:r w:rsidR="00492EDC" w:rsidRPr="006D28D4">
        <w:t> </w:t>
      </w:r>
      <w:r w:rsidR="00EB4BFD" w:rsidRPr="006D28D4">
        <w:t>4.7)</w:t>
      </w:r>
      <w:r w:rsidR="00EB4BFD">
        <w:t xml:space="preserve">, it does not seem appropriate that transitioning </w:t>
      </w:r>
      <w:r w:rsidR="0077693C">
        <w:t xml:space="preserve">projects </w:t>
      </w:r>
      <w:r w:rsidR="00EB4BFD">
        <w:t xml:space="preserve">also be allowed to transfer significant amounts of exploration expenditure to other projects thereby lowering PRRT payable in </w:t>
      </w:r>
      <w:r w:rsidR="0077693C">
        <w:t xml:space="preserve">these </w:t>
      </w:r>
      <w:r w:rsidR="00EB4BFD">
        <w:t xml:space="preserve">other projects. </w:t>
      </w:r>
    </w:p>
    <w:p w14:paraId="6FCBAE8F" w14:textId="495C87E3" w:rsidR="00E14274" w:rsidRPr="00370506" w:rsidRDefault="00A32F2F" w:rsidP="00E14274">
      <w:r>
        <w:t>Combining these two considerations</w:t>
      </w:r>
      <w:r w:rsidR="00E14274" w:rsidRPr="00370506">
        <w:t xml:space="preserve"> would see expenditure deducted in the </w:t>
      </w:r>
      <w:r w:rsidR="00EB1E29">
        <w:t xml:space="preserve">following </w:t>
      </w:r>
      <w:r w:rsidR="00E14274" w:rsidRPr="00370506">
        <w:t>sequence</w:t>
      </w:r>
      <w:r w:rsidR="00645BD7">
        <w:t xml:space="preserve">, based on the dual </w:t>
      </w:r>
      <w:r w:rsidR="00EB1E29">
        <w:t xml:space="preserve">ordering </w:t>
      </w:r>
      <w:r w:rsidR="00645BD7">
        <w:t xml:space="preserve">principle of </w:t>
      </w:r>
      <w:r w:rsidR="00EB1E29">
        <w:t>expenditure with higher uplift before expenditure with lower uplift and transferable expenditure before project</w:t>
      </w:r>
      <w:r w:rsidR="005D6F39">
        <w:noBreakHyphen/>
      </w:r>
      <w:r w:rsidR="00EB1E29">
        <w:t>specific expenditure</w:t>
      </w:r>
      <w:r w:rsidR="00E14274" w:rsidRPr="00370506">
        <w:t xml:space="preserve">: </w:t>
      </w:r>
    </w:p>
    <w:p w14:paraId="73F4AA38" w14:textId="12C8C27C" w:rsidR="00E14274" w:rsidRPr="00370506" w:rsidRDefault="00C579BA" w:rsidP="003D366F">
      <w:pPr>
        <w:pStyle w:val="Bullet"/>
      </w:pPr>
      <w:r>
        <w:t xml:space="preserve">transferable </w:t>
      </w:r>
      <w:r w:rsidR="00E14274" w:rsidRPr="00370506">
        <w:t>project</w:t>
      </w:r>
      <w:r w:rsidR="005D6F39">
        <w:noBreakHyphen/>
      </w:r>
      <w:r w:rsidR="00E14274" w:rsidRPr="00370506">
        <w:t>specific qualifying exploration expenditure (LTBR plus 15</w:t>
      </w:r>
      <w:r w:rsidR="00B32F3C">
        <w:t> per cent</w:t>
      </w:r>
      <w:r w:rsidR="00E14274" w:rsidRPr="00370506">
        <w:t xml:space="preserve"> uplift); </w:t>
      </w:r>
    </w:p>
    <w:p w14:paraId="35C3E117" w14:textId="505B9117" w:rsidR="00645BD7" w:rsidRDefault="000A09AD" w:rsidP="003D366F">
      <w:pPr>
        <w:pStyle w:val="Bullet"/>
      </w:pPr>
      <w:r>
        <w:t>t</w:t>
      </w:r>
      <w:r w:rsidR="00C579BA">
        <w:t xml:space="preserve">ransferable </w:t>
      </w:r>
      <w:r w:rsidR="00645BD7">
        <w:t>project</w:t>
      </w:r>
      <w:r w:rsidR="005D6F39">
        <w:noBreakHyphen/>
      </w:r>
      <w:r w:rsidR="00645BD7">
        <w:t>specific exploration expenditure (GDP deflator uplift);</w:t>
      </w:r>
    </w:p>
    <w:p w14:paraId="54AB063C" w14:textId="6FB8FB36" w:rsidR="00EB1E29" w:rsidRDefault="00EB1E29" w:rsidP="00EB1E29">
      <w:pPr>
        <w:pStyle w:val="Bullet"/>
      </w:pPr>
      <w:r>
        <w:t xml:space="preserve">general </w:t>
      </w:r>
      <w:r w:rsidRPr="00370506">
        <w:t xml:space="preserve">expenditure </w:t>
      </w:r>
      <w:r>
        <w:t>(</w:t>
      </w:r>
      <w:r w:rsidRPr="00370506">
        <w:t>LTBR plus 5</w:t>
      </w:r>
      <w:r w:rsidR="00B32F3C">
        <w:t xml:space="preserve"> per cent</w:t>
      </w:r>
      <w:r>
        <w:t xml:space="preserve"> uplift</w:t>
      </w:r>
      <w:r w:rsidRPr="00370506">
        <w:t>);</w:t>
      </w:r>
      <w:r>
        <w:t xml:space="preserve"> and</w:t>
      </w:r>
    </w:p>
    <w:p w14:paraId="1E7ABBB7" w14:textId="536E70B3" w:rsidR="00E14274" w:rsidRPr="00370506" w:rsidRDefault="001D2C10" w:rsidP="003D366F">
      <w:pPr>
        <w:pStyle w:val="Bullet"/>
      </w:pPr>
      <w:r>
        <w:t>royalty and starting base</w:t>
      </w:r>
      <w:r w:rsidR="007A0AC9">
        <w:t xml:space="preserve"> (</w:t>
      </w:r>
      <w:r w:rsidR="007A0AC9" w:rsidRPr="00370506">
        <w:t>LTBR plus 5</w:t>
      </w:r>
      <w:r w:rsidR="00B32F3C">
        <w:t xml:space="preserve"> per cent</w:t>
      </w:r>
      <w:r w:rsidR="007A0AC9">
        <w:t xml:space="preserve"> uplift).</w:t>
      </w:r>
    </w:p>
    <w:p w14:paraId="658028A8" w14:textId="72333E61" w:rsidR="00E14274" w:rsidRPr="00370506" w:rsidRDefault="00E14274" w:rsidP="00E14274">
      <w:r w:rsidRPr="00370506">
        <w:t xml:space="preserve">Current pooling arrangements would be simplified under this design. </w:t>
      </w:r>
      <w:r w:rsidR="003A127D">
        <w:t xml:space="preserve">As illustrated in </w:t>
      </w:r>
      <w:r w:rsidR="003A127D" w:rsidRPr="006D28D4">
        <w:t>Figures 4.</w:t>
      </w:r>
      <w:r w:rsidR="00B457EC">
        <w:t>5</w:t>
      </w:r>
      <w:r w:rsidR="003A127D">
        <w:t xml:space="preserve"> and </w:t>
      </w:r>
      <w:r w:rsidR="003A127D" w:rsidRPr="006D28D4">
        <w:t>4.</w:t>
      </w:r>
      <w:r w:rsidR="00B457EC">
        <w:t>6</w:t>
      </w:r>
      <w:r w:rsidR="003A127D">
        <w:t>, t</w:t>
      </w:r>
      <w:r w:rsidRPr="00370506">
        <w:t>his change would also have significant impact on PRRT revenue, particularly from large scale gas projects</w:t>
      </w:r>
      <w:r w:rsidR="000602D0">
        <w:t>.</w:t>
      </w:r>
    </w:p>
    <w:p w14:paraId="60D21FAB" w14:textId="08B20B44" w:rsidR="003A127D" w:rsidRPr="00370506" w:rsidRDefault="003A127D" w:rsidP="00E14274">
      <w:r>
        <w:t xml:space="preserve">Figure </w:t>
      </w:r>
      <w:r w:rsidRPr="006D28D4">
        <w:t>4.</w:t>
      </w:r>
      <w:r w:rsidR="00B457EC">
        <w:t>5</w:t>
      </w:r>
      <w:r>
        <w:t xml:space="preserve"> shows that under this design the hypothetical gas project </w:t>
      </w:r>
      <w:r w:rsidR="000602D0">
        <w:t xml:space="preserve">referred to in </w:t>
      </w:r>
      <w:r w:rsidR="000602D0" w:rsidRPr="006D28D4">
        <w:t>Figure 4.</w:t>
      </w:r>
      <w:r w:rsidR="00B457EC">
        <w:t>4</w:t>
      </w:r>
      <w:r w:rsidR="000602D0">
        <w:t xml:space="preserve"> </w:t>
      </w:r>
      <w:r>
        <w:t xml:space="preserve">would start paying PRRT in </w:t>
      </w:r>
      <w:r w:rsidR="000602D0">
        <w:t>y</w:t>
      </w:r>
      <w:r>
        <w:t xml:space="preserve">ear 18 rather than </w:t>
      </w:r>
      <w:r w:rsidR="000602D0">
        <w:t>y</w:t>
      </w:r>
      <w:r w:rsidR="009209F2">
        <w:t>ear 36 under current ordering as shown in</w:t>
      </w:r>
      <w:r w:rsidR="00C026C1">
        <w:t> </w:t>
      </w:r>
      <w:r w:rsidR="009209F2" w:rsidRPr="006D28D4">
        <w:t>Figure 4.</w:t>
      </w:r>
      <w:r w:rsidR="00B457EC">
        <w:t>4</w:t>
      </w:r>
      <w:r w:rsidR="009209F2">
        <w:t>.</w:t>
      </w:r>
      <w:r w:rsidR="000602D0">
        <w:t xml:space="preserve"> </w:t>
      </w:r>
    </w:p>
    <w:p w14:paraId="448E0CBC" w14:textId="4246548F" w:rsidR="00E14274" w:rsidRPr="00567788" w:rsidRDefault="00E14274" w:rsidP="00221C2A">
      <w:pPr>
        <w:pStyle w:val="ChartMainHeading"/>
      </w:pPr>
      <w:r w:rsidRPr="006D28D4">
        <w:t>Figure 4.</w:t>
      </w:r>
      <w:r w:rsidR="001F78AC" w:rsidRPr="006D28D4">
        <w:t>5</w:t>
      </w:r>
      <w:r w:rsidR="00EE212D">
        <w:t xml:space="preserve"> </w:t>
      </w:r>
      <w:r w:rsidR="00EE212D" w:rsidRPr="00EE212D">
        <w:t>—</w:t>
      </w:r>
      <w:r w:rsidRPr="003D366F">
        <w:t xml:space="preserve"> Hypothetical gas project with expenditure with highest uplift deducted first</w:t>
      </w:r>
    </w:p>
    <w:p w14:paraId="480E51F5" w14:textId="377994E6" w:rsidR="00A67C45" w:rsidRDefault="00C026C1" w:rsidP="0038108C">
      <w:pPr>
        <w:pStyle w:val="ChartGraphic"/>
      </w:pPr>
      <w:r>
        <w:object w:dxaOrig="10260" w:dyaOrig="6015" w14:anchorId="6D1F64B9">
          <v:shape id="_x0000_i1043" type="#_x0000_t75" alt="Figure 4.5 shows the profile of a 40 year hypothetical gas project with columns illustrating gross receipts, exploration expenditure, general expenditure, undeducted expenditure plus uplift and PRRT over time. The hypothetical project in this Figure is the same as that illustrated in Figure 4.4, but the order that expenditure is deducted has been changed as earlier described. &#10;The most marked difference between Figures 4.4 and Figures 4.5 is that the profile of undeducted expenditure plus uplift is condensed in Figure 4.5, stopping in year 18 (rather than year 36 in Figure 4.4)&#10;" style="width:451.5pt;height:270pt;mso-position-vertical:absolute" o:ole="">
            <v:imagedata r:id="rId71" o:title=""/>
          </v:shape>
          <o:OLEObject Type="Link" ProgID="Excel.SheetMacroEnabled.12" ShapeID="_x0000_i1043" DrawAspect="Content" r:id="rId72" UpdateMode="Always">
            <o:LinkType>EnhancedMetaFile</o:LinkType>
            <o:LockedField>false</o:LockedField>
          </o:OLEObject>
        </w:object>
      </w:r>
    </w:p>
    <w:p w14:paraId="53DFC09D" w14:textId="54FB075C" w:rsidR="00DA6C84" w:rsidRDefault="00DA6C84" w:rsidP="00C026C1">
      <w:pPr>
        <w:pStyle w:val="ChartorTableNote"/>
      </w:pPr>
      <w:r>
        <w:t xml:space="preserve">Source: </w:t>
      </w:r>
      <w:r w:rsidR="00F93371" w:rsidRPr="007E3CCC">
        <w:t>Petroleum Resource Rent Tax</w:t>
      </w:r>
      <w:r>
        <w:t xml:space="preserve"> Review Secretariat</w:t>
      </w:r>
      <w:r w:rsidR="00EE212D">
        <w:t>.</w:t>
      </w:r>
    </w:p>
    <w:p w14:paraId="7D30003B" w14:textId="77777777" w:rsidR="00C026C1" w:rsidRPr="00C026C1" w:rsidRDefault="00C026C1" w:rsidP="00C026C1">
      <w:pPr>
        <w:pStyle w:val="SingleParagraph"/>
      </w:pPr>
    </w:p>
    <w:p w14:paraId="3685B2BF" w14:textId="48F553B1" w:rsidR="00E14274" w:rsidRDefault="00210AA4" w:rsidP="00E14274">
      <w:r w:rsidRPr="006D28D4">
        <w:t>Figure 4.</w:t>
      </w:r>
      <w:r w:rsidR="00B457EC">
        <w:t>6</w:t>
      </w:r>
      <w:r>
        <w:t xml:space="preserve"> illustrates </w:t>
      </w:r>
      <w:r w:rsidR="000602D0">
        <w:t xml:space="preserve">the </w:t>
      </w:r>
      <w:r w:rsidR="00740587">
        <w:t>estimated</w:t>
      </w:r>
      <w:r>
        <w:t xml:space="preserve"> effect on </w:t>
      </w:r>
      <w:r w:rsidR="000602D0">
        <w:t>the review</w:t>
      </w:r>
      <w:r w:rsidR="005D6F39">
        <w:t>’</w:t>
      </w:r>
      <w:r w:rsidR="00740587">
        <w:t>s baseline scenario for</w:t>
      </w:r>
      <w:r w:rsidR="000602D0">
        <w:t xml:space="preserve"> </w:t>
      </w:r>
      <w:r w:rsidR="003A127D">
        <w:t xml:space="preserve">aggregate </w:t>
      </w:r>
      <w:r>
        <w:t>PRRT revenue of changing the order of deduction</w:t>
      </w:r>
      <w:r w:rsidR="00AD3E77">
        <w:t>s to have exploration expenditure deducted first</w:t>
      </w:r>
      <w:r w:rsidR="00755941">
        <w:t xml:space="preserve">. </w:t>
      </w:r>
      <w:r w:rsidR="000602D0">
        <w:t>Such a change would result in</w:t>
      </w:r>
      <w:r>
        <w:t xml:space="preserve"> increased PRRT revenue from 2024 to </w:t>
      </w:r>
      <w:r w:rsidR="00D64983">
        <w:t>2028</w:t>
      </w:r>
      <w:r>
        <w:t xml:space="preserve"> </w:t>
      </w:r>
      <w:r w:rsidR="00904211">
        <w:t>of</w:t>
      </w:r>
      <w:r>
        <w:t xml:space="preserve"> around $</w:t>
      </w:r>
      <w:r w:rsidR="00D64983">
        <w:t>7 </w:t>
      </w:r>
      <w:r>
        <w:t>b</w:t>
      </w:r>
      <w:r w:rsidR="00D64983">
        <w:t>illion</w:t>
      </w:r>
      <w:r w:rsidR="00904211">
        <w:t>,</w:t>
      </w:r>
      <w:r>
        <w:t xml:space="preserve"> followed by </w:t>
      </w:r>
      <w:r w:rsidR="00AD3E77">
        <w:t xml:space="preserve">a brief period of reduced revenue, after which there </w:t>
      </w:r>
      <w:r w:rsidR="00904211">
        <w:t>would be</w:t>
      </w:r>
      <w:r>
        <w:t xml:space="preserve"> </w:t>
      </w:r>
      <w:r w:rsidR="000539CE">
        <w:t xml:space="preserve">a </w:t>
      </w:r>
      <w:r>
        <w:t>steady annual increase in revenue to 20</w:t>
      </w:r>
      <w:r w:rsidR="00AD54C2">
        <w:t>50</w:t>
      </w:r>
      <w:r w:rsidR="000539CE">
        <w:t>,</w:t>
      </w:r>
      <w:r w:rsidR="00BA1BAD">
        <w:t xml:space="preserve"> </w:t>
      </w:r>
      <w:r>
        <w:t>totalling around $1</w:t>
      </w:r>
      <w:r w:rsidR="00AD3E77">
        <w:t>7</w:t>
      </w:r>
      <w:r w:rsidR="00D64983">
        <w:t> </w:t>
      </w:r>
      <w:r>
        <w:t>b</w:t>
      </w:r>
      <w:r w:rsidR="00D64983">
        <w:t>illion</w:t>
      </w:r>
      <w:r>
        <w:t xml:space="preserve"> over the whole period</w:t>
      </w:r>
      <w:r w:rsidR="00AD3E77">
        <w:t>.</w:t>
      </w:r>
    </w:p>
    <w:p w14:paraId="42272AF2" w14:textId="1A2779E7" w:rsidR="00E14274" w:rsidRPr="00567788" w:rsidRDefault="00E14274" w:rsidP="00221C2A">
      <w:pPr>
        <w:pStyle w:val="ChartMainHeading"/>
      </w:pPr>
      <w:r w:rsidRPr="006D28D4">
        <w:t>Figure 4.</w:t>
      </w:r>
      <w:r w:rsidR="001F78AC">
        <w:t>6</w:t>
      </w:r>
      <w:r w:rsidR="00EE212D">
        <w:t xml:space="preserve"> </w:t>
      </w:r>
      <w:r w:rsidR="00EE212D" w:rsidRPr="00EE212D">
        <w:t>—</w:t>
      </w:r>
      <w:r w:rsidRPr="00E96DB8">
        <w:t xml:space="preserve"> Effect on PRRT </w:t>
      </w:r>
      <w:r w:rsidR="00F93371">
        <w:t>revenue</w:t>
      </w:r>
      <w:r w:rsidRPr="00E96DB8">
        <w:t xml:space="preserve"> of expenditure with highest uplift </w:t>
      </w:r>
      <w:r w:rsidR="00F93371">
        <w:t>deducted</w:t>
      </w:r>
      <w:r w:rsidRPr="00E96DB8">
        <w:t xml:space="preserve"> first</w:t>
      </w:r>
      <w:r w:rsidRPr="00567788">
        <w:t xml:space="preserve"> </w:t>
      </w:r>
    </w:p>
    <w:bookmarkStart w:id="6188" w:name="_1553413961"/>
    <w:bookmarkStart w:id="6189" w:name="_1553502274"/>
    <w:bookmarkEnd w:id="6188"/>
    <w:bookmarkEnd w:id="6189"/>
    <w:p w14:paraId="742BA226" w14:textId="2340B560" w:rsidR="00E14274" w:rsidRDefault="00C026C1" w:rsidP="002D662E">
      <w:pPr>
        <w:pStyle w:val="ChartGraphic"/>
      </w:pPr>
      <w:r>
        <w:object w:dxaOrig="8775" w:dyaOrig="4530" w14:anchorId="4EBF7EFB">
          <v:shape id="_x0000_i1044" type="#_x0000_t75" alt="Figure 4.6 compares PRRT revenue from the review’s baseline scenario where general expenditure is deducted first with PRRT revenue when exploration expenditure is deducted first." style="width:439.5pt;height:227.25pt;mso-position-vertical:absolute" o:ole="">
            <v:imagedata r:id="rId73" o:title=""/>
          </v:shape>
          <o:OLEObject Type="Link" ProgID="Excel.Sheet.12" ShapeID="_x0000_i1044" DrawAspect="Content" r:id="rId74" UpdateMode="Always">
            <o:LinkType>EnhancedMetaFile</o:LinkType>
            <o:LockedField>false</o:LockedField>
          </o:OLEObject>
        </w:object>
      </w:r>
    </w:p>
    <w:p w14:paraId="68E4B5C3" w14:textId="22DAD12D" w:rsidR="004F6C78" w:rsidRDefault="004F6C78" w:rsidP="00C026C1">
      <w:pPr>
        <w:pStyle w:val="ChartorTableNote"/>
      </w:pPr>
      <w:r w:rsidRPr="007E3CCC">
        <w:t xml:space="preserve">Source: </w:t>
      </w:r>
      <w:r w:rsidR="007E3CCC" w:rsidRPr="007E3CCC">
        <w:t>Petroleum Resource Rent Tax</w:t>
      </w:r>
      <w:r w:rsidRPr="007E3CCC">
        <w:t xml:space="preserve"> Review Secretariat</w:t>
      </w:r>
      <w:r w:rsidR="00EE212D">
        <w:t>.</w:t>
      </w:r>
    </w:p>
    <w:p w14:paraId="6F19C5C9" w14:textId="77777777" w:rsidR="00C026C1" w:rsidRPr="00C026C1" w:rsidRDefault="00C026C1" w:rsidP="00C026C1">
      <w:pPr>
        <w:pStyle w:val="SingleParagraph"/>
      </w:pPr>
    </w:p>
    <w:p w14:paraId="0EE0ED52" w14:textId="7966854F" w:rsidR="009B7D3C" w:rsidRDefault="003932BC" w:rsidP="009B7D3C">
      <w:pPr>
        <w:pStyle w:val="Heading2"/>
      </w:pPr>
      <w:bookmarkStart w:id="6190" w:name="_Toc479254355"/>
      <w:bookmarkStart w:id="6191" w:name="_Toc479258544"/>
      <w:bookmarkStart w:id="6192" w:name="_Toc479258860"/>
      <w:bookmarkStart w:id="6193" w:name="_Toc479259752"/>
      <w:bookmarkStart w:id="6194" w:name="_Toc479262175"/>
      <w:bookmarkStart w:id="6195" w:name="_Toc479262596"/>
      <w:bookmarkStart w:id="6196" w:name="_Toc479321297"/>
      <w:bookmarkStart w:id="6197" w:name="_Toc479326736"/>
      <w:bookmarkStart w:id="6198" w:name="_Toc479333335"/>
      <w:bookmarkStart w:id="6199" w:name="_Toc479335032"/>
      <w:bookmarkStart w:id="6200" w:name="_Toc479341747"/>
      <w:bookmarkStart w:id="6201" w:name="_Toc479345163"/>
      <w:bookmarkStart w:id="6202" w:name="_Toc479345372"/>
      <w:bookmarkStart w:id="6203" w:name="_Toc479348353"/>
      <w:bookmarkStart w:id="6204" w:name="_Toc479675947"/>
      <w:bookmarkStart w:id="6205" w:name="_Toc479690914"/>
      <w:bookmarkStart w:id="6206" w:name="_Toc479693492"/>
      <w:bookmarkStart w:id="6207" w:name="_Toc479770661"/>
      <w:bookmarkStart w:id="6208" w:name="_Toc476926936"/>
      <w:bookmarkStart w:id="6209" w:name="_Toc476927049"/>
      <w:bookmarkStart w:id="6210" w:name="_Toc476927223"/>
      <w:bookmarkStart w:id="6211" w:name="_Toc476928487"/>
      <w:bookmarkStart w:id="6212" w:name="_Toc476929530"/>
      <w:bookmarkStart w:id="6213" w:name="_Toc476929705"/>
      <w:bookmarkStart w:id="6214" w:name="_Toc476930748"/>
      <w:bookmarkStart w:id="6215" w:name="_Toc476931555"/>
      <w:bookmarkStart w:id="6216" w:name="_Toc477869900"/>
      <w:bookmarkStart w:id="6217" w:name="_Toc477871139"/>
      <w:bookmarkStart w:id="6218" w:name="_Toc477873298"/>
      <w:bookmarkStart w:id="6219" w:name="_Toc477875292"/>
      <w:bookmarkStart w:id="6220" w:name="_Toc477880205"/>
      <w:bookmarkStart w:id="6221" w:name="_Toc477881465"/>
      <w:bookmarkStart w:id="6222" w:name="_Toc477955869"/>
      <w:bookmarkStart w:id="6223" w:name="_Toc477963114"/>
      <w:bookmarkStart w:id="6224" w:name="_Toc477963600"/>
      <w:bookmarkStart w:id="6225" w:name="_Toc477965186"/>
      <w:bookmarkStart w:id="6226" w:name="_Toc477966690"/>
      <w:bookmarkStart w:id="6227" w:name="_Toc477966859"/>
      <w:bookmarkStart w:id="6228" w:name="_Toc477967199"/>
      <w:bookmarkStart w:id="6229" w:name="_Toc478121336"/>
      <w:bookmarkStart w:id="6230" w:name="_Toc478122249"/>
      <w:bookmarkStart w:id="6231" w:name="_Toc478132223"/>
      <w:bookmarkStart w:id="6232" w:name="_Toc478133249"/>
      <w:bookmarkStart w:id="6233" w:name="_Toc478132386"/>
      <w:bookmarkStart w:id="6234" w:name="_Toc478134715"/>
      <w:bookmarkStart w:id="6235" w:name="_Toc478137417"/>
      <w:bookmarkStart w:id="6236" w:name="_Toc478138489"/>
      <w:bookmarkStart w:id="6237" w:name="_Toc478140059"/>
      <w:bookmarkStart w:id="6238" w:name="_Toc478140475"/>
      <w:bookmarkStart w:id="6239" w:name="_Toc478142681"/>
      <w:bookmarkStart w:id="6240" w:name="_Toc478566397"/>
      <w:bookmarkStart w:id="6241" w:name="_Toc478569564"/>
      <w:bookmarkStart w:id="6242" w:name="_Toc478569738"/>
      <w:bookmarkStart w:id="6243" w:name="_Toc478570812"/>
      <w:bookmarkStart w:id="6244" w:name="_Toc478633011"/>
      <w:bookmarkStart w:id="6245" w:name="_Toc478641419"/>
      <w:bookmarkStart w:id="6246" w:name="_Toc478654313"/>
      <w:bookmarkStart w:id="6247" w:name="_Toc478654487"/>
      <w:bookmarkStart w:id="6248" w:name="_Toc478657782"/>
      <w:bookmarkStart w:id="6249" w:name="_Toc478993203"/>
      <w:bookmarkStart w:id="6250" w:name="_Toc479000274"/>
      <w:bookmarkStart w:id="6251" w:name="_Toc479002208"/>
      <w:bookmarkStart w:id="6252" w:name="_Toc479002380"/>
      <w:bookmarkStart w:id="6253" w:name="_Toc476738097"/>
      <w:bookmarkStart w:id="6254" w:name="_Toc476747679"/>
      <w:bookmarkStart w:id="6255" w:name="_Toc476749089"/>
      <w:bookmarkStart w:id="6256" w:name="_Toc476753956"/>
      <w:bookmarkStart w:id="6257" w:name="_Toc476754451"/>
      <w:bookmarkStart w:id="6258" w:name="_Toc476754616"/>
      <w:bookmarkStart w:id="6259" w:name="_Toc476759855"/>
      <w:bookmarkStart w:id="6260" w:name="_Toc476761477"/>
      <w:bookmarkStart w:id="6261" w:name="_Toc476767115"/>
      <w:bookmarkStart w:id="6262" w:name="_Toc476827161"/>
      <w:bookmarkStart w:id="6263" w:name="_Toc476828854"/>
      <w:bookmarkStart w:id="6264" w:name="_Toc476833728"/>
      <w:bookmarkStart w:id="6265" w:name="_Toc476837201"/>
      <w:bookmarkStart w:id="6266" w:name="_Toc476841074"/>
      <w:bookmarkStart w:id="6267" w:name="_Toc476841279"/>
      <w:bookmarkStart w:id="6268" w:name="_Toc476842038"/>
      <w:bookmarkStart w:id="6269" w:name="_Toc476842982"/>
      <w:bookmarkStart w:id="6270" w:name="_Toc476843153"/>
      <w:bookmarkStart w:id="6271" w:name="_Toc476844651"/>
      <w:bookmarkStart w:id="6272" w:name="_Toc476845544"/>
      <w:r>
        <w:t>4.5</w:t>
      </w:r>
      <w:r w:rsidR="005122D5">
        <w:tab/>
      </w:r>
      <w:r w:rsidR="009B7D3C">
        <w:t xml:space="preserve">Stockpile </w:t>
      </w:r>
      <w:r w:rsidR="003C1E3F">
        <w:t>o</w:t>
      </w:r>
      <w:r w:rsidR="009B7D3C">
        <w:t xml:space="preserve">f </w:t>
      </w:r>
      <w:r w:rsidR="00970395">
        <w:t xml:space="preserve">Deductible </w:t>
      </w:r>
      <w:r w:rsidR="009B7D3C">
        <w:t>Expenditure</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r w:rsidR="009B7D3C">
        <w:t xml:space="preserve"> </w:t>
      </w:r>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14:paraId="3A93B1A2" w14:textId="09E9B152" w:rsidR="009B7D3C" w:rsidRDefault="009B7D3C" w:rsidP="009B7D3C">
      <w:r>
        <w:t>The ATO submission provides a snapshot of key PRRT data relating to deductible expenditure. Th</w:t>
      </w:r>
      <w:r w:rsidR="00970395">
        <w:t>e</w:t>
      </w:r>
      <w:r>
        <w:t xml:space="preserve"> data aggregate PRRT returns lodged across the system and provide a snapshot across various </w:t>
      </w:r>
      <w:r w:rsidR="00970395">
        <w:t xml:space="preserve">tax return </w:t>
      </w:r>
      <w:r>
        <w:t>labels and expenditure categories. The aggregate data for</w:t>
      </w:r>
      <w:r w:rsidR="00C026C1">
        <w:t> </w:t>
      </w:r>
      <w:r>
        <w:t>2015</w:t>
      </w:r>
      <w:r w:rsidR="005D6F39">
        <w:noBreakHyphen/>
      </w:r>
      <w:r>
        <w:t>16 show a further increase in the amount of deductible expenditure that PRRT taxpayers lodging returns have registered in the system.</w:t>
      </w:r>
    </w:p>
    <w:p w14:paraId="4F1263CD" w14:textId="084AB374" w:rsidR="009B7D3C" w:rsidRPr="00AB00E4" w:rsidRDefault="009B7D3C" w:rsidP="009B7D3C">
      <w:r w:rsidRPr="00AB00E4">
        <w:t xml:space="preserve">There will be large increases in deductible expenditure categories when project participants first have assessable </w:t>
      </w:r>
      <w:r w:rsidR="00F14C3A">
        <w:t xml:space="preserve">PRRT </w:t>
      </w:r>
      <w:r w:rsidRPr="00AB00E4">
        <w:t xml:space="preserve">receipts from a project and enter the reporting system. Entities do not have to lodge a PRRT return until they are deriving assessable </w:t>
      </w:r>
      <w:r w:rsidR="00F14C3A">
        <w:t xml:space="preserve">PRRT </w:t>
      </w:r>
      <w:r w:rsidRPr="00AB00E4">
        <w:t>receipts. PRRT returns are due 60 days after the end of each tax year. So each time a new project comes online and starts selling petroleum commodities, the accumulated expenditure for that project is first lodged in the reporting system at the end of that PRRT year.</w:t>
      </w:r>
    </w:p>
    <w:p w14:paraId="0F8B820C" w14:textId="60064A05" w:rsidR="009B7D3C" w:rsidRDefault="009B7D3C" w:rsidP="009B7D3C">
      <w:r>
        <w:t>For example, if the first sales of petroleum product from an offshore LNG project occurred in the 2015</w:t>
      </w:r>
      <w:r w:rsidR="005D6F39">
        <w:noBreakHyphen/>
      </w:r>
      <w:r>
        <w:t xml:space="preserve">16 PRRT year, the first return for project participants deriving assessable </w:t>
      </w:r>
      <w:r w:rsidR="00F14C3A">
        <w:t xml:space="preserve">PRRT </w:t>
      </w:r>
      <w:r>
        <w:t xml:space="preserve">receipts from sales in that PRRT year would be due on 29 August 2016. It would be in this return that they would disclose to the </w:t>
      </w:r>
      <w:r w:rsidR="00C579BA">
        <w:t>ATO</w:t>
      </w:r>
      <w:r>
        <w:t xml:space="preserve"> how much deductible expenditure they had incurred </w:t>
      </w:r>
      <w:r w:rsidR="00B02806">
        <w:t xml:space="preserve">in the LNG project </w:t>
      </w:r>
      <w:r>
        <w:t>up to this point</w:t>
      </w:r>
      <w:r w:rsidR="00B02806">
        <w:t>, even though that expenditure would have been spread over many years</w:t>
      </w:r>
      <w:r>
        <w:t>.</w:t>
      </w:r>
      <w:r w:rsidR="002C0726">
        <w:t xml:space="preserve"> This accounts for</w:t>
      </w:r>
      <w:r w:rsidR="00B02806">
        <w:t xml:space="preserve"> large an</w:t>
      </w:r>
      <w:r w:rsidR="008B583F">
        <w:t>d</w:t>
      </w:r>
      <w:r w:rsidR="00B02806">
        <w:t xml:space="preserve"> lumpy increase</w:t>
      </w:r>
      <w:r w:rsidR="002C0726">
        <w:t>s</w:t>
      </w:r>
      <w:r w:rsidR="00B02806">
        <w:t xml:space="preserve"> in the aggregate stock of PRRT deductions.</w:t>
      </w:r>
    </w:p>
    <w:p w14:paraId="20E20316" w14:textId="518B2791" w:rsidR="00DE30FD" w:rsidRDefault="00B02806" w:rsidP="009F3A85">
      <w:pPr>
        <w:rPr>
          <w:b/>
          <w:bCs/>
        </w:rPr>
      </w:pPr>
      <w:r w:rsidRPr="006D28D4">
        <w:t>T</w:t>
      </w:r>
      <w:r w:rsidR="009B7D3C" w:rsidRPr="006D28D4">
        <w:t>able</w:t>
      </w:r>
      <w:r w:rsidRPr="006D28D4">
        <w:t xml:space="preserve"> </w:t>
      </w:r>
      <w:r w:rsidR="001F78AC">
        <w:t>4.1</w:t>
      </w:r>
      <w:r w:rsidR="009B7D3C">
        <w:t xml:space="preserve"> </w:t>
      </w:r>
      <w:r w:rsidR="00F10693">
        <w:t xml:space="preserve">estimates when </w:t>
      </w:r>
      <w:r w:rsidR="009B7D3C">
        <w:t xml:space="preserve">Australian LNG projects </w:t>
      </w:r>
      <w:r w:rsidR="003322B4">
        <w:t xml:space="preserve">first </w:t>
      </w:r>
      <w:r w:rsidR="009B7D3C">
        <w:t xml:space="preserve">commenced </w:t>
      </w:r>
      <w:r w:rsidR="003322B4">
        <w:t>or will commence</w:t>
      </w:r>
      <w:r w:rsidR="009B7D3C">
        <w:t xml:space="preserve"> sales and </w:t>
      </w:r>
      <w:r w:rsidR="009B7D3C" w:rsidDel="00F10693">
        <w:t xml:space="preserve">when </w:t>
      </w:r>
      <w:r w:rsidR="009B7D3C">
        <w:t xml:space="preserve">project participants were </w:t>
      </w:r>
      <w:r w:rsidR="00F32DE9">
        <w:t>or will be</w:t>
      </w:r>
      <w:r w:rsidR="009B7D3C">
        <w:t xml:space="preserve"> included </w:t>
      </w:r>
      <w:r w:rsidR="00F32DE9">
        <w:t>in</w:t>
      </w:r>
      <w:r w:rsidR="009B7D3C">
        <w:t xml:space="preserve"> PRRT aggregate data.</w:t>
      </w:r>
      <w:r w:rsidR="00DE30FD">
        <w:br w:type="page"/>
      </w:r>
    </w:p>
    <w:p w14:paraId="16B21EBB" w14:textId="11D4A96D" w:rsidR="00DE30FD" w:rsidRDefault="00DE30FD" w:rsidP="00DE30FD">
      <w:pPr>
        <w:pStyle w:val="Heading4"/>
      </w:pPr>
      <w:r>
        <w:t xml:space="preserve">Table </w:t>
      </w:r>
      <w:r w:rsidR="001F78AC">
        <w:t>4.1</w:t>
      </w:r>
      <w:r w:rsidR="00ED0185">
        <w:t xml:space="preserve"> ― Year of </w:t>
      </w:r>
      <w:r w:rsidR="00723BBB">
        <w:t>project entry</w:t>
      </w:r>
      <w:r w:rsidR="00ED0185">
        <w:t xml:space="preserve"> into PRRT </w:t>
      </w:r>
      <w:r w:rsidR="00723BBB">
        <w:t>s</w:t>
      </w:r>
      <w:r w:rsidR="00ED0185">
        <w:t>ystem</w:t>
      </w:r>
    </w:p>
    <w:tbl>
      <w:tblPr>
        <w:tblStyle w:val="TableGrid2"/>
        <w:tblW w:w="0" w:type="auto"/>
        <w:tblInd w:w="108" w:type="dxa"/>
        <w:tblLook w:val="04A0" w:firstRow="1" w:lastRow="0" w:firstColumn="1" w:lastColumn="0" w:noHBand="0" w:noVBand="1"/>
      </w:tblPr>
      <w:tblGrid>
        <w:gridCol w:w="2972"/>
        <w:gridCol w:w="3081"/>
        <w:gridCol w:w="3019"/>
      </w:tblGrid>
      <w:tr w:rsidR="009B7D3C" w:rsidRPr="00E22676" w14:paraId="03B7A214" w14:textId="77777777" w:rsidTr="00C026C1">
        <w:tc>
          <w:tcPr>
            <w:tcW w:w="2972" w:type="dxa"/>
          </w:tcPr>
          <w:p w14:paraId="5433067E" w14:textId="77777777" w:rsidR="009B7D3C" w:rsidRPr="00970395" w:rsidRDefault="009B7D3C" w:rsidP="00C026C1">
            <w:pPr>
              <w:pStyle w:val="TableColumnHeadingLeft"/>
            </w:pPr>
            <w:r w:rsidRPr="00970395">
              <w:t>Project</w:t>
            </w:r>
          </w:p>
        </w:tc>
        <w:tc>
          <w:tcPr>
            <w:tcW w:w="3081" w:type="dxa"/>
          </w:tcPr>
          <w:p w14:paraId="448CFE38" w14:textId="392FAD4D" w:rsidR="009B7D3C" w:rsidRPr="00970395" w:rsidRDefault="009B7D3C" w:rsidP="00C026C1">
            <w:pPr>
              <w:pStyle w:val="TableColumnHeadingLeft"/>
            </w:pPr>
            <w:r w:rsidRPr="00970395">
              <w:t>First Production</w:t>
            </w:r>
            <w:r w:rsidR="00260FA7">
              <w:t>*</w:t>
            </w:r>
          </w:p>
        </w:tc>
        <w:tc>
          <w:tcPr>
            <w:tcW w:w="3019" w:type="dxa"/>
          </w:tcPr>
          <w:p w14:paraId="70017A24" w14:textId="1E42A275" w:rsidR="009B7D3C" w:rsidRPr="00970395" w:rsidRDefault="009B7D3C" w:rsidP="00C026C1">
            <w:pPr>
              <w:pStyle w:val="TableColumnHeadingLeft"/>
            </w:pPr>
            <w:r w:rsidRPr="00970395">
              <w:t xml:space="preserve">Likely Year Historical </w:t>
            </w:r>
            <w:r w:rsidR="00260FA7">
              <w:t>Deductions</w:t>
            </w:r>
            <w:r w:rsidRPr="00970395">
              <w:t xml:space="preserve"> First Recognised in Aggregate PRRT Data</w:t>
            </w:r>
          </w:p>
        </w:tc>
      </w:tr>
      <w:tr w:rsidR="009B7D3C" w:rsidRPr="00E22676" w14:paraId="0D40D30F" w14:textId="77777777" w:rsidTr="00C026C1">
        <w:tc>
          <w:tcPr>
            <w:tcW w:w="2972" w:type="dxa"/>
          </w:tcPr>
          <w:p w14:paraId="36D19B6E" w14:textId="77777777" w:rsidR="009B7D3C" w:rsidRPr="00970395" w:rsidRDefault="009B7D3C" w:rsidP="00C026C1">
            <w:pPr>
              <w:pStyle w:val="TableColumnHeadingLeft"/>
            </w:pPr>
            <w:r w:rsidRPr="00970395">
              <w:t>North West Shelf</w:t>
            </w:r>
          </w:p>
        </w:tc>
        <w:tc>
          <w:tcPr>
            <w:tcW w:w="3081" w:type="dxa"/>
          </w:tcPr>
          <w:p w14:paraId="22448D59" w14:textId="34A18127" w:rsidR="009B7D3C" w:rsidRPr="00980A54" w:rsidRDefault="009B7D3C" w:rsidP="00C026C1">
            <w:pPr>
              <w:pStyle w:val="TableTextLeft"/>
            </w:pPr>
            <w:r w:rsidRPr="00980A54">
              <w:t>198</w:t>
            </w:r>
            <w:r w:rsidR="0000366F">
              <w:t>4 (domestic gas), 1989 (LNG)</w:t>
            </w:r>
          </w:p>
        </w:tc>
        <w:tc>
          <w:tcPr>
            <w:tcW w:w="3019" w:type="dxa"/>
          </w:tcPr>
          <w:p w14:paraId="3AEF66A0" w14:textId="330E3153" w:rsidR="009B7D3C" w:rsidRPr="00980A54" w:rsidRDefault="009B7D3C" w:rsidP="00C026C1">
            <w:pPr>
              <w:pStyle w:val="TableTextLeft"/>
            </w:pPr>
            <w:r w:rsidRPr="00980A54">
              <w:t>2012</w:t>
            </w:r>
            <w:r w:rsidR="005D6F39">
              <w:noBreakHyphen/>
            </w:r>
            <w:r w:rsidRPr="00980A54">
              <w:t>13</w:t>
            </w:r>
          </w:p>
        </w:tc>
      </w:tr>
      <w:tr w:rsidR="009B7D3C" w:rsidRPr="00E22676" w14:paraId="488FBFEB" w14:textId="77777777" w:rsidTr="00C026C1">
        <w:tc>
          <w:tcPr>
            <w:tcW w:w="2972" w:type="dxa"/>
          </w:tcPr>
          <w:p w14:paraId="0AED8C24" w14:textId="77777777" w:rsidR="009B7D3C" w:rsidRPr="00970395" w:rsidRDefault="009B7D3C" w:rsidP="00C026C1">
            <w:pPr>
              <w:pStyle w:val="TableColumnHeadingLeft"/>
            </w:pPr>
            <w:r w:rsidRPr="00970395">
              <w:t>Darwin LNG</w:t>
            </w:r>
          </w:p>
        </w:tc>
        <w:tc>
          <w:tcPr>
            <w:tcW w:w="3081" w:type="dxa"/>
          </w:tcPr>
          <w:p w14:paraId="56260290" w14:textId="0F106286" w:rsidR="009B7D3C" w:rsidRPr="00980A54" w:rsidRDefault="0000366F" w:rsidP="00C026C1">
            <w:pPr>
              <w:pStyle w:val="TableTextLeft"/>
            </w:pPr>
            <w:r>
              <w:t>2006</w:t>
            </w:r>
          </w:p>
        </w:tc>
        <w:tc>
          <w:tcPr>
            <w:tcW w:w="3019" w:type="dxa"/>
          </w:tcPr>
          <w:p w14:paraId="0B3D4514" w14:textId="77777777" w:rsidR="009B7D3C" w:rsidRPr="00980A54" w:rsidRDefault="009B7D3C" w:rsidP="00C026C1">
            <w:pPr>
              <w:pStyle w:val="TableTextLeft"/>
            </w:pPr>
            <w:r w:rsidRPr="00980A54">
              <w:t>Not a PRRT project</w:t>
            </w:r>
          </w:p>
        </w:tc>
      </w:tr>
      <w:tr w:rsidR="009B7D3C" w:rsidRPr="00E22676" w14:paraId="0A29A700" w14:textId="77777777" w:rsidTr="00C026C1">
        <w:tc>
          <w:tcPr>
            <w:tcW w:w="2972" w:type="dxa"/>
          </w:tcPr>
          <w:p w14:paraId="4DC2884A" w14:textId="77777777" w:rsidR="009B7D3C" w:rsidRPr="00970395" w:rsidRDefault="009B7D3C" w:rsidP="00C026C1">
            <w:pPr>
              <w:pStyle w:val="TableColumnHeadingLeft"/>
            </w:pPr>
            <w:r w:rsidRPr="00970395">
              <w:t>Pluto</w:t>
            </w:r>
          </w:p>
        </w:tc>
        <w:tc>
          <w:tcPr>
            <w:tcW w:w="3081" w:type="dxa"/>
          </w:tcPr>
          <w:p w14:paraId="3AF36AA1" w14:textId="77777777" w:rsidR="009B7D3C" w:rsidRPr="00980A54" w:rsidRDefault="009B7D3C" w:rsidP="00C026C1">
            <w:pPr>
              <w:pStyle w:val="TableTextLeft"/>
            </w:pPr>
            <w:r w:rsidRPr="00980A54">
              <w:t>2012</w:t>
            </w:r>
          </w:p>
        </w:tc>
        <w:tc>
          <w:tcPr>
            <w:tcW w:w="3019" w:type="dxa"/>
          </w:tcPr>
          <w:p w14:paraId="274E83F9" w14:textId="53842034" w:rsidR="009B7D3C" w:rsidRPr="00980A54" w:rsidRDefault="009B7D3C" w:rsidP="00C026C1">
            <w:pPr>
              <w:pStyle w:val="TableTextLeft"/>
            </w:pPr>
            <w:r w:rsidRPr="00980A54">
              <w:t>2011</w:t>
            </w:r>
            <w:r w:rsidR="005D6F39">
              <w:noBreakHyphen/>
            </w:r>
            <w:r w:rsidRPr="00980A54">
              <w:t>12</w:t>
            </w:r>
          </w:p>
        </w:tc>
      </w:tr>
      <w:tr w:rsidR="009B7D3C" w:rsidRPr="00E22676" w14:paraId="1229673B" w14:textId="77777777" w:rsidTr="00C026C1">
        <w:tc>
          <w:tcPr>
            <w:tcW w:w="2972" w:type="dxa"/>
          </w:tcPr>
          <w:p w14:paraId="7AF85FAC" w14:textId="77777777" w:rsidR="009B7D3C" w:rsidRPr="00970395" w:rsidRDefault="009B7D3C" w:rsidP="00C026C1">
            <w:pPr>
              <w:pStyle w:val="TableColumnHeadingLeft"/>
            </w:pPr>
            <w:r w:rsidRPr="00970395">
              <w:t>Queensland Curtis LNG</w:t>
            </w:r>
          </w:p>
        </w:tc>
        <w:tc>
          <w:tcPr>
            <w:tcW w:w="3081" w:type="dxa"/>
          </w:tcPr>
          <w:p w14:paraId="257B3DED" w14:textId="77777777" w:rsidR="009B7D3C" w:rsidRPr="00980A54" w:rsidRDefault="009B7D3C" w:rsidP="00C026C1">
            <w:pPr>
              <w:pStyle w:val="TableTextLeft"/>
            </w:pPr>
            <w:r w:rsidRPr="00980A54">
              <w:t>2014</w:t>
            </w:r>
          </w:p>
        </w:tc>
        <w:tc>
          <w:tcPr>
            <w:tcW w:w="3019" w:type="dxa"/>
          </w:tcPr>
          <w:p w14:paraId="04036AEB" w14:textId="01887E29" w:rsidR="009B7D3C" w:rsidRPr="00980A54" w:rsidRDefault="009B7D3C" w:rsidP="00C026C1">
            <w:pPr>
              <w:pStyle w:val="TableTextLeft"/>
            </w:pPr>
            <w:r w:rsidRPr="00980A54">
              <w:t>2012</w:t>
            </w:r>
            <w:r w:rsidR="005D6F39">
              <w:noBreakHyphen/>
            </w:r>
            <w:r w:rsidRPr="00980A54">
              <w:t>13</w:t>
            </w:r>
          </w:p>
        </w:tc>
      </w:tr>
      <w:tr w:rsidR="009B7D3C" w:rsidRPr="00E22676" w14:paraId="0D726230" w14:textId="77777777" w:rsidTr="00C026C1">
        <w:tc>
          <w:tcPr>
            <w:tcW w:w="2972" w:type="dxa"/>
          </w:tcPr>
          <w:p w14:paraId="5969FC34" w14:textId="77777777" w:rsidR="009B7D3C" w:rsidRPr="00970395" w:rsidRDefault="009B7D3C" w:rsidP="00C026C1">
            <w:pPr>
              <w:pStyle w:val="TableColumnHeadingLeft"/>
            </w:pPr>
            <w:r w:rsidRPr="00970395">
              <w:t>Gladstone LNG</w:t>
            </w:r>
          </w:p>
        </w:tc>
        <w:tc>
          <w:tcPr>
            <w:tcW w:w="3081" w:type="dxa"/>
          </w:tcPr>
          <w:p w14:paraId="51FD3274" w14:textId="77777777" w:rsidR="009B7D3C" w:rsidRPr="00980A54" w:rsidRDefault="009B7D3C" w:rsidP="00C026C1">
            <w:pPr>
              <w:pStyle w:val="TableTextLeft"/>
            </w:pPr>
            <w:r w:rsidRPr="00980A54">
              <w:t>2015</w:t>
            </w:r>
          </w:p>
        </w:tc>
        <w:tc>
          <w:tcPr>
            <w:tcW w:w="3019" w:type="dxa"/>
          </w:tcPr>
          <w:p w14:paraId="798564A1" w14:textId="37264058" w:rsidR="009B7D3C" w:rsidRPr="00980A54" w:rsidRDefault="009B7D3C" w:rsidP="00C026C1">
            <w:pPr>
              <w:pStyle w:val="TableTextLeft"/>
            </w:pPr>
            <w:r w:rsidRPr="00980A54">
              <w:t>2012</w:t>
            </w:r>
            <w:r w:rsidR="005D6F39">
              <w:noBreakHyphen/>
            </w:r>
            <w:r w:rsidRPr="00980A54">
              <w:t>13</w:t>
            </w:r>
          </w:p>
        </w:tc>
      </w:tr>
      <w:tr w:rsidR="009B7D3C" w:rsidRPr="00E22676" w14:paraId="4928FE0F" w14:textId="77777777" w:rsidTr="00C026C1">
        <w:tc>
          <w:tcPr>
            <w:tcW w:w="2972" w:type="dxa"/>
          </w:tcPr>
          <w:p w14:paraId="782D7BEA" w14:textId="77777777" w:rsidR="009B7D3C" w:rsidRPr="00970395" w:rsidRDefault="009B7D3C" w:rsidP="00C026C1">
            <w:pPr>
              <w:pStyle w:val="TableColumnHeadingLeft"/>
            </w:pPr>
            <w:r w:rsidRPr="00970395">
              <w:t>Australia Pacific LNG</w:t>
            </w:r>
          </w:p>
        </w:tc>
        <w:tc>
          <w:tcPr>
            <w:tcW w:w="3081" w:type="dxa"/>
          </w:tcPr>
          <w:p w14:paraId="03F7ADDB" w14:textId="77777777" w:rsidR="009B7D3C" w:rsidRPr="00980A54" w:rsidRDefault="009B7D3C" w:rsidP="00C026C1">
            <w:pPr>
              <w:pStyle w:val="TableTextLeft"/>
            </w:pPr>
            <w:r w:rsidRPr="00980A54">
              <w:t>2015</w:t>
            </w:r>
          </w:p>
        </w:tc>
        <w:tc>
          <w:tcPr>
            <w:tcW w:w="3019" w:type="dxa"/>
          </w:tcPr>
          <w:p w14:paraId="4FD568F9" w14:textId="17B8C47B" w:rsidR="009B7D3C" w:rsidRPr="00980A54" w:rsidRDefault="009B7D3C" w:rsidP="00C026C1">
            <w:pPr>
              <w:pStyle w:val="TableTextLeft"/>
            </w:pPr>
            <w:r w:rsidRPr="00980A54">
              <w:t>2012</w:t>
            </w:r>
            <w:r w:rsidR="005D6F39">
              <w:noBreakHyphen/>
            </w:r>
            <w:r w:rsidRPr="00980A54">
              <w:t>13</w:t>
            </w:r>
          </w:p>
        </w:tc>
      </w:tr>
      <w:tr w:rsidR="009B7D3C" w:rsidRPr="00E22676" w14:paraId="7462C7AD" w14:textId="77777777" w:rsidTr="00C026C1">
        <w:tc>
          <w:tcPr>
            <w:tcW w:w="2972" w:type="dxa"/>
          </w:tcPr>
          <w:p w14:paraId="44A76AFA" w14:textId="77777777" w:rsidR="009B7D3C" w:rsidRPr="00970395" w:rsidRDefault="009B7D3C" w:rsidP="00C026C1">
            <w:pPr>
              <w:pStyle w:val="TableColumnHeadingLeft"/>
            </w:pPr>
            <w:r w:rsidRPr="00970395">
              <w:t>Gorgon</w:t>
            </w:r>
          </w:p>
        </w:tc>
        <w:tc>
          <w:tcPr>
            <w:tcW w:w="3081" w:type="dxa"/>
          </w:tcPr>
          <w:p w14:paraId="65BFD761" w14:textId="77777777" w:rsidR="009B7D3C" w:rsidRPr="00980A54" w:rsidRDefault="009B7D3C" w:rsidP="00C026C1">
            <w:pPr>
              <w:pStyle w:val="TableTextLeft"/>
            </w:pPr>
            <w:r w:rsidRPr="00980A54">
              <w:t>2016</w:t>
            </w:r>
          </w:p>
        </w:tc>
        <w:tc>
          <w:tcPr>
            <w:tcW w:w="3019" w:type="dxa"/>
          </w:tcPr>
          <w:p w14:paraId="0BB686EC" w14:textId="5D5604F9" w:rsidR="009B7D3C" w:rsidRPr="00980A54" w:rsidRDefault="009B7D3C" w:rsidP="00C026C1">
            <w:pPr>
              <w:pStyle w:val="TableTextLeft"/>
            </w:pPr>
            <w:r w:rsidRPr="00980A54">
              <w:t>Likely 2015</w:t>
            </w:r>
            <w:r w:rsidR="005D6F39">
              <w:noBreakHyphen/>
            </w:r>
            <w:r w:rsidRPr="00980A54">
              <w:t>16</w:t>
            </w:r>
          </w:p>
        </w:tc>
      </w:tr>
      <w:tr w:rsidR="009B7D3C" w:rsidRPr="00E22676" w14:paraId="4CE69E5F" w14:textId="77777777" w:rsidTr="00C026C1">
        <w:tc>
          <w:tcPr>
            <w:tcW w:w="2972" w:type="dxa"/>
          </w:tcPr>
          <w:p w14:paraId="0C931DAE" w14:textId="77777777" w:rsidR="009B7D3C" w:rsidRPr="00970395" w:rsidRDefault="009B7D3C" w:rsidP="00C026C1">
            <w:pPr>
              <w:pStyle w:val="TableColumnHeadingLeft"/>
            </w:pPr>
            <w:r w:rsidRPr="00970395">
              <w:t>Wheatstone</w:t>
            </w:r>
          </w:p>
        </w:tc>
        <w:tc>
          <w:tcPr>
            <w:tcW w:w="3081" w:type="dxa"/>
          </w:tcPr>
          <w:p w14:paraId="02E649FF" w14:textId="36AB3D05" w:rsidR="009B7D3C" w:rsidRPr="00980A54" w:rsidRDefault="009B7D3C" w:rsidP="00C026C1">
            <w:pPr>
              <w:pStyle w:val="TableTextLeft"/>
            </w:pPr>
            <w:r w:rsidRPr="00980A54">
              <w:t>Planned for mid</w:t>
            </w:r>
            <w:r w:rsidR="005D6F39">
              <w:noBreakHyphen/>
            </w:r>
            <w:r w:rsidRPr="00980A54">
              <w:t>2017</w:t>
            </w:r>
          </w:p>
        </w:tc>
        <w:tc>
          <w:tcPr>
            <w:tcW w:w="3019" w:type="dxa"/>
          </w:tcPr>
          <w:p w14:paraId="57B16E70" w14:textId="4E6E0288" w:rsidR="009B7D3C" w:rsidRPr="00980A54" w:rsidRDefault="009B7D3C" w:rsidP="00C026C1">
            <w:pPr>
              <w:pStyle w:val="TableTextLeft"/>
            </w:pPr>
            <w:r>
              <w:t>Possibly 2017</w:t>
            </w:r>
            <w:r w:rsidR="005D6F39">
              <w:noBreakHyphen/>
            </w:r>
            <w:r w:rsidRPr="00980A54">
              <w:t>18</w:t>
            </w:r>
          </w:p>
        </w:tc>
      </w:tr>
      <w:tr w:rsidR="009B7D3C" w:rsidRPr="00E22676" w14:paraId="25DAF2F3" w14:textId="77777777" w:rsidTr="00C026C1">
        <w:tc>
          <w:tcPr>
            <w:tcW w:w="2972" w:type="dxa"/>
          </w:tcPr>
          <w:p w14:paraId="465691A1" w14:textId="77777777" w:rsidR="009B7D3C" w:rsidRPr="00970395" w:rsidRDefault="009B7D3C" w:rsidP="00C026C1">
            <w:pPr>
              <w:pStyle w:val="TableColumnHeadingLeft"/>
            </w:pPr>
            <w:r w:rsidRPr="00970395">
              <w:t>Ichthys</w:t>
            </w:r>
          </w:p>
        </w:tc>
        <w:tc>
          <w:tcPr>
            <w:tcW w:w="3081" w:type="dxa"/>
          </w:tcPr>
          <w:p w14:paraId="021DB5A5" w14:textId="77777777" w:rsidR="009B7D3C" w:rsidRPr="00980A54" w:rsidRDefault="009B7D3C" w:rsidP="00C026C1">
            <w:pPr>
              <w:pStyle w:val="TableTextLeft"/>
            </w:pPr>
            <w:r w:rsidRPr="00980A54">
              <w:t>Planned for late 2017</w:t>
            </w:r>
          </w:p>
        </w:tc>
        <w:tc>
          <w:tcPr>
            <w:tcW w:w="3019" w:type="dxa"/>
          </w:tcPr>
          <w:p w14:paraId="48CE1A7C" w14:textId="2FA47979" w:rsidR="009B7D3C" w:rsidRPr="00980A54" w:rsidRDefault="009B7D3C" w:rsidP="00C026C1">
            <w:pPr>
              <w:pStyle w:val="TableTextLeft"/>
            </w:pPr>
            <w:r w:rsidRPr="00980A54">
              <w:t>Possibly 2017</w:t>
            </w:r>
            <w:r w:rsidR="005D6F39">
              <w:noBreakHyphen/>
            </w:r>
            <w:r w:rsidRPr="00980A54">
              <w:t>18</w:t>
            </w:r>
          </w:p>
        </w:tc>
      </w:tr>
      <w:tr w:rsidR="009B7D3C" w:rsidRPr="00E22676" w14:paraId="20502B34" w14:textId="77777777" w:rsidTr="00C026C1">
        <w:tc>
          <w:tcPr>
            <w:tcW w:w="2972" w:type="dxa"/>
          </w:tcPr>
          <w:p w14:paraId="5BA70DF9" w14:textId="77777777" w:rsidR="009B7D3C" w:rsidRPr="00970395" w:rsidRDefault="009B7D3C" w:rsidP="00C026C1">
            <w:pPr>
              <w:pStyle w:val="TableColumnHeadingLeft"/>
            </w:pPr>
            <w:r w:rsidRPr="00970395">
              <w:t>Prelude</w:t>
            </w:r>
          </w:p>
        </w:tc>
        <w:tc>
          <w:tcPr>
            <w:tcW w:w="3081" w:type="dxa"/>
          </w:tcPr>
          <w:p w14:paraId="32CFDE0D" w14:textId="77777777" w:rsidR="009B7D3C" w:rsidRPr="00980A54" w:rsidRDefault="009B7D3C" w:rsidP="00C026C1">
            <w:pPr>
              <w:pStyle w:val="TableTextLeft"/>
            </w:pPr>
            <w:r w:rsidRPr="00980A54">
              <w:t>Planned for 2018</w:t>
            </w:r>
          </w:p>
        </w:tc>
        <w:tc>
          <w:tcPr>
            <w:tcW w:w="3019" w:type="dxa"/>
          </w:tcPr>
          <w:p w14:paraId="6B867555" w14:textId="28E7ADA6" w:rsidR="009B7D3C" w:rsidRPr="00980A54" w:rsidRDefault="009B7D3C" w:rsidP="00C026C1">
            <w:pPr>
              <w:pStyle w:val="TableTextLeft"/>
            </w:pPr>
            <w:r w:rsidRPr="00980A54">
              <w:t>Possibly 2018</w:t>
            </w:r>
            <w:r w:rsidR="005D6F39">
              <w:noBreakHyphen/>
            </w:r>
            <w:r w:rsidRPr="00980A54">
              <w:t>19</w:t>
            </w:r>
          </w:p>
        </w:tc>
      </w:tr>
    </w:tbl>
    <w:p w14:paraId="3E961DF7" w14:textId="77777777" w:rsidR="009B7D3C" w:rsidRDefault="009B7D3C" w:rsidP="00C026C1">
      <w:pPr>
        <w:pStyle w:val="ChartorTableNote"/>
      </w:pPr>
      <w:r>
        <w:t>*</w:t>
      </w:r>
      <w:r w:rsidRPr="006D28D4">
        <w:t xml:space="preserve"> Based on first production and sales dates from company websites.</w:t>
      </w:r>
    </w:p>
    <w:p w14:paraId="69A99288" w14:textId="54A80CA5" w:rsidR="0068258B" w:rsidRDefault="0068258B" w:rsidP="00C026C1">
      <w:pPr>
        <w:pStyle w:val="ChartorTableNote"/>
      </w:pPr>
      <w:r w:rsidRPr="00632CE3">
        <w:t>Source: Petroleum Resource Rent Tax Review Secretariat</w:t>
      </w:r>
      <w:r>
        <w:t>.</w:t>
      </w:r>
    </w:p>
    <w:p w14:paraId="61019260" w14:textId="77777777" w:rsidR="00C026C1" w:rsidRPr="00C026C1" w:rsidRDefault="00C026C1" w:rsidP="00C026C1">
      <w:pPr>
        <w:pStyle w:val="SingleParagraph"/>
      </w:pPr>
    </w:p>
    <w:p w14:paraId="20086FCA" w14:textId="661D4933" w:rsidR="009B7D3C" w:rsidRDefault="00504A7A" w:rsidP="009B7D3C">
      <w:r>
        <w:t>Some s</w:t>
      </w:r>
      <w:r w:rsidR="009B7D3C">
        <w:t>ubmissions to the review highlighted the increase in the carry</w:t>
      </w:r>
      <w:r w:rsidR="005D6F39">
        <w:noBreakHyphen/>
      </w:r>
      <w:r w:rsidR="009B7D3C">
        <w:t>forward deductible expenditure from $18</w:t>
      </w:r>
      <w:r w:rsidR="00970395">
        <w:t> </w:t>
      </w:r>
      <w:r w:rsidR="009B7D3C">
        <w:t>billion in 2011</w:t>
      </w:r>
      <w:r w:rsidR="005D6F39">
        <w:noBreakHyphen/>
      </w:r>
      <w:r w:rsidR="009B7D3C">
        <w:t>12 to $188</w:t>
      </w:r>
      <w:r w:rsidR="004F0421">
        <w:t> </w:t>
      </w:r>
      <w:r w:rsidR="009B7D3C">
        <w:t>billion in 2014</w:t>
      </w:r>
      <w:r w:rsidR="005D6F39">
        <w:noBreakHyphen/>
      </w:r>
      <w:r w:rsidR="009B7D3C">
        <w:t>15 and $237 billion in 2015</w:t>
      </w:r>
      <w:r w:rsidR="005D6F39">
        <w:noBreakHyphen/>
      </w:r>
      <w:r w:rsidR="009B7D3C">
        <w:t xml:space="preserve">16. </w:t>
      </w:r>
    </w:p>
    <w:p w14:paraId="7EB550CD" w14:textId="44D27D62" w:rsidR="009B7D3C" w:rsidRDefault="009B7D3C" w:rsidP="009B7D3C">
      <w:r>
        <w:t xml:space="preserve">A significant portion of this total amount reflects the addition of the </w:t>
      </w:r>
      <w:r w:rsidR="00970395">
        <w:t>NWS</w:t>
      </w:r>
      <w:r>
        <w:t xml:space="preserve"> and onshore projects to the PRRT. Resource tax expenditure, acquired exploration expenditure and starting base expenditure </w:t>
      </w:r>
      <w:r w:rsidR="00AB6C4C">
        <w:t xml:space="preserve">are </w:t>
      </w:r>
      <w:r>
        <w:t xml:space="preserve">all confined to the onshore and </w:t>
      </w:r>
      <w:r w:rsidR="00970395">
        <w:t>NWS</w:t>
      </w:r>
      <w:r>
        <w:t xml:space="preserve"> projects. In 2015</w:t>
      </w:r>
      <w:r w:rsidR="005D6F39">
        <w:noBreakHyphen/>
      </w:r>
      <w:r>
        <w:t xml:space="preserve">16 these categories </w:t>
      </w:r>
      <w:r w:rsidR="00504A7A">
        <w:t>accounted for</w:t>
      </w:r>
      <w:r>
        <w:t xml:space="preserve"> approximately 44 per cent of the total deductible expenditure in the system</w:t>
      </w:r>
      <w:r w:rsidR="00504A7A">
        <w:t xml:space="preserve">, </w:t>
      </w:r>
      <w:r>
        <w:t xml:space="preserve">or $112 billion. These amounts are not transferable to other projects. Unless the individual projects to which these amounts relate have assessable </w:t>
      </w:r>
      <w:r w:rsidR="00AC2CDB">
        <w:t xml:space="preserve">PRRT </w:t>
      </w:r>
      <w:r>
        <w:t>receipts in excess of the other categories of deductions that are used first, the amounts will continue to be uplifted and provide a shield against future PRRT liabilities.</w:t>
      </w:r>
    </w:p>
    <w:p w14:paraId="795A1A79" w14:textId="3AE54309" w:rsidR="00060F13" w:rsidRDefault="001735F8" w:rsidP="009B7D3C">
      <w:bookmarkStart w:id="6273" w:name="_Toc476926937"/>
      <w:bookmarkStart w:id="6274" w:name="_Toc476927050"/>
      <w:bookmarkStart w:id="6275" w:name="_Toc476927224"/>
      <w:bookmarkStart w:id="6276" w:name="_Toc476928488"/>
      <w:bookmarkStart w:id="6277" w:name="_Toc476929531"/>
      <w:bookmarkStart w:id="6278" w:name="_Toc476929706"/>
      <w:bookmarkStart w:id="6279" w:name="_Toc476930749"/>
      <w:bookmarkStart w:id="6280" w:name="_Toc476931556"/>
      <w:bookmarkStart w:id="6281" w:name="_Toc477869901"/>
      <w:bookmarkStart w:id="6282" w:name="_Toc477871140"/>
      <w:bookmarkStart w:id="6283" w:name="_Toc477873299"/>
      <w:bookmarkStart w:id="6284" w:name="_Toc477875293"/>
      <w:bookmarkStart w:id="6285" w:name="_Toc477880206"/>
      <w:bookmarkStart w:id="6286" w:name="_Toc477881466"/>
      <w:bookmarkStart w:id="6287" w:name="_Toc477955870"/>
      <w:bookmarkStart w:id="6288" w:name="_Toc477963115"/>
      <w:bookmarkStart w:id="6289" w:name="_Toc477963601"/>
      <w:bookmarkStart w:id="6290" w:name="_Toc477965187"/>
      <w:bookmarkStart w:id="6291" w:name="_Toc477966691"/>
      <w:bookmarkStart w:id="6292" w:name="_Toc477966860"/>
      <w:bookmarkStart w:id="6293" w:name="_Toc477967200"/>
      <w:bookmarkStart w:id="6294" w:name="_Toc478121337"/>
      <w:bookmarkStart w:id="6295" w:name="_Toc478122250"/>
      <w:r>
        <w:t xml:space="preserve">Beyond starting base expenditure (set at 1 July 2012) and resource tax expenditure, </w:t>
      </w:r>
      <w:r w:rsidR="009B7D3C">
        <w:t xml:space="preserve">growth of </w:t>
      </w:r>
      <w:r w:rsidR="00504A7A">
        <w:t>g</w:t>
      </w:r>
      <w:r w:rsidR="00AC6281">
        <w:t>eneral and</w:t>
      </w:r>
      <w:r w:rsidR="009B7D3C">
        <w:t xml:space="preserve"> exploration </w:t>
      </w:r>
      <w:r w:rsidR="00504A7A">
        <w:t xml:space="preserve">deductible </w:t>
      </w:r>
      <w:r w:rsidR="009B7D3C">
        <w:t xml:space="preserve">expenditure </w:t>
      </w:r>
      <w:r>
        <w:t>from</w:t>
      </w:r>
      <w:r w:rsidR="009B7D3C">
        <w:t xml:space="preserve"> 2012</w:t>
      </w:r>
      <w:r w:rsidR="005D6F39">
        <w:noBreakHyphen/>
      </w:r>
      <w:r w:rsidR="009B7D3C">
        <w:t xml:space="preserve">13 is also likely to be attributable in part to the onshore and </w:t>
      </w:r>
      <w:r w:rsidR="00970395">
        <w:t>NWS</w:t>
      </w:r>
      <w:r w:rsidR="009B7D3C">
        <w:t xml:space="preserve"> projects joining the PRRT</w:t>
      </w:r>
      <w:r w:rsidR="00755941">
        <w:t xml:space="preserve">. </w:t>
      </w:r>
      <w:r w:rsidR="009B7D3C">
        <w:t xml:space="preserve">The result is that a large component of the existing </w:t>
      </w:r>
      <w:r w:rsidR="00504A7A">
        <w:t xml:space="preserve">stock of deductible </w:t>
      </w:r>
      <w:r w:rsidR="009B7D3C">
        <w:t xml:space="preserve">expenditure likely relates to onshore projects and the </w:t>
      </w:r>
      <w:r w:rsidR="00970395">
        <w:t>NWS</w:t>
      </w:r>
      <w:r w:rsidR="009B7D3C">
        <w:t xml:space="preserve"> project</w:t>
      </w:r>
      <w:r w:rsidR="004E4F6B">
        <w:t>.</w:t>
      </w:r>
    </w:p>
    <w:p w14:paraId="521682FD" w14:textId="47E1074B" w:rsidR="005122D5" w:rsidRDefault="003932BC" w:rsidP="005122D5">
      <w:pPr>
        <w:pStyle w:val="Heading2"/>
      </w:pPr>
      <w:bookmarkStart w:id="6296" w:name="_Toc478132224"/>
      <w:bookmarkStart w:id="6297" w:name="_Toc478133250"/>
      <w:bookmarkStart w:id="6298" w:name="_Toc478132387"/>
      <w:bookmarkStart w:id="6299" w:name="_Toc478134716"/>
      <w:bookmarkStart w:id="6300" w:name="_Toc478137418"/>
      <w:bookmarkStart w:id="6301" w:name="_Toc478138490"/>
      <w:bookmarkStart w:id="6302" w:name="_Toc478140060"/>
      <w:bookmarkStart w:id="6303" w:name="_Toc478140476"/>
      <w:bookmarkStart w:id="6304" w:name="_Toc478142682"/>
      <w:bookmarkStart w:id="6305" w:name="_Toc478566398"/>
      <w:bookmarkStart w:id="6306" w:name="_Toc478569565"/>
      <w:bookmarkStart w:id="6307" w:name="_Toc478569739"/>
      <w:bookmarkStart w:id="6308" w:name="_Toc478570813"/>
      <w:bookmarkStart w:id="6309" w:name="_Toc478633012"/>
      <w:bookmarkStart w:id="6310" w:name="_Toc478641420"/>
      <w:bookmarkStart w:id="6311" w:name="_Toc478654314"/>
      <w:bookmarkStart w:id="6312" w:name="_Toc478654488"/>
      <w:bookmarkStart w:id="6313" w:name="_Toc478657783"/>
      <w:bookmarkStart w:id="6314" w:name="_Toc478993204"/>
      <w:bookmarkStart w:id="6315" w:name="_Toc479000275"/>
      <w:bookmarkStart w:id="6316" w:name="_Toc479002209"/>
      <w:bookmarkStart w:id="6317" w:name="_Toc479002381"/>
      <w:bookmarkStart w:id="6318" w:name="_Toc479254356"/>
      <w:bookmarkStart w:id="6319" w:name="_Toc479258545"/>
      <w:bookmarkStart w:id="6320" w:name="_Toc479258861"/>
      <w:bookmarkStart w:id="6321" w:name="_Toc479259753"/>
      <w:bookmarkStart w:id="6322" w:name="_Toc479262176"/>
      <w:bookmarkStart w:id="6323" w:name="_Toc479262597"/>
      <w:bookmarkStart w:id="6324" w:name="_Toc479321298"/>
      <w:bookmarkStart w:id="6325" w:name="_Toc479326737"/>
      <w:bookmarkStart w:id="6326" w:name="_Toc479333336"/>
      <w:bookmarkStart w:id="6327" w:name="_Toc479335033"/>
      <w:bookmarkStart w:id="6328" w:name="_Toc479341748"/>
      <w:bookmarkStart w:id="6329" w:name="_Toc479345164"/>
      <w:bookmarkStart w:id="6330" w:name="_Toc479345373"/>
      <w:bookmarkStart w:id="6331" w:name="_Toc479348354"/>
      <w:bookmarkStart w:id="6332" w:name="_Toc479675948"/>
      <w:bookmarkStart w:id="6333" w:name="_Toc479690915"/>
      <w:bookmarkStart w:id="6334" w:name="_Toc479693493"/>
      <w:bookmarkStart w:id="6335" w:name="_Toc479770662"/>
      <w:r>
        <w:t>4.</w:t>
      </w:r>
      <w:r w:rsidR="009B7D3C">
        <w:t>6</w:t>
      </w:r>
      <w:r w:rsidR="005122D5">
        <w:tab/>
        <w:t>Resource Tax Expenditure</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173D432C" w14:textId="095259B1" w:rsidR="005E5926" w:rsidRDefault="00C34702" w:rsidP="00E14274">
      <w:r w:rsidRPr="006D28D4">
        <w:t>Appendix</w:t>
      </w:r>
      <w:r w:rsidR="009B5A71" w:rsidRPr="006D28D4">
        <w:t xml:space="preserve"> </w:t>
      </w:r>
      <w:r>
        <w:t>B.1</w:t>
      </w:r>
      <w:r w:rsidR="009B5A71">
        <w:t>.4</w:t>
      </w:r>
      <w:r w:rsidR="00CC6FB5">
        <w:t xml:space="preserve"> </w:t>
      </w:r>
      <w:r w:rsidR="005A5D9F">
        <w:t>outlin</w:t>
      </w:r>
      <w:r>
        <w:t>es</w:t>
      </w:r>
      <w:r w:rsidR="00CC6FB5">
        <w:t xml:space="preserve"> </w:t>
      </w:r>
      <w:r w:rsidR="005A5D9F">
        <w:t>that</w:t>
      </w:r>
      <w:r w:rsidR="00CC6FB5">
        <w:t xml:space="preserve"> resource tax expenditures (Commonwealth and </w:t>
      </w:r>
      <w:r w:rsidR="00DA7ABF">
        <w:t>s</w:t>
      </w:r>
      <w:r w:rsidR="00CC6FB5">
        <w:t>tate royalties and excises) are creditable against PRRT payable</w:t>
      </w:r>
      <w:r w:rsidR="005A5D9F">
        <w:t xml:space="preserve"> and </w:t>
      </w:r>
      <w:r>
        <w:t>explains</w:t>
      </w:r>
      <w:r w:rsidR="005A5D9F">
        <w:t xml:space="preserve"> how </w:t>
      </w:r>
      <w:r w:rsidR="00A11467">
        <w:t xml:space="preserve">the effect of a credit is </w:t>
      </w:r>
      <w:r w:rsidR="00A11467" w:rsidDel="00E90B65">
        <w:t>achieved</w:t>
      </w:r>
      <w:r w:rsidR="00E90B65">
        <w:t>. Unused</w:t>
      </w:r>
      <w:r w:rsidR="005A5D9F">
        <w:t xml:space="preserve"> g</w:t>
      </w:r>
      <w:r w:rsidR="00A11467">
        <w:t>rossed</w:t>
      </w:r>
      <w:r w:rsidR="005D6F39">
        <w:noBreakHyphen/>
      </w:r>
      <w:r w:rsidR="00A11467">
        <w:t xml:space="preserve">up </w:t>
      </w:r>
      <w:r w:rsidR="005A5D9F">
        <w:t xml:space="preserve">resource tax </w:t>
      </w:r>
      <w:r w:rsidR="00A11467">
        <w:t xml:space="preserve">deductions </w:t>
      </w:r>
      <w:r w:rsidR="005A5D9F">
        <w:t xml:space="preserve">are </w:t>
      </w:r>
      <w:r w:rsidR="00A11467">
        <w:t xml:space="preserve">carried forward </w:t>
      </w:r>
      <w:r w:rsidR="005A5D9F">
        <w:t xml:space="preserve">at an uplift rate of </w:t>
      </w:r>
      <w:r w:rsidR="00A11467">
        <w:t>LTBR plus 5 percentage points</w:t>
      </w:r>
      <w:r w:rsidR="005E5926">
        <w:t xml:space="preserve"> </w:t>
      </w:r>
      <w:r w:rsidR="003B6E16">
        <w:t>(consistent with the uplift rate generally applicable to general project expenditure)</w:t>
      </w:r>
      <w:r w:rsidR="00A11467">
        <w:t>.</w:t>
      </w:r>
    </w:p>
    <w:p w14:paraId="16012718" w14:textId="18DA4505" w:rsidR="00807FDA" w:rsidRDefault="0080264A" w:rsidP="004B525C">
      <w:r>
        <w:t xml:space="preserve">Consistent with the discussion of uplift rates in </w:t>
      </w:r>
      <w:r w:rsidR="00FD684A" w:rsidRPr="006D28D4">
        <w:t>s</w:t>
      </w:r>
      <w:r w:rsidRPr="006D28D4">
        <w:t>ection 4.2</w:t>
      </w:r>
      <w:r>
        <w:t xml:space="preserve">, </w:t>
      </w:r>
      <w:r w:rsidR="00E90B65">
        <w:t xml:space="preserve">the </w:t>
      </w:r>
      <w:r w:rsidR="00423D9C">
        <w:t xml:space="preserve">PRRT uplift </w:t>
      </w:r>
      <w:r w:rsidR="00E90B65">
        <w:t>rate</w:t>
      </w:r>
      <w:r w:rsidR="0029105E">
        <w:t xml:space="preserve"> </w:t>
      </w:r>
      <w:r w:rsidR="00E90B65">
        <w:t>should reflect</w:t>
      </w:r>
      <w:r w:rsidR="0029105E">
        <w:t xml:space="preserve"> the risk that </w:t>
      </w:r>
      <w:r w:rsidR="00423D9C">
        <w:t>associated</w:t>
      </w:r>
      <w:r w:rsidR="0029105E">
        <w:t xml:space="preserve"> deduction</w:t>
      </w:r>
      <w:r w:rsidR="00423D9C">
        <w:t>s</w:t>
      </w:r>
      <w:r w:rsidR="0029105E">
        <w:t xml:space="preserve"> cannot be used. </w:t>
      </w:r>
      <w:r>
        <w:t>From the Commonwealth</w:t>
      </w:r>
      <w:r w:rsidR="005D6F39">
        <w:t>’</w:t>
      </w:r>
      <w:r>
        <w:t>s perspective</w:t>
      </w:r>
      <w:r w:rsidR="0029105E">
        <w:t>,</w:t>
      </w:r>
      <w:r w:rsidR="006B267E">
        <w:t xml:space="preserve"> there is no</w:t>
      </w:r>
      <w:r>
        <w:t xml:space="preserve"> differen</w:t>
      </w:r>
      <w:r w:rsidR="006B267E">
        <w:t xml:space="preserve">ce </w:t>
      </w:r>
      <w:r w:rsidR="00807FDA">
        <w:t xml:space="preserve">between </w:t>
      </w:r>
      <w:r w:rsidR="004B525C">
        <w:t>providing the value of a credit up front or later if the uplift rate on the credit carried forward matches the Commonwealth</w:t>
      </w:r>
      <w:r w:rsidR="005D6F39">
        <w:t>’</w:t>
      </w:r>
      <w:r w:rsidR="004B525C">
        <w:t>s cost of borrowing or LTBR.</w:t>
      </w:r>
      <w:r w:rsidR="0029105E">
        <w:t xml:space="preserve"> This may suggest</w:t>
      </w:r>
      <w:r w:rsidR="00807FDA">
        <w:t xml:space="preserve"> that the Commonwealth should not be providing an uplift rate for resource tax expenditure credits higher than its cost of borrowing. The 5 percentage point uplift loading on these credits is, however, designed to recognise the risk to the investor that uplifted credits will never be offset against future PRRT payments. In that sense, it is appropriate that the uplift rate for these credits is the same as that for other deductions at the development phase of petroleum projects.</w:t>
      </w:r>
    </w:p>
    <w:p w14:paraId="2BC39709" w14:textId="6D776809" w:rsidR="004F6C78" w:rsidRDefault="00807FDA" w:rsidP="004B525C">
      <w:r>
        <w:t>Nevertheless</w:t>
      </w:r>
      <w:r w:rsidR="00F60AA5">
        <w:t>, the risk of losing deductions</w:t>
      </w:r>
      <w:r w:rsidR="008E69CC">
        <w:t>,</w:t>
      </w:r>
      <w:r w:rsidR="00B42722">
        <w:t xml:space="preserve"> including those giving the effect of credits for resource tax expenditures</w:t>
      </w:r>
      <w:r w:rsidR="008E69CC">
        <w:t>,</w:t>
      </w:r>
      <w:r w:rsidR="00B42722">
        <w:t xml:space="preserve"> is </w:t>
      </w:r>
      <w:r w:rsidR="00F60AA5">
        <w:t>very much reduced once projects reach the development stage (</w:t>
      </w:r>
      <w:r w:rsidR="00FD684A" w:rsidRPr="006D28D4">
        <w:t>s</w:t>
      </w:r>
      <w:r w:rsidR="00F60AA5" w:rsidRPr="006D28D4">
        <w:t>ection 4.2.4</w:t>
      </w:r>
      <w:r w:rsidR="00F60AA5">
        <w:t>). While that argues for a reduction in the 5 percentage point uplift loading</w:t>
      </w:r>
      <w:r w:rsidR="0029105E">
        <w:t xml:space="preserve"> for general expenditure</w:t>
      </w:r>
      <w:r w:rsidR="00F60AA5">
        <w:t xml:space="preserve">, greater weight </w:t>
      </w:r>
      <w:r w:rsidR="004E4F6B">
        <w:t>c</w:t>
      </w:r>
      <w:r w:rsidR="0029105E">
        <w:t>ould</w:t>
      </w:r>
      <w:r w:rsidR="00F60AA5">
        <w:t xml:space="preserve"> be given to</w:t>
      </w:r>
      <w:r w:rsidR="0029105E">
        <w:t xml:space="preserve"> a</w:t>
      </w:r>
      <w:r w:rsidR="00F60AA5">
        <w:t xml:space="preserve"> reduction in the uplift loading for resource tax expenditure</w:t>
      </w:r>
      <w:r w:rsidR="000F13D8">
        <w:t>s</w:t>
      </w:r>
      <w:r w:rsidR="00F60AA5">
        <w:t xml:space="preserve"> given </w:t>
      </w:r>
      <w:r w:rsidR="000F13D8">
        <w:t xml:space="preserve">these expenditures attract full crediting </w:t>
      </w:r>
      <w:r w:rsidR="00B42722">
        <w:t>against</w:t>
      </w:r>
      <w:r w:rsidR="000F13D8">
        <w:t xml:space="preserve"> PRRT payments.</w:t>
      </w:r>
    </w:p>
    <w:p w14:paraId="31EA42BB" w14:textId="5049C5D3" w:rsidR="00AA7794" w:rsidRDefault="00F004AE" w:rsidP="00F004AE">
      <w:pPr>
        <w:pStyle w:val="Heading2"/>
      </w:pPr>
      <w:bookmarkStart w:id="6336" w:name="_Toc476738098"/>
      <w:bookmarkStart w:id="6337" w:name="_Toc476747680"/>
      <w:bookmarkStart w:id="6338" w:name="_Toc476749090"/>
      <w:bookmarkStart w:id="6339" w:name="_Toc476753957"/>
      <w:bookmarkStart w:id="6340" w:name="_Toc476754452"/>
      <w:bookmarkStart w:id="6341" w:name="_Toc476754617"/>
      <w:bookmarkStart w:id="6342" w:name="_Toc476759856"/>
      <w:bookmarkStart w:id="6343" w:name="_Toc476761478"/>
      <w:bookmarkStart w:id="6344" w:name="_Toc476767116"/>
      <w:bookmarkStart w:id="6345" w:name="_Toc476827162"/>
      <w:bookmarkStart w:id="6346" w:name="_Toc476828855"/>
      <w:bookmarkStart w:id="6347" w:name="_Toc476833729"/>
      <w:bookmarkStart w:id="6348" w:name="_Toc476837202"/>
      <w:bookmarkStart w:id="6349" w:name="_Toc476841075"/>
      <w:bookmarkStart w:id="6350" w:name="_Toc476841280"/>
      <w:bookmarkStart w:id="6351" w:name="_Toc476842039"/>
      <w:bookmarkStart w:id="6352" w:name="_Toc476842983"/>
      <w:bookmarkStart w:id="6353" w:name="_Toc476843154"/>
      <w:bookmarkStart w:id="6354" w:name="_Toc476844652"/>
      <w:bookmarkStart w:id="6355" w:name="_Toc476845545"/>
      <w:bookmarkStart w:id="6356" w:name="_Toc476926938"/>
      <w:bookmarkStart w:id="6357" w:name="_Toc476927051"/>
      <w:bookmarkStart w:id="6358" w:name="_Toc476927225"/>
      <w:bookmarkStart w:id="6359" w:name="_Toc476928489"/>
      <w:bookmarkStart w:id="6360" w:name="_Toc476929532"/>
      <w:bookmarkStart w:id="6361" w:name="_Toc476929707"/>
      <w:bookmarkStart w:id="6362" w:name="_Toc476930750"/>
      <w:bookmarkStart w:id="6363" w:name="_Toc476931557"/>
      <w:bookmarkStart w:id="6364" w:name="_Toc477869902"/>
      <w:bookmarkStart w:id="6365" w:name="_Toc477871141"/>
      <w:bookmarkStart w:id="6366" w:name="_Toc477873300"/>
      <w:bookmarkStart w:id="6367" w:name="_Toc477875294"/>
      <w:bookmarkStart w:id="6368" w:name="_Toc477880207"/>
      <w:bookmarkStart w:id="6369" w:name="_Toc477881467"/>
      <w:bookmarkStart w:id="6370" w:name="_Toc477955871"/>
      <w:bookmarkStart w:id="6371" w:name="_Toc477963116"/>
      <w:bookmarkStart w:id="6372" w:name="_Toc477963602"/>
      <w:bookmarkStart w:id="6373" w:name="_Toc477965188"/>
      <w:bookmarkStart w:id="6374" w:name="_Toc477966692"/>
      <w:bookmarkStart w:id="6375" w:name="_Toc477966861"/>
      <w:bookmarkStart w:id="6376" w:name="_Toc477967201"/>
      <w:bookmarkStart w:id="6377" w:name="_Toc478121338"/>
      <w:bookmarkStart w:id="6378" w:name="_Toc478122251"/>
      <w:bookmarkStart w:id="6379" w:name="_Toc478132225"/>
      <w:bookmarkStart w:id="6380" w:name="_Toc478133251"/>
      <w:bookmarkStart w:id="6381" w:name="_Toc478132388"/>
      <w:bookmarkStart w:id="6382" w:name="_Toc478134717"/>
      <w:bookmarkStart w:id="6383" w:name="_Toc478137419"/>
      <w:bookmarkStart w:id="6384" w:name="_Toc478138491"/>
      <w:bookmarkStart w:id="6385" w:name="_Toc478140061"/>
      <w:bookmarkStart w:id="6386" w:name="_Toc478140477"/>
      <w:bookmarkStart w:id="6387" w:name="_Toc478142683"/>
      <w:bookmarkStart w:id="6388" w:name="_Toc478566399"/>
      <w:bookmarkStart w:id="6389" w:name="_Toc478569566"/>
      <w:bookmarkStart w:id="6390" w:name="_Toc478569740"/>
      <w:bookmarkStart w:id="6391" w:name="_Toc478570814"/>
      <w:bookmarkStart w:id="6392" w:name="_Toc478633013"/>
      <w:bookmarkStart w:id="6393" w:name="_Toc478641421"/>
      <w:bookmarkStart w:id="6394" w:name="_Toc478654315"/>
      <w:bookmarkStart w:id="6395" w:name="_Toc478654489"/>
      <w:bookmarkStart w:id="6396" w:name="_Toc478657784"/>
      <w:bookmarkStart w:id="6397" w:name="_Toc478993205"/>
      <w:bookmarkStart w:id="6398" w:name="_Toc479000276"/>
      <w:bookmarkStart w:id="6399" w:name="_Toc479002210"/>
      <w:bookmarkStart w:id="6400" w:name="_Toc479002382"/>
      <w:bookmarkStart w:id="6401" w:name="_Toc479254357"/>
      <w:bookmarkStart w:id="6402" w:name="_Toc479258546"/>
      <w:bookmarkStart w:id="6403" w:name="_Toc479258862"/>
      <w:bookmarkStart w:id="6404" w:name="_Toc479259754"/>
      <w:bookmarkStart w:id="6405" w:name="_Toc479262177"/>
      <w:bookmarkStart w:id="6406" w:name="_Toc479262598"/>
      <w:bookmarkStart w:id="6407" w:name="_Toc479321299"/>
      <w:bookmarkStart w:id="6408" w:name="_Toc479326738"/>
      <w:bookmarkStart w:id="6409" w:name="_Toc479333337"/>
      <w:bookmarkStart w:id="6410" w:name="_Toc479335034"/>
      <w:bookmarkStart w:id="6411" w:name="_Toc479341749"/>
      <w:bookmarkStart w:id="6412" w:name="_Toc479345165"/>
      <w:bookmarkStart w:id="6413" w:name="_Toc479345374"/>
      <w:bookmarkStart w:id="6414" w:name="_Toc479348355"/>
      <w:bookmarkStart w:id="6415" w:name="_Toc479675949"/>
      <w:bookmarkStart w:id="6416" w:name="_Toc479690916"/>
      <w:bookmarkStart w:id="6417" w:name="_Toc479693494"/>
      <w:bookmarkStart w:id="6418" w:name="_Toc479770663"/>
      <w:r>
        <w:t>4.</w:t>
      </w:r>
      <w:r w:rsidR="009B7D3C">
        <w:t>7</w:t>
      </w:r>
      <w:r>
        <w:tab/>
      </w:r>
      <w:r w:rsidR="003D545E">
        <w:t>Transitioning</w:t>
      </w:r>
      <w:r>
        <w:t xml:space="preserve"> Arrangements for 2012 </w:t>
      </w:r>
      <w:r w:rsidR="003D545E">
        <w:t xml:space="preserve">PRRT </w:t>
      </w:r>
      <w:r>
        <w:t>Extension</w:t>
      </w:r>
      <w:bookmarkEnd w:id="6019"/>
      <w:bookmarkEnd w:id="6020"/>
      <w:bookmarkEnd w:id="6021"/>
      <w:bookmarkEnd w:id="6022"/>
      <w:bookmarkEnd w:id="6023"/>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02255559" w14:textId="0DD4518D" w:rsidR="009630B9" w:rsidRDefault="003932BC" w:rsidP="009630B9">
      <w:pPr>
        <w:pStyle w:val="Heading3"/>
      </w:pPr>
      <w:bookmarkStart w:id="6419" w:name="_Toc476747681"/>
      <w:bookmarkStart w:id="6420" w:name="_Toc476749091"/>
      <w:bookmarkStart w:id="6421" w:name="_Toc476753958"/>
      <w:bookmarkStart w:id="6422" w:name="_Toc476754453"/>
      <w:bookmarkStart w:id="6423" w:name="_Toc476754618"/>
      <w:bookmarkStart w:id="6424" w:name="_Toc476759857"/>
      <w:bookmarkStart w:id="6425" w:name="_Toc476761479"/>
      <w:bookmarkStart w:id="6426" w:name="_Toc476767117"/>
      <w:bookmarkStart w:id="6427" w:name="_Toc476827163"/>
      <w:bookmarkStart w:id="6428" w:name="_Toc476828856"/>
      <w:bookmarkStart w:id="6429" w:name="_Toc476833730"/>
      <w:bookmarkStart w:id="6430" w:name="_Toc476837203"/>
      <w:bookmarkStart w:id="6431" w:name="_Toc476841076"/>
      <w:bookmarkStart w:id="6432" w:name="_Toc476841281"/>
      <w:bookmarkStart w:id="6433" w:name="_Toc476842040"/>
      <w:bookmarkStart w:id="6434" w:name="_Toc476842984"/>
      <w:bookmarkStart w:id="6435" w:name="_Toc476843155"/>
      <w:bookmarkStart w:id="6436" w:name="_Toc476844653"/>
      <w:bookmarkStart w:id="6437" w:name="_Toc476845546"/>
      <w:bookmarkStart w:id="6438" w:name="_Toc476926939"/>
      <w:bookmarkStart w:id="6439" w:name="_Toc476927052"/>
      <w:bookmarkStart w:id="6440" w:name="_Toc476927226"/>
      <w:bookmarkStart w:id="6441" w:name="_Toc476928490"/>
      <w:bookmarkStart w:id="6442" w:name="_Toc476929533"/>
      <w:bookmarkStart w:id="6443" w:name="_Toc476929708"/>
      <w:bookmarkStart w:id="6444" w:name="_Toc476930751"/>
      <w:bookmarkStart w:id="6445" w:name="_Toc476931558"/>
      <w:bookmarkStart w:id="6446" w:name="_Toc477869903"/>
      <w:bookmarkStart w:id="6447" w:name="_Toc477871142"/>
      <w:bookmarkStart w:id="6448" w:name="_Toc477873301"/>
      <w:bookmarkStart w:id="6449" w:name="_Toc477875295"/>
      <w:bookmarkStart w:id="6450" w:name="_Toc477880208"/>
      <w:bookmarkStart w:id="6451" w:name="_Toc477881468"/>
      <w:bookmarkStart w:id="6452" w:name="_Toc477955872"/>
      <w:bookmarkStart w:id="6453" w:name="_Toc477963117"/>
      <w:bookmarkStart w:id="6454" w:name="_Toc477963603"/>
      <w:bookmarkStart w:id="6455" w:name="_Toc477965189"/>
      <w:bookmarkStart w:id="6456" w:name="_Toc477966693"/>
      <w:bookmarkStart w:id="6457" w:name="_Toc477966862"/>
      <w:bookmarkStart w:id="6458" w:name="_Toc477967202"/>
      <w:bookmarkStart w:id="6459" w:name="_Toc478121339"/>
      <w:bookmarkStart w:id="6460" w:name="_Toc478122252"/>
      <w:bookmarkStart w:id="6461" w:name="_Toc478132226"/>
      <w:bookmarkStart w:id="6462" w:name="_Toc478133252"/>
      <w:bookmarkStart w:id="6463" w:name="_Toc478132389"/>
      <w:bookmarkStart w:id="6464" w:name="_Toc478134718"/>
      <w:bookmarkStart w:id="6465" w:name="_Toc478137420"/>
      <w:bookmarkStart w:id="6466" w:name="_Toc478138492"/>
      <w:bookmarkStart w:id="6467" w:name="_Toc478140062"/>
      <w:bookmarkStart w:id="6468" w:name="_Toc478140478"/>
      <w:bookmarkStart w:id="6469" w:name="_Toc478142684"/>
      <w:bookmarkStart w:id="6470" w:name="_Toc478566400"/>
      <w:bookmarkStart w:id="6471" w:name="_Toc478569567"/>
      <w:bookmarkStart w:id="6472" w:name="_Toc478569741"/>
      <w:bookmarkStart w:id="6473" w:name="_Toc478570815"/>
      <w:bookmarkStart w:id="6474" w:name="_Toc478633014"/>
      <w:bookmarkStart w:id="6475" w:name="_Toc478641422"/>
      <w:bookmarkStart w:id="6476" w:name="_Toc478654316"/>
      <w:bookmarkStart w:id="6477" w:name="_Toc478654490"/>
      <w:bookmarkStart w:id="6478" w:name="_Toc478657785"/>
      <w:bookmarkStart w:id="6479" w:name="_Toc478993206"/>
      <w:bookmarkStart w:id="6480" w:name="_Toc479000277"/>
      <w:bookmarkStart w:id="6481" w:name="_Toc479002211"/>
      <w:bookmarkStart w:id="6482" w:name="_Toc479002383"/>
      <w:bookmarkStart w:id="6483" w:name="_Toc479254358"/>
      <w:bookmarkStart w:id="6484" w:name="_Toc479258547"/>
      <w:bookmarkStart w:id="6485" w:name="_Toc479258863"/>
      <w:bookmarkStart w:id="6486" w:name="_Toc479259755"/>
      <w:bookmarkStart w:id="6487" w:name="_Toc479262178"/>
      <w:bookmarkStart w:id="6488" w:name="_Toc479262599"/>
      <w:bookmarkStart w:id="6489" w:name="_Toc479321300"/>
      <w:bookmarkStart w:id="6490" w:name="_Toc479326739"/>
      <w:bookmarkStart w:id="6491" w:name="_Toc479333338"/>
      <w:bookmarkStart w:id="6492" w:name="_Toc479335035"/>
      <w:bookmarkStart w:id="6493" w:name="_Toc479341750"/>
      <w:bookmarkStart w:id="6494" w:name="_Toc479345166"/>
      <w:bookmarkStart w:id="6495" w:name="_Toc479345375"/>
      <w:bookmarkStart w:id="6496" w:name="_Toc479348356"/>
      <w:bookmarkStart w:id="6497" w:name="_Toc479675950"/>
      <w:bookmarkStart w:id="6498" w:name="_Toc479690917"/>
      <w:bookmarkStart w:id="6499" w:name="_Toc479693495"/>
      <w:bookmarkStart w:id="6500" w:name="_Toc479770664"/>
      <w:r>
        <w:t>4.</w:t>
      </w:r>
      <w:r w:rsidR="009B7D3C">
        <w:t>7</w:t>
      </w:r>
      <w:r w:rsidR="00FD684A">
        <w:t>.1</w:t>
      </w:r>
      <w:r w:rsidR="00FD684A">
        <w:tab/>
        <w:t>The starting base as a deferred tax a</w:t>
      </w:r>
      <w:r w:rsidR="009630B9">
        <w:t>sset</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14:paraId="6B15FA7D" w14:textId="4099A1D5" w:rsidR="00AA7794" w:rsidRDefault="00AA7794" w:rsidP="00F004AE">
      <w:r>
        <w:t xml:space="preserve">A key feature of the extension of the PRRT to onshore projects and the </w:t>
      </w:r>
      <w:r w:rsidR="00FD684A">
        <w:t>NWS</w:t>
      </w:r>
      <w:r>
        <w:t xml:space="preserve"> project in 2012 was that these transitioning projects were provided with a starting base amount. The provision of the starting base was agreed through a Heads of Agreement between the then Government and industry. The details of how the starting base would apply were determined by the Policy Transition Group</w:t>
      </w:r>
      <w:r w:rsidR="003377E6">
        <w:t xml:space="preserve"> (PTG).</w:t>
      </w:r>
      <w:r w:rsidR="00696E0D">
        <w:rPr>
          <w:rStyle w:val="FootnoteReference"/>
        </w:rPr>
        <w:footnoteReference w:id="17"/>
      </w:r>
    </w:p>
    <w:p w14:paraId="45377C02" w14:textId="14941DEF" w:rsidR="00AA7794" w:rsidRDefault="00AA7794" w:rsidP="00F004AE">
      <w:r>
        <w:t xml:space="preserve">Prior to the extension of the PRRT to onshore projects and the </w:t>
      </w:r>
      <w:r w:rsidR="00FD684A">
        <w:t>NWS</w:t>
      </w:r>
      <w:r w:rsidR="002D1C29">
        <w:t xml:space="preserve"> project</w:t>
      </w:r>
      <w:r>
        <w:t>, the</w:t>
      </w:r>
      <w:r w:rsidR="002D1C29">
        <w:t xml:space="preserve"> only </w:t>
      </w:r>
      <w:r>
        <w:t xml:space="preserve">project </w:t>
      </w:r>
      <w:r w:rsidR="002D1C29">
        <w:t xml:space="preserve">that had been </w:t>
      </w:r>
      <w:r>
        <w:t>transitioned into the PRRT</w:t>
      </w:r>
      <w:r w:rsidR="002D1C29">
        <w:t xml:space="preserve"> was </w:t>
      </w:r>
      <w:r>
        <w:t xml:space="preserve">the mature Bass Strait project. </w:t>
      </w:r>
      <w:r w:rsidR="00BB69A0">
        <w:t>On that occasion there was no</w:t>
      </w:r>
      <w:r>
        <w:t xml:space="preserve"> specific mechanism to recognise past investments. Instead, the treatment of the Bass Strait project reflected negotiations as part of an individual package within broader measures</w:t>
      </w:r>
      <w:r w:rsidR="00C25D21">
        <w:t xml:space="preserve"> </w:t>
      </w:r>
      <w:r w:rsidRPr="007E3CCC">
        <w:t xml:space="preserve">(Policy Transition Group, </w:t>
      </w:r>
      <w:r w:rsidR="00C25D21" w:rsidRPr="007E3CCC">
        <w:t xml:space="preserve">2010, </w:t>
      </w:r>
      <w:r w:rsidRPr="007E3CCC">
        <w:t>p. 90)</w:t>
      </w:r>
      <w:r w:rsidR="003C6E11">
        <w:t>, including removing the project from the Commonwealth</w:t>
      </w:r>
      <w:r w:rsidR="005D6F39">
        <w:t>’</w:t>
      </w:r>
      <w:r w:rsidR="003C6E11">
        <w:t>s excise and royalty regime</w:t>
      </w:r>
      <w:r w:rsidR="00C25D21">
        <w:t>.</w:t>
      </w:r>
    </w:p>
    <w:p w14:paraId="7C9D2706" w14:textId="1E772BEF" w:rsidR="00AA7794" w:rsidRDefault="00B61955" w:rsidP="00F004AE">
      <w:r>
        <w:t xml:space="preserve">Rather than preventing the tax from </w:t>
      </w:r>
      <w:r w:rsidR="005D6F39">
        <w:t>‘</w:t>
      </w:r>
      <w:r>
        <w:t>applying retrospectively</w:t>
      </w:r>
      <w:r w:rsidR="005D6F39">
        <w:t>’</w:t>
      </w:r>
      <w:r>
        <w:t xml:space="preserve">, the starting base effectively </w:t>
      </w:r>
      <w:r w:rsidR="005D6F39">
        <w:t>‘</w:t>
      </w:r>
      <w:r>
        <w:t>grandfathered</w:t>
      </w:r>
      <w:r w:rsidR="005D6F39">
        <w:t>’</w:t>
      </w:r>
      <w:r>
        <w:t xml:space="preserve"> transitioning projects. Several submissions made the observation that </w:t>
      </w:r>
      <w:r w:rsidR="00AA7794">
        <w:t>the rationale for the starting base was to shield a company</w:t>
      </w:r>
      <w:r w:rsidR="005D6F39">
        <w:t>’</w:t>
      </w:r>
      <w:r w:rsidR="00AA7794">
        <w:t xml:space="preserve">s historical investments </w:t>
      </w:r>
      <w:r>
        <w:t xml:space="preserve">so the PRRT </w:t>
      </w:r>
      <w:r w:rsidR="00896AC8">
        <w:t>did not</w:t>
      </w:r>
      <w:r>
        <w:t xml:space="preserve"> effectively apply </w:t>
      </w:r>
      <w:r w:rsidR="00AA7794">
        <w:t>retrospective</w:t>
      </w:r>
      <w:r w:rsidR="009630B9">
        <w:t>ly to these past investments.</w:t>
      </w:r>
    </w:p>
    <w:p w14:paraId="33EF0A44" w14:textId="11874EED" w:rsidR="00AA7794" w:rsidRPr="000D53EF" w:rsidRDefault="00AA7794" w:rsidP="000D53EF">
      <w:pPr>
        <w:ind w:left="567" w:right="565"/>
        <w:rPr>
          <w:color w:val="1F497D" w:themeColor="text2"/>
          <w:sz w:val="20"/>
        </w:rPr>
      </w:pPr>
      <w:r w:rsidRPr="000D53EF">
        <w:rPr>
          <w:color w:val="1F497D" w:themeColor="text2"/>
          <w:sz w:val="20"/>
        </w:rPr>
        <w:t xml:space="preserve">The starting base reflects the value of the projects upon entry into the PRRT regime. The starting base also provides an equitable outcome that acknowledges the PRRT was not applicable to these projects at the time </w:t>
      </w:r>
      <w:r w:rsidR="00C25D21">
        <w:rPr>
          <w:color w:val="1F497D" w:themeColor="text2"/>
          <w:sz w:val="20"/>
        </w:rPr>
        <w:t>investment decisions were taken (</w:t>
      </w:r>
      <w:r w:rsidRPr="007E3CCC">
        <w:rPr>
          <w:color w:val="1F497D" w:themeColor="text2"/>
          <w:sz w:val="20"/>
        </w:rPr>
        <w:t>Shell Submission, p. 10</w:t>
      </w:r>
      <w:r w:rsidR="00C25D21">
        <w:rPr>
          <w:color w:val="1F497D" w:themeColor="text2"/>
          <w:sz w:val="20"/>
        </w:rPr>
        <w:t>)</w:t>
      </w:r>
      <w:r w:rsidRPr="000D53EF">
        <w:rPr>
          <w:color w:val="1F497D" w:themeColor="text2"/>
          <w:sz w:val="20"/>
        </w:rPr>
        <w:t>.</w:t>
      </w:r>
    </w:p>
    <w:p w14:paraId="74699A8E" w14:textId="2A04D9A1" w:rsidR="00AA7794" w:rsidRPr="000D53EF" w:rsidRDefault="00AA7794" w:rsidP="000D53EF">
      <w:pPr>
        <w:ind w:left="567" w:right="565"/>
        <w:rPr>
          <w:color w:val="1F497D" w:themeColor="text2"/>
          <w:sz w:val="20"/>
        </w:rPr>
      </w:pPr>
      <w:r w:rsidRPr="000D53EF">
        <w:rPr>
          <w:color w:val="1F497D" w:themeColor="text2"/>
          <w:sz w:val="20"/>
        </w:rPr>
        <w:t>Without such recognition investors would have been disadvantaged, leading to the premature payment of PRRT before earning economic rent from the project. This measure ensured Australia</w:t>
      </w:r>
      <w:r w:rsidR="005D6F39">
        <w:rPr>
          <w:color w:val="1F497D" w:themeColor="text2"/>
          <w:sz w:val="20"/>
        </w:rPr>
        <w:t>’</w:t>
      </w:r>
      <w:r w:rsidRPr="000D53EF">
        <w:rPr>
          <w:color w:val="1F497D" w:themeColor="text2"/>
          <w:sz w:val="20"/>
        </w:rPr>
        <w:t>s competitiveness i</w:t>
      </w:r>
      <w:r w:rsidR="008E69CC">
        <w:rPr>
          <w:color w:val="1F497D" w:themeColor="text2"/>
          <w:sz w:val="20"/>
        </w:rPr>
        <w:t>n</w:t>
      </w:r>
      <w:r w:rsidRPr="000D53EF">
        <w:rPr>
          <w:color w:val="1F497D" w:themeColor="text2"/>
          <w:sz w:val="20"/>
        </w:rPr>
        <w:t xml:space="preserve"> the global oil and gas market and investor confidence was not ero</w:t>
      </w:r>
      <w:r w:rsidR="00C25D21">
        <w:rPr>
          <w:color w:val="1F497D" w:themeColor="text2"/>
          <w:sz w:val="20"/>
        </w:rPr>
        <w:t xml:space="preserve">ded through fiscal instability </w:t>
      </w:r>
      <w:r w:rsidR="00C25D21" w:rsidRPr="007E3CCC">
        <w:rPr>
          <w:color w:val="1F497D" w:themeColor="text2"/>
          <w:sz w:val="20"/>
        </w:rPr>
        <w:t>(</w:t>
      </w:r>
      <w:r w:rsidRPr="007E3CCC">
        <w:rPr>
          <w:color w:val="1F497D" w:themeColor="text2"/>
          <w:sz w:val="20"/>
        </w:rPr>
        <w:t>Shell Submission, p. 17</w:t>
      </w:r>
      <w:r w:rsidR="00C25D21" w:rsidRPr="007E3CCC">
        <w:rPr>
          <w:color w:val="1F497D" w:themeColor="text2"/>
          <w:sz w:val="20"/>
        </w:rPr>
        <w:t>)</w:t>
      </w:r>
      <w:r w:rsidRPr="000D53EF">
        <w:rPr>
          <w:color w:val="1F497D" w:themeColor="text2"/>
          <w:sz w:val="20"/>
        </w:rPr>
        <w:t>.</w:t>
      </w:r>
    </w:p>
    <w:p w14:paraId="125B4136" w14:textId="1B049A5C" w:rsidR="00AA7794" w:rsidRPr="000D53EF" w:rsidRDefault="00AA7794" w:rsidP="000D53EF">
      <w:pPr>
        <w:ind w:left="567" w:right="565"/>
        <w:rPr>
          <w:color w:val="1F497D" w:themeColor="text2"/>
          <w:sz w:val="20"/>
        </w:rPr>
      </w:pPr>
      <w:r w:rsidRPr="000D53EF">
        <w:rPr>
          <w:color w:val="1F497D" w:themeColor="text2"/>
          <w:sz w:val="20"/>
        </w:rPr>
        <w:t xml:space="preserve">The PRRT starting base ensured that sovereign risk from a changing fiscal regime was minimised, and the value of existing investments was protected. The starting base should be maintained in its current form for existing projects </w:t>
      </w:r>
      <w:r w:rsidR="00C25D21">
        <w:rPr>
          <w:color w:val="1F497D" w:themeColor="text2"/>
          <w:sz w:val="20"/>
        </w:rPr>
        <w:t>(</w:t>
      </w:r>
      <w:r w:rsidRPr="007E3CCC">
        <w:rPr>
          <w:color w:val="1F497D" w:themeColor="text2"/>
          <w:sz w:val="20"/>
        </w:rPr>
        <w:t>Origin Energy Submission, p. 1</w:t>
      </w:r>
      <w:r w:rsidR="00C25D21">
        <w:rPr>
          <w:color w:val="1F497D" w:themeColor="text2"/>
          <w:sz w:val="20"/>
        </w:rPr>
        <w:t>).</w:t>
      </w:r>
    </w:p>
    <w:p w14:paraId="51E15F40" w14:textId="6C712927" w:rsidR="00AA7794" w:rsidRPr="000D53EF" w:rsidRDefault="00AA7794" w:rsidP="000D53EF">
      <w:pPr>
        <w:ind w:left="567" w:right="565"/>
        <w:rPr>
          <w:color w:val="1F497D" w:themeColor="text2"/>
          <w:sz w:val="20"/>
        </w:rPr>
      </w:pPr>
      <w:r w:rsidRPr="000D53EF">
        <w:rPr>
          <w:color w:val="1F497D" w:themeColor="text2"/>
          <w:sz w:val="20"/>
        </w:rPr>
        <w:t>While the PRRT has been in operation since 1988, Queensland</w:t>
      </w:r>
      <w:r w:rsidR="005D6F39">
        <w:rPr>
          <w:color w:val="1F497D" w:themeColor="text2"/>
          <w:sz w:val="20"/>
        </w:rPr>
        <w:t>’</w:t>
      </w:r>
      <w:r w:rsidRPr="000D53EF">
        <w:rPr>
          <w:color w:val="1F497D" w:themeColor="text2"/>
          <w:sz w:val="20"/>
        </w:rPr>
        <w:t xml:space="preserve">s onshore gas industry has only been subject to the PRRT since 2012. At the time the PRRT was applied onshore a starting base was provided to existing projects, to prevent the retrospective application of the tax and to shield the economics of </w:t>
      </w:r>
      <w:r w:rsidR="00C25D21">
        <w:rPr>
          <w:color w:val="1F497D" w:themeColor="text2"/>
          <w:sz w:val="20"/>
        </w:rPr>
        <w:t xml:space="preserve">those existing onshore projects </w:t>
      </w:r>
      <w:r w:rsidR="00C25D21" w:rsidRPr="007E3CCC">
        <w:rPr>
          <w:color w:val="1F497D" w:themeColor="text2"/>
          <w:sz w:val="20"/>
        </w:rPr>
        <w:t>(</w:t>
      </w:r>
      <w:r w:rsidRPr="007E3CCC">
        <w:rPr>
          <w:color w:val="1F497D" w:themeColor="text2"/>
          <w:sz w:val="20"/>
        </w:rPr>
        <w:t>Que</w:t>
      </w:r>
      <w:r w:rsidR="00C25D21" w:rsidRPr="007E3CCC">
        <w:rPr>
          <w:color w:val="1F497D" w:themeColor="text2"/>
          <w:sz w:val="20"/>
        </w:rPr>
        <w:t>ensland Resources Council</w:t>
      </w:r>
      <w:r w:rsidR="007E3CCC" w:rsidRPr="007E3CCC">
        <w:rPr>
          <w:color w:val="1F497D" w:themeColor="text2"/>
          <w:sz w:val="20"/>
        </w:rPr>
        <w:t xml:space="preserve"> Submission</w:t>
      </w:r>
      <w:r w:rsidR="00C25D21" w:rsidRPr="007E3CCC">
        <w:rPr>
          <w:color w:val="1F497D" w:themeColor="text2"/>
          <w:sz w:val="20"/>
        </w:rPr>
        <w:t>, p. 3)</w:t>
      </w:r>
      <w:r w:rsidR="00C25D21">
        <w:rPr>
          <w:color w:val="1F497D" w:themeColor="text2"/>
          <w:sz w:val="20"/>
        </w:rPr>
        <w:t>.</w:t>
      </w:r>
    </w:p>
    <w:p w14:paraId="4E1001A7" w14:textId="15411BD4" w:rsidR="00AA7794" w:rsidRDefault="004706AD" w:rsidP="00F004AE">
      <w:r>
        <w:t>The</w:t>
      </w:r>
      <w:r w:rsidR="00B42722">
        <w:t xml:space="preserve"> value of an existing project comes from its expected future stream of positive cash flow</w:t>
      </w:r>
      <w:r w:rsidR="00D973F2">
        <w:t>s</w:t>
      </w:r>
      <w:r w:rsidR="00B42722">
        <w:t xml:space="preserve">. Taxing that stream without recognising project value in a starting base would have the effect of </w:t>
      </w:r>
      <w:r>
        <w:t xml:space="preserve">the </w:t>
      </w:r>
      <w:r w:rsidR="00B42722">
        <w:t>imposition of a one</w:t>
      </w:r>
      <w:r w:rsidR="005D6F39">
        <w:noBreakHyphen/>
      </w:r>
      <w:r w:rsidR="00B42722">
        <w:t xml:space="preserve">off </w:t>
      </w:r>
      <w:r w:rsidR="00560018">
        <w:t>capital levy (value reduced in proportion to the tax rate</w:t>
      </w:r>
      <w:r>
        <w:t>)</w:t>
      </w:r>
      <w:r w:rsidR="00560018">
        <w:t xml:space="preserve">. For a company, </w:t>
      </w:r>
      <w:r w:rsidR="00AA7794">
        <w:t xml:space="preserve">expectations of future </w:t>
      </w:r>
      <w:r w:rsidR="00560018">
        <w:t>cash flows from the company</w:t>
      </w:r>
      <w:r w:rsidR="005D6F39">
        <w:t>’</w:t>
      </w:r>
      <w:r w:rsidR="00560018">
        <w:t xml:space="preserve">s petroleum projects </w:t>
      </w:r>
      <w:r w:rsidR="00AA7794">
        <w:t xml:space="preserve">will be largely capitalised into existing share prices. </w:t>
      </w:r>
      <w:r w:rsidR="00560018">
        <w:t>A</w:t>
      </w:r>
      <w:r w:rsidR="00AA7794">
        <w:t xml:space="preserve">n investor who has just bought into </w:t>
      </w:r>
      <w:r w:rsidR="00560018">
        <w:t>the</w:t>
      </w:r>
      <w:r w:rsidR="00AA7794">
        <w:t xml:space="preserve"> company </w:t>
      </w:r>
      <w:r w:rsidR="00560018">
        <w:t>is not</w:t>
      </w:r>
      <w:r w:rsidR="00AA7794">
        <w:t xml:space="preserve"> expecting significant rents, these having been captured by the seller. </w:t>
      </w:r>
      <w:r w:rsidR="00560018">
        <w:t>Consequently, u</w:t>
      </w:r>
      <w:r w:rsidR="00AA7794">
        <w:t xml:space="preserve">nanticipated taxation </w:t>
      </w:r>
      <w:r w:rsidR="00560018">
        <w:t>of the cash flows of the company</w:t>
      </w:r>
      <w:r w:rsidR="005D6F39">
        <w:t>’</w:t>
      </w:r>
      <w:r w:rsidR="00560018">
        <w:t>s projects would be expected to result in a reduction in value of the investor</w:t>
      </w:r>
      <w:r w:rsidR="005D6F39">
        <w:t>’</w:t>
      </w:r>
      <w:r w:rsidR="00560018">
        <w:t>s shares. In addition to these considerations, significant changes to resource tax arrangements can raise investor perceptions of risk, particularly if there is not a strong rationale for the changes.</w:t>
      </w:r>
    </w:p>
    <w:p w14:paraId="571C309E" w14:textId="1B71F222" w:rsidR="00AA7794" w:rsidRDefault="00AA7794" w:rsidP="00F004AE">
      <w:r>
        <w:t xml:space="preserve">As noted </w:t>
      </w:r>
      <w:r w:rsidRPr="006C7218">
        <w:t xml:space="preserve">in </w:t>
      </w:r>
      <w:r w:rsidR="00647299" w:rsidRPr="006D28D4">
        <w:t xml:space="preserve">Appendix </w:t>
      </w:r>
      <w:r w:rsidR="00951AC8" w:rsidRPr="006D28D4">
        <w:t>B</w:t>
      </w:r>
      <w:r w:rsidR="002A2221" w:rsidRPr="006D28D4">
        <w:t>.1.5</w:t>
      </w:r>
      <w:r>
        <w:t>, the starting base is calculated using one of three different methods: a market value method (including the value of the resource)</w:t>
      </w:r>
      <w:r w:rsidR="004504C6">
        <w:t>;</w:t>
      </w:r>
      <w:r>
        <w:t xml:space="preserve"> a book value method</w:t>
      </w:r>
      <w:r w:rsidR="004504C6">
        <w:t>;</w:t>
      </w:r>
      <w:r>
        <w:t xml:space="preserve"> and a look</w:t>
      </w:r>
      <w:r w:rsidR="005D6F39">
        <w:noBreakHyphen/>
      </w:r>
      <w:r>
        <w:t>back method (which recognise</w:t>
      </w:r>
      <w:r w:rsidR="00CD0C0A">
        <w:t>s</w:t>
      </w:r>
      <w:r>
        <w:t xml:space="preserve"> actual expenditures incurred prior to the extension). The starting base is an additional amount of deductible expenditure and is </w:t>
      </w:r>
      <w:r w:rsidR="003F32B1">
        <w:t xml:space="preserve">applied against the assessable </w:t>
      </w:r>
      <w:r w:rsidR="00AC2CDB">
        <w:t xml:space="preserve">PRRT </w:t>
      </w:r>
      <w:r w:rsidR="003F32B1">
        <w:t xml:space="preserve">receipts of the </w:t>
      </w:r>
      <w:r w:rsidR="00896AC8">
        <w:t xml:space="preserve">petroleum </w:t>
      </w:r>
      <w:r w:rsidR="003F32B1">
        <w:t xml:space="preserve">project </w:t>
      </w:r>
      <w:r>
        <w:t xml:space="preserve">after </w:t>
      </w:r>
      <w:r w:rsidR="003F32B1">
        <w:t>all the other deductible expenditure of the project</w:t>
      </w:r>
      <w:r w:rsidR="00CD0C0A">
        <w:t>, including resource tax expenditure,</w:t>
      </w:r>
      <w:r w:rsidR="003F32B1">
        <w:t xml:space="preserve"> has been utilised</w:t>
      </w:r>
      <w:r>
        <w:t>.</w:t>
      </w:r>
    </w:p>
    <w:p w14:paraId="6F820C24" w14:textId="068CF1A5" w:rsidR="00AA7794" w:rsidRPr="000D53EF" w:rsidRDefault="00AA7794" w:rsidP="000D53EF">
      <w:pPr>
        <w:ind w:left="567" w:right="565"/>
        <w:rPr>
          <w:color w:val="1F497D" w:themeColor="text2"/>
          <w:sz w:val="20"/>
        </w:rPr>
      </w:pPr>
      <w:r w:rsidRPr="000D53EF">
        <w:rPr>
          <w:color w:val="1F497D" w:themeColor="text2"/>
          <w:sz w:val="20"/>
        </w:rPr>
        <w:t xml:space="preserve">Project deductions, whether current or carried forward as losses, should be the first amounts to reduce PRRT revenue. It is only after these amounts have been applied that a PRRT liability could arise in respect of a project. Where a potential PRRT liability remains, government resource tax credits are to be applied on a credit equivalent basis. Starting base deductions should then be applied to shield existing investment </w:t>
      </w:r>
      <w:r w:rsidR="00902C4B">
        <w:rPr>
          <w:color w:val="1F497D" w:themeColor="text2"/>
          <w:sz w:val="20"/>
        </w:rPr>
        <w:t>from any residual tax liability</w:t>
      </w:r>
      <w:r w:rsidRPr="000D53EF">
        <w:rPr>
          <w:color w:val="1F497D" w:themeColor="text2"/>
          <w:sz w:val="20"/>
        </w:rPr>
        <w:t xml:space="preserve"> </w:t>
      </w:r>
      <w:r w:rsidR="00902C4B" w:rsidRPr="007E3CCC">
        <w:rPr>
          <w:color w:val="1F497D" w:themeColor="text2"/>
          <w:sz w:val="20"/>
        </w:rPr>
        <w:t>(</w:t>
      </w:r>
      <w:r w:rsidRPr="007E3CCC">
        <w:rPr>
          <w:color w:val="1F497D" w:themeColor="text2"/>
          <w:sz w:val="20"/>
        </w:rPr>
        <w:t xml:space="preserve">Policy Transition Group, </w:t>
      </w:r>
      <w:r w:rsidR="00902C4B" w:rsidRPr="007E3CCC">
        <w:rPr>
          <w:color w:val="1F497D" w:themeColor="text2"/>
          <w:sz w:val="20"/>
        </w:rPr>
        <w:t xml:space="preserve">2010, </w:t>
      </w:r>
      <w:r w:rsidRPr="007E3CCC">
        <w:rPr>
          <w:color w:val="1F497D" w:themeColor="text2"/>
          <w:sz w:val="20"/>
        </w:rPr>
        <w:t>p. 93</w:t>
      </w:r>
      <w:r w:rsidR="00902C4B" w:rsidRPr="007E3CCC">
        <w:rPr>
          <w:color w:val="1F497D" w:themeColor="text2"/>
          <w:sz w:val="20"/>
        </w:rPr>
        <w:t>)</w:t>
      </w:r>
      <w:r w:rsidRPr="00902C4B">
        <w:rPr>
          <w:color w:val="1F497D" w:themeColor="text2"/>
          <w:sz w:val="20"/>
        </w:rPr>
        <w:t>.</w:t>
      </w:r>
    </w:p>
    <w:p w14:paraId="6B18ACBF" w14:textId="7C6C0430" w:rsidR="00AA7794" w:rsidRDefault="00AA7794" w:rsidP="00F004AE">
      <w:r>
        <w:t>The projects that have transitioned into the PRRT bring with them large starting bases. Several factors have contributed to the large size of these starting base</w:t>
      </w:r>
      <w:r w:rsidR="00BF0E2D">
        <w:t>s</w:t>
      </w:r>
      <w:r>
        <w:t>. First, most transitioning projects elected to use the market value approach to valuing their starting base. The market value method includes the market value of the resource. At the time of the PRRT</w:t>
      </w:r>
      <w:r w:rsidR="005D6F39">
        <w:t>’</w:t>
      </w:r>
      <w:r>
        <w:t>s extension, Professor Michael Crommelin from the University of Melbourne made the following observation on the transitional arrangements for the PRRT and the MRRT that allowed resource projects to value their starting base on a market value basis:</w:t>
      </w:r>
    </w:p>
    <w:p w14:paraId="2CA81C57" w14:textId="6C9D74C0" w:rsidR="00AA7794" w:rsidRPr="000D53EF" w:rsidRDefault="00AA7794" w:rsidP="000D53EF">
      <w:pPr>
        <w:ind w:left="567" w:right="565"/>
        <w:rPr>
          <w:color w:val="1F497D" w:themeColor="text2"/>
          <w:sz w:val="20"/>
        </w:rPr>
      </w:pPr>
      <w:r w:rsidRPr="000D53EF">
        <w:rPr>
          <w:color w:val="1F497D" w:themeColor="text2"/>
          <w:sz w:val="20"/>
        </w:rPr>
        <w:t xml:space="preserve">That approach is absolute anathema to the very concept of a resource based tax. It just gave the companies what the tax base would otherwise have been. </w:t>
      </w:r>
      <w:r w:rsidR="00CF16A9" w:rsidRPr="000D53EF">
        <w:rPr>
          <w:color w:val="1F497D" w:themeColor="text2"/>
          <w:sz w:val="20"/>
        </w:rPr>
        <w:t>It</w:t>
      </w:r>
      <w:r w:rsidR="005D6F39">
        <w:rPr>
          <w:color w:val="1F497D" w:themeColor="text2"/>
          <w:sz w:val="20"/>
        </w:rPr>
        <w:t>’</w:t>
      </w:r>
      <w:r w:rsidR="00CF16A9" w:rsidRPr="000D53EF">
        <w:rPr>
          <w:color w:val="1F497D" w:themeColor="text2"/>
          <w:sz w:val="20"/>
        </w:rPr>
        <w:t>s</w:t>
      </w:r>
      <w:r w:rsidRPr="000D53EF">
        <w:rPr>
          <w:color w:val="1F497D" w:themeColor="text2"/>
          <w:sz w:val="20"/>
        </w:rPr>
        <w:t xml:space="preserve"> destroyed the tax base. The companies can, having obtained these valuations of these assets at that time, deduct a fixed percentage of those valuations until 2037. So they have very substantial deductions for the next 24 years which effectively erode dramatically the tax base as it would otherwise be for the MRRT. So far as the PRRT is concerned, the arrangement is the same but the practical consequence is probably much less significant because you don</w:t>
      </w:r>
      <w:r w:rsidR="005D6F39">
        <w:rPr>
          <w:color w:val="1F497D" w:themeColor="text2"/>
          <w:sz w:val="20"/>
        </w:rPr>
        <w:t>’</w:t>
      </w:r>
      <w:r w:rsidRPr="000D53EF">
        <w:rPr>
          <w:color w:val="1F497D" w:themeColor="text2"/>
          <w:sz w:val="20"/>
        </w:rPr>
        <w:t>t have existing onshore petroleum investments at anything like the scale that you have for the iron ore mines and the coal mines. So in simple terms, the option given to the companies of the market value approach to valuation of starting based assets destroyed the tax base of the MRRT. It hardly comes as a surprise then that the returns from that tax have not only been small but are not projected to rise dramatically at least in the foreseeable future</w:t>
      </w:r>
      <w:r w:rsidR="007E3CCC" w:rsidRPr="007E3CCC">
        <w:rPr>
          <w:color w:val="1F497D" w:themeColor="text2"/>
          <w:sz w:val="20"/>
        </w:rPr>
        <w:t xml:space="preserve"> (</w:t>
      </w:r>
      <w:r w:rsidRPr="007E3CCC">
        <w:rPr>
          <w:color w:val="1F497D" w:themeColor="text2"/>
          <w:sz w:val="20"/>
        </w:rPr>
        <w:t>Grattan Institute</w:t>
      </w:r>
      <w:r w:rsidR="007E3CCC" w:rsidRPr="007E3CCC">
        <w:rPr>
          <w:color w:val="1F497D" w:themeColor="text2"/>
          <w:sz w:val="20"/>
        </w:rPr>
        <w:t>,</w:t>
      </w:r>
      <w:r w:rsidRPr="007E3CCC">
        <w:rPr>
          <w:color w:val="1F497D" w:themeColor="text2"/>
          <w:sz w:val="20"/>
        </w:rPr>
        <w:t xml:space="preserve"> 2013, p. 4</w:t>
      </w:r>
      <w:r w:rsidR="007E3CCC" w:rsidRPr="007E3CCC">
        <w:rPr>
          <w:color w:val="1F497D" w:themeColor="text2"/>
          <w:sz w:val="20"/>
        </w:rPr>
        <w:t>)</w:t>
      </w:r>
      <w:r w:rsidRPr="007E3CCC">
        <w:rPr>
          <w:color w:val="1F497D" w:themeColor="text2"/>
          <w:sz w:val="20"/>
        </w:rPr>
        <w:t>.</w:t>
      </w:r>
    </w:p>
    <w:p w14:paraId="4854004F" w14:textId="662E8B61" w:rsidR="00BF0E2D" w:rsidRDefault="00BF0E2D" w:rsidP="00BF0E2D">
      <w:r>
        <w:t xml:space="preserve">Several submissions to the </w:t>
      </w:r>
      <w:r w:rsidR="00CD0C0A">
        <w:t>r</w:t>
      </w:r>
      <w:r>
        <w:t xml:space="preserve">eview commented on the starting base arrangements, noting that transitioning projects are unlikely to pay PRRT in the foreseeable future, if at all, given the size of the royalty payments and starting base expenditure. It was also suggested that allowing companies to value their starting base assets at their market value was excessively generous. Prosper Australia was particularly critical of allowing projects </w:t>
      </w:r>
      <w:r w:rsidR="004706AD">
        <w:t>to</w:t>
      </w:r>
      <w:r>
        <w:t xml:space="preserve"> value their starting base assets at their market value</w:t>
      </w:r>
      <w:r w:rsidR="00CD0C0A">
        <w:t>s</w:t>
      </w:r>
      <w:r w:rsidR="00E9728C">
        <w:t>.</w:t>
      </w:r>
    </w:p>
    <w:p w14:paraId="599CB435" w14:textId="0F50E183" w:rsidR="00BF0E2D" w:rsidRPr="000D53EF" w:rsidRDefault="00BF0E2D" w:rsidP="00BF0E2D">
      <w:pPr>
        <w:ind w:left="567" w:right="565"/>
        <w:rPr>
          <w:color w:val="1F497D" w:themeColor="text2"/>
          <w:sz w:val="20"/>
        </w:rPr>
      </w:pPr>
      <w:r w:rsidRPr="000D53EF">
        <w:rPr>
          <w:color w:val="1F497D" w:themeColor="text2"/>
          <w:sz w:val="20"/>
        </w:rPr>
        <w:t xml:space="preserve">The net effect is to shield the full economic rent of the project from the PRRT, since the market value of the project is the capitalisation of all future economic rents! This move was either a massive mistake or was developed with a high degree of industry input and limited oversight from a frank and fearless public service </w:t>
      </w:r>
      <w:r w:rsidR="00716DF6">
        <w:rPr>
          <w:color w:val="1F497D" w:themeColor="text2"/>
          <w:sz w:val="20"/>
        </w:rPr>
        <w:t>(</w:t>
      </w:r>
      <w:r w:rsidRPr="000D53EF">
        <w:rPr>
          <w:color w:val="1F497D" w:themeColor="text2"/>
          <w:sz w:val="20"/>
        </w:rPr>
        <w:t>Prosper</w:t>
      </w:r>
      <w:r w:rsidR="004504C6">
        <w:rPr>
          <w:color w:val="1F497D" w:themeColor="text2"/>
          <w:sz w:val="20"/>
        </w:rPr>
        <w:t xml:space="preserve"> </w:t>
      </w:r>
      <w:r w:rsidRPr="000D53EF">
        <w:rPr>
          <w:color w:val="1F497D" w:themeColor="text2"/>
          <w:sz w:val="20"/>
        </w:rPr>
        <w:t>Australia</w:t>
      </w:r>
      <w:r w:rsidR="000C25EE">
        <w:rPr>
          <w:color w:val="1F497D" w:themeColor="text2"/>
          <w:sz w:val="20"/>
        </w:rPr>
        <w:t> </w:t>
      </w:r>
      <w:r w:rsidR="00AF3BD6">
        <w:rPr>
          <w:color w:val="1F497D" w:themeColor="text2"/>
          <w:sz w:val="20"/>
        </w:rPr>
        <w:t>Submission</w:t>
      </w:r>
      <w:r w:rsidRPr="000D53EF">
        <w:rPr>
          <w:color w:val="1F497D" w:themeColor="text2"/>
          <w:sz w:val="20"/>
        </w:rPr>
        <w:t>,</w:t>
      </w:r>
      <w:r w:rsidR="004504C6">
        <w:rPr>
          <w:color w:val="1F497D" w:themeColor="text2"/>
          <w:sz w:val="20"/>
        </w:rPr>
        <w:t xml:space="preserve"> </w:t>
      </w:r>
      <w:r w:rsidRPr="000D53EF">
        <w:rPr>
          <w:color w:val="1F497D" w:themeColor="text2"/>
          <w:sz w:val="20"/>
        </w:rPr>
        <w:t>p. 7</w:t>
      </w:r>
      <w:r w:rsidR="00716DF6">
        <w:rPr>
          <w:color w:val="1F497D" w:themeColor="text2"/>
          <w:sz w:val="20"/>
        </w:rPr>
        <w:t>)</w:t>
      </w:r>
      <w:r w:rsidR="00AF3BD6">
        <w:rPr>
          <w:color w:val="1F497D" w:themeColor="text2"/>
          <w:sz w:val="20"/>
        </w:rPr>
        <w:t>.</w:t>
      </w:r>
    </w:p>
    <w:p w14:paraId="6BBA4977" w14:textId="2EEE5603" w:rsidR="00BF0E2D" w:rsidRDefault="004706AD" w:rsidP="00BF0E2D">
      <w:r>
        <w:t>T</w:t>
      </w:r>
      <w:r w:rsidR="00BF0E2D">
        <w:t xml:space="preserve">he </w:t>
      </w:r>
      <w:r w:rsidR="003377E6">
        <w:t>PTG</w:t>
      </w:r>
      <w:r w:rsidR="00BF0E2D">
        <w:t xml:space="preserve"> </w:t>
      </w:r>
      <w:r>
        <w:t xml:space="preserve">recognised </w:t>
      </w:r>
      <w:r w:rsidR="00BF0E2D">
        <w:t>that the provision of the starting base and the way it is valued can have significant bearing on taxpayer liabilities.</w:t>
      </w:r>
    </w:p>
    <w:p w14:paraId="64A14FDE" w14:textId="402B0BA3" w:rsidR="00BF0E2D" w:rsidRPr="000D53EF" w:rsidRDefault="00BF0E2D" w:rsidP="00BF0E2D">
      <w:pPr>
        <w:ind w:left="567" w:right="565"/>
        <w:rPr>
          <w:color w:val="1F497D" w:themeColor="text2"/>
          <w:sz w:val="20"/>
        </w:rPr>
      </w:pPr>
      <w:r w:rsidRPr="000D53EF">
        <w:rPr>
          <w:color w:val="1F497D" w:themeColor="text2"/>
          <w:sz w:val="20"/>
        </w:rPr>
        <w:t xml:space="preserve">The PTG notes that market valuation of the starting base could have a significant bearing on taxpayer liabilities for PRRT and that different valuation methodologies and assumptions can </w:t>
      </w:r>
      <w:r>
        <w:rPr>
          <w:color w:val="1F497D" w:themeColor="text2"/>
          <w:sz w:val="20"/>
        </w:rPr>
        <w:t>produce quite different results</w:t>
      </w:r>
      <w:r w:rsidRPr="000D53EF">
        <w:rPr>
          <w:color w:val="1F497D" w:themeColor="text2"/>
          <w:sz w:val="20"/>
        </w:rPr>
        <w:t xml:space="preserve"> </w:t>
      </w:r>
      <w:r>
        <w:rPr>
          <w:color w:val="1F497D" w:themeColor="text2"/>
          <w:sz w:val="20"/>
        </w:rPr>
        <w:t>(</w:t>
      </w:r>
      <w:r w:rsidRPr="007E3CCC">
        <w:rPr>
          <w:color w:val="1F497D" w:themeColor="text2"/>
          <w:sz w:val="20"/>
        </w:rPr>
        <w:t>Policy Transition Group, 2010, p. 91</w:t>
      </w:r>
      <w:r>
        <w:rPr>
          <w:color w:val="1F497D" w:themeColor="text2"/>
          <w:sz w:val="20"/>
        </w:rPr>
        <w:t>)</w:t>
      </w:r>
      <w:r w:rsidRPr="000D53EF">
        <w:rPr>
          <w:color w:val="1F497D" w:themeColor="text2"/>
          <w:sz w:val="20"/>
        </w:rPr>
        <w:t>.</w:t>
      </w:r>
    </w:p>
    <w:p w14:paraId="6CC4A446" w14:textId="08F70817" w:rsidR="00BF0E2D" w:rsidRDefault="00DA298C" w:rsidP="00BF0E2D">
      <w:r>
        <w:t xml:space="preserve">Also impacting on the extent to which the starting base arrangements will shield projects from PRRT </w:t>
      </w:r>
      <w:r w:rsidR="00E90B65">
        <w:t>payments is</w:t>
      </w:r>
      <w:r>
        <w:t xml:space="preserve"> the fact that </w:t>
      </w:r>
      <w:r w:rsidR="00BF0E2D">
        <w:t xml:space="preserve">oil and gas prices were </w:t>
      </w:r>
      <w:r w:rsidR="00BE2D45">
        <w:t xml:space="preserve">significantly </w:t>
      </w:r>
      <w:r w:rsidR="00206BD3">
        <w:t>high</w:t>
      </w:r>
      <w:r w:rsidR="00BE2D45">
        <w:t>er</w:t>
      </w:r>
      <w:r w:rsidR="00206BD3">
        <w:t xml:space="preserve"> </w:t>
      </w:r>
      <w:r w:rsidR="00BF0E2D">
        <w:t xml:space="preserve">at </w:t>
      </w:r>
      <w:r w:rsidR="00BE2D45">
        <w:t xml:space="preserve">the </w:t>
      </w:r>
      <w:r w:rsidR="00BF0E2D">
        <w:t>time that the starting bases were calculated</w:t>
      </w:r>
      <w:r>
        <w:t xml:space="preserve"> compared with </w:t>
      </w:r>
      <w:r w:rsidR="00BE5A04">
        <w:t>current prices</w:t>
      </w:r>
      <w:r w:rsidR="00206BD3">
        <w:t xml:space="preserve">. </w:t>
      </w:r>
      <w:r w:rsidR="00206BD3" w:rsidRPr="006D28D4">
        <w:t xml:space="preserve">Figure </w:t>
      </w:r>
      <w:r w:rsidR="00792FA2" w:rsidRPr="006D28D4">
        <w:t>4.7</w:t>
      </w:r>
      <w:r w:rsidR="00206BD3">
        <w:t xml:space="preserve"> illustrates the movement of the oil price (tapis $USD/barrel) since 2000.</w:t>
      </w:r>
    </w:p>
    <w:p w14:paraId="76FFBC41" w14:textId="79FDD050" w:rsidR="00206BD3" w:rsidRDefault="00206BD3" w:rsidP="00221C2A">
      <w:pPr>
        <w:pStyle w:val="ChartMainHeading"/>
      </w:pPr>
      <w:r w:rsidRPr="00E96DB8">
        <w:t xml:space="preserve">Figure </w:t>
      </w:r>
      <w:r w:rsidR="00B457EC">
        <w:t>4.7</w:t>
      </w:r>
      <w:r w:rsidRPr="00E96DB8">
        <w:t xml:space="preserve"> </w:t>
      </w:r>
      <w:r w:rsidR="00EE212D" w:rsidRPr="00EE212D">
        <w:t>—</w:t>
      </w:r>
      <w:r w:rsidRPr="00E96DB8">
        <w:t xml:space="preserve"> Historic </w:t>
      </w:r>
      <w:r w:rsidR="00EE212D">
        <w:t>o</w:t>
      </w:r>
      <w:r w:rsidRPr="00E96DB8">
        <w:t xml:space="preserve">il </w:t>
      </w:r>
      <w:r w:rsidR="00EE212D">
        <w:t>p</w:t>
      </w:r>
      <w:r w:rsidRPr="00E96DB8">
        <w:t>rices (Tapis, $USD/</w:t>
      </w:r>
      <w:r w:rsidR="00F93371">
        <w:t>b</w:t>
      </w:r>
      <w:r w:rsidRPr="00E96DB8">
        <w:t>arrel)</w:t>
      </w:r>
    </w:p>
    <w:bookmarkStart w:id="6501" w:name="_1553413965"/>
    <w:bookmarkStart w:id="6502" w:name="_1553502277"/>
    <w:bookmarkEnd w:id="6501"/>
    <w:bookmarkEnd w:id="6502"/>
    <w:p w14:paraId="2E27883F" w14:textId="4DCBB25E" w:rsidR="00206BD3" w:rsidRDefault="00C026C1" w:rsidP="00206BD3">
      <w:pPr>
        <w:pStyle w:val="ChartGraphic"/>
      </w:pPr>
      <w:r>
        <w:object w:dxaOrig="8775" w:dyaOrig="4530" w14:anchorId="27922236">
          <v:shape id="_x0000_i1045" type="#_x0000_t75" alt="Figure 4.7 shows the oil price (Tapis, $USD/ barrel) from 2000.The oil price rose steadily from about US$30 a barrel in 2000 to a peak of around US$130 a barrel in 2008. The price fell to around US$50 a barrel in 2009 before recovering to spend a sustained period from 2011 to 2014 at around US$120 a barrel. Since then the oil price has fallen considerably to around US$40 a barrel." style="width:439.5pt;height:227.25pt" o:ole="">
            <v:imagedata r:id="rId75" o:title=""/>
          </v:shape>
          <o:OLEObject Type="Link" ProgID="Excel.Sheet.12" ShapeID="_x0000_i1045" DrawAspect="Content" r:id="rId76" UpdateMode="Always">
            <o:LinkType>EnhancedMetaFile</o:LinkType>
            <o:LockedField>false</o:LockedField>
          </o:OLEObject>
        </w:object>
      </w:r>
    </w:p>
    <w:p w14:paraId="7B51A7B9" w14:textId="78ECA9D2" w:rsidR="00F7796A" w:rsidRDefault="00F7796A" w:rsidP="00C026C1">
      <w:pPr>
        <w:pStyle w:val="ChartorTableNote"/>
      </w:pPr>
      <w:r w:rsidRPr="007E3CCC">
        <w:t xml:space="preserve">Source: </w:t>
      </w:r>
      <w:r w:rsidR="000C25EE">
        <w:t>Petroleum Resource Rent Tax Review Secretariat</w:t>
      </w:r>
      <w:r w:rsidR="00F93371">
        <w:t>.</w:t>
      </w:r>
    </w:p>
    <w:p w14:paraId="6F637ACB" w14:textId="77777777" w:rsidR="00C026C1" w:rsidRPr="00C026C1" w:rsidRDefault="00C026C1" w:rsidP="00C026C1">
      <w:pPr>
        <w:pStyle w:val="SingleParagraph"/>
      </w:pPr>
    </w:p>
    <w:p w14:paraId="5F512E71" w14:textId="1035C9DC" w:rsidR="00BF0E2D" w:rsidRDefault="00DA298C" w:rsidP="00BF0E2D">
      <w:r>
        <w:t>T</w:t>
      </w:r>
      <w:r w:rsidR="00BF0E2D">
        <w:t xml:space="preserve">he augmentation rate at which the starting base is uplifted has meant that the starting base continues to grow. The </w:t>
      </w:r>
      <w:r w:rsidR="003377E6">
        <w:t>PTG</w:t>
      </w:r>
      <w:r w:rsidR="00BF0E2D">
        <w:t xml:space="preserve"> recommended that the starting base </w:t>
      </w:r>
      <w:r w:rsidR="00FF2724">
        <w:t xml:space="preserve">should </w:t>
      </w:r>
      <w:r w:rsidR="00BF0E2D">
        <w:t xml:space="preserve">be uplifted at the same augmentation rate as general project expenditure, </w:t>
      </w:r>
      <w:r>
        <w:t xml:space="preserve">namely LTBR </w:t>
      </w:r>
      <w:r w:rsidR="00BF0E2D">
        <w:t>plus 5 percentage points.</w:t>
      </w:r>
    </w:p>
    <w:p w14:paraId="486F8B2E" w14:textId="4EF07909" w:rsidR="00BF0E2D" w:rsidRPr="000D53EF" w:rsidRDefault="00BF0E2D" w:rsidP="00BF0E2D">
      <w:pPr>
        <w:ind w:left="567" w:right="565"/>
        <w:rPr>
          <w:color w:val="1F497D" w:themeColor="text2"/>
          <w:sz w:val="20"/>
        </w:rPr>
      </w:pPr>
      <w:r w:rsidRPr="000D53EF">
        <w:rPr>
          <w:color w:val="1F497D" w:themeColor="text2"/>
          <w:sz w:val="20"/>
        </w:rPr>
        <w:t>Starting base amounts should be treated in the same manner as general project expenditure, being immediately deductible, non</w:t>
      </w:r>
      <w:r w:rsidR="005D6F39">
        <w:rPr>
          <w:color w:val="1F497D" w:themeColor="text2"/>
          <w:sz w:val="20"/>
        </w:rPr>
        <w:noBreakHyphen/>
      </w:r>
      <w:r w:rsidRPr="000D53EF">
        <w:rPr>
          <w:color w:val="1F497D" w:themeColor="text2"/>
          <w:sz w:val="20"/>
        </w:rPr>
        <w:t>transferable and non</w:t>
      </w:r>
      <w:r w:rsidR="005D6F39">
        <w:rPr>
          <w:color w:val="1F497D" w:themeColor="text2"/>
          <w:sz w:val="20"/>
        </w:rPr>
        <w:noBreakHyphen/>
      </w:r>
      <w:r w:rsidRPr="000D53EF">
        <w:rPr>
          <w:color w:val="1F497D" w:themeColor="text2"/>
          <w:sz w:val="20"/>
        </w:rPr>
        <w:t>refundable, with undeducted amounts uplifted in accordance with the e</w:t>
      </w:r>
      <w:r>
        <w:rPr>
          <w:color w:val="1F497D" w:themeColor="text2"/>
          <w:sz w:val="20"/>
        </w:rPr>
        <w:t>xisting augmentation provisions</w:t>
      </w:r>
      <w:r w:rsidRPr="000D53EF">
        <w:rPr>
          <w:color w:val="1F497D" w:themeColor="text2"/>
          <w:sz w:val="20"/>
        </w:rPr>
        <w:t xml:space="preserve"> </w:t>
      </w:r>
      <w:r w:rsidRPr="007E3CCC">
        <w:rPr>
          <w:color w:val="1F497D" w:themeColor="text2"/>
          <w:sz w:val="20"/>
        </w:rPr>
        <w:t>(Policy Transition Group, 2010, p. 123)</w:t>
      </w:r>
      <w:r w:rsidRPr="000D53EF">
        <w:rPr>
          <w:color w:val="1F497D" w:themeColor="text2"/>
          <w:sz w:val="20"/>
        </w:rPr>
        <w:t>.</w:t>
      </w:r>
    </w:p>
    <w:p w14:paraId="4B4557F5" w14:textId="36117EA8" w:rsidR="008B6298" w:rsidRDefault="00AA7794" w:rsidP="008B6298">
      <w:r>
        <w:t>These factors</w:t>
      </w:r>
      <w:r w:rsidR="005D6F39">
        <w:t xml:space="preserve"> — </w:t>
      </w:r>
      <w:r>
        <w:t xml:space="preserve">the market value of the resource, high oil prices at the time of valuation, and the </w:t>
      </w:r>
      <w:r w:rsidR="00E97A66">
        <w:t xml:space="preserve">uplift </w:t>
      </w:r>
      <w:r>
        <w:t>rate attached to the starting base</w:t>
      </w:r>
      <w:r w:rsidR="005D6F39">
        <w:t xml:space="preserve"> — </w:t>
      </w:r>
      <w:r>
        <w:t>mean that transitioning projects will only pay PRRT in the event that the projects</w:t>
      </w:r>
      <w:r w:rsidR="005D6F39">
        <w:t>’</w:t>
      </w:r>
      <w:r w:rsidR="00E97A66">
        <w:t xml:space="preserve"> profitability</w:t>
      </w:r>
      <w:r>
        <w:t xml:space="preserve"> </w:t>
      </w:r>
      <w:r w:rsidR="00E97A66">
        <w:t xml:space="preserve">proves to be </w:t>
      </w:r>
      <w:r>
        <w:t xml:space="preserve">significantly </w:t>
      </w:r>
      <w:r w:rsidR="00E97A66">
        <w:t xml:space="preserve">better than </w:t>
      </w:r>
      <w:r>
        <w:t>market expectations in 2010.</w:t>
      </w:r>
      <w:r w:rsidR="009630B9">
        <w:t xml:space="preserve"> </w:t>
      </w:r>
      <w:r w:rsidR="008B6298">
        <w:t xml:space="preserve">Further, transitioning projects, like all onshore projects, are subject to state royalties, which are </w:t>
      </w:r>
      <w:r w:rsidR="00E97A66">
        <w:t>creditable against</w:t>
      </w:r>
      <w:r w:rsidR="008B6298">
        <w:t xml:space="preserve"> PRRT. This means these projects will only pay PRRT where their assessable </w:t>
      </w:r>
      <w:r w:rsidR="00AC2CDB">
        <w:t xml:space="preserve">PRRT </w:t>
      </w:r>
      <w:r w:rsidR="008B6298">
        <w:t>receipts exceed their deductible expenditure</w:t>
      </w:r>
      <w:r w:rsidR="001A1BCF">
        <w:t>s</w:t>
      </w:r>
      <w:r w:rsidR="008B6298">
        <w:t xml:space="preserve"> includ</w:t>
      </w:r>
      <w:r w:rsidR="001A1BCF">
        <w:t>ing</w:t>
      </w:r>
      <w:r w:rsidR="008B6298">
        <w:t xml:space="preserve"> their carry</w:t>
      </w:r>
      <w:r w:rsidR="005D6F39">
        <w:noBreakHyphen/>
      </w:r>
      <w:r w:rsidR="008B6298">
        <w:t>forward starting base</w:t>
      </w:r>
      <w:r w:rsidR="00E97A66">
        <w:t>s</w:t>
      </w:r>
      <w:r w:rsidR="008B6298">
        <w:t xml:space="preserve"> </w:t>
      </w:r>
      <w:r w:rsidR="00E97A66">
        <w:t>and grossed</w:t>
      </w:r>
      <w:r w:rsidR="005D6F39">
        <w:noBreakHyphen/>
      </w:r>
      <w:r w:rsidR="00E97A66">
        <w:t>up royalty payments (</w:t>
      </w:r>
      <w:r w:rsidR="00792FA2" w:rsidRPr="006D28D4">
        <w:t>s</w:t>
      </w:r>
      <w:r w:rsidR="00E97A66" w:rsidRPr="006D28D4">
        <w:t>ection</w:t>
      </w:r>
      <w:r w:rsidR="007E3CCC" w:rsidRPr="006D28D4">
        <w:t> </w:t>
      </w:r>
      <w:r w:rsidR="006A5BCB" w:rsidRPr="006D28D4">
        <w:t>4.6</w:t>
      </w:r>
      <w:r w:rsidR="006A5BCB">
        <w:t>)</w:t>
      </w:r>
      <w:r w:rsidR="008B6298">
        <w:t>.</w:t>
      </w:r>
    </w:p>
    <w:p w14:paraId="164219DF" w14:textId="7BF7E071" w:rsidR="004E4F6B" w:rsidRDefault="004E4F6B" w:rsidP="008B6298">
      <w:r>
        <w:t>The review</w:t>
      </w:r>
      <w:r w:rsidR="005D6F39">
        <w:t>’</w:t>
      </w:r>
      <w:r>
        <w:t>s modelling confirms that transitioning projects are not expected to pay PRRT under existing arrangements even at</w:t>
      </w:r>
      <w:r w:rsidR="000104A8">
        <w:t xml:space="preserve"> average</w:t>
      </w:r>
      <w:r>
        <w:t xml:space="preserve"> oil prices of $US100 per barrel</w:t>
      </w:r>
      <w:r w:rsidR="000104A8">
        <w:t xml:space="preserve"> to 2050</w:t>
      </w:r>
      <w:r>
        <w:t>.</w:t>
      </w:r>
    </w:p>
    <w:p w14:paraId="0CF942F5" w14:textId="23D39A04" w:rsidR="00060F13" w:rsidRDefault="00060F13" w:rsidP="008B6298">
      <w:bookmarkStart w:id="6503" w:name="_Toc476747683"/>
      <w:bookmarkStart w:id="6504" w:name="_Toc476749093"/>
      <w:bookmarkStart w:id="6505" w:name="_Toc476753960"/>
      <w:bookmarkStart w:id="6506" w:name="_Toc476754455"/>
      <w:bookmarkStart w:id="6507" w:name="_Toc476754620"/>
      <w:bookmarkStart w:id="6508" w:name="_Toc476759859"/>
      <w:bookmarkStart w:id="6509" w:name="_Toc476761481"/>
      <w:bookmarkStart w:id="6510" w:name="_Toc476767119"/>
      <w:bookmarkStart w:id="6511" w:name="_Toc476827165"/>
      <w:bookmarkStart w:id="6512" w:name="_Toc476828858"/>
      <w:bookmarkStart w:id="6513" w:name="_Toc476833732"/>
      <w:bookmarkStart w:id="6514" w:name="_Toc476837205"/>
      <w:bookmarkStart w:id="6515" w:name="_Toc476841078"/>
      <w:bookmarkStart w:id="6516" w:name="_Toc476841283"/>
      <w:bookmarkStart w:id="6517" w:name="_Toc476842042"/>
      <w:bookmarkStart w:id="6518" w:name="_Toc476842986"/>
      <w:bookmarkStart w:id="6519" w:name="_Toc476843157"/>
      <w:bookmarkStart w:id="6520" w:name="_Toc476844655"/>
      <w:bookmarkStart w:id="6521" w:name="_Toc476845548"/>
      <w:bookmarkStart w:id="6522" w:name="_Toc476926941"/>
      <w:bookmarkStart w:id="6523" w:name="_Toc476927054"/>
      <w:bookmarkStart w:id="6524" w:name="_Toc476927228"/>
      <w:bookmarkStart w:id="6525" w:name="_Toc476928492"/>
      <w:bookmarkStart w:id="6526" w:name="_Toc476929535"/>
      <w:bookmarkStart w:id="6527" w:name="_Toc476929710"/>
      <w:bookmarkStart w:id="6528" w:name="_Toc476930753"/>
      <w:bookmarkStart w:id="6529" w:name="_Toc476931560"/>
      <w:bookmarkStart w:id="6530" w:name="_Toc477869904"/>
      <w:bookmarkStart w:id="6531" w:name="_Toc477871143"/>
      <w:bookmarkStart w:id="6532" w:name="_Toc477873302"/>
      <w:bookmarkStart w:id="6533" w:name="_Toc477875296"/>
      <w:bookmarkStart w:id="6534" w:name="_Toc477880209"/>
      <w:bookmarkStart w:id="6535" w:name="_Toc477881469"/>
      <w:bookmarkStart w:id="6536" w:name="_Toc477955873"/>
      <w:bookmarkStart w:id="6537" w:name="_Toc477963118"/>
      <w:bookmarkStart w:id="6538" w:name="_Toc477963604"/>
      <w:bookmarkStart w:id="6539" w:name="_Toc477965190"/>
      <w:bookmarkStart w:id="6540" w:name="_Toc477966694"/>
      <w:bookmarkStart w:id="6541" w:name="_Toc477966863"/>
      <w:bookmarkStart w:id="6542" w:name="_Toc477967203"/>
      <w:bookmarkStart w:id="6543" w:name="_Toc478121340"/>
      <w:bookmarkStart w:id="6544" w:name="_Toc478122253"/>
      <w:r>
        <w:t xml:space="preserve">An additional consequence of transitioning projects into the PRRT </w:t>
      </w:r>
      <w:r w:rsidR="00027AC8">
        <w:t xml:space="preserve">under rules which mean they are unlikely to pay PRRT is that transferable exploration expenditure </w:t>
      </w:r>
      <w:r w:rsidR="004D521C">
        <w:t>from these projects could</w:t>
      </w:r>
      <w:r w:rsidR="00027AC8">
        <w:t xml:space="preserve"> reduce PRRT payable in other projects.</w:t>
      </w:r>
      <w:r w:rsidR="008A64C3">
        <w:t xml:space="preserve"> The ordering of deductions set in 2012 for starting base and royalty credits had those deductions coming after transferable exploration expenditure which reduces this risk. However, as exploration expenditure is compulsorily transferred to </w:t>
      </w:r>
      <w:r w:rsidR="004504C6">
        <w:t xml:space="preserve">a </w:t>
      </w:r>
      <w:r w:rsidR="008A64C3">
        <w:t>PRRT payable project as soo</w:t>
      </w:r>
      <w:r w:rsidR="006A0F47">
        <w:t>n as it</w:t>
      </w:r>
      <w:r w:rsidR="008A64C3">
        <w:t xml:space="preserve"> is</w:t>
      </w:r>
      <w:r w:rsidR="006A0F47">
        <w:t xml:space="preserve"> allowed</w:t>
      </w:r>
      <w:r w:rsidR="00B01C6C">
        <w:t>,</w:t>
      </w:r>
      <w:r w:rsidR="006A0F47">
        <w:t xml:space="preserve"> it is</w:t>
      </w:r>
      <w:r w:rsidR="008A64C3">
        <w:t xml:space="preserve"> likely that some of the exploration expenditure from transiti</w:t>
      </w:r>
      <w:r w:rsidR="006A0F47">
        <w:t>oning projects has been transferred to existing projects</w:t>
      </w:r>
      <w:r w:rsidR="008A64C3">
        <w:t xml:space="preserve"> and therefore reduced PRRT revenue</w:t>
      </w:r>
      <w:r w:rsidR="006A0F47">
        <w:t xml:space="preserve"> overall</w:t>
      </w:r>
      <w:r w:rsidR="00E77BEE">
        <w:t xml:space="preserve"> since 2012</w:t>
      </w:r>
      <w:r w:rsidR="008A64C3">
        <w:t>.</w:t>
      </w:r>
    </w:p>
    <w:p w14:paraId="128624A8" w14:textId="43121C33" w:rsidR="009630B9" w:rsidRDefault="003932BC" w:rsidP="009630B9">
      <w:pPr>
        <w:pStyle w:val="Heading3"/>
      </w:pPr>
      <w:bookmarkStart w:id="6545" w:name="_Toc478132227"/>
      <w:bookmarkStart w:id="6546" w:name="_Toc478133253"/>
      <w:bookmarkStart w:id="6547" w:name="_Toc478132390"/>
      <w:bookmarkStart w:id="6548" w:name="_Toc478134719"/>
      <w:bookmarkStart w:id="6549" w:name="_Toc478137421"/>
      <w:bookmarkStart w:id="6550" w:name="_Toc478138493"/>
      <w:bookmarkStart w:id="6551" w:name="_Toc478140063"/>
      <w:bookmarkStart w:id="6552" w:name="_Toc478140479"/>
      <w:bookmarkStart w:id="6553" w:name="_Toc478142685"/>
      <w:bookmarkStart w:id="6554" w:name="_Toc478566401"/>
      <w:bookmarkStart w:id="6555" w:name="_Toc478569568"/>
      <w:bookmarkStart w:id="6556" w:name="_Toc478569742"/>
      <w:bookmarkStart w:id="6557" w:name="_Toc478570816"/>
      <w:bookmarkStart w:id="6558" w:name="_Toc478633015"/>
      <w:bookmarkStart w:id="6559" w:name="_Toc478641423"/>
      <w:bookmarkStart w:id="6560" w:name="_Toc478654317"/>
      <w:bookmarkStart w:id="6561" w:name="_Toc478654491"/>
      <w:bookmarkStart w:id="6562" w:name="_Toc478657786"/>
      <w:bookmarkStart w:id="6563" w:name="_Toc478993207"/>
      <w:bookmarkStart w:id="6564" w:name="_Toc479000278"/>
      <w:bookmarkStart w:id="6565" w:name="_Toc479002212"/>
      <w:bookmarkStart w:id="6566" w:name="_Toc479002384"/>
      <w:bookmarkStart w:id="6567" w:name="_Toc479254359"/>
      <w:bookmarkStart w:id="6568" w:name="_Toc479258548"/>
      <w:bookmarkStart w:id="6569" w:name="_Toc479258864"/>
      <w:bookmarkStart w:id="6570" w:name="_Toc479259756"/>
      <w:bookmarkStart w:id="6571" w:name="_Toc479262179"/>
      <w:bookmarkStart w:id="6572" w:name="_Toc479262600"/>
      <w:bookmarkStart w:id="6573" w:name="_Toc479321301"/>
      <w:bookmarkStart w:id="6574" w:name="_Toc479326740"/>
      <w:bookmarkStart w:id="6575" w:name="_Toc479333339"/>
      <w:bookmarkStart w:id="6576" w:name="_Toc479335036"/>
      <w:bookmarkStart w:id="6577" w:name="_Toc479341751"/>
      <w:bookmarkStart w:id="6578" w:name="_Toc479345167"/>
      <w:bookmarkStart w:id="6579" w:name="_Toc479345376"/>
      <w:bookmarkStart w:id="6580" w:name="_Toc479348357"/>
      <w:bookmarkStart w:id="6581" w:name="_Toc479675951"/>
      <w:bookmarkStart w:id="6582" w:name="_Toc479690918"/>
      <w:bookmarkStart w:id="6583" w:name="_Toc479693496"/>
      <w:bookmarkStart w:id="6584" w:name="_Toc479770665"/>
      <w:r>
        <w:t>4.</w:t>
      </w:r>
      <w:r w:rsidR="009B7D3C">
        <w:t>7</w:t>
      </w:r>
      <w:r w:rsidR="009630B9">
        <w:t>.</w:t>
      </w:r>
      <w:r w:rsidR="00AB0CBB">
        <w:t>2</w:t>
      </w:r>
      <w:r w:rsidR="009630B9">
        <w:tab/>
        <w:t xml:space="preserve">Combining </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r w:rsidR="00792FA2">
        <w:t>p</w:t>
      </w:r>
      <w:r w:rsidR="009630B9">
        <w:t>rojects</w:t>
      </w:r>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14:paraId="56D69A4F" w14:textId="241F487E" w:rsidR="009630B9" w:rsidRDefault="009630B9" w:rsidP="009630B9">
      <w:r>
        <w:t xml:space="preserve">An important integrity measure applying to transitioning projects specifically excluded </w:t>
      </w:r>
      <w:r w:rsidR="00A50267">
        <w:t xml:space="preserve">them </w:t>
      </w:r>
      <w:r>
        <w:t xml:space="preserve">from combining with offshore projects. Since there was an expectation that transitioning projects would be heavily shielded from PRRT liabilities, it was </w:t>
      </w:r>
      <w:r w:rsidR="004504C6">
        <w:t>anticipated that</w:t>
      </w:r>
      <w:r>
        <w:t xml:space="preserve"> there would be a revenue risk if starting bases could also be used as a tax shield for offshore projects through projects combining into a single project for PRRT purposes.</w:t>
      </w:r>
    </w:p>
    <w:p w14:paraId="01EAA52A" w14:textId="2194FED5" w:rsidR="009630B9" w:rsidRDefault="009630B9" w:rsidP="009630B9">
      <w:r>
        <w:t>However, this integrity measure was</w:t>
      </w:r>
      <w:r w:rsidR="00DA298C">
        <w:t xml:space="preserve"> not</w:t>
      </w:r>
      <w:r>
        <w:t xml:space="preserve"> extended to onshore projects. </w:t>
      </w:r>
      <w:r w:rsidR="00DA298C">
        <w:t>It is possible that</w:t>
      </w:r>
      <w:r>
        <w:t xml:space="preserve"> onshore exploration permits that are developed and converted into production </w:t>
      </w:r>
      <w:r w:rsidR="001B75B9">
        <w:t>licenc</w:t>
      </w:r>
      <w:r>
        <w:t>es, and become onshore projects for PRRT purposes, c</w:t>
      </w:r>
      <w:r w:rsidR="00DA298C">
        <w:t>ould</w:t>
      </w:r>
      <w:r>
        <w:t xml:space="preserve"> apply to the Resources Minister to combine with other onshore projects with a starting base. Where onshore projects combine to form a single project, any starting base amounts from the projects are pooled together, rather than being quarantined, and can be used to provide a </w:t>
      </w:r>
      <w:r w:rsidR="005D6F39">
        <w:t>‘</w:t>
      </w:r>
      <w:r>
        <w:t>tax shield</w:t>
      </w:r>
      <w:r w:rsidR="005D6F39">
        <w:t>’</w:t>
      </w:r>
      <w:r>
        <w:t xml:space="preserve"> for any assessable </w:t>
      </w:r>
      <w:r w:rsidR="008E36C6">
        <w:t xml:space="preserve">PRRT </w:t>
      </w:r>
      <w:r>
        <w:t>receipts produced from the combined project.</w:t>
      </w:r>
    </w:p>
    <w:p w14:paraId="21CEF548" w14:textId="694AC4F4" w:rsidR="009630B9" w:rsidRDefault="009630B9" w:rsidP="009630B9">
      <w:r>
        <w:t xml:space="preserve">This could have significant implications for future PRRT collections as the starting base from these onshore transitional projects could be used to shield future economic rents </w:t>
      </w:r>
      <w:r w:rsidR="007579DF">
        <w:t>from future projects that do not have a starting base.</w:t>
      </w:r>
    </w:p>
    <w:p w14:paraId="1BA48767" w14:textId="183AC4EF" w:rsidR="009630B9" w:rsidRDefault="009630B9" w:rsidP="009630B9">
      <w:r>
        <w:t xml:space="preserve">It would be </w:t>
      </w:r>
      <w:r w:rsidR="00DA298C">
        <w:t>appropriate</w:t>
      </w:r>
      <w:r>
        <w:t xml:space="preserve"> to extend the integrity measure prohibiting offshore projects combining with transitioning onshore projects so that future onshore projects </w:t>
      </w:r>
      <w:r w:rsidR="007579DF">
        <w:t>with no starting base</w:t>
      </w:r>
      <w:r w:rsidDel="007579DF">
        <w:t xml:space="preserve"> </w:t>
      </w:r>
      <w:r>
        <w:t xml:space="preserve">were also prohibited from combining with these onshore projects with a starting base. This will ensure the 2010 starting base arrangements do not provide a tax shield for future investment and development, which was not intended. Alternatively, the starting base expenditure from each project could be quarantined when projects combine to form a single project, so the starting base expenditure can only be used against the assessable </w:t>
      </w:r>
      <w:r w:rsidR="008E36C6">
        <w:t xml:space="preserve">PRRT </w:t>
      </w:r>
      <w:r>
        <w:t>receipts derived from th</w:t>
      </w:r>
      <w:r w:rsidR="00A50267">
        <w:t>e</w:t>
      </w:r>
      <w:r>
        <w:t xml:space="preserve"> project</w:t>
      </w:r>
      <w:r w:rsidR="00A50267">
        <w:t xml:space="preserve"> that originally attracted the starting base</w:t>
      </w:r>
      <w:r>
        <w:t xml:space="preserve">. However, this </w:t>
      </w:r>
      <w:r w:rsidR="00243A82">
        <w:t>approach</w:t>
      </w:r>
      <w:r>
        <w:t xml:space="preserve"> would introduce further complexity to the PRRT and </w:t>
      </w:r>
      <w:r w:rsidR="00F33389">
        <w:t xml:space="preserve">significantly </w:t>
      </w:r>
      <w:r>
        <w:t xml:space="preserve">increase the compliance burden on </w:t>
      </w:r>
      <w:r w:rsidR="00F33389">
        <w:t>taxpayers</w:t>
      </w:r>
      <w:r>
        <w:t>.</w:t>
      </w:r>
    </w:p>
    <w:p w14:paraId="19C8F10A" w14:textId="74148FAD" w:rsidR="00AA7794" w:rsidRDefault="003932BC" w:rsidP="00BC3931">
      <w:pPr>
        <w:pStyle w:val="Heading2"/>
      </w:pPr>
      <w:bookmarkStart w:id="6585" w:name="_Toc476577364"/>
      <w:bookmarkStart w:id="6586" w:name="_Toc476582353"/>
      <w:bookmarkStart w:id="6587" w:name="_Toc476583027"/>
      <w:bookmarkStart w:id="6588" w:name="_Toc476583744"/>
      <w:bookmarkStart w:id="6589" w:name="_Toc476584192"/>
      <w:bookmarkStart w:id="6590" w:name="_Toc476738100"/>
      <w:bookmarkStart w:id="6591" w:name="_Toc476747685"/>
      <w:bookmarkStart w:id="6592" w:name="_Toc476749095"/>
      <w:bookmarkStart w:id="6593" w:name="_Toc476753962"/>
      <w:bookmarkStart w:id="6594" w:name="_Toc476754457"/>
      <w:bookmarkStart w:id="6595" w:name="_Toc476754622"/>
      <w:bookmarkStart w:id="6596" w:name="_Toc476759861"/>
      <w:bookmarkStart w:id="6597" w:name="_Toc476761483"/>
      <w:bookmarkStart w:id="6598" w:name="_Toc476767121"/>
      <w:bookmarkStart w:id="6599" w:name="_Toc476827166"/>
      <w:bookmarkStart w:id="6600" w:name="_Toc476828859"/>
      <w:bookmarkStart w:id="6601" w:name="_Toc476833733"/>
      <w:bookmarkStart w:id="6602" w:name="_Toc476837206"/>
      <w:bookmarkStart w:id="6603" w:name="_Toc476841079"/>
      <w:bookmarkStart w:id="6604" w:name="_Toc476841284"/>
      <w:bookmarkStart w:id="6605" w:name="_Toc476842043"/>
      <w:bookmarkStart w:id="6606" w:name="_Toc476842987"/>
      <w:bookmarkStart w:id="6607" w:name="_Toc476843158"/>
      <w:bookmarkStart w:id="6608" w:name="_Toc476844656"/>
      <w:bookmarkStart w:id="6609" w:name="_Toc476845549"/>
      <w:bookmarkStart w:id="6610" w:name="_Toc476926942"/>
      <w:bookmarkStart w:id="6611" w:name="_Toc476927055"/>
      <w:bookmarkStart w:id="6612" w:name="_Toc476927229"/>
      <w:bookmarkStart w:id="6613" w:name="_Toc476928493"/>
      <w:bookmarkStart w:id="6614" w:name="_Toc476929536"/>
      <w:bookmarkStart w:id="6615" w:name="_Toc476929711"/>
      <w:bookmarkStart w:id="6616" w:name="_Toc476930754"/>
      <w:bookmarkStart w:id="6617" w:name="_Toc476931561"/>
      <w:bookmarkStart w:id="6618" w:name="_Toc477869905"/>
      <w:bookmarkStart w:id="6619" w:name="_Toc477871144"/>
      <w:bookmarkStart w:id="6620" w:name="_Toc477873303"/>
      <w:bookmarkStart w:id="6621" w:name="_Toc477875297"/>
      <w:bookmarkStart w:id="6622" w:name="_Toc477880210"/>
      <w:bookmarkStart w:id="6623" w:name="_Toc477881470"/>
      <w:bookmarkStart w:id="6624" w:name="_Toc477955874"/>
      <w:bookmarkStart w:id="6625" w:name="_Toc477963119"/>
      <w:bookmarkStart w:id="6626" w:name="_Toc477963605"/>
      <w:bookmarkStart w:id="6627" w:name="_Toc477965191"/>
      <w:bookmarkStart w:id="6628" w:name="_Toc477966695"/>
      <w:bookmarkStart w:id="6629" w:name="_Toc477966864"/>
      <w:bookmarkStart w:id="6630" w:name="_Toc477967204"/>
      <w:bookmarkStart w:id="6631" w:name="_Toc478121341"/>
      <w:bookmarkStart w:id="6632" w:name="_Toc478122254"/>
      <w:bookmarkStart w:id="6633" w:name="_Toc478132228"/>
      <w:bookmarkStart w:id="6634" w:name="_Toc478133254"/>
      <w:bookmarkStart w:id="6635" w:name="_Toc478132391"/>
      <w:bookmarkStart w:id="6636" w:name="_Toc478134720"/>
      <w:bookmarkStart w:id="6637" w:name="_Toc478137422"/>
      <w:bookmarkStart w:id="6638" w:name="_Toc478138494"/>
      <w:bookmarkStart w:id="6639" w:name="_Toc478140064"/>
      <w:bookmarkStart w:id="6640" w:name="_Toc478140480"/>
      <w:bookmarkStart w:id="6641" w:name="_Toc478142686"/>
      <w:bookmarkStart w:id="6642" w:name="_Toc478566402"/>
      <w:bookmarkStart w:id="6643" w:name="_Toc478569569"/>
      <w:bookmarkStart w:id="6644" w:name="_Toc478569743"/>
      <w:bookmarkStart w:id="6645" w:name="_Toc478570817"/>
      <w:bookmarkStart w:id="6646" w:name="_Toc478633016"/>
      <w:bookmarkStart w:id="6647" w:name="_Toc478641424"/>
      <w:bookmarkStart w:id="6648" w:name="_Toc478654318"/>
      <w:bookmarkStart w:id="6649" w:name="_Toc478654492"/>
      <w:bookmarkStart w:id="6650" w:name="_Toc478657787"/>
      <w:bookmarkStart w:id="6651" w:name="_Toc478993208"/>
      <w:bookmarkStart w:id="6652" w:name="_Toc479000279"/>
      <w:bookmarkStart w:id="6653" w:name="_Toc479002213"/>
      <w:bookmarkStart w:id="6654" w:name="_Toc479002385"/>
      <w:bookmarkStart w:id="6655" w:name="_Toc479254360"/>
      <w:bookmarkStart w:id="6656" w:name="_Toc479258549"/>
      <w:bookmarkStart w:id="6657" w:name="_Toc479258865"/>
      <w:bookmarkStart w:id="6658" w:name="_Toc479259757"/>
      <w:bookmarkStart w:id="6659" w:name="_Toc479262180"/>
      <w:bookmarkStart w:id="6660" w:name="_Toc479262601"/>
      <w:bookmarkStart w:id="6661" w:name="_Toc479321302"/>
      <w:bookmarkStart w:id="6662" w:name="_Toc479326741"/>
      <w:bookmarkStart w:id="6663" w:name="_Toc479333340"/>
      <w:bookmarkStart w:id="6664" w:name="_Toc479335037"/>
      <w:bookmarkStart w:id="6665" w:name="_Toc479341752"/>
      <w:bookmarkStart w:id="6666" w:name="_Toc479345168"/>
      <w:bookmarkStart w:id="6667" w:name="_Toc479345377"/>
      <w:bookmarkStart w:id="6668" w:name="_Toc479348358"/>
      <w:bookmarkStart w:id="6669" w:name="_Toc479675952"/>
      <w:bookmarkStart w:id="6670" w:name="_Toc479690919"/>
      <w:bookmarkStart w:id="6671" w:name="_Toc479693497"/>
      <w:bookmarkStart w:id="6672" w:name="_Toc479770666"/>
      <w:r>
        <w:t>4.</w:t>
      </w:r>
      <w:r w:rsidR="009B7D3C">
        <w:t>8</w:t>
      </w:r>
      <w:r w:rsidR="00B2544D">
        <w:tab/>
      </w:r>
      <w:r w:rsidR="00BC3931">
        <w:t>Closing Down Expenditure</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p>
    <w:p w14:paraId="7D4B65EC" w14:textId="166F1842" w:rsidR="008577C0" w:rsidRDefault="008577C0" w:rsidP="008577C0">
      <w:pPr>
        <w:rPr>
          <w:lang w:val="en"/>
        </w:rPr>
      </w:pPr>
      <w:r w:rsidRPr="009E7C34">
        <w:t>A number of offshore projects within Australia are reaching the end of their productive lives and it is anticipated that, within the next two decades, will need to be decommissioned.</w:t>
      </w:r>
      <w:r>
        <w:t xml:space="preserve"> </w:t>
      </w:r>
      <w:r>
        <w:rPr>
          <w:lang w:val="en"/>
        </w:rPr>
        <w:t>Recent estimates</w:t>
      </w:r>
      <w:r w:rsidRPr="009E7C34">
        <w:rPr>
          <w:lang w:val="en"/>
        </w:rPr>
        <w:t xml:space="preserve"> </w:t>
      </w:r>
      <w:r>
        <w:rPr>
          <w:lang w:val="en"/>
        </w:rPr>
        <w:t>indicate</w:t>
      </w:r>
      <w:r w:rsidRPr="009E7C34">
        <w:rPr>
          <w:lang w:val="en"/>
        </w:rPr>
        <w:t xml:space="preserve"> 100 offshore oil production installations will need to be decommissioned in Australia to 2040, at a cost of $1.2 billion</w:t>
      </w:r>
      <w:r w:rsidRPr="00175B49">
        <w:rPr>
          <w:lang w:val="en"/>
        </w:rPr>
        <w:t xml:space="preserve"> (</w:t>
      </w:r>
      <w:r w:rsidRPr="00175B49">
        <w:t>Barrymore and Butler, 2015</w:t>
      </w:r>
      <w:r w:rsidR="00BA6FAD" w:rsidRPr="00175B49">
        <w:t>)</w:t>
      </w:r>
      <w:r w:rsidR="00175B49" w:rsidRPr="00175B49">
        <w:rPr>
          <w:lang w:val="en"/>
        </w:rPr>
        <w:t>.</w:t>
      </w:r>
    </w:p>
    <w:p w14:paraId="50920CEA" w14:textId="1156DC2D" w:rsidR="008577C0" w:rsidRPr="009C05B9" w:rsidRDefault="008577C0" w:rsidP="008577C0">
      <w:pPr>
        <w:rPr>
          <w:lang w:val="en"/>
        </w:rPr>
      </w:pPr>
      <w:r w:rsidRPr="003E707C">
        <w:t xml:space="preserve">Under the PRRT, </w:t>
      </w:r>
      <w:r w:rsidR="005D6F39">
        <w:t>‘</w:t>
      </w:r>
      <w:r w:rsidRPr="003E707C">
        <w:t>closing</w:t>
      </w:r>
      <w:r w:rsidR="00792FA2">
        <w:t xml:space="preserve"> </w:t>
      </w:r>
      <w:r w:rsidRPr="003E707C">
        <w:t>down expenditure</w:t>
      </w:r>
      <w:r w:rsidR="005D6F39">
        <w:t>’</w:t>
      </w:r>
      <w:r w:rsidRPr="003E707C">
        <w:t xml:space="preserve"> </w:t>
      </w:r>
      <w:r w:rsidRPr="008E3265">
        <w:t>is a recognised category of deductions. Expenditure will be deductible as closing down expenditure if it is related to closing</w:t>
      </w:r>
      <w:r w:rsidR="00F33389">
        <w:t xml:space="preserve"> </w:t>
      </w:r>
      <w:r w:rsidRPr="003E707C">
        <w:t>down a petroleum project</w:t>
      </w:r>
      <w:r w:rsidR="00560018">
        <w:t>. T</w:t>
      </w:r>
      <w:r w:rsidRPr="003E707C">
        <w:t>his includes expenditure on environmental restoration of the petroleum project area and the removal of drilling platforms (but not the cost of relocating them elsewhere).</w:t>
      </w:r>
      <w:r>
        <w:t xml:space="preserve"> </w:t>
      </w:r>
      <w:r>
        <w:rPr>
          <w:lang w:val="en"/>
        </w:rPr>
        <w:t xml:space="preserve">Closing down expenditure is not augmented and carried forward like other deductible expenditure categories, nor is it transferable. </w:t>
      </w:r>
      <w:r w:rsidR="00243A82">
        <w:rPr>
          <w:lang w:val="en"/>
        </w:rPr>
        <w:t>T</w:t>
      </w:r>
      <w:r>
        <w:rPr>
          <w:lang w:val="en"/>
        </w:rPr>
        <w:t>he expenditure is only recognised in the year it is incurred</w:t>
      </w:r>
      <w:r w:rsidR="00F33389">
        <w:rPr>
          <w:lang w:val="en"/>
        </w:rPr>
        <w:t xml:space="preserve"> and consequently may attract </w:t>
      </w:r>
      <w:r w:rsidRPr="009C05B9">
        <w:rPr>
          <w:lang w:val="en"/>
        </w:rPr>
        <w:t>a tax credit</w:t>
      </w:r>
      <w:r>
        <w:rPr>
          <w:lang w:val="en"/>
        </w:rPr>
        <w:t>. This is the case because closing down expenditure is usually incurred once a project has ceased production and is not generating any income.</w:t>
      </w:r>
    </w:p>
    <w:p w14:paraId="0E06425B" w14:textId="04E7B611" w:rsidR="008577C0" w:rsidRPr="00FA3DB1" w:rsidRDefault="008577C0" w:rsidP="008577C0">
      <w:r>
        <w:t xml:space="preserve">If there are not sufficient </w:t>
      </w:r>
      <w:r w:rsidRPr="00FA3DB1">
        <w:t>assessable receipts for a year against which to deduct closing</w:t>
      </w:r>
      <w:r w:rsidR="00792FA2">
        <w:t xml:space="preserve"> </w:t>
      </w:r>
      <w:r w:rsidRPr="00FA3DB1">
        <w:t>down expenditure incurred for th</w:t>
      </w:r>
      <w:r>
        <w:t>at</w:t>
      </w:r>
      <w:r w:rsidRPr="00FA3DB1">
        <w:t xml:space="preserve"> year, a tax credit of 40</w:t>
      </w:r>
      <w:r w:rsidR="007A1E7A">
        <w:t xml:space="preserve"> per cent</w:t>
      </w:r>
      <w:r>
        <w:t xml:space="preserve"> </w:t>
      </w:r>
      <w:r w:rsidRPr="00FA3DB1">
        <w:t>of the excess expenditure is provided</w:t>
      </w:r>
      <w:r>
        <w:t xml:space="preserve"> to the extent that a project has previously paid PRRT. </w:t>
      </w:r>
      <w:r w:rsidRPr="00FA3DB1">
        <w:t xml:space="preserve">The provision of a tax credit </w:t>
      </w:r>
      <w:r w:rsidR="00913C9A">
        <w:t>means</w:t>
      </w:r>
      <w:r w:rsidR="00913C9A" w:rsidRPr="00FA3DB1">
        <w:t xml:space="preserve"> </w:t>
      </w:r>
      <w:r w:rsidRPr="00FA3DB1">
        <w:t xml:space="preserve">that </w:t>
      </w:r>
      <w:r w:rsidR="00913C9A">
        <w:t xml:space="preserve">the value of </w:t>
      </w:r>
      <w:r w:rsidRPr="00FA3DB1">
        <w:t xml:space="preserve">eligible </w:t>
      </w:r>
      <w:r w:rsidR="00913C9A">
        <w:t>closing down</w:t>
      </w:r>
      <w:r w:rsidR="00913C9A" w:rsidRPr="00FA3DB1">
        <w:t xml:space="preserve"> </w:t>
      </w:r>
      <w:r w:rsidRPr="00FA3DB1">
        <w:t>expenditure incurred</w:t>
      </w:r>
      <w:r w:rsidR="00913C9A">
        <w:t xml:space="preserve"> may be realised</w:t>
      </w:r>
      <w:r w:rsidRPr="00FA3DB1">
        <w:t xml:space="preserve"> </w:t>
      </w:r>
      <w:r w:rsidR="00913C9A">
        <w:t>even though</w:t>
      </w:r>
      <w:r w:rsidRPr="00FA3DB1">
        <w:t xml:space="preserve"> production from the </w:t>
      </w:r>
      <w:r w:rsidR="00913C9A">
        <w:t xml:space="preserve">associated </w:t>
      </w:r>
      <w:r w:rsidRPr="00FA3DB1">
        <w:t>project may have ceased</w:t>
      </w:r>
      <w:r w:rsidR="00755941">
        <w:t xml:space="preserve">. </w:t>
      </w:r>
      <w:r>
        <w:t>The closing down credits cannot exceed the amount of PRRT the project has paid.</w:t>
      </w:r>
    </w:p>
    <w:p w14:paraId="212C4C44" w14:textId="5E634974" w:rsidR="008577C0" w:rsidRDefault="008577C0" w:rsidP="008577C0">
      <w:r>
        <w:rPr>
          <w:lang w:val="en"/>
        </w:rPr>
        <w:t>Several submissions raised issues in relation</w:t>
      </w:r>
      <w:r>
        <w:t xml:space="preserve"> to closing down expenditure, including: the </w:t>
      </w:r>
      <w:r w:rsidR="00B24A60">
        <w:t xml:space="preserve">appropriateness from a community perspective for projects to receive PRRT credits for closing down costs; </w:t>
      </w:r>
      <w:r>
        <w:t>the need for guidelines to clarify expectations for decommissioning; and whether the existing law is flexible enough to deal with modern multi</w:t>
      </w:r>
      <w:r w:rsidR="005D6F39">
        <w:noBreakHyphen/>
      </w:r>
      <w:r>
        <w:t>stage petroleum projects</w:t>
      </w:r>
      <w:r w:rsidR="00755941">
        <w:t>.</w:t>
      </w:r>
    </w:p>
    <w:p w14:paraId="3B7690D0" w14:textId="56FB2071" w:rsidR="008577C0" w:rsidRPr="00B57A81" w:rsidRDefault="003932BC" w:rsidP="00564BA8">
      <w:pPr>
        <w:pStyle w:val="Heading3"/>
        <w:rPr>
          <w:b w:val="0"/>
          <w:lang w:val="en"/>
        </w:rPr>
      </w:pPr>
      <w:bookmarkStart w:id="6673" w:name="_Toc476577365"/>
      <w:bookmarkStart w:id="6674" w:name="_Toc476582354"/>
      <w:bookmarkStart w:id="6675" w:name="_Toc476583028"/>
      <w:bookmarkStart w:id="6676" w:name="_Toc476583745"/>
      <w:bookmarkStart w:id="6677" w:name="_Toc476584193"/>
      <w:bookmarkStart w:id="6678" w:name="_Toc476735831"/>
      <w:bookmarkStart w:id="6679" w:name="_Toc476738101"/>
      <w:bookmarkStart w:id="6680" w:name="_Toc476747686"/>
      <w:bookmarkStart w:id="6681" w:name="_Toc476749096"/>
      <w:bookmarkStart w:id="6682" w:name="_Toc476753963"/>
      <w:bookmarkStart w:id="6683" w:name="_Toc476754458"/>
      <w:bookmarkStart w:id="6684" w:name="_Toc476754623"/>
      <w:bookmarkStart w:id="6685" w:name="_Toc476759862"/>
      <w:bookmarkStart w:id="6686" w:name="_Toc476761484"/>
      <w:bookmarkStart w:id="6687" w:name="_Toc476767122"/>
      <w:bookmarkStart w:id="6688" w:name="_Toc476827167"/>
      <w:bookmarkStart w:id="6689" w:name="_Toc476828860"/>
      <w:bookmarkStart w:id="6690" w:name="_Toc476833734"/>
      <w:bookmarkStart w:id="6691" w:name="_Toc476837207"/>
      <w:bookmarkStart w:id="6692" w:name="_Toc476841080"/>
      <w:bookmarkStart w:id="6693" w:name="_Toc476841285"/>
      <w:bookmarkStart w:id="6694" w:name="_Toc476842044"/>
      <w:bookmarkStart w:id="6695" w:name="_Toc476842988"/>
      <w:bookmarkStart w:id="6696" w:name="_Toc476843159"/>
      <w:bookmarkStart w:id="6697" w:name="_Toc476844657"/>
      <w:bookmarkStart w:id="6698" w:name="_Toc476845550"/>
      <w:bookmarkStart w:id="6699" w:name="_Toc476926943"/>
      <w:bookmarkStart w:id="6700" w:name="_Toc476927056"/>
      <w:bookmarkStart w:id="6701" w:name="_Toc476927230"/>
      <w:bookmarkStart w:id="6702" w:name="_Toc476928494"/>
      <w:bookmarkStart w:id="6703" w:name="_Toc476929537"/>
      <w:bookmarkStart w:id="6704" w:name="_Toc476929712"/>
      <w:bookmarkStart w:id="6705" w:name="_Toc476930755"/>
      <w:bookmarkStart w:id="6706" w:name="_Toc476931562"/>
      <w:bookmarkStart w:id="6707" w:name="_Toc477869906"/>
      <w:bookmarkStart w:id="6708" w:name="_Toc477871145"/>
      <w:bookmarkStart w:id="6709" w:name="_Toc477873304"/>
      <w:bookmarkStart w:id="6710" w:name="_Toc477875298"/>
      <w:bookmarkStart w:id="6711" w:name="_Toc477880211"/>
      <w:bookmarkStart w:id="6712" w:name="_Toc477881471"/>
      <w:bookmarkStart w:id="6713" w:name="_Toc477955875"/>
      <w:bookmarkStart w:id="6714" w:name="_Toc477963120"/>
      <w:bookmarkStart w:id="6715" w:name="_Toc477963606"/>
      <w:bookmarkStart w:id="6716" w:name="_Toc477965192"/>
      <w:bookmarkStart w:id="6717" w:name="_Toc477966696"/>
      <w:bookmarkStart w:id="6718" w:name="_Toc477966865"/>
      <w:bookmarkStart w:id="6719" w:name="_Toc477967205"/>
      <w:bookmarkStart w:id="6720" w:name="_Toc478121342"/>
      <w:bookmarkStart w:id="6721" w:name="_Toc478122255"/>
      <w:bookmarkStart w:id="6722" w:name="_Toc478132229"/>
      <w:bookmarkStart w:id="6723" w:name="_Toc478133255"/>
      <w:bookmarkStart w:id="6724" w:name="_Toc478132392"/>
      <w:bookmarkStart w:id="6725" w:name="_Toc478134721"/>
      <w:bookmarkStart w:id="6726" w:name="_Toc478137423"/>
      <w:bookmarkStart w:id="6727" w:name="_Toc478138495"/>
      <w:bookmarkStart w:id="6728" w:name="_Toc478140065"/>
      <w:bookmarkStart w:id="6729" w:name="_Toc478140481"/>
      <w:bookmarkStart w:id="6730" w:name="_Toc478142687"/>
      <w:bookmarkStart w:id="6731" w:name="_Toc478566403"/>
      <w:bookmarkStart w:id="6732" w:name="_Toc478569570"/>
      <w:bookmarkStart w:id="6733" w:name="_Toc478569744"/>
      <w:bookmarkStart w:id="6734" w:name="_Toc478570818"/>
      <w:bookmarkStart w:id="6735" w:name="_Toc478633017"/>
      <w:bookmarkStart w:id="6736" w:name="_Toc478641425"/>
      <w:bookmarkStart w:id="6737" w:name="_Toc478654319"/>
      <w:bookmarkStart w:id="6738" w:name="_Toc478654493"/>
      <w:bookmarkStart w:id="6739" w:name="_Toc478657788"/>
      <w:bookmarkStart w:id="6740" w:name="_Toc478993209"/>
      <w:bookmarkStart w:id="6741" w:name="_Toc479000280"/>
      <w:bookmarkStart w:id="6742" w:name="_Toc479002214"/>
      <w:bookmarkStart w:id="6743" w:name="_Toc479002386"/>
      <w:bookmarkStart w:id="6744" w:name="_Toc479254361"/>
      <w:bookmarkStart w:id="6745" w:name="_Toc479258550"/>
      <w:bookmarkStart w:id="6746" w:name="_Toc479258866"/>
      <w:bookmarkStart w:id="6747" w:name="_Toc479259758"/>
      <w:bookmarkStart w:id="6748" w:name="_Toc479262181"/>
      <w:bookmarkStart w:id="6749" w:name="_Toc479262602"/>
      <w:bookmarkStart w:id="6750" w:name="_Toc479321303"/>
      <w:bookmarkStart w:id="6751" w:name="_Toc479326742"/>
      <w:bookmarkStart w:id="6752" w:name="_Toc479333341"/>
      <w:bookmarkStart w:id="6753" w:name="_Toc479335038"/>
      <w:bookmarkStart w:id="6754" w:name="_Toc479341753"/>
      <w:bookmarkStart w:id="6755" w:name="_Toc479345169"/>
      <w:bookmarkStart w:id="6756" w:name="_Toc479345378"/>
      <w:bookmarkStart w:id="6757" w:name="_Toc479348359"/>
      <w:bookmarkStart w:id="6758" w:name="_Toc479675953"/>
      <w:bookmarkStart w:id="6759" w:name="_Toc479690920"/>
      <w:bookmarkStart w:id="6760" w:name="_Toc479693498"/>
      <w:bookmarkStart w:id="6761" w:name="_Toc479770667"/>
      <w:r>
        <w:rPr>
          <w:lang w:val="en"/>
        </w:rPr>
        <w:t>4.</w:t>
      </w:r>
      <w:r w:rsidR="009B7D3C">
        <w:rPr>
          <w:lang w:val="en"/>
        </w:rPr>
        <w:t>8</w:t>
      </w:r>
      <w:r w:rsidR="00CB2A79">
        <w:rPr>
          <w:lang w:val="en"/>
        </w:rPr>
        <w:t>.1</w:t>
      </w:r>
      <w:r w:rsidR="00CB2A79">
        <w:rPr>
          <w:lang w:val="en"/>
        </w:rPr>
        <w:tab/>
      </w:r>
      <w:r w:rsidR="00B24A60">
        <w:rPr>
          <w:lang w:val="en"/>
        </w:rPr>
        <w:t xml:space="preserve">Opposition to </w:t>
      </w:r>
      <w:r w:rsidR="00792FA2">
        <w:rPr>
          <w:lang w:val="en"/>
        </w:rPr>
        <w:t xml:space="preserve">the </w:t>
      </w:r>
      <w:r w:rsidR="008577C0" w:rsidRPr="00B57A81">
        <w:rPr>
          <w:lang w:val="en"/>
        </w:rPr>
        <w:t xml:space="preserve">PRRT </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r w:rsidR="00792FA2">
        <w:rPr>
          <w:lang w:val="en"/>
        </w:rPr>
        <w:t>c</w:t>
      </w:r>
      <w:r w:rsidR="008577C0" w:rsidRPr="00B57A81">
        <w:rPr>
          <w:lang w:val="en"/>
        </w:rPr>
        <w:t xml:space="preserve">losing </w:t>
      </w:r>
      <w:r w:rsidR="00792FA2">
        <w:rPr>
          <w:lang w:val="en"/>
        </w:rPr>
        <w:t>d</w:t>
      </w:r>
      <w:r w:rsidR="008577C0" w:rsidRPr="00B57A81">
        <w:rPr>
          <w:lang w:val="en"/>
        </w:rPr>
        <w:t xml:space="preserve">own </w:t>
      </w:r>
      <w:r w:rsidR="00792FA2">
        <w:rPr>
          <w:lang w:val="en"/>
        </w:rPr>
        <w:t>c</w:t>
      </w:r>
      <w:r w:rsidR="008577C0" w:rsidRPr="00B57A81">
        <w:rPr>
          <w:lang w:val="en"/>
        </w:rPr>
        <w:t>redit</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p>
    <w:p w14:paraId="4E9E59AC" w14:textId="5645CD0E" w:rsidR="008577C0" w:rsidRDefault="008577C0" w:rsidP="008577C0">
      <w:pPr>
        <w:rPr>
          <w:lang w:val="en"/>
        </w:rPr>
      </w:pPr>
      <w:r>
        <w:rPr>
          <w:lang w:val="en"/>
        </w:rPr>
        <w:t xml:space="preserve">The Tax Justice Network </w:t>
      </w:r>
      <w:r w:rsidR="00175B49">
        <w:rPr>
          <w:lang w:val="en"/>
        </w:rPr>
        <w:t>Australia</w:t>
      </w:r>
      <w:r>
        <w:rPr>
          <w:lang w:val="en"/>
        </w:rPr>
        <w:t xml:space="preserve"> submission opposed the </w:t>
      </w:r>
      <w:r w:rsidR="00B24A60">
        <w:rPr>
          <w:lang w:val="en"/>
        </w:rPr>
        <w:t xml:space="preserve">PRRT credit </w:t>
      </w:r>
      <w:r>
        <w:rPr>
          <w:lang w:val="en"/>
        </w:rPr>
        <w:t>allow</w:t>
      </w:r>
      <w:r w:rsidR="00B24A60">
        <w:rPr>
          <w:lang w:val="en"/>
        </w:rPr>
        <w:t>ed</w:t>
      </w:r>
      <w:r>
        <w:rPr>
          <w:lang w:val="en"/>
        </w:rPr>
        <w:t xml:space="preserve"> for closing down expenditure:</w:t>
      </w:r>
    </w:p>
    <w:p w14:paraId="2BE2FAB8" w14:textId="68411D6F" w:rsidR="008577C0" w:rsidRPr="00FF7A9D" w:rsidRDefault="008577C0" w:rsidP="00FF7A9D">
      <w:pPr>
        <w:ind w:left="567" w:right="565"/>
        <w:rPr>
          <w:color w:val="1F497D" w:themeColor="text2"/>
          <w:sz w:val="20"/>
        </w:rPr>
      </w:pPr>
      <w:r w:rsidRPr="008577C0">
        <w:rPr>
          <w:color w:val="1F497D" w:themeColor="text2"/>
          <w:sz w:val="20"/>
        </w:rPr>
        <w:t xml:space="preserve">There appears to be no valid reasons for companies to be refunded for decommissioning costs after successfully operating and profiting from reserves for decades. </w:t>
      </w:r>
      <w:r w:rsidRPr="008577C0">
        <w:rPr>
          <w:bCs/>
          <w:iCs/>
          <w:color w:val="1F497D" w:themeColor="text2"/>
          <w:sz w:val="20"/>
        </w:rPr>
        <w:t xml:space="preserve">Refunds for </w:t>
      </w:r>
      <w:r w:rsidRPr="00902C4B">
        <w:rPr>
          <w:bCs/>
          <w:iCs/>
          <w:color w:val="1F497D" w:themeColor="text2"/>
          <w:sz w:val="20"/>
        </w:rPr>
        <w:t xml:space="preserve">decommissioning costs under the PRRT should be eliminated </w:t>
      </w:r>
      <w:r w:rsidR="00902C4B" w:rsidRPr="00FF7A9D">
        <w:rPr>
          <w:color w:val="1F497D" w:themeColor="text2"/>
          <w:sz w:val="20"/>
        </w:rPr>
        <w:t>(</w:t>
      </w:r>
      <w:r w:rsidRPr="00175B49">
        <w:rPr>
          <w:color w:val="1F497D" w:themeColor="text2"/>
          <w:sz w:val="20"/>
        </w:rPr>
        <w:t xml:space="preserve">Tax Justice Network </w:t>
      </w:r>
      <w:r w:rsidR="00902C4B" w:rsidRPr="00175B49">
        <w:rPr>
          <w:color w:val="1F497D" w:themeColor="text2"/>
          <w:sz w:val="20"/>
        </w:rPr>
        <w:t xml:space="preserve">Australia </w:t>
      </w:r>
      <w:r w:rsidR="00017F3C" w:rsidRPr="00175B49">
        <w:rPr>
          <w:color w:val="1F497D" w:themeColor="text2"/>
          <w:sz w:val="20"/>
        </w:rPr>
        <w:t>S</w:t>
      </w:r>
      <w:r w:rsidRPr="00175B49">
        <w:rPr>
          <w:color w:val="1F497D" w:themeColor="text2"/>
          <w:sz w:val="20"/>
        </w:rPr>
        <w:t>ubmission</w:t>
      </w:r>
      <w:r w:rsidR="00017F3C" w:rsidRPr="00175B49">
        <w:rPr>
          <w:color w:val="1F497D" w:themeColor="text2"/>
          <w:sz w:val="20"/>
        </w:rPr>
        <w:t>, p.</w:t>
      </w:r>
      <w:r w:rsidRPr="00175B49">
        <w:rPr>
          <w:color w:val="1F497D" w:themeColor="text2"/>
          <w:sz w:val="20"/>
        </w:rPr>
        <w:t xml:space="preserve"> 4</w:t>
      </w:r>
      <w:r w:rsidR="00902C4B" w:rsidRPr="00FF7A9D">
        <w:rPr>
          <w:color w:val="1F497D" w:themeColor="text2"/>
          <w:sz w:val="20"/>
        </w:rPr>
        <w:t>)</w:t>
      </w:r>
      <w:r w:rsidR="00902C4B" w:rsidRPr="00902C4B">
        <w:rPr>
          <w:bCs/>
          <w:iCs/>
          <w:color w:val="1F497D" w:themeColor="text2"/>
          <w:sz w:val="20"/>
        </w:rPr>
        <w:t>.</w:t>
      </w:r>
    </w:p>
    <w:p w14:paraId="3DB93983" w14:textId="4E08606C" w:rsidR="008577C0" w:rsidRDefault="00560018" w:rsidP="008577C0">
      <w:pPr>
        <w:rPr>
          <w:lang w:val="en"/>
        </w:rPr>
      </w:pPr>
      <w:r>
        <w:rPr>
          <w:lang w:val="en"/>
        </w:rPr>
        <w:t>T</w:t>
      </w:r>
      <w:r w:rsidR="008577C0">
        <w:rPr>
          <w:lang w:val="en"/>
        </w:rPr>
        <w:t>he PRRT</w:t>
      </w:r>
      <w:r w:rsidR="008577C0">
        <w:t xml:space="preserve"> tax</w:t>
      </w:r>
      <w:r w:rsidR="009B4B69">
        <w:t>es</w:t>
      </w:r>
      <w:r w:rsidR="008577C0">
        <w:t xml:space="preserve"> </w:t>
      </w:r>
      <w:r w:rsidR="00244A8C">
        <w:t>positive cash flow</w:t>
      </w:r>
      <w:r w:rsidR="000C25EE">
        <w:t>s</w:t>
      </w:r>
      <w:r w:rsidR="00244A8C">
        <w:t>: assessable receipts less associated project expenditure</w:t>
      </w:r>
      <w:r w:rsidR="008577C0">
        <w:rPr>
          <w:lang w:val="en"/>
        </w:rPr>
        <w:t xml:space="preserve">. Closing down expenditure is a project cost, just like exploration costs and general expenditure. </w:t>
      </w:r>
      <w:r w:rsidR="009A5A0D">
        <w:rPr>
          <w:lang w:val="en"/>
        </w:rPr>
        <w:t>A significant</w:t>
      </w:r>
      <w:r w:rsidR="008577C0">
        <w:rPr>
          <w:lang w:val="en"/>
        </w:rPr>
        <w:t xml:space="preserve"> feature of closing down costs is they are most likely to be incurred only after a project is no longer generating receipts against which to offset the </w:t>
      </w:r>
      <w:r w:rsidR="00913C9A">
        <w:rPr>
          <w:lang w:val="en"/>
        </w:rPr>
        <w:t>costs</w:t>
      </w:r>
      <w:r w:rsidR="008577C0">
        <w:rPr>
          <w:lang w:val="en"/>
        </w:rPr>
        <w:t>. Making closing down expenditure deductible but not creditable would be the equivalent of not recognising the closing down expenditure as a project cost.</w:t>
      </w:r>
    </w:p>
    <w:p w14:paraId="05E03A2C" w14:textId="0D4355AA" w:rsidR="008577C0" w:rsidRPr="00AE34A3" w:rsidRDefault="003932BC" w:rsidP="00564BA8">
      <w:pPr>
        <w:pStyle w:val="Heading3"/>
        <w:rPr>
          <w:b w:val="0"/>
        </w:rPr>
      </w:pPr>
      <w:bookmarkStart w:id="6762" w:name="_Toc476577366"/>
      <w:bookmarkStart w:id="6763" w:name="_Toc476582355"/>
      <w:bookmarkStart w:id="6764" w:name="_Toc476583029"/>
      <w:bookmarkStart w:id="6765" w:name="_Toc476583746"/>
      <w:bookmarkStart w:id="6766" w:name="_Toc476584194"/>
      <w:bookmarkStart w:id="6767" w:name="_Toc476738102"/>
      <w:bookmarkStart w:id="6768" w:name="_Toc476747687"/>
      <w:bookmarkStart w:id="6769" w:name="_Toc476749097"/>
      <w:bookmarkStart w:id="6770" w:name="_Toc476753964"/>
      <w:bookmarkStart w:id="6771" w:name="_Toc476754459"/>
      <w:bookmarkStart w:id="6772" w:name="_Toc476754624"/>
      <w:bookmarkStart w:id="6773" w:name="_Toc476759863"/>
      <w:bookmarkStart w:id="6774" w:name="_Toc476761485"/>
      <w:bookmarkStart w:id="6775" w:name="_Toc476767123"/>
      <w:bookmarkStart w:id="6776" w:name="_Toc476827168"/>
      <w:bookmarkStart w:id="6777" w:name="_Toc476828861"/>
      <w:bookmarkStart w:id="6778" w:name="_Toc476833735"/>
      <w:bookmarkStart w:id="6779" w:name="_Toc476837208"/>
      <w:bookmarkStart w:id="6780" w:name="_Toc476841081"/>
      <w:bookmarkStart w:id="6781" w:name="_Toc476841286"/>
      <w:bookmarkStart w:id="6782" w:name="_Toc476842045"/>
      <w:bookmarkStart w:id="6783" w:name="_Toc476842989"/>
      <w:bookmarkStart w:id="6784" w:name="_Toc476843160"/>
      <w:bookmarkStart w:id="6785" w:name="_Toc476844658"/>
      <w:bookmarkStart w:id="6786" w:name="_Toc476845551"/>
      <w:bookmarkStart w:id="6787" w:name="_Toc476926944"/>
      <w:bookmarkStart w:id="6788" w:name="_Toc476927057"/>
      <w:bookmarkStart w:id="6789" w:name="_Toc476927231"/>
      <w:bookmarkStart w:id="6790" w:name="_Toc476928495"/>
      <w:bookmarkStart w:id="6791" w:name="_Toc476929538"/>
      <w:bookmarkStart w:id="6792" w:name="_Toc476929713"/>
      <w:bookmarkStart w:id="6793" w:name="_Toc476930756"/>
      <w:bookmarkStart w:id="6794" w:name="_Toc476931563"/>
      <w:bookmarkStart w:id="6795" w:name="_Toc477869907"/>
      <w:bookmarkStart w:id="6796" w:name="_Toc477871146"/>
      <w:bookmarkStart w:id="6797" w:name="_Toc477873305"/>
      <w:bookmarkStart w:id="6798" w:name="_Toc477875299"/>
      <w:bookmarkStart w:id="6799" w:name="_Toc477880212"/>
      <w:bookmarkStart w:id="6800" w:name="_Toc477881472"/>
      <w:bookmarkStart w:id="6801" w:name="_Toc477955876"/>
      <w:bookmarkStart w:id="6802" w:name="_Toc477963121"/>
      <w:bookmarkStart w:id="6803" w:name="_Toc477963607"/>
      <w:bookmarkStart w:id="6804" w:name="_Toc477965193"/>
      <w:bookmarkStart w:id="6805" w:name="_Toc477966697"/>
      <w:bookmarkStart w:id="6806" w:name="_Toc477966866"/>
      <w:bookmarkStart w:id="6807" w:name="_Toc477967206"/>
      <w:bookmarkStart w:id="6808" w:name="_Toc478121343"/>
      <w:bookmarkStart w:id="6809" w:name="_Toc478122256"/>
      <w:bookmarkStart w:id="6810" w:name="_Toc478132230"/>
      <w:bookmarkStart w:id="6811" w:name="_Toc478133256"/>
      <w:bookmarkStart w:id="6812" w:name="_Toc478132393"/>
      <w:bookmarkStart w:id="6813" w:name="_Toc478134722"/>
      <w:bookmarkStart w:id="6814" w:name="_Toc478137424"/>
      <w:bookmarkStart w:id="6815" w:name="_Toc478138496"/>
      <w:bookmarkStart w:id="6816" w:name="_Toc478140066"/>
      <w:bookmarkStart w:id="6817" w:name="_Toc478140482"/>
      <w:bookmarkStart w:id="6818" w:name="_Toc478142688"/>
      <w:bookmarkStart w:id="6819" w:name="_Toc478566404"/>
      <w:bookmarkStart w:id="6820" w:name="_Toc478569571"/>
      <w:bookmarkStart w:id="6821" w:name="_Toc478569745"/>
      <w:bookmarkStart w:id="6822" w:name="_Toc478570819"/>
      <w:bookmarkStart w:id="6823" w:name="_Toc478633018"/>
      <w:bookmarkStart w:id="6824" w:name="_Toc478641426"/>
      <w:bookmarkStart w:id="6825" w:name="_Toc478654320"/>
      <w:bookmarkStart w:id="6826" w:name="_Toc478654494"/>
      <w:bookmarkStart w:id="6827" w:name="_Toc478657789"/>
      <w:bookmarkStart w:id="6828" w:name="_Toc478993210"/>
      <w:bookmarkStart w:id="6829" w:name="_Toc479000281"/>
      <w:bookmarkStart w:id="6830" w:name="_Toc479002215"/>
      <w:bookmarkStart w:id="6831" w:name="_Toc479002387"/>
      <w:bookmarkStart w:id="6832" w:name="_Toc479254362"/>
      <w:bookmarkStart w:id="6833" w:name="_Toc479258551"/>
      <w:bookmarkStart w:id="6834" w:name="_Toc479258867"/>
      <w:bookmarkStart w:id="6835" w:name="_Toc479259759"/>
      <w:bookmarkStart w:id="6836" w:name="_Toc479262182"/>
      <w:bookmarkStart w:id="6837" w:name="_Toc479262603"/>
      <w:bookmarkStart w:id="6838" w:name="_Toc479321304"/>
      <w:bookmarkStart w:id="6839" w:name="_Toc479326743"/>
      <w:bookmarkStart w:id="6840" w:name="_Toc479333342"/>
      <w:bookmarkStart w:id="6841" w:name="_Toc479335039"/>
      <w:bookmarkStart w:id="6842" w:name="_Toc479341754"/>
      <w:bookmarkStart w:id="6843" w:name="_Toc479345170"/>
      <w:bookmarkStart w:id="6844" w:name="_Toc479345379"/>
      <w:bookmarkStart w:id="6845" w:name="_Toc479348360"/>
      <w:bookmarkStart w:id="6846" w:name="_Toc479675954"/>
      <w:bookmarkStart w:id="6847" w:name="_Toc479690921"/>
      <w:bookmarkStart w:id="6848" w:name="_Toc479693499"/>
      <w:bookmarkStart w:id="6849" w:name="_Toc479770668"/>
      <w:r>
        <w:t>4.</w:t>
      </w:r>
      <w:r w:rsidR="009B7D3C">
        <w:t>8</w:t>
      </w:r>
      <w:r w:rsidR="00CB2A79">
        <w:t>.2</w:t>
      </w:r>
      <w:r w:rsidR="00CB2A79">
        <w:tab/>
      </w:r>
      <w:r w:rsidR="008577C0" w:rsidRPr="00AE34A3">
        <w:t xml:space="preserve">Guidance on </w:t>
      </w:r>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r w:rsidR="00792FA2">
        <w:t>p</w:t>
      </w:r>
      <w:r w:rsidR="008577C0" w:rsidRPr="00AE34A3">
        <w:t xml:space="preserve">roject </w:t>
      </w:r>
      <w:r w:rsidR="00792FA2">
        <w:t>d</w:t>
      </w:r>
      <w:r w:rsidR="008577C0" w:rsidRPr="00AE34A3">
        <w:t>ecommissioning</w:t>
      </w:r>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06246CD3" w14:textId="18A2AF59" w:rsidR="008577C0" w:rsidRDefault="00A74EC0" w:rsidP="008577C0">
      <w:r>
        <w:t>Decommissioning arrangements</w:t>
      </w:r>
      <w:r w:rsidR="008577C0">
        <w:t xml:space="preserve"> were raised by BHP Billiton, which</w:t>
      </w:r>
      <w:r w:rsidR="008577C0" w:rsidRPr="009E7C34">
        <w:t xml:space="preserve"> </w:t>
      </w:r>
      <w:r w:rsidR="008577C0">
        <w:t>operates</w:t>
      </w:r>
      <w:r w:rsidR="008577C0" w:rsidRPr="009E7C34">
        <w:t xml:space="preserve"> three </w:t>
      </w:r>
      <w:r w:rsidR="008577C0">
        <w:t>legacy assets:</w:t>
      </w:r>
      <w:r w:rsidR="008577C0" w:rsidRPr="009E7C34">
        <w:t xml:space="preserve"> Griffin, Stybarrow and Minerva</w:t>
      </w:r>
      <w:r w:rsidR="008577C0">
        <w:t xml:space="preserve"> that</w:t>
      </w:r>
      <w:r w:rsidR="008577C0" w:rsidRPr="009E7C34">
        <w:t xml:space="preserve"> are transitioning to closure and decommissioning. BHP Billiton </w:t>
      </w:r>
      <w:r w:rsidR="008577C0">
        <w:t>noted:</w:t>
      </w:r>
    </w:p>
    <w:p w14:paraId="3E6F8F07" w14:textId="051099F6" w:rsidR="008577C0" w:rsidRPr="00FF7A9D" w:rsidRDefault="00902C4B" w:rsidP="00FF7A9D">
      <w:pPr>
        <w:ind w:left="567" w:right="565"/>
        <w:rPr>
          <w:color w:val="1F497D" w:themeColor="text2"/>
          <w:sz w:val="20"/>
        </w:rPr>
      </w:pPr>
      <w:r w:rsidRPr="00FF7A9D">
        <w:rPr>
          <w:color w:val="1F497D" w:themeColor="text2"/>
          <w:sz w:val="20"/>
        </w:rPr>
        <w:t>T</w:t>
      </w:r>
      <w:r w:rsidR="008577C0" w:rsidRPr="00017F3C">
        <w:rPr>
          <w:color w:val="1F497D" w:themeColor="text2"/>
          <w:sz w:val="20"/>
        </w:rPr>
        <w:t>here is no guidance material available from the regulator on the expectations for decommissioning, as such there is no clarity for oil and gas operators or the government on the full liability d</w:t>
      </w:r>
      <w:r>
        <w:rPr>
          <w:color w:val="1F497D" w:themeColor="text2"/>
          <w:sz w:val="20"/>
        </w:rPr>
        <w:t xml:space="preserve">ecommissioning costs represent </w:t>
      </w:r>
      <w:r w:rsidRPr="00FF7A9D">
        <w:rPr>
          <w:color w:val="1F497D" w:themeColor="text2"/>
          <w:sz w:val="20"/>
        </w:rPr>
        <w:t>(</w:t>
      </w:r>
      <w:r w:rsidR="008577C0" w:rsidRPr="00175B49">
        <w:rPr>
          <w:color w:val="1F497D" w:themeColor="text2"/>
          <w:sz w:val="20"/>
        </w:rPr>
        <w:t xml:space="preserve">BHP </w:t>
      </w:r>
      <w:r w:rsidRPr="00175B49">
        <w:rPr>
          <w:color w:val="1F497D" w:themeColor="text2"/>
          <w:sz w:val="20"/>
        </w:rPr>
        <w:t xml:space="preserve">Billiton </w:t>
      </w:r>
      <w:r w:rsidR="008577C0" w:rsidRPr="00175B49">
        <w:rPr>
          <w:color w:val="1F497D" w:themeColor="text2"/>
          <w:sz w:val="20"/>
        </w:rPr>
        <w:t>Submission</w:t>
      </w:r>
      <w:r w:rsidR="00017F3C" w:rsidRPr="00175B49">
        <w:rPr>
          <w:color w:val="1F497D" w:themeColor="text2"/>
          <w:sz w:val="20"/>
        </w:rPr>
        <w:t>, p. 18</w:t>
      </w:r>
      <w:r w:rsidRPr="00FF7A9D">
        <w:rPr>
          <w:color w:val="1F497D" w:themeColor="text2"/>
          <w:sz w:val="20"/>
        </w:rPr>
        <w:t>)</w:t>
      </w:r>
      <w:r w:rsidR="00564BA8" w:rsidRPr="00FF7A9D">
        <w:rPr>
          <w:color w:val="1F497D" w:themeColor="text2"/>
          <w:sz w:val="20"/>
        </w:rPr>
        <w:t>.</w:t>
      </w:r>
    </w:p>
    <w:p w14:paraId="58CED81B" w14:textId="78A96996" w:rsidR="008577C0" w:rsidRDefault="008577C0" w:rsidP="008577C0">
      <w:r>
        <w:t xml:space="preserve">It is outside the scope of </w:t>
      </w:r>
      <w:r w:rsidR="000C25EE">
        <w:t>the</w:t>
      </w:r>
      <w:r>
        <w:t xml:space="preserve"> review to comment on policy and regulatory considerations relating to decommissioning. For clarity regarding the expectations about decommissioning, </w:t>
      </w:r>
      <w:r w:rsidR="00C44582">
        <w:t>DIIS</w:t>
      </w:r>
      <w:r w:rsidRPr="008C27E8">
        <w:t xml:space="preserve"> is</w:t>
      </w:r>
      <w:r>
        <w:t xml:space="preserve"> in the process of </w:t>
      </w:r>
      <w:r w:rsidRPr="008C27E8">
        <w:t xml:space="preserve">reviewing the policy </w:t>
      </w:r>
      <w:r w:rsidR="00B24A60">
        <w:t>and seeking to identify areas where the existing</w:t>
      </w:r>
      <w:r w:rsidRPr="008C27E8">
        <w:t xml:space="preserve"> regulatory and legislative framework for decommissioning in </w:t>
      </w:r>
      <w:r w:rsidRPr="00AC6A56">
        <w:t xml:space="preserve">Commonwealth waters could be clarified or improved. </w:t>
      </w:r>
      <w:r>
        <w:t xml:space="preserve">The </w:t>
      </w:r>
      <w:r w:rsidRPr="00AC6A56">
        <w:t>D</w:t>
      </w:r>
      <w:r w:rsidR="009B4B69">
        <w:t>epartment</w:t>
      </w:r>
      <w:r w:rsidR="005D6F39">
        <w:t>’</w:t>
      </w:r>
      <w:r w:rsidR="009B4B69">
        <w:t xml:space="preserve">s </w:t>
      </w:r>
      <w:r w:rsidR="00B24A60">
        <w:t>review</w:t>
      </w:r>
      <w:r w:rsidRPr="00AC6A56">
        <w:t xml:space="preserve"> </w:t>
      </w:r>
      <w:r>
        <w:t xml:space="preserve">is broad, encompassing </w:t>
      </w:r>
      <w:r w:rsidRPr="008C27E8">
        <w:t xml:space="preserve">legislative, regulatory and policy </w:t>
      </w:r>
      <w:r w:rsidR="009B4B69">
        <w:t xml:space="preserve">issues with the aim of ensuring </w:t>
      </w:r>
      <w:r w:rsidRPr="008C27E8">
        <w:t>decommissioning strikes the right balance between</w:t>
      </w:r>
      <w:r w:rsidR="00D33E7C">
        <w:t>:</w:t>
      </w:r>
      <w:r w:rsidRPr="008C27E8">
        <w:t xml:space="preserve"> enabling productivity improvements for the offshore petroleum sector</w:t>
      </w:r>
      <w:r w:rsidR="00D33E7C">
        <w:t>;</w:t>
      </w:r>
      <w:r w:rsidRPr="008C27E8">
        <w:t xml:space="preserve"> meeting community expectations</w:t>
      </w:r>
      <w:r w:rsidR="00D33E7C">
        <w:t>;</w:t>
      </w:r>
      <w:r w:rsidRPr="008C27E8">
        <w:t xml:space="preserve"> and maintaining optimal </w:t>
      </w:r>
      <w:r w:rsidR="00D33E7C">
        <w:t xml:space="preserve">safety and </w:t>
      </w:r>
      <w:r w:rsidRPr="008C27E8">
        <w:t>environmental</w:t>
      </w:r>
      <w:r w:rsidRPr="00D33E7C">
        <w:t xml:space="preserve"> </w:t>
      </w:r>
      <w:r w:rsidRPr="008C27E8">
        <w:t>outcomes</w:t>
      </w:r>
      <w:r w:rsidR="006B390E">
        <w:t>.</w:t>
      </w:r>
      <w:r w:rsidRPr="008C27E8">
        <w:t xml:space="preserve"> </w:t>
      </w:r>
      <w:r w:rsidR="001B75B9">
        <w:t>As part of this process</w:t>
      </w:r>
      <w:r>
        <w:t xml:space="preserve">, </w:t>
      </w:r>
      <w:r w:rsidR="009B4B69">
        <w:t>the Department</w:t>
      </w:r>
      <w:r w:rsidRPr="008C27E8">
        <w:t xml:space="preserve"> will release guidelines to provide </w:t>
      </w:r>
      <w:r w:rsidR="009B4B69">
        <w:t>companies</w:t>
      </w:r>
      <w:r w:rsidRPr="008C27E8">
        <w:t xml:space="preserve"> with clarity on legislative and regulatory requirements, </w:t>
      </w:r>
      <w:r w:rsidR="00C41048">
        <w:t>along with</w:t>
      </w:r>
      <w:r w:rsidRPr="008C27E8">
        <w:t xml:space="preserve"> Government policy and expectations for </w:t>
      </w:r>
      <w:r w:rsidR="00C41048">
        <w:t xml:space="preserve">the </w:t>
      </w:r>
      <w:r w:rsidRPr="008C27E8">
        <w:t xml:space="preserve">decommissioning </w:t>
      </w:r>
      <w:r w:rsidR="00C41048">
        <w:t xml:space="preserve">of </w:t>
      </w:r>
      <w:r w:rsidRPr="008C27E8">
        <w:t>offshore petroleum infrastructure in Commonwealth waters.</w:t>
      </w:r>
    </w:p>
    <w:p w14:paraId="1245787A" w14:textId="5EDDC1CC" w:rsidR="008577C0" w:rsidRDefault="00C41048" w:rsidP="008577C0">
      <w:pPr>
        <w:rPr>
          <w:lang w:val="en"/>
        </w:rPr>
      </w:pPr>
      <w:r>
        <w:rPr>
          <w:lang w:val="en"/>
        </w:rPr>
        <w:t>As noted</w:t>
      </w:r>
      <w:r w:rsidR="000405FB">
        <w:rPr>
          <w:lang w:val="en"/>
        </w:rPr>
        <w:t xml:space="preserve"> earlier</w:t>
      </w:r>
      <w:r>
        <w:rPr>
          <w:lang w:val="en"/>
        </w:rPr>
        <w:t>,</w:t>
      </w:r>
      <w:r w:rsidR="008577C0">
        <w:rPr>
          <w:lang w:val="en"/>
        </w:rPr>
        <w:t xml:space="preserve"> closing down costs are an </w:t>
      </w:r>
      <w:r>
        <w:rPr>
          <w:lang w:val="en"/>
        </w:rPr>
        <w:t>integral</w:t>
      </w:r>
      <w:r w:rsidR="008577C0">
        <w:rPr>
          <w:lang w:val="en"/>
        </w:rPr>
        <w:t xml:space="preserve"> design feature of the PRRT</w:t>
      </w:r>
      <w:r w:rsidR="00932955">
        <w:rPr>
          <w:lang w:val="en"/>
        </w:rPr>
        <w:t>;</w:t>
      </w:r>
      <w:r w:rsidR="008577C0">
        <w:rPr>
          <w:lang w:val="en"/>
        </w:rPr>
        <w:t xml:space="preserve"> </w:t>
      </w:r>
      <w:r w:rsidR="00E36E40">
        <w:rPr>
          <w:lang w:val="en"/>
        </w:rPr>
        <w:t>however</w:t>
      </w:r>
      <w:r w:rsidR="00932955">
        <w:rPr>
          <w:lang w:val="en"/>
        </w:rPr>
        <w:t>,</w:t>
      </w:r>
      <w:r w:rsidR="00E36E40">
        <w:rPr>
          <w:lang w:val="en"/>
        </w:rPr>
        <w:t xml:space="preserve"> </w:t>
      </w:r>
      <w:r w:rsidR="008577C0">
        <w:rPr>
          <w:lang w:val="en"/>
        </w:rPr>
        <w:t xml:space="preserve">there is a risk that PRRT revenue could be </w:t>
      </w:r>
      <w:r w:rsidR="00E36E40">
        <w:rPr>
          <w:lang w:val="en"/>
        </w:rPr>
        <w:t xml:space="preserve">significantly </w:t>
      </w:r>
      <w:r w:rsidR="008577C0">
        <w:rPr>
          <w:lang w:val="en"/>
        </w:rPr>
        <w:t>eroded if regulatory requirements for removing infrastructure and for environmental restoration are unnecessarily onerous. This could materially alter the return to the community</w:t>
      </w:r>
      <w:r w:rsidR="00E36E40">
        <w:rPr>
          <w:lang w:val="en"/>
        </w:rPr>
        <w:t xml:space="preserve"> from the use of its petroleum resources</w:t>
      </w:r>
      <w:r w:rsidR="008577C0">
        <w:rPr>
          <w:lang w:val="en"/>
        </w:rPr>
        <w:t xml:space="preserve">. </w:t>
      </w:r>
      <w:r w:rsidR="00FA0DC0">
        <w:rPr>
          <w:lang w:val="en"/>
        </w:rPr>
        <w:t>It is important therefore that the Department</w:t>
      </w:r>
      <w:r w:rsidR="005D6F39">
        <w:rPr>
          <w:lang w:val="en"/>
        </w:rPr>
        <w:t>’</w:t>
      </w:r>
      <w:r w:rsidR="00FA0DC0">
        <w:rPr>
          <w:lang w:val="en"/>
        </w:rPr>
        <w:t xml:space="preserve">s review of </w:t>
      </w:r>
      <w:r w:rsidR="008577C0">
        <w:rPr>
          <w:lang w:val="en"/>
        </w:rPr>
        <w:t xml:space="preserve">decommissioning </w:t>
      </w:r>
      <w:r w:rsidR="00FA0DC0">
        <w:rPr>
          <w:lang w:val="en"/>
        </w:rPr>
        <w:t>requirements seeks an appropriate</w:t>
      </w:r>
      <w:r w:rsidR="008577C0">
        <w:rPr>
          <w:lang w:val="en"/>
        </w:rPr>
        <w:t xml:space="preserve"> balance between environmental and cost </w:t>
      </w:r>
      <w:r w:rsidR="00E748EF">
        <w:rPr>
          <w:lang w:val="en"/>
        </w:rPr>
        <w:t>outcomes</w:t>
      </w:r>
      <w:r w:rsidR="00755941">
        <w:rPr>
          <w:lang w:val="en"/>
        </w:rPr>
        <w:t>.</w:t>
      </w:r>
    </w:p>
    <w:p w14:paraId="562EF727" w14:textId="3844B428" w:rsidR="00AA7794" w:rsidRDefault="003932BC" w:rsidP="00564BA8">
      <w:pPr>
        <w:pStyle w:val="Heading3"/>
      </w:pPr>
      <w:bookmarkStart w:id="6850" w:name="_Toc476577367"/>
      <w:bookmarkStart w:id="6851" w:name="_Toc476582356"/>
      <w:bookmarkStart w:id="6852" w:name="_Toc476583030"/>
      <w:bookmarkStart w:id="6853" w:name="_Toc476583747"/>
      <w:bookmarkStart w:id="6854" w:name="_Toc476584195"/>
      <w:bookmarkStart w:id="6855" w:name="_Toc476738103"/>
      <w:bookmarkStart w:id="6856" w:name="_Toc476747688"/>
      <w:bookmarkStart w:id="6857" w:name="_Toc476749098"/>
      <w:bookmarkStart w:id="6858" w:name="_Toc476753965"/>
      <w:bookmarkStart w:id="6859" w:name="_Toc476754460"/>
      <w:bookmarkStart w:id="6860" w:name="_Toc476754625"/>
      <w:bookmarkStart w:id="6861" w:name="_Toc476759864"/>
      <w:bookmarkStart w:id="6862" w:name="_Toc476761486"/>
      <w:bookmarkStart w:id="6863" w:name="_Toc476767124"/>
      <w:bookmarkStart w:id="6864" w:name="_Toc476827169"/>
      <w:bookmarkStart w:id="6865" w:name="_Toc476828862"/>
      <w:bookmarkStart w:id="6866" w:name="_Toc476833736"/>
      <w:bookmarkStart w:id="6867" w:name="_Toc476837209"/>
      <w:bookmarkStart w:id="6868" w:name="_Toc476841082"/>
      <w:bookmarkStart w:id="6869" w:name="_Toc476841287"/>
      <w:bookmarkStart w:id="6870" w:name="_Toc476842046"/>
      <w:bookmarkStart w:id="6871" w:name="_Toc476842990"/>
      <w:bookmarkStart w:id="6872" w:name="_Toc476843161"/>
      <w:bookmarkStart w:id="6873" w:name="_Toc476844659"/>
      <w:bookmarkStart w:id="6874" w:name="_Toc476845552"/>
      <w:bookmarkStart w:id="6875" w:name="_Toc476926945"/>
      <w:bookmarkStart w:id="6876" w:name="_Toc476927058"/>
      <w:bookmarkStart w:id="6877" w:name="_Toc476927232"/>
      <w:bookmarkStart w:id="6878" w:name="_Toc476928496"/>
      <w:bookmarkStart w:id="6879" w:name="_Toc476929539"/>
      <w:bookmarkStart w:id="6880" w:name="_Toc476929714"/>
      <w:bookmarkStart w:id="6881" w:name="_Toc476930757"/>
      <w:bookmarkStart w:id="6882" w:name="_Toc476931564"/>
      <w:bookmarkStart w:id="6883" w:name="_Toc477869908"/>
      <w:bookmarkStart w:id="6884" w:name="_Toc477871147"/>
      <w:bookmarkStart w:id="6885" w:name="_Toc477873306"/>
      <w:bookmarkStart w:id="6886" w:name="_Toc477875300"/>
      <w:bookmarkStart w:id="6887" w:name="_Toc477880213"/>
      <w:bookmarkStart w:id="6888" w:name="_Toc477881473"/>
      <w:bookmarkStart w:id="6889" w:name="_Toc477955877"/>
      <w:bookmarkStart w:id="6890" w:name="_Toc477963122"/>
      <w:bookmarkStart w:id="6891" w:name="_Toc477963608"/>
      <w:bookmarkStart w:id="6892" w:name="_Toc477965194"/>
      <w:bookmarkStart w:id="6893" w:name="_Toc477966698"/>
      <w:bookmarkStart w:id="6894" w:name="_Toc477966867"/>
      <w:bookmarkStart w:id="6895" w:name="_Toc477967207"/>
      <w:bookmarkStart w:id="6896" w:name="_Toc478121344"/>
      <w:bookmarkStart w:id="6897" w:name="_Toc478122257"/>
      <w:bookmarkStart w:id="6898" w:name="_Toc478132231"/>
      <w:bookmarkStart w:id="6899" w:name="_Toc478133257"/>
      <w:bookmarkStart w:id="6900" w:name="_Toc478132394"/>
      <w:bookmarkStart w:id="6901" w:name="_Toc478134723"/>
      <w:bookmarkStart w:id="6902" w:name="_Toc478137425"/>
      <w:bookmarkStart w:id="6903" w:name="_Toc478138497"/>
      <w:bookmarkStart w:id="6904" w:name="_Toc478140067"/>
      <w:bookmarkStart w:id="6905" w:name="_Toc478140483"/>
      <w:bookmarkStart w:id="6906" w:name="_Toc478142689"/>
      <w:bookmarkStart w:id="6907" w:name="_Toc478566405"/>
      <w:bookmarkStart w:id="6908" w:name="_Toc478569572"/>
      <w:bookmarkStart w:id="6909" w:name="_Toc478569746"/>
      <w:bookmarkStart w:id="6910" w:name="_Toc478570820"/>
      <w:bookmarkStart w:id="6911" w:name="_Toc478633019"/>
      <w:bookmarkStart w:id="6912" w:name="_Toc478641427"/>
      <w:bookmarkStart w:id="6913" w:name="_Toc478654321"/>
      <w:bookmarkStart w:id="6914" w:name="_Toc478654495"/>
      <w:bookmarkStart w:id="6915" w:name="_Toc478657790"/>
      <w:bookmarkStart w:id="6916" w:name="_Toc478993211"/>
      <w:bookmarkStart w:id="6917" w:name="_Toc479000282"/>
      <w:bookmarkStart w:id="6918" w:name="_Toc479002216"/>
      <w:bookmarkStart w:id="6919" w:name="_Toc479002388"/>
      <w:bookmarkStart w:id="6920" w:name="_Toc479254363"/>
      <w:bookmarkStart w:id="6921" w:name="_Toc479258552"/>
      <w:bookmarkStart w:id="6922" w:name="_Toc479258868"/>
      <w:bookmarkStart w:id="6923" w:name="_Toc479259760"/>
      <w:bookmarkStart w:id="6924" w:name="_Toc479262183"/>
      <w:bookmarkStart w:id="6925" w:name="_Toc479262604"/>
      <w:bookmarkStart w:id="6926" w:name="_Toc479321305"/>
      <w:bookmarkStart w:id="6927" w:name="_Toc479326744"/>
      <w:bookmarkStart w:id="6928" w:name="_Toc479333343"/>
      <w:bookmarkStart w:id="6929" w:name="_Toc479335040"/>
      <w:bookmarkStart w:id="6930" w:name="_Toc479341755"/>
      <w:bookmarkStart w:id="6931" w:name="_Toc479345171"/>
      <w:bookmarkStart w:id="6932" w:name="_Toc479345380"/>
      <w:bookmarkStart w:id="6933" w:name="_Toc479348361"/>
      <w:bookmarkStart w:id="6934" w:name="_Toc479675955"/>
      <w:bookmarkStart w:id="6935" w:name="_Toc479690922"/>
      <w:bookmarkStart w:id="6936" w:name="_Toc479693500"/>
      <w:bookmarkStart w:id="6937" w:name="_Toc479770669"/>
      <w:r>
        <w:rPr>
          <w:lang w:val="en"/>
        </w:rPr>
        <w:t>4.</w:t>
      </w:r>
      <w:r w:rsidR="009B7D3C">
        <w:rPr>
          <w:lang w:val="en"/>
        </w:rPr>
        <w:t>8</w:t>
      </w:r>
      <w:r w:rsidR="00CB2A79">
        <w:rPr>
          <w:lang w:val="en"/>
        </w:rPr>
        <w:t>.3</w:t>
      </w:r>
      <w:r w:rsidR="00CB2A79">
        <w:rPr>
          <w:lang w:val="en"/>
        </w:rPr>
        <w:tab/>
      </w:r>
      <w:r w:rsidR="00983F34">
        <w:rPr>
          <w:lang w:val="en"/>
        </w:rPr>
        <w:t xml:space="preserve">Partial </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r w:rsidR="000405FB">
        <w:rPr>
          <w:lang w:val="en"/>
        </w:rPr>
        <w:t>c</w:t>
      </w:r>
      <w:r w:rsidR="008577C0" w:rsidRPr="00256256">
        <w:rPr>
          <w:lang w:val="en"/>
        </w:rPr>
        <w:t xml:space="preserve">losing </w:t>
      </w:r>
      <w:r w:rsidR="000405FB">
        <w:rPr>
          <w:lang w:val="en"/>
        </w:rPr>
        <w:t>down c</w:t>
      </w:r>
      <w:r w:rsidR="008577C0" w:rsidRPr="00256256">
        <w:rPr>
          <w:lang w:val="en"/>
        </w:rPr>
        <w:t>osts</w:t>
      </w:r>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r w:rsidR="008577C0" w:rsidRPr="00B15F76">
        <w:t xml:space="preserve"> </w:t>
      </w:r>
    </w:p>
    <w:p w14:paraId="62CC6C2E" w14:textId="10B2DE5F" w:rsidR="00AA7794" w:rsidRDefault="00AA7794" w:rsidP="001D5F7E">
      <w:pPr>
        <w:rPr>
          <w:lang w:val="en"/>
        </w:rPr>
      </w:pPr>
      <w:r w:rsidRPr="00256256">
        <w:rPr>
          <w:lang w:val="en"/>
        </w:rPr>
        <w:t xml:space="preserve">The PRRT legislation has a linear </w:t>
      </w:r>
      <w:r w:rsidR="008577C0">
        <w:rPr>
          <w:lang w:val="en"/>
        </w:rPr>
        <w:t>approach to</w:t>
      </w:r>
      <w:r w:rsidRPr="00256256">
        <w:rPr>
          <w:lang w:val="en"/>
        </w:rPr>
        <w:t xml:space="preserve"> the operational life of petroleum projects</w:t>
      </w:r>
      <w:r w:rsidR="00516226">
        <w:rPr>
          <w:lang w:val="en"/>
        </w:rPr>
        <w:t xml:space="preserve"> </w:t>
      </w:r>
      <w:r w:rsidR="002A08C4">
        <w:rPr>
          <w:lang w:val="en"/>
        </w:rPr>
        <w:t>across</w:t>
      </w:r>
      <w:r>
        <w:rPr>
          <w:lang w:val="en"/>
        </w:rPr>
        <w:t xml:space="preserve"> the</w:t>
      </w:r>
      <w:r w:rsidRPr="00256256">
        <w:rPr>
          <w:lang w:val="en"/>
        </w:rPr>
        <w:t xml:space="preserve"> phases of exploration, construction, production and closing</w:t>
      </w:r>
      <w:r w:rsidR="002E09FB">
        <w:rPr>
          <w:lang w:val="en"/>
        </w:rPr>
        <w:t xml:space="preserve"> </w:t>
      </w:r>
      <w:r w:rsidRPr="00256256">
        <w:rPr>
          <w:lang w:val="en"/>
        </w:rPr>
        <w:t xml:space="preserve">down. </w:t>
      </w:r>
      <w:r>
        <w:rPr>
          <w:lang w:val="en"/>
        </w:rPr>
        <w:t>This observation was made by ExxonMobil</w:t>
      </w:r>
      <w:r w:rsidR="00A22A9F">
        <w:rPr>
          <w:lang w:val="en"/>
        </w:rPr>
        <w:t xml:space="preserve"> Australia</w:t>
      </w:r>
      <w:r>
        <w:rPr>
          <w:lang w:val="en"/>
        </w:rPr>
        <w:t>:</w:t>
      </w:r>
    </w:p>
    <w:p w14:paraId="575F18D2" w14:textId="0650FC5B" w:rsidR="00AA7794" w:rsidRPr="00FF7A9D" w:rsidRDefault="00AA7794" w:rsidP="00FF7A9D">
      <w:pPr>
        <w:ind w:left="567" w:right="565"/>
        <w:rPr>
          <w:color w:val="1F497D" w:themeColor="text2"/>
          <w:sz w:val="20"/>
        </w:rPr>
      </w:pPr>
      <w:r w:rsidRPr="00FF7A9D">
        <w:rPr>
          <w:color w:val="1F497D" w:themeColor="text2"/>
          <w:sz w:val="20"/>
        </w:rPr>
        <w:t>The PRRT was enacted as a crad</w:t>
      </w:r>
      <w:r w:rsidR="0078299D">
        <w:rPr>
          <w:color w:val="1F497D" w:themeColor="text2"/>
          <w:sz w:val="20"/>
        </w:rPr>
        <w:t>l</w:t>
      </w:r>
      <w:r w:rsidRPr="00FF7A9D">
        <w:rPr>
          <w:color w:val="1F497D" w:themeColor="text2"/>
          <w:sz w:val="20"/>
        </w:rPr>
        <w:t>e</w:t>
      </w:r>
      <w:r w:rsidR="005D6F39">
        <w:rPr>
          <w:color w:val="1F497D" w:themeColor="text2"/>
          <w:sz w:val="20"/>
        </w:rPr>
        <w:noBreakHyphen/>
      </w:r>
      <w:r w:rsidRPr="00FF7A9D">
        <w:rPr>
          <w:color w:val="1F497D" w:themeColor="text2"/>
          <w:sz w:val="20"/>
        </w:rPr>
        <w:t>to</w:t>
      </w:r>
      <w:r w:rsidR="005D6F39">
        <w:rPr>
          <w:color w:val="1F497D" w:themeColor="text2"/>
          <w:sz w:val="20"/>
        </w:rPr>
        <w:noBreakHyphen/>
      </w:r>
      <w:r w:rsidRPr="00FF7A9D">
        <w:rPr>
          <w:color w:val="1F497D" w:themeColor="text2"/>
          <w:sz w:val="20"/>
        </w:rPr>
        <w:t>grave tax. Section 37, the cradle, provided for exploration, while section 38, life, provided for development and operation, and section</w:t>
      </w:r>
      <w:r w:rsidR="00C026C1">
        <w:rPr>
          <w:color w:val="1F497D" w:themeColor="text2"/>
          <w:sz w:val="20"/>
        </w:rPr>
        <w:t> </w:t>
      </w:r>
      <w:r w:rsidRPr="00FF7A9D">
        <w:rPr>
          <w:color w:val="1F497D" w:themeColor="text2"/>
          <w:sz w:val="20"/>
        </w:rPr>
        <w:t>39, the grave, closing down. It was predicated upon providing a stable whole of life taxing regime that attracted investment capital into the petroleum industry in Australia whilst providing an equitable return to the community from the u</w:t>
      </w:r>
      <w:r w:rsidR="00902C4B" w:rsidRPr="00FF7A9D">
        <w:rPr>
          <w:color w:val="1F497D" w:themeColor="text2"/>
          <w:sz w:val="20"/>
        </w:rPr>
        <w:t>se of the community</w:t>
      </w:r>
      <w:r w:rsidR="005D6F39">
        <w:rPr>
          <w:color w:val="1F497D" w:themeColor="text2"/>
          <w:sz w:val="20"/>
        </w:rPr>
        <w:t>’</w:t>
      </w:r>
      <w:r w:rsidR="00902C4B" w:rsidRPr="00FF7A9D">
        <w:rPr>
          <w:color w:val="1F497D" w:themeColor="text2"/>
          <w:sz w:val="20"/>
        </w:rPr>
        <w:t>s resources (</w:t>
      </w:r>
      <w:r w:rsidR="00017F3C" w:rsidRPr="00175B49">
        <w:rPr>
          <w:color w:val="1F497D" w:themeColor="text2"/>
          <w:sz w:val="20"/>
        </w:rPr>
        <w:t xml:space="preserve">ExxonMobil </w:t>
      </w:r>
      <w:r w:rsidR="00A22A9F">
        <w:rPr>
          <w:color w:val="1F497D" w:themeColor="text2"/>
          <w:sz w:val="20"/>
        </w:rPr>
        <w:t>Australia</w:t>
      </w:r>
      <w:r w:rsidR="00017F3C" w:rsidRPr="00175B49">
        <w:rPr>
          <w:color w:val="1F497D" w:themeColor="text2"/>
          <w:sz w:val="20"/>
        </w:rPr>
        <w:t xml:space="preserve"> </w:t>
      </w:r>
      <w:r w:rsidR="00C63B85">
        <w:rPr>
          <w:color w:val="1F497D" w:themeColor="text2"/>
          <w:sz w:val="20"/>
        </w:rPr>
        <w:t>s</w:t>
      </w:r>
      <w:r w:rsidR="00017F3C" w:rsidRPr="00175B49">
        <w:rPr>
          <w:color w:val="1F497D" w:themeColor="text2"/>
          <w:sz w:val="20"/>
        </w:rPr>
        <w:t>ubmission, p. 3</w:t>
      </w:r>
      <w:r w:rsidR="00902C4B" w:rsidRPr="00FF7A9D">
        <w:rPr>
          <w:color w:val="1F497D" w:themeColor="text2"/>
          <w:sz w:val="20"/>
        </w:rPr>
        <w:t>)</w:t>
      </w:r>
      <w:r w:rsidR="00564BA8" w:rsidRPr="00FF7A9D">
        <w:rPr>
          <w:color w:val="1F497D" w:themeColor="text2"/>
          <w:sz w:val="20"/>
        </w:rPr>
        <w:t>.</w:t>
      </w:r>
    </w:p>
    <w:p w14:paraId="5050BB52" w14:textId="20C6F983" w:rsidR="008577C0" w:rsidRDefault="008577C0" w:rsidP="008577C0">
      <w:pPr>
        <w:rPr>
          <w:lang w:val="en"/>
        </w:rPr>
      </w:pPr>
      <w:r>
        <w:rPr>
          <w:lang w:val="en"/>
        </w:rPr>
        <w:t>This linear or cradle</w:t>
      </w:r>
      <w:r w:rsidR="005D6F39">
        <w:rPr>
          <w:lang w:val="en"/>
        </w:rPr>
        <w:noBreakHyphen/>
      </w:r>
      <w:r>
        <w:rPr>
          <w:lang w:val="en"/>
        </w:rPr>
        <w:t>to</w:t>
      </w:r>
      <w:r w:rsidR="005D6F39">
        <w:rPr>
          <w:lang w:val="en"/>
        </w:rPr>
        <w:noBreakHyphen/>
      </w:r>
      <w:r>
        <w:rPr>
          <w:lang w:val="en"/>
        </w:rPr>
        <w:t xml:space="preserve">grave design of the PRRT </w:t>
      </w:r>
      <w:r w:rsidR="002A08C4">
        <w:rPr>
          <w:lang w:val="en"/>
        </w:rPr>
        <w:t xml:space="preserve">does </w:t>
      </w:r>
      <w:r>
        <w:rPr>
          <w:lang w:val="en"/>
        </w:rPr>
        <w:t xml:space="preserve">not </w:t>
      </w:r>
      <w:r w:rsidR="002A08C4">
        <w:rPr>
          <w:lang w:val="en"/>
        </w:rPr>
        <w:t>always</w:t>
      </w:r>
      <w:r>
        <w:rPr>
          <w:lang w:val="en"/>
        </w:rPr>
        <w:t xml:space="preserve"> reflect the modern characteristics of multi</w:t>
      </w:r>
      <w:r w:rsidR="005D6F39">
        <w:rPr>
          <w:lang w:val="en"/>
        </w:rPr>
        <w:noBreakHyphen/>
      </w:r>
      <w:r>
        <w:rPr>
          <w:lang w:val="en"/>
        </w:rPr>
        <w:t>stage oil and gas projects</w:t>
      </w:r>
      <w:r w:rsidR="00755941">
        <w:rPr>
          <w:lang w:val="en"/>
        </w:rPr>
        <w:t xml:space="preserve">. </w:t>
      </w:r>
      <w:r>
        <w:rPr>
          <w:lang w:val="en"/>
        </w:rPr>
        <w:t xml:space="preserve">For example, </w:t>
      </w:r>
      <w:r w:rsidR="006E2AAB">
        <w:rPr>
          <w:lang w:val="en"/>
        </w:rPr>
        <w:t xml:space="preserve">typical </w:t>
      </w:r>
      <w:r w:rsidR="00233840">
        <w:rPr>
          <w:lang w:val="en"/>
        </w:rPr>
        <w:t>oil and gas</w:t>
      </w:r>
      <w:r w:rsidRPr="00256256">
        <w:rPr>
          <w:lang w:val="en"/>
        </w:rPr>
        <w:t xml:space="preserve"> projects have long pay</w:t>
      </w:r>
      <w:r w:rsidR="000405FB">
        <w:rPr>
          <w:lang w:val="en"/>
        </w:rPr>
        <w:t xml:space="preserve"> </w:t>
      </w:r>
      <w:r w:rsidRPr="00256256">
        <w:rPr>
          <w:lang w:val="en"/>
        </w:rPr>
        <w:t xml:space="preserve">back </w:t>
      </w:r>
      <w:r>
        <w:rPr>
          <w:lang w:val="en"/>
        </w:rPr>
        <w:t>periods and long operational lives</w:t>
      </w:r>
      <w:r w:rsidRPr="00256256">
        <w:rPr>
          <w:lang w:val="en"/>
        </w:rPr>
        <w:t xml:space="preserve"> </w:t>
      </w:r>
      <w:r w:rsidR="006E2AAB">
        <w:rPr>
          <w:lang w:val="en"/>
        </w:rPr>
        <w:t>d</w:t>
      </w:r>
      <w:r>
        <w:rPr>
          <w:lang w:val="en"/>
        </w:rPr>
        <w:t xml:space="preserve">uring </w:t>
      </w:r>
      <w:r w:rsidR="006E2AAB">
        <w:rPr>
          <w:lang w:val="en"/>
        </w:rPr>
        <w:t>which the projects</w:t>
      </w:r>
      <w:r w:rsidR="005D6F39">
        <w:rPr>
          <w:lang w:val="en"/>
        </w:rPr>
        <w:t>’</w:t>
      </w:r>
      <w:r w:rsidR="006E2AAB">
        <w:rPr>
          <w:lang w:val="en"/>
        </w:rPr>
        <w:t xml:space="preserve"> original</w:t>
      </w:r>
      <w:r w:rsidRPr="00256256">
        <w:rPr>
          <w:lang w:val="en"/>
        </w:rPr>
        <w:t xml:space="preserve"> petroleum resources </w:t>
      </w:r>
      <w:r w:rsidR="006E2AAB">
        <w:rPr>
          <w:lang w:val="en"/>
        </w:rPr>
        <w:t xml:space="preserve">may be depleted </w:t>
      </w:r>
      <w:r w:rsidRPr="00256256">
        <w:rPr>
          <w:lang w:val="en"/>
        </w:rPr>
        <w:t xml:space="preserve">and </w:t>
      </w:r>
      <w:r w:rsidR="006E2AAB">
        <w:rPr>
          <w:lang w:val="en"/>
        </w:rPr>
        <w:t xml:space="preserve">associated </w:t>
      </w:r>
      <w:r w:rsidRPr="00256256">
        <w:rPr>
          <w:lang w:val="en"/>
        </w:rPr>
        <w:t>infrastructure</w:t>
      </w:r>
      <w:r w:rsidR="006E2AAB">
        <w:rPr>
          <w:lang w:val="en"/>
        </w:rPr>
        <w:t xml:space="preserve"> closed down</w:t>
      </w:r>
      <w:r w:rsidRPr="00256256">
        <w:rPr>
          <w:lang w:val="en"/>
        </w:rPr>
        <w:t xml:space="preserve">, but </w:t>
      </w:r>
      <w:r w:rsidR="006E2AAB">
        <w:rPr>
          <w:lang w:val="en"/>
        </w:rPr>
        <w:t xml:space="preserve">production </w:t>
      </w:r>
      <w:r w:rsidR="00D63BF6">
        <w:rPr>
          <w:lang w:val="en"/>
        </w:rPr>
        <w:t>may continue</w:t>
      </w:r>
      <w:r w:rsidRPr="00256256">
        <w:rPr>
          <w:lang w:val="en"/>
        </w:rPr>
        <w:t xml:space="preserve"> for many years through the commissioning </w:t>
      </w:r>
      <w:r>
        <w:rPr>
          <w:lang w:val="en"/>
        </w:rPr>
        <w:t xml:space="preserve">of new wells in existing adjacent tenements, known as </w:t>
      </w:r>
      <w:r w:rsidRPr="00256256">
        <w:rPr>
          <w:lang w:val="en"/>
        </w:rPr>
        <w:t>brownfield developments.</w:t>
      </w:r>
    </w:p>
    <w:p w14:paraId="442F2044" w14:textId="38DB305E" w:rsidR="008577C0" w:rsidRDefault="008577C0" w:rsidP="008577C0">
      <w:pPr>
        <w:rPr>
          <w:lang w:val="en"/>
        </w:rPr>
      </w:pPr>
      <w:r>
        <w:rPr>
          <w:lang w:val="en"/>
        </w:rPr>
        <w:t xml:space="preserve">In its submission, APPEA identifies these </w:t>
      </w:r>
      <w:r w:rsidR="005D6F39">
        <w:rPr>
          <w:lang w:val="en"/>
        </w:rPr>
        <w:t>‘</w:t>
      </w:r>
      <w:r>
        <w:rPr>
          <w:lang w:val="en"/>
        </w:rPr>
        <w:t>partial close down scenarios</w:t>
      </w:r>
      <w:r w:rsidR="005D6F39">
        <w:rPr>
          <w:lang w:val="en"/>
        </w:rPr>
        <w:t>’</w:t>
      </w:r>
      <w:r>
        <w:rPr>
          <w:lang w:val="en"/>
        </w:rPr>
        <w:t xml:space="preserve"> as an area of potential uncertainty for industry:</w:t>
      </w:r>
    </w:p>
    <w:p w14:paraId="5EF5A49F" w14:textId="3F6CD3B4" w:rsidR="008577C0" w:rsidRPr="00FF7A9D" w:rsidRDefault="00902C4B" w:rsidP="00FF7A9D">
      <w:pPr>
        <w:ind w:left="567" w:right="565"/>
        <w:rPr>
          <w:color w:val="1F497D" w:themeColor="text2"/>
          <w:sz w:val="20"/>
        </w:rPr>
      </w:pPr>
      <w:r w:rsidRPr="00FF7A9D">
        <w:rPr>
          <w:color w:val="1F497D" w:themeColor="text2"/>
          <w:sz w:val="20"/>
        </w:rPr>
        <w:t>T</w:t>
      </w:r>
      <w:r w:rsidR="008577C0" w:rsidRPr="00FF7A9D">
        <w:rPr>
          <w:color w:val="1F497D" w:themeColor="text2"/>
          <w:sz w:val="20"/>
        </w:rPr>
        <w:t>he law is currently uncertain in the context of what represents closing down expenditure</w:t>
      </w:r>
      <w:r w:rsidR="005D6F39">
        <w:rPr>
          <w:color w:val="1F497D" w:themeColor="text2"/>
          <w:sz w:val="20"/>
        </w:rPr>
        <w:t xml:space="preserve"> — </w:t>
      </w:r>
      <w:r w:rsidR="008577C0" w:rsidRPr="00FF7A9D">
        <w:rPr>
          <w:color w:val="1F497D" w:themeColor="text2"/>
          <w:sz w:val="20"/>
        </w:rPr>
        <w:t>is it the closure and or abandonment of any facility within a project area or the last production facility within a project area? To promote certainty for the large scale developments that are becoming more common (as opposed to the simpler offshore oil platform scenario), it would be helpful to remove</w:t>
      </w:r>
      <w:r w:rsidRPr="00FF7A9D">
        <w:rPr>
          <w:color w:val="1F497D" w:themeColor="text2"/>
          <w:sz w:val="20"/>
        </w:rPr>
        <w:t xml:space="preserve"> this potential for ambiguity (</w:t>
      </w:r>
      <w:r w:rsidR="008577C0" w:rsidRPr="00175B49">
        <w:rPr>
          <w:color w:val="1F497D" w:themeColor="text2"/>
          <w:sz w:val="20"/>
        </w:rPr>
        <w:t xml:space="preserve">APPEA </w:t>
      </w:r>
      <w:r w:rsidR="00C63B85">
        <w:rPr>
          <w:color w:val="1F497D" w:themeColor="text2"/>
          <w:sz w:val="20"/>
        </w:rPr>
        <w:t>s</w:t>
      </w:r>
      <w:r w:rsidR="008577C0" w:rsidRPr="00175B49">
        <w:rPr>
          <w:color w:val="1F497D" w:themeColor="text2"/>
          <w:sz w:val="20"/>
        </w:rPr>
        <w:t>ubmission</w:t>
      </w:r>
      <w:r w:rsidR="00564BA8" w:rsidRPr="00175B49">
        <w:rPr>
          <w:color w:val="1F497D" w:themeColor="text2"/>
          <w:sz w:val="20"/>
        </w:rPr>
        <w:t>, p</w:t>
      </w:r>
      <w:r w:rsidR="003E69D7">
        <w:rPr>
          <w:color w:val="1F497D" w:themeColor="text2"/>
          <w:sz w:val="20"/>
        </w:rPr>
        <w:t>.</w:t>
      </w:r>
      <w:r w:rsidR="008577C0" w:rsidRPr="00175B49">
        <w:rPr>
          <w:color w:val="1F497D" w:themeColor="text2"/>
          <w:sz w:val="20"/>
        </w:rPr>
        <w:t xml:space="preserve"> 82</w:t>
      </w:r>
      <w:r w:rsidRPr="00175B49">
        <w:rPr>
          <w:color w:val="1F497D" w:themeColor="text2"/>
          <w:sz w:val="20"/>
        </w:rPr>
        <w:t>)</w:t>
      </w:r>
      <w:r w:rsidR="008577C0" w:rsidRPr="00175B49">
        <w:rPr>
          <w:color w:val="1F497D" w:themeColor="text2"/>
          <w:sz w:val="20"/>
        </w:rPr>
        <w:t>.</w:t>
      </w:r>
    </w:p>
    <w:p w14:paraId="309A65A6" w14:textId="24E14382" w:rsidR="008577C0" w:rsidRPr="00902C4B" w:rsidRDefault="008577C0" w:rsidP="00902C4B">
      <w:pPr>
        <w:rPr>
          <w:lang w:val="en"/>
        </w:rPr>
      </w:pPr>
      <w:r w:rsidRPr="00902C4B">
        <w:rPr>
          <w:lang w:val="en"/>
        </w:rPr>
        <w:t>The ATO</w:t>
      </w:r>
      <w:r>
        <w:rPr>
          <w:lang w:val="en"/>
        </w:rPr>
        <w:t xml:space="preserve"> submission notes that it is currently undertaking consultations to clarify</w:t>
      </w:r>
      <w:r w:rsidR="00902C4B">
        <w:rPr>
          <w:lang w:val="en"/>
        </w:rPr>
        <w:t xml:space="preserve">, </w:t>
      </w:r>
      <w:r w:rsidR="005D6F39">
        <w:rPr>
          <w:lang w:val="en"/>
        </w:rPr>
        <w:t>‘</w:t>
      </w:r>
      <w:r w:rsidRPr="00902C4B">
        <w:rPr>
          <w:lang w:val="en"/>
        </w:rPr>
        <w:t>when a payment is considered to constitute closing</w:t>
      </w:r>
      <w:r w:rsidR="000405FB">
        <w:rPr>
          <w:lang w:val="en"/>
        </w:rPr>
        <w:t xml:space="preserve"> </w:t>
      </w:r>
      <w:r w:rsidRPr="00902C4B">
        <w:rPr>
          <w:lang w:val="en"/>
        </w:rPr>
        <w:t>down expenditure within the meaning of the Act</w:t>
      </w:r>
      <w:r w:rsidR="005D6F39">
        <w:rPr>
          <w:lang w:val="en"/>
        </w:rPr>
        <w:t>’</w:t>
      </w:r>
      <w:r w:rsidRPr="00902C4B">
        <w:rPr>
          <w:lang w:val="en"/>
        </w:rPr>
        <w:t xml:space="preserve"> </w:t>
      </w:r>
      <w:r w:rsidR="00902C4B" w:rsidRPr="00175B49">
        <w:rPr>
          <w:lang w:val="en"/>
        </w:rPr>
        <w:t>(</w:t>
      </w:r>
      <w:r w:rsidRPr="00175B49">
        <w:rPr>
          <w:lang w:val="en"/>
        </w:rPr>
        <w:t xml:space="preserve">ATO </w:t>
      </w:r>
      <w:r w:rsidR="00C63B85">
        <w:rPr>
          <w:lang w:val="en"/>
        </w:rPr>
        <w:t>s</w:t>
      </w:r>
      <w:r w:rsidRPr="00175B49">
        <w:rPr>
          <w:lang w:val="en"/>
        </w:rPr>
        <w:t>ubmission</w:t>
      </w:r>
      <w:r w:rsidR="00564BA8" w:rsidRPr="00175B49">
        <w:rPr>
          <w:lang w:val="en"/>
        </w:rPr>
        <w:t>, p</w:t>
      </w:r>
      <w:r w:rsidR="00902C4B" w:rsidRPr="00175B49">
        <w:rPr>
          <w:lang w:val="en"/>
        </w:rPr>
        <w:t>. 23)</w:t>
      </w:r>
      <w:r w:rsidR="00902C4B">
        <w:rPr>
          <w:lang w:val="en"/>
        </w:rPr>
        <w:t>.</w:t>
      </w:r>
    </w:p>
    <w:p w14:paraId="11C00108" w14:textId="0140C79F" w:rsidR="008577C0" w:rsidRDefault="008577C0" w:rsidP="008577C0">
      <w:pPr>
        <w:rPr>
          <w:lang w:val="en"/>
        </w:rPr>
      </w:pPr>
      <w:r>
        <w:t xml:space="preserve">There have already been some changes made to the PRRT legislation to </w:t>
      </w:r>
      <w:r w:rsidR="00D675D2">
        <w:t>cater</w:t>
      </w:r>
      <w:r>
        <w:t xml:space="preserve"> for </w:t>
      </w:r>
      <w:r>
        <w:rPr>
          <w:lang w:val="en"/>
        </w:rPr>
        <w:t xml:space="preserve">infrastructure licences </w:t>
      </w:r>
      <w:r w:rsidR="00D675D2">
        <w:rPr>
          <w:lang w:val="en"/>
        </w:rPr>
        <w:t xml:space="preserve">that </w:t>
      </w:r>
      <w:r>
        <w:rPr>
          <w:lang w:val="en"/>
        </w:rPr>
        <w:t xml:space="preserve">were introduced in 2000 to allow for the continued use of </w:t>
      </w:r>
      <w:r w:rsidR="004D6672">
        <w:rPr>
          <w:lang w:val="en"/>
        </w:rPr>
        <w:t xml:space="preserve">project </w:t>
      </w:r>
      <w:r>
        <w:rPr>
          <w:lang w:val="en"/>
        </w:rPr>
        <w:t xml:space="preserve">infrastructure for specific activities other than exploring and recovering petroleum. </w:t>
      </w:r>
      <w:r w:rsidR="00D675D2">
        <w:rPr>
          <w:lang w:val="en"/>
        </w:rPr>
        <w:t xml:space="preserve">The infrastructure licences covered the situation </w:t>
      </w:r>
      <w:r>
        <w:rPr>
          <w:lang w:val="en"/>
        </w:rPr>
        <w:t>where the petroleum reserves for a project have been exhausted</w:t>
      </w:r>
      <w:r w:rsidR="004D6672">
        <w:rPr>
          <w:lang w:val="en"/>
        </w:rPr>
        <w:t xml:space="preserve"> </w:t>
      </w:r>
      <w:r w:rsidR="00B047CA">
        <w:rPr>
          <w:lang w:val="en"/>
        </w:rPr>
        <w:t>by allowing</w:t>
      </w:r>
      <w:r>
        <w:rPr>
          <w:lang w:val="en"/>
        </w:rPr>
        <w:t xml:space="preserve"> the project infrastructure</w:t>
      </w:r>
      <w:r w:rsidR="004D6672">
        <w:rPr>
          <w:lang w:val="en"/>
        </w:rPr>
        <w:t xml:space="preserve"> to </w:t>
      </w:r>
      <w:r>
        <w:rPr>
          <w:lang w:val="en"/>
        </w:rPr>
        <w:t xml:space="preserve">be </w:t>
      </w:r>
      <w:r w:rsidR="004D6672">
        <w:rPr>
          <w:lang w:val="en"/>
        </w:rPr>
        <w:t>used</w:t>
      </w:r>
      <w:r>
        <w:rPr>
          <w:lang w:val="en"/>
        </w:rPr>
        <w:t xml:space="preserve"> to process petroleum piped in from an alternative source located nearby. The owners of the infrastructure would receive a fee for providing this service to a third party.</w:t>
      </w:r>
    </w:p>
    <w:p w14:paraId="0DF44615" w14:textId="75616662" w:rsidR="008577C0" w:rsidRDefault="00D675D2" w:rsidP="008577C0">
      <w:pPr>
        <w:rPr>
          <w:lang w:val="en"/>
        </w:rPr>
      </w:pPr>
      <w:r>
        <w:rPr>
          <w:lang w:val="en"/>
        </w:rPr>
        <w:t xml:space="preserve">In 2006, the PRRT was amended to include </w:t>
      </w:r>
      <w:r w:rsidR="004D6672">
        <w:rPr>
          <w:lang w:val="en"/>
        </w:rPr>
        <w:t>as allowable deductions</w:t>
      </w:r>
      <w:r w:rsidR="00D63BF6">
        <w:rPr>
          <w:lang w:val="en"/>
        </w:rPr>
        <w:t>,</w:t>
      </w:r>
      <w:r w:rsidR="004D6672">
        <w:rPr>
          <w:lang w:val="en"/>
        </w:rPr>
        <w:t xml:space="preserve"> </w:t>
      </w:r>
      <w:r>
        <w:rPr>
          <w:lang w:val="en"/>
        </w:rPr>
        <w:t xml:space="preserve">future costs of closing down project infrastructure </w:t>
      </w:r>
      <w:r w:rsidR="004D6672">
        <w:rPr>
          <w:lang w:val="en"/>
        </w:rPr>
        <w:t xml:space="preserve">that </w:t>
      </w:r>
      <w:r>
        <w:rPr>
          <w:lang w:val="en"/>
        </w:rPr>
        <w:t>remain</w:t>
      </w:r>
      <w:r w:rsidR="004D6672">
        <w:rPr>
          <w:lang w:val="en"/>
        </w:rPr>
        <w:t>s</w:t>
      </w:r>
      <w:r>
        <w:rPr>
          <w:lang w:val="en"/>
        </w:rPr>
        <w:t xml:space="preserve"> operating beyond production licen</w:t>
      </w:r>
      <w:r w:rsidR="001B75B9">
        <w:rPr>
          <w:lang w:val="en"/>
        </w:rPr>
        <w:t>c</w:t>
      </w:r>
      <w:r>
        <w:rPr>
          <w:lang w:val="en"/>
        </w:rPr>
        <w:t>e</w:t>
      </w:r>
      <w:r w:rsidR="00166DE9">
        <w:rPr>
          <w:lang w:val="en"/>
        </w:rPr>
        <w:t xml:space="preserve"> expiry via</w:t>
      </w:r>
      <w:r>
        <w:rPr>
          <w:lang w:val="en"/>
        </w:rPr>
        <w:t xml:space="preserve"> </w:t>
      </w:r>
      <w:r w:rsidR="00B047CA">
        <w:rPr>
          <w:lang w:val="en"/>
        </w:rPr>
        <w:t>acquisition</w:t>
      </w:r>
      <w:r w:rsidR="00166DE9">
        <w:rPr>
          <w:lang w:val="en"/>
        </w:rPr>
        <w:t xml:space="preserve"> of</w:t>
      </w:r>
      <w:r>
        <w:rPr>
          <w:lang w:val="en"/>
        </w:rPr>
        <w:t xml:space="preserve"> an infrastructure licence. </w:t>
      </w:r>
      <w:r w:rsidR="008577C0">
        <w:rPr>
          <w:lang w:val="en"/>
        </w:rPr>
        <w:t>The 2006 amendment</w:t>
      </w:r>
      <w:r w:rsidR="00181A8E">
        <w:rPr>
          <w:lang w:val="en"/>
        </w:rPr>
        <w:t>s</w:t>
      </w:r>
      <w:r w:rsidR="008577C0">
        <w:rPr>
          <w:lang w:val="en"/>
        </w:rPr>
        <w:t xml:space="preserve"> partly address</w:t>
      </w:r>
      <w:r w:rsidR="00181A8E">
        <w:rPr>
          <w:lang w:val="en"/>
        </w:rPr>
        <w:t xml:space="preserve">ed some of the issues </w:t>
      </w:r>
      <w:r w:rsidR="001561CE">
        <w:rPr>
          <w:lang w:val="en"/>
        </w:rPr>
        <w:t xml:space="preserve">concerning </w:t>
      </w:r>
      <w:r w:rsidR="008577C0">
        <w:rPr>
          <w:lang w:val="en"/>
        </w:rPr>
        <w:t xml:space="preserve">closing down expenditure </w:t>
      </w:r>
      <w:r w:rsidR="00181A8E">
        <w:rPr>
          <w:lang w:val="en"/>
        </w:rPr>
        <w:t xml:space="preserve">in some </w:t>
      </w:r>
      <w:r w:rsidR="008577C0">
        <w:rPr>
          <w:lang w:val="en"/>
        </w:rPr>
        <w:t>circumstances</w:t>
      </w:r>
      <w:r w:rsidR="001561CE">
        <w:rPr>
          <w:lang w:val="en"/>
        </w:rPr>
        <w:t>.</w:t>
      </w:r>
      <w:r w:rsidR="00181A8E">
        <w:rPr>
          <w:lang w:val="en"/>
        </w:rPr>
        <w:t xml:space="preserve"> </w:t>
      </w:r>
      <w:r w:rsidR="001561CE">
        <w:rPr>
          <w:lang w:val="en"/>
        </w:rPr>
        <w:t>T</w:t>
      </w:r>
      <w:r w:rsidR="00181A8E">
        <w:rPr>
          <w:lang w:val="en"/>
        </w:rPr>
        <w:t>hey</w:t>
      </w:r>
      <w:r w:rsidR="008577C0">
        <w:rPr>
          <w:lang w:val="en"/>
        </w:rPr>
        <w:t xml:space="preserve"> did not</w:t>
      </w:r>
      <w:r w:rsidR="001561CE">
        <w:rPr>
          <w:lang w:val="en"/>
        </w:rPr>
        <w:t>, however,</w:t>
      </w:r>
      <w:r w:rsidR="008577C0">
        <w:rPr>
          <w:lang w:val="en"/>
        </w:rPr>
        <w:t xml:space="preserve"> deal with </w:t>
      </w:r>
      <w:r w:rsidR="00166DE9">
        <w:rPr>
          <w:lang w:val="en"/>
        </w:rPr>
        <w:t xml:space="preserve">all </w:t>
      </w:r>
      <w:r w:rsidR="008577C0">
        <w:rPr>
          <w:lang w:val="en"/>
        </w:rPr>
        <w:t>the issue</w:t>
      </w:r>
      <w:r w:rsidR="00166DE9">
        <w:rPr>
          <w:lang w:val="en"/>
        </w:rPr>
        <w:t>s</w:t>
      </w:r>
      <w:r w:rsidR="008577C0">
        <w:rPr>
          <w:lang w:val="en"/>
        </w:rPr>
        <w:t xml:space="preserve"> raised by APPEA relating to </w:t>
      </w:r>
      <w:r w:rsidR="008577C0" w:rsidRPr="00256256">
        <w:rPr>
          <w:lang w:val="en"/>
        </w:rPr>
        <w:t xml:space="preserve">large </w:t>
      </w:r>
      <w:r w:rsidR="008577C0">
        <w:rPr>
          <w:lang w:val="en"/>
        </w:rPr>
        <w:t>multi</w:t>
      </w:r>
      <w:r w:rsidR="005D6F39">
        <w:rPr>
          <w:lang w:val="en"/>
        </w:rPr>
        <w:noBreakHyphen/>
      </w:r>
      <w:r w:rsidR="008577C0">
        <w:rPr>
          <w:lang w:val="en"/>
        </w:rPr>
        <w:t xml:space="preserve">stage </w:t>
      </w:r>
      <w:r w:rsidR="008577C0" w:rsidRPr="00256256">
        <w:rPr>
          <w:lang w:val="en"/>
        </w:rPr>
        <w:t>projects</w:t>
      </w:r>
      <w:r w:rsidR="008577C0">
        <w:rPr>
          <w:lang w:val="en"/>
        </w:rPr>
        <w:t xml:space="preserve"> that have become a feature of Australia</w:t>
      </w:r>
      <w:r w:rsidR="005D6F39">
        <w:rPr>
          <w:lang w:val="en"/>
        </w:rPr>
        <w:t>’</w:t>
      </w:r>
      <w:r w:rsidR="008577C0">
        <w:rPr>
          <w:lang w:val="en"/>
        </w:rPr>
        <w:t>s petroleum industry</w:t>
      </w:r>
      <w:r w:rsidR="008577C0" w:rsidRPr="00256256">
        <w:rPr>
          <w:lang w:val="en"/>
        </w:rPr>
        <w:t>.</w:t>
      </w:r>
    </w:p>
    <w:p w14:paraId="6F31539D" w14:textId="4129C249" w:rsidR="008577C0" w:rsidRDefault="001561CE" w:rsidP="008577C0">
      <w:pPr>
        <w:rPr>
          <w:lang w:val="en"/>
        </w:rPr>
      </w:pPr>
      <w:r>
        <w:rPr>
          <w:lang w:val="en"/>
        </w:rPr>
        <w:t>In principle,</w:t>
      </w:r>
      <w:r w:rsidR="008577C0">
        <w:rPr>
          <w:lang w:val="en"/>
        </w:rPr>
        <w:t xml:space="preserve"> the </w:t>
      </w:r>
      <w:r>
        <w:rPr>
          <w:lang w:val="en"/>
        </w:rPr>
        <w:t>eligible</w:t>
      </w:r>
      <w:r w:rsidR="008577C0">
        <w:rPr>
          <w:lang w:val="en"/>
        </w:rPr>
        <w:t xml:space="preserve"> costs of closing down parts of a multi</w:t>
      </w:r>
      <w:r w:rsidR="005D6F39">
        <w:rPr>
          <w:lang w:val="en"/>
        </w:rPr>
        <w:noBreakHyphen/>
      </w:r>
      <w:r w:rsidR="008577C0">
        <w:rPr>
          <w:lang w:val="en"/>
        </w:rPr>
        <w:t xml:space="preserve">stage project </w:t>
      </w:r>
      <w:r>
        <w:rPr>
          <w:lang w:val="en"/>
        </w:rPr>
        <w:t>should be</w:t>
      </w:r>
      <w:r w:rsidR="008577C0">
        <w:rPr>
          <w:lang w:val="en"/>
        </w:rPr>
        <w:t xml:space="preserve"> deductible </w:t>
      </w:r>
      <w:r w:rsidR="00287291">
        <w:rPr>
          <w:lang w:val="en"/>
        </w:rPr>
        <w:t xml:space="preserve">consistent with the treatment </w:t>
      </w:r>
      <w:r w:rsidR="008577C0">
        <w:rPr>
          <w:lang w:val="en"/>
        </w:rPr>
        <w:t xml:space="preserve">for a single linear project. The partial decommissioning of large </w:t>
      </w:r>
      <w:r w:rsidR="00D76F6F">
        <w:rPr>
          <w:lang w:val="en"/>
        </w:rPr>
        <w:t>multistage projects</w:t>
      </w:r>
      <w:r w:rsidR="008577C0">
        <w:rPr>
          <w:lang w:val="en"/>
        </w:rPr>
        <w:t xml:space="preserve"> is yet to occur in Australia. There is therefore limited practical evidence to demonstrate whether the existing laws adequately allow for </w:t>
      </w:r>
      <w:r w:rsidR="00287291">
        <w:rPr>
          <w:lang w:val="en"/>
        </w:rPr>
        <w:t>the costs of closing down parts of mult</w:t>
      </w:r>
      <w:r w:rsidR="00223826">
        <w:rPr>
          <w:lang w:val="en"/>
        </w:rPr>
        <w:t>i</w:t>
      </w:r>
      <w:r w:rsidR="005D6F39">
        <w:rPr>
          <w:lang w:val="en"/>
        </w:rPr>
        <w:noBreakHyphen/>
      </w:r>
      <w:r w:rsidR="00287291">
        <w:rPr>
          <w:lang w:val="en"/>
        </w:rPr>
        <w:t>stage projects</w:t>
      </w:r>
      <w:r w:rsidR="008577C0">
        <w:rPr>
          <w:lang w:val="en"/>
        </w:rPr>
        <w:t xml:space="preserve">, either through the provisions for general operating deductions or through the provision for closing down expenditure deductions. </w:t>
      </w:r>
      <w:r w:rsidR="00181A8E">
        <w:rPr>
          <w:lang w:val="en"/>
        </w:rPr>
        <w:t>It will be important, however, to keep the law under review to ensure that it is sufficiently flexible to deal with all aspects of partial decommissioning.</w:t>
      </w:r>
    </w:p>
    <w:p w14:paraId="2D13D4A3" w14:textId="42908FA8" w:rsidR="00474A46" w:rsidRDefault="00BC3931" w:rsidP="00474A46">
      <w:pPr>
        <w:pStyle w:val="Heading2"/>
      </w:pPr>
      <w:bookmarkStart w:id="6938" w:name="_Toc477869909"/>
      <w:bookmarkStart w:id="6939" w:name="_Toc477871148"/>
      <w:bookmarkStart w:id="6940" w:name="_Toc477873307"/>
      <w:bookmarkStart w:id="6941" w:name="_Toc477875301"/>
      <w:bookmarkStart w:id="6942" w:name="_Toc477880214"/>
      <w:bookmarkStart w:id="6943" w:name="_Toc477881474"/>
      <w:bookmarkStart w:id="6944" w:name="_Toc477955878"/>
      <w:bookmarkStart w:id="6945" w:name="_Toc477963123"/>
      <w:bookmarkStart w:id="6946" w:name="_Toc477963609"/>
      <w:bookmarkStart w:id="6947" w:name="_Toc477965195"/>
      <w:bookmarkStart w:id="6948" w:name="_Toc477966699"/>
      <w:bookmarkStart w:id="6949" w:name="_Toc477966868"/>
      <w:bookmarkStart w:id="6950" w:name="_Toc477967208"/>
      <w:bookmarkStart w:id="6951" w:name="_Toc478121345"/>
      <w:bookmarkStart w:id="6952" w:name="_Toc478122258"/>
      <w:bookmarkStart w:id="6953" w:name="_Toc478132232"/>
      <w:bookmarkStart w:id="6954" w:name="_Toc478133258"/>
      <w:bookmarkStart w:id="6955" w:name="_Toc478132395"/>
      <w:bookmarkStart w:id="6956" w:name="_Toc478134724"/>
      <w:bookmarkStart w:id="6957" w:name="_Toc478137426"/>
      <w:bookmarkStart w:id="6958" w:name="_Toc478138498"/>
      <w:bookmarkStart w:id="6959" w:name="_Toc478140068"/>
      <w:bookmarkStart w:id="6960" w:name="_Toc478140484"/>
      <w:bookmarkStart w:id="6961" w:name="_Toc478142690"/>
      <w:bookmarkStart w:id="6962" w:name="_Toc478566406"/>
      <w:bookmarkStart w:id="6963" w:name="_Toc478569573"/>
      <w:bookmarkStart w:id="6964" w:name="_Toc478569747"/>
      <w:bookmarkStart w:id="6965" w:name="_Toc478570821"/>
      <w:bookmarkStart w:id="6966" w:name="_Toc478633020"/>
      <w:bookmarkStart w:id="6967" w:name="_Toc478641428"/>
      <w:bookmarkStart w:id="6968" w:name="_Toc478654322"/>
      <w:bookmarkStart w:id="6969" w:name="_Toc478654496"/>
      <w:bookmarkStart w:id="6970" w:name="_Toc478657791"/>
      <w:bookmarkStart w:id="6971" w:name="_Toc478993212"/>
      <w:bookmarkStart w:id="6972" w:name="_Toc479000283"/>
      <w:bookmarkStart w:id="6973" w:name="_Toc479002217"/>
      <w:bookmarkStart w:id="6974" w:name="_Toc479002389"/>
      <w:bookmarkStart w:id="6975" w:name="_Toc479254364"/>
      <w:bookmarkStart w:id="6976" w:name="_Toc479258553"/>
      <w:bookmarkStart w:id="6977" w:name="_Toc479258869"/>
      <w:bookmarkStart w:id="6978" w:name="_Toc479259761"/>
      <w:bookmarkStart w:id="6979" w:name="_Toc479262184"/>
      <w:bookmarkStart w:id="6980" w:name="_Toc479262605"/>
      <w:bookmarkStart w:id="6981" w:name="_Toc479321306"/>
      <w:bookmarkStart w:id="6982" w:name="_Toc479326745"/>
      <w:bookmarkStart w:id="6983" w:name="_Toc479333344"/>
      <w:bookmarkStart w:id="6984" w:name="_Toc479335041"/>
      <w:bookmarkStart w:id="6985" w:name="_Toc479341756"/>
      <w:bookmarkStart w:id="6986" w:name="_Toc479345172"/>
      <w:bookmarkStart w:id="6987" w:name="_Toc479345381"/>
      <w:bookmarkStart w:id="6988" w:name="_Toc479348362"/>
      <w:bookmarkStart w:id="6989" w:name="_Toc479675956"/>
      <w:bookmarkStart w:id="6990" w:name="_Toc479690923"/>
      <w:bookmarkStart w:id="6991" w:name="_Toc479693501"/>
      <w:bookmarkStart w:id="6992" w:name="_Toc479770670"/>
      <w:bookmarkStart w:id="6993" w:name="_Toc476577368"/>
      <w:bookmarkStart w:id="6994" w:name="_Toc476582357"/>
      <w:bookmarkStart w:id="6995" w:name="_Toc476583031"/>
      <w:bookmarkStart w:id="6996" w:name="_Toc476583748"/>
      <w:bookmarkStart w:id="6997" w:name="_Toc476584196"/>
      <w:bookmarkStart w:id="6998" w:name="_Toc476738104"/>
      <w:bookmarkStart w:id="6999" w:name="_Toc476747689"/>
      <w:bookmarkStart w:id="7000" w:name="_Toc476749099"/>
      <w:bookmarkStart w:id="7001" w:name="_Toc476753966"/>
      <w:bookmarkStart w:id="7002" w:name="_Toc476754461"/>
      <w:bookmarkStart w:id="7003" w:name="_Toc476754626"/>
      <w:bookmarkStart w:id="7004" w:name="_Toc476759865"/>
      <w:bookmarkStart w:id="7005" w:name="_Toc476761487"/>
      <w:bookmarkStart w:id="7006" w:name="_Toc476767125"/>
      <w:bookmarkStart w:id="7007" w:name="_Toc476827170"/>
      <w:bookmarkStart w:id="7008" w:name="_Toc476828863"/>
      <w:bookmarkStart w:id="7009" w:name="_Toc476833737"/>
      <w:bookmarkStart w:id="7010" w:name="_Toc476837210"/>
      <w:bookmarkStart w:id="7011" w:name="_Toc476841083"/>
      <w:bookmarkStart w:id="7012" w:name="_Toc476841288"/>
      <w:bookmarkStart w:id="7013" w:name="_Toc476842047"/>
      <w:bookmarkStart w:id="7014" w:name="_Toc476842991"/>
      <w:bookmarkStart w:id="7015" w:name="_Toc476843162"/>
      <w:bookmarkStart w:id="7016" w:name="_Toc476844660"/>
      <w:bookmarkStart w:id="7017" w:name="_Toc476845553"/>
      <w:bookmarkStart w:id="7018" w:name="_Toc476926946"/>
      <w:bookmarkStart w:id="7019" w:name="_Toc476927059"/>
      <w:bookmarkStart w:id="7020" w:name="_Toc476927233"/>
      <w:bookmarkStart w:id="7021" w:name="_Toc476928497"/>
      <w:bookmarkStart w:id="7022" w:name="_Toc476929540"/>
      <w:bookmarkStart w:id="7023" w:name="_Toc476929715"/>
      <w:bookmarkStart w:id="7024" w:name="_Toc476930758"/>
      <w:bookmarkStart w:id="7025" w:name="_Toc476931565"/>
      <w:r>
        <w:t>4.</w:t>
      </w:r>
      <w:r w:rsidR="009B7D3C">
        <w:t>9</w:t>
      </w:r>
      <w:r>
        <w:tab/>
      </w:r>
      <w:r w:rsidR="008120BA">
        <w:t>Gas Transfer Pricing</w:t>
      </w:r>
      <w:bookmarkStart w:id="7026" w:name="_Toc476566681"/>
      <w:bookmarkStart w:id="7027" w:name="_Toc476577369"/>
      <w:bookmarkStart w:id="7028" w:name="_Toc476582358"/>
      <w:bookmarkStart w:id="7029" w:name="_Toc476583032"/>
      <w:bookmarkStart w:id="7030" w:name="_Toc476583749"/>
      <w:bookmarkStart w:id="7031" w:name="_Toc476584197"/>
      <w:bookmarkStart w:id="7032" w:name="_Toc476738105"/>
      <w:bookmarkStart w:id="7033" w:name="_Toc476747690"/>
      <w:bookmarkStart w:id="7034" w:name="_Toc476749100"/>
      <w:bookmarkStart w:id="7035" w:name="_Toc476753967"/>
      <w:bookmarkStart w:id="7036" w:name="_Toc476754462"/>
      <w:bookmarkStart w:id="7037" w:name="_Toc476754627"/>
      <w:bookmarkStart w:id="7038" w:name="_Toc476759866"/>
      <w:bookmarkStart w:id="7039" w:name="_Toc476761488"/>
      <w:bookmarkStart w:id="7040" w:name="_Toc476767126"/>
      <w:bookmarkStart w:id="7041" w:name="_Toc476827172"/>
      <w:bookmarkStart w:id="7042" w:name="_Toc476828865"/>
      <w:bookmarkStart w:id="7043" w:name="_Toc476833739"/>
      <w:bookmarkStart w:id="7044" w:name="_Toc476837212"/>
      <w:bookmarkStart w:id="7045" w:name="_Toc476841085"/>
      <w:bookmarkStart w:id="7046" w:name="_Toc476841290"/>
      <w:bookmarkStart w:id="7047" w:name="_Toc476842049"/>
      <w:bookmarkStart w:id="7048" w:name="_Toc476842993"/>
      <w:bookmarkStart w:id="7049" w:name="_Toc476843164"/>
      <w:bookmarkStart w:id="7050" w:name="_Toc476844662"/>
      <w:bookmarkStart w:id="7051" w:name="_Toc476845555"/>
      <w:bookmarkStart w:id="7052" w:name="_Toc476926948"/>
      <w:bookmarkStart w:id="7053" w:name="_Toc476927061"/>
      <w:bookmarkStart w:id="7054" w:name="_Toc476927235"/>
      <w:bookmarkStart w:id="7055" w:name="_Toc476928499"/>
      <w:bookmarkStart w:id="7056" w:name="_Toc476929542"/>
      <w:bookmarkStart w:id="7057" w:name="_Toc476929717"/>
      <w:bookmarkStart w:id="7058" w:name="_Toc476930760"/>
      <w:bookmarkStart w:id="7059" w:name="_Toc476931567"/>
      <w:bookmarkStart w:id="7060" w:name="_Toc476933786"/>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237B39C5" w14:textId="23FC0D5F" w:rsidR="00996CA4" w:rsidRDefault="00474A46" w:rsidP="00474A46">
      <w:r>
        <w:t xml:space="preserve">The </w:t>
      </w:r>
      <w:r w:rsidR="00BC666C">
        <w:t>GTP</w:t>
      </w:r>
      <w:r>
        <w:t xml:space="preserve"> </w:t>
      </w:r>
      <w:r w:rsidR="004E6120">
        <w:t>r</w:t>
      </w:r>
      <w:r>
        <w:t xml:space="preserve">egulations are detailed and complex. The </w:t>
      </w:r>
      <w:r w:rsidR="009C1143">
        <w:t>role of the</w:t>
      </w:r>
      <w:r>
        <w:t xml:space="preserve"> regulations is to provide a framework for the valuation of gas feedstock </w:t>
      </w:r>
      <w:r w:rsidR="009C1143">
        <w:t>(sales gas)</w:t>
      </w:r>
      <w:r>
        <w:t xml:space="preserve"> for LNG plants at the PRRT taxing point. However, the taxing point</w:t>
      </w:r>
      <w:r w:rsidR="00996CA4">
        <w:t xml:space="preserve"> </w:t>
      </w:r>
      <w:r w:rsidR="00996CA4" w:rsidRPr="00996CA4">
        <w:t>(point of first marketable product)</w:t>
      </w:r>
      <w:r>
        <w:t xml:space="preserve">, the need for a valuation and the </w:t>
      </w:r>
      <w:r w:rsidR="00983782">
        <w:t xml:space="preserve">valuation </w:t>
      </w:r>
      <w:r>
        <w:t xml:space="preserve">methods </w:t>
      </w:r>
      <w:r w:rsidR="008258D7">
        <w:t xml:space="preserve">in the GTP </w:t>
      </w:r>
      <w:r w:rsidR="004E6120">
        <w:t>r</w:t>
      </w:r>
      <w:r w:rsidR="008258D7">
        <w:t>egulations</w:t>
      </w:r>
      <w:r w:rsidR="005D6F39">
        <w:t xml:space="preserve"> — </w:t>
      </w:r>
      <w:r w:rsidR="008258D7">
        <w:t>in particular, the RPM</w:t>
      </w:r>
      <w:r w:rsidR="005D6F39">
        <w:t xml:space="preserve"> — </w:t>
      </w:r>
      <w:r>
        <w:t>are not well understood outside a small group of tax practitioners and industry and tax experts.</w:t>
      </w:r>
    </w:p>
    <w:p w14:paraId="077AC88C" w14:textId="51A92D03" w:rsidR="003F16FE" w:rsidRDefault="00431897" w:rsidP="003F16FE">
      <w:r>
        <w:t>T</w:t>
      </w:r>
      <w:r w:rsidR="003F16FE">
        <w:t xml:space="preserve">he purpose of the RPM is to allocate rents of overall </w:t>
      </w:r>
      <w:r w:rsidR="0037009F">
        <w:t>gas</w:t>
      </w:r>
      <w:r w:rsidR="005D6F39">
        <w:noBreakHyphen/>
      </w:r>
      <w:r w:rsidR="0037009F">
        <w:t>to</w:t>
      </w:r>
      <w:r w:rsidR="005D6F39">
        <w:noBreakHyphen/>
      </w:r>
      <w:r w:rsidR="0037009F">
        <w:t>liquids (</w:t>
      </w:r>
      <w:r w:rsidR="00F2694F">
        <w:t xml:space="preserve">GTL) </w:t>
      </w:r>
      <w:r w:rsidR="0037009F">
        <w:t>(</w:t>
      </w:r>
      <w:r w:rsidR="00F2694F">
        <w:t xml:space="preserve">normally </w:t>
      </w:r>
      <w:r w:rsidR="0037009F">
        <w:t>LNG)</w:t>
      </w:r>
      <w:r w:rsidR="003F16FE">
        <w:t xml:space="preserve"> operations, between the </w:t>
      </w:r>
      <w:r w:rsidR="005D6F39">
        <w:t>‘</w:t>
      </w:r>
      <w:r w:rsidR="003F16FE">
        <w:t>upstream</w:t>
      </w:r>
      <w:r w:rsidR="005D6F39">
        <w:t>’</w:t>
      </w:r>
      <w:r w:rsidR="003F16FE">
        <w:t xml:space="preserve"> component (gas extraction to taxing point) and the </w:t>
      </w:r>
      <w:r w:rsidR="005D6F39">
        <w:t>‘</w:t>
      </w:r>
      <w:r w:rsidR="003F16FE">
        <w:t>downstream</w:t>
      </w:r>
      <w:r w:rsidR="005D6F39">
        <w:t>’</w:t>
      </w:r>
      <w:r w:rsidR="003F16FE">
        <w:t xml:space="preserve"> component (taxing point to LNG production</w:t>
      </w:r>
      <w:r w:rsidR="00392242">
        <w:t xml:space="preserve"> and export</w:t>
      </w:r>
      <w:r w:rsidR="003F16FE">
        <w:t xml:space="preserve">). The operation of RPM may be summarised in very broad terms in three stages. First, a specified return (or capital allowance) on upstream capital </w:t>
      </w:r>
      <w:r w:rsidR="00C25563">
        <w:t>and</w:t>
      </w:r>
      <w:r w:rsidR="003F16FE">
        <w:t xml:space="preserve"> operating costs for the year directly determines </w:t>
      </w:r>
      <w:r w:rsidR="00C25563">
        <w:t xml:space="preserve">the </w:t>
      </w:r>
      <w:r w:rsidR="003F16FE">
        <w:t xml:space="preserve">upstream gas price and thereby the </w:t>
      </w:r>
      <w:r w:rsidR="005D6F39">
        <w:t>‘</w:t>
      </w:r>
      <w:r w:rsidR="003F16FE">
        <w:t>cost</w:t>
      </w:r>
      <w:r w:rsidR="005D6F39">
        <w:noBreakHyphen/>
      </w:r>
      <w:r w:rsidR="003F16FE">
        <w:t>plus</w:t>
      </w:r>
      <w:r w:rsidR="005D6F39">
        <w:t>’</w:t>
      </w:r>
      <w:r w:rsidR="003F16FE">
        <w:t xml:space="preserve"> measure of upstream gross receipts (price times volume). Secondly, the same specified return</w:t>
      </w:r>
      <w:r w:rsidR="003C5689">
        <w:t xml:space="preserve"> (capital allowance)</w:t>
      </w:r>
      <w:r w:rsidR="003F16FE">
        <w:t xml:space="preserve"> applied to downstream capital </w:t>
      </w:r>
      <w:r w:rsidR="00C25563">
        <w:t>and</w:t>
      </w:r>
      <w:r w:rsidR="003F16FE">
        <w:t xml:space="preserve"> operating costs for the year determines downstream gross receipts which are subtracted from known overall gross receipts from LNG sales to give a </w:t>
      </w:r>
      <w:r w:rsidR="005D6F39">
        <w:t>‘</w:t>
      </w:r>
      <w:r w:rsidR="0053117A">
        <w:t>net</w:t>
      </w:r>
      <w:r w:rsidR="003F16FE">
        <w:t>back</w:t>
      </w:r>
      <w:r w:rsidR="005D6F39">
        <w:t>’</w:t>
      </w:r>
      <w:r w:rsidR="003F16FE">
        <w:t xml:space="preserve"> measure of upstream gross receipts. Finally, the RPM measure of upstream gross receipts, subject to PRRT, is the average of the cost</w:t>
      </w:r>
      <w:r w:rsidR="005D6F39">
        <w:noBreakHyphen/>
      </w:r>
      <w:r w:rsidR="003F16FE">
        <w:t xml:space="preserve">plus and </w:t>
      </w:r>
      <w:r w:rsidR="00E2252B">
        <w:t>net</w:t>
      </w:r>
      <w:r w:rsidR="003F16FE">
        <w:t>back measures.</w:t>
      </w:r>
    </w:p>
    <w:p w14:paraId="0C6C683F" w14:textId="3199EEA6" w:rsidR="003F16FE" w:rsidRDefault="003F16FE" w:rsidP="003F16FE">
      <w:r>
        <w:t xml:space="preserve">How the RPM splits the overall </w:t>
      </w:r>
      <w:r w:rsidR="00C25563">
        <w:t xml:space="preserve">profits </w:t>
      </w:r>
      <w:r w:rsidR="0003493A">
        <w:t>from</w:t>
      </w:r>
      <w:r>
        <w:t xml:space="preserve"> </w:t>
      </w:r>
      <w:r w:rsidR="0037009F">
        <w:t>LNG</w:t>
      </w:r>
      <w:r>
        <w:t xml:space="preserve"> </w:t>
      </w:r>
      <w:r w:rsidR="00C25563">
        <w:t>between</w:t>
      </w:r>
      <w:r>
        <w:t xml:space="preserve"> upstream and downstream </w:t>
      </w:r>
      <w:r w:rsidR="0003493A">
        <w:t xml:space="preserve">operations can be </w:t>
      </w:r>
      <w:r>
        <w:t>explained if the specified return on costs in the cost</w:t>
      </w:r>
      <w:r w:rsidR="005D6F39">
        <w:noBreakHyphen/>
      </w:r>
      <w:r>
        <w:t xml:space="preserve">plus and </w:t>
      </w:r>
      <w:r w:rsidR="00E2252B">
        <w:t>net</w:t>
      </w:r>
      <w:r>
        <w:t xml:space="preserve">back measures is taken to match the investment hurdle rate of the investors concerned (see </w:t>
      </w:r>
      <w:r w:rsidRPr="006D28D4">
        <w:t xml:space="preserve">Box 2.1 in </w:t>
      </w:r>
      <w:r w:rsidR="00D56C84" w:rsidRPr="006D28D4">
        <w:t>s</w:t>
      </w:r>
      <w:r w:rsidRPr="006D28D4">
        <w:t>ection 2.1.1</w:t>
      </w:r>
      <w:r>
        <w:t xml:space="preserve">). In these circumstances, the investors perceive no </w:t>
      </w:r>
      <w:r w:rsidR="00C25563">
        <w:t xml:space="preserve">returns </w:t>
      </w:r>
      <w:r>
        <w:t>above</w:t>
      </w:r>
      <w:r w:rsidR="0003493A">
        <w:t xml:space="preserve"> hurdle rate from</w:t>
      </w:r>
      <w:r>
        <w:t xml:space="preserve"> upstream </w:t>
      </w:r>
      <w:r w:rsidR="0003493A">
        <w:t>activities</w:t>
      </w:r>
      <w:r>
        <w:t xml:space="preserve"> from the cost</w:t>
      </w:r>
      <w:r w:rsidR="005D6F39">
        <w:noBreakHyphen/>
      </w:r>
      <w:r>
        <w:t xml:space="preserve">plus measure and no </w:t>
      </w:r>
      <w:r w:rsidR="0003493A">
        <w:t xml:space="preserve">returns </w:t>
      </w:r>
      <w:r>
        <w:t>above</w:t>
      </w:r>
      <w:r w:rsidR="0003493A">
        <w:t xml:space="preserve"> hurdle rate from </w:t>
      </w:r>
      <w:r>
        <w:t xml:space="preserve">normal downstream </w:t>
      </w:r>
      <w:r w:rsidR="0003493A">
        <w:t>activities</w:t>
      </w:r>
      <w:r>
        <w:t xml:space="preserve"> from the </w:t>
      </w:r>
      <w:r w:rsidR="00E2252B">
        <w:t>net</w:t>
      </w:r>
      <w:r>
        <w:t xml:space="preserve">back measure (hurdle rate equals </w:t>
      </w:r>
      <w:r w:rsidR="00816BA3">
        <w:t>specified</w:t>
      </w:r>
      <w:r>
        <w:t xml:space="preserve"> return in both cases).</w:t>
      </w:r>
    </w:p>
    <w:p w14:paraId="035A941C" w14:textId="026C1EC9" w:rsidR="00EF3D3A" w:rsidRDefault="003F16FE" w:rsidP="00E47D8C">
      <w:r>
        <w:t>All above</w:t>
      </w:r>
      <w:r w:rsidR="00E36EAE">
        <w:t xml:space="preserve"> </w:t>
      </w:r>
      <w:r w:rsidR="005D6F39">
        <w:t>‘</w:t>
      </w:r>
      <w:r w:rsidR="00E36EAE">
        <w:t>specified</w:t>
      </w:r>
      <w:r w:rsidR="005D6F39">
        <w:t>’</w:t>
      </w:r>
      <w:r>
        <w:t xml:space="preserve"> returns of the overall </w:t>
      </w:r>
      <w:r w:rsidR="0037009F">
        <w:t>LNG</w:t>
      </w:r>
      <w:r>
        <w:t xml:space="preserve"> are therefore allocated upstream by the </w:t>
      </w:r>
      <w:r w:rsidR="00E2252B">
        <w:t>net</w:t>
      </w:r>
      <w:r>
        <w:t xml:space="preserve">back measure (reflected in overall project gross receipts less </w:t>
      </w:r>
      <w:r w:rsidR="001B5055">
        <w:t xml:space="preserve">downstream </w:t>
      </w:r>
      <w:r>
        <w:t xml:space="preserve">gross receipts </w:t>
      </w:r>
      <w:r w:rsidR="001B5055">
        <w:t>determined</w:t>
      </w:r>
      <w:r>
        <w:t xml:space="preserve"> by this measure). The RPM then splits these returns or rents equally upstream and downstream.</w:t>
      </w:r>
    </w:p>
    <w:p w14:paraId="12F8345C" w14:textId="02B3796D" w:rsidR="00996CA4" w:rsidRDefault="00E2252B" w:rsidP="003F16FE">
      <w:pPr>
        <w:pStyle w:val="Heading3"/>
      </w:pPr>
      <w:bookmarkStart w:id="7061" w:name="_Toc478641429"/>
      <w:bookmarkStart w:id="7062" w:name="_Toc478654323"/>
      <w:bookmarkStart w:id="7063" w:name="_Toc478654497"/>
      <w:bookmarkStart w:id="7064" w:name="_Toc478657792"/>
      <w:bookmarkStart w:id="7065" w:name="_Toc478993213"/>
      <w:bookmarkStart w:id="7066" w:name="_Toc479000284"/>
      <w:bookmarkStart w:id="7067" w:name="_Toc479002218"/>
      <w:bookmarkStart w:id="7068" w:name="_Toc479002390"/>
      <w:bookmarkStart w:id="7069" w:name="_Toc479254365"/>
      <w:bookmarkStart w:id="7070" w:name="_Toc479258554"/>
      <w:bookmarkStart w:id="7071" w:name="_Toc479258870"/>
      <w:bookmarkStart w:id="7072" w:name="_Toc479259762"/>
      <w:bookmarkStart w:id="7073" w:name="_Toc479262185"/>
      <w:bookmarkStart w:id="7074" w:name="_Toc479262606"/>
      <w:bookmarkStart w:id="7075" w:name="_Toc479321307"/>
      <w:bookmarkStart w:id="7076" w:name="_Toc479326746"/>
      <w:bookmarkStart w:id="7077" w:name="_Toc479333345"/>
      <w:bookmarkStart w:id="7078" w:name="_Toc479335042"/>
      <w:bookmarkStart w:id="7079" w:name="_Toc479341757"/>
      <w:bookmarkStart w:id="7080" w:name="_Toc479345173"/>
      <w:bookmarkStart w:id="7081" w:name="_Toc479345382"/>
      <w:bookmarkStart w:id="7082" w:name="_Toc479348363"/>
      <w:bookmarkStart w:id="7083" w:name="_Toc479675957"/>
      <w:bookmarkStart w:id="7084" w:name="_Toc479690924"/>
      <w:bookmarkStart w:id="7085" w:name="_Toc479693502"/>
      <w:bookmarkStart w:id="7086" w:name="_Toc479770671"/>
      <w:r>
        <w:t>4.9.1</w:t>
      </w:r>
      <w:r>
        <w:tab/>
      </w:r>
      <w:r w:rsidR="009D667C">
        <w:t>Issues raised on</w:t>
      </w:r>
      <w:r>
        <w:t xml:space="preserve"> gas transfer pricing</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458DEA84" w14:textId="58110735" w:rsidR="00474A46" w:rsidRDefault="00474A46" w:rsidP="00474A46">
      <w:r>
        <w:t xml:space="preserve">Submissions to the review provided little detailed analysis of the regulations. Industry submissions highlighted </w:t>
      </w:r>
      <w:r w:rsidR="00C66CCE">
        <w:t xml:space="preserve">that </w:t>
      </w:r>
      <w:r w:rsidDel="00C66CCE">
        <w:t xml:space="preserve">the </w:t>
      </w:r>
      <w:r w:rsidR="009C1143">
        <w:t>regulations</w:t>
      </w:r>
      <w:r w:rsidR="00C35158">
        <w:t xml:space="preserve"> </w:t>
      </w:r>
      <w:r>
        <w:t xml:space="preserve">were developed </w:t>
      </w:r>
      <w:r w:rsidR="00C66CCE">
        <w:t xml:space="preserve">in close consultation with industry </w:t>
      </w:r>
      <w:r>
        <w:t xml:space="preserve">and emphasised that they formed an important part of the LNG project planning process </w:t>
      </w:r>
      <w:r w:rsidR="009C1143">
        <w:t xml:space="preserve">because they </w:t>
      </w:r>
      <w:r>
        <w:t>provid</w:t>
      </w:r>
      <w:r w:rsidR="009C1143">
        <w:t>e</w:t>
      </w:r>
      <w:r>
        <w:t xml:space="preserve"> certainty. Industry </w:t>
      </w:r>
      <w:r w:rsidRPr="00853666">
        <w:t xml:space="preserve">argued that the approach in the RPM </w:t>
      </w:r>
      <w:r>
        <w:t>of dividing the</w:t>
      </w:r>
      <w:r w:rsidRPr="00853666">
        <w:t xml:space="preserve"> residual profit</w:t>
      </w:r>
      <w:r>
        <w:t>s</w:t>
      </w:r>
      <w:r w:rsidRPr="00853666">
        <w:t xml:space="preserve"> </w:t>
      </w:r>
      <w:r w:rsidR="003F16FE" w:rsidRPr="003F16FE">
        <w:t>(</w:t>
      </w:r>
      <w:r w:rsidR="00E36EAE">
        <w:t>rent)</w:t>
      </w:r>
      <w:r w:rsidRPr="00853666">
        <w:t xml:space="preserve"> in an integrated LNG </w:t>
      </w:r>
      <w:r w:rsidR="00225B3F">
        <w:t>operation</w:t>
      </w:r>
      <w:r w:rsidRPr="00853666">
        <w:t xml:space="preserve"> equally between the upstream and downstream operations was appropriate because it recognised th</w:t>
      </w:r>
      <w:r>
        <w:t>at the two</w:t>
      </w:r>
      <w:r w:rsidR="00C026C1">
        <w:t> </w:t>
      </w:r>
      <w:r>
        <w:t>parts of the operation were integrated and one could not exist without the other</w:t>
      </w:r>
      <w:r w:rsidRPr="00853666">
        <w:t>.</w:t>
      </w:r>
    </w:p>
    <w:p w14:paraId="2E8E8446" w14:textId="3A0BCC14" w:rsidR="005E5C99" w:rsidRDefault="00474A46" w:rsidP="00474A46">
      <w:r>
        <w:t xml:space="preserve">Submissions that </w:t>
      </w:r>
      <w:r w:rsidR="009C1143">
        <w:t>were critical of the</w:t>
      </w:r>
      <w:r>
        <w:t xml:space="preserve"> regulations did not comment on the development of the regulations, </w:t>
      </w:r>
      <w:r w:rsidR="00790E06">
        <w:t xml:space="preserve">discuss </w:t>
      </w:r>
      <w:r>
        <w:t>the principles behind the</w:t>
      </w:r>
      <w:r w:rsidR="009C1143">
        <w:t>ir</w:t>
      </w:r>
      <w:r>
        <w:t xml:space="preserve"> development or provide any evidence</w:t>
      </w:r>
      <w:r w:rsidR="005D6F39">
        <w:noBreakHyphen/>
      </w:r>
      <w:r>
        <w:t xml:space="preserve">based assessment of whether they were working appropriately. Instead these submissions raised three broad issues in relation to the </w:t>
      </w:r>
      <w:r w:rsidR="00BC666C">
        <w:t>GTP</w:t>
      </w:r>
      <w:r>
        <w:t xml:space="preserve"> regulations. The first </w:t>
      </w:r>
      <w:r w:rsidR="009C1143">
        <w:t xml:space="preserve">issue </w:t>
      </w:r>
      <w:r>
        <w:t>is whether a price for sales gas is required at all</w:t>
      </w:r>
      <w:r w:rsidR="00EA493C">
        <w:t>.</w:t>
      </w:r>
      <w:r>
        <w:t xml:space="preserve"> </w:t>
      </w:r>
      <w:r w:rsidR="00EA493C">
        <w:t>S</w:t>
      </w:r>
      <w:r w:rsidR="009C1143">
        <w:t>ome submissions</w:t>
      </w:r>
      <w:r>
        <w:t xml:space="preserve"> advocate</w:t>
      </w:r>
      <w:r w:rsidR="009C1143">
        <w:t>d</w:t>
      </w:r>
      <w:r>
        <w:t xml:space="preserve"> </w:t>
      </w:r>
      <w:r w:rsidR="0037009F">
        <w:t>moving</w:t>
      </w:r>
      <w:r>
        <w:t xml:space="preserve"> the taxing point to the end of </w:t>
      </w:r>
      <w:r w:rsidR="009C1143">
        <w:t xml:space="preserve">the </w:t>
      </w:r>
      <w:r>
        <w:t>LNG production</w:t>
      </w:r>
      <w:r w:rsidR="009C1143">
        <w:t xml:space="preserve"> process</w:t>
      </w:r>
      <w:r w:rsidR="00DC20E4">
        <w:t xml:space="preserve"> by</w:t>
      </w:r>
      <w:r w:rsidR="00C13BB5">
        <w:t>, for example</w:t>
      </w:r>
      <w:r w:rsidR="009855DD">
        <w:t>,</w:t>
      </w:r>
      <w:r w:rsidR="00C13BB5">
        <w:t xml:space="preserve"> using the free on board price for LNG</w:t>
      </w:r>
      <w:r w:rsidR="0037009F">
        <w:t>:</w:t>
      </w:r>
    </w:p>
    <w:p w14:paraId="7FA9A92D" w14:textId="204E4F0D" w:rsidR="005E5C99" w:rsidRDefault="005E5C99" w:rsidP="005E5C99">
      <w:pPr>
        <w:ind w:left="567" w:right="565"/>
      </w:pPr>
      <w:r w:rsidRPr="00331C8A">
        <w:rPr>
          <w:color w:val="1F497D" w:themeColor="text2"/>
          <w:sz w:val="20"/>
        </w:rPr>
        <w:t>…</w:t>
      </w:r>
      <w:r w:rsidR="00C026C1">
        <w:rPr>
          <w:color w:val="1F497D" w:themeColor="text2"/>
          <w:sz w:val="20"/>
        </w:rPr>
        <w:t xml:space="preserve"> </w:t>
      </w:r>
      <w:r w:rsidRPr="00331C8A">
        <w:rPr>
          <w:color w:val="1F497D" w:themeColor="text2"/>
          <w:sz w:val="20"/>
        </w:rPr>
        <w:t>include LNG as a marketable petroleum commodity (MPC) under the PRRT, which would then apply to the integrated project. This would avoid any splitting of economic rents between the resource extraction and the downstream processing, which can (and does) happen in the calculation of the shadow price of the MPC. This is a first</w:t>
      </w:r>
      <w:r w:rsidR="005D6F39">
        <w:rPr>
          <w:color w:val="1F497D" w:themeColor="text2"/>
          <w:sz w:val="20"/>
        </w:rPr>
        <w:noBreakHyphen/>
      </w:r>
      <w:r w:rsidRPr="00331C8A">
        <w:rPr>
          <w:color w:val="1F497D" w:themeColor="text2"/>
          <w:sz w:val="20"/>
        </w:rPr>
        <w:t xml:space="preserve">best option and captures the full resource rent as the tax base in these cases </w:t>
      </w:r>
      <w:r w:rsidRPr="00382E91">
        <w:rPr>
          <w:color w:val="1F497D" w:themeColor="text2"/>
          <w:sz w:val="20"/>
        </w:rPr>
        <w:t>(Prosper</w:t>
      </w:r>
      <w:r w:rsidR="0037009F">
        <w:rPr>
          <w:color w:val="1F497D" w:themeColor="text2"/>
          <w:sz w:val="20"/>
        </w:rPr>
        <w:t xml:space="preserve"> </w:t>
      </w:r>
      <w:r w:rsidRPr="00382E91">
        <w:rPr>
          <w:color w:val="1F497D" w:themeColor="text2"/>
          <w:sz w:val="20"/>
        </w:rPr>
        <w:t>Australia</w:t>
      </w:r>
      <w:r w:rsidR="004E6120">
        <w:rPr>
          <w:color w:val="1F497D" w:themeColor="text2"/>
          <w:sz w:val="20"/>
        </w:rPr>
        <w:t> </w:t>
      </w:r>
      <w:r w:rsidRPr="00382E91">
        <w:rPr>
          <w:color w:val="1F497D" w:themeColor="text2"/>
          <w:sz w:val="20"/>
        </w:rPr>
        <w:t>Submission, p. 12)</w:t>
      </w:r>
      <w:r w:rsidRPr="00331C8A">
        <w:rPr>
          <w:color w:val="1F497D" w:themeColor="text2"/>
          <w:sz w:val="20"/>
        </w:rPr>
        <w:t>.</w:t>
      </w:r>
    </w:p>
    <w:p w14:paraId="6BFF218B" w14:textId="4B060FA8" w:rsidR="005E5C99" w:rsidRDefault="00474A46" w:rsidP="00474A46">
      <w:r>
        <w:t xml:space="preserve">The second </w:t>
      </w:r>
      <w:r w:rsidR="005E7C86">
        <w:t>issue</w:t>
      </w:r>
      <w:r>
        <w:t xml:space="preserve"> is whether a </w:t>
      </w:r>
      <w:r w:rsidR="005D6F39">
        <w:t>‘</w:t>
      </w:r>
      <w:r>
        <w:t>transfer price</w:t>
      </w:r>
      <w:r w:rsidR="005D6F39">
        <w:t>’</w:t>
      </w:r>
      <w:r>
        <w:t xml:space="preserve"> </w:t>
      </w:r>
      <w:r w:rsidR="00EA493C">
        <w:t xml:space="preserve">(the price of sales gas transferred to the LNG process) </w:t>
      </w:r>
      <w:r>
        <w:t>is the best method for establishing the price for sales gas in an integrated project.</w:t>
      </w:r>
      <w:r w:rsidR="0037009F">
        <w:t xml:space="preserve"> The Tax Justice Network Australia observed:</w:t>
      </w:r>
    </w:p>
    <w:p w14:paraId="4A945E43" w14:textId="70BCCA82" w:rsidR="005E5C99" w:rsidRPr="00331C8A" w:rsidRDefault="005E5C99" w:rsidP="005E5C99">
      <w:pPr>
        <w:ind w:left="567" w:right="565"/>
        <w:rPr>
          <w:color w:val="1F497D" w:themeColor="text2"/>
          <w:sz w:val="20"/>
        </w:rPr>
      </w:pPr>
      <w:r w:rsidRPr="00331C8A">
        <w:rPr>
          <w:color w:val="1F497D" w:themeColor="text2"/>
          <w:sz w:val="20"/>
        </w:rPr>
        <w:t xml:space="preserve">Given that these projects are vertically integrated and taxed at a point when the value is transferred from one related party to another, there are huge potential problems with transfer pricing and undervaluation of the taxable gas. It is very likely that </w:t>
      </w:r>
      <w:r w:rsidRPr="00331C8A">
        <w:rPr>
          <w:b/>
          <w:i/>
          <w:color w:val="1F497D" w:themeColor="text2"/>
          <w:sz w:val="20"/>
        </w:rPr>
        <w:t>the current means of pricing at the wellhead are inadequate and need to be reformed</w:t>
      </w:r>
      <w:r w:rsidRPr="00331C8A">
        <w:rPr>
          <w:color w:val="1F497D" w:themeColor="text2"/>
          <w:sz w:val="20"/>
        </w:rPr>
        <w:t xml:space="preserve">. The gas pricing is a highly technical and complex issue and we encourage the PRRT Review Team to look at this critical issue and explore best practices both in Australia and globally </w:t>
      </w:r>
      <w:r w:rsidRPr="00382E91">
        <w:rPr>
          <w:color w:val="1F497D" w:themeColor="text2"/>
          <w:sz w:val="20"/>
        </w:rPr>
        <w:t>(Tax Justice Network Australia Submission, p. 3</w:t>
      </w:r>
      <w:r w:rsidR="005D6F39">
        <w:rPr>
          <w:color w:val="1F497D" w:themeColor="text2"/>
          <w:sz w:val="20"/>
        </w:rPr>
        <w:noBreakHyphen/>
      </w:r>
      <w:r w:rsidRPr="00382E91">
        <w:rPr>
          <w:color w:val="1F497D" w:themeColor="text2"/>
          <w:sz w:val="20"/>
        </w:rPr>
        <w:t>4)</w:t>
      </w:r>
      <w:r w:rsidRPr="00331C8A">
        <w:rPr>
          <w:color w:val="1F497D" w:themeColor="text2"/>
          <w:sz w:val="20"/>
        </w:rPr>
        <w:t>.</w:t>
      </w:r>
    </w:p>
    <w:p w14:paraId="3114CD4B" w14:textId="3C72C382" w:rsidR="005E5C99" w:rsidRDefault="00474A46" w:rsidP="00474A46">
      <w:r>
        <w:t xml:space="preserve">The third </w:t>
      </w:r>
      <w:r w:rsidR="005E7C86">
        <w:t>issue</w:t>
      </w:r>
      <w:r>
        <w:t xml:space="preserve"> is whether the methodolog</w:t>
      </w:r>
      <w:r w:rsidR="00DC20E4">
        <w:t>y</w:t>
      </w:r>
      <w:r>
        <w:t xml:space="preserve"> used for establishing a transfer price </w:t>
      </w:r>
      <w:r w:rsidR="00DC20E4">
        <w:t>is</w:t>
      </w:r>
      <w:r>
        <w:t xml:space="preserve"> appropriate. </w:t>
      </w:r>
      <w:r w:rsidR="0037009F">
        <w:t>As Dr Diane Kraal noted:</w:t>
      </w:r>
    </w:p>
    <w:p w14:paraId="5BEE846D" w14:textId="102850FC" w:rsidR="005E5C99" w:rsidRPr="005E5C99" w:rsidRDefault="005E5C99" w:rsidP="005E5C99">
      <w:pPr>
        <w:ind w:left="567" w:right="565"/>
        <w:rPr>
          <w:color w:val="1F497D" w:themeColor="text2"/>
          <w:sz w:val="20"/>
        </w:rPr>
      </w:pPr>
      <w:r w:rsidRPr="00331C8A">
        <w:rPr>
          <w:color w:val="1F497D" w:themeColor="text2"/>
          <w:sz w:val="20"/>
        </w:rPr>
        <w:t xml:space="preserve">The Gas Transfer Price method is flawed, as shown by case study modelling. There are alternatives, such as the use of the </w:t>
      </w:r>
      <w:r w:rsidR="005D6F39">
        <w:rPr>
          <w:color w:val="1F497D" w:themeColor="text2"/>
          <w:sz w:val="20"/>
        </w:rPr>
        <w:t>‘</w:t>
      </w:r>
      <w:r w:rsidRPr="00331C8A">
        <w:rPr>
          <w:color w:val="1F497D" w:themeColor="text2"/>
          <w:sz w:val="20"/>
        </w:rPr>
        <w:t>mid</w:t>
      </w:r>
      <w:r w:rsidR="005D6F39">
        <w:rPr>
          <w:color w:val="1F497D" w:themeColor="text2"/>
          <w:sz w:val="20"/>
        </w:rPr>
        <w:noBreakHyphen/>
      </w:r>
      <w:r w:rsidRPr="00331C8A">
        <w:rPr>
          <w:color w:val="1F497D" w:themeColor="text2"/>
          <w:sz w:val="20"/>
        </w:rPr>
        <w:t>stream breakeven price</w:t>
      </w:r>
      <w:r w:rsidR="005D6F39">
        <w:rPr>
          <w:color w:val="1F497D" w:themeColor="text2"/>
          <w:sz w:val="20"/>
        </w:rPr>
        <w:t>’</w:t>
      </w:r>
      <w:r w:rsidRPr="00331C8A">
        <w:rPr>
          <w:color w:val="1F497D" w:themeColor="text2"/>
          <w:sz w:val="20"/>
        </w:rPr>
        <w:t xml:space="preserve"> method, or the </w:t>
      </w:r>
      <w:r w:rsidR="005D6F39">
        <w:rPr>
          <w:color w:val="1F497D" w:themeColor="text2"/>
          <w:sz w:val="20"/>
        </w:rPr>
        <w:t>‘</w:t>
      </w:r>
      <w:r w:rsidRPr="00331C8A">
        <w:rPr>
          <w:color w:val="1F497D" w:themeColor="text2"/>
          <w:sz w:val="20"/>
        </w:rPr>
        <w:t>Net Back</w:t>
      </w:r>
      <w:r w:rsidR="005D6F39">
        <w:rPr>
          <w:color w:val="1F497D" w:themeColor="text2"/>
          <w:sz w:val="20"/>
        </w:rPr>
        <w:t>’</w:t>
      </w:r>
      <w:r w:rsidRPr="00331C8A">
        <w:rPr>
          <w:color w:val="1F497D" w:themeColor="text2"/>
          <w:sz w:val="20"/>
        </w:rPr>
        <w:t xml:space="preserve"> method alone, either of which would derive a fairer price</w:t>
      </w:r>
      <w:r w:rsidRPr="00382E91">
        <w:rPr>
          <w:color w:val="1F497D" w:themeColor="text2"/>
          <w:sz w:val="20"/>
        </w:rPr>
        <w:t xml:space="preserve"> (</w:t>
      </w:r>
      <w:r w:rsidR="00070503">
        <w:rPr>
          <w:color w:val="1F497D" w:themeColor="text2"/>
          <w:sz w:val="20"/>
        </w:rPr>
        <w:t xml:space="preserve">Dr </w:t>
      </w:r>
      <w:r w:rsidRPr="00382E91">
        <w:rPr>
          <w:color w:val="1F497D" w:themeColor="text2"/>
          <w:sz w:val="20"/>
        </w:rPr>
        <w:t>Diane</w:t>
      </w:r>
      <w:r w:rsidR="0037009F">
        <w:rPr>
          <w:color w:val="1F497D" w:themeColor="text2"/>
          <w:sz w:val="20"/>
        </w:rPr>
        <w:t xml:space="preserve"> </w:t>
      </w:r>
      <w:r w:rsidRPr="00382E91">
        <w:rPr>
          <w:color w:val="1F497D" w:themeColor="text2"/>
          <w:sz w:val="20"/>
        </w:rPr>
        <w:t>Kraal</w:t>
      </w:r>
      <w:r w:rsidR="0037009F">
        <w:rPr>
          <w:color w:val="1F497D" w:themeColor="text2"/>
          <w:sz w:val="20"/>
        </w:rPr>
        <w:t xml:space="preserve"> </w:t>
      </w:r>
      <w:r w:rsidRPr="00382E91">
        <w:rPr>
          <w:color w:val="1F497D" w:themeColor="text2"/>
          <w:sz w:val="20"/>
        </w:rPr>
        <w:t>Submission,</w:t>
      </w:r>
      <w:r w:rsidR="004E6120">
        <w:rPr>
          <w:color w:val="1F497D" w:themeColor="text2"/>
          <w:sz w:val="20"/>
        </w:rPr>
        <w:t> </w:t>
      </w:r>
      <w:r w:rsidRPr="00382E91">
        <w:rPr>
          <w:color w:val="1F497D" w:themeColor="text2"/>
          <w:sz w:val="20"/>
        </w:rPr>
        <w:t>p. 2).</w:t>
      </w:r>
    </w:p>
    <w:p w14:paraId="706A9AB9" w14:textId="1032563F" w:rsidR="00474A46" w:rsidRDefault="00474A46" w:rsidP="00474A46">
      <w:r>
        <w:t xml:space="preserve">Submissions also expressed concern about the lack of transparency surrounding the application of the methodology to LNG projects. A submission also </w:t>
      </w:r>
      <w:r w:rsidR="005E7C86">
        <w:t xml:space="preserve">questioned </w:t>
      </w:r>
      <w:r>
        <w:t xml:space="preserve">whether the existing transfer pricing arrangements are suitable for </w:t>
      </w:r>
      <w:r w:rsidR="00EA493C">
        <w:t xml:space="preserve">floating LNG </w:t>
      </w:r>
      <w:r w:rsidR="00A74EC0">
        <w:t xml:space="preserve">(FLNG) </w:t>
      </w:r>
      <w:r w:rsidR="00EA493C">
        <w:t>operations</w:t>
      </w:r>
      <w:r>
        <w:t>. These issues are outlined briefly below</w:t>
      </w:r>
      <w:r w:rsidR="009B6321">
        <w:t>;</w:t>
      </w:r>
      <w:r>
        <w:t xml:space="preserve"> further detailed analysis of the regulations is set out in </w:t>
      </w:r>
      <w:r w:rsidRPr="006D28D4">
        <w:t xml:space="preserve">Appendix </w:t>
      </w:r>
      <w:r w:rsidR="005121B1" w:rsidRPr="006D28D4">
        <w:t xml:space="preserve">B.1.8 and Appendix </w:t>
      </w:r>
      <w:r w:rsidR="00BC666C" w:rsidRPr="006D28D4">
        <w:t>D</w:t>
      </w:r>
      <w:r>
        <w:t>.</w:t>
      </w:r>
    </w:p>
    <w:p w14:paraId="44BEA411" w14:textId="659DADA2" w:rsidR="00474A46" w:rsidRDefault="00474A46" w:rsidP="00474A46">
      <w:r>
        <w:t>The</w:t>
      </w:r>
      <w:r w:rsidR="005E7C86">
        <w:t>re is an</w:t>
      </w:r>
      <w:r>
        <w:t xml:space="preserve"> overall concern in relation to the </w:t>
      </w:r>
      <w:r w:rsidR="00BC666C">
        <w:t>GTP</w:t>
      </w:r>
      <w:r>
        <w:t xml:space="preserve"> regulations </w:t>
      </w:r>
      <w:r w:rsidR="005E7C86">
        <w:t xml:space="preserve">regarding </w:t>
      </w:r>
      <w:r>
        <w:t xml:space="preserve">whether the outcome of the complex </w:t>
      </w:r>
      <w:r w:rsidR="00BC666C">
        <w:t>calculations</w:t>
      </w:r>
      <w:r>
        <w:t xml:space="preserve"> is consistent with their intent and whether they operate in a way that prevents a fair return to the community. These concerns are particularly aimed at the RPM where the underlying concern </w:t>
      </w:r>
      <w:r w:rsidR="005E7C86">
        <w:t>is</w:t>
      </w:r>
      <w:r>
        <w:t xml:space="preserve"> that it can allocate more profits to the company than </w:t>
      </w:r>
      <w:r w:rsidR="005E7C86">
        <w:t xml:space="preserve">to </w:t>
      </w:r>
      <w:r>
        <w:t xml:space="preserve">the community. Given that the PRRT is a </w:t>
      </w:r>
      <w:r w:rsidR="005E7C86">
        <w:t xml:space="preserve">resource </w:t>
      </w:r>
      <w:r>
        <w:t>rent tax</w:t>
      </w:r>
      <w:r w:rsidR="005E7C86">
        <w:t>,</w:t>
      </w:r>
      <w:r>
        <w:t xml:space="preserve"> </w:t>
      </w:r>
      <w:r w:rsidR="00710C19">
        <w:t>the pricing of sales gas</w:t>
      </w:r>
      <w:r>
        <w:t xml:space="preserve"> </w:t>
      </w:r>
      <w:r w:rsidR="00710C19">
        <w:t>under</w:t>
      </w:r>
      <w:r>
        <w:t xml:space="preserve"> the </w:t>
      </w:r>
      <w:r w:rsidR="00BC666C">
        <w:t>GTP</w:t>
      </w:r>
      <w:r>
        <w:t xml:space="preserve"> regulations </w:t>
      </w:r>
      <w:r w:rsidR="00710C19">
        <w:t xml:space="preserve">should result in the PRRT taxing </w:t>
      </w:r>
      <w:r>
        <w:t xml:space="preserve">those </w:t>
      </w:r>
      <w:r w:rsidR="00710C19">
        <w:t xml:space="preserve">resource </w:t>
      </w:r>
      <w:r>
        <w:t xml:space="preserve">rents that are properly attributable to the </w:t>
      </w:r>
      <w:r w:rsidR="00790E06">
        <w:t xml:space="preserve">associated </w:t>
      </w:r>
      <w:r w:rsidR="007B3537">
        <w:t>petroleum</w:t>
      </w:r>
      <w:r w:rsidR="00790E06">
        <w:t xml:space="preserve"> resource</w:t>
      </w:r>
      <w:r>
        <w:t xml:space="preserve">. </w:t>
      </w:r>
      <w:r w:rsidR="00C66CCE">
        <w:t xml:space="preserve">Similarly, </w:t>
      </w:r>
      <w:r>
        <w:t xml:space="preserve">it would be inappropriate for project </w:t>
      </w:r>
      <w:r w:rsidR="007B3537">
        <w:t>profits</w:t>
      </w:r>
      <w:r>
        <w:t xml:space="preserve"> </w:t>
      </w:r>
      <w:r w:rsidR="007B3537">
        <w:t>properly</w:t>
      </w:r>
      <w:r>
        <w:t xml:space="preserve"> attributable to the downstream LNG processing operation to be captured within the PRRT if the intention of the PRRT is only to capture the </w:t>
      </w:r>
      <w:r w:rsidR="005E7C86">
        <w:t xml:space="preserve">resource </w:t>
      </w:r>
      <w:r>
        <w:t>rents associated with initial processing</w:t>
      </w:r>
      <w:r w:rsidR="007B3537">
        <w:t xml:space="preserve"> </w:t>
      </w:r>
      <w:r w:rsidR="009855DD">
        <w:t xml:space="preserve">of sales gas. </w:t>
      </w:r>
      <w:r w:rsidR="00790E06">
        <w:t>The allocation of resource rents associated with integrated LNG projects is, however, an issue of some contention.</w:t>
      </w:r>
    </w:p>
    <w:p w14:paraId="60A8F990" w14:textId="00989C71" w:rsidR="00474A46" w:rsidRDefault="00474A46" w:rsidP="00474A46">
      <w:r>
        <w:t xml:space="preserve">Consultations have resulted in a range of views being expressed about how </w:t>
      </w:r>
      <w:r w:rsidR="005E7C86">
        <w:t xml:space="preserve">resource </w:t>
      </w:r>
      <w:r>
        <w:t xml:space="preserve">rents are generated by an </w:t>
      </w:r>
      <w:r w:rsidR="005E7C86">
        <w:t xml:space="preserve">integrated </w:t>
      </w:r>
      <w:r>
        <w:t>LNG project and what underl</w:t>
      </w:r>
      <w:r w:rsidR="00BC666C">
        <w:t>y</w:t>
      </w:r>
      <w:r>
        <w:t xml:space="preserve">ing assets </w:t>
      </w:r>
      <w:r w:rsidR="005E7C86">
        <w:t xml:space="preserve">generate </w:t>
      </w:r>
      <w:r>
        <w:t xml:space="preserve">those rents. Some assert that all project rents should </w:t>
      </w:r>
      <w:r w:rsidR="005E7C86">
        <w:t>be attributable to the</w:t>
      </w:r>
      <w:r>
        <w:t xml:space="preserve"> resource. Others assert that any rents are attributable to the collective use of a range of assets </w:t>
      </w:r>
      <w:r w:rsidR="005E7C86">
        <w:t>including the non</w:t>
      </w:r>
      <w:r w:rsidR="005D6F39">
        <w:noBreakHyphen/>
      </w:r>
      <w:r w:rsidR="005E7C86">
        <w:t xml:space="preserve">renewable resource, capital </w:t>
      </w:r>
      <w:r>
        <w:t>assets</w:t>
      </w:r>
      <w:r w:rsidR="005E7C86">
        <w:t xml:space="preserve"> and</w:t>
      </w:r>
      <w:r>
        <w:t xml:space="preserve"> intellectual property</w:t>
      </w:r>
      <w:r w:rsidR="005E7C86">
        <w:t>.</w:t>
      </w:r>
    </w:p>
    <w:p w14:paraId="4D7AFDE7" w14:textId="1CD50214" w:rsidR="00474A46" w:rsidRDefault="00474A46" w:rsidP="00474A46">
      <w:pPr>
        <w:pStyle w:val="Heading3"/>
      </w:pPr>
      <w:bookmarkStart w:id="7087" w:name="_Toc477869911"/>
      <w:bookmarkStart w:id="7088" w:name="_Toc477871150"/>
      <w:bookmarkStart w:id="7089" w:name="_Toc477873309"/>
      <w:bookmarkStart w:id="7090" w:name="_Toc477875303"/>
      <w:bookmarkStart w:id="7091" w:name="_Toc477880216"/>
      <w:bookmarkStart w:id="7092" w:name="_Toc477881476"/>
      <w:bookmarkStart w:id="7093" w:name="_Toc477955880"/>
      <w:bookmarkStart w:id="7094" w:name="_Toc477963125"/>
      <w:bookmarkStart w:id="7095" w:name="_Toc477963611"/>
      <w:bookmarkStart w:id="7096" w:name="_Toc477965197"/>
      <w:bookmarkStart w:id="7097" w:name="_Toc477966701"/>
      <w:bookmarkStart w:id="7098" w:name="_Toc477966870"/>
      <w:bookmarkStart w:id="7099" w:name="_Toc477967210"/>
      <w:bookmarkStart w:id="7100" w:name="_Toc478121347"/>
      <w:bookmarkStart w:id="7101" w:name="_Toc478122260"/>
      <w:bookmarkStart w:id="7102" w:name="_Toc478132234"/>
      <w:bookmarkStart w:id="7103" w:name="_Toc478133260"/>
      <w:bookmarkStart w:id="7104" w:name="_Toc478132397"/>
      <w:bookmarkStart w:id="7105" w:name="_Toc478134726"/>
      <w:bookmarkStart w:id="7106" w:name="_Toc478137428"/>
      <w:bookmarkStart w:id="7107" w:name="_Toc478138500"/>
      <w:bookmarkStart w:id="7108" w:name="_Toc478140070"/>
      <w:bookmarkStart w:id="7109" w:name="_Toc478140486"/>
      <w:bookmarkStart w:id="7110" w:name="_Toc478142692"/>
      <w:bookmarkStart w:id="7111" w:name="_Toc478566408"/>
      <w:bookmarkStart w:id="7112" w:name="_Toc478569575"/>
      <w:bookmarkStart w:id="7113" w:name="_Toc478569749"/>
      <w:bookmarkStart w:id="7114" w:name="_Toc478570823"/>
      <w:bookmarkStart w:id="7115" w:name="_Toc478633022"/>
      <w:bookmarkStart w:id="7116" w:name="_Toc478641430"/>
      <w:bookmarkStart w:id="7117" w:name="_Toc478654324"/>
      <w:bookmarkStart w:id="7118" w:name="_Toc478654498"/>
      <w:bookmarkStart w:id="7119" w:name="_Toc478657793"/>
      <w:bookmarkStart w:id="7120" w:name="_Toc478993214"/>
      <w:bookmarkStart w:id="7121" w:name="_Toc479000285"/>
      <w:bookmarkStart w:id="7122" w:name="_Toc479002219"/>
      <w:bookmarkStart w:id="7123" w:name="_Toc479002391"/>
      <w:bookmarkStart w:id="7124" w:name="_Toc479254366"/>
      <w:bookmarkStart w:id="7125" w:name="_Toc479258555"/>
      <w:bookmarkStart w:id="7126" w:name="_Toc479258871"/>
      <w:bookmarkStart w:id="7127" w:name="_Toc479259763"/>
      <w:bookmarkStart w:id="7128" w:name="_Toc479262186"/>
      <w:bookmarkStart w:id="7129" w:name="_Toc479262607"/>
      <w:bookmarkStart w:id="7130" w:name="_Toc479321308"/>
      <w:bookmarkStart w:id="7131" w:name="_Toc479326747"/>
      <w:bookmarkStart w:id="7132" w:name="_Toc479333346"/>
      <w:bookmarkStart w:id="7133" w:name="_Toc479335043"/>
      <w:bookmarkStart w:id="7134" w:name="_Toc479341758"/>
      <w:bookmarkStart w:id="7135" w:name="_Toc479345174"/>
      <w:bookmarkStart w:id="7136" w:name="_Toc479345383"/>
      <w:bookmarkStart w:id="7137" w:name="_Toc479348364"/>
      <w:bookmarkStart w:id="7138" w:name="_Toc479675958"/>
      <w:bookmarkStart w:id="7139" w:name="_Toc479690925"/>
      <w:bookmarkStart w:id="7140" w:name="_Toc479693503"/>
      <w:bookmarkStart w:id="7141" w:name="_Toc479770672"/>
      <w:r>
        <w:t>4.9.</w:t>
      </w:r>
      <w:r w:rsidR="00A43C96">
        <w:t>2</w:t>
      </w:r>
      <w:r w:rsidR="00A43C96">
        <w:tab/>
      </w:r>
      <w:r>
        <w:t xml:space="preserve">Preferred </w:t>
      </w:r>
      <w:r w:rsidR="00E2252B">
        <w:t>a</w:t>
      </w:r>
      <w:r w:rsidR="00175B49">
        <w:t>pproach</w:t>
      </w:r>
      <w:r>
        <w:t xml:space="preserve"> to </w:t>
      </w:r>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r w:rsidR="00E2252B">
        <w:t>arm</w:t>
      </w:r>
      <w:r w:rsidR="005D6F39">
        <w:t>’</w:t>
      </w:r>
      <w:r w:rsidR="00E2252B">
        <w:t>s</w:t>
      </w:r>
      <w:r w:rsidR="00A433F3">
        <w:t xml:space="preserve"> </w:t>
      </w:r>
      <w:r w:rsidR="00E2252B">
        <w:t>l</w:t>
      </w:r>
      <w:r>
        <w:t xml:space="preserve">ength </w:t>
      </w:r>
      <w:r w:rsidR="00E2252B">
        <w:t>p</w:t>
      </w:r>
      <w:r>
        <w:t>ricing</w:t>
      </w:r>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14:paraId="7ABBE13A" w14:textId="29FB6FF0" w:rsidR="00C5005F" w:rsidRDefault="00474A46" w:rsidP="00474A46">
      <w:r>
        <w:t xml:space="preserve">The </w:t>
      </w:r>
      <w:r w:rsidR="00BC666C">
        <w:t>GTP</w:t>
      </w:r>
      <w:r>
        <w:t xml:space="preserve"> regulations provide that the arm</w:t>
      </w:r>
      <w:r w:rsidR="005D6F39">
        <w:t>’</w:t>
      </w:r>
      <w:r>
        <w:t xml:space="preserve">s length price of the sales gas in an </w:t>
      </w:r>
      <w:r w:rsidR="00C35158">
        <w:t>LNG project</w:t>
      </w:r>
      <w:r>
        <w:t xml:space="preserve"> can be worked out in three ways</w:t>
      </w:r>
      <w:r w:rsidR="00A433F3">
        <w:t xml:space="preserve">: </w:t>
      </w:r>
      <w:r w:rsidR="003B55D1">
        <w:t xml:space="preserve">a </w:t>
      </w:r>
      <w:r w:rsidR="00A517E6">
        <w:t>comparable uncontrolled price</w:t>
      </w:r>
      <w:r w:rsidR="00A433F3">
        <w:t xml:space="preserve"> (CUP), </w:t>
      </w:r>
      <w:r w:rsidR="00A517E6">
        <w:t>advanced p</w:t>
      </w:r>
      <w:r w:rsidR="00A433F3">
        <w:t xml:space="preserve">ricing </w:t>
      </w:r>
      <w:r w:rsidR="00A517E6">
        <w:t>a</w:t>
      </w:r>
      <w:r w:rsidR="003B55D1">
        <w:t xml:space="preserve">rrangement </w:t>
      </w:r>
      <w:r w:rsidR="00A433F3">
        <w:t xml:space="preserve">(APA) and </w:t>
      </w:r>
      <w:r w:rsidR="00A517E6">
        <w:t>r</w:t>
      </w:r>
      <w:r w:rsidR="003B55D1">
        <w:t>esid</w:t>
      </w:r>
      <w:r w:rsidR="00A517E6">
        <w:t>ual pricing method</w:t>
      </w:r>
      <w:r w:rsidR="003B55D1">
        <w:t xml:space="preserve"> (RPM)</w:t>
      </w:r>
      <w:r>
        <w:t xml:space="preserve">. </w:t>
      </w:r>
      <w:r w:rsidR="00C5005F">
        <w:t xml:space="preserve">A description of the different options available is in </w:t>
      </w:r>
      <w:r w:rsidR="00C5005F" w:rsidRPr="006D28D4">
        <w:t>Appendix B.1.8</w:t>
      </w:r>
      <w:r w:rsidR="006B390E">
        <w:t>.</w:t>
      </w:r>
    </w:p>
    <w:p w14:paraId="4183F361" w14:textId="1DE5EF00" w:rsidR="00FB3FC6" w:rsidRPr="00331C8A" w:rsidRDefault="00FB3FC6" w:rsidP="00FB3FC6">
      <w:r>
        <w:t>It</w:t>
      </w:r>
      <w:r w:rsidRPr="00331C8A">
        <w:t xml:space="preserve"> was always intended that if a CUP could be established then that would be preferable to using the RPM. The following is from the explanatory materials for the 2001 amendments introducing the arm</w:t>
      </w:r>
      <w:r w:rsidR="005D6F39">
        <w:t>’</w:t>
      </w:r>
      <w:r w:rsidRPr="00331C8A">
        <w:t>s length test:</w:t>
      </w:r>
    </w:p>
    <w:p w14:paraId="21A2E1BD" w14:textId="6007286F" w:rsidR="00175B49" w:rsidRDefault="00FB3FC6" w:rsidP="00FB3FC6">
      <w:pPr>
        <w:ind w:left="567" w:right="565"/>
        <w:rPr>
          <w:color w:val="1F497D" w:themeColor="text2"/>
          <w:sz w:val="20"/>
        </w:rPr>
      </w:pPr>
      <w:r w:rsidRPr="00331C8A">
        <w:rPr>
          <w:color w:val="1F497D" w:themeColor="text2"/>
          <w:sz w:val="20"/>
        </w:rPr>
        <w:t>The preferred option for implementing the policy objective is to include a methodology to determine a GTP. The shadow pricing methodology can only be used where there is an observable comparable arm</w:t>
      </w:r>
      <w:r w:rsidR="005D6F39">
        <w:rPr>
          <w:color w:val="1F497D" w:themeColor="text2"/>
          <w:sz w:val="20"/>
        </w:rPr>
        <w:t>’</w:t>
      </w:r>
      <w:r w:rsidRPr="00331C8A">
        <w:rPr>
          <w:color w:val="1F497D" w:themeColor="text2"/>
          <w:sz w:val="20"/>
        </w:rPr>
        <w:t>s length price. It is not expected that the shadow pricing method could be reliably applied in the foreseeable future</w:t>
      </w:r>
      <w:r w:rsidR="00175B49">
        <w:rPr>
          <w:color w:val="1F497D" w:themeColor="text2"/>
          <w:sz w:val="20"/>
        </w:rPr>
        <w:t xml:space="preserve"> (Explanatory Memorandum, </w:t>
      </w:r>
      <w:r w:rsidR="00175B49" w:rsidRPr="00175B49">
        <w:rPr>
          <w:i/>
          <w:color w:val="1F497D" w:themeColor="text2"/>
          <w:sz w:val="20"/>
        </w:rPr>
        <w:t>Tax Laws Amendment Bill No. 6</w:t>
      </w:r>
      <w:r w:rsidR="00175B49">
        <w:rPr>
          <w:color w:val="1F497D" w:themeColor="text2"/>
          <w:sz w:val="20"/>
        </w:rPr>
        <w:t xml:space="preserve"> </w:t>
      </w:r>
      <w:r w:rsidR="002700E0">
        <w:rPr>
          <w:color w:val="1F497D" w:themeColor="text2"/>
          <w:sz w:val="20"/>
        </w:rPr>
        <w:t>2001</w:t>
      </w:r>
      <w:r w:rsidR="00175B49">
        <w:rPr>
          <w:color w:val="1F497D" w:themeColor="text2"/>
          <w:sz w:val="20"/>
        </w:rPr>
        <w:t xml:space="preserve"> (Cth), p. 20).</w:t>
      </w:r>
    </w:p>
    <w:p w14:paraId="6A4F5C76" w14:textId="318C0BF1" w:rsidR="00474A46" w:rsidRDefault="00474A46" w:rsidP="00474A46">
      <w:r>
        <w:t>The RPM was inten</w:t>
      </w:r>
      <w:r w:rsidR="005D3500">
        <w:t>ded to be a default methodology. H</w:t>
      </w:r>
      <w:r>
        <w:t>owever</w:t>
      </w:r>
      <w:r w:rsidR="005D3500">
        <w:t>,</w:t>
      </w:r>
      <w:r>
        <w:t xml:space="preserve"> onshore projects are able to elect the RPM to take precedence over a CUP. This outcome is not consistent with the original intent of using a CUP where available</w:t>
      </w:r>
      <w:r w:rsidR="001F78AC">
        <w:t>,</w:t>
      </w:r>
      <w:r>
        <w:t xml:space="preserve"> and appears to be have been done to ensure that the </w:t>
      </w:r>
      <w:r w:rsidR="00C357C4">
        <w:t>E</w:t>
      </w:r>
      <w:r>
        <w:t xml:space="preserve">ast </w:t>
      </w:r>
      <w:r w:rsidR="00C357C4">
        <w:t>C</w:t>
      </w:r>
      <w:r>
        <w:t>oast onshore LNG projects would be able to accurately plan for their entry into the PRRT using the RPM</w:t>
      </w:r>
      <w:r w:rsidR="001F78AC">
        <w:t>,</w:t>
      </w:r>
      <w:r>
        <w:t xml:space="preserve"> rather than be subject </w:t>
      </w:r>
      <w:r w:rsidR="009855DD" w:rsidRPr="009855DD">
        <w:t>to a potentially variable</w:t>
      </w:r>
      <w:r>
        <w:t xml:space="preserve"> CUP</w:t>
      </w:r>
      <w:r w:rsidR="009855DD" w:rsidRPr="009855DD">
        <w:t xml:space="preserve"> that was then not identifiable.</w:t>
      </w:r>
      <w:r>
        <w:t xml:space="preserve"> </w:t>
      </w:r>
      <w:r w:rsidR="00C66CCE">
        <w:t>Currently</w:t>
      </w:r>
      <w:r>
        <w:t>, there is a clearer</w:t>
      </w:r>
      <w:r w:rsidDel="00C66CCE">
        <w:t xml:space="preserve"> </w:t>
      </w:r>
      <w:r>
        <w:t xml:space="preserve">link between the price of gas in the domestic market and the price of sales gas being used for export on the </w:t>
      </w:r>
      <w:r w:rsidR="00C357C4">
        <w:t>E</w:t>
      </w:r>
      <w:r>
        <w:t xml:space="preserve">ast </w:t>
      </w:r>
      <w:r w:rsidR="00C357C4">
        <w:t>C</w:t>
      </w:r>
      <w:r>
        <w:t xml:space="preserve">oast. If a CUP can be established for operations in the </w:t>
      </w:r>
      <w:r w:rsidR="00C357C4">
        <w:t>E</w:t>
      </w:r>
      <w:r>
        <w:t xml:space="preserve">ast </w:t>
      </w:r>
      <w:r w:rsidR="00C357C4">
        <w:t>C</w:t>
      </w:r>
      <w:r>
        <w:t>oast gas market then it would be preferable to move to the use of the CUP rather than using the RPM.</w:t>
      </w:r>
    </w:p>
    <w:p w14:paraId="019AFBC2" w14:textId="5FCF9D75" w:rsidR="00474A46" w:rsidRDefault="00474A46" w:rsidP="00474A46">
      <w:r>
        <w:t xml:space="preserve">The </w:t>
      </w:r>
      <w:r w:rsidR="00F84129">
        <w:t xml:space="preserve">LNG </w:t>
      </w:r>
      <w:r>
        <w:t xml:space="preserve">operations in </w:t>
      </w:r>
      <w:r w:rsidR="003E69D7">
        <w:t>North West</w:t>
      </w:r>
      <w:r>
        <w:t xml:space="preserve"> Australia present a different challenge to establish</w:t>
      </w:r>
      <w:r w:rsidR="00F52996">
        <w:t>ing</w:t>
      </w:r>
      <w:r>
        <w:t xml:space="preserve"> a CUP. Some of the operations do not sell gas to the domestic market</w:t>
      </w:r>
      <w:r w:rsidR="001F78AC">
        <w:t>,</w:t>
      </w:r>
      <w:r w:rsidR="009855DD">
        <w:t xml:space="preserve"> meaning the price of sales gas is not observable.</w:t>
      </w:r>
      <w:r w:rsidR="009457BF">
        <w:t xml:space="preserve"> </w:t>
      </w:r>
      <w:r w:rsidR="009855DD">
        <w:t>Where sales gas is sold it is sold</w:t>
      </w:r>
      <w:r w:rsidR="00F52996">
        <w:t xml:space="preserve"> </w:t>
      </w:r>
      <w:r>
        <w:t xml:space="preserve">under </w:t>
      </w:r>
      <w:r w:rsidR="00BE2374">
        <w:t>WA</w:t>
      </w:r>
      <w:r w:rsidR="005D6F39">
        <w:t>’</w:t>
      </w:r>
      <w:r w:rsidR="00BE2374">
        <w:t>s</w:t>
      </w:r>
      <w:r w:rsidRPr="000B3504">
        <w:t xml:space="preserve"> </w:t>
      </w:r>
      <w:r w:rsidR="00BC666C" w:rsidRPr="000B3504">
        <w:t>domestic</w:t>
      </w:r>
      <w:r w:rsidRPr="000B3504">
        <w:t xml:space="preserve"> gas reservation policy</w:t>
      </w:r>
      <w:r w:rsidR="001F78AC">
        <w:t>,</w:t>
      </w:r>
      <w:r w:rsidR="009457BF">
        <w:t xml:space="preserve"> resulting in a price for the sales gas that is not comparable</w:t>
      </w:r>
      <w:r>
        <w:t xml:space="preserve">. These differences mean that there are no observable </w:t>
      </w:r>
      <w:r w:rsidR="009457BF">
        <w:t xml:space="preserve">or comparable </w:t>
      </w:r>
      <w:r>
        <w:t>market based transactions available to establish a price for sales gas. Despite this</w:t>
      </w:r>
      <w:r w:rsidR="00F52996">
        <w:t>,</w:t>
      </w:r>
      <w:r>
        <w:t xml:space="preserve"> it would be appropriate to continue to pursue the option of establishing a shadow price or CUP across the LNG projects and align the approach to establishing a CUP to the latest OECD recommendations and approaches on transfer pricing. The market conditions and project structures </w:t>
      </w:r>
      <w:r w:rsidR="009457BF">
        <w:t xml:space="preserve">could </w:t>
      </w:r>
      <w:r>
        <w:t>be regularly reviewed to determine whether it is appropriate to establish a</w:t>
      </w:r>
      <w:r w:rsidR="00D61C03">
        <w:t>n industry wide</w:t>
      </w:r>
      <w:r>
        <w:t xml:space="preserve"> </w:t>
      </w:r>
      <w:r w:rsidR="00D61C03">
        <w:t xml:space="preserve">CUP </w:t>
      </w:r>
      <w:r>
        <w:t xml:space="preserve">that would take the place of the RPM as the main </w:t>
      </w:r>
      <w:r w:rsidR="00BC666C">
        <w:t>GTP</w:t>
      </w:r>
      <w:r>
        <w:t xml:space="preserve"> methodology for LNG projects.</w:t>
      </w:r>
    </w:p>
    <w:p w14:paraId="31B8E046" w14:textId="5A509785" w:rsidR="00474A46" w:rsidRDefault="00474A46" w:rsidP="00474A46">
      <w:pPr>
        <w:pStyle w:val="Heading3"/>
      </w:pPr>
      <w:bookmarkStart w:id="7142" w:name="_Toc477869912"/>
      <w:bookmarkStart w:id="7143" w:name="_Toc477871151"/>
      <w:bookmarkStart w:id="7144" w:name="_Toc477873310"/>
      <w:bookmarkStart w:id="7145" w:name="_Toc477875304"/>
      <w:bookmarkStart w:id="7146" w:name="_Toc477880217"/>
      <w:bookmarkStart w:id="7147" w:name="_Toc477881477"/>
      <w:bookmarkStart w:id="7148" w:name="_Toc477955881"/>
      <w:bookmarkStart w:id="7149" w:name="_Toc477963126"/>
      <w:bookmarkStart w:id="7150" w:name="_Toc477963612"/>
      <w:bookmarkStart w:id="7151" w:name="_Toc477965198"/>
      <w:bookmarkStart w:id="7152" w:name="_Toc477966702"/>
      <w:bookmarkStart w:id="7153" w:name="_Toc477966871"/>
      <w:bookmarkStart w:id="7154" w:name="_Toc477967211"/>
      <w:bookmarkStart w:id="7155" w:name="_Toc478121348"/>
      <w:bookmarkStart w:id="7156" w:name="_Toc478122261"/>
      <w:bookmarkStart w:id="7157" w:name="_Toc478132235"/>
      <w:bookmarkStart w:id="7158" w:name="_Toc478133261"/>
      <w:bookmarkStart w:id="7159" w:name="_Toc478132398"/>
      <w:bookmarkStart w:id="7160" w:name="_Toc478134727"/>
      <w:bookmarkStart w:id="7161" w:name="_Toc478137429"/>
      <w:bookmarkStart w:id="7162" w:name="_Toc478138501"/>
      <w:bookmarkStart w:id="7163" w:name="_Toc478140071"/>
      <w:bookmarkStart w:id="7164" w:name="_Toc478140487"/>
      <w:bookmarkStart w:id="7165" w:name="_Toc478142693"/>
      <w:bookmarkStart w:id="7166" w:name="_Toc478566409"/>
      <w:bookmarkStart w:id="7167" w:name="_Toc478569576"/>
      <w:bookmarkStart w:id="7168" w:name="_Toc478569750"/>
      <w:bookmarkStart w:id="7169" w:name="_Toc478570824"/>
      <w:bookmarkStart w:id="7170" w:name="_Toc478633023"/>
      <w:bookmarkStart w:id="7171" w:name="_Toc478641431"/>
      <w:bookmarkStart w:id="7172" w:name="_Toc478654325"/>
      <w:bookmarkStart w:id="7173" w:name="_Toc478654499"/>
      <w:bookmarkStart w:id="7174" w:name="_Toc478657794"/>
      <w:bookmarkStart w:id="7175" w:name="_Toc478993215"/>
      <w:bookmarkStart w:id="7176" w:name="_Toc479000286"/>
      <w:bookmarkStart w:id="7177" w:name="_Toc479002220"/>
      <w:bookmarkStart w:id="7178" w:name="_Toc479002392"/>
      <w:bookmarkStart w:id="7179" w:name="_Toc479254367"/>
      <w:bookmarkStart w:id="7180" w:name="_Toc479258556"/>
      <w:bookmarkStart w:id="7181" w:name="_Toc479258872"/>
      <w:bookmarkStart w:id="7182" w:name="_Toc479259764"/>
      <w:bookmarkStart w:id="7183" w:name="_Toc479262187"/>
      <w:bookmarkStart w:id="7184" w:name="_Toc479262608"/>
      <w:bookmarkStart w:id="7185" w:name="_Toc479321309"/>
      <w:bookmarkStart w:id="7186" w:name="_Toc479326748"/>
      <w:bookmarkStart w:id="7187" w:name="_Toc479333347"/>
      <w:bookmarkStart w:id="7188" w:name="_Toc479335044"/>
      <w:bookmarkStart w:id="7189" w:name="_Toc479341759"/>
      <w:bookmarkStart w:id="7190" w:name="_Toc479345175"/>
      <w:bookmarkStart w:id="7191" w:name="_Toc479345384"/>
      <w:bookmarkStart w:id="7192" w:name="_Toc479348365"/>
      <w:bookmarkStart w:id="7193" w:name="_Toc479675959"/>
      <w:bookmarkStart w:id="7194" w:name="_Toc479690926"/>
      <w:bookmarkStart w:id="7195" w:name="_Toc479693504"/>
      <w:bookmarkStart w:id="7196" w:name="_Toc479770673"/>
      <w:r>
        <w:t>4.9.3</w:t>
      </w:r>
      <w:r w:rsidR="00A43C96">
        <w:tab/>
      </w:r>
      <w:r>
        <w:t>Effect of the RPM</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1C80AA03" w14:textId="1CF3D120" w:rsidR="00474A46" w:rsidRDefault="00474A46" w:rsidP="00474A46">
      <w:r>
        <w:t>The RPM operates on a whole</w:t>
      </w:r>
      <w:r w:rsidR="005D6F39">
        <w:noBreakHyphen/>
      </w:r>
      <w:r>
        <w:t>of</w:t>
      </w:r>
      <w:r w:rsidR="005D6F39">
        <w:noBreakHyphen/>
      </w:r>
      <w:r w:rsidR="009457BF">
        <w:t>LNG</w:t>
      </w:r>
      <w:r w:rsidR="005D6F39">
        <w:noBreakHyphen/>
      </w:r>
      <w:r>
        <w:t xml:space="preserve">project basis. It attempts to allocate the rents of the project to the upstream and the downstream components of the process. </w:t>
      </w:r>
      <w:r w:rsidR="009457BF" w:rsidRPr="009457BF">
        <w:t>The project</w:t>
      </w:r>
      <w:r w:rsidR="005D6F39">
        <w:t>’</w:t>
      </w:r>
      <w:r w:rsidR="009457BF" w:rsidRPr="009457BF">
        <w:t>s overall rent or residual profit is split equally between the upstream and the downstream components of the project.</w:t>
      </w:r>
    </w:p>
    <w:p w14:paraId="39748F5E" w14:textId="6F56D7B1" w:rsidR="009457BF" w:rsidRDefault="009457BF" w:rsidP="00474A46">
      <w:r w:rsidRPr="009457BF">
        <w:t xml:space="preserve">The equal division of rents between the upstream and downstream parts of the operation has a direct effect on the </w:t>
      </w:r>
      <w:r w:rsidR="001F78AC">
        <w:t xml:space="preserve">amount of </w:t>
      </w:r>
      <w:r w:rsidRPr="009457BF">
        <w:t>PRRT payable by the project. Under a resource rent tax, the government</w:t>
      </w:r>
      <w:r w:rsidR="005D6F39">
        <w:t>’</w:t>
      </w:r>
      <w:r w:rsidRPr="009457BF">
        <w:t xml:space="preserve">s </w:t>
      </w:r>
      <w:r w:rsidR="001F78AC">
        <w:t>(</w:t>
      </w:r>
      <w:r w:rsidRPr="009457BF">
        <w:t>or the community</w:t>
      </w:r>
      <w:r w:rsidR="005D6F39">
        <w:t>’</w:t>
      </w:r>
      <w:r w:rsidRPr="009457BF">
        <w:t>s</w:t>
      </w:r>
      <w:r w:rsidR="001F78AC">
        <w:t>)</w:t>
      </w:r>
      <w:r w:rsidRPr="009457BF">
        <w:t xml:space="preserve"> return from the project is determined by the tax rate. Thus, for integrated </w:t>
      </w:r>
      <w:r w:rsidR="00BE2374">
        <w:t>LNG</w:t>
      </w:r>
      <w:r w:rsidRPr="009457BF">
        <w:t xml:space="preserve"> projects, the community</w:t>
      </w:r>
      <w:r w:rsidR="005D6F39">
        <w:t>’</w:t>
      </w:r>
      <w:r w:rsidRPr="009457BF">
        <w:t>s return under the PRRT is 40 per cent of half the overall project rents allocated upstream by the RPM, or 20 per cent of the total project rents. This outcome is driven by decisions made in relation to the PRRT tax rate, the use of RPM and the 50:50 division of the  a project</w:t>
      </w:r>
      <w:r w:rsidR="005D6F39">
        <w:t>’</w:t>
      </w:r>
      <w:r w:rsidRPr="009457BF">
        <w:t xml:space="preserve">s overall  </w:t>
      </w:r>
      <w:r w:rsidR="00884711">
        <w:t>rents</w:t>
      </w:r>
      <w:r w:rsidRPr="009457BF">
        <w:t xml:space="preserve"> using that method.</w:t>
      </w:r>
    </w:p>
    <w:p w14:paraId="7253A24A" w14:textId="240ED0FF" w:rsidR="00440D3C" w:rsidRDefault="004D0C77" w:rsidP="00440D3C">
      <w:r w:rsidRPr="00884711">
        <w:t xml:space="preserve">As noted, one of the options raised in the submissions was to use the </w:t>
      </w:r>
      <w:r w:rsidR="003B55D1">
        <w:t>net</w:t>
      </w:r>
      <w:r w:rsidRPr="00884711">
        <w:t xml:space="preserve">back method alone to determine the taxing point. </w:t>
      </w:r>
      <w:r w:rsidR="00440D3C" w:rsidRPr="006D28D4">
        <w:t xml:space="preserve">Figure </w:t>
      </w:r>
      <w:r w:rsidR="00B457EC" w:rsidRPr="006D28D4">
        <w:t>4.8</w:t>
      </w:r>
      <w:r w:rsidR="00440D3C">
        <w:t xml:space="preserve"> illustrates possible effects on PRRT revenue of allocating the entire rents of a PRRT project to the upstream by using the netback price in the RPM model as the gas transfer price.</w:t>
      </w:r>
    </w:p>
    <w:p w14:paraId="7CC29F6B" w14:textId="4CFA1FFF" w:rsidR="00E96DB8" w:rsidRDefault="00E96DB8" w:rsidP="00221C2A">
      <w:pPr>
        <w:pStyle w:val="ChartMainHeading"/>
      </w:pPr>
      <w:r>
        <w:t xml:space="preserve">Figure </w:t>
      </w:r>
      <w:r w:rsidR="00B457EC" w:rsidRPr="00B457EC">
        <w:t>4.8</w:t>
      </w:r>
      <w:r>
        <w:t xml:space="preserve"> </w:t>
      </w:r>
      <w:r w:rsidR="00EE212D" w:rsidRPr="00EE212D">
        <w:t>—</w:t>
      </w:r>
      <w:r>
        <w:t xml:space="preserve"> Netback </w:t>
      </w:r>
      <w:r w:rsidR="00EE212D">
        <w:t>o</w:t>
      </w:r>
      <w:r>
        <w:t>nly</w:t>
      </w:r>
    </w:p>
    <w:p w14:paraId="17067AC6" w14:textId="4D413130" w:rsidR="00E96DB8" w:rsidRDefault="00C026C1" w:rsidP="00F55600">
      <w:pPr>
        <w:pStyle w:val="ChartGraphic"/>
      </w:pPr>
      <w:r>
        <w:object w:dxaOrig="8775" w:dyaOrig="4516" w14:anchorId="35128764">
          <v:shape id="_x0000_i1046" type="#_x0000_t75" alt="Figure 4.8 shows the effect on PRRT revenue when a netback only is used to determine the gas transfer price." style="width:439.5pt;height:227.25pt" o:ole="">
            <v:imagedata r:id="rId77" o:title=""/>
          </v:shape>
          <o:OLEObject Type="Link" ProgID="Excel.Sheet.12" ShapeID="_x0000_i1046" DrawAspect="Content" r:id="rId78" UpdateMode="Always">
            <o:LinkType>EnhancedMetaFile</o:LinkType>
            <o:LockedField>false</o:LockedField>
          </o:OLEObject>
        </w:object>
      </w:r>
    </w:p>
    <w:p w14:paraId="72D9AD9B" w14:textId="32AA4E3B" w:rsidR="00E96DB8" w:rsidRDefault="00D862D3" w:rsidP="00C026C1">
      <w:pPr>
        <w:pStyle w:val="ChartorTableNote"/>
      </w:pPr>
      <w:r>
        <w:t xml:space="preserve">Source: </w:t>
      </w:r>
      <w:r w:rsidR="00B457EC">
        <w:t>Petroleum Resource Rent Tax Review</w:t>
      </w:r>
      <w:r>
        <w:t xml:space="preserve"> Secretariat</w:t>
      </w:r>
      <w:r w:rsidR="00EE212D">
        <w:t>.</w:t>
      </w:r>
    </w:p>
    <w:p w14:paraId="6B7B0FB8" w14:textId="77777777" w:rsidR="00C026C1" w:rsidRPr="00C026C1" w:rsidRDefault="00C026C1" w:rsidP="00C026C1">
      <w:pPr>
        <w:pStyle w:val="SingleParagraph"/>
      </w:pPr>
    </w:p>
    <w:p w14:paraId="15A5AFD5" w14:textId="22A57D4D" w:rsidR="00724028" w:rsidRDefault="00FA5608" w:rsidP="00440D3C">
      <w:r>
        <w:t>The figure shows increased PRRT revenue from 20</w:t>
      </w:r>
      <w:r w:rsidR="00C41D0F">
        <w:t>23</w:t>
      </w:r>
      <w:r>
        <w:t xml:space="preserve"> </w:t>
      </w:r>
      <w:r w:rsidR="006F3C7B">
        <w:t>to</w:t>
      </w:r>
      <w:r w:rsidR="00C41D0F">
        <w:t xml:space="preserve"> 2050</w:t>
      </w:r>
      <w:r>
        <w:t xml:space="preserve"> (totalling around $</w:t>
      </w:r>
      <w:r w:rsidR="00C41D0F">
        <w:t>89</w:t>
      </w:r>
      <w:r w:rsidR="003B55D1">
        <w:t> </w:t>
      </w:r>
      <w:r>
        <w:t>b</w:t>
      </w:r>
      <w:r w:rsidR="003B55D1">
        <w:t>illio</w:t>
      </w:r>
      <w:r w:rsidR="00B457EC">
        <w:t>n</w:t>
      </w:r>
      <w:r>
        <w:t xml:space="preserve">) </w:t>
      </w:r>
      <w:r w:rsidR="00087C29">
        <w:t>with a particularly strong increase between 2027 and 2039 (totalling around $68</w:t>
      </w:r>
      <w:r w:rsidR="003B55D1">
        <w:t> </w:t>
      </w:r>
      <w:r w:rsidR="00087C29">
        <w:t>b</w:t>
      </w:r>
      <w:r w:rsidR="003B55D1">
        <w:t>illio</w:t>
      </w:r>
      <w:r w:rsidR="00B457EC">
        <w:t>n</w:t>
      </w:r>
      <w:r>
        <w:t>).</w:t>
      </w:r>
    </w:p>
    <w:p w14:paraId="4699645B" w14:textId="115283A2" w:rsidR="00D61C03" w:rsidRDefault="00440D3C" w:rsidP="00474A46">
      <w:r>
        <w:t xml:space="preserve">This outcome is achieved by increasing the transfer price in cases where there are residual profits, and allocating </w:t>
      </w:r>
      <w:r w:rsidR="008D5CE4">
        <w:t>associated</w:t>
      </w:r>
      <w:r>
        <w:t xml:space="preserve"> residual profits 100</w:t>
      </w:r>
      <w:r w:rsidR="00B457EC">
        <w:t xml:space="preserve"> per cent</w:t>
      </w:r>
      <w:r>
        <w:t xml:space="preserve"> to the upstream</w:t>
      </w:r>
      <w:r w:rsidR="005D3500">
        <w:t xml:space="preserve"> to be taxed at 40</w:t>
      </w:r>
      <w:r w:rsidR="003B55D1">
        <w:t> </w:t>
      </w:r>
      <w:r w:rsidR="005D3500">
        <w:t>per</w:t>
      </w:r>
      <w:r w:rsidR="003B55D1">
        <w:t> </w:t>
      </w:r>
      <w:r w:rsidR="005D3500">
        <w:t>cent, while allowing a return of LTBR plus 7 percentage points to the downstream</w:t>
      </w:r>
      <w:r>
        <w:t xml:space="preserve">. The </w:t>
      </w:r>
      <w:r w:rsidR="000B3504">
        <w:t>higher revenue is from a combination</w:t>
      </w:r>
      <w:r w:rsidR="00606825">
        <w:t xml:space="preserve"> of</w:t>
      </w:r>
      <w:r w:rsidR="00D61C03">
        <w:t>:</w:t>
      </w:r>
    </w:p>
    <w:p w14:paraId="53A2CBF5" w14:textId="4DB93F1F" w:rsidR="00D61C03" w:rsidRDefault="003B55D1" w:rsidP="003816D5">
      <w:pPr>
        <w:pStyle w:val="Bullet"/>
      </w:pPr>
      <w:r>
        <w:t>p</w:t>
      </w:r>
      <w:r w:rsidR="00D61C03">
        <w:t xml:space="preserve">rojects that were already </w:t>
      </w:r>
      <w:r w:rsidR="000B3504">
        <w:t xml:space="preserve">paying </w:t>
      </w:r>
      <w:r w:rsidR="00D61C03">
        <w:t xml:space="preserve">PRRT in the baseline scenario, </w:t>
      </w:r>
      <w:r w:rsidR="000B3504">
        <w:t xml:space="preserve">paying </w:t>
      </w:r>
      <w:r w:rsidR="00D61C03">
        <w:t xml:space="preserve">a higher amount of PRRT </w:t>
      </w:r>
      <w:r w:rsidR="000B3504">
        <w:t>sooner</w:t>
      </w:r>
      <w:r>
        <w:t>;</w:t>
      </w:r>
      <w:r w:rsidR="000B3504">
        <w:t xml:space="preserve"> and</w:t>
      </w:r>
    </w:p>
    <w:p w14:paraId="298C28A1" w14:textId="2B09468A" w:rsidR="00D61C03" w:rsidRDefault="003B55D1" w:rsidP="003816D5">
      <w:pPr>
        <w:pStyle w:val="Bullet"/>
      </w:pPr>
      <w:r>
        <w:t>p</w:t>
      </w:r>
      <w:r w:rsidR="00D61C03">
        <w:t>rojects paying PRRT</w:t>
      </w:r>
      <w:r w:rsidR="000B3504">
        <w:t xml:space="preserve"> that were not paying </w:t>
      </w:r>
      <w:r w:rsidR="00D61C03">
        <w:t>PRRT in the baseline scenario</w:t>
      </w:r>
      <w:r w:rsidR="003816D5">
        <w:t>.</w:t>
      </w:r>
    </w:p>
    <w:p w14:paraId="1532C247" w14:textId="628AD7F8" w:rsidR="00474A46" w:rsidRDefault="00D61C03" w:rsidP="00474A46">
      <w:r>
        <w:t>In each case</w:t>
      </w:r>
      <w:r w:rsidR="00CA688E">
        <w:t xml:space="preserve"> the higher amount</w:t>
      </w:r>
      <w:r w:rsidR="00440D3C">
        <w:t xml:space="preserve"> </w:t>
      </w:r>
      <w:r>
        <w:t xml:space="preserve">of PRRT receipts </w:t>
      </w:r>
      <w:r w:rsidR="00440D3C">
        <w:t xml:space="preserve">is </w:t>
      </w:r>
      <w:r>
        <w:t xml:space="preserve">the result </w:t>
      </w:r>
      <w:r w:rsidR="00606825">
        <w:t>of</w:t>
      </w:r>
      <w:r w:rsidR="00440D3C">
        <w:t xml:space="preserve"> higher assessable receipts from the LNG projects </w:t>
      </w:r>
      <w:r>
        <w:t>a</w:t>
      </w:r>
      <w:r w:rsidR="00BE2374">
        <w:t>b</w:t>
      </w:r>
      <w:r>
        <w:t xml:space="preserve">sorbing the available </w:t>
      </w:r>
      <w:r w:rsidR="00440D3C">
        <w:t xml:space="preserve">deductions at a faster rate. </w:t>
      </w:r>
      <w:r>
        <w:t xml:space="preserve">The </w:t>
      </w:r>
      <w:r w:rsidR="00440D3C">
        <w:t>40</w:t>
      </w:r>
      <w:r w:rsidR="00FA5608">
        <w:t xml:space="preserve"> per cent </w:t>
      </w:r>
      <w:r w:rsidR="00440D3C">
        <w:t xml:space="preserve">tax rate </w:t>
      </w:r>
      <w:r>
        <w:t>applies to the</w:t>
      </w:r>
      <w:r w:rsidR="00440D3C">
        <w:t xml:space="preserve"> higher amount of assessable receipts.</w:t>
      </w:r>
    </w:p>
    <w:p w14:paraId="0B063CF3" w14:textId="4CCDF0B8" w:rsidR="00BA3D7B" w:rsidRDefault="00440D3C" w:rsidP="00474A46">
      <w:bookmarkStart w:id="7197" w:name="_Toc477869913"/>
      <w:bookmarkStart w:id="7198" w:name="_Toc477871152"/>
      <w:bookmarkStart w:id="7199" w:name="_Toc477873311"/>
      <w:bookmarkStart w:id="7200" w:name="_Toc477875305"/>
      <w:bookmarkStart w:id="7201" w:name="_Toc477880218"/>
      <w:bookmarkStart w:id="7202" w:name="_Toc477881478"/>
      <w:bookmarkStart w:id="7203" w:name="_Toc477955882"/>
      <w:bookmarkStart w:id="7204" w:name="_Toc477963127"/>
      <w:bookmarkStart w:id="7205" w:name="_Toc477963613"/>
      <w:bookmarkStart w:id="7206" w:name="_Toc477965199"/>
      <w:bookmarkStart w:id="7207" w:name="_Toc477966703"/>
      <w:bookmarkStart w:id="7208" w:name="_Toc477966872"/>
      <w:bookmarkStart w:id="7209" w:name="_Toc477967212"/>
      <w:r>
        <w:t xml:space="preserve">The modelling demonstrates that </w:t>
      </w:r>
      <w:r w:rsidR="00D43A81">
        <w:t xml:space="preserve">the </w:t>
      </w:r>
      <w:r w:rsidR="00F2694F">
        <w:t>GTP</w:t>
      </w:r>
      <w:r w:rsidR="00D43A81">
        <w:t xml:space="preserve"> arrangements are a very significant factor influencing PRRT revenue and any </w:t>
      </w:r>
      <w:r w:rsidR="00724028">
        <w:t>chang</w:t>
      </w:r>
      <w:r w:rsidR="00D43A81">
        <w:t>e in</w:t>
      </w:r>
      <w:r>
        <w:t xml:space="preserve"> the way that project rents are </w:t>
      </w:r>
      <w:r w:rsidR="00FA5608">
        <w:t xml:space="preserve">allocated </w:t>
      </w:r>
      <w:r>
        <w:t>would have a significant impact</w:t>
      </w:r>
      <w:r w:rsidR="00724028">
        <w:t xml:space="preserve"> on the </w:t>
      </w:r>
      <w:r w:rsidR="005D3500">
        <w:t>profit split between the Government</w:t>
      </w:r>
      <w:r w:rsidR="00724028">
        <w:t xml:space="preserve"> </w:t>
      </w:r>
      <w:r w:rsidR="005D3500">
        <w:t xml:space="preserve">and </w:t>
      </w:r>
      <w:r w:rsidR="00724028">
        <w:t>projects</w:t>
      </w:r>
      <w:r w:rsidR="00FA5608">
        <w:t>.</w:t>
      </w:r>
    </w:p>
    <w:p w14:paraId="5753DFD7" w14:textId="0CF12E33" w:rsidR="00474A46" w:rsidRDefault="00474A46" w:rsidP="00474A46">
      <w:pPr>
        <w:pStyle w:val="Heading3"/>
      </w:pPr>
      <w:bookmarkStart w:id="7210" w:name="_Toc478121349"/>
      <w:bookmarkStart w:id="7211" w:name="_Toc478122262"/>
      <w:bookmarkStart w:id="7212" w:name="_Toc478132236"/>
      <w:bookmarkStart w:id="7213" w:name="_Toc478133262"/>
      <w:bookmarkStart w:id="7214" w:name="_Toc478132399"/>
      <w:bookmarkStart w:id="7215" w:name="_Toc478134728"/>
      <w:bookmarkStart w:id="7216" w:name="_Toc478137430"/>
      <w:bookmarkStart w:id="7217" w:name="_Toc478138502"/>
      <w:bookmarkStart w:id="7218" w:name="_Toc478140072"/>
      <w:bookmarkStart w:id="7219" w:name="_Toc478140488"/>
      <w:bookmarkStart w:id="7220" w:name="_Toc478142694"/>
      <w:bookmarkStart w:id="7221" w:name="_Toc478566410"/>
      <w:bookmarkStart w:id="7222" w:name="_Toc478569577"/>
      <w:bookmarkStart w:id="7223" w:name="_Toc478569751"/>
      <w:bookmarkStart w:id="7224" w:name="_Toc478570825"/>
      <w:bookmarkStart w:id="7225" w:name="_Toc478633024"/>
      <w:bookmarkStart w:id="7226" w:name="_Toc478641432"/>
      <w:bookmarkStart w:id="7227" w:name="_Toc478654326"/>
      <w:bookmarkStart w:id="7228" w:name="_Toc478654500"/>
      <w:bookmarkStart w:id="7229" w:name="_Toc478657795"/>
      <w:bookmarkStart w:id="7230" w:name="_Toc478993216"/>
      <w:bookmarkStart w:id="7231" w:name="_Toc479000287"/>
      <w:bookmarkStart w:id="7232" w:name="_Toc479002221"/>
      <w:bookmarkStart w:id="7233" w:name="_Toc479002393"/>
      <w:bookmarkStart w:id="7234" w:name="_Toc479254368"/>
      <w:bookmarkStart w:id="7235" w:name="_Toc479258557"/>
      <w:bookmarkStart w:id="7236" w:name="_Toc479258873"/>
      <w:bookmarkStart w:id="7237" w:name="_Toc479259765"/>
      <w:bookmarkStart w:id="7238" w:name="_Toc479262188"/>
      <w:bookmarkStart w:id="7239" w:name="_Toc479262609"/>
      <w:bookmarkStart w:id="7240" w:name="_Toc479321310"/>
      <w:bookmarkStart w:id="7241" w:name="_Toc479326749"/>
      <w:bookmarkStart w:id="7242" w:name="_Toc479333348"/>
      <w:bookmarkStart w:id="7243" w:name="_Toc479335045"/>
      <w:bookmarkStart w:id="7244" w:name="_Toc479341760"/>
      <w:bookmarkStart w:id="7245" w:name="_Toc479345176"/>
      <w:bookmarkStart w:id="7246" w:name="_Toc479345385"/>
      <w:bookmarkStart w:id="7247" w:name="_Toc479348366"/>
      <w:bookmarkStart w:id="7248" w:name="_Toc479675960"/>
      <w:bookmarkStart w:id="7249" w:name="_Toc479690927"/>
      <w:bookmarkStart w:id="7250" w:name="_Toc479693505"/>
      <w:bookmarkStart w:id="7251" w:name="_Toc479770674"/>
      <w:r>
        <w:t>4.</w:t>
      </w:r>
      <w:r w:rsidR="00143E23">
        <w:t>9</w:t>
      </w:r>
      <w:r>
        <w:t>.4</w:t>
      </w:r>
      <w:r w:rsidR="00A43C96">
        <w:tab/>
      </w:r>
      <w:r>
        <w:t>Issues with RPM</w:t>
      </w:r>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r w:rsidR="00C741B5">
        <w:t xml:space="preserve"> </w:t>
      </w:r>
      <w:r w:rsidR="00EF3D3A">
        <w:t>framework</w:t>
      </w:r>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p>
    <w:p w14:paraId="47BF2C96" w14:textId="2DB69551" w:rsidR="00474A46" w:rsidRDefault="00474A46" w:rsidP="00474A46">
      <w:r>
        <w:t xml:space="preserve">A set of principles were developed in consultation between the Government and industry </w:t>
      </w:r>
      <w:r w:rsidR="00C35158">
        <w:t xml:space="preserve">in the late </w:t>
      </w:r>
      <w:r w:rsidR="00BE2374">
        <w:t>1990</w:t>
      </w:r>
      <w:r w:rsidR="00C35158">
        <w:t>s</w:t>
      </w:r>
      <w:r>
        <w:t xml:space="preserve"> to provide a framework for developing the RPM and the regulations. The principles include:</w:t>
      </w:r>
    </w:p>
    <w:p w14:paraId="0C1E40D3" w14:textId="77777777" w:rsidR="00474A46" w:rsidRDefault="00474A46" w:rsidP="00474A46">
      <w:r>
        <w:t>•</w:t>
      </w:r>
      <w:r>
        <w:tab/>
        <w:t>only upstream activities are liable for PRRT;</w:t>
      </w:r>
    </w:p>
    <w:p w14:paraId="7FA99951" w14:textId="77777777" w:rsidR="00474A46" w:rsidRDefault="00474A46" w:rsidP="00474A46">
      <w:r>
        <w:t>•</w:t>
      </w:r>
      <w:r>
        <w:tab/>
        <w:t>outcomes should be assessed against economic efficiency criteria;</w:t>
      </w:r>
    </w:p>
    <w:p w14:paraId="286BC13F" w14:textId="135C08FC" w:rsidR="00474A46" w:rsidRDefault="00474A46" w:rsidP="00474A46">
      <w:r>
        <w:t>•</w:t>
      </w:r>
      <w:r>
        <w:tab/>
        <w:t xml:space="preserve">GTP methodology to apply to all integrated </w:t>
      </w:r>
      <w:r w:rsidR="00BE2374">
        <w:t>LNG</w:t>
      </w:r>
      <w:r>
        <w:t xml:space="preserve"> projects;</w:t>
      </w:r>
    </w:p>
    <w:p w14:paraId="48E15B4A" w14:textId="77777777" w:rsidR="00474A46" w:rsidRDefault="00474A46" w:rsidP="00474A46">
      <w:r>
        <w:t>•</w:t>
      </w:r>
      <w:r>
        <w:tab/>
        <w:t>project risks equitably reflected on all cost centres;</w:t>
      </w:r>
    </w:p>
    <w:p w14:paraId="0877F1B7" w14:textId="77777777" w:rsidR="00474A46" w:rsidRDefault="00474A46" w:rsidP="00474A46">
      <w:pPr>
        <w:ind w:left="720" w:hanging="720"/>
      </w:pPr>
      <w:r>
        <w:t>•</w:t>
      </w:r>
      <w:r>
        <w:tab/>
        <w:t>the transfer price references the first commercial third party price for derivative products; and</w:t>
      </w:r>
    </w:p>
    <w:p w14:paraId="7C80A60F" w14:textId="77777777" w:rsidR="00474A46" w:rsidRDefault="00474A46" w:rsidP="00474A46">
      <w:r>
        <w:t>•</w:t>
      </w:r>
      <w:r>
        <w:tab/>
        <w:t>the transfer price is transparent, equitable, auditable and simple to administer.</w:t>
      </w:r>
    </w:p>
    <w:p w14:paraId="6E6F9092" w14:textId="3F046CBC" w:rsidR="00474A46" w:rsidRDefault="00474A46" w:rsidP="00474A46">
      <w:r>
        <w:t xml:space="preserve">These principles are consistent with the original design of the PRRT. However, the submissions </w:t>
      </w:r>
      <w:r w:rsidR="005146AE">
        <w:t xml:space="preserve">illustrate </w:t>
      </w:r>
      <w:r>
        <w:t xml:space="preserve">that </w:t>
      </w:r>
      <w:r w:rsidR="005146AE">
        <w:t xml:space="preserve">there is not a </w:t>
      </w:r>
      <w:r w:rsidR="00F225D0">
        <w:t>consensus</w:t>
      </w:r>
      <w:r>
        <w:t xml:space="preserve"> </w:t>
      </w:r>
      <w:r w:rsidR="005146AE">
        <w:t>on whether the</w:t>
      </w:r>
      <w:r>
        <w:t xml:space="preserve"> GTP regulations are delivering a transfer price that is transparent, equitable, auditable and simple to administer. The </w:t>
      </w:r>
      <w:r w:rsidR="005146AE">
        <w:t xml:space="preserve">reforms </w:t>
      </w:r>
      <w:r>
        <w:t xml:space="preserve">suggested in submissions </w:t>
      </w:r>
      <w:r w:rsidR="005146AE">
        <w:t xml:space="preserve">are </w:t>
      </w:r>
      <w:r>
        <w:t xml:space="preserve">aimed </w:t>
      </w:r>
      <w:r w:rsidR="00CA688E">
        <w:t xml:space="preserve">at </w:t>
      </w:r>
      <w:r w:rsidR="001D2ACE">
        <w:t>deriving a price for sales gas</w:t>
      </w:r>
      <w:r>
        <w:t xml:space="preserve"> </w:t>
      </w:r>
      <w:r w:rsidR="00D43A81">
        <w:t xml:space="preserve">that is </w:t>
      </w:r>
      <w:r>
        <w:t xml:space="preserve">simpler, </w:t>
      </w:r>
      <w:r w:rsidR="00CA688E">
        <w:t xml:space="preserve">more </w:t>
      </w:r>
      <w:r>
        <w:t xml:space="preserve">transparent or more </w:t>
      </w:r>
      <w:r w:rsidR="005D6F39">
        <w:t>‘</w:t>
      </w:r>
      <w:r>
        <w:t>equitable</w:t>
      </w:r>
      <w:r w:rsidR="005D6F39">
        <w:t>’</w:t>
      </w:r>
      <w:r w:rsidR="00D43A81">
        <w:t>;</w:t>
      </w:r>
      <w:r w:rsidR="00F225D0">
        <w:t xml:space="preserve"> however</w:t>
      </w:r>
      <w:r w:rsidR="00985ADA">
        <w:t>,</w:t>
      </w:r>
      <w:r w:rsidR="00F225D0">
        <w:t xml:space="preserve"> </w:t>
      </w:r>
      <w:r w:rsidR="00065A14">
        <w:t xml:space="preserve">each </w:t>
      </w:r>
      <w:r w:rsidR="00D43A81">
        <w:t>of the alternative</w:t>
      </w:r>
      <w:r w:rsidR="00F225D0">
        <w:t xml:space="preserve"> approaches represents a departure from the </w:t>
      </w:r>
      <w:r>
        <w:t>principles</w:t>
      </w:r>
      <w:r w:rsidR="00F225D0">
        <w:t xml:space="preserve"> </w:t>
      </w:r>
      <w:r w:rsidR="00681795">
        <w:t>previously</w:t>
      </w:r>
      <w:r w:rsidR="00F225D0">
        <w:t xml:space="preserve"> agreed between Government and </w:t>
      </w:r>
      <w:r w:rsidR="00606825">
        <w:t>i</w:t>
      </w:r>
      <w:r w:rsidR="00F225D0">
        <w:t>ndustry</w:t>
      </w:r>
      <w:r>
        <w:t>.</w:t>
      </w:r>
    </w:p>
    <w:p w14:paraId="490A2C4C" w14:textId="263E2147" w:rsidR="00474A46" w:rsidRDefault="00474A46" w:rsidP="00474A46">
      <w:r>
        <w:t xml:space="preserve">For example, moving the taxing point to the end of the LNG project would mean a change to the principle of only </w:t>
      </w:r>
      <w:r w:rsidR="001D2ACE">
        <w:t xml:space="preserve">taxing </w:t>
      </w:r>
      <w:r>
        <w:t xml:space="preserve">upstream activities. </w:t>
      </w:r>
      <w:r w:rsidR="00CA688E">
        <w:t xml:space="preserve">It </w:t>
      </w:r>
      <w:r>
        <w:t xml:space="preserve">is consistent with the original design of the PRRT for the taxing point to be where the petroleum is processed to </w:t>
      </w:r>
      <w:r w:rsidR="00CA688E">
        <w:t>become</w:t>
      </w:r>
      <w:r>
        <w:t xml:space="preserve"> sales gas</w:t>
      </w:r>
      <w:r w:rsidR="001D2ACE">
        <w:t>,</w:t>
      </w:r>
      <w:r>
        <w:t xml:space="preserve"> rather than </w:t>
      </w:r>
      <w:r w:rsidR="00065A14" w:rsidRPr="00065A14">
        <w:t xml:space="preserve">at a point further downstream that includes the whole LNG </w:t>
      </w:r>
      <w:r>
        <w:t xml:space="preserve">operation. Such a change would be a shift from a tax on </w:t>
      </w:r>
      <w:r w:rsidR="001D2ACE">
        <w:t xml:space="preserve">the resource </w:t>
      </w:r>
      <w:r>
        <w:t xml:space="preserve">and </w:t>
      </w:r>
      <w:r w:rsidR="001D2ACE">
        <w:t xml:space="preserve">its </w:t>
      </w:r>
      <w:r>
        <w:t xml:space="preserve">associated </w:t>
      </w:r>
      <w:r w:rsidR="00884711">
        <w:t>initial</w:t>
      </w:r>
      <w:r>
        <w:t xml:space="preserve"> processing</w:t>
      </w:r>
      <w:r w:rsidR="001D2ACE">
        <w:t>,</w:t>
      </w:r>
      <w:r>
        <w:t xml:space="preserve"> to a tax on the profits of the entire </w:t>
      </w:r>
      <w:r w:rsidR="00065A14">
        <w:t>LNG</w:t>
      </w:r>
      <w:r>
        <w:t xml:space="preserve"> </w:t>
      </w:r>
      <w:r w:rsidR="001D2ACE">
        <w:t xml:space="preserve">processing </w:t>
      </w:r>
      <w:r>
        <w:t>value chain.</w:t>
      </w:r>
    </w:p>
    <w:p w14:paraId="265231CF" w14:textId="4E8C1913" w:rsidR="00474A46" w:rsidRDefault="00474A46" w:rsidP="00474A46">
      <w:r>
        <w:t xml:space="preserve">Likewise, changing the RPM to rely on the netback price </w:t>
      </w:r>
      <w:r w:rsidR="00CA688E">
        <w:t xml:space="preserve">only </w:t>
      </w:r>
      <w:r>
        <w:t>(thereby allocating all project profits to the upstream</w:t>
      </w:r>
      <w:r w:rsidR="00CA688E">
        <w:t>)</w:t>
      </w:r>
      <w:r>
        <w:t xml:space="preserve"> would mean that project risks are no longer equitably reflected on all costs centres. The result would be that any rents attributable to the downstream would be captured in the upstream and subject to PRRT.</w:t>
      </w:r>
    </w:p>
    <w:p w14:paraId="3A4D8FA4" w14:textId="31B23554" w:rsidR="00474A46" w:rsidRDefault="00474A46" w:rsidP="00474A46">
      <w:r>
        <w:t xml:space="preserve">Shifting away from using </w:t>
      </w:r>
      <w:r w:rsidR="00CA688E">
        <w:t xml:space="preserve">the RPM </w:t>
      </w:r>
      <w:r>
        <w:t>to determine the arm</w:t>
      </w:r>
      <w:r w:rsidR="005D6F39">
        <w:t>’</w:t>
      </w:r>
      <w:r>
        <w:t xml:space="preserve">s length </w:t>
      </w:r>
      <w:r w:rsidR="001D2ACE">
        <w:t>price for sales gas</w:t>
      </w:r>
      <w:r w:rsidR="00CA688E">
        <w:t xml:space="preserve"> </w:t>
      </w:r>
      <w:r>
        <w:t xml:space="preserve">also presents some complexity. The strength of the RPM is that it is a single method that </w:t>
      </w:r>
      <w:r w:rsidR="00C13BB5">
        <w:t xml:space="preserve">is </w:t>
      </w:r>
      <w:r w:rsidR="00973D0D">
        <w:t xml:space="preserve">designed to </w:t>
      </w:r>
      <w:r w:rsidR="00F225D0">
        <w:t>apply</w:t>
      </w:r>
      <w:r>
        <w:t xml:space="preserve"> to all LNG projects. The RPM removes the uncertainty that usually arises in valuation matters whether by arm</w:t>
      </w:r>
      <w:r w:rsidR="005D6F39">
        <w:t>’</w:t>
      </w:r>
      <w:r>
        <w:t xml:space="preserve">s length or market valuation principles. The RPM </w:t>
      </w:r>
      <w:r w:rsidR="00F225D0">
        <w:t>provides certainty by removing the need to determine</w:t>
      </w:r>
      <w:r>
        <w:t xml:space="preserve"> the most appropriate method to use for valuation, underlying assumptions or forecasts. The RPM does not require multiple experts or valuation professionals to assist with the valuation process. Instead it is a one size fits all approach built on the principle that the GTP methodology appl</w:t>
      </w:r>
      <w:r w:rsidR="00985ADA">
        <w:t>ies</w:t>
      </w:r>
      <w:r>
        <w:t xml:space="preserve"> to all of the integrated </w:t>
      </w:r>
      <w:r w:rsidR="001D2ACE">
        <w:t>L</w:t>
      </w:r>
      <w:r w:rsidR="008F7E47">
        <w:t>NG</w:t>
      </w:r>
      <w:r>
        <w:t xml:space="preserve"> projects. Changing the valuation </w:t>
      </w:r>
      <w:r w:rsidR="001D2ACE">
        <w:t>method</w:t>
      </w:r>
      <w:r>
        <w:t xml:space="preserve"> </w:t>
      </w:r>
      <w:r w:rsidR="001D2ACE">
        <w:t>for</w:t>
      </w:r>
      <w:r>
        <w:t xml:space="preserve"> sales gas away from the RPM to a different method, either using arm</w:t>
      </w:r>
      <w:r w:rsidR="005D6F39">
        <w:t>’</w:t>
      </w:r>
      <w:r>
        <w:t>s length or market valuation principles</w:t>
      </w:r>
      <w:r w:rsidR="001D2ACE">
        <w:t>,</w:t>
      </w:r>
      <w:r>
        <w:t xml:space="preserve"> </w:t>
      </w:r>
      <w:r w:rsidR="00F225D0">
        <w:t>may</w:t>
      </w:r>
      <w:r>
        <w:t xml:space="preserve"> present greater challenges in terms of transparency, equality, auditability and simplicity.</w:t>
      </w:r>
    </w:p>
    <w:p w14:paraId="4C8C5E52" w14:textId="634F0459" w:rsidR="00474A46" w:rsidRDefault="00474A46" w:rsidP="00474A46">
      <w:r>
        <w:t xml:space="preserve">The principles outlined above were developed nearly 20 years ago before the current </w:t>
      </w:r>
      <w:r w:rsidR="00B0127F">
        <w:t xml:space="preserve">integrated </w:t>
      </w:r>
      <w:r>
        <w:t>LNG projects that are subject to PRRT existed</w:t>
      </w:r>
      <w:r w:rsidR="00B0127F">
        <w:t>,</w:t>
      </w:r>
      <w:r>
        <w:t xml:space="preserve"> and it is timely to consider whether they are still fit for purpose. If perceived deficiencies with the RPM cannot be addressed </w:t>
      </w:r>
      <w:r w:rsidR="002E4E4B">
        <w:t xml:space="preserve"> then the established</w:t>
      </w:r>
      <w:r>
        <w:t xml:space="preserve"> principles </w:t>
      </w:r>
      <w:r w:rsidR="00D43A81">
        <w:t>may</w:t>
      </w:r>
      <w:r>
        <w:t xml:space="preserve"> need to be revised so that a method for valuing sales gas can be identified that balances the need for certainty in investment with a fair return to the community.</w:t>
      </w:r>
    </w:p>
    <w:p w14:paraId="2BC52564" w14:textId="05084003" w:rsidR="00C741B5" w:rsidRDefault="00C741B5" w:rsidP="00474A46">
      <w:r w:rsidRPr="00C741B5">
        <w:t>Applying a methodology like the RPM where there is so little flexibility and judgement can make it difficult to apply to new situations or scenarios. The ATO and industry should continue to work through new scenarios in advance of projects commencing to ensure that the RPM works as intended. Difficulties should be raised early and resolved publicly</w:t>
      </w:r>
      <w:r w:rsidR="005D6F39">
        <w:t xml:space="preserve"> — </w:t>
      </w:r>
      <w:r w:rsidR="00134E76">
        <w:t xml:space="preserve">for </w:t>
      </w:r>
      <w:r w:rsidRPr="00C741B5">
        <w:t>example</w:t>
      </w:r>
      <w:r w:rsidR="00134E76">
        <w:t>,</w:t>
      </w:r>
      <w:r w:rsidRPr="00C741B5">
        <w:t xml:space="preserve"> in the form of guidance</w:t>
      </w:r>
      <w:r w:rsidR="005D6F39">
        <w:t xml:space="preserve"> — </w:t>
      </w:r>
      <w:r w:rsidR="00134E76">
        <w:t xml:space="preserve">to </w:t>
      </w:r>
      <w:r w:rsidRPr="00C741B5">
        <w:t>ensure that confidence in application of the RPM is maintained.</w:t>
      </w:r>
    </w:p>
    <w:p w14:paraId="3F49A092" w14:textId="064219DD" w:rsidR="00C741B5" w:rsidRDefault="00C741B5" w:rsidP="00C741B5">
      <w:pPr>
        <w:pStyle w:val="Heading3"/>
      </w:pPr>
      <w:bookmarkStart w:id="7252" w:name="_Toc478641433"/>
      <w:bookmarkStart w:id="7253" w:name="_Toc478654327"/>
      <w:bookmarkStart w:id="7254" w:name="_Toc478654501"/>
      <w:bookmarkStart w:id="7255" w:name="_Toc478657796"/>
      <w:bookmarkStart w:id="7256" w:name="_Toc478993217"/>
      <w:bookmarkStart w:id="7257" w:name="_Toc479000288"/>
      <w:bookmarkStart w:id="7258" w:name="_Toc479002222"/>
      <w:bookmarkStart w:id="7259" w:name="_Toc479002394"/>
      <w:bookmarkStart w:id="7260" w:name="_Toc479254369"/>
      <w:bookmarkStart w:id="7261" w:name="_Toc479258558"/>
      <w:bookmarkStart w:id="7262" w:name="_Toc479258874"/>
      <w:bookmarkStart w:id="7263" w:name="_Toc479259766"/>
      <w:bookmarkStart w:id="7264" w:name="_Toc479262189"/>
      <w:bookmarkStart w:id="7265" w:name="_Toc479262610"/>
      <w:bookmarkStart w:id="7266" w:name="_Toc479321311"/>
      <w:bookmarkStart w:id="7267" w:name="_Toc479326750"/>
      <w:bookmarkStart w:id="7268" w:name="_Toc479333349"/>
      <w:bookmarkStart w:id="7269" w:name="_Toc479335046"/>
      <w:bookmarkStart w:id="7270" w:name="_Toc479341761"/>
      <w:bookmarkStart w:id="7271" w:name="_Toc479345177"/>
      <w:bookmarkStart w:id="7272" w:name="_Toc479345386"/>
      <w:bookmarkStart w:id="7273" w:name="_Toc479348367"/>
      <w:bookmarkStart w:id="7274" w:name="_Toc479675961"/>
      <w:bookmarkStart w:id="7275" w:name="_Toc479690928"/>
      <w:bookmarkStart w:id="7276" w:name="_Toc479693506"/>
      <w:bookmarkStart w:id="7277" w:name="_Toc479770675"/>
      <w:r>
        <w:t>4.9.5</w:t>
      </w:r>
      <w:r w:rsidR="00400324">
        <w:tab/>
      </w:r>
      <w:r>
        <w:t>Issues with RPM calculations</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14:paraId="400B3E2A" w14:textId="70B69021" w:rsidR="00474A46" w:rsidRDefault="00474A46" w:rsidP="00474A46">
      <w:r>
        <w:t xml:space="preserve">Although using the RPM as the default methodology has benefits for certainty in project planning and administration, the methodology does have a number of </w:t>
      </w:r>
      <w:r w:rsidR="002E4E4B">
        <w:t>perceived issues</w:t>
      </w:r>
      <w:r>
        <w:t xml:space="preserve"> that warrant further</w:t>
      </w:r>
      <w:r w:rsidDel="00267F82">
        <w:t xml:space="preserve"> </w:t>
      </w:r>
      <w:r>
        <w:t xml:space="preserve">review. </w:t>
      </w:r>
      <w:r w:rsidR="002E4E4B">
        <w:t>One of the design features</w:t>
      </w:r>
      <w:r>
        <w:t xml:space="preserve"> underpinning the model is that the upstream and downstream components of the </w:t>
      </w:r>
      <w:r w:rsidR="00B0127F">
        <w:t xml:space="preserve">integrated </w:t>
      </w:r>
      <w:r w:rsidR="008F7E47">
        <w:t>LNG</w:t>
      </w:r>
      <w:r>
        <w:t xml:space="preserve"> </w:t>
      </w:r>
      <w:r w:rsidR="00B0127F">
        <w:t>operation</w:t>
      </w:r>
      <w:r>
        <w:t xml:space="preserve"> are treated equally in terms of how the capital invested is rewarded</w:t>
      </w:r>
      <w:r w:rsidR="00267F82">
        <w:t>.</w:t>
      </w:r>
      <w:r>
        <w:t xml:space="preserve"> </w:t>
      </w:r>
      <w:r w:rsidR="00267F82">
        <w:t>H</w:t>
      </w:r>
      <w:r>
        <w:t>owever</w:t>
      </w:r>
      <w:r w:rsidR="00134E76">
        <w:t>,</w:t>
      </w:r>
      <w:r>
        <w:t xml:space="preserve"> there are a number of features of the RPM that undermine this principle and provide for asymmetric treatment of the upstream and downstream capital:</w:t>
      </w:r>
    </w:p>
    <w:p w14:paraId="0A5CAAF3" w14:textId="37853A82" w:rsidR="00474A46" w:rsidRDefault="00474A46" w:rsidP="00B0127F">
      <w:pPr>
        <w:pStyle w:val="Bullet"/>
      </w:pPr>
      <w:r>
        <w:t>In situations where the price received for the LNG</w:t>
      </w:r>
      <w:r w:rsidR="00EF3D3A">
        <w:t xml:space="preserve"> at the point of sale</w:t>
      </w:r>
      <w:r>
        <w:t xml:space="preserve"> means that both the upstream business and the downstream business cannot cover their costs</w:t>
      </w:r>
      <w:r w:rsidR="007F3504">
        <w:t xml:space="preserve"> under the RPM</w:t>
      </w:r>
      <w:r>
        <w:t xml:space="preserve">, the shortfall </w:t>
      </w:r>
      <w:r w:rsidR="00134E76">
        <w:t xml:space="preserve">or loss </w:t>
      </w:r>
      <w:r>
        <w:t>is not distributed evenly between the two sides</w:t>
      </w:r>
      <w:r w:rsidR="00134E76">
        <w:t xml:space="preserve"> and is</w:t>
      </w:r>
      <w:r>
        <w:t xml:space="preserve"> instead borne </w:t>
      </w:r>
      <w:r w:rsidR="00134E76">
        <w:t xml:space="preserve">solely </w:t>
      </w:r>
      <w:r>
        <w:t>by the upstream business.</w:t>
      </w:r>
    </w:p>
    <w:p w14:paraId="2016F004" w14:textId="0AE723AE" w:rsidR="00474A46" w:rsidRDefault="00BD7D17" w:rsidP="00B0127F">
      <w:pPr>
        <w:pStyle w:val="Bullet"/>
      </w:pPr>
      <w:r>
        <w:t>Exploration, appraisal</w:t>
      </w:r>
      <w:r w:rsidR="00474A46">
        <w:t xml:space="preserve"> and </w:t>
      </w:r>
      <w:r>
        <w:t>feasibility costs relating to</w:t>
      </w:r>
      <w:r w:rsidR="00474A46">
        <w:t xml:space="preserve"> the </w:t>
      </w:r>
      <w:r>
        <w:t>resource</w:t>
      </w:r>
      <w:r w:rsidR="00474A46">
        <w:t xml:space="preserve"> are excluded from the </w:t>
      </w:r>
      <w:r w:rsidR="00C13BB5">
        <w:t>RPM</w:t>
      </w:r>
      <w:r w:rsidR="00991BE9">
        <w:t>. T</w:t>
      </w:r>
      <w:r w:rsidR="00474A46">
        <w:t>herefore</w:t>
      </w:r>
      <w:r w:rsidR="00991BE9">
        <w:t>,</w:t>
      </w:r>
      <w:r w:rsidR="00474A46">
        <w:t xml:space="preserve"> this component of the capital investment is not taken into account in the balance between the upstream and downstream capital allocation. </w:t>
      </w:r>
      <w:r w:rsidR="002E4E4B">
        <w:t>T</w:t>
      </w:r>
      <w:r w:rsidR="00474A46">
        <w:t>his potentially undervalues the upstream business.</w:t>
      </w:r>
      <w:r w:rsidR="002E4E4B">
        <w:t xml:space="preserve"> The stated reasons for excluding these costs in the explanatory materials</w:t>
      </w:r>
      <w:r>
        <w:t xml:space="preserve"> to the regulations are</w:t>
      </w:r>
      <w:r w:rsidR="002E4E4B">
        <w:t xml:space="preserve"> not compelling.</w:t>
      </w:r>
    </w:p>
    <w:p w14:paraId="2B0284B9" w14:textId="39246C05" w:rsidR="00474A46" w:rsidRDefault="00474A46" w:rsidP="00B0127F">
      <w:pPr>
        <w:pStyle w:val="Bullet"/>
      </w:pPr>
      <w:r>
        <w:t>The augmentation</w:t>
      </w:r>
      <w:r w:rsidR="00991BE9">
        <w:t xml:space="preserve"> (uplift)</w:t>
      </w:r>
      <w:r>
        <w:t xml:space="preserve"> and depreciation rules also seem to work to the effect that downstream LNG assets will </w:t>
      </w:r>
      <w:r w:rsidR="00BD7D17">
        <w:t>generally</w:t>
      </w:r>
      <w:r>
        <w:t xml:space="preserve"> be augmented </w:t>
      </w:r>
      <w:r w:rsidR="00BD7D17">
        <w:t>between when they are built and first used</w:t>
      </w:r>
      <w:r w:rsidR="007F3504">
        <w:t>,</w:t>
      </w:r>
      <w:r>
        <w:t xml:space="preserve"> while upstream assets are more likely to be depreciated. This design feature may result </w:t>
      </w:r>
      <w:r w:rsidR="00D43A81">
        <w:t xml:space="preserve">in </w:t>
      </w:r>
      <w:r>
        <w:t>the contribution of the downstream component being overvalued.</w:t>
      </w:r>
    </w:p>
    <w:p w14:paraId="1AAA7AAF" w14:textId="62F705AB" w:rsidR="00474A46" w:rsidRDefault="007F3504" w:rsidP="00474A46">
      <w:pPr>
        <w:pStyle w:val="Bullet"/>
        <w:numPr>
          <w:ilvl w:val="0"/>
          <w:numId w:val="0"/>
        </w:numPr>
      </w:pPr>
      <w:r>
        <w:t>A</w:t>
      </w:r>
      <w:r w:rsidR="00474A46" w:rsidRPr="009A6BE4">
        <w:t>symmetric treatments of the upstream and downstream components of the RPM should be reviewed to ensure that the model is functioning as intended and the individual or cumulative effect of these asymmetries does not undermine an appropriate return to the community.</w:t>
      </w:r>
    </w:p>
    <w:p w14:paraId="19315E5F" w14:textId="10242502" w:rsidR="00474A46" w:rsidRDefault="00474A46" w:rsidP="00474A46">
      <w:pPr>
        <w:pStyle w:val="Bullet"/>
        <w:numPr>
          <w:ilvl w:val="0"/>
          <w:numId w:val="0"/>
        </w:numPr>
      </w:pPr>
      <w:r>
        <w:t xml:space="preserve">Another area of concern in the application of the RPM is the interaction between the </w:t>
      </w:r>
      <w:r w:rsidR="00C13BB5">
        <w:t>capital allowance</w:t>
      </w:r>
      <w:r>
        <w:t xml:space="preserve"> rate and the residual profit split. The RPM captures value through the use of three main components</w:t>
      </w:r>
      <w:r w:rsidR="00991BE9">
        <w:t>:</w:t>
      </w:r>
      <w:r>
        <w:t xml:space="preserve"> a capital allowance, recognition of operating costs and a 50:50 split of any residual profits. The equal allocation of profits, regardless of the contribution of the upstream and downstream components of the business is justified on the basis that in such an integrated </w:t>
      </w:r>
      <w:r w:rsidR="00F50F20">
        <w:t>operation</w:t>
      </w:r>
      <w:r>
        <w:t xml:space="preserve"> it is not possible to use any </w:t>
      </w:r>
      <w:r w:rsidR="00991BE9">
        <w:t xml:space="preserve">refined </w:t>
      </w:r>
      <w:r>
        <w:t>basis of allocation. This can result in some unusual outcomes. For example</w:t>
      </w:r>
      <w:r w:rsidR="00DE236F">
        <w:t>,</w:t>
      </w:r>
      <w:r>
        <w:t xml:space="preserve"> if the total capital of a project was spent 80</w:t>
      </w:r>
      <w:r w:rsidR="008F2982">
        <w:t> </w:t>
      </w:r>
      <w:r w:rsidR="00F50F20">
        <w:t>per cent</w:t>
      </w:r>
      <w:r>
        <w:t xml:space="preserve"> on one side of the taxing </w:t>
      </w:r>
      <w:r w:rsidR="004E1C01">
        <w:t>point</w:t>
      </w:r>
      <w:r>
        <w:t xml:space="preserve"> and 20 </w:t>
      </w:r>
      <w:r w:rsidR="00F50F20">
        <w:t>per cent</w:t>
      </w:r>
      <w:r>
        <w:t xml:space="preserve"> on the other side of the taxing point</w:t>
      </w:r>
      <w:r w:rsidR="00F50F20">
        <w:t>,</w:t>
      </w:r>
      <w:r>
        <w:t xml:space="preserve"> any residual profits would still be allocated equally. This does not seem </w:t>
      </w:r>
      <w:r w:rsidR="004E1C01">
        <w:t>to be</w:t>
      </w:r>
      <w:r w:rsidR="00EF3D3A">
        <w:t xml:space="preserve"> </w:t>
      </w:r>
      <w:r>
        <w:t xml:space="preserve">an appropriate outcome. There has been recent work from the OECD on methodologies for allocating profits using a profit split approach. The </w:t>
      </w:r>
      <w:r w:rsidR="004E1C01">
        <w:t>RPM</w:t>
      </w:r>
      <w:r>
        <w:t xml:space="preserve"> should be reviewed, to determine whether the 50:50 profit split is consistent with best practice and globally agreed approaches.</w:t>
      </w:r>
    </w:p>
    <w:p w14:paraId="795A00C4" w14:textId="29F9E931" w:rsidR="00280AD2" w:rsidRPr="00280AD2" w:rsidRDefault="00280AD2" w:rsidP="00280AD2">
      <w:pPr>
        <w:rPr>
          <w:color w:val="auto"/>
        </w:rPr>
      </w:pPr>
      <w:r w:rsidRPr="00280AD2">
        <w:rPr>
          <w:color w:val="auto"/>
        </w:rPr>
        <w:t>The 50:50 split of profits results in outcomes that are inconsistent with the intent of properly capturing the upstream rents within the PRRT ring</w:t>
      </w:r>
      <w:r w:rsidR="005761D7">
        <w:rPr>
          <w:color w:val="auto"/>
        </w:rPr>
        <w:t xml:space="preserve"> </w:t>
      </w:r>
      <w:r w:rsidRPr="00280AD2">
        <w:rPr>
          <w:color w:val="auto"/>
        </w:rPr>
        <w:t>fence. Where resource rents are high, allocating the higher profits of the whole operation equally will result in the PRRT upstream project being undertaxed. Correspondingly, when downstream rents are high, the equal allocation of residual profits may result in the upstream PRRT project being overtaxed. The 50:50 split assumes that project rents are just as likely to be attributable to the downstream as the resource.</w:t>
      </w:r>
    </w:p>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14:paraId="53B78D61" w14:textId="11DE0BDE" w:rsidR="00474A46" w:rsidRDefault="00474A46" w:rsidP="00474A46">
      <w:r w:rsidRPr="00032480">
        <w:t>The RPM attempts to split project rents between the upstream and the downstream operations in a way that recognises how integrated operations work consistent with the design principles of the PRRT. It is a very complex process and there are aspects of the RPM calculations that can be questioned. It is not evident from the submissions, however, that there are workable alternative arrangements readily available which will result in improved outcomes. Moreover</w:t>
      </w:r>
      <w:r w:rsidR="001D573C">
        <w:t>,</w:t>
      </w:r>
      <w:r w:rsidRPr="00032480">
        <w:t xml:space="preserve"> recognising that the existing </w:t>
      </w:r>
      <w:r w:rsidR="00EC704C">
        <w:t>GTP</w:t>
      </w:r>
      <w:r w:rsidRPr="00032480">
        <w:t xml:space="preserve"> arrangements were developed in close consultation with the industry, and taking into account the long investment cycles of </w:t>
      </w:r>
      <w:r w:rsidR="00F50F20">
        <w:t>integrated L</w:t>
      </w:r>
      <w:r w:rsidR="008F7E47">
        <w:t>NG</w:t>
      </w:r>
      <w:r w:rsidR="00F50F20">
        <w:t xml:space="preserve"> operations</w:t>
      </w:r>
      <w:r w:rsidRPr="00032480">
        <w:t xml:space="preserve"> and the substantial investment that has taken place based on existing arrangements, any change in the approach to calculating transfer prices would require careful consideration and should be undertaken in consultation with industry. Any in depth review </w:t>
      </w:r>
      <w:r w:rsidR="004E1C01">
        <w:t>of GTP</w:t>
      </w:r>
      <w:r w:rsidRPr="00032480">
        <w:t xml:space="preserve"> could examine whether the current arrangements are consistent with the latest transfer pricing practices and whether particular elements should be changed, such as the notional loss situation, the appropriate way to split profits and the appropriate rate to use for the capital allowance.</w:t>
      </w:r>
    </w:p>
    <w:p w14:paraId="132BC100" w14:textId="2F8AE70E" w:rsidR="00C741B5" w:rsidRPr="0089309E" w:rsidRDefault="00C741B5" w:rsidP="00C741B5">
      <w:pPr>
        <w:pStyle w:val="Heading3"/>
      </w:pPr>
      <w:bookmarkStart w:id="7278" w:name="_Toc478641434"/>
      <w:bookmarkStart w:id="7279" w:name="_Toc478654328"/>
      <w:bookmarkStart w:id="7280" w:name="_Toc478654502"/>
      <w:bookmarkStart w:id="7281" w:name="_Toc478657797"/>
      <w:bookmarkStart w:id="7282" w:name="_Toc478993218"/>
      <w:bookmarkStart w:id="7283" w:name="_Toc479000289"/>
      <w:bookmarkStart w:id="7284" w:name="_Toc479002223"/>
      <w:bookmarkStart w:id="7285" w:name="_Toc479002395"/>
      <w:bookmarkStart w:id="7286" w:name="_Toc479254370"/>
      <w:bookmarkStart w:id="7287" w:name="_Toc479258559"/>
      <w:bookmarkStart w:id="7288" w:name="_Toc479258875"/>
      <w:bookmarkStart w:id="7289" w:name="_Toc479259767"/>
      <w:bookmarkStart w:id="7290" w:name="_Toc479262190"/>
      <w:bookmarkStart w:id="7291" w:name="_Toc479262611"/>
      <w:bookmarkStart w:id="7292" w:name="_Toc479321312"/>
      <w:bookmarkStart w:id="7293" w:name="_Toc479326751"/>
      <w:bookmarkStart w:id="7294" w:name="_Toc479333350"/>
      <w:bookmarkStart w:id="7295" w:name="_Toc479335047"/>
      <w:bookmarkStart w:id="7296" w:name="_Toc479341762"/>
      <w:bookmarkStart w:id="7297" w:name="_Toc479345178"/>
      <w:bookmarkStart w:id="7298" w:name="_Toc479345387"/>
      <w:bookmarkStart w:id="7299" w:name="_Toc479348368"/>
      <w:bookmarkStart w:id="7300" w:name="_Toc479675962"/>
      <w:bookmarkStart w:id="7301" w:name="_Toc479690929"/>
      <w:bookmarkStart w:id="7302" w:name="_Toc479693507"/>
      <w:bookmarkStart w:id="7303" w:name="_Toc479770676"/>
      <w:bookmarkStart w:id="7304" w:name="_Toc478566411"/>
      <w:bookmarkStart w:id="7305" w:name="_Toc478569578"/>
      <w:bookmarkStart w:id="7306" w:name="_Toc478569752"/>
      <w:bookmarkStart w:id="7307" w:name="_Toc478570826"/>
      <w:bookmarkStart w:id="7308" w:name="_Toc478633025"/>
      <w:bookmarkStart w:id="7309" w:name="_Toc477869914"/>
      <w:bookmarkStart w:id="7310" w:name="_Toc477871153"/>
      <w:bookmarkStart w:id="7311" w:name="_Toc477873312"/>
      <w:bookmarkStart w:id="7312" w:name="_Toc477875306"/>
      <w:bookmarkStart w:id="7313" w:name="_Toc477880219"/>
      <w:bookmarkStart w:id="7314" w:name="_Toc477881479"/>
      <w:bookmarkStart w:id="7315" w:name="_Toc477955883"/>
      <w:bookmarkStart w:id="7316" w:name="_Toc477963128"/>
      <w:bookmarkStart w:id="7317" w:name="_Toc477963614"/>
      <w:bookmarkStart w:id="7318" w:name="_Toc477965200"/>
      <w:bookmarkStart w:id="7319" w:name="_Toc477966704"/>
      <w:bookmarkStart w:id="7320" w:name="_Toc477966873"/>
      <w:bookmarkStart w:id="7321" w:name="_Toc477967213"/>
      <w:bookmarkStart w:id="7322" w:name="_Toc478121350"/>
      <w:bookmarkStart w:id="7323" w:name="_Toc478122263"/>
      <w:bookmarkStart w:id="7324" w:name="_Toc478132237"/>
      <w:bookmarkStart w:id="7325" w:name="_Toc478133263"/>
      <w:bookmarkStart w:id="7326" w:name="_Toc478132400"/>
      <w:bookmarkStart w:id="7327" w:name="_Toc478134729"/>
      <w:bookmarkStart w:id="7328" w:name="_Toc478137431"/>
      <w:bookmarkStart w:id="7329" w:name="_Toc478138503"/>
      <w:bookmarkStart w:id="7330" w:name="_Toc478140073"/>
      <w:bookmarkStart w:id="7331" w:name="_Toc478140489"/>
      <w:bookmarkStart w:id="7332" w:name="_Toc478142695"/>
      <w:r>
        <w:t>4</w:t>
      </w:r>
      <w:r w:rsidRPr="0089309E">
        <w:t>.9</w:t>
      </w:r>
      <w:r>
        <w:t>.6</w:t>
      </w:r>
      <w:r w:rsidRPr="0089309E">
        <w:tab/>
        <w:t>Gas Transfer Pricing and FLNG</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14:paraId="1097E3E3" w14:textId="77777777" w:rsidR="00C741B5" w:rsidRPr="00331C8A" w:rsidRDefault="00C741B5" w:rsidP="00C741B5">
      <w:r w:rsidRPr="00331C8A">
        <w:t xml:space="preserve">Dr Diane Kraal has </w:t>
      </w:r>
      <w:r>
        <w:t>publicly called for</w:t>
      </w:r>
      <w:r w:rsidRPr="00331C8A">
        <w:t xml:space="preserve"> the PRRT </w:t>
      </w:r>
      <w:r>
        <w:t>GTP</w:t>
      </w:r>
      <w:r w:rsidRPr="00331C8A">
        <w:t xml:space="preserve"> arrangements </w:t>
      </w:r>
      <w:r>
        <w:t>to</w:t>
      </w:r>
      <w:r w:rsidRPr="00331C8A">
        <w:t xml:space="preserve"> be reviewed to determine whether they adequately cover the development of FLNG (</w:t>
      </w:r>
      <w:r w:rsidRPr="008D36DF">
        <w:t>Kraal, 2016</w:t>
      </w:r>
      <w:r w:rsidRPr="00331C8A">
        <w:t>).</w:t>
      </w:r>
    </w:p>
    <w:p w14:paraId="2E0E2880" w14:textId="77777777" w:rsidR="00C741B5" w:rsidRPr="00331C8A" w:rsidRDefault="00C741B5" w:rsidP="00C741B5">
      <w:r w:rsidRPr="00331C8A">
        <w:t>Shell, who are developing the Prelude FLNG project, commented that:</w:t>
      </w:r>
    </w:p>
    <w:p w14:paraId="70347058" w14:textId="30532E20" w:rsidR="00C741B5" w:rsidRPr="00331C8A" w:rsidRDefault="00C741B5" w:rsidP="00C741B5">
      <w:pPr>
        <w:ind w:left="567" w:right="565"/>
        <w:rPr>
          <w:color w:val="1F497D" w:themeColor="text2"/>
          <w:sz w:val="20"/>
        </w:rPr>
      </w:pPr>
      <w:r w:rsidRPr="00331C8A">
        <w:rPr>
          <w:color w:val="1F497D" w:themeColor="text2"/>
          <w:sz w:val="20"/>
        </w:rPr>
        <w:t>There are no provisions under PRRT legislation that uniquely apply to FLNG projects and, in our view, none are necessary. The FLNG facility is essentially an LNG processing plant built on a very large floating structure (currently the largest in the world). The main difference between FLNG and conventional onshore LNG plants that is relevant for PRRT purposes is the floating infrastructure (</w:t>
      </w:r>
      <w:r w:rsidR="00C026C1">
        <w:rPr>
          <w:color w:val="1F497D" w:themeColor="text2"/>
          <w:sz w:val="20"/>
        </w:rPr>
        <w:t>for example,</w:t>
      </w:r>
      <w:r w:rsidRPr="00331C8A">
        <w:rPr>
          <w:color w:val="1F497D" w:themeColor="text2"/>
          <w:sz w:val="20"/>
        </w:rPr>
        <w:t xml:space="preserve"> the hull, turret and moorings). Further, FLNG projects do not require a lot of the land</w:t>
      </w:r>
      <w:r w:rsidR="005D6F39">
        <w:rPr>
          <w:color w:val="1F497D" w:themeColor="text2"/>
          <w:sz w:val="20"/>
        </w:rPr>
        <w:noBreakHyphen/>
      </w:r>
      <w:r w:rsidRPr="00331C8A">
        <w:rPr>
          <w:color w:val="1F497D" w:themeColor="text2"/>
          <w:sz w:val="20"/>
        </w:rPr>
        <w:t>specific infrastructure, including jetties and the works associated with constructing facilities on land.</w:t>
      </w:r>
    </w:p>
    <w:p w14:paraId="26C6C280" w14:textId="77777777" w:rsidR="00C741B5" w:rsidRPr="00331C8A" w:rsidRDefault="00C741B5" w:rsidP="00C741B5">
      <w:pPr>
        <w:ind w:left="567" w:right="565"/>
        <w:rPr>
          <w:color w:val="1F497D" w:themeColor="text2"/>
          <w:sz w:val="20"/>
        </w:rPr>
      </w:pPr>
      <w:r w:rsidRPr="00331C8A">
        <w:rPr>
          <w:color w:val="1F497D" w:themeColor="text2"/>
          <w:sz w:val="20"/>
        </w:rPr>
        <w:t xml:space="preserve">Expenditure relating to both FLNG and onshore LNG processing plants needs to be apportioned between the upstream (deductible for PRRT) and downstream (not deductible) operations. The capital expenditure relating to differences between FLNG and onshore LNG processing plants is much less than the expenditure on infrastructure and equipment that is common to both, including processing and storage components. Accordingly, in our view, the PRRT outcomes for FLNG projects will be materially consistent with conventional LNG projects </w:t>
      </w:r>
      <w:r w:rsidRPr="008D36DF">
        <w:rPr>
          <w:color w:val="1F497D" w:themeColor="text2"/>
          <w:sz w:val="20"/>
        </w:rPr>
        <w:t>(Shell Submission p. 18)</w:t>
      </w:r>
      <w:r w:rsidRPr="00331C8A">
        <w:rPr>
          <w:color w:val="1F497D" w:themeColor="text2"/>
          <w:sz w:val="20"/>
        </w:rPr>
        <w:t>.</w:t>
      </w:r>
    </w:p>
    <w:p w14:paraId="32207CF2" w14:textId="170C14E0" w:rsidR="00C741B5" w:rsidRPr="00331C8A" w:rsidRDefault="00C741B5" w:rsidP="00C741B5">
      <w:r w:rsidRPr="00331C8A" w:rsidDel="001921ED">
        <w:t xml:space="preserve">There are important choices that need to be made in relation to the </w:t>
      </w:r>
      <w:r>
        <w:t>RPM</w:t>
      </w:r>
      <w:r w:rsidR="00A32DE5">
        <w:t>;</w:t>
      </w:r>
      <w:r w:rsidRPr="00331C8A" w:rsidDel="001921ED">
        <w:t xml:space="preserve"> </w:t>
      </w:r>
      <w:r w:rsidR="00A32DE5">
        <w:t>i</w:t>
      </w:r>
      <w:r w:rsidRPr="00331C8A" w:rsidDel="001921ED">
        <w:t>n particular</w:t>
      </w:r>
      <w:r w:rsidR="00A32DE5">
        <w:t>,</w:t>
      </w:r>
      <w:r w:rsidRPr="00331C8A" w:rsidDel="001921ED">
        <w:t xml:space="preserve"> the allocation of capital expenditure between the downstream and upstream phases of </w:t>
      </w:r>
      <w:r w:rsidR="00A32DE5">
        <w:t>a</w:t>
      </w:r>
      <w:r w:rsidR="00211A16">
        <w:t>n</w:t>
      </w:r>
      <w:r w:rsidR="00A32DE5">
        <w:t xml:space="preserve"> FLNG</w:t>
      </w:r>
      <w:r w:rsidRPr="00331C8A" w:rsidDel="001921ED">
        <w:t xml:space="preserve"> project. </w:t>
      </w:r>
      <w:r w:rsidRPr="00331C8A">
        <w:t>The taxing point for a project will depend on the particular design of the project and how the gas is processed. In some projects the processing from natural gas to sales gas and the subsequent liquefaction happen in the same plant and</w:t>
      </w:r>
      <w:r w:rsidR="00A32DE5">
        <w:t>,</w:t>
      </w:r>
      <w:r w:rsidRPr="00331C8A">
        <w:t xml:space="preserve"> as a result</w:t>
      </w:r>
      <w:r w:rsidR="00A32DE5">
        <w:t>,</w:t>
      </w:r>
      <w:r w:rsidRPr="00331C8A">
        <w:t xml:space="preserve"> the taxing point for the gas occurs inside the LNG plant. This apportionment issue is the same for </w:t>
      </w:r>
      <w:r w:rsidR="00A32DE5">
        <w:t>FLNG</w:t>
      </w:r>
      <w:r w:rsidR="00A32DE5" w:rsidRPr="00331C8A">
        <w:t xml:space="preserve"> </w:t>
      </w:r>
      <w:r w:rsidRPr="00331C8A">
        <w:t xml:space="preserve">projects </w:t>
      </w:r>
      <w:r w:rsidR="00A32DE5">
        <w:t>and regular LNG</w:t>
      </w:r>
      <w:r w:rsidRPr="00331C8A">
        <w:t xml:space="preserve"> projects</w:t>
      </w:r>
      <w:r w:rsidR="00A32DE5">
        <w:t>, though</w:t>
      </w:r>
      <w:r w:rsidRPr="00331C8A">
        <w:t xml:space="preserve"> FLNG will</w:t>
      </w:r>
      <w:r w:rsidRPr="00331C8A" w:rsidDel="001921ED">
        <w:t xml:space="preserve"> </w:t>
      </w:r>
      <w:r w:rsidRPr="00331C8A">
        <w:t>involve apportionment of different physical assets.</w:t>
      </w:r>
    </w:p>
    <w:p w14:paraId="5E0D4EF4" w14:textId="122BA0BE" w:rsidR="00C741B5" w:rsidRDefault="00C741B5" w:rsidP="00474A46">
      <w:r w:rsidRPr="00331C8A">
        <w:t xml:space="preserve">Both the PRRT and the RPM already contain apportionment rules between the upstream and downstream components, and for apportionment between petroleum commodities. Although FLNG presents new challenges these are no different conceptually to challenges resulting from any new technological, value chain or process development and the </w:t>
      </w:r>
      <w:r>
        <w:t>GTP</w:t>
      </w:r>
      <w:r w:rsidRPr="00331C8A">
        <w:t xml:space="preserve"> regulations are equipped to deal with them</w:t>
      </w:r>
      <w:r w:rsidR="00F7103C">
        <w:t>,</w:t>
      </w:r>
      <w:r w:rsidRPr="00331C8A">
        <w:t xml:space="preserve"> as complicated as they are.</w:t>
      </w:r>
    </w:p>
    <w:p w14:paraId="264A3F23" w14:textId="4675D4D3" w:rsidR="007A7B70" w:rsidRDefault="008120BA" w:rsidP="007A7B70">
      <w:pPr>
        <w:pStyle w:val="Heading2"/>
      </w:pPr>
      <w:bookmarkStart w:id="7333" w:name="_Toc478641435"/>
      <w:bookmarkStart w:id="7334" w:name="_Toc478654329"/>
      <w:bookmarkStart w:id="7335" w:name="_Toc478654503"/>
      <w:bookmarkStart w:id="7336" w:name="_Toc478657798"/>
      <w:bookmarkStart w:id="7337" w:name="_Toc478993219"/>
      <w:bookmarkStart w:id="7338" w:name="_Toc479000290"/>
      <w:bookmarkStart w:id="7339" w:name="_Toc479002224"/>
      <w:bookmarkStart w:id="7340" w:name="_Toc479002396"/>
      <w:bookmarkStart w:id="7341" w:name="_Toc479254371"/>
      <w:bookmarkStart w:id="7342" w:name="_Toc479258560"/>
      <w:bookmarkStart w:id="7343" w:name="_Toc479258876"/>
      <w:bookmarkStart w:id="7344" w:name="_Toc479259768"/>
      <w:bookmarkStart w:id="7345" w:name="_Toc479262191"/>
      <w:bookmarkStart w:id="7346" w:name="_Toc479262612"/>
      <w:bookmarkStart w:id="7347" w:name="_Toc479321313"/>
      <w:bookmarkStart w:id="7348" w:name="_Toc479326752"/>
      <w:bookmarkStart w:id="7349" w:name="_Toc479333351"/>
      <w:bookmarkStart w:id="7350" w:name="_Toc479335048"/>
      <w:bookmarkStart w:id="7351" w:name="_Toc479341763"/>
      <w:bookmarkStart w:id="7352" w:name="_Toc479345179"/>
      <w:bookmarkStart w:id="7353" w:name="_Toc479345388"/>
      <w:bookmarkStart w:id="7354" w:name="_Toc479348369"/>
      <w:bookmarkStart w:id="7355" w:name="_Toc479675963"/>
      <w:bookmarkStart w:id="7356" w:name="_Toc479690930"/>
      <w:bookmarkStart w:id="7357" w:name="_Toc479693508"/>
      <w:bookmarkStart w:id="7358" w:name="_Toc479770677"/>
      <w:r>
        <w:t>4.10</w:t>
      </w:r>
      <w:r w:rsidR="00EC704C">
        <w:tab/>
      </w:r>
      <w:r w:rsidR="007A7B70" w:rsidRPr="00016663">
        <w:t xml:space="preserve">PRRT </w:t>
      </w:r>
      <w:r w:rsidR="004E1C01" w:rsidRPr="00400324">
        <w:t>and</w:t>
      </w:r>
      <w:r w:rsidR="007A7B70" w:rsidRPr="00016663">
        <w:t xml:space="preserve"> </w:t>
      </w:r>
      <w:r w:rsidR="00F7103C">
        <w:t>I</w:t>
      </w:r>
      <w:r w:rsidR="007A7B70" w:rsidRPr="00016663">
        <w:t xml:space="preserve">nvestment in </w:t>
      </w:r>
      <w:bookmarkEnd w:id="7304"/>
      <w:bookmarkEnd w:id="7305"/>
      <w:bookmarkEnd w:id="7306"/>
      <w:bookmarkEnd w:id="7307"/>
      <w:bookmarkEnd w:id="7308"/>
      <w:bookmarkEnd w:id="7333"/>
      <w:bookmarkEnd w:id="7334"/>
      <w:bookmarkEnd w:id="7335"/>
      <w:bookmarkEnd w:id="7336"/>
      <w:bookmarkEnd w:id="7337"/>
      <w:bookmarkEnd w:id="7338"/>
      <w:bookmarkEnd w:id="7339"/>
      <w:bookmarkEnd w:id="7340"/>
      <w:r w:rsidR="00F7103C">
        <w:t>Marginal P</w:t>
      </w:r>
      <w:r w:rsidR="007A7B70" w:rsidRPr="00016663">
        <w:t>rojects</w:t>
      </w:r>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0964F7A9" w14:textId="1DCB9ACD" w:rsidR="007A7B70" w:rsidRDefault="007A7B70" w:rsidP="007A7B70">
      <w:r>
        <w:t xml:space="preserve">A design feature of the PRRT and one of the reasons for its </w:t>
      </w:r>
      <w:r w:rsidR="00223826">
        <w:t>introduction</w:t>
      </w:r>
      <w:r>
        <w:t xml:space="preserve"> was to have a taxation regime that did not discourage investment in marginal projects. While marginal petroleum projects may not pay PRRT</w:t>
      </w:r>
      <w:r w:rsidR="00211A16">
        <w:t>,</w:t>
      </w:r>
      <w:r>
        <w:t xml:space="preserve"> there is still benefit to the community in the form of </w:t>
      </w:r>
      <w:r w:rsidR="004E1C01">
        <w:t>the</w:t>
      </w:r>
      <w:r>
        <w:t xml:space="preserve"> resulting economic activity</w:t>
      </w:r>
      <w:r w:rsidR="00F7103C">
        <w:t>, employment</w:t>
      </w:r>
      <w:r w:rsidR="004E1C01">
        <w:t xml:space="preserve"> and increase in other taxes, such as </w:t>
      </w:r>
      <w:r>
        <w:t xml:space="preserve">payroll and company tax. </w:t>
      </w:r>
      <w:r w:rsidR="00F7103C">
        <w:t>Furthermore, a</w:t>
      </w:r>
      <w:r>
        <w:t xml:space="preserve">t the time of its introduction there was </w:t>
      </w:r>
      <w:r w:rsidR="004E1C01">
        <w:t>al</w:t>
      </w:r>
      <w:r w:rsidR="00223826">
        <w:t>so</w:t>
      </w:r>
      <w:r w:rsidR="004E1C01">
        <w:t xml:space="preserve"> a </w:t>
      </w:r>
      <w:r>
        <w:t xml:space="preserve">strong concern about energy security and supply </w:t>
      </w:r>
      <w:r w:rsidR="004E1C01">
        <w:t xml:space="preserve">after the </w:t>
      </w:r>
      <w:r>
        <w:t>two oil shocks in the 1970s resulted in high prices and supply shortages.</w:t>
      </w:r>
    </w:p>
    <w:p w14:paraId="25D53252" w14:textId="552A8DCD" w:rsidR="00211A16" w:rsidRDefault="007A7B70" w:rsidP="007A7B70">
      <w:r>
        <w:t xml:space="preserve">Uniting Church </w:t>
      </w:r>
      <w:r w:rsidR="000745B2">
        <w:t>in</w:t>
      </w:r>
      <w:r>
        <w:t xml:space="preserve"> Australia, </w:t>
      </w:r>
      <w:r w:rsidR="00211A16">
        <w:t xml:space="preserve">the </w:t>
      </w:r>
      <w:r>
        <w:t>Tax Justice Network</w:t>
      </w:r>
      <w:r w:rsidR="00211A16">
        <w:t xml:space="preserve"> Australia</w:t>
      </w:r>
      <w:r>
        <w:t xml:space="preserve"> and </w:t>
      </w:r>
      <w:r w:rsidR="00211A16">
        <w:t xml:space="preserve">The </w:t>
      </w:r>
      <w:r>
        <w:t xml:space="preserve">Australia Institute submissions argued the design of the PRRT has the effect of distorting investment by encouraging the development of economically </w:t>
      </w:r>
      <w:r w:rsidR="001E411E">
        <w:t>sub</w:t>
      </w:r>
      <w:r w:rsidR="005D6F39">
        <w:noBreakHyphen/>
      </w:r>
      <w:r>
        <w:t xml:space="preserve">marginal projects; including </w:t>
      </w:r>
      <w:r w:rsidR="001E411E">
        <w:t xml:space="preserve">causing the development of </w:t>
      </w:r>
      <w:r>
        <w:t xml:space="preserve">projects </w:t>
      </w:r>
      <w:r w:rsidR="001E411E">
        <w:t>before commercial conditions make them clearly</w:t>
      </w:r>
      <w:r>
        <w:t xml:space="preserve"> profitable</w:t>
      </w:r>
      <w:r w:rsidR="001E411E">
        <w:t>. In general, these submissions suggest that any project that does not pay amounts of PRRT equivalent to what royalties or excises would collect is sub</w:t>
      </w:r>
      <w:r w:rsidR="005D6F39">
        <w:noBreakHyphen/>
      </w:r>
      <w:r w:rsidR="001E411E">
        <w:t>marginal and should not have proceeded.</w:t>
      </w:r>
    </w:p>
    <w:p w14:paraId="017DCEFD" w14:textId="2A16D6F5" w:rsidR="007A7B70" w:rsidRDefault="001E411E" w:rsidP="007A7B70">
      <w:r>
        <w:t xml:space="preserve">Specifically, the </w:t>
      </w:r>
      <w:r w:rsidR="000745B2">
        <w:t xml:space="preserve">Justice and International Mission Unit, Synod of Victoria and Tasmania, </w:t>
      </w:r>
      <w:r w:rsidR="007A7B70">
        <w:t>Uniting Church in Australia observed:</w:t>
      </w:r>
    </w:p>
    <w:p w14:paraId="527A630D" w14:textId="5BD0D88C" w:rsidR="007A7B70" w:rsidRPr="00815A79" w:rsidRDefault="007A7B70" w:rsidP="007A7B70">
      <w:pPr>
        <w:ind w:left="567" w:right="565"/>
        <w:rPr>
          <w:color w:val="1F497D" w:themeColor="text2"/>
          <w:sz w:val="20"/>
        </w:rPr>
      </w:pPr>
      <w:r>
        <w:rPr>
          <w:color w:val="1F497D" w:themeColor="text2"/>
          <w:sz w:val="20"/>
        </w:rPr>
        <w:t>T</w:t>
      </w:r>
      <w:r w:rsidRPr="001B1FBD">
        <w:rPr>
          <w:color w:val="1F497D" w:themeColor="text2"/>
          <w:sz w:val="20"/>
        </w:rPr>
        <w:t>he current design of the PRRT is to stimulate exploitation of Australia</w:t>
      </w:r>
      <w:r w:rsidR="005D6F39">
        <w:rPr>
          <w:color w:val="1F497D" w:themeColor="text2"/>
          <w:sz w:val="20"/>
        </w:rPr>
        <w:t>’</w:t>
      </w:r>
      <w:r w:rsidRPr="001B1FBD">
        <w:rPr>
          <w:color w:val="1F497D" w:themeColor="text2"/>
          <w:sz w:val="20"/>
        </w:rPr>
        <w:t>s non</w:t>
      </w:r>
      <w:r w:rsidR="005D6F39">
        <w:rPr>
          <w:color w:val="1F497D" w:themeColor="text2"/>
          <w:sz w:val="20"/>
        </w:rPr>
        <w:noBreakHyphen/>
      </w:r>
      <w:r w:rsidRPr="001B1FBD">
        <w:rPr>
          <w:color w:val="1F497D" w:themeColor="text2"/>
          <w:sz w:val="20"/>
        </w:rPr>
        <w:t>renewable oil and gas reserves as soon as possible, rather than across a period of time when the return to the Australian public would be greatest</w:t>
      </w:r>
      <w:r>
        <w:rPr>
          <w:color w:val="1F497D" w:themeColor="text2"/>
          <w:sz w:val="20"/>
        </w:rPr>
        <w:t xml:space="preserve"> </w:t>
      </w:r>
      <w:r w:rsidRPr="002700E0">
        <w:rPr>
          <w:color w:val="1F497D" w:themeColor="text2"/>
          <w:sz w:val="20"/>
        </w:rPr>
        <w:t>(</w:t>
      </w:r>
      <w:r w:rsidR="000745B2" w:rsidRPr="000745B2">
        <w:rPr>
          <w:color w:val="1F497D" w:themeColor="text2"/>
          <w:sz w:val="20"/>
        </w:rPr>
        <w:t xml:space="preserve">Justice and International Mission Unit, Synod of Victoria and Tasmania, </w:t>
      </w:r>
      <w:r w:rsidRPr="002700E0">
        <w:rPr>
          <w:color w:val="1F497D" w:themeColor="text2"/>
          <w:sz w:val="20"/>
        </w:rPr>
        <w:t xml:space="preserve">Uniting Church </w:t>
      </w:r>
      <w:r w:rsidR="000745B2" w:rsidRPr="000745B2">
        <w:rPr>
          <w:color w:val="1F497D" w:themeColor="text2"/>
          <w:sz w:val="20"/>
        </w:rPr>
        <w:t xml:space="preserve">in Australia </w:t>
      </w:r>
      <w:r w:rsidRPr="002700E0">
        <w:rPr>
          <w:color w:val="1F497D" w:themeColor="text2"/>
          <w:sz w:val="20"/>
        </w:rPr>
        <w:t>Submission, p</w:t>
      </w:r>
      <w:r w:rsidR="003E69D7">
        <w:rPr>
          <w:color w:val="1F497D" w:themeColor="text2"/>
          <w:sz w:val="20"/>
        </w:rPr>
        <w:t>.</w:t>
      </w:r>
      <w:r w:rsidRPr="002700E0">
        <w:rPr>
          <w:color w:val="1F497D" w:themeColor="text2"/>
          <w:sz w:val="20"/>
        </w:rPr>
        <w:t xml:space="preserve"> 1)</w:t>
      </w:r>
      <w:r w:rsidRPr="00D640A2">
        <w:rPr>
          <w:color w:val="1F497D" w:themeColor="text2"/>
          <w:sz w:val="20"/>
        </w:rPr>
        <w:t>.</w:t>
      </w:r>
    </w:p>
    <w:p w14:paraId="3C36CAD5" w14:textId="77777777" w:rsidR="007A7B70" w:rsidRDefault="007A7B70" w:rsidP="007A7B70">
      <w:r>
        <w:t>The Tax Justice Network Australia stated:</w:t>
      </w:r>
    </w:p>
    <w:p w14:paraId="1D101BE8" w14:textId="322F9C45" w:rsidR="007A7B70" w:rsidRPr="00D640A2" w:rsidRDefault="007A7B70" w:rsidP="007A7B70">
      <w:pPr>
        <w:ind w:left="567" w:right="565"/>
        <w:rPr>
          <w:color w:val="1F497D" w:themeColor="text2"/>
          <w:sz w:val="20"/>
        </w:rPr>
      </w:pPr>
      <w:r w:rsidRPr="00CB5873">
        <w:rPr>
          <w:color w:val="1F497D" w:themeColor="text2"/>
          <w:sz w:val="20"/>
        </w:rPr>
        <w:t xml:space="preserve">To be cost neutral in terms of the returns to the public, the PRRT would need to collect for highly profitable projects what it gives away to bringing on line </w:t>
      </w:r>
      <w:r w:rsidR="00C026C1">
        <w:rPr>
          <w:color w:val="1F497D" w:themeColor="text2"/>
          <w:sz w:val="20"/>
        </w:rPr>
        <w:t>‘</w:t>
      </w:r>
      <w:r w:rsidRPr="00CB5873">
        <w:rPr>
          <w:color w:val="1F497D" w:themeColor="text2"/>
          <w:sz w:val="20"/>
        </w:rPr>
        <w:t>marginal</w:t>
      </w:r>
      <w:r w:rsidR="00C026C1">
        <w:rPr>
          <w:color w:val="1F497D" w:themeColor="text2"/>
          <w:sz w:val="20"/>
        </w:rPr>
        <w:t>’</w:t>
      </w:r>
      <w:r w:rsidRPr="00CB5873">
        <w:rPr>
          <w:color w:val="1F497D" w:themeColor="text2"/>
          <w:sz w:val="20"/>
        </w:rPr>
        <w:t xml:space="preserve"> projects earlier than they would have otherwise been brought online. If the PRRT collects less than what could be collected by an excise or royalty scheme, then in effect the Commonwealth Government is making the public subsidise the bringing online of </w:t>
      </w:r>
      <w:r w:rsidR="00C026C1">
        <w:rPr>
          <w:color w:val="1F497D" w:themeColor="text2"/>
          <w:sz w:val="20"/>
        </w:rPr>
        <w:t>‘</w:t>
      </w:r>
      <w:r w:rsidRPr="00CB5873">
        <w:rPr>
          <w:color w:val="1F497D" w:themeColor="text2"/>
          <w:sz w:val="20"/>
        </w:rPr>
        <w:t>marginal</w:t>
      </w:r>
      <w:r w:rsidR="00C026C1">
        <w:rPr>
          <w:color w:val="1F497D" w:themeColor="text2"/>
          <w:sz w:val="20"/>
        </w:rPr>
        <w:t>’</w:t>
      </w:r>
      <w:r w:rsidRPr="00CB5873">
        <w:rPr>
          <w:color w:val="1F497D" w:themeColor="text2"/>
          <w:sz w:val="20"/>
        </w:rPr>
        <w:t xml:space="preserve"> projects ahead of when they would have become profitable</w:t>
      </w:r>
      <w:r w:rsidRPr="00D640A2">
        <w:rPr>
          <w:color w:val="1F497D" w:themeColor="text2"/>
          <w:sz w:val="20"/>
        </w:rPr>
        <w:t xml:space="preserve"> </w:t>
      </w:r>
      <w:r w:rsidRPr="002700E0">
        <w:rPr>
          <w:color w:val="1F497D" w:themeColor="text2"/>
          <w:sz w:val="20"/>
        </w:rPr>
        <w:t>(Tax Justice Network Australia Submission, p</w:t>
      </w:r>
      <w:r w:rsidR="003E69D7">
        <w:rPr>
          <w:color w:val="1F497D" w:themeColor="text2"/>
          <w:sz w:val="20"/>
        </w:rPr>
        <w:t>.</w:t>
      </w:r>
      <w:r w:rsidRPr="002700E0">
        <w:rPr>
          <w:color w:val="1F497D" w:themeColor="text2"/>
          <w:sz w:val="20"/>
        </w:rPr>
        <w:t xml:space="preserve"> 5)</w:t>
      </w:r>
      <w:r w:rsidRPr="00D640A2">
        <w:rPr>
          <w:color w:val="1F497D" w:themeColor="text2"/>
          <w:sz w:val="20"/>
        </w:rPr>
        <w:t>.</w:t>
      </w:r>
    </w:p>
    <w:p w14:paraId="4EAD2201" w14:textId="421B57E3" w:rsidR="001E411E" w:rsidRPr="00211A16" w:rsidRDefault="001E411E" w:rsidP="001E411E">
      <w:r>
        <w:t>The Australia Institute concluded that the PRRT encourages the development of sub</w:t>
      </w:r>
      <w:r w:rsidR="005D6F39">
        <w:noBreakHyphen/>
      </w:r>
      <w:r>
        <w:t>marginal projects that should not go ahead:</w:t>
      </w:r>
    </w:p>
    <w:p w14:paraId="63B73A5A" w14:textId="5E1C688D" w:rsidR="007A7B70" w:rsidRPr="00AD7052" w:rsidRDefault="007A7B70" w:rsidP="007A7B70">
      <w:pPr>
        <w:ind w:left="720"/>
        <w:rPr>
          <w:color w:val="1F497D" w:themeColor="text2"/>
          <w:sz w:val="18"/>
        </w:rPr>
      </w:pPr>
      <w:r w:rsidRPr="00AD7052">
        <w:rPr>
          <w:color w:val="1F497D" w:themeColor="text2"/>
          <w:sz w:val="20"/>
          <w:szCs w:val="23"/>
        </w:rPr>
        <w:t xml:space="preserve">Projects that deliver no economic rent, pay no PRRT, no royalties and receive subsidised infrastructure and other assistance are not the </w:t>
      </w:r>
      <w:r w:rsidR="005D6F39">
        <w:rPr>
          <w:color w:val="1F497D" w:themeColor="text2"/>
          <w:sz w:val="20"/>
          <w:szCs w:val="23"/>
        </w:rPr>
        <w:t>‘</w:t>
      </w:r>
      <w:r w:rsidRPr="00AD7052">
        <w:rPr>
          <w:color w:val="1F497D" w:themeColor="text2"/>
          <w:sz w:val="20"/>
          <w:szCs w:val="23"/>
        </w:rPr>
        <w:t>marginal project</w:t>
      </w:r>
      <w:r w:rsidR="005D6F39">
        <w:rPr>
          <w:color w:val="1F497D" w:themeColor="text2"/>
          <w:sz w:val="20"/>
          <w:szCs w:val="23"/>
        </w:rPr>
        <w:t>’</w:t>
      </w:r>
      <w:r w:rsidRPr="00AD7052">
        <w:rPr>
          <w:color w:val="1F497D" w:themeColor="text2"/>
          <w:sz w:val="20"/>
          <w:szCs w:val="23"/>
        </w:rPr>
        <w:t xml:space="preserve"> that the PRRT aims to facilitate. They are sub</w:t>
      </w:r>
      <w:r w:rsidR="005D6F39">
        <w:rPr>
          <w:color w:val="1F497D" w:themeColor="text2"/>
          <w:sz w:val="20"/>
          <w:szCs w:val="23"/>
        </w:rPr>
        <w:noBreakHyphen/>
      </w:r>
      <w:r w:rsidRPr="00AD7052">
        <w:rPr>
          <w:color w:val="1F497D" w:themeColor="text2"/>
          <w:sz w:val="20"/>
          <w:szCs w:val="23"/>
        </w:rPr>
        <w:t>marginal, reduce the welfare of the Australian public and should not be pursued. In such cases it appears the current system works to distort investment and in</w:t>
      </w:r>
      <w:r>
        <w:rPr>
          <w:color w:val="1F497D" w:themeColor="text2"/>
          <w:sz w:val="20"/>
          <w:szCs w:val="23"/>
        </w:rPr>
        <w:t>centivise sub</w:t>
      </w:r>
      <w:r w:rsidR="005D6F39">
        <w:rPr>
          <w:color w:val="1F497D" w:themeColor="text2"/>
          <w:sz w:val="20"/>
          <w:szCs w:val="23"/>
        </w:rPr>
        <w:noBreakHyphen/>
      </w:r>
      <w:r>
        <w:rPr>
          <w:color w:val="1F497D" w:themeColor="text2"/>
          <w:sz w:val="20"/>
          <w:szCs w:val="23"/>
        </w:rPr>
        <w:t xml:space="preserve">marginal projects </w:t>
      </w:r>
      <w:r w:rsidRPr="002700E0">
        <w:rPr>
          <w:color w:val="1F497D" w:themeColor="text2"/>
          <w:sz w:val="20"/>
        </w:rPr>
        <w:t>(The Australia Institute Submission, p 3)</w:t>
      </w:r>
      <w:r w:rsidRPr="00D640A2">
        <w:rPr>
          <w:color w:val="1F497D" w:themeColor="text2"/>
          <w:sz w:val="20"/>
          <w:szCs w:val="23"/>
        </w:rPr>
        <w:t>.</w:t>
      </w:r>
    </w:p>
    <w:p w14:paraId="54FC55DC" w14:textId="3BC1C7B7" w:rsidR="001E411E" w:rsidRDefault="001E411E" w:rsidP="001E411E">
      <w:r>
        <w:t>The PRRT is not designed to bring forward marginal projects for early production or to encourage sub</w:t>
      </w:r>
      <w:r w:rsidR="005D6F39">
        <w:noBreakHyphen/>
      </w:r>
      <w:r>
        <w:t>marginal projects to be developed. The profit</w:t>
      </w:r>
      <w:r w:rsidR="005D6F39">
        <w:noBreakHyphen/>
      </w:r>
      <w:r>
        <w:t>based PRRT is designed to have as neutral an impact as practicable on investment decisions in the petroleum industry, including the timing of those decisions</w:t>
      </w:r>
      <w:r w:rsidR="004A266C">
        <w:t>,</w:t>
      </w:r>
      <w:r>
        <w:t xml:space="preserve"> relative to the decisions that would have been taken in the absence of PRRT.</w:t>
      </w:r>
    </w:p>
    <w:p w14:paraId="6F76C4D1" w14:textId="36189C0E" w:rsidR="001E411E" w:rsidRDefault="001E411E" w:rsidP="001E411E">
      <w:r>
        <w:t>In contrast, traditional production</w:t>
      </w:r>
      <w:r w:rsidR="005D6F39">
        <w:noBreakHyphen/>
      </w:r>
      <w:r>
        <w:t xml:space="preserve">based petroleum royalties and excises are likely to </w:t>
      </w:r>
      <w:r w:rsidR="004A266C">
        <w:t>have a more distortive impact on</w:t>
      </w:r>
      <w:r>
        <w:t xml:space="preserve"> investment decision</w:t>
      </w:r>
      <w:r w:rsidR="004A266C">
        <w:t xml:space="preserve"> </w:t>
      </w:r>
      <w:r>
        <w:t xml:space="preserve">making (see </w:t>
      </w:r>
      <w:r w:rsidR="005761D7" w:rsidRPr="006D28D4">
        <w:t>s</w:t>
      </w:r>
      <w:r w:rsidRPr="006D28D4">
        <w:t>ection 2.1.1</w:t>
      </w:r>
      <w:r>
        <w:t xml:space="preserve">). To illustrate, the submission of the </w:t>
      </w:r>
      <w:r w:rsidR="004A266C">
        <w:t>WA</w:t>
      </w:r>
      <w:r>
        <w:t xml:space="preserve"> Government, while pointing to the practical benefits of production</w:t>
      </w:r>
      <w:r w:rsidR="005D6F39">
        <w:noBreakHyphen/>
      </w:r>
      <w:r>
        <w:t xml:space="preserve">based royalties, noted the clear benefits </w:t>
      </w:r>
      <w:r w:rsidR="004A266C">
        <w:t>of</w:t>
      </w:r>
      <w:r>
        <w:t xml:space="preserve"> sound investment and production decisions that came from replacing production</w:t>
      </w:r>
      <w:r w:rsidR="005D6F39">
        <w:noBreakHyphen/>
      </w:r>
      <w:r>
        <w:t>based imposts with the Resource Rent Royalty (a tax similar to the PRRT) on the Barrow Island project:</w:t>
      </w:r>
    </w:p>
    <w:p w14:paraId="7AC78EB3" w14:textId="1073E637" w:rsidR="001E411E" w:rsidRPr="000F65A7" w:rsidRDefault="008950BC" w:rsidP="001E411E">
      <w:pPr>
        <w:pStyle w:val="Default"/>
        <w:spacing w:after="240"/>
        <w:ind w:left="720"/>
        <w:rPr>
          <w:rFonts w:eastAsiaTheme="minorHAnsi"/>
          <w:color w:val="1F497D"/>
          <w:sz w:val="20"/>
          <w:lang w:eastAsia="en-US"/>
        </w:rPr>
      </w:pPr>
      <w:r>
        <w:rPr>
          <w:rFonts w:ascii="Book Antiqua" w:eastAsiaTheme="minorHAnsi" w:hAnsi="Book Antiqua"/>
          <w:color w:val="1F497D"/>
          <w:sz w:val="20"/>
          <w:szCs w:val="20"/>
          <w:lang w:eastAsia="en-US"/>
        </w:rPr>
        <w:t xml:space="preserve">… </w:t>
      </w:r>
      <w:r w:rsidR="001E411E" w:rsidRPr="000F65A7">
        <w:rPr>
          <w:rFonts w:ascii="Book Antiqua" w:eastAsiaTheme="minorHAnsi" w:hAnsi="Book Antiqua"/>
          <w:color w:val="1F497D"/>
          <w:sz w:val="20"/>
          <w:szCs w:val="20"/>
          <w:lang w:eastAsia="en-US"/>
        </w:rPr>
        <w:t xml:space="preserve">to ensure the viability of this project, these regimes were replaced with a Resource Rent Royalty under the </w:t>
      </w:r>
      <w:r w:rsidR="001E411E" w:rsidRPr="000F65A7">
        <w:rPr>
          <w:rFonts w:ascii="Book Antiqua" w:eastAsiaTheme="minorHAnsi" w:hAnsi="Book Antiqua"/>
          <w:i/>
          <w:iCs/>
          <w:color w:val="1F497D"/>
          <w:sz w:val="20"/>
          <w:szCs w:val="20"/>
          <w:lang w:eastAsia="en-US"/>
        </w:rPr>
        <w:t xml:space="preserve">Barrow Island Royalty Variation Agreement Act 1985 </w:t>
      </w:r>
      <w:r w:rsidR="001E411E" w:rsidRPr="000F65A7">
        <w:rPr>
          <w:rFonts w:ascii="Book Antiqua" w:eastAsiaTheme="minorHAnsi" w:hAnsi="Book Antiqua"/>
          <w:color w:val="1F497D"/>
          <w:sz w:val="20"/>
          <w:szCs w:val="20"/>
          <w:lang w:eastAsia="en-US"/>
        </w:rPr>
        <w:t>as an incentive for the continued maintenance of the wells on Barrow Island to ensure optimal oil recovery. At the time it was considered the combined royalty regimes were threatening the shutdown of parts of the project (Western Australian Government submission, p. 8)</w:t>
      </w:r>
      <w:r w:rsidR="001E411E">
        <w:rPr>
          <w:rFonts w:ascii="Book Antiqua" w:eastAsiaTheme="minorHAnsi" w:hAnsi="Book Antiqua"/>
          <w:color w:val="1F497D"/>
          <w:sz w:val="20"/>
          <w:szCs w:val="20"/>
          <w:lang w:eastAsia="en-US"/>
        </w:rPr>
        <w:t>.</w:t>
      </w:r>
    </w:p>
    <w:p w14:paraId="0FB9DEB8" w14:textId="26192D59" w:rsidR="001E411E" w:rsidRDefault="001E411E" w:rsidP="001E411E">
      <w:r>
        <w:t>These views in the above submissions also suggest a jurisdiction</w:t>
      </w:r>
      <w:r w:rsidR="005D6F39">
        <w:t>’</w:t>
      </w:r>
      <w:r>
        <w:t xml:space="preserve">s taxation regime is the main driver for petroleum development. However, as described in </w:t>
      </w:r>
      <w:r w:rsidR="005761D7" w:rsidRPr="006D28D4">
        <w:t>s</w:t>
      </w:r>
      <w:r w:rsidRPr="006D28D4">
        <w:t>ection 1.5.2</w:t>
      </w:r>
      <w:r>
        <w:t xml:space="preserve"> petroleum companies factor in a range of considerations when making a </w:t>
      </w:r>
      <w:r w:rsidR="000F33E2">
        <w:t>FID</w:t>
      </w:r>
      <w:r>
        <w:t xml:space="preserve">, including: </w:t>
      </w:r>
      <w:r w:rsidRPr="00B65F91">
        <w:t>prevailing market conditions</w:t>
      </w:r>
      <w:r>
        <w:t>; quality</w:t>
      </w:r>
      <w:r w:rsidRPr="00B65F91">
        <w:t xml:space="preserve"> and </w:t>
      </w:r>
      <w:r>
        <w:t>size of petroleum reserves; policy and regulatory setting</w:t>
      </w:r>
      <w:r w:rsidR="004A266C">
        <w:t>s</w:t>
      </w:r>
      <w:r>
        <w:t xml:space="preserve"> and certainty; fiscal settings; and proximity to market. Many of the investments that have taken place in the last ten years were the result of years of planning taking such considerations into account. The timing of any decision to proceed is sensitive to all these considerations and good tax design does not interfere with that decision or its timing. For example, Cooper Energy</w:t>
      </w:r>
      <w:r w:rsidR="005D6F39">
        <w:t>’</w:t>
      </w:r>
      <w:r>
        <w:t xml:space="preserve">s submission referred to its Sole project that has been in the development phase </w:t>
      </w:r>
      <w:r w:rsidR="004A266C">
        <w:t>for</w:t>
      </w:r>
      <w:r>
        <w:t xml:space="preserve"> 40 years but is only now becoming viable because of market conditions:</w:t>
      </w:r>
    </w:p>
    <w:p w14:paraId="346CD2B3" w14:textId="4953756A" w:rsidR="007A7B70" w:rsidRPr="006D28D4" w:rsidRDefault="007A7B70" w:rsidP="007A7B70">
      <w:pPr>
        <w:ind w:left="720"/>
        <w:rPr>
          <w:color w:val="1F497D" w:themeColor="text2"/>
          <w:sz w:val="20"/>
        </w:rPr>
      </w:pPr>
      <w:r w:rsidRPr="00AD7052">
        <w:rPr>
          <w:color w:val="1F497D" w:themeColor="text2"/>
          <w:sz w:val="20"/>
        </w:rPr>
        <w:t>…</w:t>
      </w:r>
      <w:r w:rsidR="008950BC">
        <w:rPr>
          <w:color w:val="1F497D" w:themeColor="text2"/>
          <w:sz w:val="20"/>
        </w:rPr>
        <w:t xml:space="preserve"> </w:t>
      </w:r>
      <w:r w:rsidRPr="00AD7052">
        <w:rPr>
          <w:color w:val="1F497D" w:themeColor="text2"/>
          <w:sz w:val="20"/>
          <w:szCs w:val="22"/>
        </w:rPr>
        <w:t xml:space="preserve">it is relevant to note that Sole is not a new discovery, having been drilled initially in 1973 and successfully appraised in 2002. The field was not previously developed as it was uneconomic at </w:t>
      </w:r>
      <w:r w:rsidRPr="000F65A7">
        <w:rPr>
          <w:color w:val="1F497D"/>
          <w:sz w:val="20"/>
        </w:rPr>
        <w:t>the</w:t>
      </w:r>
      <w:r w:rsidRPr="00AD7052">
        <w:rPr>
          <w:color w:val="1F497D" w:themeColor="text2"/>
          <w:sz w:val="20"/>
          <w:szCs w:val="22"/>
        </w:rPr>
        <w:t xml:space="preserve"> then prevailing gas prices. Sole has only recently qualified as a commercial project because of the stronger prices brought by the tightening of gas</w:t>
      </w:r>
      <w:r>
        <w:rPr>
          <w:color w:val="1F497D" w:themeColor="text2"/>
          <w:sz w:val="20"/>
          <w:szCs w:val="22"/>
        </w:rPr>
        <w:t xml:space="preserve"> supply to south</w:t>
      </w:r>
      <w:r w:rsidR="005D6F39">
        <w:rPr>
          <w:color w:val="1F497D" w:themeColor="text2"/>
          <w:sz w:val="20"/>
          <w:szCs w:val="22"/>
        </w:rPr>
        <w:noBreakHyphen/>
      </w:r>
      <w:r>
        <w:rPr>
          <w:color w:val="1F497D" w:themeColor="text2"/>
          <w:sz w:val="20"/>
          <w:szCs w:val="22"/>
        </w:rPr>
        <w:t xml:space="preserve">east Australia </w:t>
      </w:r>
      <w:r w:rsidRPr="002700E0">
        <w:rPr>
          <w:color w:val="1F497D" w:themeColor="text2"/>
          <w:sz w:val="20"/>
        </w:rPr>
        <w:t>(Cooper Energy Submission, p. 2)</w:t>
      </w:r>
      <w:r w:rsidRPr="00D640A2">
        <w:rPr>
          <w:color w:val="1F497D" w:themeColor="text2"/>
          <w:sz w:val="20"/>
          <w:szCs w:val="22"/>
        </w:rPr>
        <w:t>.</w:t>
      </w:r>
    </w:p>
    <w:p w14:paraId="4DDBECFA" w14:textId="520F3D58" w:rsidR="007A7B70" w:rsidRPr="00A22B0A" w:rsidRDefault="007A7B70" w:rsidP="007A7B70">
      <w:r>
        <w:t>T</w:t>
      </w:r>
      <w:r w:rsidRPr="00F60FB4">
        <w:t>he current lower price environment for petroleum is a cyclical feature of global energy markets</w:t>
      </w:r>
      <w:r>
        <w:t>.</w:t>
      </w:r>
      <w:r w:rsidRPr="00F60FB4">
        <w:t xml:space="preserve"> </w:t>
      </w:r>
      <w:r>
        <w:t xml:space="preserve">Accordingly, a project that is economically marginal now could be profitable in the future. </w:t>
      </w:r>
      <w:r w:rsidR="001E411E">
        <w:t>Thus, a profit</w:t>
      </w:r>
      <w:r w:rsidR="005D6F39">
        <w:noBreakHyphen/>
      </w:r>
      <w:r w:rsidR="004A266C">
        <w:t>based</w:t>
      </w:r>
      <w:r w:rsidR="001E411E">
        <w:t xml:space="preserve"> tax like the PRRT that does not interfere with decisions regarding marginal petroleum projects stands to provide returns to the community that are much greater that those from regular royalties when product prices and profitability increase. </w:t>
      </w:r>
    </w:p>
    <w:p w14:paraId="2E7F11C7" w14:textId="65618072" w:rsidR="001E411E" w:rsidRPr="00A22B0A" w:rsidRDefault="001E411E" w:rsidP="001E411E">
      <w:r>
        <w:t>An example of the importance of PRRT not discouraging marginal projects, setting the circumstances for the community to benefit in future economic upswings, was provided in BHP Billiton</w:t>
      </w:r>
      <w:r w:rsidR="005D6F39">
        <w:t>’</w:t>
      </w:r>
      <w:r>
        <w:t xml:space="preserve">s submission. </w:t>
      </w:r>
      <w:r w:rsidRPr="00A22B0A">
        <w:t xml:space="preserve">When the Stybarrow oil field was discovered in 2003, with an estimated 70 million recoverable barrels of oil, it was considered a marginal project due to the low oil price and associated development cost of the field. The PRRT regime, however, was conducive to the viable development of this project. Petroleum taxation arrangements meant that the cost of the </w:t>
      </w:r>
      <w:r>
        <w:t>g</w:t>
      </w:r>
      <w:r w:rsidRPr="00A22B0A">
        <w:t>reenfield</w:t>
      </w:r>
      <w:r w:rsidR="000A33FC">
        <w:t>s</w:t>
      </w:r>
      <w:r w:rsidRPr="00A22B0A">
        <w:t xml:space="preserve"> exploration could be offset against the producing Griffin field, and that the cost of developing the offshore field could be offset once production commenced. </w:t>
      </w:r>
      <w:r>
        <w:t>A production</w:t>
      </w:r>
      <w:r w:rsidR="005D6F39">
        <w:noBreakHyphen/>
      </w:r>
      <w:r>
        <w:t>based royalty instead of</w:t>
      </w:r>
      <w:r w:rsidRPr="00A22B0A">
        <w:t xml:space="preserve"> the </w:t>
      </w:r>
      <w:r>
        <w:t>profit</w:t>
      </w:r>
      <w:r w:rsidR="005D6F39">
        <w:noBreakHyphen/>
      </w:r>
      <w:r>
        <w:t xml:space="preserve">based </w:t>
      </w:r>
      <w:r w:rsidRPr="00A22B0A">
        <w:t>PRRT would likely have had the effect of directing capital to othe</w:t>
      </w:r>
      <w:r>
        <w:t>r projects outside of Australia.</w:t>
      </w:r>
    </w:p>
    <w:p w14:paraId="5BD9CE7E" w14:textId="7D7AAB64" w:rsidR="001E411E" w:rsidRPr="00A22B0A" w:rsidRDefault="001E411E" w:rsidP="001E411E">
      <w:r w:rsidRPr="00A22B0A">
        <w:t>BHP Billiton</w:t>
      </w:r>
      <w:r w:rsidR="005D6F39">
        <w:t>’</w:t>
      </w:r>
      <w:r w:rsidRPr="00A22B0A">
        <w:t>s investment decision for Stybarrow</w:t>
      </w:r>
      <w:r w:rsidR="004A266C">
        <w:t>,</w:t>
      </w:r>
      <w:r w:rsidRPr="00A22B0A">
        <w:t xml:space="preserve"> at a time of low oil prices</w:t>
      </w:r>
      <w:r w:rsidR="004A266C">
        <w:t>,</w:t>
      </w:r>
      <w:r w:rsidRPr="00A22B0A">
        <w:t xml:space="preserve"> incorporated a low capital expenditure infrastructure leasing arrangement due to expected low project returns based on the oil price at the time. The design of the PRRT </w:t>
      </w:r>
      <w:r>
        <w:t>did not interfere with</w:t>
      </w:r>
      <w:r w:rsidRPr="00A22B0A">
        <w:t xml:space="preserve"> the investment</w:t>
      </w:r>
      <w:r>
        <w:t xml:space="preserve"> decision.</w:t>
      </w:r>
    </w:p>
    <w:p w14:paraId="061EAD9D" w14:textId="461DA3C2" w:rsidR="007A7B70" w:rsidRPr="005C6C97" w:rsidRDefault="007A7B70" w:rsidP="007A7B70">
      <w:r w:rsidRPr="005C6C97">
        <w:t xml:space="preserve">As the project commenced production in 2007, oil prices unexpectedly increased significantly, to </w:t>
      </w:r>
      <w:r>
        <w:t>around</w:t>
      </w:r>
      <w:r w:rsidRPr="005C6C97">
        <w:t xml:space="preserve"> US$150 per barrel. As a result, the Stybarrow project</w:t>
      </w:r>
      <w:r w:rsidR="005D6F39">
        <w:t>’</w:t>
      </w:r>
      <w:r w:rsidRPr="005C6C97">
        <w:t>s upfront capital expenditure was paid off within three months of start</w:t>
      </w:r>
      <w:r w:rsidR="005D6F39">
        <w:noBreakHyphen/>
      </w:r>
      <w:r w:rsidRPr="005C6C97">
        <w:t>up and the project began paying PRRT in the same year production commenced.</w:t>
      </w:r>
    </w:p>
    <w:p w14:paraId="61F7232B" w14:textId="402DF29F" w:rsidR="007A7B70" w:rsidRPr="005C6C97" w:rsidRDefault="007A7B70" w:rsidP="007A7B70">
      <w:r w:rsidRPr="005C6C97">
        <w:t>Stybarrow continued paying PRRT for the remainder of its production life. BHP Billiton</w:t>
      </w:r>
      <w:r w:rsidR="005D6F39">
        <w:t>’</w:t>
      </w:r>
      <w:r w:rsidRPr="005C6C97">
        <w:t>s share of the Stybarrow project delivered $856 million in PRRT. This project was made possible because the design of the PRRT provided BHP Billiton with the confidence to invest and resulted in windfall profits for the Australian people when prices where high.</w:t>
      </w:r>
    </w:p>
    <w:p w14:paraId="610D1F3B" w14:textId="114C8AD3" w:rsidR="007A7B70" w:rsidRDefault="007A7B70" w:rsidP="007A7B70">
      <w:r w:rsidRPr="005C6C97">
        <w:t xml:space="preserve">In comparison, if BHP Billiton were to develop Stybarrow today, assuming the same development concept, cost, capital expenditure and production profile, the return to Government would be significantly lower due to the considerably lower oil price. Given the current low oil price environment, a taxation regime </w:t>
      </w:r>
      <w:r w:rsidR="001E411E">
        <w:t>that interfered more with commercial decision</w:t>
      </w:r>
      <w:r w:rsidR="005761D7">
        <w:t xml:space="preserve"> </w:t>
      </w:r>
      <w:r w:rsidR="001E411E">
        <w:t xml:space="preserve">making </w:t>
      </w:r>
      <w:r w:rsidRPr="005C6C97">
        <w:t>than the existing PRRT would effectively preclude the development of a Stybarrow equivalent today</w:t>
      </w:r>
      <w:r>
        <w:t xml:space="preserve"> (</w:t>
      </w:r>
      <w:r w:rsidRPr="002700E0">
        <w:t>BHP Billiton Submission, p</w:t>
      </w:r>
      <w:r w:rsidR="005761D7">
        <w:t>.</w:t>
      </w:r>
      <w:r w:rsidRPr="002700E0">
        <w:t xml:space="preserve"> 8</w:t>
      </w:r>
      <w:r w:rsidR="005D6F39">
        <w:noBreakHyphen/>
      </w:r>
      <w:r>
        <w:t>9)</w:t>
      </w:r>
      <w:r w:rsidRPr="005C6C97">
        <w:t>.</w:t>
      </w:r>
    </w:p>
    <w:p w14:paraId="5B79A238" w14:textId="3A6A619B" w:rsidR="00AA7794" w:rsidRDefault="007A7B70" w:rsidP="00BC3931">
      <w:pPr>
        <w:pStyle w:val="Heading2"/>
      </w:pPr>
      <w:bookmarkStart w:id="7359" w:name="_Toc478566412"/>
      <w:bookmarkStart w:id="7360" w:name="_Toc478569579"/>
      <w:bookmarkStart w:id="7361" w:name="_Toc478569753"/>
      <w:bookmarkStart w:id="7362" w:name="_Toc478570827"/>
      <w:bookmarkStart w:id="7363" w:name="_Toc478633026"/>
      <w:bookmarkStart w:id="7364" w:name="_Toc478641436"/>
      <w:bookmarkStart w:id="7365" w:name="_Toc478654330"/>
      <w:bookmarkStart w:id="7366" w:name="_Toc478654504"/>
      <w:bookmarkStart w:id="7367" w:name="_Toc478657799"/>
      <w:bookmarkStart w:id="7368" w:name="_Toc478993220"/>
      <w:bookmarkStart w:id="7369" w:name="_Toc479000291"/>
      <w:bookmarkStart w:id="7370" w:name="_Toc479002225"/>
      <w:bookmarkStart w:id="7371" w:name="_Toc479002397"/>
      <w:bookmarkStart w:id="7372" w:name="_Toc479254372"/>
      <w:bookmarkStart w:id="7373" w:name="_Toc479258561"/>
      <w:bookmarkStart w:id="7374" w:name="_Toc479258877"/>
      <w:bookmarkStart w:id="7375" w:name="_Toc479259769"/>
      <w:bookmarkStart w:id="7376" w:name="_Toc479262192"/>
      <w:bookmarkStart w:id="7377" w:name="_Toc479262613"/>
      <w:bookmarkStart w:id="7378" w:name="_Toc479321314"/>
      <w:bookmarkStart w:id="7379" w:name="_Toc479326753"/>
      <w:bookmarkStart w:id="7380" w:name="_Toc479333352"/>
      <w:bookmarkStart w:id="7381" w:name="_Toc479335049"/>
      <w:bookmarkStart w:id="7382" w:name="_Toc479341764"/>
      <w:bookmarkStart w:id="7383" w:name="_Toc479345180"/>
      <w:bookmarkStart w:id="7384" w:name="_Toc479345389"/>
      <w:bookmarkStart w:id="7385" w:name="_Toc479348370"/>
      <w:bookmarkStart w:id="7386" w:name="_Toc479675964"/>
      <w:bookmarkStart w:id="7387" w:name="_Toc479690931"/>
      <w:bookmarkStart w:id="7388" w:name="_Toc479693509"/>
      <w:bookmarkStart w:id="7389" w:name="_Toc479770678"/>
      <w:r>
        <w:t>4.11</w:t>
      </w:r>
      <w:r w:rsidR="00EC704C">
        <w:tab/>
      </w:r>
      <w:r w:rsidR="0087106B">
        <w:t xml:space="preserve">Robustness of </w:t>
      </w:r>
      <w:r w:rsidR="004302B2">
        <w:t xml:space="preserve">PRRT </w:t>
      </w:r>
      <w:r w:rsidR="00BC3931">
        <w:t>Administration</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r w:rsidR="004302B2">
        <w:t xml:space="preserve"> </w:t>
      </w:r>
    </w:p>
    <w:p w14:paraId="47393729" w14:textId="43A36940" w:rsidR="00A311B4" w:rsidRDefault="00915787" w:rsidP="00BC3931">
      <w:r>
        <w:t xml:space="preserve">The ATO administers the PRRT as part of its broader administration of the Australian taxation system. The </w:t>
      </w:r>
      <w:r w:rsidR="006B6A19">
        <w:t xml:space="preserve">ATO </w:t>
      </w:r>
      <w:r w:rsidR="00687E35">
        <w:t>administrative</w:t>
      </w:r>
      <w:r>
        <w:t xml:space="preserve"> functions include compliance, engagement and assurance, risk and intelligence, legal interpretation and advice, reporting, registration, debt management</w:t>
      </w:r>
      <w:r w:rsidR="00687E35" w:rsidRPr="00687E35">
        <w:t xml:space="preserve"> </w:t>
      </w:r>
      <w:r w:rsidR="00687E35">
        <w:t xml:space="preserve">and </w:t>
      </w:r>
      <w:r>
        <w:t>collection.</w:t>
      </w:r>
    </w:p>
    <w:p w14:paraId="7E74DB3D" w14:textId="1CB657A0" w:rsidR="006134C1" w:rsidRDefault="004C0DB6" w:rsidP="004C0DB6">
      <w:pPr>
        <w:pStyle w:val="Heading3"/>
      </w:pPr>
      <w:bookmarkStart w:id="7390" w:name="_Toc478566413"/>
      <w:bookmarkStart w:id="7391" w:name="_Toc478569580"/>
      <w:bookmarkStart w:id="7392" w:name="_Toc478569754"/>
      <w:bookmarkStart w:id="7393" w:name="_Toc478570828"/>
      <w:bookmarkStart w:id="7394" w:name="_Toc478633027"/>
      <w:bookmarkStart w:id="7395" w:name="_Toc478641437"/>
      <w:bookmarkStart w:id="7396" w:name="_Toc478654331"/>
      <w:bookmarkStart w:id="7397" w:name="_Toc478654505"/>
      <w:bookmarkStart w:id="7398" w:name="_Toc478657800"/>
      <w:bookmarkStart w:id="7399" w:name="_Toc478993221"/>
      <w:bookmarkStart w:id="7400" w:name="_Toc479000292"/>
      <w:bookmarkStart w:id="7401" w:name="_Toc479002226"/>
      <w:bookmarkStart w:id="7402" w:name="_Toc479002398"/>
      <w:bookmarkStart w:id="7403" w:name="_Toc479254373"/>
      <w:bookmarkStart w:id="7404" w:name="_Toc479258562"/>
      <w:bookmarkStart w:id="7405" w:name="_Toc479258878"/>
      <w:bookmarkStart w:id="7406" w:name="_Toc479259770"/>
      <w:bookmarkStart w:id="7407" w:name="_Toc479262193"/>
      <w:bookmarkStart w:id="7408" w:name="_Toc479262614"/>
      <w:bookmarkStart w:id="7409" w:name="_Toc479321315"/>
      <w:bookmarkStart w:id="7410" w:name="_Toc479326754"/>
      <w:bookmarkStart w:id="7411" w:name="_Toc479333353"/>
      <w:bookmarkStart w:id="7412" w:name="_Toc479335050"/>
      <w:bookmarkStart w:id="7413" w:name="_Toc479341765"/>
      <w:bookmarkStart w:id="7414" w:name="_Toc479345181"/>
      <w:bookmarkStart w:id="7415" w:name="_Toc479345390"/>
      <w:bookmarkStart w:id="7416" w:name="_Toc479348371"/>
      <w:bookmarkStart w:id="7417" w:name="_Toc479675965"/>
      <w:bookmarkStart w:id="7418" w:name="_Toc479690932"/>
      <w:bookmarkStart w:id="7419" w:name="_Toc479693510"/>
      <w:bookmarkStart w:id="7420" w:name="_Toc479770679"/>
      <w:r>
        <w:t>4.11.1</w:t>
      </w:r>
      <w:r w:rsidR="004E3CED">
        <w:tab/>
      </w:r>
      <w:r w:rsidR="006134C1">
        <w:t>Self</w:t>
      </w:r>
      <w:r w:rsidR="005D6F39">
        <w:noBreakHyphen/>
      </w:r>
      <w:r w:rsidR="006134C1">
        <w:t>assessment</w:t>
      </w:r>
      <w:r>
        <w:t xml:space="preserve"> and compliance</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p>
    <w:p w14:paraId="2FE005E7" w14:textId="69441C07" w:rsidR="006904E1" w:rsidRDefault="00783875" w:rsidP="00BC3931">
      <w:r>
        <w:t>T</w:t>
      </w:r>
      <w:r w:rsidR="00B959A2">
        <w:t xml:space="preserve">he </w:t>
      </w:r>
      <w:r>
        <w:t>PRRT</w:t>
      </w:r>
      <w:r w:rsidR="00953A92">
        <w:t xml:space="preserve">, like other Commonwealth taxes such as income tax, operates on the basis of </w:t>
      </w:r>
      <w:r>
        <w:t xml:space="preserve">a </w:t>
      </w:r>
      <w:r w:rsidR="004D3FFD">
        <w:t>self</w:t>
      </w:r>
      <w:r w:rsidR="005D6F39">
        <w:noBreakHyphen/>
      </w:r>
      <w:r w:rsidR="004D3FFD">
        <w:t xml:space="preserve">assessment </w:t>
      </w:r>
      <w:r w:rsidR="00953A92">
        <w:t>system</w:t>
      </w:r>
      <w:r>
        <w:t xml:space="preserve">. </w:t>
      </w:r>
      <w:r w:rsidR="00A3604B">
        <w:t xml:space="preserve">Several submissions raised concerns </w:t>
      </w:r>
      <w:r w:rsidR="004077CA">
        <w:t xml:space="preserve">about the </w:t>
      </w:r>
      <w:r w:rsidR="00A3604B">
        <w:t xml:space="preserve">PRRT </w:t>
      </w:r>
      <w:r w:rsidR="006904E1" w:rsidDel="00B959A2">
        <w:t>self</w:t>
      </w:r>
      <w:r w:rsidR="005D6F39">
        <w:noBreakHyphen/>
      </w:r>
      <w:r w:rsidR="006904E1" w:rsidDel="00B959A2">
        <w:t xml:space="preserve">assessment </w:t>
      </w:r>
      <w:r w:rsidR="004077CA">
        <w:t>system</w:t>
      </w:r>
      <w:r w:rsidR="00C735D8">
        <w:t>:</w:t>
      </w:r>
    </w:p>
    <w:p w14:paraId="77005112" w14:textId="512E62FB" w:rsidR="006904E1" w:rsidRPr="00FF7A9D" w:rsidRDefault="006904E1" w:rsidP="00FF7A9D">
      <w:pPr>
        <w:ind w:left="567" w:right="565"/>
        <w:rPr>
          <w:color w:val="1F497D" w:themeColor="text2"/>
          <w:sz w:val="20"/>
        </w:rPr>
      </w:pPr>
      <w:r w:rsidRPr="00FF7A9D">
        <w:rPr>
          <w:color w:val="1F497D" w:themeColor="text2"/>
          <w:sz w:val="20"/>
        </w:rPr>
        <w:t>State governments have not had a vested interest in monitoring these projects and at the federal level the industry is taking the greatest advantages possible under a system of self</w:t>
      </w:r>
      <w:r w:rsidR="005D6F39">
        <w:rPr>
          <w:color w:val="1F497D" w:themeColor="text2"/>
          <w:sz w:val="20"/>
        </w:rPr>
        <w:noBreakHyphen/>
      </w:r>
      <w:r w:rsidRPr="00FF7A9D">
        <w:rPr>
          <w:color w:val="1F497D" w:themeColor="text2"/>
          <w:sz w:val="20"/>
        </w:rPr>
        <w:t>regulation and voluntary compliance. This is self</w:t>
      </w:r>
      <w:r w:rsidR="005D6F39">
        <w:rPr>
          <w:color w:val="1F497D" w:themeColor="text2"/>
          <w:sz w:val="20"/>
        </w:rPr>
        <w:noBreakHyphen/>
      </w:r>
      <w:r w:rsidRPr="00FF7A9D">
        <w:rPr>
          <w:color w:val="1F497D" w:themeColor="text2"/>
          <w:sz w:val="20"/>
        </w:rPr>
        <w:t>regulation and voluntary compliance for large multinationals which have proven themselves extremely adept at aggressive tax avoidance in</w:t>
      </w:r>
      <w:r w:rsidR="00016177" w:rsidRPr="00FF7A9D">
        <w:rPr>
          <w:color w:val="1F497D" w:themeColor="text2"/>
          <w:sz w:val="20"/>
        </w:rPr>
        <w:t xml:space="preserve"> Australia and around the world (</w:t>
      </w:r>
      <w:r w:rsidRPr="001A77DA">
        <w:rPr>
          <w:color w:val="1F497D" w:themeColor="text2"/>
          <w:sz w:val="20"/>
        </w:rPr>
        <w:t xml:space="preserve">Tax Justice Network </w:t>
      </w:r>
      <w:r w:rsidR="00016177" w:rsidRPr="001A77DA">
        <w:rPr>
          <w:color w:val="1F497D" w:themeColor="text2"/>
          <w:sz w:val="20"/>
        </w:rPr>
        <w:t xml:space="preserve">Australia </w:t>
      </w:r>
      <w:r w:rsidRPr="001A77DA">
        <w:rPr>
          <w:color w:val="1F497D" w:themeColor="text2"/>
          <w:sz w:val="20"/>
        </w:rPr>
        <w:t>Submission</w:t>
      </w:r>
      <w:r w:rsidR="00016177" w:rsidRPr="001A77DA">
        <w:rPr>
          <w:color w:val="1F497D" w:themeColor="text2"/>
          <w:sz w:val="20"/>
        </w:rPr>
        <w:t xml:space="preserve">, </w:t>
      </w:r>
      <w:r w:rsidRPr="001A77DA">
        <w:rPr>
          <w:color w:val="1F497D" w:themeColor="text2"/>
          <w:sz w:val="20"/>
        </w:rPr>
        <w:t>p</w:t>
      </w:r>
      <w:r w:rsidR="00016177" w:rsidRPr="001A77DA">
        <w:rPr>
          <w:color w:val="1F497D" w:themeColor="text2"/>
          <w:sz w:val="20"/>
        </w:rPr>
        <w:t>. 1</w:t>
      </w:r>
      <w:r w:rsidR="00016177" w:rsidRPr="00FF7A9D">
        <w:rPr>
          <w:color w:val="1F497D" w:themeColor="text2"/>
          <w:sz w:val="20"/>
        </w:rPr>
        <w:t>)</w:t>
      </w:r>
      <w:r w:rsidRPr="00FF7A9D">
        <w:rPr>
          <w:color w:val="1F497D" w:themeColor="text2"/>
          <w:sz w:val="20"/>
        </w:rPr>
        <w:t>.</w:t>
      </w:r>
    </w:p>
    <w:p w14:paraId="7502D5B2" w14:textId="129B72D2" w:rsidR="00E73651" w:rsidRDefault="006904E1" w:rsidP="00983F34">
      <w:r>
        <w:t xml:space="preserve">Concerns </w:t>
      </w:r>
      <w:r w:rsidR="00B959A2">
        <w:t xml:space="preserve">were also raised </w:t>
      </w:r>
      <w:r w:rsidR="004302B2">
        <w:t xml:space="preserve">over </w:t>
      </w:r>
      <w:r w:rsidR="00B959A2">
        <w:t xml:space="preserve">a lack of transparency </w:t>
      </w:r>
      <w:r w:rsidR="00F83A21">
        <w:t xml:space="preserve">in how PRRT </w:t>
      </w:r>
      <w:r w:rsidR="00326AB0">
        <w:t>t</w:t>
      </w:r>
      <w:r w:rsidR="00F83A21">
        <w:t>axpayers self</w:t>
      </w:r>
      <w:r w:rsidR="005D6F39">
        <w:noBreakHyphen/>
      </w:r>
      <w:r w:rsidR="00F83A21">
        <w:t>assessed their PRRT liabilities</w:t>
      </w:r>
      <w:r w:rsidR="00C735D8">
        <w:t>:</w:t>
      </w:r>
    </w:p>
    <w:p w14:paraId="0AB59161" w14:textId="0293E5BE" w:rsidR="006904E1" w:rsidRPr="00FF7A9D" w:rsidRDefault="006904E1" w:rsidP="00FF7A9D">
      <w:pPr>
        <w:ind w:left="567" w:right="565"/>
        <w:rPr>
          <w:color w:val="1F497D" w:themeColor="text2"/>
          <w:sz w:val="20"/>
        </w:rPr>
      </w:pPr>
      <w:r w:rsidRPr="00FF7A9D">
        <w:rPr>
          <w:color w:val="1F497D" w:themeColor="text2"/>
          <w:sz w:val="20"/>
        </w:rPr>
        <w:t>The inherent problems of a profit</w:t>
      </w:r>
      <w:r w:rsidR="005D6F39">
        <w:rPr>
          <w:color w:val="1F497D" w:themeColor="text2"/>
          <w:sz w:val="20"/>
        </w:rPr>
        <w:noBreakHyphen/>
      </w:r>
      <w:r w:rsidRPr="00FF7A9D">
        <w:rPr>
          <w:color w:val="1F497D" w:themeColor="text2"/>
          <w:sz w:val="20"/>
        </w:rPr>
        <w:t>based resource tax are further exacerbated because the system lacks transparency and is based on self</w:t>
      </w:r>
      <w:r w:rsidR="005D6F39">
        <w:rPr>
          <w:color w:val="1F497D" w:themeColor="text2"/>
          <w:sz w:val="20"/>
        </w:rPr>
        <w:noBreakHyphen/>
      </w:r>
      <w:r w:rsidRPr="00FF7A9D">
        <w:rPr>
          <w:color w:val="1F497D" w:themeColor="text2"/>
          <w:sz w:val="20"/>
        </w:rPr>
        <w:t>rep</w:t>
      </w:r>
      <w:r w:rsidR="00016177" w:rsidRPr="00FF7A9D">
        <w:rPr>
          <w:color w:val="1F497D" w:themeColor="text2"/>
          <w:sz w:val="20"/>
        </w:rPr>
        <w:t>orting and voluntary compliance</w:t>
      </w:r>
      <w:r w:rsidRPr="00FF7A9D">
        <w:rPr>
          <w:color w:val="1F497D" w:themeColor="text2"/>
          <w:sz w:val="20"/>
        </w:rPr>
        <w:t xml:space="preserve"> </w:t>
      </w:r>
      <w:r w:rsidR="00016177" w:rsidRPr="00FF7A9D">
        <w:rPr>
          <w:color w:val="1F497D" w:themeColor="text2"/>
          <w:sz w:val="20"/>
        </w:rPr>
        <w:t>(</w:t>
      </w:r>
      <w:r w:rsidRPr="001A77DA">
        <w:rPr>
          <w:color w:val="1F497D" w:themeColor="text2"/>
          <w:sz w:val="20"/>
        </w:rPr>
        <w:t xml:space="preserve">Tax Justice Network </w:t>
      </w:r>
      <w:r w:rsidR="00016177" w:rsidRPr="001A77DA">
        <w:rPr>
          <w:color w:val="1F497D" w:themeColor="text2"/>
          <w:sz w:val="20"/>
        </w:rPr>
        <w:t xml:space="preserve">Australia </w:t>
      </w:r>
      <w:r w:rsidRPr="001A77DA">
        <w:rPr>
          <w:color w:val="1F497D" w:themeColor="text2"/>
          <w:sz w:val="20"/>
        </w:rPr>
        <w:t>Submission</w:t>
      </w:r>
      <w:r w:rsidR="00016177" w:rsidRPr="001A77DA">
        <w:rPr>
          <w:color w:val="1F497D" w:themeColor="text2"/>
          <w:sz w:val="20"/>
        </w:rPr>
        <w:t>,</w:t>
      </w:r>
      <w:r w:rsidRPr="001A77DA">
        <w:rPr>
          <w:color w:val="1F497D" w:themeColor="text2"/>
          <w:sz w:val="20"/>
        </w:rPr>
        <w:t xml:space="preserve"> p</w:t>
      </w:r>
      <w:r w:rsidR="00016177" w:rsidRPr="001A77DA">
        <w:rPr>
          <w:color w:val="1F497D" w:themeColor="text2"/>
          <w:sz w:val="20"/>
        </w:rPr>
        <w:t xml:space="preserve">. </w:t>
      </w:r>
      <w:r w:rsidRPr="001A77DA">
        <w:rPr>
          <w:color w:val="1F497D" w:themeColor="text2"/>
          <w:sz w:val="20"/>
        </w:rPr>
        <w:t>3</w:t>
      </w:r>
      <w:r w:rsidR="00016177" w:rsidRPr="00FF7A9D">
        <w:rPr>
          <w:color w:val="1F497D" w:themeColor="text2"/>
          <w:sz w:val="20"/>
        </w:rPr>
        <w:t>)</w:t>
      </w:r>
      <w:r w:rsidRPr="00FF7A9D">
        <w:rPr>
          <w:color w:val="1F497D" w:themeColor="text2"/>
          <w:sz w:val="20"/>
        </w:rPr>
        <w:t>.</w:t>
      </w:r>
    </w:p>
    <w:p w14:paraId="174305CB" w14:textId="637EEAEC" w:rsidR="00F83A21" w:rsidRPr="00FF7A9D" w:rsidDel="006A3E52" w:rsidRDefault="006904E1" w:rsidP="00F83A21">
      <w:pPr>
        <w:ind w:left="567" w:right="565"/>
        <w:rPr>
          <w:color w:val="1F497D" w:themeColor="text2"/>
          <w:sz w:val="20"/>
        </w:rPr>
      </w:pPr>
      <w:r w:rsidRPr="00FF7A9D">
        <w:rPr>
          <w:color w:val="1F497D" w:themeColor="text2"/>
          <w:sz w:val="20"/>
        </w:rPr>
        <w:t>In recent years the PRRT has failed as a tax. It is extraordinary that multi</w:t>
      </w:r>
      <w:r w:rsidR="005D6F39">
        <w:rPr>
          <w:color w:val="1F497D" w:themeColor="text2"/>
          <w:sz w:val="20"/>
        </w:rPr>
        <w:noBreakHyphen/>
      </w:r>
      <w:r w:rsidRPr="00FF7A9D">
        <w:rPr>
          <w:color w:val="1F497D" w:themeColor="text2"/>
          <w:sz w:val="20"/>
        </w:rPr>
        <w:t xml:space="preserve">billion dollar private revenues from offshore gas fields are likely to yield little or no public revenue from the PRRT for many years, notwithstanding the inevitable </w:t>
      </w:r>
      <w:r w:rsidR="005D6F39">
        <w:rPr>
          <w:color w:val="1F497D" w:themeColor="text2"/>
          <w:sz w:val="20"/>
        </w:rPr>
        <w:t>‘</w:t>
      </w:r>
      <w:r w:rsidRPr="00FF7A9D">
        <w:rPr>
          <w:color w:val="1F497D" w:themeColor="text2"/>
          <w:sz w:val="20"/>
        </w:rPr>
        <w:t>delays</w:t>
      </w:r>
      <w:r w:rsidR="005D6F39">
        <w:rPr>
          <w:color w:val="1F497D" w:themeColor="text2"/>
          <w:sz w:val="20"/>
        </w:rPr>
        <w:t>’</w:t>
      </w:r>
      <w:r w:rsidRPr="00FF7A9D">
        <w:rPr>
          <w:color w:val="1F497D" w:themeColor="text2"/>
          <w:sz w:val="20"/>
        </w:rPr>
        <w:t xml:space="preserve"> in revenue yields from a profit</w:t>
      </w:r>
      <w:r w:rsidR="005D6F39">
        <w:rPr>
          <w:color w:val="1F497D" w:themeColor="text2"/>
          <w:sz w:val="20"/>
        </w:rPr>
        <w:noBreakHyphen/>
      </w:r>
      <w:r w:rsidRPr="00FF7A9D">
        <w:rPr>
          <w:color w:val="1F497D" w:themeColor="text2"/>
          <w:sz w:val="20"/>
        </w:rPr>
        <w:t xml:space="preserve">based tax. The reasons appear to include excessively generous </w:t>
      </w:r>
      <w:r w:rsidR="005D6F39">
        <w:rPr>
          <w:color w:val="1F497D" w:themeColor="text2"/>
          <w:sz w:val="20"/>
        </w:rPr>
        <w:t>‘</w:t>
      </w:r>
      <w:r w:rsidRPr="00FF7A9D">
        <w:rPr>
          <w:color w:val="1F497D" w:themeColor="text2"/>
          <w:sz w:val="20"/>
        </w:rPr>
        <w:t>uplift factors</w:t>
      </w:r>
      <w:r w:rsidR="005D6F39">
        <w:rPr>
          <w:color w:val="1F497D" w:themeColor="text2"/>
          <w:sz w:val="20"/>
        </w:rPr>
        <w:t>’</w:t>
      </w:r>
      <w:r w:rsidRPr="00FF7A9D">
        <w:rPr>
          <w:color w:val="1F497D" w:themeColor="text2"/>
          <w:sz w:val="20"/>
        </w:rPr>
        <w:t xml:space="preserve"> for </w:t>
      </w:r>
      <w:r w:rsidR="00221F01" w:rsidRPr="00FF7A9D">
        <w:rPr>
          <w:color w:val="1F497D" w:themeColor="text2"/>
          <w:sz w:val="20"/>
        </w:rPr>
        <w:t>deductible</w:t>
      </w:r>
      <w:r w:rsidRPr="00FF7A9D">
        <w:rPr>
          <w:color w:val="1F497D" w:themeColor="text2"/>
          <w:sz w:val="20"/>
        </w:rPr>
        <w:t xml:space="preserve"> expenses; lack of transparency in gas pricing; international profit</w:t>
      </w:r>
      <w:r w:rsidR="005D6F39">
        <w:rPr>
          <w:color w:val="1F497D" w:themeColor="text2"/>
          <w:sz w:val="20"/>
        </w:rPr>
        <w:noBreakHyphen/>
      </w:r>
      <w:r w:rsidRPr="00FF7A9D">
        <w:rPr>
          <w:color w:val="1F497D" w:themeColor="text2"/>
          <w:sz w:val="20"/>
        </w:rPr>
        <w:t>shifting; an</w:t>
      </w:r>
      <w:r>
        <w:rPr>
          <w:color w:val="1F497D" w:themeColor="text2"/>
          <w:sz w:val="20"/>
        </w:rPr>
        <w:t>d the system of self</w:t>
      </w:r>
      <w:r w:rsidR="005D6F39">
        <w:rPr>
          <w:color w:val="1F497D" w:themeColor="text2"/>
          <w:sz w:val="20"/>
        </w:rPr>
        <w:noBreakHyphen/>
      </w:r>
      <w:r>
        <w:rPr>
          <w:color w:val="1F497D" w:themeColor="text2"/>
          <w:sz w:val="20"/>
        </w:rPr>
        <w:t>assessment</w:t>
      </w:r>
      <w:r w:rsidR="00FF7A9D">
        <w:rPr>
          <w:color w:val="1F497D" w:themeColor="text2"/>
          <w:sz w:val="20"/>
        </w:rPr>
        <w:t xml:space="preserve"> (</w:t>
      </w:r>
      <w:r w:rsidRPr="001A77DA">
        <w:rPr>
          <w:color w:val="1F497D" w:themeColor="text2"/>
          <w:sz w:val="20"/>
        </w:rPr>
        <w:t xml:space="preserve">Australian Council of Social </w:t>
      </w:r>
      <w:r w:rsidR="005761D7">
        <w:rPr>
          <w:color w:val="1F497D" w:themeColor="text2"/>
          <w:sz w:val="20"/>
        </w:rPr>
        <w:t>Service</w:t>
      </w:r>
      <w:r w:rsidRPr="001A77DA">
        <w:rPr>
          <w:color w:val="1F497D" w:themeColor="text2"/>
          <w:sz w:val="20"/>
        </w:rPr>
        <w:t xml:space="preserve"> </w:t>
      </w:r>
      <w:r w:rsidR="00FF7A9D" w:rsidRPr="001A77DA">
        <w:rPr>
          <w:color w:val="1F497D" w:themeColor="text2"/>
          <w:sz w:val="20"/>
        </w:rPr>
        <w:t xml:space="preserve">Submission, </w:t>
      </w:r>
      <w:r w:rsidRPr="001A77DA">
        <w:rPr>
          <w:color w:val="1F497D" w:themeColor="text2"/>
          <w:sz w:val="20"/>
        </w:rPr>
        <w:t>p</w:t>
      </w:r>
      <w:r w:rsidR="005761D7">
        <w:rPr>
          <w:color w:val="1F497D" w:themeColor="text2"/>
          <w:sz w:val="20"/>
        </w:rPr>
        <w:t>.</w:t>
      </w:r>
      <w:r w:rsidRPr="001A77DA">
        <w:rPr>
          <w:color w:val="1F497D" w:themeColor="text2"/>
          <w:sz w:val="20"/>
        </w:rPr>
        <w:t xml:space="preserve"> 1</w:t>
      </w:r>
      <w:r w:rsidR="00FF7A9D">
        <w:rPr>
          <w:color w:val="1F497D" w:themeColor="text2"/>
          <w:sz w:val="20"/>
        </w:rPr>
        <w:t>)</w:t>
      </w:r>
      <w:r w:rsidRPr="00FF7A9D">
        <w:rPr>
          <w:color w:val="1F497D" w:themeColor="text2"/>
          <w:sz w:val="20"/>
        </w:rPr>
        <w:t>.</w:t>
      </w:r>
    </w:p>
    <w:p w14:paraId="6933A1D7" w14:textId="2F53E5EA" w:rsidR="00E73651" w:rsidRPr="00016177" w:rsidRDefault="00847AE0" w:rsidP="001A77DA">
      <w:r>
        <w:t xml:space="preserve">The petroleum industry </w:t>
      </w:r>
      <w:r w:rsidR="00F83A21">
        <w:t xml:space="preserve">supported the </w:t>
      </w:r>
      <w:r w:rsidR="00294A44" w:rsidRPr="00016177">
        <w:t>self</w:t>
      </w:r>
      <w:r w:rsidR="005D6F39">
        <w:noBreakHyphen/>
      </w:r>
      <w:r w:rsidR="00294A44" w:rsidRPr="00016177">
        <w:t>assessment regime</w:t>
      </w:r>
      <w:r w:rsidR="00C735D8">
        <w:t>:</w:t>
      </w:r>
    </w:p>
    <w:p w14:paraId="5466591A" w14:textId="0A69BAB8" w:rsidR="00F04FC0" w:rsidRPr="00FF7A9D" w:rsidRDefault="00F04FC0" w:rsidP="00FF7A9D">
      <w:pPr>
        <w:ind w:left="567" w:right="565"/>
        <w:rPr>
          <w:color w:val="1F497D" w:themeColor="text2"/>
          <w:sz w:val="20"/>
        </w:rPr>
      </w:pPr>
      <w:r w:rsidRPr="00FF7A9D">
        <w:rPr>
          <w:color w:val="1F497D" w:themeColor="text2"/>
          <w:sz w:val="20"/>
        </w:rPr>
        <w:t>The decision to introduce self</w:t>
      </w:r>
      <w:r w:rsidR="005D6F39">
        <w:rPr>
          <w:color w:val="1F497D" w:themeColor="text2"/>
          <w:sz w:val="20"/>
        </w:rPr>
        <w:noBreakHyphen/>
      </w:r>
      <w:r w:rsidRPr="00FF7A9D">
        <w:rPr>
          <w:color w:val="1F497D" w:themeColor="text2"/>
          <w:sz w:val="20"/>
        </w:rPr>
        <w:t>assessment was a logical and considered decision that recognised the practical benefits of such a change, while ensuring that strong protections existed to maintain the integrity of the regime. It represented a natural progression in terms</w:t>
      </w:r>
      <w:r>
        <w:rPr>
          <w:color w:val="1F497D" w:themeColor="text2"/>
          <w:sz w:val="20"/>
        </w:rPr>
        <w:t xml:space="preserve"> of the administration of PRRT</w:t>
      </w:r>
      <w:r w:rsidR="00FF7A9D">
        <w:rPr>
          <w:color w:val="1F497D" w:themeColor="text2"/>
          <w:sz w:val="20"/>
        </w:rPr>
        <w:t xml:space="preserve"> (</w:t>
      </w:r>
      <w:r w:rsidRPr="001A77DA">
        <w:rPr>
          <w:color w:val="1F497D" w:themeColor="text2"/>
          <w:sz w:val="20"/>
        </w:rPr>
        <w:t xml:space="preserve">APPEA Submission </w:t>
      </w:r>
      <w:r w:rsidR="00FF7A9D" w:rsidRPr="001A77DA">
        <w:rPr>
          <w:color w:val="1F497D" w:themeColor="text2"/>
          <w:sz w:val="20"/>
        </w:rPr>
        <w:t>p.</w:t>
      </w:r>
      <w:r w:rsidRPr="001A77DA">
        <w:rPr>
          <w:color w:val="1F497D" w:themeColor="text2"/>
          <w:sz w:val="20"/>
        </w:rPr>
        <w:t xml:space="preserve"> </w:t>
      </w:r>
      <w:r w:rsidR="0087619A" w:rsidRPr="001A77DA">
        <w:rPr>
          <w:color w:val="1F497D" w:themeColor="text2"/>
          <w:sz w:val="20"/>
        </w:rPr>
        <w:t>72</w:t>
      </w:r>
      <w:r w:rsidR="00FF7A9D">
        <w:rPr>
          <w:color w:val="1F497D" w:themeColor="text2"/>
          <w:sz w:val="20"/>
        </w:rPr>
        <w:t>)</w:t>
      </w:r>
      <w:r w:rsidRPr="00FF7A9D">
        <w:rPr>
          <w:color w:val="1F497D" w:themeColor="text2"/>
          <w:sz w:val="20"/>
        </w:rPr>
        <w:t>.</w:t>
      </w:r>
    </w:p>
    <w:p w14:paraId="535D27BA" w14:textId="126FA2CD" w:rsidR="00F04FC0" w:rsidRPr="00FF7A9D" w:rsidRDefault="00F04FC0" w:rsidP="00FF7A9D">
      <w:pPr>
        <w:ind w:left="567" w:right="565"/>
        <w:rPr>
          <w:color w:val="1F497D" w:themeColor="text2"/>
          <w:sz w:val="20"/>
        </w:rPr>
      </w:pPr>
      <w:r w:rsidRPr="00FF7A9D">
        <w:rPr>
          <w:color w:val="1F497D" w:themeColor="text2"/>
          <w:sz w:val="20"/>
        </w:rPr>
        <w:t xml:space="preserve">The industry experience is that the ATO has expanded both the number of resources and depth of industry experience in the context of administering PRRT. Any perceived lack of transparency should not be confused with a lack of compliance activity </w:t>
      </w:r>
      <w:r w:rsidR="00FF7A9D">
        <w:rPr>
          <w:color w:val="1F497D" w:themeColor="text2"/>
          <w:sz w:val="20"/>
        </w:rPr>
        <w:t>(</w:t>
      </w:r>
      <w:r w:rsidRPr="001A77DA">
        <w:rPr>
          <w:color w:val="1F497D" w:themeColor="text2"/>
          <w:sz w:val="20"/>
        </w:rPr>
        <w:t xml:space="preserve">APPEA Submission </w:t>
      </w:r>
      <w:r w:rsidR="00FF7A9D" w:rsidRPr="001A77DA">
        <w:rPr>
          <w:color w:val="1F497D" w:themeColor="text2"/>
          <w:sz w:val="20"/>
        </w:rPr>
        <w:t>p.</w:t>
      </w:r>
      <w:r w:rsidRPr="001A77DA">
        <w:rPr>
          <w:color w:val="1F497D" w:themeColor="text2"/>
          <w:sz w:val="20"/>
        </w:rPr>
        <w:t xml:space="preserve"> </w:t>
      </w:r>
      <w:r w:rsidR="0087619A" w:rsidRPr="001A77DA">
        <w:rPr>
          <w:color w:val="1F497D" w:themeColor="text2"/>
          <w:sz w:val="20"/>
        </w:rPr>
        <w:t>52</w:t>
      </w:r>
      <w:r w:rsidR="00FF7A9D">
        <w:rPr>
          <w:color w:val="1F497D" w:themeColor="text2"/>
          <w:sz w:val="20"/>
        </w:rPr>
        <w:t>)</w:t>
      </w:r>
      <w:r w:rsidRPr="00FF7A9D">
        <w:rPr>
          <w:color w:val="1F497D" w:themeColor="text2"/>
          <w:sz w:val="20"/>
        </w:rPr>
        <w:t>.</w:t>
      </w:r>
    </w:p>
    <w:p w14:paraId="0F8208A3" w14:textId="526C3C51" w:rsidR="00D07A8A" w:rsidRDefault="00100613" w:rsidP="00FF7A9D">
      <w:r>
        <w:t>The self</w:t>
      </w:r>
      <w:r w:rsidR="005D6F39">
        <w:noBreakHyphen/>
      </w:r>
      <w:r>
        <w:t xml:space="preserve">assessment system is not </w:t>
      </w:r>
      <w:r w:rsidR="004D3FFD">
        <w:t xml:space="preserve">unique to the PRRT and is commonly used in </w:t>
      </w:r>
      <w:r w:rsidR="001E2417">
        <w:t xml:space="preserve">other </w:t>
      </w:r>
      <w:r w:rsidR="00326AB0">
        <w:t>C</w:t>
      </w:r>
      <w:r w:rsidR="004D3FFD">
        <w:t xml:space="preserve">ommonwealth taxes </w:t>
      </w:r>
      <w:r w:rsidR="00AC1F23">
        <w:t>such as</w:t>
      </w:r>
      <w:r w:rsidR="004D3FFD">
        <w:t xml:space="preserve"> income tax and </w:t>
      </w:r>
      <w:r w:rsidR="001E2417">
        <w:t xml:space="preserve">the </w:t>
      </w:r>
      <w:r w:rsidR="00F2694F">
        <w:t>goods and services tax (</w:t>
      </w:r>
      <w:r w:rsidR="004D3FFD">
        <w:t>GST</w:t>
      </w:r>
      <w:r w:rsidR="00F2694F">
        <w:t>)</w:t>
      </w:r>
      <w:r w:rsidR="004D3FFD">
        <w:t xml:space="preserve">. </w:t>
      </w:r>
      <w:r w:rsidR="00CF7110">
        <w:t>I</w:t>
      </w:r>
      <w:r w:rsidR="004D3FFD">
        <w:t>t is not a</w:t>
      </w:r>
      <w:r w:rsidDel="004D3FFD">
        <w:t xml:space="preserve"> </w:t>
      </w:r>
      <w:r>
        <w:t>voluntary system</w:t>
      </w:r>
      <w:r w:rsidR="001E2417">
        <w:t xml:space="preserve"> and</w:t>
      </w:r>
      <w:r w:rsidR="00E53A71" w:rsidDel="001E2417">
        <w:t xml:space="preserve"> </w:t>
      </w:r>
      <w:r w:rsidR="00E53A71">
        <w:t>imposes</w:t>
      </w:r>
      <w:r>
        <w:t xml:space="preserve"> a number of </w:t>
      </w:r>
      <w:r w:rsidR="00E53A71">
        <w:t xml:space="preserve">reporting and disclosure </w:t>
      </w:r>
      <w:r>
        <w:t>obligations on taxpayers</w:t>
      </w:r>
      <w:r w:rsidR="001E2417">
        <w:t>.</w:t>
      </w:r>
      <w:r w:rsidR="001E2417" w:rsidRPr="001E2417">
        <w:t xml:space="preserve"> </w:t>
      </w:r>
      <w:r w:rsidR="001E2417">
        <w:t xml:space="preserve">The ATO has strong enforcement powers and is able to review and amend assessments where necessary. </w:t>
      </w:r>
      <w:r w:rsidR="00E53A71">
        <w:t>P</w:t>
      </w:r>
      <w:r>
        <w:t>enalties</w:t>
      </w:r>
      <w:r w:rsidR="00E53A71">
        <w:t xml:space="preserve"> </w:t>
      </w:r>
      <w:r w:rsidR="00C735D8">
        <w:t>apply</w:t>
      </w:r>
      <w:r>
        <w:t xml:space="preserve"> if taxpayers do not meet their </w:t>
      </w:r>
      <w:r w:rsidR="00E53A71">
        <w:t>obligations under the law.</w:t>
      </w:r>
      <w:r>
        <w:t xml:space="preserve"> </w:t>
      </w:r>
      <w:r w:rsidR="001E2417">
        <w:t>Under self</w:t>
      </w:r>
      <w:r w:rsidR="005D6F39">
        <w:noBreakHyphen/>
      </w:r>
      <w:r w:rsidR="001E2417">
        <w:t xml:space="preserve">assessment </w:t>
      </w:r>
      <w:r>
        <w:t xml:space="preserve">the onus is on </w:t>
      </w:r>
      <w:r w:rsidR="001E2417">
        <w:t>the</w:t>
      </w:r>
      <w:r w:rsidDel="001E2417">
        <w:t xml:space="preserve"> </w:t>
      </w:r>
      <w:r>
        <w:t xml:space="preserve">taxpayer to </w:t>
      </w:r>
      <w:r w:rsidR="001E2417">
        <w:t xml:space="preserve">correctly lodge their returns and to </w:t>
      </w:r>
      <w:r>
        <w:t>actively manage their own tax risks</w:t>
      </w:r>
      <w:r w:rsidR="00093863">
        <w:t xml:space="preserve">. The </w:t>
      </w:r>
      <w:r w:rsidR="008167A9">
        <w:t xml:space="preserve">ATO is resourced with staff and </w:t>
      </w:r>
      <w:r w:rsidR="006E484B">
        <w:t>has</w:t>
      </w:r>
      <w:r w:rsidR="008167A9">
        <w:t xml:space="preserve"> administrative powers to make corrections </w:t>
      </w:r>
      <w:r w:rsidR="00093863">
        <w:t xml:space="preserve">to these assessments </w:t>
      </w:r>
      <w:r w:rsidR="001E2417">
        <w:t>wh</w:t>
      </w:r>
      <w:r w:rsidR="00093863">
        <w:t xml:space="preserve">en </w:t>
      </w:r>
      <w:r w:rsidR="008167A9" w:rsidDel="00093863">
        <w:t xml:space="preserve">they </w:t>
      </w:r>
      <w:r w:rsidR="001E2417">
        <w:t>consider</w:t>
      </w:r>
      <w:r w:rsidR="00F45796">
        <w:t xml:space="preserve"> it is </w:t>
      </w:r>
      <w:r w:rsidR="008167A9">
        <w:t>necessary</w:t>
      </w:r>
      <w:r w:rsidR="000D7CAA">
        <w:t xml:space="preserve"> to ensure PRRT taxpayers pay the right amount of tax</w:t>
      </w:r>
      <w:r w:rsidR="008167A9">
        <w:t>.</w:t>
      </w:r>
    </w:p>
    <w:p w14:paraId="7C0B88DF" w14:textId="0E0E0FB6" w:rsidR="00093863" w:rsidRDefault="006C16A0" w:rsidP="006C16A0">
      <w:r>
        <w:t>The PRRT taxpayer base is very concentrated</w:t>
      </w:r>
      <w:r w:rsidR="004665EC">
        <w:t xml:space="preserve"> </w:t>
      </w:r>
      <w:r w:rsidR="00AC1F23">
        <w:t>compared to</w:t>
      </w:r>
      <w:r w:rsidR="004665EC">
        <w:t xml:space="preserve"> other tax</w:t>
      </w:r>
      <w:r w:rsidR="006E484B">
        <w:t xml:space="preserve"> bases</w:t>
      </w:r>
      <w:r w:rsidR="004665EC">
        <w:t xml:space="preserve"> such as income tax. </w:t>
      </w:r>
      <w:r w:rsidR="00CC0B34">
        <w:t xml:space="preserve">For example, </w:t>
      </w:r>
      <w:r w:rsidR="00093863">
        <w:t>in 2015</w:t>
      </w:r>
      <w:r w:rsidR="005D6F39">
        <w:noBreakHyphen/>
      </w:r>
      <w:r w:rsidR="00093863">
        <w:t xml:space="preserve">16 </w:t>
      </w:r>
      <w:r>
        <w:t>there were</w:t>
      </w:r>
      <w:r w:rsidR="00CC0B34">
        <w:t xml:space="preserve"> only six projects making taxable profits and therefore paying PRRT</w:t>
      </w:r>
      <w:r w:rsidR="00C735D8">
        <w:t>. A</w:t>
      </w:r>
      <w:r w:rsidR="00CC0B34">
        <w:t>nother 55 projects lodg</w:t>
      </w:r>
      <w:r w:rsidR="006E484B">
        <w:t>ed</w:t>
      </w:r>
      <w:r w:rsidR="00CC0B34">
        <w:t xml:space="preserve"> annual returns </w:t>
      </w:r>
      <w:r w:rsidR="006E484B">
        <w:t>but did not pay</w:t>
      </w:r>
      <w:r w:rsidR="00CC0B34">
        <w:t xml:space="preserve"> PRRT</w:t>
      </w:r>
      <w:r w:rsidR="00755941">
        <w:t>.</w:t>
      </w:r>
    </w:p>
    <w:p w14:paraId="3CDFB275" w14:textId="7CEBDE56" w:rsidR="00093863" w:rsidRDefault="00BC78EE" w:rsidP="006C16A0">
      <w:r w:rsidRPr="005863D0">
        <w:t xml:space="preserve">The concentrated nature of the industry </w:t>
      </w:r>
      <w:r>
        <w:t>allows the ATO to closely monitor all PRRT projects and to pay particularly close attention to those that are</w:t>
      </w:r>
      <w:r w:rsidR="00326AB0">
        <w:t>,</w:t>
      </w:r>
      <w:r>
        <w:t xml:space="preserve"> or are close to</w:t>
      </w:r>
      <w:r w:rsidR="00326AB0">
        <w:t>,</w:t>
      </w:r>
      <w:r>
        <w:t xml:space="preserve"> being profitable to ensure the correct amount of PRRT is being paid.</w:t>
      </w:r>
    </w:p>
    <w:p w14:paraId="609512FC" w14:textId="047925B3" w:rsidR="00754B63" w:rsidRDefault="006E484B" w:rsidP="00754B63">
      <w:pPr>
        <w:jc w:val="left"/>
      </w:pPr>
      <w:r>
        <w:t xml:space="preserve">The </w:t>
      </w:r>
      <w:r w:rsidR="00BC78EE" w:rsidDel="00BC78EE">
        <w:t xml:space="preserve">ATO </w:t>
      </w:r>
      <w:r w:rsidR="00D713DE">
        <w:t xml:space="preserve">has </w:t>
      </w:r>
      <w:r>
        <w:t>publically stated</w:t>
      </w:r>
      <w:r w:rsidR="00D713DE">
        <w:t xml:space="preserve"> it</w:t>
      </w:r>
      <w:r w:rsidR="00674B47">
        <w:t xml:space="preserve"> is able to have one on one engagement with all </w:t>
      </w:r>
      <w:r w:rsidR="00D713DE">
        <w:t xml:space="preserve">paying projects </w:t>
      </w:r>
      <w:r w:rsidR="00D77B73">
        <w:t>due to the</w:t>
      </w:r>
      <w:r w:rsidR="00D713DE">
        <w:t xml:space="preserve"> small number of </w:t>
      </w:r>
      <w:r w:rsidR="00674B47">
        <w:t>projects</w:t>
      </w:r>
      <w:r w:rsidR="00CC0B34">
        <w:t xml:space="preserve"> pay</w:t>
      </w:r>
      <w:r w:rsidR="00D713DE">
        <w:t>ing</w:t>
      </w:r>
      <w:r w:rsidR="00CC0B34">
        <w:t xml:space="preserve"> </w:t>
      </w:r>
      <w:r w:rsidR="001D3924">
        <w:t xml:space="preserve">the </w:t>
      </w:r>
      <w:r w:rsidR="00CC0B34">
        <w:t>PRRT</w:t>
      </w:r>
      <w:r w:rsidR="002B56EB">
        <w:t xml:space="preserve">. </w:t>
      </w:r>
      <w:r w:rsidR="00D713DE">
        <w:t xml:space="preserve">This </w:t>
      </w:r>
      <w:r w:rsidR="002B56EB">
        <w:t xml:space="preserve">high </w:t>
      </w:r>
      <w:r w:rsidR="00D713DE">
        <w:t xml:space="preserve">level of </w:t>
      </w:r>
      <w:r w:rsidR="002B56EB">
        <w:t>coverage</w:t>
      </w:r>
      <w:r w:rsidR="00093863">
        <w:t xml:space="preserve"> gives the ATO a </w:t>
      </w:r>
      <w:r w:rsidR="002B56EB">
        <w:t xml:space="preserve">very </w:t>
      </w:r>
      <w:r w:rsidR="00093863">
        <w:t xml:space="preserve">high degree of confidence in the accuracy of the PRRT </w:t>
      </w:r>
      <w:r w:rsidR="00D713DE">
        <w:t>pa</w:t>
      </w:r>
      <w:r w:rsidR="00C66C68">
        <w:t>id by</w:t>
      </w:r>
      <w:r w:rsidR="00093863">
        <w:t xml:space="preserve"> these projects </w:t>
      </w:r>
      <w:r w:rsidR="00D713DE">
        <w:t>(</w:t>
      </w:r>
      <w:r w:rsidR="00754B63" w:rsidRPr="002700E0">
        <w:t>Parliament of Australia</w:t>
      </w:r>
      <w:r w:rsidR="002700E0" w:rsidRPr="002700E0">
        <w:t>,</w:t>
      </w:r>
      <w:r w:rsidR="00754B63" w:rsidRPr="002700E0">
        <w:t xml:space="preserve"> 2017,</w:t>
      </w:r>
      <w:r w:rsidR="00754B63" w:rsidRPr="002700E0">
        <w:rPr>
          <w:i/>
        </w:rPr>
        <w:t xml:space="preserve"> </w:t>
      </w:r>
      <w:r w:rsidR="00754B63" w:rsidRPr="002700E0">
        <w:t>p</w:t>
      </w:r>
      <w:r w:rsidR="002700E0" w:rsidRPr="002700E0">
        <w:t>.</w:t>
      </w:r>
      <w:r w:rsidR="005761D7">
        <w:t xml:space="preserve"> </w:t>
      </w:r>
      <w:r w:rsidR="00754B63" w:rsidRPr="002700E0">
        <w:t>52)</w:t>
      </w:r>
      <w:r w:rsidR="002700E0">
        <w:t>.</w:t>
      </w:r>
    </w:p>
    <w:p w14:paraId="4DA899E8" w14:textId="20200CD7" w:rsidR="00236C9D" w:rsidRDefault="006C16A0" w:rsidP="007C607B">
      <w:r>
        <w:t>The ATO</w:t>
      </w:r>
      <w:r w:rsidRPr="00C76D6C">
        <w:rPr>
          <w:color w:val="1F497D" w:themeColor="text2"/>
          <w:sz w:val="20"/>
        </w:rPr>
        <w:t xml:space="preserve"> </w:t>
      </w:r>
      <w:r>
        <w:t>uses a risk</w:t>
      </w:r>
      <w:r w:rsidR="005D6F39">
        <w:noBreakHyphen/>
      </w:r>
      <w:r>
        <w:t xml:space="preserve">based approach to ensure its resources and efforts are focused on those PRRT taxpayers and issues posing the greatest risk to the PRRT system. </w:t>
      </w:r>
      <w:r w:rsidR="00834CF4">
        <w:rPr>
          <w:color w:val="auto"/>
        </w:rPr>
        <w:t xml:space="preserve">There are </w:t>
      </w:r>
      <w:r w:rsidR="00C66C68">
        <w:rPr>
          <w:color w:val="auto"/>
        </w:rPr>
        <w:t>also</w:t>
      </w:r>
      <w:r w:rsidR="00834CF4">
        <w:rPr>
          <w:color w:val="auto"/>
        </w:rPr>
        <w:t xml:space="preserve"> features of the natural business systems of the oil and gas industry that make risk assessment </w:t>
      </w:r>
      <w:r w:rsidR="00AC1F23">
        <w:rPr>
          <w:color w:val="auto"/>
        </w:rPr>
        <w:t xml:space="preserve">of the PRRT </w:t>
      </w:r>
      <w:r w:rsidR="00834CF4">
        <w:rPr>
          <w:color w:val="auto"/>
        </w:rPr>
        <w:t xml:space="preserve">more robust than other </w:t>
      </w:r>
      <w:r w:rsidR="00AC1F23">
        <w:rPr>
          <w:color w:val="auto"/>
        </w:rPr>
        <w:t>taxes</w:t>
      </w:r>
      <w:r w:rsidR="00834CF4">
        <w:rPr>
          <w:color w:val="auto"/>
        </w:rPr>
        <w:t xml:space="preserve">. For example, </w:t>
      </w:r>
      <w:r w:rsidR="00834CF4">
        <w:t>t</w:t>
      </w:r>
      <w:r w:rsidR="00A470CD">
        <w:t xml:space="preserve">he vast majority of </w:t>
      </w:r>
      <w:r w:rsidR="00454A44">
        <w:t xml:space="preserve">the </w:t>
      </w:r>
      <w:r w:rsidR="00834CF4">
        <w:t>p</w:t>
      </w:r>
      <w:r w:rsidR="000C46F0">
        <w:t xml:space="preserve">etroleum projects </w:t>
      </w:r>
      <w:r w:rsidR="00A470CD">
        <w:t xml:space="preserve">in Australia are </w:t>
      </w:r>
      <w:r w:rsidR="007B681A">
        <w:t>operate</w:t>
      </w:r>
      <w:r w:rsidR="00A470CD">
        <w:t>d</w:t>
      </w:r>
      <w:r w:rsidR="00454A44">
        <w:t xml:space="preserve"> through joint ventures </w:t>
      </w:r>
      <w:r w:rsidR="007B681A">
        <w:t xml:space="preserve">where </w:t>
      </w:r>
      <w:r w:rsidR="00454A44">
        <w:t xml:space="preserve">the operator is primarily responsible for the </w:t>
      </w:r>
      <w:r w:rsidR="0058555C">
        <w:t xml:space="preserve">activities </w:t>
      </w:r>
      <w:r w:rsidR="00454A44">
        <w:t>of the project</w:t>
      </w:r>
      <w:r w:rsidR="0058555C">
        <w:t xml:space="preserve">, </w:t>
      </w:r>
      <w:r w:rsidR="00836208">
        <w:t>with each project participant paying their share of the costs</w:t>
      </w:r>
      <w:r w:rsidR="0058555C">
        <w:t xml:space="preserve"> of the</w:t>
      </w:r>
      <w:r w:rsidR="00A470CD">
        <w:t>se</w:t>
      </w:r>
      <w:r w:rsidR="00B32F6B">
        <w:t xml:space="preserve"> </w:t>
      </w:r>
      <w:r w:rsidR="0058555C">
        <w:t>activit</w:t>
      </w:r>
      <w:r w:rsidR="00B32F6B">
        <w:t>i</w:t>
      </w:r>
      <w:r w:rsidR="0058555C">
        <w:t>es</w:t>
      </w:r>
      <w:r w:rsidR="00836208">
        <w:t xml:space="preserve">. </w:t>
      </w:r>
      <w:r w:rsidR="00454A44">
        <w:t xml:space="preserve">There is natural commercial tension between the participants in joint ventures </w:t>
      </w:r>
      <w:r w:rsidR="00834CF4">
        <w:t xml:space="preserve">as the </w:t>
      </w:r>
      <w:r w:rsidR="00F6349E">
        <w:t>o</w:t>
      </w:r>
      <w:r w:rsidR="00834CF4">
        <w:t>perator</w:t>
      </w:r>
      <w:r w:rsidR="00147136">
        <w:t xml:space="preserve"> usually </w:t>
      </w:r>
      <w:r w:rsidR="00834CF4">
        <w:t xml:space="preserve">needs the approval of all </w:t>
      </w:r>
      <w:r w:rsidR="00454A44">
        <w:t xml:space="preserve">the </w:t>
      </w:r>
      <w:r w:rsidR="000115D0" w:rsidRPr="00F05CD1">
        <w:t xml:space="preserve">participants </w:t>
      </w:r>
      <w:r w:rsidR="00834CF4">
        <w:t xml:space="preserve">before </w:t>
      </w:r>
      <w:r w:rsidR="00454A44">
        <w:t xml:space="preserve">it </w:t>
      </w:r>
      <w:r w:rsidR="00834CF4">
        <w:t>can spend money on behalf of the project.</w:t>
      </w:r>
      <w:r w:rsidR="00236C9D">
        <w:t xml:space="preserve"> </w:t>
      </w:r>
      <w:r w:rsidR="00454A44">
        <w:t xml:space="preserve">They </w:t>
      </w:r>
      <w:r w:rsidR="00F45796">
        <w:t>also</w:t>
      </w:r>
      <w:r w:rsidR="00454A44">
        <w:t xml:space="preserve"> often have </w:t>
      </w:r>
      <w:r w:rsidR="00F6349E">
        <w:t>i</w:t>
      </w:r>
      <w:r w:rsidR="00236C9D">
        <w:t>n</w:t>
      </w:r>
      <w:r w:rsidR="005D6F39">
        <w:noBreakHyphen/>
      </w:r>
      <w:r w:rsidR="00236C9D">
        <w:t xml:space="preserve">built </w:t>
      </w:r>
      <w:r w:rsidR="00D8124B">
        <w:t>governance</w:t>
      </w:r>
      <w:r w:rsidR="00236C9D">
        <w:t xml:space="preserve"> safeguards</w:t>
      </w:r>
      <w:r w:rsidR="00D77B73">
        <w:t>,</w:t>
      </w:r>
      <w:r w:rsidR="00F45796">
        <w:t xml:space="preserve"> such as </w:t>
      </w:r>
      <w:r w:rsidR="00236C9D">
        <w:t>requir</w:t>
      </w:r>
      <w:r w:rsidR="00F45796">
        <w:t>ing the operator to</w:t>
      </w:r>
      <w:r w:rsidR="00236C9D">
        <w:t xml:space="preserve"> </w:t>
      </w:r>
      <w:r w:rsidR="00454A44">
        <w:t xml:space="preserve">produce audited joint venture accounts in accordance with generally accepted accounting principles, and </w:t>
      </w:r>
      <w:r w:rsidR="00F45796">
        <w:t xml:space="preserve">for the operator </w:t>
      </w:r>
      <w:r w:rsidR="00236C9D">
        <w:t xml:space="preserve">to regularly report to </w:t>
      </w:r>
      <w:r w:rsidR="00454A44">
        <w:t>project</w:t>
      </w:r>
      <w:r w:rsidR="005D7106">
        <w:t xml:space="preserve"> participants</w:t>
      </w:r>
      <w:r w:rsidR="00755941">
        <w:t>.</w:t>
      </w:r>
    </w:p>
    <w:p w14:paraId="35C93E16" w14:textId="7ABDDFE2" w:rsidR="00661611" w:rsidRDefault="00303372" w:rsidP="000C46F0">
      <w:r>
        <w:t>Resource</w:t>
      </w:r>
      <w:r w:rsidR="00576BDA">
        <w:t xml:space="preserve"> companies </w:t>
      </w:r>
      <w:r w:rsidR="00106E3F">
        <w:t>are often i</w:t>
      </w:r>
      <w:r w:rsidR="00576BDA">
        <w:t xml:space="preserve">nvolved in </w:t>
      </w:r>
      <w:r w:rsidR="00B53CAE">
        <w:t xml:space="preserve">more than one </w:t>
      </w:r>
      <w:r w:rsidR="00576BDA">
        <w:t xml:space="preserve">petroleum </w:t>
      </w:r>
      <w:r w:rsidR="00B53CAE">
        <w:t>project</w:t>
      </w:r>
      <w:r w:rsidR="005D7106">
        <w:t xml:space="preserve">. This </w:t>
      </w:r>
      <w:r w:rsidR="00A570BE">
        <w:t xml:space="preserve">can </w:t>
      </w:r>
      <w:r w:rsidR="00B53CAE">
        <w:t xml:space="preserve">lead to </w:t>
      </w:r>
      <w:r w:rsidR="005D7106">
        <w:t xml:space="preserve">participants in </w:t>
      </w:r>
      <w:r w:rsidR="00147136">
        <w:t>competing</w:t>
      </w:r>
      <w:r w:rsidR="005D7106">
        <w:t xml:space="preserve"> project</w:t>
      </w:r>
      <w:r w:rsidR="00600F6D">
        <w:t>s</w:t>
      </w:r>
      <w:r w:rsidR="005D7106">
        <w:t xml:space="preserve"> also being participants in the same project and</w:t>
      </w:r>
      <w:r w:rsidR="00B53CAE">
        <w:t xml:space="preserve"> </w:t>
      </w:r>
      <w:r w:rsidR="00834CF4">
        <w:t>jointly mak</w:t>
      </w:r>
      <w:r w:rsidR="00B53CAE">
        <w:t xml:space="preserve">ing </w:t>
      </w:r>
      <w:r w:rsidR="00834CF4">
        <w:t xml:space="preserve">decisions about the costs the operator </w:t>
      </w:r>
      <w:r w:rsidR="00600F6D">
        <w:t xml:space="preserve">can </w:t>
      </w:r>
      <w:r w:rsidR="00834CF4">
        <w:t>incur</w:t>
      </w:r>
      <w:r w:rsidR="00576BDA">
        <w:t xml:space="preserve"> </w:t>
      </w:r>
      <w:r w:rsidR="00147136">
        <w:t>on</w:t>
      </w:r>
      <w:r w:rsidR="00576BDA">
        <w:t xml:space="preserve"> </w:t>
      </w:r>
      <w:r w:rsidR="00600F6D">
        <w:t>th</w:t>
      </w:r>
      <w:r w:rsidR="003B04E3">
        <w:t>at</w:t>
      </w:r>
      <w:r w:rsidR="00600F6D">
        <w:t xml:space="preserve"> </w:t>
      </w:r>
      <w:r w:rsidR="00576BDA">
        <w:t>project</w:t>
      </w:r>
      <w:r w:rsidR="00834CF4">
        <w:t xml:space="preserve">. In </w:t>
      </w:r>
      <w:r w:rsidR="00600F6D">
        <w:t>some</w:t>
      </w:r>
      <w:r w:rsidR="00834CF4" w:rsidDel="00B53CAE">
        <w:t xml:space="preserve"> </w:t>
      </w:r>
      <w:r w:rsidR="00834CF4">
        <w:t xml:space="preserve">LNG projects, buyers who have signed up to long term </w:t>
      </w:r>
      <w:r w:rsidR="00661611">
        <w:t xml:space="preserve">sales </w:t>
      </w:r>
      <w:r w:rsidR="00834CF4">
        <w:t xml:space="preserve">contracts also have </w:t>
      </w:r>
      <w:r w:rsidR="00600F6D">
        <w:t xml:space="preserve">an </w:t>
      </w:r>
      <w:r w:rsidR="00834CF4">
        <w:t xml:space="preserve">equity stake in the </w:t>
      </w:r>
      <w:r w:rsidR="00661611">
        <w:t>project</w:t>
      </w:r>
      <w:r w:rsidR="00834CF4">
        <w:t>. I</w:t>
      </w:r>
      <w:r w:rsidR="003F136D">
        <w:t>n</w:t>
      </w:r>
      <w:r w:rsidR="00834CF4" w:rsidDel="00106E3F">
        <w:t xml:space="preserve"> </w:t>
      </w:r>
      <w:r w:rsidR="00106E3F">
        <w:t xml:space="preserve">both cases, it is </w:t>
      </w:r>
      <w:r w:rsidR="00834CF4">
        <w:t xml:space="preserve">unlikely these competitors </w:t>
      </w:r>
      <w:r w:rsidR="003F136D">
        <w:t xml:space="preserve">involved in the project </w:t>
      </w:r>
      <w:r w:rsidR="00834CF4">
        <w:t xml:space="preserve">would allow </w:t>
      </w:r>
      <w:r w:rsidR="003F136D">
        <w:t xml:space="preserve">the </w:t>
      </w:r>
      <w:r w:rsidR="00834CF4">
        <w:t>operator to profit at the</w:t>
      </w:r>
      <w:r w:rsidR="003F136D">
        <w:t>ir</w:t>
      </w:r>
      <w:r w:rsidR="00834CF4">
        <w:t xml:space="preserve"> expense </w:t>
      </w:r>
      <w:r w:rsidR="008068DC">
        <w:t>by inflating</w:t>
      </w:r>
      <w:r w:rsidR="00834CF4">
        <w:t xml:space="preserve"> the construction </w:t>
      </w:r>
      <w:r w:rsidR="008068DC">
        <w:t xml:space="preserve">and </w:t>
      </w:r>
      <w:r w:rsidR="00834CF4">
        <w:t>operati</w:t>
      </w:r>
      <w:r w:rsidR="003F136D">
        <w:t>ng costs</w:t>
      </w:r>
      <w:r w:rsidR="00834CF4">
        <w:t xml:space="preserve"> of the project. </w:t>
      </w:r>
    </w:p>
    <w:p w14:paraId="359D145E" w14:textId="751DB631" w:rsidR="00600F6D" w:rsidRDefault="00661611" w:rsidP="004270DE">
      <w:pPr>
        <w:rPr>
          <w:color w:val="auto"/>
        </w:rPr>
      </w:pPr>
      <w:r>
        <w:rPr>
          <w:color w:val="auto"/>
        </w:rPr>
        <w:t>The ATO leverages t</w:t>
      </w:r>
      <w:r w:rsidR="00834CF4">
        <w:rPr>
          <w:color w:val="auto"/>
        </w:rPr>
        <w:t>h</w:t>
      </w:r>
      <w:r w:rsidR="004270DE">
        <w:rPr>
          <w:color w:val="auto"/>
        </w:rPr>
        <w:t>e</w:t>
      </w:r>
      <w:r w:rsidR="00834CF4">
        <w:rPr>
          <w:color w:val="auto"/>
        </w:rPr>
        <w:t xml:space="preserve"> natural tension between </w:t>
      </w:r>
      <w:r w:rsidR="004270DE">
        <w:rPr>
          <w:color w:val="auto"/>
        </w:rPr>
        <w:t xml:space="preserve">the participants in a </w:t>
      </w:r>
      <w:r w:rsidR="00106E3F">
        <w:rPr>
          <w:color w:val="auto"/>
        </w:rPr>
        <w:t xml:space="preserve">project </w:t>
      </w:r>
      <w:r>
        <w:rPr>
          <w:color w:val="auto"/>
        </w:rPr>
        <w:t>as part of its co</w:t>
      </w:r>
      <w:r w:rsidR="004270DE">
        <w:rPr>
          <w:color w:val="auto"/>
        </w:rPr>
        <w:t>mpliance and assurance program</w:t>
      </w:r>
      <w:r w:rsidR="007C607B" w:rsidRPr="007C607B">
        <w:rPr>
          <w:color w:val="auto"/>
        </w:rPr>
        <w:t xml:space="preserve"> </w:t>
      </w:r>
      <w:r w:rsidR="007C607B">
        <w:rPr>
          <w:color w:val="auto"/>
        </w:rPr>
        <w:t>for the PRRT</w:t>
      </w:r>
      <w:r>
        <w:rPr>
          <w:color w:val="auto"/>
        </w:rPr>
        <w:t>. For example</w:t>
      </w:r>
      <w:r w:rsidR="00BC2706">
        <w:rPr>
          <w:color w:val="auto"/>
        </w:rPr>
        <w:t>,</w:t>
      </w:r>
      <w:r>
        <w:rPr>
          <w:color w:val="auto"/>
        </w:rPr>
        <w:t xml:space="preserve"> the ATO generally begins any queries or investigations at the joint venture operator level</w:t>
      </w:r>
      <w:r w:rsidR="004270DE">
        <w:rPr>
          <w:color w:val="auto"/>
        </w:rPr>
        <w:t xml:space="preserve"> as the majority of the project activities are by the operator</w:t>
      </w:r>
      <w:r w:rsidR="00755941">
        <w:rPr>
          <w:color w:val="auto"/>
        </w:rPr>
        <w:t xml:space="preserve">. </w:t>
      </w:r>
      <w:r w:rsidR="004270DE">
        <w:rPr>
          <w:color w:val="auto"/>
        </w:rPr>
        <w:t xml:space="preserve">After focusing on the operator, the ATO is then able to </w:t>
      </w:r>
      <w:r w:rsidR="00FE2B6D">
        <w:t xml:space="preserve">compare the claims of the operator </w:t>
      </w:r>
      <w:r w:rsidR="004270DE">
        <w:t>with the other participants in the project. W</w:t>
      </w:r>
      <w:r w:rsidR="004270DE">
        <w:rPr>
          <w:color w:val="auto"/>
        </w:rPr>
        <w:t xml:space="preserve">here </w:t>
      </w:r>
      <w:r w:rsidR="00147136">
        <w:rPr>
          <w:color w:val="auto"/>
        </w:rPr>
        <w:t xml:space="preserve">there are </w:t>
      </w:r>
      <w:r w:rsidR="004270DE">
        <w:rPr>
          <w:color w:val="auto"/>
        </w:rPr>
        <w:t>discrepancies between the participants, they are investigated further if the discrepancies are not within tolerance levels or cannot be readily explained</w:t>
      </w:r>
      <w:r w:rsidR="00106E3F">
        <w:rPr>
          <w:color w:val="auto"/>
        </w:rPr>
        <w:t xml:space="preserve"> by the taxpayer</w:t>
      </w:r>
      <w:r w:rsidR="00600F6D">
        <w:rPr>
          <w:color w:val="auto"/>
        </w:rPr>
        <w:t>.</w:t>
      </w:r>
    </w:p>
    <w:p w14:paraId="1AC21883" w14:textId="5BF994FE" w:rsidR="004D00B8" w:rsidRDefault="00B26BDC" w:rsidP="00BC3931">
      <w:pPr>
        <w:rPr>
          <w:color w:val="auto"/>
        </w:rPr>
      </w:pPr>
      <w:r>
        <w:rPr>
          <w:color w:val="auto"/>
        </w:rPr>
        <w:t xml:space="preserve">The ATO publishes </w:t>
      </w:r>
      <w:r w:rsidR="00C66C68">
        <w:rPr>
          <w:color w:val="auto"/>
        </w:rPr>
        <w:t xml:space="preserve">the </w:t>
      </w:r>
      <w:r w:rsidR="004D00B8">
        <w:rPr>
          <w:color w:val="auto"/>
        </w:rPr>
        <w:t xml:space="preserve">key </w:t>
      </w:r>
      <w:r w:rsidR="00C66C68">
        <w:rPr>
          <w:color w:val="auto"/>
        </w:rPr>
        <w:t xml:space="preserve">risks </w:t>
      </w:r>
      <w:r w:rsidR="004D00B8">
        <w:rPr>
          <w:color w:val="auto"/>
        </w:rPr>
        <w:t xml:space="preserve">and behaviour </w:t>
      </w:r>
      <w:r w:rsidR="00C66C68">
        <w:rPr>
          <w:color w:val="auto"/>
        </w:rPr>
        <w:t xml:space="preserve">it is concerned about </w:t>
      </w:r>
      <w:r w:rsidR="004D00B8">
        <w:rPr>
          <w:color w:val="auto"/>
        </w:rPr>
        <w:t xml:space="preserve">in relation to the PRRT </w:t>
      </w:r>
      <w:r w:rsidR="00C66C68">
        <w:rPr>
          <w:color w:val="auto"/>
        </w:rPr>
        <w:t xml:space="preserve">and how it </w:t>
      </w:r>
      <w:r w:rsidR="00427F18">
        <w:rPr>
          <w:color w:val="auto"/>
        </w:rPr>
        <w:t>will a</w:t>
      </w:r>
      <w:r w:rsidR="00C66C68">
        <w:rPr>
          <w:color w:val="auto"/>
        </w:rPr>
        <w:t>ssess</w:t>
      </w:r>
      <w:r w:rsidR="00427F18">
        <w:rPr>
          <w:color w:val="auto"/>
        </w:rPr>
        <w:t xml:space="preserve"> and treat these </w:t>
      </w:r>
      <w:r w:rsidR="004D00B8">
        <w:rPr>
          <w:color w:val="auto"/>
        </w:rPr>
        <w:t xml:space="preserve">issues </w:t>
      </w:r>
      <w:r w:rsidR="00427F18">
        <w:rPr>
          <w:color w:val="auto"/>
        </w:rPr>
        <w:t xml:space="preserve">on the </w:t>
      </w:r>
      <w:r w:rsidR="00C66C68">
        <w:rPr>
          <w:color w:val="auto"/>
        </w:rPr>
        <w:t>ATO website</w:t>
      </w:r>
      <w:r w:rsidR="00427F18">
        <w:rPr>
          <w:color w:val="auto"/>
        </w:rPr>
        <w:t>. By being openly transparent about the</w:t>
      </w:r>
      <w:r w:rsidR="004D00B8">
        <w:rPr>
          <w:color w:val="auto"/>
        </w:rPr>
        <w:t>se key risks and behaviour</w:t>
      </w:r>
      <w:r w:rsidR="00C735D8">
        <w:rPr>
          <w:color w:val="auto"/>
        </w:rPr>
        <w:t>s</w:t>
      </w:r>
      <w:r w:rsidR="004D00B8">
        <w:rPr>
          <w:color w:val="auto"/>
        </w:rPr>
        <w:t xml:space="preserve"> </w:t>
      </w:r>
      <w:r w:rsidR="00B476C0">
        <w:rPr>
          <w:color w:val="auto"/>
        </w:rPr>
        <w:t xml:space="preserve">of potential concern </w:t>
      </w:r>
      <w:r w:rsidR="004D00B8">
        <w:rPr>
          <w:color w:val="auto"/>
        </w:rPr>
        <w:t xml:space="preserve">the </w:t>
      </w:r>
      <w:r w:rsidR="00427F18">
        <w:rPr>
          <w:color w:val="auto"/>
        </w:rPr>
        <w:t xml:space="preserve">ATO </w:t>
      </w:r>
      <w:r w:rsidR="004D00B8">
        <w:rPr>
          <w:color w:val="auto"/>
        </w:rPr>
        <w:t>is able to influence taxpayer behaviour. Another way the ATO influences taxpayer behaviour and promotes certainty in the PRRT is by publishing guidance on the PRRT</w:t>
      </w:r>
      <w:r w:rsidR="008068DC">
        <w:rPr>
          <w:color w:val="auto"/>
        </w:rPr>
        <w:t xml:space="preserve"> and by consulting with </w:t>
      </w:r>
      <w:r w:rsidR="00BC2706">
        <w:rPr>
          <w:color w:val="auto"/>
        </w:rPr>
        <w:t>i</w:t>
      </w:r>
      <w:r w:rsidR="008068DC">
        <w:rPr>
          <w:color w:val="auto"/>
        </w:rPr>
        <w:t>ndustry on future and emerging issues</w:t>
      </w:r>
      <w:r w:rsidR="004D00B8">
        <w:rPr>
          <w:color w:val="auto"/>
        </w:rPr>
        <w:t>.</w:t>
      </w:r>
    </w:p>
    <w:p w14:paraId="5A15CCFD" w14:textId="23435610" w:rsidR="004C0DB6" w:rsidRPr="004C0DB6" w:rsidRDefault="004C0DB6" w:rsidP="004C0DB6">
      <w:pPr>
        <w:pStyle w:val="Heading3"/>
      </w:pPr>
      <w:bookmarkStart w:id="7421" w:name="_Toc478566414"/>
      <w:bookmarkStart w:id="7422" w:name="_Toc478569581"/>
      <w:bookmarkStart w:id="7423" w:name="_Toc478569755"/>
      <w:bookmarkStart w:id="7424" w:name="_Toc478570829"/>
      <w:bookmarkStart w:id="7425" w:name="_Toc478633028"/>
      <w:bookmarkStart w:id="7426" w:name="_Toc478641438"/>
      <w:bookmarkStart w:id="7427" w:name="_Toc478654332"/>
      <w:bookmarkStart w:id="7428" w:name="_Toc478654506"/>
      <w:bookmarkStart w:id="7429" w:name="_Toc478657801"/>
      <w:bookmarkStart w:id="7430" w:name="_Toc478993222"/>
      <w:bookmarkStart w:id="7431" w:name="_Toc479000293"/>
      <w:bookmarkStart w:id="7432" w:name="_Toc479002227"/>
      <w:bookmarkStart w:id="7433" w:name="_Toc479002399"/>
      <w:bookmarkStart w:id="7434" w:name="_Toc479254374"/>
      <w:bookmarkStart w:id="7435" w:name="_Toc479258563"/>
      <w:bookmarkStart w:id="7436" w:name="_Toc479258879"/>
      <w:bookmarkStart w:id="7437" w:name="_Toc479259771"/>
      <w:bookmarkStart w:id="7438" w:name="_Toc479262194"/>
      <w:bookmarkStart w:id="7439" w:name="_Toc479262615"/>
      <w:bookmarkStart w:id="7440" w:name="_Toc479321316"/>
      <w:bookmarkStart w:id="7441" w:name="_Toc479326755"/>
      <w:bookmarkStart w:id="7442" w:name="_Toc479333354"/>
      <w:bookmarkStart w:id="7443" w:name="_Toc479335051"/>
      <w:bookmarkStart w:id="7444" w:name="_Toc479341766"/>
      <w:bookmarkStart w:id="7445" w:name="_Toc479345182"/>
      <w:bookmarkStart w:id="7446" w:name="_Toc479345391"/>
      <w:bookmarkStart w:id="7447" w:name="_Toc479348372"/>
      <w:bookmarkStart w:id="7448" w:name="_Toc479675966"/>
      <w:bookmarkStart w:id="7449" w:name="_Toc479690933"/>
      <w:bookmarkStart w:id="7450" w:name="_Toc479693511"/>
      <w:bookmarkStart w:id="7451" w:name="_Toc479770680"/>
      <w:r w:rsidRPr="004C0DB6">
        <w:t>4.11.2</w:t>
      </w:r>
      <w:r w:rsidR="004E3CED">
        <w:tab/>
      </w:r>
      <w:r w:rsidRPr="004C0DB6">
        <w:t>Uncertainty in the law</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p>
    <w:p w14:paraId="6263AD93" w14:textId="070A6A5A" w:rsidR="00AA7794" w:rsidRDefault="00AA7794" w:rsidP="00BC3931">
      <w:r>
        <w:t xml:space="preserve">Industry raised concerns with the </w:t>
      </w:r>
      <w:r w:rsidR="008D70E8">
        <w:t xml:space="preserve">ANAO </w:t>
      </w:r>
      <w:r>
        <w:t xml:space="preserve">in 2009 that there was considerable uncertainty on the ATO view on a number of interpretative issues, such as the scope of certain indirect costs that </w:t>
      </w:r>
      <w:r w:rsidR="00146DB8">
        <w:t xml:space="preserve">are </w:t>
      </w:r>
      <w:r>
        <w:t>specifically excluded for PRRT, and whether the PRRT meaning of exploration is the same as the income tax meaning of exploration. Concerns were also raised on the taxing point for sales gas.</w:t>
      </w:r>
    </w:p>
    <w:p w14:paraId="2506C555" w14:textId="701BA066" w:rsidR="00AA7794" w:rsidRDefault="00AA7794" w:rsidP="00BC3931">
      <w:r>
        <w:t xml:space="preserve">Similar concerns were also expressed by </w:t>
      </w:r>
      <w:r w:rsidR="00B476C0">
        <w:t>i</w:t>
      </w:r>
      <w:r>
        <w:t xml:space="preserve">ndustry to the PTG during the consultation process for the extension of the PRRT. While it was outside the terms of reference for the PTG to provide recommendations to the Government on the existing operation of the PRRT, the PTG advised the Government to align the meaning of exploration with the income tax meaning of exploration and to change the test for deductibility to a </w:t>
      </w:r>
      <w:r w:rsidR="005D6F39">
        <w:t>‘</w:t>
      </w:r>
      <w:r>
        <w:t>necessarily incurred</w:t>
      </w:r>
      <w:r w:rsidR="005D6F39">
        <w:t>’</w:t>
      </w:r>
      <w:r>
        <w:t xml:space="preserve"> test which is used in income tax</w:t>
      </w:r>
      <w:r w:rsidR="00B476C0">
        <w:t xml:space="preserve"> law</w:t>
      </w:r>
      <w:r>
        <w:t xml:space="preserve">. The PTG acknowledged </w:t>
      </w:r>
      <w:r w:rsidR="00B476C0">
        <w:t xml:space="preserve">that </w:t>
      </w:r>
      <w:r>
        <w:t>adopting these recommendations would come at a revenue cost, and the Government at that time did not choose to adopt the recommendation.</w:t>
      </w:r>
    </w:p>
    <w:p w14:paraId="0FCD1B0F" w14:textId="631C158D" w:rsidR="00AA7794" w:rsidRDefault="00AA7794" w:rsidP="00BC3931">
      <w:r>
        <w:t>Since the release of the PTG report, there ha</w:t>
      </w:r>
      <w:r w:rsidR="00847AE0">
        <w:t>ve</w:t>
      </w:r>
      <w:r>
        <w:t xml:space="preserve"> been a number of cases</w:t>
      </w:r>
      <w:r w:rsidR="002864D1">
        <w:t>,</w:t>
      </w:r>
      <w:r w:rsidR="00847AE0">
        <w:t xml:space="preserve"> </w:t>
      </w:r>
      <w:r>
        <w:t>such as the Esso decision in 2011, the Esso decision in 2012, and the ZZGN case in 2013</w:t>
      </w:r>
      <w:r w:rsidR="002864D1">
        <w:t xml:space="preserve"> (</w:t>
      </w:r>
      <w:r>
        <w:t xml:space="preserve">discussed in </w:t>
      </w:r>
      <w:r w:rsidR="00BD1011" w:rsidRPr="006D28D4">
        <w:t xml:space="preserve">Appendix </w:t>
      </w:r>
      <w:r w:rsidR="00296DBD" w:rsidRPr="006D28D4">
        <w:t>B</w:t>
      </w:r>
      <w:r w:rsidR="002864D1">
        <w:t>)</w:t>
      </w:r>
      <w:r>
        <w:t xml:space="preserve"> </w:t>
      </w:r>
      <w:r w:rsidR="00146DB8">
        <w:t>which</w:t>
      </w:r>
      <w:r>
        <w:t xml:space="preserve"> have </w:t>
      </w:r>
      <w:r w:rsidR="000129FC">
        <w:t xml:space="preserve">clarified </w:t>
      </w:r>
      <w:r>
        <w:t xml:space="preserve">many of these long standing issues. </w:t>
      </w:r>
      <w:r w:rsidR="00847AE0">
        <w:t>Following from the Esso case in 2012, a</w:t>
      </w:r>
      <w:r>
        <w:t>mendments were made to the PRRT to clarify the treatment of excluded costs where a PRRT taxpayer procures projects services from a contractor</w:t>
      </w:r>
      <w:r w:rsidR="00377251" w:rsidDel="00C45DDC">
        <w:t>.</w:t>
      </w:r>
    </w:p>
    <w:p w14:paraId="4A93C55F" w14:textId="13D7BA98" w:rsidR="00AA7794" w:rsidRDefault="00AA7794" w:rsidP="00BC3931">
      <w:r>
        <w:t xml:space="preserve">The ATO </w:t>
      </w:r>
      <w:r w:rsidR="00377251">
        <w:t>has</w:t>
      </w:r>
      <w:r>
        <w:t xml:space="preserve"> published two practical compliance guidelines (PCG 2016/12 </w:t>
      </w:r>
      <w:r w:rsidR="005761D7">
        <w:t>and</w:t>
      </w:r>
      <w:r>
        <w:t xml:space="preserve"> PCG</w:t>
      </w:r>
      <w:r w:rsidR="005761D7">
        <w:t> </w:t>
      </w:r>
      <w:r>
        <w:t>20</w:t>
      </w:r>
      <w:r w:rsidR="002E59E9">
        <w:t>1</w:t>
      </w:r>
      <w:r>
        <w:t xml:space="preserve">6/13) that are designed to assist taxpayers comply with the deductible expenditure provisions and the </w:t>
      </w:r>
      <w:r w:rsidR="005D6F39">
        <w:t>‘</w:t>
      </w:r>
      <w:r>
        <w:t>excluded</w:t>
      </w:r>
      <w:r w:rsidR="005D6F39">
        <w:t>’</w:t>
      </w:r>
      <w:r>
        <w:t xml:space="preserve"> expenditure provisions in the PRRT. They broadly outline the types of expenditure the ATO considers to be low risk and will not generally devote compliance resources to review</w:t>
      </w:r>
      <w:r w:rsidR="009B20AA">
        <w:t>,</w:t>
      </w:r>
      <w:r>
        <w:t xml:space="preserve"> as well as those types of expenditure the ATO considers to be high risk and is more likely to review. </w:t>
      </w:r>
      <w:r w:rsidR="00A26765">
        <w:t xml:space="preserve">After extensive consultation with industry, </w:t>
      </w:r>
      <w:r w:rsidR="00C234B3">
        <w:t>t</w:t>
      </w:r>
      <w:r>
        <w:t xml:space="preserve">he ATO published its view on the meaning </w:t>
      </w:r>
      <w:r w:rsidR="00377251">
        <w:t>of</w:t>
      </w:r>
      <w:r>
        <w:t xml:space="preserve"> exploration in Taxation Ruling TR 2014/9, which is consistent with the views expressed </w:t>
      </w:r>
      <w:r w:rsidR="000129FC">
        <w:t xml:space="preserve">by the Tribunal </w:t>
      </w:r>
      <w:r>
        <w:t>in the ZZGN decision.</w:t>
      </w:r>
    </w:p>
    <w:p w14:paraId="2207ACD3" w14:textId="2C412F21" w:rsidR="00AA7794" w:rsidRDefault="00AA7794" w:rsidP="00BC3931">
      <w:r>
        <w:t>The APPEA submission referred to the PTG recommendations and said they were no longer needed as these longstanding issues have largely been addressed. Only one company thought the</w:t>
      </w:r>
      <w:r w:rsidR="00146DB8">
        <w:t>se</w:t>
      </w:r>
      <w:r>
        <w:t xml:space="preserve"> recommendation</w:t>
      </w:r>
      <w:r w:rsidR="00146DB8">
        <w:t>s</w:t>
      </w:r>
      <w:r>
        <w:t xml:space="preserve"> should still be implemented to reduce compliance costs.</w:t>
      </w:r>
    </w:p>
    <w:p w14:paraId="4B8D6BD7" w14:textId="50856EA7" w:rsidR="00F4045D" w:rsidRDefault="00F4045D" w:rsidP="00F4045D">
      <w:pPr>
        <w:pStyle w:val="Heading3"/>
      </w:pPr>
      <w:bookmarkStart w:id="7452" w:name="_Toc478566415"/>
      <w:bookmarkStart w:id="7453" w:name="_Toc478569582"/>
      <w:bookmarkStart w:id="7454" w:name="_Toc478569756"/>
      <w:bookmarkStart w:id="7455" w:name="_Toc478570830"/>
      <w:bookmarkStart w:id="7456" w:name="_Toc478633029"/>
      <w:bookmarkStart w:id="7457" w:name="_Toc478641439"/>
      <w:bookmarkStart w:id="7458" w:name="_Toc478654333"/>
      <w:bookmarkStart w:id="7459" w:name="_Toc478654507"/>
      <w:bookmarkStart w:id="7460" w:name="_Toc478657802"/>
      <w:bookmarkStart w:id="7461" w:name="_Toc478993223"/>
      <w:bookmarkStart w:id="7462" w:name="_Toc479000294"/>
      <w:bookmarkStart w:id="7463" w:name="_Toc479002228"/>
      <w:bookmarkStart w:id="7464" w:name="_Toc479002400"/>
      <w:bookmarkStart w:id="7465" w:name="_Toc479254375"/>
      <w:bookmarkStart w:id="7466" w:name="_Toc479258564"/>
      <w:bookmarkStart w:id="7467" w:name="_Toc479258880"/>
      <w:bookmarkStart w:id="7468" w:name="_Toc479259772"/>
      <w:bookmarkStart w:id="7469" w:name="_Toc479262195"/>
      <w:bookmarkStart w:id="7470" w:name="_Toc479262616"/>
      <w:bookmarkStart w:id="7471" w:name="_Toc479321317"/>
      <w:bookmarkStart w:id="7472" w:name="_Toc479326756"/>
      <w:bookmarkStart w:id="7473" w:name="_Toc479333355"/>
      <w:bookmarkStart w:id="7474" w:name="_Toc479335052"/>
      <w:bookmarkStart w:id="7475" w:name="_Toc479341767"/>
      <w:bookmarkStart w:id="7476" w:name="_Toc479345183"/>
      <w:bookmarkStart w:id="7477" w:name="_Toc479345392"/>
      <w:bookmarkStart w:id="7478" w:name="_Toc479348373"/>
      <w:bookmarkStart w:id="7479" w:name="_Toc479675967"/>
      <w:bookmarkStart w:id="7480" w:name="_Toc479690934"/>
      <w:bookmarkStart w:id="7481" w:name="_Toc479693512"/>
      <w:bookmarkStart w:id="7482" w:name="_Toc479770681"/>
      <w:r>
        <w:t>4.11.3</w:t>
      </w:r>
      <w:r w:rsidR="004E3CED">
        <w:tab/>
      </w:r>
      <w:r>
        <w:t xml:space="preserve">Modernising </w:t>
      </w:r>
      <w:r w:rsidR="002B739A">
        <w:t xml:space="preserve">PRRT </w:t>
      </w:r>
      <w:r w:rsidR="00C234B3">
        <w:t>administration</w:t>
      </w:r>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14:paraId="4F46AA45" w14:textId="029D6933" w:rsidR="00AA7794" w:rsidRDefault="00AA7794" w:rsidP="00BC3931">
      <w:r>
        <w:t xml:space="preserve">The ATO </w:t>
      </w:r>
      <w:r w:rsidR="0087106B">
        <w:t>is</w:t>
      </w:r>
      <w:r>
        <w:t xml:space="preserve"> fac</w:t>
      </w:r>
      <w:r w:rsidR="0087106B">
        <w:t>ing</w:t>
      </w:r>
      <w:r>
        <w:t xml:space="preserve"> a number of challenges </w:t>
      </w:r>
      <w:r w:rsidR="0087106B">
        <w:t xml:space="preserve">with the shift </w:t>
      </w:r>
      <w:r w:rsidR="00BD1011">
        <w:t xml:space="preserve">by </w:t>
      </w:r>
      <w:r>
        <w:t>the industry</w:t>
      </w:r>
      <w:r w:rsidDel="00BD1011">
        <w:t xml:space="preserve"> </w:t>
      </w:r>
      <w:r>
        <w:t>from oil projects to large LNG projects</w:t>
      </w:r>
      <w:r w:rsidR="00755941">
        <w:t xml:space="preserve">. </w:t>
      </w:r>
      <w:r>
        <w:t xml:space="preserve">For instance, </w:t>
      </w:r>
      <w:r w:rsidR="0087106B">
        <w:t>a</w:t>
      </w:r>
      <w:r>
        <w:t xml:space="preserve"> design feature of the PRRT </w:t>
      </w:r>
      <w:r w:rsidR="0087106B">
        <w:t xml:space="preserve">is </w:t>
      </w:r>
      <w:r>
        <w:t>that a project is required to lodge an annual return with the ATO after the</w:t>
      </w:r>
      <w:r w:rsidR="0087106B">
        <w:t xml:space="preserve"> project </w:t>
      </w:r>
      <w:r>
        <w:t>start</w:t>
      </w:r>
      <w:r w:rsidR="0087106B">
        <w:t>s</w:t>
      </w:r>
      <w:r>
        <w:t xml:space="preserve"> producing assessable </w:t>
      </w:r>
      <w:r w:rsidR="00AC2CDB" w:rsidRPr="00BD1011">
        <w:t xml:space="preserve">PRRT </w:t>
      </w:r>
      <w:r w:rsidRPr="00BD1011">
        <w:t>receipts</w:t>
      </w:r>
      <w:r>
        <w:t xml:space="preserve">. It is only when a PRRT taxpayer lodges their first return for a project </w:t>
      </w:r>
      <w:r w:rsidR="002864D1">
        <w:t>that</w:t>
      </w:r>
      <w:r>
        <w:t xml:space="preserve"> there is a requirement to disclose the carried forward deductible expenditure for a project.</w:t>
      </w:r>
    </w:p>
    <w:p w14:paraId="64FF07F5" w14:textId="6EFFE502" w:rsidR="00AA7794" w:rsidRDefault="00AA7794" w:rsidP="00BC3931">
      <w:r>
        <w:t xml:space="preserve">For some LNG projects, it can take </w:t>
      </w:r>
      <w:r w:rsidR="00404E01">
        <w:t>a decade</w:t>
      </w:r>
      <w:r>
        <w:t xml:space="preserve"> or considerably longer after a discovery is made before commercial production begins and there are assessable </w:t>
      </w:r>
      <w:r w:rsidR="00AC2CDB">
        <w:t xml:space="preserve">PRRT </w:t>
      </w:r>
      <w:r>
        <w:t xml:space="preserve">receipts from the project. Since annual returns are only lodged after a project starts producing assessable </w:t>
      </w:r>
      <w:r w:rsidR="00AC2CDB">
        <w:t xml:space="preserve">PRRT </w:t>
      </w:r>
      <w:r>
        <w:t xml:space="preserve">receipts it may be </w:t>
      </w:r>
      <w:r w:rsidR="00404E01">
        <w:t xml:space="preserve">many </w:t>
      </w:r>
      <w:r>
        <w:t xml:space="preserve">years, or </w:t>
      </w:r>
      <w:r w:rsidR="00F46FAA">
        <w:t>for</w:t>
      </w:r>
      <w:r>
        <w:t xml:space="preserve"> some LNG projects decades</w:t>
      </w:r>
      <w:r w:rsidR="00377251">
        <w:t>,</w:t>
      </w:r>
      <w:r>
        <w:t xml:space="preserve"> after expenditure is incurred before </w:t>
      </w:r>
      <w:r w:rsidR="00F46FAA">
        <w:t>assessable receipts are</w:t>
      </w:r>
      <w:r w:rsidR="00126824">
        <w:t xml:space="preserve"> </w:t>
      </w:r>
      <w:r w:rsidR="00F46FAA">
        <w:t xml:space="preserve">produced </w:t>
      </w:r>
      <w:r>
        <w:t xml:space="preserve">and the </w:t>
      </w:r>
      <w:r w:rsidR="00126824">
        <w:t>first a</w:t>
      </w:r>
      <w:r w:rsidR="00F46FAA">
        <w:t>nnual return is lodged.</w:t>
      </w:r>
      <w:r>
        <w:t xml:space="preserve"> This significantly restricts the ATO</w:t>
      </w:r>
      <w:r w:rsidR="005D6F39">
        <w:t>’</w:t>
      </w:r>
      <w:r>
        <w:t xml:space="preserve">s ability to </w:t>
      </w:r>
      <w:r w:rsidDel="00A16009">
        <w:t xml:space="preserve">undertake </w:t>
      </w:r>
      <w:r w:rsidR="006375FA">
        <w:t>compliance acti</w:t>
      </w:r>
      <w:r w:rsidR="00A16009">
        <w:t xml:space="preserve">vity </w:t>
      </w:r>
      <w:r w:rsidR="006375FA">
        <w:t xml:space="preserve">when </w:t>
      </w:r>
      <w:r w:rsidR="00A16009">
        <w:t>a project incurs the</w:t>
      </w:r>
      <w:r w:rsidR="00404E01" w:rsidDel="00A16009">
        <w:t xml:space="preserve"> </w:t>
      </w:r>
      <w:r w:rsidR="00404E01">
        <w:t>expenditure</w:t>
      </w:r>
      <w:r w:rsidR="007E51D9">
        <w:t>,</w:t>
      </w:r>
      <w:r w:rsidR="00126824">
        <w:t xml:space="preserve"> and</w:t>
      </w:r>
      <w:r>
        <w:t xml:space="preserve"> </w:t>
      </w:r>
      <w:r w:rsidR="00404E01">
        <w:t>also</w:t>
      </w:r>
      <w:r>
        <w:t xml:space="preserve"> limits the ATO</w:t>
      </w:r>
      <w:r w:rsidR="005D6F39">
        <w:t>’</w:t>
      </w:r>
      <w:r>
        <w:t>s ability to provide reliable data to Treasury for revenue forecasting purposes, as the data provided by the ATO is derived from the annual returns.</w:t>
      </w:r>
    </w:p>
    <w:p w14:paraId="26E13B9D" w14:textId="7C0B48E9" w:rsidR="00AA7794" w:rsidRDefault="00AA7794" w:rsidP="00BC3931">
      <w:r>
        <w:t xml:space="preserve">PRRT taxpayers also do not have certainty over their carried forward expenditure until they start lodging annual returns, as the </w:t>
      </w:r>
      <w:r w:rsidR="00F21B35">
        <w:t xml:space="preserve">usual </w:t>
      </w:r>
      <w:r w:rsidR="00C234B3">
        <w:t>four</w:t>
      </w:r>
      <w:r w:rsidR="005D6F39">
        <w:noBreakHyphen/>
      </w:r>
      <w:r>
        <w:t xml:space="preserve">year period of review by the Commissioner only applies when an amount of deductible expenditure is included in an assessment. There can also be difficulties for PRRT taxpayers providing information to substantiate their claims for deductible expenditure where </w:t>
      </w:r>
      <w:r w:rsidR="009500DD">
        <w:t xml:space="preserve">the expenditure </w:t>
      </w:r>
      <w:r>
        <w:t>i</w:t>
      </w:r>
      <w:r w:rsidR="009500DD">
        <w:t>n dispute</w:t>
      </w:r>
      <w:r>
        <w:t xml:space="preserve"> was incurred many years</w:t>
      </w:r>
      <w:r w:rsidR="00A16009">
        <w:t>,</w:t>
      </w:r>
      <w:r w:rsidR="002F7875">
        <w:t xml:space="preserve"> or</w:t>
      </w:r>
      <w:r w:rsidR="00A16009">
        <w:t xml:space="preserve"> in some cases, </w:t>
      </w:r>
      <w:r w:rsidR="00E90B65">
        <w:t>decades earlier</w:t>
      </w:r>
      <w:r>
        <w:t xml:space="preserve">. </w:t>
      </w:r>
    </w:p>
    <w:p w14:paraId="478B5905" w14:textId="061625E2" w:rsidR="00773E71" w:rsidRPr="00773E71" w:rsidRDefault="00AA7794" w:rsidP="004278C3">
      <w:r>
        <w:t xml:space="preserve">This </w:t>
      </w:r>
      <w:r w:rsidR="00E90B65">
        <w:t>problem was</w:t>
      </w:r>
      <w:r>
        <w:t xml:space="preserve"> raised in the PTG report</w:t>
      </w:r>
      <w:r w:rsidR="002F7875">
        <w:t>. It</w:t>
      </w:r>
      <w:r>
        <w:t xml:space="preserve"> could be addressed by amending the PRRT so </w:t>
      </w:r>
      <w:r w:rsidR="00CE5D24">
        <w:t>that</w:t>
      </w:r>
      <w:r>
        <w:t xml:space="preserve"> PRRT taxpayers are </w:t>
      </w:r>
      <w:r w:rsidR="00616301">
        <w:t>required</w:t>
      </w:r>
      <w:r w:rsidDel="00616301">
        <w:t xml:space="preserve"> </w:t>
      </w:r>
      <w:r>
        <w:t>to lodge annual returns after they start holding an interest in an exploration permit, retention lease or production l</w:t>
      </w:r>
      <w:r w:rsidR="002864D1">
        <w:t>icence</w:t>
      </w:r>
      <w:r>
        <w:t xml:space="preserve"> rather than having to wait until they receive assessable </w:t>
      </w:r>
      <w:r w:rsidR="00AC2CDB">
        <w:t xml:space="preserve">PRRT </w:t>
      </w:r>
      <w:r>
        <w:t>receipts from the project. Since most PRRT taxpayers already track and substantiate their expenditure when it is incurred the additional compliance costs to gain this certainty</w:t>
      </w:r>
      <w:r w:rsidR="009500DD">
        <w:t xml:space="preserve"> </w:t>
      </w:r>
      <w:r>
        <w:t xml:space="preserve">should be minimal. </w:t>
      </w:r>
      <w:r w:rsidR="004278C3">
        <w:t xml:space="preserve">However, a </w:t>
      </w:r>
      <w:r w:rsidR="00773E71" w:rsidRPr="00773E71">
        <w:t xml:space="preserve">process would need to be put in place by the ATO, in consultation with industry, to facilitate the lodgement of annual returns for existing projects, exploration permits and retentions leases. The ATO may also require additional resources so it can undertake the necessary assurance activities, within the usual </w:t>
      </w:r>
      <w:r w:rsidR="00C234B3">
        <w:t>four</w:t>
      </w:r>
      <w:r w:rsidR="005D6F39">
        <w:noBreakHyphen/>
      </w:r>
      <w:r w:rsidR="00773E71" w:rsidRPr="00773E71">
        <w:t xml:space="preserve">year period of review, </w:t>
      </w:r>
      <w:r w:rsidR="004278C3">
        <w:t xml:space="preserve">to provide the </w:t>
      </w:r>
      <w:r w:rsidR="00773E71" w:rsidRPr="00773E71">
        <w:t xml:space="preserve">community </w:t>
      </w:r>
      <w:r w:rsidR="004278C3">
        <w:t xml:space="preserve">with </w:t>
      </w:r>
      <w:r w:rsidR="00773E71" w:rsidRPr="00773E71">
        <w:t xml:space="preserve">confidence the </w:t>
      </w:r>
      <w:r w:rsidR="004278C3">
        <w:t xml:space="preserve">right amount of </w:t>
      </w:r>
      <w:r w:rsidR="00773E71" w:rsidRPr="00773E71">
        <w:t xml:space="preserve">deductions </w:t>
      </w:r>
      <w:r w:rsidR="004278C3">
        <w:t xml:space="preserve">are </w:t>
      </w:r>
      <w:r w:rsidR="00773E71" w:rsidRPr="00773E71">
        <w:t>claimed in these returns.</w:t>
      </w:r>
    </w:p>
    <w:p w14:paraId="30E9431C" w14:textId="228F3AC2" w:rsidR="00AA7794" w:rsidRDefault="00AA7794" w:rsidP="00BC3931">
      <w:r>
        <w:t xml:space="preserve">Some legal experts  consulted </w:t>
      </w:r>
      <w:r w:rsidR="002F7875">
        <w:t xml:space="preserve">by the review </w:t>
      </w:r>
      <w:r>
        <w:t xml:space="preserve">suggested the black letter drafting style used </w:t>
      </w:r>
      <w:r w:rsidR="002F7875">
        <w:t>in</w:t>
      </w:r>
      <w:r>
        <w:t xml:space="preserve"> the PRRT</w:t>
      </w:r>
      <w:r w:rsidR="002F7875">
        <w:t xml:space="preserve"> legislation</w:t>
      </w:r>
      <w:r w:rsidR="002864D1">
        <w:t xml:space="preserve"> (</w:t>
      </w:r>
      <w:r>
        <w:t>which was common in the 1980s</w:t>
      </w:r>
      <w:r w:rsidR="002864D1">
        <w:t>)</w:t>
      </w:r>
      <w:r>
        <w:t xml:space="preserve"> has resulted in </w:t>
      </w:r>
      <w:r w:rsidR="005D6F39">
        <w:t>‘</w:t>
      </w:r>
      <w:r>
        <w:t>fuzzy law</w:t>
      </w:r>
      <w:r w:rsidR="005D6F39">
        <w:t>’</w:t>
      </w:r>
      <w:r>
        <w:t xml:space="preserve"> and that arguably certain parts of the PRRT are no longer appropriate to deal with some of the commercial and financial arrangements that are in place today. Other submissions also suggested amendments were needed to modernise the PRRT regime.</w:t>
      </w:r>
    </w:p>
    <w:p w14:paraId="5A642C61" w14:textId="10965081" w:rsidR="00AA7794" w:rsidRDefault="00AB0723" w:rsidP="00BC3931">
      <w:r>
        <w:t>For example, t</w:t>
      </w:r>
      <w:r w:rsidR="00AA7794">
        <w:t xml:space="preserve">he development of large LNG projects in often remote locations can require significant expenditure on social infrastructure and public amenities such as roads, hospitals, water, electricity and sewerage. A project may be required to provide social infrastructure as one of the conditions of the </w:t>
      </w:r>
      <w:r w:rsidR="00C234B3">
        <w:t>g</w:t>
      </w:r>
      <w:r w:rsidR="00AA7794">
        <w:t xml:space="preserve">overnment approval process for the project, or it may be provided as there is an expectation by </w:t>
      </w:r>
      <w:r w:rsidR="00C234B3">
        <w:t>g</w:t>
      </w:r>
      <w:r w:rsidR="00AA7794">
        <w:t>overnment and the community as part of the projects social licen</w:t>
      </w:r>
      <w:r w:rsidR="002864D1">
        <w:t>c</w:t>
      </w:r>
      <w:r w:rsidR="00AA7794">
        <w:t>e to operate</w:t>
      </w:r>
      <w:r w:rsidR="002F7875" w:rsidRPr="002F7875">
        <w:t xml:space="preserve"> </w:t>
      </w:r>
      <w:r w:rsidR="002F7875">
        <w:t>(</w:t>
      </w:r>
      <w:r w:rsidR="002F7875" w:rsidRPr="002700E0">
        <w:t>APPEA Submission, p. 78)</w:t>
      </w:r>
      <w:r w:rsidR="002700E0" w:rsidRPr="002700E0">
        <w:t>.</w:t>
      </w:r>
      <w:r w:rsidR="00AA7794">
        <w:t xml:space="preserve"> </w:t>
      </w:r>
      <w:r w:rsidR="002F7875">
        <w:t>T</w:t>
      </w:r>
      <w:r w:rsidR="00AA7794">
        <w:t>he ATO is currently consulting with APPEA and other stakeholders to provide guidance on this issue.</w:t>
      </w:r>
    </w:p>
    <w:p w14:paraId="500761B3" w14:textId="1C525587" w:rsidR="00AA7794" w:rsidRDefault="00A74EC0" w:rsidP="00BC3931">
      <w:r>
        <w:t>F</w:t>
      </w:r>
      <w:r w:rsidR="00AA7794">
        <w:t xml:space="preserve">LNG is another example of the PRRT having to adapt to new technology used by </w:t>
      </w:r>
      <w:r w:rsidR="002F50D4">
        <w:t xml:space="preserve">the </w:t>
      </w:r>
      <w:r w:rsidR="002F7875">
        <w:t>oil and gas i</w:t>
      </w:r>
      <w:r w:rsidR="00AA7794">
        <w:t xml:space="preserve">ndustry. </w:t>
      </w:r>
      <w:r w:rsidR="00E957F1">
        <w:t>This new technology</w:t>
      </w:r>
      <w:r w:rsidR="00AA7794">
        <w:t xml:space="preserve"> will place a greater emphasis on the apportionment principles in </w:t>
      </w:r>
      <w:r w:rsidR="00E957F1">
        <w:t xml:space="preserve">the </w:t>
      </w:r>
      <w:r w:rsidR="00AA7794">
        <w:t xml:space="preserve">PRRT as the entire upstream and downstream operations of the LNG project are essentially contained within </w:t>
      </w:r>
      <w:r w:rsidR="00E957F1">
        <w:t>a</w:t>
      </w:r>
      <w:r w:rsidR="00AA7794">
        <w:t xml:space="preserve"> floating vessel. This will potentially cause a number of practical challenges for the ATO and PRRT </w:t>
      </w:r>
      <w:r w:rsidR="002F7875">
        <w:t>t</w:t>
      </w:r>
      <w:r w:rsidR="00AA7794">
        <w:t xml:space="preserve">axpayers as they </w:t>
      </w:r>
      <w:r w:rsidR="00E957F1">
        <w:t xml:space="preserve">will need </w:t>
      </w:r>
      <w:r w:rsidR="00AA7794">
        <w:t xml:space="preserve">determine how to apportion these expenditures for PRRT purposes. Again the ATO is consulting with </w:t>
      </w:r>
      <w:r w:rsidR="002F7875">
        <w:t>the i</w:t>
      </w:r>
      <w:r w:rsidR="00AA7794">
        <w:t>ndustry</w:t>
      </w:r>
      <w:r w:rsidR="00731715">
        <w:t xml:space="preserve"> </w:t>
      </w:r>
      <w:r w:rsidR="00AA7794">
        <w:t xml:space="preserve">on this issue </w:t>
      </w:r>
      <w:r w:rsidR="002F7875">
        <w:t xml:space="preserve">with the aim of </w:t>
      </w:r>
      <w:r w:rsidR="00AA7794">
        <w:t>develop</w:t>
      </w:r>
      <w:r w:rsidR="002F7875">
        <w:t>ing</w:t>
      </w:r>
      <w:r w:rsidR="00AA7794">
        <w:t xml:space="preserve"> practic</w:t>
      </w:r>
      <w:r w:rsidR="00E957F1">
        <w:t>al</w:t>
      </w:r>
      <w:r w:rsidR="00AA7794">
        <w:t xml:space="preserve"> guidance </w:t>
      </w:r>
      <w:r w:rsidR="00731715">
        <w:t xml:space="preserve">to provide </w:t>
      </w:r>
      <w:r w:rsidR="00E90B65">
        <w:t>greater certainty</w:t>
      </w:r>
      <w:r w:rsidR="00AA7794">
        <w:t xml:space="preserve"> in this area.</w:t>
      </w:r>
    </w:p>
    <w:p w14:paraId="4F60B926" w14:textId="1FFC8199" w:rsidR="009E2A2C" w:rsidRDefault="00AA7794" w:rsidP="009E2A2C">
      <w:r>
        <w:t>Other</w:t>
      </w:r>
      <w:r w:rsidR="002F7875">
        <w:t xml:space="preserve"> parties </w:t>
      </w:r>
      <w:r>
        <w:t xml:space="preserve">consulted </w:t>
      </w:r>
      <w:r w:rsidR="002F7875">
        <w:t xml:space="preserve">by the review </w:t>
      </w:r>
      <w:r>
        <w:t xml:space="preserve">observed </w:t>
      </w:r>
      <w:r w:rsidR="00260143">
        <w:t>that</w:t>
      </w:r>
      <w:r>
        <w:t xml:space="preserve"> the PRRT design feature of linking a project to a production licence may not align with contemporary commercial practices in the oil and gas industry. For instance, a production licen</w:t>
      </w:r>
      <w:r w:rsidR="00495428">
        <w:t>c</w:t>
      </w:r>
      <w:r>
        <w:t>e may revert to a retention lease where there has been no recovery of petroleum from the licen</w:t>
      </w:r>
      <w:r w:rsidR="00495428">
        <w:t>c</w:t>
      </w:r>
      <w:r>
        <w:t xml:space="preserve">e area for a period of time. If further petroleum can be recovered in the future a new production </w:t>
      </w:r>
      <w:r w:rsidR="00606825">
        <w:t>licenc</w:t>
      </w:r>
      <w:r>
        <w:t>e can be granted. However, the PRRT regime does not contemplate that a production licen</w:t>
      </w:r>
      <w:r w:rsidR="00606825">
        <w:t>c</w:t>
      </w:r>
      <w:r>
        <w:t xml:space="preserve">e can revert back to a retention lease. It only contemplates the linear progression of an exploration permit to a retention lease to a production </w:t>
      </w:r>
      <w:r w:rsidR="00606825">
        <w:t>licenc</w:t>
      </w:r>
      <w:r>
        <w:t>e as this was the normal progression of an oil project in the 1980s when the PRRT was first introduced. Not recognising that a production licen</w:t>
      </w:r>
      <w:r w:rsidR="00260143">
        <w:t>c</w:t>
      </w:r>
      <w:r>
        <w:t xml:space="preserve">e may revert to a retention lease may result in </w:t>
      </w:r>
      <w:r w:rsidR="009A3A7C">
        <w:t xml:space="preserve">a </w:t>
      </w:r>
      <w:r w:rsidR="005D6F39">
        <w:t>‘</w:t>
      </w:r>
      <w:r w:rsidR="00754970">
        <w:t>black hole</w:t>
      </w:r>
      <w:r w:rsidR="005D6F39">
        <w:t>’</w:t>
      </w:r>
      <w:r w:rsidR="00754970">
        <w:t xml:space="preserve"> of </w:t>
      </w:r>
      <w:r>
        <w:t>any carried forward expenditure as the project for PRRT purposes ceases to exist when a production licen</w:t>
      </w:r>
      <w:r w:rsidR="00495428">
        <w:t>c</w:t>
      </w:r>
      <w:r>
        <w:t>e comes to an end. This means any future production licen</w:t>
      </w:r>
      <w:r w:rsidR="00495428">
        <w:t>c</w:t>
      </w:r>
      <w:r>
        <w:t xml:space="preserve">e that is granted will give rise to a new project for PRRT purposes that does not have access </w:t>
      </w:r>
      <w:r w:rsidR="00731715">
        <w:t xml:space="preserve">to </w:t>
      </w:r>
      <w:r>
        <w:t>the previous carried forward expenditure related to the earlier production licen</w:t>
      </w:r>
      <w:r w:rsidR="00495428">
        <w:t>c</w:t>
      </w:r>
      <w:r>
        <w:t>e</w:t>
      </w:r>
      <w:r w:rsidR="0056256D">
        <w:t xml:space="preserve"> even where the later project is </w:t>
      </w:r>
      <w:r w:rsidR="0056256D" w:rsidRPr="00B050D7">
        <w:t>a genuine continuation of the earlier project</w:t>
      </w:r>
      <w:r w:rsidRPr="0056256D">
        <w:t>.</w:t>
      </w:r>
      <w:r>
        <w:t xml:space="preserve"> This seems to be an unintended consequence </w:t>
      </w:r>
      <w:r w:rsidR="00EF3313" w:rsidRPr="0056256D">
        <w:t>where the</w:t>
      </w:r>
      <w:r w:rsidR="00EF3313" w:rsidRPr="0056256D" w:rsidDel="00495428">
        <w:t xml:space="preserve"> </w:t>
      </w:r>
      <w:r w:rsidRPr="0056256D">
        <w:t>PRRT</w:t>
      </w:r>
      <w:r w:rsidR="00495428">
        <w:t xml:space="preserve"> legi</w:t>
      </w:r>
      <w:r w:rsidR="006E2A91">
        <w:t>s</w:t>
      </w:r>
      <w:r w:rsidR="00495428">
        <w:t>lation</w:t>
      </w:r>
      <w:r w:rsidRPr="0056256D">
        <w:t xml:space="preserve"> has not kept up with changes in the administration of </w:t>
      </w:r>
      <w:r w:rsidR="009A3A7C" w:rsidRPr="0056256D">
        <w:t>p</w:t>
      </w:r>
      <w:r w:rsidRPr="0056256D">
        <w:t>etroleum tenements</w:t>
      </w:r>
      <w:r>
        <w:t xml:space="preserve">. </w:t>
      </w:r>
      <w:r w:rsidR="009E2A2C">
        <w:t>Providing the Commissioner with the power to treat a project as a continuation of an earlier project, where it would be reasonable to conclude the later project is a genuine continuation of the earlier project could address this unintended consequence.</w:t>
      </w:r>
    </w:p>
    <w:p w14:paraId="6984AE16" w14:textId="790F2F75" w:rsidR="00AA7794" w:rsidRDefault="00920154" w:rsidP="00BC3931">
      <w:r>
        <w:t>Similarly, t</w:t>
      </w:r>
      <w:r w:rsidR="00AA7794">
        <w:t xml:space="preserve">he structure of ownership interests is also becoming more complex, diverse and fragmented and less likely to remain constant through the life of petroleum fields contained within a petroleum </w:t>
      </w:r>
      <w:r w:rsidR="00606825">
        <w:t>title</w:t>
      </w:r>
      <w:r w:rsidR="00AA7794">
        <w:t xml:space="preserve">. For instance, some companies are entering into transactions to effectively split </w:t>
      </w:r>
      <w:r w:rsidR="00A74EC0">
        <w:t xml:space="preserve">petroleum </w:t>
      </w:r>
      <w:r w:rsidR="00AA7794">
        <w:t>rights into their constituent parts so parties only operate in smaller  area</w:t>
      </w:r>
      <w:r w:rsidR="00754970">
        <w:t>s</w:t>
      </w:r>
      <w:r w:rsidR="00AA7794">
        <w:t xml:space="preserve"> of the right or only recover a certain commodity (for example gas), while other compan</w:t>
      </w:r>
      <w:r w:rsidR="00754970">
        <w:t>ies</w:t>
      </w:r>
      <w:r w:rsidR="00AA7794">
        <w:t xml:space="preserve"> recover other commodit</w:t>
      </w:r>
      <w:r w:rsidR="00754970">
        <w:t>ies</w:t>
      </w:r>
      <w:r w:rsidR="00AA7794">
        <w:t xml:space="preserve"> (for example oil and condensate) from the licen</w:t>
      </w:r>
      <w:r w:rsidR="00260143">
        <w:t>c</w:t>
      </w:r>
      <w:r w:rsidR="00AA7794">
        <w:t xml:space="preserve">e area. </w:t>
      </w:r>
      <w:r w:rsidR="00377251">
        <w:t>T</w:t>
      </w:r>
      <w:r w:rsidR="00AA7794">
        <w:t xml:space="preserve">here </w:t>
      </w:r>
      <w:r w:rsidR="00BF2615">
        <w:t>can</w:t>
      </w:r>
      <w:r w:rsidR="00AA7794">
        <w:t xml:space="preserve"> also </w:t>
      </w:r>
      <w:r w:rsidR="00BF2615">
        <w:t>be</w:t>
      </w:r>
      <w:r w:rsidR="00AA7794">
        <w:t xml:space="preserve"> exploration and recovery activities </w:t>
      </w:r>
      <w:r w:rsidR="004A0548">
        <w:t xml:space="preserve">by separate independent parties </w:t>
      </w:r>
      <w:r w:rsidR="00AA7794">
        <w:t>at different stratigraphical levels</w:t>
      </w:r>
      <w:r w:rsidR="004A0548">
        <w:t xml:space="preserve"> within the area of a mining right such as</w:t>
      </w:r>
      <w:r w:rsidR="00AA7794">
        <w:t xml:space="preserve"> the overlapping deep and shallow substrata of unconventional coal seams or tight gas reservoirs</w:t>
      </w:r>
      <w:r w:rsidR="004A0548">
        <w:t>.</w:t>
      </w:r>
      <w:r w:rsidR="00AA7794">
        <w:t xml:space="preserve"> The increasing complexity of ownership structures </w:t>
      </w:r>
      <w:r w:rsidR="002D7CF3">
        <w:t xml:space="preserve">is </w:t>
      </w:r>
      <w:r w:rsidR="00AA7794">
        <w:t>placing pressure on the PRRT core concept of a project being linked to a production licen</w:t>
      </w:r>
      <w:r w:rsidR="00495428">
        <w:t>c</w:t>
      </w:r>
      <w:r w:rsidR="00AA7794">
        <w:t xml:space="preserve">e area and </w:t>
      </w:r>
      <w:r w:rsidR="002D7CF3">
        <w:t>can lead to</w:t>
      </w:r>
      <w:r w:rsidR="00AA7794">
        <w:t xml:space="preserve"> unintended outcomes. </w:t>
      </w:r>
      <w:r w:rsidR="002D7CF3">
        <w:t xml:space="preserve">Providing the </w:t>
      </w:r>
      <w:r w:rsidR="009A3A7C">
        <w:t>ATO</w:t>
      </w:r>
      <w:r w:rsidR="002D7CF3" w:rsidDel="00731715">
        <w:t xml:space="preserve"> </w:t>
      </w:r>
      <w:r w:rsidR="002D7CF3">
        <w:t>with</w:t>
      </w:r>
      <w:r w:rsidR="00C23308">
        <w:t xml:space="preserve"> </w:t>
      </w:r>
      <w:r w:rsidR="00731715">
        <w:t xml:space="preserve">the </w:t>
      </w:r>
      <w:r w:rsidR="00C23308">
        <w:t>discretion</w:t>
      </w:r>
      <w:r w:rsidR="002D7CF3">
        <w:t xml:space="preserve"> to </w:t>
      </w:r>
      <w:r w:rsidR="00C23308">
        <w:t>treat genuinely separate and independent petroleum discoveries as distinct petroleum projects would provide the PRRT with the flexibility needed to cater for these increasingly complex structures that were not envisaged when the PRRT was introduced</w:t>
      </w:r>
      <w:r w:rsidR="00755941">
        <w:t>.</w:t>
      </w:r>
    </w:p>
    <w:p w14:paraId="22176BF1" w14:textId="2078973E" w:rsidR="00AA7794" w:rsidRDefault="00AA7794" w:rsidP="00BC3931">
      <w:r>
        <w:t xml:space="preserve">Entities within a wholly owned </w:t>
      </w:r>
      <w:r w:rsidR="00EF3313">
        <w:t xml:space="preserve">tax </w:t>
      </w:r>
      <w:r>
        <w:t>group have the option to have all the interests held by the group in an onshore project to be taken together and reported in a single PRRT return regardless of which entities in the group hold the</w:t>
      </w:r>
      <w:r w:rsidR="00696E82">
        <w:t>se</w:t>
      </w:r>
      <w:r>
        <w:t xml:space="preserve"> interests. This compliance cost saving measure only applies to onshore projects and was introduced as part of the PRRT extension. It is designed to simplify compliance and administration without compromising the design of the PRRT as a project</w:t>
      </w:r>
      <w:r w:rsidR="005D6F39">
        <w:noBreakHyphen/>
      </w:r>
      <w:r>
        <w:t>based tax.</w:t>
      </w:r>
    </w:p>
    <w:p w14:paraId="7794D03E" w14:textId="09A17881" w:rsidR="00AA7794" w:rsidRDefault="00AA7794" w:rsidP="00BC3931">
      <w:r>
        <w:t xml:space="preserve">Historically participants in offshore projects have typically held their interest in the project in a single entity. However, as the offshore industry evolves through mergers and acquisitions there will increasingly be situations where the interests in offshore projects will be fragmented across </w:t>
      </w:r>
      <w:r w:rsidR="00696E82">
        <w:t>an</w:t>
      </w:r>
      <w:r>
        <w:t xml:space="preserve"> economic group, </w:t>
      </w:r>
      <w:r w:rsidR="00474DC0">
        <w:t xml:space="preserve">which is similar to the evolution </w:t>
      </w:r>
      <w:r w:rsidR="0076789A">
        <w:t xml:space="preserve">of </w:t>
      </w:r>
      <w:r>
        <w:t xml:space="preserve">the onshore petroleum industry. Restricting this compliance saving measure to onshore projects potentially increases the compliance burden on offshore projects and adds complexity to the PRRT system and is out </w:t>
      </w:r>
      <w:r w:rsidR="00260143">
        <w:t xml:space="preserve">of </w:t>
      </w:r>
      <w:r>
        <w:t>step with the evolution of the oil and gas industry</w:t>
      </w:r>
      <w:r w:rsidR="00755941">
        <w:t xml:space="preserve">. </w:t>
      </w:r>
    </w:p>
    <w:p w14:paraId="2305D69B" w14:textId="12C051F5" w:rsidR="00AA7794" w:rsidRDefault="00AA7794" w:rsidP="00BC3931">
      <w:r>
        <w:t>Currently all PRRT taxpayers must prepare their PRRT returns on a 30 June year end, which is out of step with income tax and accounting rules that allow entities to prepare their records using other year</w:t>
      </w:r>
      <w:r w:rsidR="005D6F39">
        <w:noBreakHyphen/>
      </w:r>
      <w:r>
        <w:t xml:space="preserve">end dates to reduce compliance costs. The PTG report recommended modernising the PRRT so taxpayers could choose to adopt a substituted accounting period, so it can align with their choice to use a substituted accounting period for income tax. Similarly, the PRRT </w:t>
      </w:r>
      <w:r w:rsidR="005D6F39">
        <w:t>‘</w:t>
      </w:r>
      <w:r>
        <w:t>functional currency</w:t>
      </w:r>
      <w:r w:rsidR="005D6F39">
        <w:t>’</w:t>
      </w:r>
      <w:r>
        <w:t xml:space="preserve"> rules are out of step with the functional currency rules used for income tax as they do not cater for MEC groups. </w:t>
      </w:r>
      <w:r w:rsidR="007C073B">
        <w:t xml:space="preserve">Broadly, </w:t>
      </w:r>
      <w:r w:rsidR="007C073B">
        <w:rPr>
          <w:lang w:val="en"/>
        </w:rPr>
        <w:t>a MEC group is a group of Australian entities that are wholly foreign</w:t>
      </w:r>
      <w:r w:rsidR="005D6F39">
        <w:rPr>
          <w:lang w:val="en"/>
        </w:rPr>
        <w:noBreakHyphen/>
      </w:r>
      <w:r w:rsidR="007C073B">
        <w:rPr>
          <w:lang w:val="en"/>
        </w:rPr>
        <w:t xml:space="preserve">owned, which does not have a common Australian resident head company. </w:t>
      </w:r>
      <w:r w:rsidR="008D4B34">
        <w:t>To reduce compliance costs, the PRRT could be amended to a</w:t>
      </w:r>
      <w:r w:rsidR="00133CE1">
        <w:t>llow</w:t>
      </w:r>
      <w:r w:rsidR="008D4B34">
        <w:t xml:space="preserve"> </w:t>
      </w:r>
      <w:r w:rsidR="006205F4">
        <w:t>PRRT</w:t>
      </w:r>
      <w:r w:rsidR="00133CE1">
        <w:t xml:space="preserve"> taxpayers to </w:t>
      </w:r>
      <w:r w:rsidR="006205F4">
        <w:t xml:space="preserve">choose </w:t>
      </w:r>
      <w:r w:rsidR="00133CE1">
        <w:t>a s</w:t>
      </w:r>
      <w:r w:rsidR="006205F4">
        <w:t>ubstituted</w:t>
      </w:r>
      <w:r w:rsidR="00133CE1">
        <w:t xml:space="preserve"> a</w:t>
      </w:r>
      <w:r w:rsidR="006205F4">
        <w:t>ccount</w:t>
      </w:r>
      <w:r w:rsidR="00133CE1">
        <w:t>ing p</w:t>
      </w:r>
      <w:r w:rsidR="006205F4">
        <w:t>eriod</w:t>
      </w:r>
      <w:r w:rsidR="0028580C">
        <w:t xml:space="preserve"> and a </w:t>
      </w:r>
      <w:r w:rsidR="006205F4">
        <w:t>functio</w:t>
      </w:r>
      <w:r w:rsidR="00133CE1">
        <w:t>nal currency</w:t>
      </w:r>
      <w:r w:rsidR="007C073B">
        <w:t xml:space="preserve"> </w:t>
      </w:r>
      <w:r w:rsidR="008D4B34">
        <w:t xml:space="preserve">that </w:t>
      </w:r>
      <w:r w:rsidR="0028580C">
        <w:t>align</w:t>
      </w:r>
      <w:r w:rsidR="008D4B34">
        <w:t>s</w:t>
      </w:r>
      <w:r w:rsidR="0028580C">
        <w:t xml:space="preserve"> with </w:t>
      </w:r>
      <w:r w:rsidR="007C073B">
        <w:t>the</w:t>
      </w:r>
      <w:r w:rsidR="008D4B34">
        <w:t xml:space="preserve"> </w:t>
      </w:r>
      <w:r w:rsidR="0028580C">
        <w:t xml:space="preserve">choice </w:t>
      </w:r>
      <w:r w:rsidR="007C073B">
        <w:t xml:space="preserve">they have made for </w:t>
      </w:r>
      <w:r w:rsidR="0028580C">
        <w:t>income tax purposes</w:t>
      </w:r>
      <w:r w:rsidR="002700E0">
        <w:t>.</w:t>
      </w:r>
    </w:p>
    <w:p w14:paraId="498DDAED" w14:textId="44DE9DD3" w:rsidR="00AA7794" w:rsidRDefault="00AA7794" w:rsidP="00BC3931">
      <w:r>
        <w:t>One submission highlight</w:t>
      </w:r>
      <w:r w:rsidR="00E45282">
        <w:t>ed</w:t>
      </w:r>
      <w:r>
        <w:t xml:space="preserve"> there are some onshore projects that are unlikely to ever pay PRRT as they are also subject to royalties which are deductible for PRRT purposes. For example, the Barrow Island </w:t>
      </w:r>
      <w:r w:rsidR="00B01109">
        <w:t xml:space="preserve">onshore </w:t>
      </w:r>
      <w:r w:rsidR="00C912AA">
        <w:t>oil</w:t>
      </w:r>
      <w:r w:rsidR="00B01109">
        <w:t xml:space="preserve"> project </w:t>
      </w:r>
      <w:r>
        <w:t xml:space="preserve">is subject to </w:t>
      </w:r>
      <w:r w:rsidR="00B01109">
        <w:t>the Resource Rent Royalty (</w:t>
      </w:r>
      <w:r w:rsidR="005A140A" w:rsidRPr="006D28D4">
        <w:t>s</w:t>
      </w:r>
      <w:r w:rsidR="00B01109" w:rsidRPr="006D28D4">
        <w:t>ection 2.2</w:t>
      </w:r>
      <w:r w:rsidR="00B01109">
        <w:t>)</w:t>
      </w:r>
      <w:r>
        <w:t xml:space="preserve"> </w:t>
      </w:r>
      <w:r w:rsidR="00C912AA">
        <w:t>and</w:t>
      </w:r>
      <w:r>
        <w:t xml:space="preserve"> is calculated on a similar </w:t>
      </w:r>
      <w:r w:rsidR="00717A21">
        <w:t xml:space="preserve">basis </w:t>
      </w:r>
      <w:r>
        <w:t xml:space="preserve">to the PRRT, which means it is unlikely to pay PRRT. To reduce compliance costs </w:t>
      </w:r>
      <w:r w:rsidR="00606825">
        <w:t>for taxpayers</w:t>
      </w:r>
      <w:r>
        <w:t xml:space="preserve"> and the administrative burden on the ATO, the Commissioner </w:t>
      </w:r>
      <w:r w:rsidR="005332FC">
        <w:t xml:space="preserve">of </w:t>
      </w:r>
      <w:r w:rsidR="006F5466">
        <w:t>T</w:t>
      </w:r>
      <w:r w:rsidR="005332FC">
        <w:t xml:space="preserve">axation </w:t>
      </w:r>
      <w:r>
        <w:t xml:space="preserve">could be given the power to </w:t>
      </w:r>
      <w:r w:rsidR="00B15C20">
        <w:t xml:space="preserve">administratively </w:t>
      </w:r>
      <w:r>
        <w:t xml:space="preserve">exclude projects from </w:t>
      </w:r>
      <w:r w:rsidR="00B15C20">
        <w:t xml:space="preserve">filing </w:t>
      </w:r>
      <w:r>
        <w:t xml:space="preserve">PRRT </w:t>
      </w:r>
      <w:r w:rsidR="00B15C20">
        <w:t xml:space="preserve">returns </w:t>
      </w:r>
      <w:r>
        <w:t>where they are unlikely to pay PRRT in the foreseeable future.</w:t>
      </w:r>
      <w:r w:rsidR="00EA6341">
        <w:t xml:space="preserve"> </w:t>
      </w:r>
      <w:r w:rsidR="00FA4EC3">
        <w:t xml:space="preserve">It would be appropriate for these </w:t>
      </w:r>
      <w:r w:rsidR="00EA6341">
        <w:t xml:space="preserve">projects </w:t>
      </w:r>
      <w:r w:rsidR="00FA4EC3">
        <w:t xml:space="preserve">that </w:t>
      </w:r>
      <w:r w:rsidR="00EA6341">
        <w:t xml:space="preserve">are administratively excluded </w:t>
      </w:r>
      <w:r w:rsidR="00FA4EC3">
        <w:t xml:space="preserve">to lose their </w:t>
      </w:r>
      <w:r w:rsidR="00EA6341">
        <w:t>PRRT attributes, including any carried forward expenditure</w:t>
      </w:r>
      <w:r w:rsidR="00FA4EC3">
        <w:t>,</w:t>
      </w:r>
      <w:r w:rsidR="00EA6341">
        <w:t xml:space="preserve"> as they would not be required to lodge a PRRT return. </w:t>
      </w:r>
    </w:p>
    <w:p w14:paraId="62149614" w14:textId="1BF2BB47" w:rsidR="00AA7794" w:rsidRDefault="00AA7794" w:rsidP="00BC3931">
      <w:r>
        <w:t xml:space="preserve">The PRRT integrity measures are </w:t>
      </w:r>
      <w:r w:rsidR="00A34EC9">
        <w:t>out</w:t>
      </w:r>
      <w:r>
        <w:t xml:space="preserve"> of step with recent developments to the income tax anti</w:t>
      </w:r>
      <w:r w:rsidR="005D6F39">
        <w:noBreakHyphen/>
      </w:r>
      <w:r>
        <w:t>avoidance provisions. For example, amendments were made to the income tax anti</w:t>
      </w:r>
      <w:r w:rsidR="005D6F39">
        <w:noBreakHyphen/>
      </w:r>
      <w:r>
        <w:t xml:space="preserve">avoidance rules </w:t>
      </w:r>
      <w:r w:rsidR="00A34EC9">
        <w:t>after</w:t>
      </w:r>
      <w:r>
        <w:t xml:space="preserve"> the ATO lost a number of </w:t>
      </w:r>
      <w:r w:rsidR="002E618D">
        <w:t xml:space="preserve">Federal court </w:t>
      </w:r>
      <w:r>
        <w:t xml:space="preserve">cases as </w:t>
      </w:r>
      <w:r w:rsidR="00A34EC9">
        <w:t xml:space="preserve">there was no </w:t>
      </w:r>
      <w:r w:rsidR="005D6F39">
        <w:t>‘</w:t>
      </w:r>
      <w:r w:rsidR="00A34EC9">
        <w:t>tax benefit</w:t>
      </w:r>
      <w:r w:rsidR="005D6F39">
        <w:t>’</w:t>
      </w:r>
      <w:r w:rsidR="00A34EC9">
        <w:t xml:space="preserve"> because </w:t>
      </w:r>
      <w:r>
        <w:t xml:space="preserve">the taxpayer </w:t>
      </w:r>
      <w:r w:rsidR="00A34EC9">
        <w:t>would not have done anything at all if they</w:t>
      </w:r>
      <w:r>
        <w:t xml:space="preserve"> had not entered into the </w:t>
      </w:r>
      <w:r w:rsidR="00A34EC9">
        <w:t xml:space="preserve">tax avoidance </w:t>
      </w:r>
      <w:r>
        <w:t>scheme. Amendments were consequently made to ensure the anti</w:t>
      </w:r>
      <w:r w:rsidR="005D6F39">
        <w:noBreakHyphen/>
      </w:r>
      <w:r>
        <w:t>avoidance rules operated as intended. However, similar amendments were</w:t>
      </w:r>
      <w:r w:rsidR="009A3A7C">
        <w:t xml:space="preserve"> not</w:t>
      </w:r>
      <w:r>
        <w:t xml:space="preserve"> made to the PRRT</w:t>
      </w:r>
      <w:r w:rsidR="009A3A7C">
        <w:t xml:space="preserve"> legislation.</w:t>
      </w:r>
      <w:r>
        <w:t xml:space="preserve"> </w:t>
      </w:r>
      <w:r w:rsidR="00705809">
        <w:t>To ensure the PRRT anti</w:t>
      </w:r>
      <w:r w:rsidR="005D6F39">
        <w:noBreakHyphen/>
      </w:r>
      <w:r w:rsidR="00705809">
        <w:t>avoidance rules operate as intended amendments could be made in line with the changes made to the income tax rules.</w:t>
      </w:r>
      <w:r w:rsidR="002E618D">
        <w:t xml:space="preserve"> </w:t>
      </w:r>
    </w:p>
    <w:p w14:paraId="0C298812" w14:textId="77777777" w:rsidR="00AB4FD2" w:rsidRDefault="00AB4FD2">
      <w:pPr>
        <w:spacing w:after="0" w:line="240" w:lineRule="auto"/>
        <w:jc w:val="left"/>
        <w:rPr>
          <w:rFonts w:ascii="Century Gothic" w:hAnsi="Century Gothic" w:cs="Arial"/>
          <w:b/>
          <w:bCs/>
          <w:smallCaps/>
          <w:color w:val="1F497D" w:themeColor="text2"/>
          <w:kern w:val="32"/>
          <w:sz w:val="36"/>
          <w:szCs w:val="36"/>
        </w:rPr>
      </w:pPr>
      <w:bookmarkStart w:id="7483" w:name="_Toc476577382"/>
      <w:bookmarkStart w:id="7484" w:name="_Toc476582371"/>
      <w:bookmarkStart w:id="7485" w:name="_Toc476583045"/>
      <w:bookmarkStart w:id="7486" w:name="_Toc476583762"/>
      <w:bookmarkStart w:id="7487" w:name="_Toc476584210"/>
      <w:bookmarkStart w:id="7488" w:name="_Toc476738118"/>
      <w:bookmarkStart w:id="7489" w:name="_Toc476747703"/>
      <w:bookmarkStart w:id="7490" w:name="_Toc476749113"/>
      <w:bookmarkStart w:id="7491" w:name="_Toc476753980"/>
      <w:bookmarkStart w:id="7492" w:name="_Toc476754475"/>
      <w:bookmarkStart w:id="7493" w:name="_Toc476754640"/>
      <w:bookmarkStart w:id="7494" w:name="_Toc476759879"/>
      <w:bookmarkStart w:id="7495" w:name="_Toc476761501"/>
      <w:bookmarkStart w:id="7496" w:name="_Toc476767139"/>
      <w:bookmarkStart w:id="7497" w:name="_Toc476827185"/>
      <w:bookmarkStart w:id="7498" w:name="_Toc476828878"/>
      <w:bookmarkStart w:id="7499" w:name="_Toc476833752"/>
      <w:bookmarkStart w:id="7500" w:name="_Toc476837225"/>
      <w:bookmarkStart w:id="7501" w:name="_Toc476841098"/>
      <w:bookmarkStart w:id="7502" w:name="_Toc476841303"/>
      <w:bookmarkStart w:id="7503" w:name="_Toc476842062"/>
      <w:bookmarkStart w:id="7504" w:name="_Toc476843006"/>
      <w:bookmarkStart w:id="7505" w:name="_Toc476843177"/>
      <w:bookmarkStart w:id="7506" w:name="_Toc476844675"/>
      <w:bookmarkStart w:id="7507" w:name="_Toc476845568"/>
      <w:bookmarkStart w:id="7508" w:name="_Toc476926961"/>
      <w:bookmarkStart w:id="7509" w:name="_Toc476927074"/>
      <w:bookmarkStart w:id="7510" w:name="_Toc476927248"/>
      <w:bookmarkStart w:id="7511" w:name="_Toc476928512"/>
      <w:bookmarkStart w:id="7512" w:name="_Toc476929555"/>
      <w:bookmarkStart w:id="7513" w:name="_Toc476929730"/>
      <w:bookmarkStart w:id="7514" w:name="_Toc476930773"/>
      <w:bookmarkStart w:id="7515" w:name="_Toc476931580"/>
      <w:bookmarkStart w:id="7516" w:name="_Toc477869916"/>
      <w:bookmarkStart w:id="7517" w:name="_Toc477871155"/>
      <w:bookmarkStart w:id="7518" w:name="_Toc477873314"/>
      <w:bookmarkStart w:id="7519" w:name="_Toc477875308"/>
      <w:bookmarkStart w:id="7520" w:name="_Toc477880221"/>
      <w:bookmarkStart w:id="7521" w:name="_Toc477881481"/>
      <w:bookmarkStart w:id="7522" w:name="_Toc477955885"/>
      <w:bookmarkStart w:id="7523" w:name="_Toc477963130"/>
      <w:bookmarkStart w:id="7524" w:name="_Toc477963616"/>
      <w:bookmarkStart w:id="7525" w:name="_Toc477965202"/>
      <w:bookmarkStart w:id="7526" w:name="_Toc477966706"/>
      <w:bookmarkStart w:id="7527" w:name="_Toc477966875"/>
      <w:bookmarkStart w:id="7528" w:name="_Toc477967215"/>
      <w:bookmarkStart w:id="7529" w:name="_Toc478121352"/>
      <w:bookmarkStart w:id="7530" w:name="_Toc478122265"/>
      <w:bookmarkStart w:id="7531" w:name="_Toc478132239"/>
      <w:bookmarkStart w:id="7532" w:name="_Toc478133265"/>
      <w:bookmarkStart w:id="7533" w:name="_Toc478132402"/>
      <w:bookmarkStart w:id="7534" w:name="_Toc478134731"/>
      <w:bookmarkStart w:id="7535" w:name="_Toc478137433"/>
      <w:bookmarkStart w:id="7536" w:name="_Toc478138505"/>
      <w:bookmarkStart w:id="7537" w:name="_Toc478140075"/>
      <w:bookmarkStart w:id="7538" w:name="_Toc478140491"/>
      <w:bookmarkStart w:id="7539" w:name="_Toc478142697"/>
      <w:bookmarkStart w:id="7540" w:name="_Toc478566416"/>
      <w:bookmarkStart w:id="7541" w:name="_Toc478569583"/>
      <w:bookmarkStart w:id="7542" w:name="_Toc478569757"/>
      <w:bookmarkStart w:id="7543" w:name="_Toc478570831"/>
      <w:bookmarkStart w:id="7544" w:name="_Toc478633030"/>
      <w:bookmarkStart w:id="7545" w:name="_Toc478641440"/>
      <w:bookmarkStart w:id="7546" w:name="_Toc478654334"/>
      <w:bookmarkStart w:id="7547" w:name="_Toc478654508"/>
      <w:bookmarkStart w:id="7548" w:name="_Toc478657803"/>
      <w:bookmarkStart w:id="7549" w:name="_Toc478993224"/>
      <w:bookmarkStart w:id="7550" w:name="_Toc479000295"/>
      <w:bookmarkStart w:id="7551" w:name="_Toc479002229"/>
      <w:bookmarkStart w:id="7552" w:name="_Toc479002401"/>
      <w:r>
        <w:br w:type="page"/>
      </w:r>
    </w:p>
    <w:p w14:paraId="0E8C5DE5" w14:textId="382BFAD9" w:rsidR="00AA7794" w:rsidRDefault="008120BA" w:rsidP="00BC3931">
      <w:pPr>
        <w:pStyle w:val="Heading1"/>
      </w:pPr>
      <w:bookmarkStart w:id="7553" w:name="_Toc479254376"/>
      <w:bookmarkStart w:id="7554" w:name="_Toc479258565"/>
      <w:bookmarkStart w:id="7555" w:name="_Toc479258881"/>
      <w:bookmarkStart w:id="7556" w:name="_Toc479259773"/>
      <w:bookmarkStart w:id="7557" w:name="_Toc479262196"/>
      <w:bookmarkStart w:id="7558" w:name="_Toc479262617"/>
      <w:bookmarkStart w:id="7559" w:name="_Toc479321318"/>
      <w:bookmarkStart w:id="7560" w:name="_Toc479326757"/>
      <w:bookmarkStart w:id="7561" w:name="_Toc479333356"/>
      <w:bookmarkStart w:id="7562" w:name="_Toc479335053"/>
      <w:bookmarkStart w:id="7563" w:name="_Toc479341768"/>
      <w:bookmarkStart w:id="7564" w:name="_Toc479345184"/>
      <w:bookmarkStart w:id="7565" w:name="_Toc479345393"/>
      <w:bookmarkStart w:id="7566" w:name="_Toc479348374"/>
      <w:bookmarkStart w:id="7567" w:name="_Toc479675968"/>
      <w:bookmarkStart w:id="7568" w:name="_Toc479690935"/>
      <w:bookmarkStart w:id="7569" w:name="_Toc479693513"/>
      <w:bookmarkStart w:id="7570" w:name="_Toc479770682"/>
      <w:r>
        <w:t>5</w:t>
      </w:r>
      <w:r w:rsidR="002B5B9D">
        <w:t>.</w:t>
      </w:r>
      <w:r w:rsidR="002B5B9D">
        <w:tab/>
        <w:t>Crude Oil Excise</w:t>
      </w:r>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p>
    <w:p w14:paraId="39FAE485" w14:textId="5105C4D0" w:rsidR="00AA7794" w:rsidRDefault="008120BA" w:rsidP="00BC3931">
      <w:pPr>
        <w:pStyle w:val="Heading2"/>
      </w:pPr>
      <w:bookmarkStart w:id="7571" w:name="_Toc476577383"/>
      <w:bookmarkStart w:id="7572" w:name="_Toc476582372"/>
      <w:bookmarkStart w:id="7573" w:name="_Toc476583046"/>
      <w:bookmarkStart w:id="7574" w:name="_Toc476583763"/>
      <w:bookmarkStart w:id="7575" w:name="_Toc476584211"/>
      <w:bookmarkStart w:id="7576" w:name="_Toc476738119"/>
      <w:bookmarkStart w:id="7577" w:name="_Toc476747704"/>
      <w:bookmarkStart w:id="7578" w:name="_Toc476749114"/>
      <w:bookmarkStart w:id="7579" w:name="_Toc476753981"/>
      <w:bookmarkStart w:id="7580" w:name="_Toc476754476"/>
      <w:bookmarkStart w:id="7581" w:name="_Toc476754641"/>
      <w:bookmarkStart w:id="7582" w:name="_Toc476759880"/>
      <w:bookmarkStart w:id="7583" w:name="_Toc476761502"/>
      <w:bookmarkStart w:id="7584" w:name="_Toc476767140"/>
      <w:bookmarkStart w:id="7585" w:name="_Toc476827186"/>
      <w:bookmarkStart w:id="7586" w:name="_Toc476828879"/>
      <w:bookmarkStart w:id="7587" w:name="_Toc476833753"/>
      <w:bookmarkStart w:id="7588" w:name="_Toc476837226"/>
      <w:bookmarkStart w:id="7589" w:name="_Toc476841099"/>
      <w:bookmarkStart w:id="7590" w:name="_Toc476841304"/>
      <w:bookmarkStart w:id="7591" w:name="_Toc476842063"/>
      <w:bookmarkStart w:id="7592" w:name="_Toc476843007"/>
      <w:bookmarkStart w:id="7593" w:name="_Toc476843178"/>
      <w:bookmarkStart w:id="7594" w:name="_Toc476844676"/>
      <w:bookmarkStart w:id="7595" w:name="_Toc476845569"/>
      <w:bookmarkStart w:id="7596" w:name="_Toc476926962"/>
      <w:bookmarkStart w:id="7597" w:name="_Toc476927075"/>
      <w:bookmarkStart w:id="7598" w:name="_Toc476927249"/>
      <w:bookmarkStart w:id="7599" w:name="_Toc476928513"/>
      <w:bookmarkStart w:id="7600" w:name="_Toc476929556"/>
      <w:bookmarkStart w:id="7601" w:name="_Toc476929731"/>
      <w:bookmarkStart w:id="7602" w:name="_Toc476930774"/>
      <w:bookmarkStart w:id="7603" w:name="_Toc476931581"/>
      <w:bookmarkStart w:id="7604" w:name="_Toc477869917"/>
      <w:bookmarkStart w:id="7605" w:name="_Toc477871156"/>
      <w:bookmarkStart w:id="7606" w:name="_Toc477873315"/>
      <w:bookmarkStart w:id="7607" w:name="_Toc477875309"/>
      <w:bookmarkStart w:id="7608" w:name="_Toc477880222"/>
      <w:bookmarkStart w:id="7609" w:name="_Toc477881482"/>
      <w:bookmarkStart w:id="7610" w:name="_Toc477955886"/>
      <w:bookmarkStart w:id="7611" w:name="_Toc477963131"/>
      <w:bookmarkStart w:id="7612" w:name="_Toc477963617"/>
      <w:bookmarkStart w:id="7613" w:name="_Toc477965203"/>
      <w:bookmarkStart w:id="7614" w:name="_Toc477966707"/>
      <w:bookmarkStart w:id="7615" w:name="_Toc477966876"/>
      <w:bookmarkStart w:id="7616" w:name="_Toc477967216"/>
      <w:bookmarkStart w:id="7617" w:name="_Toc478121353"/>
      <w:bookmarkStart w:id="7618" w:name="_Toc478122266"/>
      <w:bookmarkStart w:id="7619" w:name="_Toc478132240"/>
      <w:bookmarkStart w:id="7620" w:name="_Toc478133266"/>
      <w:bookmarkStart w:id="7621" w:name="_Toc478132403"/>
      <w:bookmarkStart w:id="7622" w:name="_Toc478134732"/>
      <w:bookmarkStart w:id="7623" w:name="_Toc478137434"/>
      <w:bookmarkStart w:id="7624" w:name="_Toc478138506"/>
      <w:bookmarkStart w:id="7625" w:name="_Toc478140076"/>
      <w:bookmarkStart w:id="7626" w:name="_Toc478140492"/>
      <w:bookmarkStart w:id="7627" w:name="_Toc478142698"/>
      <w:bookmarkStart w:id="7628" w:name="_Toc478566417"/>
      <w:bookmarkStart w:id="7629" w:name="_Toc478569584"/>
      <w:bookmarkStart w:id="7630" w:name="_Toc478569758"/>
      <w:bookmarkStart w:id="7631" w:name="_Toc478570832"/>
      <w:bookmarkStart w:id="7632" w:name="_Toc478633031"/>
      <w:bookmarkStart w:id="7633" w:name="_Toc478641441"/>
      <w:bookmarkStart w:id="7634" w:name="_Toc478654335"/>
      <w:bookmarkStart w:id="7635" w:name="_Toc478654509"/>
      <w:bookmarkStart w:id="7636" w:name="_Toc478657804"/>
      <w:bookmarkStart w:id="7637" w:name="_Toc478993225"/>
      <w:bookmarkStart w:id="7638" w:name="_Toc479000296"/>
      <w:bookmarkStart w:id="7639" w:name="_Toc479002230"/>
      <w:bookmarkStart w:id="7640" w:name="_Toc479002402"/>
      <w:bookmarkStart w:id="7641" w:name="_Toc479254377"/>
      <w:bookmarkStart w:id="7642" w:name="_Toc479258566"/>
      <w:bookmarkStart w:id="7643" w:name="_Toc479258882"/>
      <w:bookmarkStart w:id="7644" w:name="_Toc479259774"/>
      <w:bookmarkStart w:id="7645" w:name="_Toc479262197"/>
      <w:bookmarkStart w:id="7646" w:name="_Toc479262618"/>
      <w:bookmarkStart w:id="7647" w:name="_Toc479321319"/>
      <w:bookmarkStart w:id="7648" w:name="_Toc479326758"/>
      <w:bookmarkStart w:id="7649" w:name="_Toc479333357"/>
      <w:bookmarkStart w:id="7650" w:name="_Toc479335054"/>
      <w:bookmarkStart w:id="7651" w:name="_Toc479341769"/>
      <w:bookmarkStart w:id="7652" w:name="_Toc479345185"/>
      <w:bookmarkStart w:id="7653" w:name="_Toc479345394"/>
      <w:bookmarkStart w:id="7654" w:name="_Toc479348375"/>
      <w:bookmarkStart w:id="7655" w:name="_Toc479675969"/>
      <w:bookmarkStart w:id="7656" w:name="_Toc479690936"/>
      <w:bookmarkStart w:id="7657" w:name="_Toc479693514"/>
      <w:bookmarkStart w:id="7658" w:name="_Toc479770683"/>
      <w:r>
        <w:t>5</w:t>
      </w:r>
      <w:r w:rsidR="00C065B1">
        <w:t>.1</w:t>
      </w:r>
      <w:r w:rsidR="00C065B1">
        <w:tab/>
        <w:t>Overview o</w:t>
      </w:r>
      <w:r w:rsidR="00BC3931">
        <w:t>f Crude Oil Excise</w:t>
      </w:r>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p>
    <w:p w14:paraId="78F8CBD3" w14:textId="5FC6C762" w:rsidR="00177900" w:rsidRDefault="00AA7794" w:rsidP="00DF06D5">
      <w:r>
        <w:t xml:space="preserve">Crude oil excise is </w:t>
      </w:r>
      <w:r w:rsidR="00487AA5">
        <w:t>imposed by</w:t>
      </w:r>
      <w:r>
        <w:t xml:space="preserve"> the Australian Government on eligible crude oil and condensate production from onshore areas</w:t>
      </w:r>
      <w:r w:rsidR="00487AA5">
        <w:t xml:space="preserve"> (</w:t>
      </w:r>
      <w:r>
        <w:t>which includes coastal waters within three nautical miles of the Australian coastline</w:t>
      </w:r>
      <w:r w:rsidR="00487AA5">
        <w:t>)</w:t>
      </w:r>
      <w:r>
        <w:t xml:space="preserve"> and the </w:t>
      </w:r>
      <w:r w:rsidR="00AB0E85">
        <w:t>NWS</w:t>
      </w:r>
      <w:r>
        <w:t xml:space="preserve"> project area. </w:t>
      </w:r>
      <w:r w:rsidR="00177900">
        <w:t xml:space="preserve">This is in addition to state royalties for onshore production and the Commonwealth royalty in the case of the </w:t>
      </w:r>
      <w:r w:rsidR="00AB0E85">
        <w:t>NWS</w:t>
      </w:r>
      <w:r w:rsidR="00177900">
        <w:t xml:space="preserve"> project. </w:t>
      </w:r>
      <w:r w:rsidR="00177900" w:rsidRPr="00DF06D5">
        <w:t xml:space="preserve">On Barrow Island, a Resource Rent Royalty </w:t>
      </w:r>
      <w:r w:rsidR="00177900">
        <w:t>(RRR)</w:t>
      </w:r>
      <w:r w:rsidR="00177900" w:rsidRPr="00DF06D5">
        <w:t xml:space="preserve"> </w:t>
      </w:r>
      <w:r w:rsidR="00FB1E28">
        <w:t xml:space="preserve">has </w:t>
      </w:r>
      <w:r w:rsidR="008C6655">
        <w:t xml:space="preserve">replaced the </w:t>
      </w:r>
      <w:r w:rsidR="00177900" w:rsidRPr="00DF06D5">
        <w:t>excise</w:t>
      </w:r>
      <w:r w:rsidR="008C6655">
        <w:t xml:space="preserve"> and the ad valorem royalty arrangement (</w:t>
      </w:r>
      <w:r w:rsidR="00BC204B" w:rsidRPr="00C024C5">
        <w:t xml:space="preserve">see </w:t>
      </w:r>
      <w:r w:rsidR="008C6655" w:rsidRPr="0098357F">
        <w:t>section 6.2</w:t>
      </w:r>
      <w:r w:rsidR="008C6655" w:rsidRPr="00C024C5">
        <w:t>)</w:t>
      </w:r>
      <w:r w:rsidR="00177900" w:rsidRPr="00C024C5">
        <w:t>.</w:t>
      </w:r>
    </w:p>
    <w:p w14:paraId="7D2C5444" w14:textId="6DD601CC" w:rsidR="00177900" w:rsidRDefault="00177900" w:rsidP="00DF06D5">
      <w:r>
        <w:t xml:space="preserve">While no gas (including LNG) is subject to crude oil excise, the respective royalty regimes </w:t>
      </w:r>
      <w:r w:rsidR="00AB0E85">
        <w:t>do collect</w:t>
      </w:r>
      <w:r>
        <w:t xml:space="preserve"> from gas, </w:t>
      </w:r>
      <w:r w:rsidR="00BC204B">
        <w:t>as well as</w:t>
      </w:r>
      <w:r>
        <w:t xml:space="preserve"> condensate and crude oil production. </w:t>
      </w:r>
    </w:p>
    <w:p w14:paraId="10D53480" w14:textId="0931000A" w:rsidR="00D13BA2" w:rsidRDefault="00D13BA2" w:rsidP="00DF06D5">
      <w:bookmarkStart w:id="7659" w:name="_Toc476577384"/>
      <w:bookmarkStart w:id="7660" w:name="_Toc476582373"/>
      <w:bookmarkStart w:id="7661" w:name="_Toc476583047"/>
      <w:bookmarkStart w:id="7662" w:name="_Toc476583764"/>
      <w:bookmarkStart w:id="7663" w:name="_Toc476584212"/>
      <w:bookmarkStart w:id="7664" w:name="_Toc476738120"/>
      <w:bookmarkStart w:id="7665" w:name="_Toc476747705"/>
      <w:bookmarkStart w:id="7666" w:name="_Toc476749115"/>
      <w:bookmarkStart w:id="7667" w:name="_Toc476753982"/>
      <w:bookmarkStart w:id="7668" w:name="_Toc476754477"/>
      <w:bookmarkStart w:id="7669" w:name="_Toc476754642"/>
      <w:bookmarkStart w:id="7670" w:name="_Toc476759881"/>
      <w:bookmarkStart w:id="7671" w:name="_Toc476761503"/>
      <w:bookmarkStart w:id="7672" w:name="_Toc476767141"/>
      <w:bookmarkStart w:id="7673" w:name="_Toc476827187"/>
      <w:bookmarkStart w:id="7674" w:name="_Toc476828880"/>
      <w:bookmarkStart w:id="7675" w:name="_Toc476833754"/>
      <w:bookmarkStart w:id="7676" w:name="_Toc476837227"/>
      <w:bookmarkStart w:id="7677" w:name="_Toc476841100"/>
      <w:bookmarkStart w:id="7678" w:name="_Toc476841305"/>
      <w:bookmarkStart w:id="7679" w:name="_Toc476842064"/>
      <w:bookmarkStart w:id="7680" w:name="_Toc476843008"/>
      <w:bookmarkStart w:id="7681" w:name="_Toc476843179"/>
      <w:r>
        <w:t>The crude oil excise is an ad</w:t>
      </w:r>
      <w:r w:rsidR="00487AA5">
        <w:t xml:space="preserve"> </w:t>
      </w:r>
      <w:r>
        <w:t xml:space="preserve">valorem tax. It is levied as a percentage of the </w:t>
      </w:r>
      <w:r w:rsidR="00AD7B64">
        <w:t xml:space="preserve">market </w:t>
      </w:r>
      <w:r>
        <w:t xml:space="preserve">value of crude oil and condensate production from a </w:t>
      </w:r>
      <w:r w:rsidR="0000203C">
        <w:t>producing area</w:t>
      </w:r>
      <w:r>
        <w:t>.</w:t>
      </w:r>
      <w:r w:rsidR="00A872CE">
        <w:t xml:space="preserve"> </w:t>
      </w:r>
      <w:r w:rsidR="0030047B">
        <w:t>Past c</w:t>
      </w:r>
      <w:r w:rsidR="00A872CE">
        <w:t xml:space="preserve">rude oil excise collections </w:t>
      </w:r>
      <w:r w:rsidR="00811D3F">
        <w:t>are</w:t>
      </w:r>
      <w:r w:rsidR="00A872CE">
        <w:t xml:space="preserve"> illustrated in </w:t>
      </w:r>
      <w:r w:rsidR="0030047B" w:rsidRPr="006D28D4">
        <w:t xml:space="preserve">Figure </w:t>
      </w:r>
      <w:r w:rsidR="00AB0E85" w:rsidRPr="006D28D4">
        <w:t>2.1</w:t>
      </w:r>
      <w:r w:rsidR="0030047B" w:rsidRPr="006D28D4">
        <w:t xml:space="preserve"> </w:t>
      </w:r>
      <w:r w:rsidR="002700E0" w:rsidRPr="006D28D4">
        <w:t>(</w:t>
      </w:r>
      <w:r w:rsidR="00A872CE" w:rsidRPr="006D28D4">
        <w:t>section 2.3</w:t>
      </w:r>
      <w:r w:rsidR="002700E0">
        <w:t>)</w:t>
      </w:r>
      <w:r w:rsidR="00A872CE">
        <w:t>. Overall, the main factors that impacted</w:t>
      </w:r>
      <w:r w:rsidR="006F144C">
        <w:t xml:space="preserve"> these collections were</w:t>
      </w:r>
      <w:r w:rsidR="00A872CE">
        <w:t xml:space="preserve"> </w:t>
      </w:r>
      <w:r w:rsidR="00440750">
        <w:t xml:space="preserve">the level of </w:t>
      </w:r>
      <w:r w:rsidR="00A872CE">
        <w:t xml:space="preserve">production, crude oil prices and the exchange rate </w:t>
      </w:r>
      <w:r w:rsidR="006F144C">
        <w:t>(</w:t>
      </w:r>
      <w:r w:rsidR="0030047B">
        <w:t xml:space="preserve">as </w:t>
      </w:r>
      <w:r w:rsidR="006F144C">
        <w:t xml:space="preserve">sales contracts are </w:t>
      </w:r>
      <w:r w:rsidR="0030047B">
        <w:t xml:space="preserve">typically </w:t>
      </w:r>
      <w:r w:rsidR="006F144C">
        <w:t>in US</w:t>
      </w:r>
      <w:r w:rsidR="00F15975">
        <w:t xml:space="preserve"> </w:t>
      </w:r>
      <w:r w:rsidR="00811D3F">
        <w:t>d</w:t>
      </w:r>
      <w:r w:rsidR="00F15975">
        <w:t>ollars</w:t>
      </w:r>
      <w:r w:rsidR="006F144C">
        <w:t>)</w:t>
      </w:r>
      <w:r w:rsidR="00A872CE">
        <w:t>.</w:t>
      </w:r>
    </w:p>
    <w:p w14:paraId="5E9D65C8" w14:textId="4EA9B022" w:rsidR="00AA7794" w:rsidRDefault="008120BA" w:rsidP="00BC3931">
      <w:pPr>
        <w:pStyle w:val="Heading2"/>
      </w:pPr>
      <w:bookmarkStart w:id="7682" w:name="_Toc476844677"/>
      <w:bookmarkStart w:id="7683" w:name="_Toc476845570"/>
      <w:bookmarkStart w:id="7684" w:name="_Toc476926963"/>
      <w:bookmarkStart w:id="7685" w:name="_Toc476927076"/>
      <w:bookmarkStart w:id="7686" w:name="_Toc476927250"/>
      <w:bookmarkStart w:id="7687" w:name="_Toc476928514"/>
      <w:bookmarkStart w:id="7688" w:name="_Toc476929557"/>
      <w:bookmarkStart w:id="7689" w:name="_Toc476929732"/>
      <w:bookmarkStart w:id="7690" w:name="_Toc476930775"/>
      <w:bookmarkStart w:id="7691" w:name="_Toc476931582"/>
      <w:bookmarkStart w:id="7692" w:name="_Toc477869918"/>
      <w:bookmarkStart w:id="7693" w:name="_Toc477871157"/>
      <w:bookmarkStart w:id="7694" w:name="_Toc477873316"/>
      <w:bookmarkStart w:id="7695" w:name="_Toc477875310"/>
      <w:bookmarkStart w:id="7696" w:name="_Toc477880223"/>
      <w:bookmarkStart w:id="7697" w:name="_Toc477881483"/>
      <w:bookmarkStart w:id="7698" w:name="_Toc477955887"/>
      <w:bookmarkStart w:id="7699" w:name="_Toc477963132"/>
      <w:bookmarkStart w:id="7700" w:name="_Toc477963618"/>
      <w:bookmarkStart w:id="7701" w:name="_Toc477965204"/>
      <w:bookmarkStart w:id="7702" w:name="_Toc477966708"/>
      <w:bookmarkStart w:id="7703" w:name="_Toc477966877"/>
      <w:bookmarkStart w:id="7704" w:name="_Toc477967217"/>
      <w:bookmarkStart w:id="7705" w:name="_Toc478121354"/>
      <w:bookmarkStart w:id="7706" w:name="_Toc478122267"/>
      <w:bookmarkStart w:id="7707" w:name="_Toc478132241"/>
      <w:bookmarkStart w:id="7708" w:name="_Toc478133267"/>
      <w:bookmarkStart w:id="7709" w:name="_Toc478132404"/>
      <w:bookmarkStart w:id="7710" w:name="_Toc478134733"/>
      <w:bookmarkStart w:id="7711" w:name="_Toc478137435"/>
      <w:bookmarkStart w:id="7712" w:name="_Toc478138507"/>
      <w:bookmarkStart w:id="7713" w:name="_Toc478140077"/>
      <w:bookmarkStart w:id="7714" w:name="_Toc478140493"/>
      <w:bookmarkStart w:id="7715" w:name="_Toc478142699"/>
      <w:bookmarkStart w:id="7716" w:name="_Toc478566418"/>
      <w:bookmarkStart w:id="7717" w:name="_Toc478569585"/>
      <w:bookmarkStart w:id="7718" w:name="_Toc478569759"/>
      <w:bookmarkStart w:id="7719" w:name="_Toc478570833"/>
      <w:bookmarkStart w:id="7720" w:name="_Toc478633032"/>
      <w:bookmarkStart w:id="7721" w:name="_Toc478641442"/>
      <w:bookmarkStart w:id="7722" w:name="_Toc478654336"/>
      <w:bookmarkStart w:id="7723" w:name="_Toc478654510"/>
      <w:bookmarkStart w:id="7724" w:name="_Toc478657805"/>
      <w:bookmarkStart w:id="7725" w:name="_Toc478993226"/>
      <w:bookmarkStart w:id="7726" w:name="_Toc479000297"/>
      <w:bookmarkStart w:id="7727" w:name="_Toc479002231"/>
      <w:bookmarkStart w:id="7728" w:name="_Toc479002403"/>
      <w:bookmarkStart w:id="7729" w:name="_Toc479254378"/>
      <w:bookmarkStart w:id="7730" w:name="_Toc479258567"/>
      <w:bookmarkStart w:id="7731" w:name="_Toc479258883"/>
      <w:bookmarkStart w:id="7732" w:name="_Toc479259775"/>
      <w:bookmarkStart w:id="7733" w:name="_Toc479262198"/>
      <w:bookmarkStart w:id="7734" w:name="_Toc479262619"/>
      <w:bookmarkStart w:id="7735" w:name="_Toc479321320"/>
      <w:bookmarkStart w:id="7736" w:name="_Toc479326759"/>
      <w:bookmarkStart w:id="7737" w:name="_Toc479333358"/>
      <w:bookmarkStart w:id="7738" w:name="_Toc479335055"/>
      <w:bookmarkStart w:id="7739" w:name="_Toc479341770"/>
      <w:bookmarkStart w:id="7740" w:name="_Toc479345186"/>
      <w:bookmarkStart w:id="7741" w:name="_Toc479345395"/>
      <w:bookmarkStart w:id="7742" w:name="_Toc479348376"/>
      <w:bookmarkStart w:id="7743" w:name="_Toc479675970"/>
      <w:bookmarkStart w:id="7744" w:name="_Toc479690937"/>
      <w:bookmarkStart w:id="7745" w:name="_Toc479693515"/>
      <w:bookmarkStart w:id="7746" w:name="_Toc479770684"/>
      <w:r>
        <w:t>5</w:t>
      </w:r>
      <w:r w:rsidR="00C065B1">
        <w:t>.2</w:t>
      </w:r>
      <w:r w:rsidR="00C065B1">
        <w:tab/>
      </w:r>
      <w:r w:rsidR="00BC3931">
        <w:t xml:space="preserve">Operation </w:t>
      </w:r>
      <w:r w:rsidR="00C065B1">
        <w:t xml:space="preserve">of </w:t>
      </w:r>
      <w:r w:rsidR="00BC3931">
        <w:t>Crude Oil Excise</w:t>
      </w:r>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p>
    <w:p w14:paraId="0979C53A" w14:textId="7D4C1CB7" w:rsidR="00D13BA2" w:rsidRPr="00D13BA2" w:rsidRDefault="00AA7794" w:rsidP="00D13BA2">
      <w:r>
        <w:t xml:space="preserve">No excise is payable on the first 4767.3 megalitres (30 million barrels) of stabilised crude oil or condensate </w:t>
      </w:r>
      <w:r w:rsidR="00D13BA2">
        <w:t xml:space="preserve">(combined) </w:t>
      </w:r>
      <w:r>
        <w:t xml:space="preserve">from a particular </w:t>
      </w:r>
      <w:r w:rsidR="00D13BA2">
        <w:t xml:space="preserve">production </w:t>
      </w:r>
      <w:r>
        <w:t>field.</w:t>
      </w:r>
      <w:r w:rsidR="00D13BA2">
        <w:rPr>
          <w:rStyle w:val="FootnoteReference"/>
        </w:rPr>
        <w:footnoteReference w:id="18"/>
      </w:r>
      <w:r>
        <w:t xml:space="preserve"> </w:t>
      </w:r>
      <w:r w:rsidR="00D13BA2" w:rsidRPr="00D13BA2">
        <w:t xml:space="preserve">A production field can be made </w:t>
      </w:r>
      <w:r w:rsidR="00487AA5">
        <w:t>up</w:t>
      </w:r>
      <w:r w:rsidR="00D13BA2" w:rsidRPr="00D13BA2">
        <w:t xml:space="preserve"> of one or more production areas.</w:t>
      </w:r>
    </w:p>
    <w:p w14:paraId="2727D6FB" w14:textId="2E6E3D18" w:rsidR="00AA7794" w:rsidRDefault="00AA7794" w:rsidP="006D54FE">
      <w:r>
        <w:t xml:space="preserve">After </w:t>
      </w:r>
      <w:r w:rsidR="00D13BA2" w:rsidRPr="00D13BA2">
        <w:t xml:space="preserve">the total </w:t>
      </w:r>
      <w:r>
        <w:t xml:space="preserve">field threshold is </w:t>
      </w:r>
      <w:r w:rsidR="00D13BA2" w:rsidRPr="00D13BA2">
        <w:t>reached, each production area must also reach</w:t>
      </w:r>
      <w:r>
        <w:t xml:space="preserve"> an annual production threshold before </w:t>
      </w:r>
      <w:r w:rsidR="00D13BA2" w:rsidRPr="00D13BA2">
        <w:t>excise is payable.</w:t>
      </w:r>
      <w:r>
        <w:t xml:space="preserve"> The rate of excise that applies varies as different levels (or tranches) of annual production are achieved</w:t>
      </w:r>
      <w:r w:rsidR="005D6F39">
        <w:t xml:space="preserve"> — </w:t>
      </w:r>
      <w:r>
        <w:t xml:space="preserve">the higher the annual production, the higher the rate of excise. </w:t>
      </w:r>
      <w:r w:rsidR="00D13BA2" w:rsidRPr="00D13BA2">
        <w:t>The annual thresholds apply separately in respect of the type of product (crude oil or condensate) coming from each production area.</w:t>
      </w:r>
    </w:p>
    <w:p w14:paraId="3E6F2D4E" w14:textId="65D5E8BD" w:rsidR="00AA7794" w:rsidRDefault="00AA7794" w:rsidP="006D54FE">
      <w:r>
        <w:t xml:space="preserve">The annual production thresholds are </w:t>
      </w:r>
      <w:r w:rsidR="00A02080">
        <w:t>outlined</w:t>
      </w:r>
      <w:r>
        <w:t xml:space="preserve"> in </w:t>
      </w:r>
      <w:r w:rsidRPr="006D28D4">
        <w:t xml:space="preserve">Table </w:t>
      </w:r>
      <w:r w:rsidR="00E63B4E" w:rsidRPr="006D28D4">
        <w:t>5.1</w:t>
      </w:r>
      <w:r>
        <w:t xml:space="preserve">. The excise rates applicable across the different annual production tranches are </w:t>
      </w:r>
      <w:r w:rsidR="00A02080">
        <w:t xml:space="preserve">outlined </w:t>
      </w:r>
      <w:r>
        <w:t xml:space="preserve">in </w:t>
      </w:r>
      <w:r w:rsidRPr="006D28D4">
        <w:t xml:space="preserve">Table </w:t>
      </w:r>
      <w:r w:rsidR="00E63B4E" w:rsidRPr="006D28D4">
        <w:t>5.2</w:t>
      </w:r>
      <w:r>
        <w:t>.</w:t>
      </w:r>
    </w:p>
    <w:p w14:paraId="4A29E62C" w14:textId="77777777" w:rsidR="00AA7794" w:rsidRDefault="00AA7794" w:rsidP="006D54FE">
      <w:r>
        <w:t>For crude oil, the production thresholds and tranches also depend on when the field was discovered and developed. There are three categories:</w:t>
      </w:r>
    </w:p>
    <w:p w14:paraId="447001D9" w14:textId="4EEA3687" w:rsidR="00AA7794" w:rsidRDefault="00AA7794" w:rsidP="002700E0">
      <w:pPr>
        <w:pStyle w:val="Bullet"/>
      </w:pPr>
      <w:r>
        <w:t>old oil is oil discovered and in production before 18 September 1975</w:t>
      </w:r>
      <w:r w:rsidR="006F2234">
        <w:t>;</w:t>
      </w:r>
      <w:r>
        <w:t xml:space="preserve"> </w:t>
      </w:r>
    </w:p>
    <w:p w14:paraId="1803AFD6" w14:textId="6A79B789" w:rsidR="00AA7794" w:rsidRDefault="00AA7794" w:rsidP="002700E0">
      <w:pPr>
        <w:pStyle w:val="Bullet"/>
      </w:pPr>
      <w:r>
        <w:t>intermediate oil is oil discovered before 18 September 1975, but not developed as of 23</w:t>
      </w:r>
      <w:r w:rsidR="00AB0E85">
        <w:t> </w:t>
      </w:r>
      <w:r>
        <w:t>October 1984</w:t>
      </w:r>
      <w:r w:rsidR="006F2234">
        <w:t>;</w:t>
      </w:r>
      <w:r>
        <w:t xml:space="preserve"> and </w:t>
      </w:r>
    </w:p>
    <w:p w14:paraId="607D5B97" w14:textId="34073951" w:rsidR="00AA7794" w:rsidRDefault="00AA7794" w:rsidP="002700E0">
      <w:pPr>
        <w:pStyle w:val="Bullet"/>
      </w:pPr>
      <w:r>
        <w:t>new oil is oil produced from naturally occurring discrete accumulations discovered on or after 18 September 1975.</w:t>
      </w:r>
    </w:p>
    <w:p w14:paraId="253E1511" w14:textId="77777777" w:rsidR="00A02080" w:rsidRDefault="00A02080">
      <w:pPr>
        <w:spacing w:after="0" w:line="240" w:lineRule="auto"/>
        <w:jc w:val="left"/>
        <w:rPr>
          <w:rFonts w:ascii="Century Gothic" w:hAnsi="Century Gothic"/>
          <w:b/>
          <w:color w:val="1F497D" w:themeColor="text2"/>
        </w:rPr>
      </w:pPr>
      <w:r>
        <w:br w:type="page"/>
      </w:r>
    </w:p>
    <w:p w14:paraId="5A9C8F2A" w14:textId="4B4E4364" w:rsidR="00BC3931" w:rsidRPr="00CF3B92" w:rsidRDefault="00BC3931" w:rsidP="00221C2A">
      <w:pPr>
        <w:pStyle w:val="TableMainHeading"/>
      </w:pPr>
      <w:r w:rsidRPr="006D28D4">
        <w:t xml:space="preserve">Table </w:t>
      </w:r>
      <w:r w:rsidR="00E63B4E" w:rsidRPr="006D28D4">
        <w:t>5.1</w:t>
      </w:r>
      <w:r w:rsidRPr="00231F39">
        <w:t xml:space="preserve"> — </w:t>
      </w:r>
      <w:r>
        <w:t xml:space="preserve">Annual </w:t>
      </w:r>
      <w:r w:rsidR="00E778E5" w:rsidRPr="00221C2A">
        <w:t>p</w:t>
      </w:r>
      <w:r w:rsidRPr="00221C2A">
        <w:t>roduction</w:t>
      </w:r>
      <w:r>
        <w:t xml:space="preserve"> </w:t>
      </w:r>
      <w:r w:rsidR="00E778E5">
        <w:t>t</w:t>
      </w:r>
      <w:r>
        <w:t>hresholds for Crude Oil Excise</w:t>
      </w:r>
    </w:p>
    <w:tbl>
      <w:tblPr>
        <w:tblStyle w:val="TableGrid1"/>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694"/>
        <w:gridCol w:w="1559"/>
        <w:gridCol w:w="1701"/>
        <w:gridCol w:w="1559"/>
        <w:gridCol w:w="1559"/>
      </w:tblGrid>
      <w:tr w:rsidR="00BC3931" w:rsidRPr="00606332" w14:paraId="659F4235" w14:textId="77777777" w:rsidTr="008950BC">
        <w:trPr>
          <w:trHeight w:hRule="exact" w:val="429"/>
        </w:trPr>
        <w:tc>
          <w:tcPr>
            <w:tcW w:w="2694" w:type="dxa"/>
            <w:shd w:val="clear" w:color="auto" w:fill="auto"/>
          </w:tcPr>
          <w:p w14:paraId="432D3013" w14:textId="77777777" w:rsidR="00BC3931" w:rsidRPr="00A02080" w:rsidRDefault="00BC3931" w:rsidP="008950BC">
            <w:pPr>
              <w:pStyle w:val="TableColumnHeadingLeft"/>
            </w:pPr>
          </w:p>
        </w:tc>
        <w:tc>
          <w:tcPr>
            <w:tcW w:w="1559" w:type="dxa"/>
            <w:shd w:val="clear" w:color="auto" w:fill="auto"/>
          </w:tcPr>
          <w:p w14:paraId="379A1F5F" w14:textId="77777777" w:rsidR="00BC3931" w:rsidRPr="00811D3F" w:rsidRDefault="00BC3931" w:rsidP="008950BC">
            <w:pPr>
              <w:pStyle w:val="TableColumnHeadingLeft"/>
            </w:pPr>
            <w:r w:rsidRPr="00811D3F">
              <w:t>Old Oil</w:t>
            </w:r>
          </w:p>
        </w:tc>
        <w:tc>
          <w:tcPr>
            <w:tcW w:w="1701" w:type="dxa"/>
            <w:shd w:val="clear" w:color="auto" w:fill="auto"/>
          </w:tcPr>
          <w:p w14:paraId="2EB24A84" w14:textId="37DB3702" w:rsidR="00BC3931" w:rsidRPr="00811D3F" w:rsidRDefault="00BC3931" w:rsidP="008950BC">
            <w:pPr>
              <w:pStyle w:val="TableColumnHeadingLeft"/>
            </w:pPr>
            <w:r w:rsidRPr="00811D3F">
              <w:t>Intermediate Oil</w:t>
            </w:r>
          </w:p>
        </w:tc>
        <w:tc>
          <w:tcPr>
            <w:tcW w:w="1559" w:type="dxa"/>
            <w:shd w:val="clear" w:color="auto" w:fill="auto"/>
          </w:tcPr>
          <w:p w14:paraId="08E17CFA" w14:textId="77777777" w:rsidR="00BC3931" w:rsidRPr="00811D3F" w:rsidRDefault="00BC3931" w:rsidP="008950BC">
            <w:pPr>
              <w:pStyle w:val="TableColumnHeadingLeft"/>
            </w:pPr>
            <w:r w:rsidRPr="00811D3F">
              <w:t>New Oil</w:t>
            </w:r>
          </w:p>
        </w:tc>
        <w:tc>
          <w:tcPr>
            <w:tcW w:w="1559" w:type="dxa"/>
            <w:shd w:val="clear" w:color="auto" w:fill="auto"/>
          </w:tcPr>
          <w:p w14:paraId="4D844030" w14:textId="77777777" w:rsidR="00BC3931" w:rsidRPr="00811D3F" w:rsidRDefault="00BC3931" w:rsidP="008950BC">
            <w:pPr>
              <w:pStyle w:val="TableColumnHeadingLeft"/>
            </w:pPr>
            <w:r w:rsidRPr="00811D3F">
              <w:t>Condensate</w:t>
            </w:r>
          </w:p>
        </w:tc>
      </w:tr>
      <w:tr w:rsidR="00BC3931" w:rsidRPr="00606332" w14:paraId="60538788" w14:textId="77777777" w:rsidTr="008950BC">
        <w:tc>
          <w:tcPr>
            <w:tcW w:w="2694" w:type="dxa"/>
            <w:shd w:val="clear" w:color="auto" w:fill="auto"/>
          </w:tcPr>
          <w:p w14:paraId="29BBE41D" w14:textId="77777777" w:rsidR="00BC3931" w:rsidRPr="00811D3F" w:rsidRDefault="00BC3931" w:rsidP="008950BC">
            <w:pPr>
              <w:pStyle w:val="TableColumnHeadingLeft"/>
              <w:jc w:val="left"/>
            </w:pPr>
            <w:r w:rsidRPr="00811D3F">
              <w:t>Annual Production Threshold</w:t>
            </w:r>
          </w:p>
          <w:p w14:paraId="282B05DA" w14:textId="77777777" w:rsidR="00BC3931" w:rsidRPr="00A02080" w:rsidRDefault="00BC3931" w:rsidP="008950BC">
            <w:pPr>
              <w:pStyle w:val="TableColumnHeadingLeft"/>
              <w:jc w:val="left"/>
            </w:pPr>
            <w:r w:rsidRPr="00A02080">
              <w:t>(megalitres, approximate)</w:t>
            </w:r>
          </w:p>
        </w:tc>
        <w:tc>
          <w:tcPr>
            <w:tcW w:w="1559" w:type="dxa"/>
            <w:shd w:val="clear" w:color="auto" w:fill="auto"/>
            <w:vAlign w:val="center"/>
          </w:tcPr>
          <w:p w14:paraId="158C4374" w14:textId="77777777" w:rsidR="00BC3931" w:rsidRPr="00A02080" w:rsidRDefault="00BC3931" w:rsidP="008950BC">
            <w:pPr>
              <w:pStyle w:val="TableTextLeft"/>
              <w:jc w:val="right"/>
            </w:pPr>
            <w:r w:rsidRPr="00A02080">
              <w:t>200</w:t>
            </w:r>
          </w:p>
        </w:tc>
        <w:tc>
          <w:tcPr>
            <w:tcW w:w="1701" w:type="dxa"/>
            <w:shd w:val="clear" w:color="auto" w:fill="auto"/>
            <w:vAlign w:val="center"/>
          </w:tcPr>
          <w:p w14:paraId="41048904" w14:textId="77777777" w:rsidR="00BC3931" w:rsidRPr="00A02080" w:rsidRDefault="00BC3931" w:rsidP="008950BC">
            <w:pPr>
              <w:pStyle w:val="TableTextLeft"/>
              <w:jc w:val="right"/>
            </w:pPr>
            <w:r w:rsidRPr="00A02080">
              <w:t>300</w:t>
            </w:r>
          </w:p>
        </w:tc>
        <w:tc>
          <w:tcPr>
            <w:tcW w:w="1559" w:type="dxa"/>
            <w:shd w:val="clear" w:color="auto" w:fill="auto"/>
            <w:vAlign w:val="center"/>
          </w:tcPr>
          <w:p w14:paraId="66092A0E" w14:textId="77777777" w:rsidR="00BC3931" w:rsidRPr="00A02080" w:rsidRDefault="00BC3931" w:rsidP="008950BC">
            <w:pPr>
              <w:pStyle w:val="TableTextLeft"/>
              <w:jc w:val="right"/>
            </w:pPr>
            <w:r w:rsidRPr="00A02080">
              <w:t>500</w:t>
            </w:r>
          </w:p>
        </w:tc>
        <w:tc>
          <w:tcPr>
            <w:tcW w:w="1559" w:type="dxa"/>
            <w:shd w:val="clear" w:color="auto" w:fill="auto"/>
            <w:vAlign w:val="center"/>
          </w:tcPr>
          <w:p w14:paraId="089F3F7E" w14:textId="77777777" w:rsidR="00BC3931" w:rsidRPr="00A02080" w:rsidRDefault="00BC3931" w:rsidP="008950BC">
            <w:pPr>
              <w:pStyle w:val="TableTextLeft"/>
              <w:jc w:val="right"/>
            </w:pPr>
            <w:r w:rsidRPr="00A02080">
              <w:t>500</w:t>
            </w:r>
          </w:p>
        </w:tc>
      </w:tr>
    </w:tbl>
    <w:p w14:paraId="7F836689" w14:textId="77777777" w:rsidR="00BC3931" w:rsidRPr="00606332" w:rsidRDefault="00BC3931" w:rsidP="00BC3931"/>
    <w:p w14:paraId="6F0198D1" w14:textId="59123DB1" w:rsidR="00BC3931" w:rsidRPr="00606332" w:rsidRDefault="00BC3931" w:rsidP="00221C2A">
      <w:pPr>
        <w:pStyle w:val="TableMainHeading"/>
      </w:pPr>
      <w:r w:rsidRPr="00606332">
        <w:t xml:space="preserve">Table </w:t>
      </w:r>
      <w:r w:rsidR="00E63B4E" w:rsidRPr="006D28D4">
        <w:t>5.2</w:t>
      </w:r>
      <w:r w:rsidRPr="00606332">
        <w:t xml:space="preserve"> — Crude Oil Excise </w:t>
      </w:r>
      <w:r w:rsidR="00E778E5">
        <w:t>r</w:t>
      </w:r>
      <w:r w:rsidRPr="00606332">
        <w:t xml:space="preserve">ates </w:t>
      </w:r>
    </w:p>
    <w:tbl>
      <w:tblPr>
        <w:tblStyle w:val="TableGrid1"/>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694"/>
        <w:gridCol w:w="1610"/>
        <w:gridCol w:w="1610"/>
        <w:gridCol w:w="1610"/>
        <w:gridCol w:w="1548"/>
      </w:tblGrid>
      <w:tr w:rsidR="00BC3931" w:rsidRPr="00606332" w14:paraId="37507D94" w14:textId="77777777" w:rsidTr="008950BC">
        <w:trPr>
          <w:trHeight w:val="563"/>
        </w:trPr>
        <w:tc>
          <w:tcPr>
            <w:tcW w:w="2694" w:type="dxa"/>
            <w:shd w:val="clear" w:color="auto" w:fill="auto"/>
          </w:tcPr>
          <w:p w14:paraId="2B507E4A" w14:textId="77777777" w:rsidR="00BC3931" w:rsidRPr="00811D3F" w:rsidRDefault="00BC3931" w:rsidP="008950BC">
            <w:pPr>
              <w:pStyle w:val="TableColumnHeadingLeft"/>
            </w:pPr>
            <w:r w:rsidRPr="00811D3F">
              <w:t xml:space="preserve">Annual Crude Oil Sales </w:t>
            </w:r>
          </w:p>
        </w:tc>
        <w:tc>
          <w:tcPr>
            <w:tcW w:w="1610" w:type="dxa"/>
            <w:shd w:val="clear" w:color="auto" w:fill="auto"/>
          </w:tcPr>
          <w:p w14:paraId="4A09BA2B" w14:textId="77777777" w:rsidR="00BC3931" w:rsidRPr="00811D3F" w:rsidRDefault="00BC3931" w:rsidP="008950BC">
            <w:pPr>
              <w:pStyle w:val="TableColumnHeadingLeft"/>
            </w:pPr>
            <w:r w:rsidRPr="00811D3F">
              <w:t>Old Oil</w:t>
            </w:r>
          </w:p>
        </w:tc>
        <w:tc>
          <w:tcPr>
            <w:tcW w:w="1610" w:type="dxa"/>
            <w:shd w:val="clear" w:color="auto" w:fill="auto"/>
          </w:tcPr>
          <w:p w14:paraId="7237E2ED" w14:textId="799E80EF" w:rsidR="00BC3931" w:rsidRPr="00811D3F" w:rsidRDefault="00BC3931" w:rsidP="008950BC">
            <w:pPr>
              <w:pStyle w:val="TableColumnHeadingLeft"/>
            </w:pPr>
            <w:r w:rsidRPr="00811D3F">
              <w:t xml:space="preserve">Intermediate Oil </w:t>
            </w:r>
          </w:p>
        </w:tc>
        <w:tc>
          <w:tcPr>
            <w:tcW w:w="1610" w:type="dxa"/>
            <w:shd w:val="clear" w:color="auto" w:fill="auto"/>
          </w:tcPr>
          <w:p w14:paraId="6509A019" w14:textId="77777777" w:rsidR="00BC3931" w:rsidRPr="00811D3F" w:rsidRDefault="00BC3931" w:rsidP="008950BC">
            <w:pPr>
              <w:pStyle w:val="TableColumnHeadingLeft"/>
            </w:pPr>
            <w:r w:rsidRPr="00811D3F">
              <w:t>New Oil</w:t>
            </w:r>
          </w:p>
        </w:tc>
        <w:tc>
          <w:tcPr>
            <w:tcW w:w="1548" w:type="dxa"/>
            <w:shd w:val="clear" w:color="auto" w:fill="auto"/>
          </w:tcPr>
          <w:p w14:paraId="3D4FBE9E" w14:textId="77777777" w:rsidR="00BC3931" w:rsidRPr="00811D3F" w:rsidRDefault="00BC3931" w:rsidP="008950BC">
            <w:pPr>
              <w:pStyle w:val="TableColumnHeadingLeft"/>
            </w:pPr>
            <w:r w:rsidRPr="00811D3F">
              <w:t>Condensate</w:t>
            </w:r>
          </w:p>
        </w:tc>
      </w:tr>
      <w:tr w:rsidR="00BC3931" w:rsidRPr="00606332" w14:paraId="5AD5697B" w14:textId="77777777" w:rsidTr="008950BC">
        <w:trPr>
          <w:trHeight w:val="727"/>
        </w:trPr>
        <w:tc>
          <w:tcPr>
            <w:tcW w:w="2694" w:type="dxa"/>
            <w:shd w:val="clear" w:color="auto" w:fill="auto"/>
          </w:tcPr>
          <w:p w14:paraId="25EE69DD" w14:textId="77777777" w:rsidR="00BC3931" w:rsidRPr="00811D3F" w:rsidRDefault="00BC3931" w:rsidP="008950BC">
            <w:pPr>
              <w:pStyle w:val="TableColumnHeadingLeft"/>
            </w:pPr>
            <w:r w:rsidRPr="00811D3F">
              <w:t>Annual Production Tranches*</w:t>
            </w:r>
          </w:p>
          <w:p w14:paraId="4660079F" w14:textId="77777777" w:rsidR="00BC3931" w:rsidRPr="00811D3F" w:rsidRDefault="00BC3931" w:rsidP="008950BC">
            <w:pPr>
              <w:pStyle w:val="TableColumnHeadingLeft"/>
            </w:pPr>
            <w:r w:rsidRPr="00811D3F">
              <w:t>(megalitres)</w:t>
            </w:r>
          </w:p>
        </w:tc>
        <w:tc>
          <w:tcPr>
            <w:tcW w:w="1610" w:type="dxa"/>
            <w:shd w:val="clear" w:color="auto" w:fill="auto"/>
          </w:tcPr>
          <w:p w14:paraId="6D112B69" w14:textId="77777777" w:rsidR="00BC3931" w:rsidRPr="00A02080" w:rsidRDefault="00BC3931" w:rsidP="008950BC">
            <w:pPr>
              <w:pStyle w:val="TableTextCentered"/>
            </w:pPr>
            <w:r w:rsidRPr="00A02080">
              <w:t>% of VOLWARE</w:t>
            </w:r>
          </w:p>
        </w:tc>
        <w:tc>
          <w:tcPr>
            <w:tcW w:w="1610" w:type="dxa"/>
            <w:shd w:val="clear" w:color="auto" w:fill="auto"/>
          </w:tcPr>
          <w:p w14:paraId="46BB5461" w14:textId="77777777" w:rsidR="00BC3931" w:rsidRPr="00A02080" w:rsidRDefault="00BC3931" w:rsidP="008950BC">
            <w:pPr>
              <w:pStyle w:val="TableTextCentered"/>
            </w:pPr>
            <w:r w:rsidRPr="00A02080">
              <w:t>% of VOLWARE</w:t>
            </w:r>
          </w:p>
        </w:tc>
        <w:tc>
          <w:tcPr>
            <w:tcW w:w="1610" w:type="dxa"/>
            <w:shd w:val="clear" w:color="auto" w:fill="auto"/>
          </w:tcPr>
          <w:p w14:paraId="1BA0E309" w14:textId="77777777" w:rsidR="00BC3931" w:rsidRPr="00A02080" w:rsidRDefault="00BC3931" w:rsidP="008950BC">
            <w:pPr>
              <w:pStyle w:val="TableTextCentered"/>
            </w:pPr>
            <w:r w:rsidRPr="00A02080">
              <w:t>% of VOLWARE</w:t>
            </w:r>
          </w:p>
        </w:tc>
        <w:tc>
          <w:tcPr>
            <w:tcW w:w="1548" w:type="dxa"/>
            <w:shd w:val="clear" w:color="auto" w:fill="auto"/>
          </w:tcPr>
          <w:p w14:paraId="063282ED" w14:textId="77777777" w:rsidR="00BC3931" w:rsidRPr="00A02080" w:rsidRDefault="00BC3931" w:rsidP="008950BC">
            <w:pPr>
              <w:pStyle w:val="TableTextCentered"/>
            </w:pPr>
            <w:r w:rsidRPr="00A02080">
              <w:t>% of VOLWARE</w:t>
            </w:r>
          </w:p>
        </w:tc>
      </w:tr>
      <w:tr w:rsidR="00BC3931" w:rsidRPr="00606332" w14:paraId="2F935ECB" w14:textId="77777777" w:rsidTr="008950BC">
        <w:tc>
          <w:tcPr>
            <w:tcW w:w="2694" w:type="dxa"/>
            <w:shd w:val="clear" w:color="auto" w:fill="auto"/>
          </w:tcPr>
          <w:p w14:paraId="483C740B" w14:textId="77777777" w:rsidR="00BC3931" w:rsidRPr="00811D3F" w:rsidRDefault="00BC3931" w:rsidP="008950BC">
            <w:pPr>
              <w:pStyle w:val="TableColumnHeadingLeft"/>
            </w:pPr>
            <w:r w:rsidRPr="00811D3F">
              <w:t>0 to 50</w:t>
            </w:r>
          </w:p>
        </w:tc>
        <w:tc>
          <w:tcPr>
            <w:tcW w:w="1610" w:type="dxa"/>
            <w:shd w:val="clear" w:color="auto" w:fill="auto"/>
          </w:tcPr>
          <w:p w14:paraId="523C9419" w14:textId="77777777" w:rsidR="00BC3931" w:rsidRPr="00A02080" w:rsidRDefault="00BC3931" w:rsidP="008950BC">
            <w:pPr>
              <w:pStyle w:val="TableTextCentered"/>
            </w:pPr>
            <w:r w:rsidRPr="00A02080">
              <w:t>0</w:t>
            </w:r>
          </w:p>
        </w:tc>
        <w:tc>
          <w:tcPr>
            <w:tcW w:w="1610" w:type="dxa"/>
            <w:shd w:val="clear" w:color="auto" w:fill="auto"/>
          </w:tcPr>
          <w:p w14:paraId="790A7592" w14:textId="77777777" w:rsidR="00BC3931" w:rsidRPr="00A02080" w:rsidRDefault="00BC3931" w:rsidP="008950BC">
            <w:pPr>
              <w:pStyle w:val="TableTextCentered"/>
            </w:pPr>
            <w:r w:rsidRPr="00A02080">
              <w:t>0</w:t>
            </w:r>
          </w:p>
        </w:tc>
        <w:tc>
          <w:tcPr>
            <w:tcW w:w="1610" w:type="dxa"/>
            <w:shd w:val="clear" w:color="auto" w:fill="auto"/>
          </w:tcPr>
          <w:p w14:paraId="214D50DC" w14:textId="77777777" w:rsidR="00BC3931" w:rsidRPr="00A02080" w:rsidRDefault="00BC3931" w:rsidP="008950BC">
            <w:pPr>
              <w:pStyle w:val="TableTextCentered"/>
            </w:pPr>
            <w:r w:rsidRPr="00A02080">
              <w:t>0</w:t>
            </w:r>
          </w:p>
        </w:tc>
        <w:tc>
          <w:tcPr>
            <w:tcW w:w="1548" w:type="dxa"/>
            <w:shd w:val="clear" w:color="auto" w:fill="auto"/>
          </w:tcPr>
          <w:p w14:paraId="2E23D446" w14:textId="77777777" w:rsidR="00BC3931" w:rsidRPr="00A02080" w:rsidRDefault="00BC3931" w:rsidP="008950BC">
            <w:pPr>
              <w:pStyle w:val="TableTextCentered"/>
            </w:pPr>
            <w:r w:rsidRPr="00A02080">
              <w:t>0</w:t>
            </w:r>
          </w:p>
        </w:tc>
      </w:tr>
      <w:tr w:rsidR="00BC3931" w:rsidRPr="00606332" w14:paraId="0B074952" w14:textId="77777777" w:rsidTr="008950BC">
        <w:tc>
          <w:tcPr>
            <w:tcW w:w="2694" w:type="dxa"/>
            <w:shd w:val="clear" w:color="auto" w:fill="auto"/>
          </w:tcPr>
          <w:p w14:paraId="43A851A9" w14:textId="77777777" w:rsidR="00BC3931" w:rsidRPr="00811D3F" w:rsidRDefault="00BC3931" w:rsidP="008950BC">
            <w:pPr>
              <w:pStyle w:val="TableColumnHeadingLeft"/>
            </w:pPr>
            <w:r w:rsidRPr="00811D3F">
              <w:t>Over 50 to 100</w:t>
            </w:r>
          </w:p>
        </w:tc>
        <w:tc>
          <w:tcPr>
            <w:tcW w:w="1610" w:type="dxa"/>
            <w:shd w:val="clear" w:color="auto" w:fill="auto"/>
          </w:tcPr>
          <w:p w14:paraId="2B5197EA" w14:textId="77777777" w:rsidR="00BC3931" w:rsidRPr="00A02080" w:rsidRDefault="00BC3931" w:rsidP="008950BC">
            <w:pPr>
              <w:pStyle w:val="TableTextCentered"/>
            </w:pPr>
            <w:r w:rsidRPr="00A02080">
              <w:t>0</w:t>
            </w:r>
          </w:p>
        </w:tc>
        <w:tc>
          <w:tcPr>
            <w:tcW w:w="1610" w:type="dxa"/>
            <w:shd w:val="clear" w:color="auto" w:fill="auto"/>
          </w:tcPr>
          <w:p w14:paraId="743DA57A" w14:textId="77777777" w:rsidR="00BC3931" w:rsidRPr="00A02080" w:rsidRDefault="00BC3931" w:rsidP="008950BC">
            <w:pPr>
              <w:pStyle w:val="TableTextCentered"/>
            </w:pPr>
            <w:r w:rsidRPr="00A02080">
              <w:t>0</w:t>
            </w:r>
          </w:p>
        </w:tc>
        <w:tc>
          <w:tcPr>
            <w:tcW w:w="1610" w:type="dxa"/>
            <w:shd w:val="clear" w:color="auto" w:fill="auto"/>
          </w:tcPr>
          <w:p w14:paraId="7C021F5F" w14:textId="77777777" w:rsidR="00BC3931" w:rsidRPr="00A02080" w:rsidRDefault="00BC3931" w:rsidP="008950BC">
            <w:pPr>
              <w:pStyle w:val="TableTextCentered"/>
            </w:pPr>
            <w:r w:rsidRPr="00A02080">
              <w:t>0</w:t>
            </w:r>
          </w:p>
        </w:tc>
        <w:tc>
          <w:tcPr>
            <w:tcW w:w="1548" w:type="dxa"/>
            <w:shd w:val="clear" w:color="auto" w:fill="auto"/>
          </w:tcPr>
          <w:p w14:paraId="787A687C" w14:textId="77777777" w:rsidR="00BC3931" w:rsidRPr="00A02080" w:rsidRDefault="00BC3931" w:rsidP="008950BC">
            <w:pPr>
              <w:pStyle w:val="TableTextCentered"/>
            </w:pPr>
            <w:r w:rsidRPr="00A02080">
              <w:t>0</w:t>
            </w:r>
          </w:p>
        </w:tc>
      </w:tr>
      <w:tr w:rsidR="00BC3931" w:rsidRPr="00606332" w14:paraId="1265BD52" w14:textId="77777777" w:rsidTr="008950BC">
        <w:tc>
          <w:tcPr>
            <w:tcW w:w="2694" w:type="dxa"/>
            <w:shd w:val="clear" w:color="auto" w:fill="auto"/>
          </w:tcPr>
          <w:p w14:paraId="31949466" w14:textId="77777777" w:rsidR="00BC3931" w:rsidRPr="00811D3F" w:rsidRDefault="00BC3931" w:rsidP="008950BC">
            <w:pPr>
              <w:pStyle w:val="TableColumnHeadingLeft"/>
            </w:pPr>
            <w:r w:rsidRPr="00811D3F">
              <w:t>Over 100 to 200</w:t>
            </w:r>
          </w:p>
        </w:tc>
        <w:tc>
          <w:tcPr>
            <w:tcW w:w="1610" w:type="dxa"/>
            <w:shd w:val="clear" w:color="auto" w:fill="auto"/>
          </w:tcPr>
          <w:p w14:paraId="2C0DDD14" w14:textId="77777777" w:rsidR="00BC3931" w:rsidRPr="00A02080" w:rsidRDefault="00BC3931" w:rsidP="008950BC">
            <w:pPr>
              <w:pStyle w:val="TableTextCentered"/>
            </w:pPr>
            <w:r w:rsidRPr="00A02080">
              <w:t>0</w:t>
            </w:r>
          </w:p>
        </w:tc>
        <w:tc>
          <w:tcPr>
            <w:tcW w:w="1610" w:type="dxa"/>
            <w:shd w:val="clear" w:color="auto" w:fill="auto"/>
          </w:tcPr>
          <w:p w14:paraId="2AE721CE" w14:textId="77777777" w:rsidR="00BC3931" w:rsidRPr="00A02080" w:rsidRDefault="00BC3931" w:rsidP="008950BC">
            <w:pPr>
              <w:pStyle w:val="TableTextCentered"/>
            </w:pPr>
            <w:r w:rsidRPr="00A02080">
              <w:t>0</w:t>
            </w:r>
          </w:p>
        </w:tc>
        <w:tc>
          <w:tcPr>
            <w:tcW w:w="1610" w:type="dxa"/>
            <w:shd w:val="clear" w:color="auto" w:fill="auto"/>
          </w:tcPr>
          <w:p w14:paraId="0008B801" w14:textId="77777777" w:rsidR="00BC3931" w:rsidRPr="00A02080" w:rsidRDefault="00BC3931" w:rsidP="008950BC">
            <w:pPr>
              <w:pStyle w:val="TableTextCentered"/>
            </w:pPr>
            <w:r w:rsidRPr="00A02080">
              <w:t>0</w:t>
            </w:r>
          </w:p>
        </w:tc>
        <w:tc>
          <w:tcPr>
            <w:tcW w:w="1548" w:type="dxa"/>
            <w:shd w:val="clear" w:color="auto" w:fill="auto"/>
          </w:tcPr>
          <w:p w14:paraId="69879B82" w14:textId="77777777" w:rsidR="00BC3931" w:rsidRPr="00A02080" w:rsidRDefault="00BC3931" w:rsidP="008950BC">
            <w:pPr>
              <w:pStyle w:val="TableTextCentered"/>
            </w:pPr>
            <w:r w:rsidRPr="00A02080">
              <w:t>0</w:t>
            </w:r>
          </w:p>
        </w:tc>
      </w:tr>
      <w:tr w:rsidR="00BC3931" w:rsidRPr="00606332" w14:paraId="54E762EE" w14:textId="77777777" w:rsidTr="008950BC">
        <w:tc>
          <w:tcPr>
            <w:tcW w:w="2694" w:type="dxa"/>
            <w:shd w:val="clear" w:color="auto" w:fill="auto"/>
          </w:tcPr>
          <w:p w14:paraId="641CB3E6" w14:textId="77777777" w:rsidR="00BC3931" w:rsidRPr="00811D3F" w:rsidRDefault="00BC3931" w:rsidP="008950BC">
            <w:pPr>
              <w:pStyle w:val="TableColumnHeadingLeft"/>
            </w:pPr>
            <w:r w:rsidRPr="00811D3F">
              <w:t>Over 200 to 300</w:t>
            </w:r>
          </w:p>
        </w:tc>
        <w:tc>
          <w:tcPr>
            <w:tcW w:w="1610" w:type="dxa"/>
            <w:shd w:val="clear" w:color="auto" w:fill="auto"/>
          </w:tcPr>
          <w:p w14:paraId="3C2E78D7" w14:textId="77777777" w:rsidR="00BC3931" w:rsidRPr="00A02080" w:rsidRDefault="00BC3931" w:rsidP="008950BC">
            <w:pPr>
              <w:pStyle w:val="TableTextCentered"/>
            </w:pPr>
            <w:r w:rsidRPr="00A02080">
              <w:t>20</w:t>
            </w:r>
          </w:p>
        </w:tc>
        <w:tc>
          <w:tcPr>
            <w:tcW w:w="1610" w:type="dxa"/>
            <w:shd w:val="clear" w:color="auto" w:fill="auto"/>
          </w:tcPr>
          <w:p w14:paraId="5DDE945D" w14:textId="77777777" w:rsidR="00BC3931" w:rsidRPr="00A02080" w:rsidRDefault="00BC3931" w:rsidP="008950BC">
            <w:pPr>
              <w:pStyle w:val="TableTextCentered"/>
            </w:pPr>
            <w:r w:rsidRPr="00A02080">
              <w:t>0</w:t>
            </w:r>
          </w:p>
        </w:tc>
        <w:tc>
          <w:tcPr>
            <w:tcW w:w="1610" w:type="dxa"/>
            <w:shd w:val="clear" w:color="auto" w:fill="auto"/>
          </w:tcPr>
          <w:p w14:paraId="3EEE9FD5" w14:textId="77777777" w:rsidR="00BC3931" w:rsidRPr="00A02080" w:rsidRDefault="00BC3931" w:rsidP="008950BC">
            <w:pPr>
              <w:pStyle w:val="TableTextCentered"/>
            </w:pPr>
            <w:r w:rsidRPr="00A02080">
              <w:t>0</w:t>
            </w:r>
          </w:p>
        </w:tc>
        <w:tc>
          <w:tcPr>
            <w:tcW w:w="1548" w:type="dxa"/>
            <w:shd w:val="clear" w:color="auto" w:fill="auto"/>
          </w:tcPr>
          <w:p w14:paraId="6376855E" w14:textId="77777777" w:rsidR="00BC3931" w:rsidRPr="00A02080" w:rsidRDefault="00BC3931" w:rsidP="008950BC">
            <w:pPr>
              <w:pStyle w:val="TableTextCentered"/>
            </w:pPr>
            <w:r w:rsidRPr="00A02080">
              <w:t>0</w:t>
            </w:r>
          </w:p>
        </w:tc>
      </w:tr>
      <w:tr w:rsidR="00BC3931" w:rsidRPr="00606332" w14:paraId="065EF6ED" w14:textId="77777777" w:rsidTr="008950BC">
        <w:tc>
          <w:tcPr>
            <w:tcW w:w="2694" w:type="dxa"/>
            <w:shd w:val="clear" w:color="auto" w:fill="auto"/>
          </w:tcPr>
          <w:p w14:paraId="4BCB20FF" w14:textId="77777777" w:rsidR="00BC3931" w:rsidRPr="00811D3F" w:rsidRDefault="00BC3931" w:rsidP="008950BC">
            <w:pPr>
              <w:pStyle w:val="TableColumnHeadingLeft"/>
            </w:pPr>
            <w:r w:rsidRPr="00811D3F">
              <w:t>Over 300 to 400</w:t>
            </w:r>
          </w:p>
        </w:tc>
        <w:tc>
          <w:tcPr>
            <w:tcW w:w="1610" w:type="dxa"/>
            <w:shd w:val="clear" w:color="auto" w:fill="auto"/>
          </w:tcPr>
          <w:p w14:paraId="4ABDBCFD" w14:textId="77777777" w:rsidR="00BC3931" w:rsidRPr="00A02080" w:rsidRDefault="00BC3931" w:rsidP="008950BC">
            <w:pPr>
              <w:pStyle w:val="TableTextCentered"/>
            </w:pPr>
            <w:r w:rsidRPr="00A02080">
              <w:t>30</w:t>
            </w:r>
          </w:p>
        </w:tc>
        <w:tc>
          <w:tcPr>
            <w:tcW w:w="1610" w:type="dxa"/>
            <w:shd w:val="clear" w:color="auto" w:fill="auto"/>
          </w:tcPr>
          <w:p w14:paraId="6C081464" w14:textId="77777777" w:rsidR="00BC3931" w:rsidRPr="00A02080" w:rsidRDefault="00BC3931" w:rsidP="008950BC">
            <w:pPr>
              <w:pStyle w:val="TableTextCentered"/>
            </w:pPr>
            <w:r w:rsidRPr="00A02080">
              <w:t>15</w:t>
            </w:r>
          </w:p>
        </w:tc>
        <w:tc>
          <w:tcPr>
            <w:tcW w:w="1610" w:type="dxa"/>
            <w:shd w:val="clear" w:color="auto" w:fill="auto"/>
          </w:tcPr>
          <w:p w14:paraId="0D034268" w14:textId="77777777" w:rsidR="00BC3931" w:rsidRPr="00A02080" w:rsidRDefault="00BC3931" w:rsidP="008950BC">
            <w:pPr>
              <w:pStyle w:val="TableTextCentered"/>
            </w:pPr>
            <w:r w:rsidRPr="00A02080">
              <w:t>0</w:t>
            </w:r>
          </w:p>
        </w:tc>
        <w:tc>
          <w:tcPr>
            <w:tcW w:w="1548" w:type="dxa"/>
            <w:shd w:val="clear" w:color="auto" w:fill="auto"/>
          </w:tcPr>
          <w:p w14:paraId="51174FD8" w14:textId="77777777" w:rsidR="00BC3931" w:rsidRPr="00A02080" w:rsidRDefault="00BC3931" w:rsidP="008950BC">
            <w:pPr>
              <w:pStyle w:val="TableTextCentered"/>
            </w:pPr>
            <w:r w:rsidRPr="00A02080">
              <w:t>0</w:t>
            </w:r>
          </w:p>
        </w:tc>
      </w:tr>
      <w:tr w:rsidR="00BC3931" w:rsidRPr="00606332" w14:paraId="23E38AE8" w14:textId="77777777" w:rsidTr="008950BC">
        <w:tc>
          <w:tcPr>
            <w:tcW w:w="2694" w:type="dxa"/>
            <w:shd w:val="clear" w:color="auto" w:fill="auto"/>
          </w:tcPr>
          <w:p w14:paraId="04339354" w14:textId="77777777" w:rsidR="00BC3931" w:rsidRPr="00811D3F" w:rsidRDefault="00BC3931" w:rsidP="008950BC">
            <w:pPr>
              <w:pStyle w:val="TableColumnHeadingLeft"/>
            </w:pPr>
            <w:r w:rsidRPr="00811D3F">
              <w:t>Over 400 to 500</w:t>
            </w:r>
          </w:p>
        </w:tc>
        <w:tc>
          <w:tcPr>
            <w:tcW w:w="1610" w:type="dxa"/>
            <w:shd w:val="clear" w:color="auto" w:fill="auto"/>
          </w:tcPr>
          <w:p w14:paraId="49A7BDF4" w14:textId="77777777" w:rsidR="00BC3931" w:rsidRPr="00A02080" w:rsidRDefault="00BC3931" w:rsidP="008950BC">
            <w:pPr>
              <w:pStyle w:val="TableTextCentered"/>
            </w:pPr>
            <w:r w:rsidRPr="00A02080">
              <w:t>40</w:t>
            </w:r>
          </w:p>
        </w:tc>
        <w:tc>
          <w:tcPr>
            <w:tcW w:w="1610" w:type="dxa"/>
            <w:shd w:val="clear" w:color="auto" w:fill="auto"/>
          </w:tcPr>
          <w:p w14:paraId="432F1B92" w14:textId="77777777" w:rsidR="00BC3931" w:rsidRPr="00A02080" w:rsidRDefault="00BC3931" w:rsidP="008950BC">
            <w:pPr>
              <w:pStyle w:val="TableTextCentered"/>
            </w:pPr>
            <w:r w:rsidRPr="00A02080">
              <w:t>30</w:t>
            </w:r>
          </w:p>
        </w:tc>
        <w:tc>
          <w:tcPr>
            <w:tcW w:w="1610" w:type="dxa"/>
            <w:shd w:val="clear" w:color="auto" w:fill="auto"/>
          </w:tcPr>
          <w:p w14:paraId="01419964" w14:textId="77777777" w:rsidR="00BC3931" w:rsidRPr="00A02080" w:rsidRDefault="00BC3931" w:rsidP="008950BC">
            <w:pPr>
              <w:pStyle w:val="TableTextCentered"/>
            </w:pPr>
            <w:r w:rsidRPr="00A02080">
              <w:t>0</w:t>
            </w:r>
          </w:p>
        </w:tc>
        <w:tc>
          <w:tcPr>
            <w:tcW w:w="1548" w:type="dxa"/>
            <w:shd w:val="clear" w:color="auto" w:fill="auto"/>
          </w:tcPr>
          <w:p w14:paraId="4CA653A4" w14:textId="77777777" w:rsidR="00BC3931" w:rsidRPr="00A02080" w:rsidRDefault="00BC3931" w:rsidP="008950BC">
            <w:pPr>
              <w:pStyle w:val="TableTextCentered"/>
            </w:pPr>
            <w:r w:rsidRPr="00A02080">
              <w:t>0</w:t>
            </w:r>
          </w:p>
        </w:tc>
      </w:tr>
      <w:tr w:rsidR="00BC3931" w:rsidRPr="00606332" w14:paraId="2E59700B" w14:textId="77777777" w:rsidTr="008950BC">
        <w:tc>
          <w:tcPr>
            <w:tcW w:w="2694" w:type="dxa"/>
            <w:shd w:val="clear" w:color="auto" w:fill="auto"/>
          </w:tcPr>
          <w:p w14:paraId="6B549A6E" w14:textId="77777777" w:rsidR="00BC3931" w:rsidRPr="00811D3F" w:rsidRDefault="00BC3931" w:rsidP="008950BC">
            <w:pPr>
              <w:pStyle w:val="TableColumnHeadingLeft"/>
            </w:pPr>
            <w:r w:rsidRPr="00811D3F">
              <w:t>Over 500 to 600</w:t>
            </w:r>
          </w:p>
        </w:tc>
        <w:tc>
          <w:tcPr>
            <w:tcW w:w="1610" w:type="dxa"/>
            <w:shd w:val="clear" w:color="auto" w:fill="auto"/>
          </w:tcPr>
          <w:p w14:paraId="27B557FC" w14:textId="77777777" w:rsidR="00BC3931" w:rsidRPr="00A02080" w:rsidRDefault="00BC3931" w:rsidP="008950BC">
            <w:pPr>
              <w:pStyle w:val="TableTextCentered"/>
            </w:pPr>
            <w:r w:rsidRPr="00A02080">
              <w:t>50</w:t>
            </w:r>
          </w:p>
        </w:tc>
        <w:tc>
          <w:tcPr>
            <w:tcW w:w="1610" w:type="dxa"/>
            <w:shd w:val="clear" w:color="auto" w:fill="auto"/>
          </w:tcPr>
          <w:p w14:paraId="72FD3948" w14:textId="77777777" w:rsidR="00BC3931" w:rsidRPr="00A02080" w:rsidRDefault="00BC3931" w:rsidP="008950BC">
            <w:pPr>
              <w:pStyle w:val="TableTextCentered"/>
            </w:pPr>
            <w:r w:rsidRPr="00A02080">
              <w:t>50</w:t>
            </w:r>
          </w:p>
        </w:tc>
        <w:tc>
          <w:tcPr>
            <w:tcW w:w="1610" w:type="dxa"/>
            <w:shd w:val="clear" w:color="auto" w:fill="auto"/>
          </w:tcPr>
          <w:p w14:paraId="778B7E15" w14:textId="77777777" w:rsidR="00BC3931" w:rsidRPr="00A02080" w:rsidRDefault="00BC3931" w:rsidP="008950BC">
            <w:pPr>
              <w:pStyle w:val="TableTextCentered"/>
            </w:pPr>
            <w:r w:rsidRPr="00A02080">
              <w:t>10</w:t>
            </w:r>
          </w:p>
        </w:tc>
        <w:tc>
          <w:tcPr>
            <w:tcW w:w="1548" w:type="dxa"/>
            <w:shd w:val="clear" w:color="auto" w:fill="auto"/>
          </w:tcPr>
          <w:p w14:paraId="3D70E04B" w14:textId="77777777" w:rsidR="00BC3931" w:rsidRPr="00A02080" w:rsidRDefault="00BC3931" w:rsidP="008950BC">
            <w:pPr>
              <w:pStyle w:val="TableTextCentered"/>
            </w:pPr>
            <w:r w:rsidRPr="00A02080">
              <w:t>10</w:t>
            </w:r>
          </w:p>
        </w:tc>
      </w:tr>
      <w:tr w:rsidR="00BC3931" w:rsidRPr="00606332" w14:paraId="1820FAE1" w14:textId="77777777" w:rsidTr="008950BC">
        <w:tc>
          <w:tcPr>
            <w:tcW w:w="2694" w:type="dxa"/>
            <w:shd w:val="clear" w:color="auto" w:fill="auto"/>
          </w:tcPr>
          <w:p w14:paraId="382C24D2" w14:textId="77777777" w:rsidR="00BC3931" w:rsidRPr="00811D3F" w:rsidRDefault="00BC3931" w:rsidP="008950BC">
            <w:pPr>
              <w:pStyle w:val="TableColumnHeadingLeft"/>
            </w:pPr>
            <w:r w:rsidRPr="00811D3F">
              <w:t>Over 600 to 700</w:t>
            </w:r>
          </w:p>
        </w:tc>
        <w:tc>
          <w:tcPr>
            <w:tcW w:w="1610" w:type="dxa"/>
            <w:shd w:val="clear" w:color="auto" w:fill="auto"/>
          </w:tcPr>
          <w:p w14:paraId="108D696E" w14:textId="77777777" w:rsidR="00BC3931" w:rsidRPr="00A02080" w:rsidRDefault="00BC3931" w:rsidP="008950BC">
            <w:pPr>
              <w:pStyle w:val="TableTextCentered"/>
            </w:pPr>
            <w:r w:rsidRPr="00A02080">
              <w:t>55</w:t>
            </w:r>
          </w:p>
        </w:tc>
        <w:tc>
          <w:tcPr>
            <w:tcW w:w="1610" w:type="dxa"/>
            <w:shd w:val="clear" w:color="auto" w:fill="auto"/>
          </w:tcPr>
          <w:p w14:paraId="1C124BF9" w14:textId="77777777" w:rsidR="00BC3931" w:rsidRPr="00A02080" w:rsidRDefault="00BC3931" w:rsidP="008950BC">
            <w:pPr>
              <w:pStyle w:val="TableTextCentered"/>
            </w:pPr>
            <w:r w:rsidRPr="00A02080">
              <w:t>55</w:t>
            </w:r>
          </w:p>
        </w:tc>
        <w:tc>
          <w:tcPr>
            <w:tcW w:w="1610" w:type="dxa"/>
            <w:shd w:val="clear" w:color="auto" w:fill="auto"/>
          </w:tcPr>
          <w:p w14:paraId="04F94CFA" w14:textId="77777777" w:rsidR="00BC3931" w:rsidRPr="00A02080" w:rsidRDefault="00BC3931" w:rsidP="008950BC">
            <w:pPr>
              <w:pStyle w:val="TableTextCentered"/>
            </w:pPr>
            <w:r w:rsidRPr="00A02080">
              <w:t>15</w:t>
            </w:r>
          </w:p>
        </w:tc>
        <w:tc>
          <w:tcPr>
            <w:tcW w:w="1548" w:type="dxa"/>
            <w:shd w:val="clear" w:color="auto" w:fill="auto"/>
          </w:tcPr>
          <w:p w14:paraId="6B0ACB2A" w14:textId="77777777" w:rsidR="00BC3931" w:rsidRPr="00A02080" w:rsidRDefault="00BC3931" w:rsidP="008950BC">
            <w:pPr>
              <w:pStyle w:val="TableTextCentered"/>
            </w:pPr>
            <w:r w:rsidRPr="00A02080">
              <w:t>15</w:t>
            </w:r>
          </w:p>
        </w:tc>
      </w:tr>
      <w:tr w:rsidR="00BC3931" w:rsidRPr="00606332" w14:paraId="1E65108D" w14:textId="77777777" w:rsidTr="008950BC">
        <w:tc>
          <w:tcPr>
            <w:tcW w:w="2694" w:type="dxa"/>
            <w:shd w:val="clear" w:color="auto" w:fill="auto"/>
          </w:tcPr>
          <w:p w14:paraId="44453D84" w14:textId="77777777" w:rsidR="00BC3931" w:rsidRPr="00811D3F" w:rsidRDefault="00BC3931" w:rsidP="008950BC">
            <w:pPr>
              <w:pStyle w:val="TableColumnHeadingLeft"/>
            </w:pPr>
            <w:r w:rsidRPr="00811D3F">
              <w:t xml:space="preserve">Over 700 to 800 </w:t>
            </w:r>
          </w:p>
        </w:tc>
        <w:tc>
          <w:tcPr>
            <w:tcW w:w="1610" w:type="dxa"/>
            <w:shd w:val="clear" w:color="auto" w:fill="auto"/>
          </w:tcPr>
          <w:p w14:paraId="2F55B823" w14:textId="77777777" w:rsidR="00BC3931" w:rsidRPr="00A02080" w:rsidRDefault="00BC3931" w:rsidP="008950BC">
            <w:pPr>
              <w:pStyle w:val="TableTextCentered"/>
            </w:pPr>
            <w:r w:rsidRPr="00A02080">
              <w:t>55</w:t>
            </w:r>
          </w:p>
        </w:tc>
        <w:tc>
          <w:tcPr>
            <w:tcW w:w="1610" w:type="dxa"/>
            <w:shd w:val="clear" w:color="auto" w:fill="auto"/>
          </w:tcPr>
          <w:p w14:paraId="0685DFA0" w14:textId="77777777" w:rsidR="00BC3931" w:rsidRPr="00A02080" w:rsidRDefault="00BC3931" w:rsidP="008950BC">
            <w:pPr>
              <w:pStyle w:val="TableTextCentered"/>
            </w:pPr>
            <w:r w:rsidRPr="00A02080">
              <w:t>55</w:t>
            </w:r>
          </w:p>
        </w:tc>
        <w:tc>
          <w:tcPr>
            <w:tcW w:w="1610" w:type="dxa"/>
            <w:shd w:val="clear" w:color="auto" w:fill="auto"/>
          </w:tcPr>
          <w:p w14:paraId="58E0A67C" w14:textId="77777777" w:rsidR="00BC3931" w:rsidRPr="00A02080" w:rsidRDefault="00BC3931" w:rsidP="008950BC">
            <w:pPr>
              <w:pStyle w:val="TableTextCentered"/>
            </w:pPr>
            <w:r w:rsidRPr="00A02080">
              <w:t>20</w:t>
            </w:r>
          </w:p>
        </w:tc>
        <w:tc>
          <w:tcPr>
            <w:tcW w:w="1548" w:type="dxa"/>
            <w:shd w:val="clear" w:color="auto" w:fill="auto"/>
          </w:tcPr>
          <w:p w14:paraId="3D5FC714" w14:textId="77777777" w:rsidR="00BC3931" w:rsidRPr="00A02080" w:rsidRDefault="00BC3931" w:rsidP="008950BC">
            <w:pPr>
              <w:pStyle w:val="TableTextCentered"/>
            </w:pPr>
            <w:r w:rsidRPr="00A02080">
              <w:t>20</w:t>
            </w:r>
          </w:p>
        </w:tc>
      </w:tr>
      <w:tr w:rsidR="00BC3931" w:rsidRPr="00606332" w14:paraId="1AE896A6" w14:textId="77777777" w:rsidTr="008950BC">
        <w:tc>
          <w:tcPr>
            <w:tcW w:w="2694" w:type="dxa"/>
            <w:shd w:val="clear" w:color="auto" w:fill="auto"/>
          </w:tcPr>
          <w:p w14:paraId="2638B33D" w14:textId="77777777" w:rsidR="00BC3931" w:rsidRPr="00811D3F" w:rsidRDefault="00BC3931" w:rsidP="008950BC">
            <w:pPr>
              <w:pStyle w:val="TableColumnHeadingLeft"/>
            </w:pPr>
            <w:r w:rsidRPr="00811D3F">
              <w:t>Over 800</w:t>
            </w:r>
          </w:p>
        </w:tc>
        <w:tc>
          <w:tcPr>
            <w:tcW w:w="1610" w:type="dxa"/>
            <w:shd w:val="clear" w:color="auto" w:fill="auto"/>
          </w:tcPr>
          <w:p w14:paraId="6840DF9C" w14:textId="77777777" w:rsidR="00BC3931" w:rsidRPr="00A02080" w:rsidRDefault="00BC3931" w:rsidP="008950BC">
            <w:pPr>
              <w:pStyle w:val="TableTextCentered"/>
            </w:pPr>
            <w:r w:rsidRPr="00A02080">
              <w:t>55</w:t>
            </w:r>
          </w:p>
        </w:tc>
        <w:tc>
          <w:tcPr>
            <w:tcW w:w="1610" w:type="dxa"/>
            <w:shd w:val="clear" w:color="auto" w:fill="auto"/>
          </w:tcPr>
          <w:p w14:paraId="1BCF4335" w14:textId="77777777" w:rsidR="00BC3931" w:rsidRPr="00A02080" w:rsidRDefault="00BC3931" w:rsidP="008950BC">
            <w:pPr>
              <w:pStyle w:val="TableTextCentered"/>
            </w:pPr>
            <w:r w:rsidRPr="00A02080">
              <w:t>55</w:t>
            </w:r>
          </w:p>
        </w:tc>
        <w:tc>
          <w:tcPr>
            <w:tcW w:w="1610" w:type="dxa"/>
            <w:shd w:val="clear" w:color="auto" w:fill="auto"/>
          </w:tcPr>
          <w:p w14:paraId="7952126E" w14:textId="77777777" w:rsidR="00BC3931" w:rsidRPr="00A02080" w:rsidRDefault="00BC3931" w:rsidP="008950BC">
            <w:pPr>
              <w:pStyle w:val="TableTextCentered"/>
            </w:pPr>
            <w:r w:rsidRPr="00A02080">
              <w:t>30</w:t>
            </w:r>
          </w:p>
        </w:tc>
        <w:tc>
          <w:tcPr>
            <w:tcW w:w="1548" w:type="dxa"/>
            <w:shd w:val="clear" w:color="auto" w:fill="auto"/>
          </w:tcPr>
          <w:p w14:paraId="5C99FF6B" w14:textId="77777777" w:rsidR="00BC3931" w:rsidRPr="00A02080" w:rsidRDefault="00BC3931" w:rsidP="008950BC">
            <w:pPr>
              <w:pStyle w:val="TableTextCentered"/>
            </w:pPr>
            <w:r w:rsidRPr="00A02080">
              <w:t>30</w:t>
            </w:r>
          </w:p>
        </w:tc>
      </w:tr>
    </w:tbl>
    <w:p w14:paraId="67E80B8F" w14:textId="26191707" w:rsidR="00BC3931" w:rsidRDefault="00BC3931" w:rsidP="008950BC">
      <w:pPr>
        <w:pStyle w:val="ChartorTableNote"/>
      </w:pPr>
      <w:r w:rsidRPr="00606332">
        <w:t xml:space="preserve">*Exceeding the </w:t>
      </w:r>
      <w:r w:rsidR="00AB0E85">
        <w:t>4763.3 megalitres</w:t>
      </w:r>
      <w:r w:rsidRPr="00606332">
        <w:t xml:space="preserve"> threshold.</w:t>
      </w:r>
    </w:p>
    <w:p w14:paraId="4F6A394F" w14:textId="77777777" w:rsidR="008950BC" w:rsidRPr="008950BC" w:rsidRDefault="008950BC" w:rsidP="008950BC">
      <w:pPr>
        <w:pStyle w:val="SingleParagraph"/>
      </w:pPr>
    </w:p>
    <w:p w14:paraId="192AC6DF" w14:textId="5088761B" w:rsidR="00715871" w:rsidRDefault="00715871" w:rsidP="00715871">
      <w:bookmarkStart w:id="7747" w:name="_Toc476577385"/>
      <w:bookmarkStart w:id="7748" w:name="_Toc476582374"/>
      <w:bookmarkStart w:id="7749" w:name="_Toc476583048"/>
      <w:bookmarkStart w:id="7750" w:name="_Toc476583765"/>
      <w:bookmarkStart w:id="7751" w:name="_Toc476584213"/>
      <w:bookmarkStart w:id="7752" w:name="_Toc476738121"/>
      <w:bookmarkStart w:id="7753" w:name="_Toc476747706"/>
      <w:bookmarkStart w:id="7754" w:name="_Toc476749116"/>
      <w:bookmarkStart w:id="7755" w:name="_Toc476753983"/>
      <w:bookmarkStart w:id="7756" w:name="_Toc476754478"/>
      <w:bookmarkStart w:id="7757" w:name="_Toc476754643"/>
      <w:bookmarkStart w:id="7758" w:name="_Toc476759882"/>
      <w:bookmarkStart w:id="7759" w:name="_Toc476761504"/>
      <w:bookmarkStart w:id="7760" w:name="_Toc476767142"/>
      <w:bookmarkStart w:id="7761" w:name="_Toc476827188"/>
      <w:bookmarkStart w:id="7762" w:name="_Toc476828881"/>
      <w:bookmarkStart w:id="7763" w:name="_Toc476833755"/>
      <w:bookmarkStart w:id="7764" w:name="_Toc476837228"/>
      <w:bookmarkStart w:id="7765" w:name="_Toc476841101"/>
      <w:bookmarkStart w:id="7766" w:name="_Toc476841306"/>
      <w:bookmarkStart w:id="7767" w:name="_Toc476842065"/>
      <w:bookmarkStart w:id="7768" w:name="_Toc476843009"/>
      <w:bookmarkStart w:id="7769" w:name="_Toc476843180"/>
      <w:r>
        <w:t>Where excise is payable, the amount of excise liability is calculated by applying the relevant crude oil excise rate to the VOLWARE price (volume weighted average of realised selling price).</w:t>
      </w:r>
    </w:p>
    <w:p w14:paraId="685AF4AE" w14:textId="05EC50E0" w:rsidR="00715871" w:rsidRDefault="00715871" w:rsidP="00715871">
      <w:r>
        <w:t xml:space="preserve">The ATO is responsible for determining the VOLWARE price, which is calculated </w:t>
      </w:r>
      <w:r w:rsidR="00D13BA2">
        <w:t>on the basis of a</w:t>
      </w:r>
      <w:r w:rsidR="00EA78EE">
        <w:t>n oil producing</w:t>
      </w:r>
      <w:r w:rsidR="00D13BA2">
        <w:t xml:space="preserve"> region. </w:t>
      </w:r>
      <w:r w:rsidR="00EA78EE">
        <w:t>Oil p</w:t>
      </w:r>
      <w:r w:rsidR="00D13BA2">
        <w:t>ro</w:t>
      </w:r>
      <w:r w:rsidR="00EA78EE">
        <w:t>ducing</w:t>
      </w:r>
      <w:r w:rsidR="00D13BA2">
        <w:t xml:space="preserve"> regions can consist of one or more prescribed production areas. </w:t>
      </w:r>
    </w:p>
    <w:p w14:paraId="78113370" w14:textId="056C5AD0" w:rsidR="00D13BA2" w:rsidRDefault="00D13BA2" w:rsidP="00D13BA2">
      <w:r>
        <w:t>While the final excise liability is on the basis of a financial year, monthly liabilities are calculated and represent the weighted average proportional liability based on sales volumes and revenue receipts from the start of the financial year to the month calculated. These are calculated by the ATO on an interim and final basis and involve data inputs from producers, including sale</w:t>
      </w:r>
      <w:r w:rsidR="002A3BB3">
        <w:t>s</w:t>
      </w:r>
      <w:r>
        <w:t xml:space="preserve"> volumes and average sale prices.</w:t>
      </w:r>
      <w:r w:rsidR="00715871">
        <w:rPr>
          <w:rStyle w:val="FootnoteReference"/>
        </w:rPr>
        <w:footnoteReference w:id="19"/>
      </w:r>
    </w:p>
    <w:p w14:paraId="7503F930" w14:textId="77777777" w:rsidR="008950BC" w:rsidRDefault="008950BC">
      <w:pPr>
        <w:spacing w:after="0" w:line="240" w:lineRule="auto"/>
        <w:jc w:val="left"/>
      </w:pPr>
      <w:r>
        <w:br w:type="page"/>
      </w:r>
    </w:p>
    <w:p w14:paraId="66FDE262" w14:textId="1736132D" w:rsidR="00D13BA2" w:rsidRDefault="00D13BA2" w:rsidP="00D13BA2">
      <w:r>
        <w:t xml:space="preserve">The calculation for the VOLWARE price for a month is outlined </w:t>
      </w:r>
      <w:r w:rsidR="00441F2A">
        <w:t>in</w:t>
      </w:r>
      <w:r>
        <w:t xml:space="preserve"> the ATO</w:t>
      </w:r>
      <w:r w:rsidR="005D6F39">
        <w:t>’</w:t>
      </w:r>
      <w:r w:rsidR="00715871">
        <w:t>s</w:t>
      </w:r>
      <w:r>
        <w:t xml:space="preserve"> submission:</w:t>
      </w:r>
    </w:p>
    <w:p w14:paraId="76DE49A0" w14:textId="65F035D2" w:rsidR="00D13BA2" w:rsidRDefault="00045325" w:rsidP="00D13BA2">
      <w:pPr>
        <w:autoSpaceDE w:val="0"/>
        <w:autoSpaceDN w:val="0"/>
        <w:adjustRightInd w:val="0"/>
        <w:spacing w:after="0" w:line="240" w:lineRule="auto"/>
        <w:rPr>
          <w:rFonts w:ascii="Arial" w:hAnsi="Arial" w:cs="Arial"/>
          <w:szCs w:val="22"/>
        </w:rPr>
      </w:pPr>
      <m:oMathPara>
        <m:oMath>
          <m:r>
            <w:rPr>
              <w:rFonts w:ascii="Cambria Math" w:hAnsi="Cambria Math" w:cs="Arial"/>
              <w:sz w:val="20"/>
            </w:rPr>
            <m:t>VOLWARE price for a month=</m:t>
          </m:r>
          <m:f>
            <m:fPr>
              <m:ctrlPr>
                <w:rPr>
                  <w:rFonts w:ascii="Cambria Math" w:hAnsi="Cambria Math" w:cs="Arial"/>
                  <w:i/>
                  <w:lang w:eastAsia="en-US"/>
                </w:rPr>
              </m:ctrlPr>
            </m:fPr>
            <m:num>
              <m:r>
                <w:rPr>
                  <w:rFonts w:ascii="Cambria Math" w:hAnsi="Cambria Math" w:cs="Arial"/>
                  <w:sz w:val="20"/>
                </w:rPr>
                <m:t xml:space="preserve">sum of transaction </m:t>
              </m:r>
              <m:sSup>
                <m:sSupPr>
                  <m:ctrlPr>
                    <w:rPr>
                      <w:rFonts w:ascii="Cambria Math" w:hAnsi="Cambria Math" w:cs="Arial"/>
                      <w:i/>
                      <w:lang w:eastAsia="en-US"/>
                    </w:rPr>
                  </m:ctrlPr>
                </m:sSupPr>
                <m:e>
                  <m:r>
                    <w:rPr>
                      <w:rFonts w:ascii="Cambria Math" w:hAnsi="Cambria Math" w:cs="Arial"/>
                      <w:sz w:val="20"/>
                    </w:rPr>
                    <m:t>prices</m:t>
                  </m:r>
                </m:e>
                <m:sup>
                  <m:r>
                    <w:rPr>
                      <w:rFonts w:ascii="Cambria Math" w:hAnsi="Cambria Math" w:cs="Arial"/>
                      <w:sz w:val="20"/>
                    </w:rPr>
                    <m:t>*</m:t>
                  </m:r>
                </m:sup>
              </m:sSup>
              <m:r>
                <w:rPr>
                  <w:rFonts w:ascii="Cambria Math" w:hAnsi="Cambria Math" w:cs="Arial"/>
                  <w:sz w:val="20"/>
                </w:rPr>
                <m:t xml:space="preserve"> of crude oil </m:t>
              </m:r>
              <m:r>
                <m:rPr>
                  <m:sty m:val="bi"/>
                </m:rPr>
                <w:rPr>
                  <w:rFonts w:ascii="Cambria Math" w:hAnsi="Cambria Math" w:cs="Arial"/>
                  <w:sz w:val="20"/>
                </w:rPr>
                <m:t>or</m:t>
              </m:r>
              <m:r>
                <w:rPr>
                  <w:rFonts w:ascii="Cambria Math" w:hAnsi="Cambria Math" w:cs="Arial"/>
                  <w:sz w:val="20"/>
                </w:rPr>
                <m:t xml:space="preserve"> condensate sales</m:t>
              </m:r>
            </m:num>
            <m:den>
              <m:sSup>
                <m:sSupPr>
                  <m:ctrlPr>
                    <w:rPr>
                      <w:rFonts w:ascii="Cambria Math" w:hAnsi="Cambria Math" w:cs="Arial"/>
                      <w:i/>
                      <w:lang w:eastAsia="en-US"/>
                    </w:rPr>
                  </m:ctrlPr>
                </m:sSupPr>
                <m:e>
                  <m:r>
                    <w:rPr>
                      <w:rFonts w:ascii="Cambria Math" w:hAnsi="Cambria Math" w:cs="Arial"/>
                      <w:sz w:val="20"/>
                    </w:rPr>
                    <m:t xml:space="preserve">Total quantity of crude oil </m:t>
                  </m:r>
                  <m:r>
                    <m:rPr>
                      <m:sty m:val="bi"/>
                    </m:rPr>
                    <w:rPr>
                      <w:rFonts w:ascii="Cambria Math" w:hAnsi="Cambria Math" w:cs="Arial"/>
                      <w:sz w:val="20"/>
                    </w:rPr>
                    <m:t>or</m:t>
                  </m:r>
                  <m:r>
                    <w:rPr>
                      <w:rFonts w:ascii="Cambria Math" w:hAnsi="Cambria Math" w:cs="Arial"/>
                      <w:sz w:val="20"/>
                    </w:rPr>
                    <m:t xml:space="preserve"> condensate</m:t>
                  </m:r>
                </m:e>
                <m:sup>
                  <m:r>
                    <w:rPr>
                      <w:rFonts w:ascii="Cambria Math" w:hAnsi="Cambria Math" w:cs="Arial"/>
                      <w:sz w:val="20"/>
                    </w:rPr>
                    <m:t>**</m:t>
                  </m:r>
                </m:sup>
              </m:sSup>
            </m:den>
          </m:f>
        </m:oMath>
      </m:oMathPara>
    </w:p>
    <w:p w14:paraId="48BB63AE" w14:textId="3F1C773B" w:rsidR="00D13BA2" w:rsidRPr="00811F24" w:rsidRDefault="00D13BA2" w:rsidP="00811F24">
      <w:pPr>
        <w:spacing w:before="240"/>
        <w:rPr>
          <w:rFonts w:asciiTheme="minorHAnsi" w:hAnsiTheme="minorHAnsi"/>
          <w:color w:val="auto"/>
          <w:sz w:val="20"/>
        </w:rPr>
      </w:pPr>
      <w:r w:rsidRPr="00811F24">
        <w:rPr>
          <w:color w:val="auto"/>
          <w:sz w:val="20"/>
        </w:rPr>
        <w:t>*There are certain rules governing the calculation of the transaction price</w:t>
      </w:r>
      <w:r w:rsidR="00715871" w:rsidRPr="00811F24">
        <w:rPr>
          <w:color w:val="auto"/>
          <w:sz w:val="20"/>
        </w:rPr>
        <w:t>.</w:t>
      </w:r>
    </w:p>
    <w:p w14:paraId="7F1FA11E" w14:textId="5BD2ED0C" w:rsidR="00A07F6A" w:rsidRPr="00811F24" w:rsidRDefault="00D13BA2" w:rsidP="00D13BA2">
      <w:pPr>
        <w:rPr>
          <w:color w:val="auto"/>
          <w:sz w:val="20"/>
        </w:rPr>
      </w:pPr>
      <w:r w:rsidRPr="00811F24">
        <w:rPr>
          <w:color w:val="auto"/>
          <w:sz w:val="20"/>
        </w:rPr>
        <w:t xml:space="preserve">** A VOLWARE price is calculated separately for excisable crude oil and for excisable condensate produced from </w:t>
      </w:r>
      <w:r w:rsidRPr="00811F24">
        <w:rPr>
          <w:b/>
          <w:color w:val="auto"/>
          <w:sz w:val="20"/>
        </w:rPr>
        <w:t>each</w:t>
      </w:r>
      <w:r w:rsidRPr="00811F24">
        <w:rPr>
          <w:color w:val="auto"/>
          <w:sz w:val="20"/>
        </w:rPr>
        <w:t xml:space="preserve"> producing region</w:t>
      </w:r>
      <w:bookmarkStart w:id="7770" w:name="_Toc476844678"/>
      <w:bookmarkStart w:id="7771" w:name="_Toc476845571"/>
      <w:bookmarkStart w:id="7772" w:name="_Toc476926964"/>
      <w:bookmarkStart w:id="7773" w:name="_Toc476927077"/>
      <w:bookmarkStart w:id="7774" w:name="_Toc476927251"/>
      <w:bookmarkStart w:id="7775" w:name="_Toc476928515"/>
      <w:bookmarkStart w:id="7776" w:name="_Toc476929558"/>
      <w:bookmarkStart w:id="7777" w:name="_Toc476929733"/>
      <w:bookmarkStart w:id="7778" w:name="_Toc476930776"/>
      <w:bookmarkStart w:id="7779" w:name="_Toc476931583"/>
      <w:r w:rsidR="002700E0" w:rsidRPr="00811F24">
        <w:rPr>
          <w:color w:val="auto"/>
          <w:sz w:val="20"/>
        </w:rPr>
        <w:t xml:space="preserve"> </w:t>
      </w:r>
      <w:r w:rsidR="00A07F6A" w:rsidRPr="00811F24">
        <w:rPr>
          <w:color w:val="auto"/>
          <w:sz w:val="20"/>
        </w:rPr>
        <w:t>(</w:t>
      </w:r>
      <w:r w:rsidR="00CC112D" w:rsidRPr="00811F24">
        <w:rPr>
          <w:color w:val="auto"/>
          <w:sz w:val="20"/>
        </w:rPr>
        <w:t>ATO</w:t>
      </w:r>
      <w:r w:rsidR="00A07F6A" w:rsidRPr="00811F24">
        <w:rPr>
          <w:color w:val="auto"/>
          <w:sz w:val="20"/>
        </w:rPr>
        <w:t xml:space="preserve"> Submission p. 26).</w:t>
      </w:r>
    </w:p>
    <w:p w14:paraId="54BDD8EE" w14:textId="1B4A6F8E" w:rsidR="00AA7794" w:rsidRDefault="008120BA" w:rsidP="00BC3931">
      <w:pPr>
        <w:pStyle w:val="Heading2"/>
      </w:pPr>
      <w:bookmarkStart w:id="7780" w:name="_Toc477869919"/>
      <w:bookmarkStart w:id="7781" w:name="_Toc477871158"/>
      <w:bookmarkStart w:id="7782" w:name="_Toc477873317"/>
      <w:bookmarkStart w:id="7783" w:name="_Toc477875311"/>
      <w:bookmarkStart w:id="7784" w:name="_Toc477880224"/>
      <w:bookmarkStart w:id="7785" w:name="_Toc477881484"/>
      <w:bookmarkStart w:id="7786" w:name="_Toc477955888"/>
      <w:bookmarkStart w:id="7787" w:name="_Toc477963133"/>
      <w:bookmarkStart w:id="7788" w:name="_Toc477963619"/>
      <w:bookmarkStart w:id="7789" w:name="_Toc477965205"/>
      <w:bookmarkStart w:id="7790" w:name="_Toc477966709"/>
      <w:bookmarkStart w:id="7791" w:name="_Toc477966878"/>
      <w:bookmarkStart w:id="7792" w:name="_Toc477967218"/>
      <w:bookmarkStart w:id="7793" w:name="_Toc478121355"/>
      <w:bookmarkStart w:id="7794" w:name="_Toc478122268"/>
      <w:bookmarkStart w:id="7795" w:name="_Toc478132242"/>
      <w:bookmarkStart w:id="7796" w:name="_Toc478133268"/>
      <w:bookmarkStart w:id="7797" w:name="_Toc478132405"/>
      <w:bookmarkStart w:id="7798" w:name="_Toc478134734"/>
      <w:bookmarkStart w:id="7799" w:name="_Toc478137436"/>
      <w:bookmarkStart w:id="7800" w:name="_Toc478138508"/>
      <w:bookmarkStart w:id="7801" w:name="_Toc478140078"/>
      <w:bookmarkStart w:id="7802" w:name="_Toc478140494"/>
      <w:bookmarkStart w:id="7803" w:name="_Toc478142700"/>
      <w:bookmarkStart w:id="7804" w:name="_Toc478566419"/>
      <w:bookmarkStart w:id="7805" w:name="_Toc478569586"/>
      <w:bookmarkStart w:id="7806" w:name="_Toc478569760"/>
      <w:bookmarkStart w:id="7807" w:name="_Toc478570834"/>
      <w:bookmarkStart w:id="7808" w:name="_Toc478633033"/>
      <w:bookmarkStart w:id="7809" w:name="_Toc478641443"/>
      <w:bookmarkStart w:id="7810" w:name="_Toc478654337"/>
      <w:bookmarkStart w:id="7811" w:name="_Toc478654511"/>
      <w:bookmarkStart w:id="7812" w:name="_Toc478657806"/>
      <w:bookmarkStart w:id="7813" w:name="_Toc478993227"/>
      <w:bookmarkStart w:id="7814" w:name="_Toc479000298"/>
      <w:bookmarkStart w:id="7815" w:name="_Toc479002232"/>
      <w:bookmarkStart w:id="7816" w:name="_Toc479002404"/>
      <w:bookmarkStart w:id="7817" w:name="_Toc479254379"/>
      <w:bookmarkStart w:id="7818" w:name="_Toc479258568"/>
      <w:bookmarkStart w:id="7819" w:name="_Toc479258884"/>
      <w:bookmarkStart w:id="7820" w:name="_Toc479259776"/>
      <w:bookmarkStart w:id="7821" w:name="_Toc479262199"/>
      <w:bookmarkStart w:id="7822" w:name="_Toc479262620"/>
      <w:bookmarkStart w:id="7823" w:name="_Toc479321321"/>
      <w:bookmarkStart w:id="7824" w:name="_Toc479326760"/>
      <w:bookmarkStart w:id="7825" w:name="_Toc479333359"/>
      <w:bookmarkStart w:id="7826" w:name="_Toc479335056"/>
      <w:bookmarkStart w:id="7827" w:name="_Toc479341771"/>
      <w:bookmarkStart w:id="7828" w:name="_Toc479345187"/>
      <w:bookmarkStart w:id="7829" w:name="_Toc479345396"/>
      <w:bookmarkStart w:id="7830" w:name="_Toc479348377"/>
      <w:bookmarkStart w:id="7831" w:name="_Toc479675971"/>
      <w:bookmarkStart w:id="7832" w:name="_Toc479690938"/>
      <w:bookmarkStart w:id="7833" w:name="_Toc479693516"/>
      <w:bookmarkStart w:id="7834" w:name="_Toc479770685"/>
      <w:r>
        <w:t>5</w:t>
      </w:r>
      <w:r w:rsidR="00C065B1">
        <w:t>.3</w:t>
      </w:r>
      <w:r w:rsidR="00C065B1">
        <w:tab/>
        <w:t>Historical Changes to Crude Oil</w:t>
      </w:r>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r w:rsidR="001502BD">
        <w:t xml:space="preserve"> Excise</w:t>
      </w:r>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p>
    <w:p w14:paraId="1237F76F" w14:textId="2539DE9E" w:rsidR="00AA7794" w:rsidRDefault="00AA7794" w:rsidP="00BC3931">
      <w:r>
        <w:t xml:space="preserve">Crude oil excise was introduced in 1975 to redistribute to the community some of the gains producers received from increased world </w:t>
      </w:r>
      <w:r w:rsidR="00A02080">
        <w:t xml:space="preserve">oil </w:t>
      </w:r>
      <w:r>
        <w:t xml:space="preserve">prices. </w:t>
      </w:r>
      <w:r w:rsidR="002A3BB3">
        <w:t>Initially, it was</w:t>
      </w:r>
      <w:r>
        <w:t xml:space="preserve"> a production based levy at the rate of $2 a barrel. From the time of its introduction, the </w:t>
      </w:r>
      <w:r w:rsidR="002A3BB3">
        <w:t>G</w:t>
      </w:r>
      <w:r>
        <w:t xml:space="preserve">overnment made frequent adjustments to the rate of the excise, as this was a time in which the </w:t>
      </w:r>
      <w:r w:rsidR="002A3BB3">
        <w:t>G</w:t>
      </w:r>
      <w:r>
        <w:t>overnment controlled oil prices received by producers</w:t>
      </w:r>
      <w:r w:rsidR="00A02080">
        <w:t>.</w:t>
      </w:r>
      <w:r w:rsidR="0030047B">
        <w:rPr>
          <w:rStyle w:val="FootnoteReference"/>
        </w:rPr>
        <w:footnoteReference w:id="20"/>
      </w:r>
      <w:r>
        <w:t xml:space="preserve"> Overall, the changes sought to balance the objectives of obtaining an appropriate return to the broader Australian community </w:t>
      </w:r>
      <w:r w:rsidR="002A3BB3">
        <w:t>while</w:t>
      </w:r>
      <w:r>
        <w:t xml:space="preserve"> providing the right incentives for exploration and production of oil. </w:t>
      </w:r>
    </w:p>
    <w:p w14:paraId="081C100E" w14:textId="4CF03A1D" w:rsidR="00AA7794" w:rsidRDefault="00AA7794" w:rsidP="00BC3931">
      <w:r>
        <w:t>In 1977, in the context of international oil prices exceeding domestic prices, together with a number of changes to the rate of the levy (and arrangements to transition to import parity pricing for all oil), condensate was exempted from the crude oil excise. The exemption for condensate was primarily aimed at encouraging development of the LNG i</w:t>
      </w:r>
      <w:r w:rsidR="00857126">
        <w:t>ndustry in the</w:t>
      </w:r>
      <w:r w:rsidR="008950BC">
        <w:t> </w:t>
      </w:r>
      <w:r w:rsidR="002F2C60">
        <w:t>NWS</w:t>
      </w:r>
      <w:r w:rsidR="00857126">
        <w:t>.</w:t>
      </w:r>
    </w:p>
    <w:p w14:paraId="37A09B70" w14:textId="2AF664BF" w:rsidR="00AA7794" w:rsidRDefault="00AA7794" w:rsidP="00BC3931">
      <w:r>
        <w:t xml:space="preserve">An </w:t>
      </w:r>
      <w:r w:rsidR="005D6F39">
        <w:t>‘</w:t>
      </w:r>
      <w:r>
        <w:t>intermediate</w:t>
      </w:r>
      <w:r w:rsidR="005D6F39">
        <w:t>’</w:t>
      </w:r>
      <w:r>
        <w:t xml:space="preserve"> category of oil was added in 1984 and the rate of excise applicable became dependent on both the discovery and development date of producing fields. Oil discovered before 18 September 1975 was </w:t>
      </w:r>
      <w:r w:rsidR="005D6F39">
        <w:t>‘</w:t>
      </w:r>
      <w:r>
        <w:t>old</w:t>
      </w:r>
      <w:r w:rsidR="005D6F39">
        <w:t>’</w:t>
      </w:r>
      <w:r w:rsidR="00A02080">
        <w:t>,</w:t>
      </w:r>
      <w:r>
        <w:t xml:space="preserve"> with </w:t>
      </w:r>
      <w:r w:rsidR="005D6F39">
        <w:t>‘</w:t>
      </w:r>
      <w:r>
        <w:t>new</w:t>
      </w:r>
      <w:r w:rsidR="005D6F39">
        <w:t>’</w:t>
      </w:r>
      <w:r>
        <w:t xml:space="preserve"> oil categorised as oil produced from naturally occurring discrete accumulations discovered on or after 18 September 1975. The </w:t>
      </w:r>
      <w:r w:rsidR="005D6F39">
        <w:t>‘</w:t>
      </w:r>
      <w:r>
        <w:t>intermediate</w:t>
      </w:r>
      <w:r w:rsidR="005D6F39">
        <w:t>’</w:t>
      </w:r>
      <w:r>
        <w:t xml:space="preserve"> category represented fields discovered before 18 September 1975</w:t>
      </w:r>
      <w:r w:rsidR="00A02080">
        <w:t>,</w:t>
      </w:r>
      <w:r>
        <w:t xml:space="preserve"> but not developed by 23 October 1984. This provided a concession on </w:t>
      </w:r>
      <w:r w:rsidR="005D6F39">
        <w:t>‘</w:t>
      </w:r>
      <w:r>
        <w:t>old</w:t>
      </w:r>
      <w:r w:rsidR="005D6F39">
        <w:t>’</w:t>
      </w:r>
      <w:r>
        <w:t xml:space="preserve"> oil excise (but not as great as that applying to </w:t>
      </w:r>
      <w:r w:rsidR="005D6F39">
        <w:t>‘</w:t>
      </w:r>
      <w:r>
        <w:t>new</w:t>
      </w:r>
      <w:r w:rsidR="005D6F39">
        <w:t>’</w:t>
      </w:r>
      <w:r>
        <w:t xml:space="preserve"> oil) to further encourage development of formally marginal </w:t>
      </w:r>
      <w:r w:rsidR="005D6F39">
        <w:t>‘</w:t>
      </w:r>
      <w:r>
        <w:t>old</w:t>
      </w:r>
      <w:r w:rsidR="005D6F39">
        <w:t>’</w:t>
      </w:r>
      <w:r>
        <w:t xml:space="preserve"> oil fields in the Bass Strait. </w:t>
      </w:r>
    </w:p>
    <w:p w14:paraId="2777F3ED" w14:textId="0033CCB5" w:rsidR="00AA7794" w:rsidRDefault="00AA7794" w:rsidP="00BC3931">
      <w:r>
        <w:t>In 1986 and 1987</w:t>
      </w:r>
      <w:r w:rsidR="00A02080">
        <w:t>,</w:t>
      </w:r>
      <w:r>
        <w:t xml:space="preserve"> in response to falling crude oil prices, changes were made to reduce excise rates. In 1987, again in response to low crude oil prices, the </w:t>
      </w:r>
      <w:r w:rsidR="00A02080">
        <w:t>g</w:t>
      </w:r>
      <w:r>
        <w:t>overnment introduced an exemption for the first 30 million barrels of crude oil produced from onshore fields and reaffirmed the exemption of condensate and offshore LPG production.</w:t>
      </w:r>
    </w:p>
    <w:p w14:paraId="3FD59594" w14:textId="4D684251" w:rsidR="00AA7794" w:rsidRDefault="00AA7794" w:rsidP="00BC3931">
      <w:r>
        <w:t>Crude oil price marketing was deregulated from 1 January 1988. Accompanying this change, the method for calculating crude oil excise changed from one based on import parity price (and production) to one based on the VOLWARE</w:t>
      </w:r>
      <w:r w:rsidR="002F2C60">
        <w:t xml:space="preserve"> price</w:t>
      </w:r>
      <w:r>
        <w:t>.</w:t>
      </w:r>
    </w:p>
    <w:p w14:paraId="7FD8175E" w14:textId="1F1AA6C9" w:rsidR="00AA7794" w:rsidRDefault="00AA7794" w:rsidP="00BC3931">
      <w:r>
        <w:t xml:space="preserve">The mid 1980s was also a time </w:t>
      </w:r>
      <w:r w:rsidR="00223600">
        <w:t>of</w:t>
      </w:r>
      <w:r>
        <w:t xml:space="preserve"> increased discussion and debate about replacing the production based crude oil excise and royalt</w:t>
      </w:r>
      <w:r w:rsidR="0030047B">
        <w:t>y arrangements</w:t>
      </w:r>
      <w:r>
        <w:t xml:space="preserve"> with a profit</w:t>
      </w:r>
      <w:r w:rsidR="005D6F39">
        <w:noBreakHyphen/>
      </w:r>
      <w:r>
        <w:t xml:space="preserve">based </w:t>
      </w:r>
      <w:r w:rsidR="002F2C60">
        <w:t xml:space="preserve">and more efficient </w:t>
      </w:r>
      <w:r>
        <w:t xml:space="preserve">resource rent tax. The PRRT was </w:t>
      </w:r>
      <w:r w:rsidR="00A55B6C">
        <w:t>enacted</w:t>
      </w:r>
      <w:r>
        <w:t xml:space="preserve"> in 1988 for </w:t>
      </w:r>
      <w:r w:rsidR="002F2C60">
        <w:t>greenfield</w:t>
      </w:r>
      <w:r w:rsidR="00F34B93">
        <w:t xml:space="preserve"> projects in </w:t>
      </w:r>
      <w:r>
        <w:t>offshore areas where the Commonwealth</w:t>
      </w:r>
      <w:r w:rsidR="005D6F39">
        <w:t>’</w:t>
      </w:r>
      <w:r>
        <w:t xml:space="preserve">s </w:t>
      </w:r>
      <w:r w:rsidRPr="007A1E7A">
        <w:rPr>
          <w:i/>
        </w:rPr>
        <w:t>Petroleum (Submerged Lands) Act 1967</w:t>
      </w:r>
      <w:r>
        <w:rPr>
          <w:i/>
        </w:rPr>
        <w:t xml:space="preserve"> </w:t>
      </w:r>
      <w:r>
        <w:t>applie</w:t>
      </w:r>
      <w:r w:rsidR="00A02080">
        <w:t>d</w:t>
      </w:r>
      <w:r w:rsidR="00223600">
        <w:t xml:space="preserve">, </w:t>
      </w:r>
      <w:r w:rsidR="00F34B93">
        <w:t>replac</w:t>
      </w:r>
      <w:r w:rsidR="00223600">
        <w:t>ing</w:t>
      </w:r>
      <w:r w:rsidR="00F34B93">
        <w:t xml:space="preserve"> the crude oil excise and royalty systems</w:t>
      </w:r>
      <w:r>
        <w:t xml:space="preserve">. </w:t>
      </w:r>
      <w:r w:rsidR="00223600">
        <w:t xml:space="preserve">After </w:t>
      </w:r>
      <w:r w:rsidR="00F34B93">
        <w:t>introduction of the PRRT, crude oil excise applied to</w:t>
      </w:r>
      <w:r>
        <w:t xml:space="preserve"> onshore production and the offshore areas of the Bass Strait and </w:t>
      </w:r>
      <w:r w:rsidR="001E7474">
        <w:t>NWS</w:t>
      </w:r>
      <w:r>
        <w:t xml:space="preserve"> project.</w:t>
      </w:r>
      <w:r w:rsidR="001C0C13">
        <w:rPr>
          <w:rStyle w:val="FootnoteReference"/>
        </w:rPr>
        <w:footnoteReference w:id="21"/>
      </w:r>
    </w:p>
    <w:p w14:paraId="2D3F3885" w14:textId="7F7CDB00" w:rsidR="00DF06D5" w:rsidRDefault="00AA7794" w:rsidP="00857126">
      <w:r>
        <w:t>Crude oil excise (and royalt</w:t>
      </w:r>
      <w:r w:rsidR="00F34B93">
        <w:t>y</w:t>
      </w:r>
      <w:r>
        <w:t>) coverage of the Bass Strait was removed from 1 July 1990 when the application of the PRRT was extended to the Bass Strait. Treasurer Keating</w:t>
      </w:r>
      <w:r w:rsidR="005D6F39">
        <w:t>’</w:t>
      </w:r>
      <w:r>
        <w:t>s second reading speech outlined that the extension of PRRT to the Bass Strait was made in part to promote the optimal recovery of petroleum reserves</w:t>
      </w:r>
      <w:r w:rsidR="007A79C6">
        <w:t xml:space="preserve"> and as some producers </w:t>
      </w:r>
      <w:r w:rsidR="002F2C60">
        <w:t xml:space="preserve">had </w:t>
      </w:r>
      <w:r w:rsidR="007A79C6">
        <w:t>made decisions to shut in oil production subject to the highest marginal rates</w:t>
      </w:r>
      <w:r>
        <w:t>.</w:t>
      </w:r>
      <w:r w:rsidR="00DF06D5">
        <w:rPr>
          <w:rStyle w:val="FootnoteReference"/>
        </w:rPr>
        <w:footnoteReference w:id="22"/>
      </w:r>
    </w:p>
    <w:p w14:paraId="0BE8BAB9" w14:textId="51CF1CDE" w:rsidR="00AA7794" w:rsidRDefault="00AA7794" w:rsidP="00BC3931">
      <w:r>
        <w:t xml:space="preserve">In 2001, crude oil excise rates for </w:t>
      </w:r>
      <w:r w:rsidR="005D6F39">
        <w:t>‘</w:t>
      </w:r>
      <w:r>
        <w:t>old</w:t>
      </w:r>
      <w:r w:rsidR="005D6F39">
        <w:t>’</w:t>
      </w:r>
      <w:r>
        <w:t xml:space="preserve"> and </w:t>
      </w:r>
      <w:r w:rsidR="005D6F39">
        <w:t>‘</w:t>
      </w:r>
      <w:r>
        <w:t>new</w:t>
      </w:r>
      <w:r w:rsidR="005D6F39">
        <w:t>’</w:t>
      </w:r>
      <w:r>
        <w:t xml:space="preserve"> oil were reduced, </w:t>
      </w:r>
      <w:r w:rsidR="00470490" w:rsidRPr="002700E0">
        <w:t xml:space="preserve">outlined in </w:t>
      </w:r>
      <w:r w:rsidR="00470490" w:rsidRPr="006D28D4">
        <w:t xml:space="preserve">Table </w:t>
      </w:r>
      <w:r w:rsidR="00E63B4E">
        <w:t>5.3</w:t>
      </w:r>
      <w:r w:rsidR="00470490">
        <w:t xml:space="preserve">, </w:t>
      </w:r>
      <w:r>
        <w:t>with these rates applying to the current day. Increased energy self</w:t>
      </w:r>
      <w:r w:rsidR="005D6F39">
        <w:noBreakHyphen/>
      </w:r>
      <w:r>
        <w:t xml:space="preserve">sufficiency was a motivating factor behind the decision to lower </w:t>
      </w:r>
      <w:r w:rsidR="00DF06D5">
        <w:t>excise to encourage production.</w:t>
      </w:r>
      <w:r w:rsidR="00DF06D5">
        <w:rPr>
          <w:rStyle w:val="FootnoteReference"/>
        </w:rPr>
        <w:footnoteReference w:id="23"/>
      </w:r>
    </w:p>
    <w:p w14:paraId="4BD00950" w14:textId="043E8CFB" w:rsidR="00DF06D5" w:rsidRPr="007A79C6" w:rsidRDefault="007A79C6" w:rsidP="00221C2A">
      <w:pPr>
        <w:pStyle w:val="TableMainHeading"/>
      </w:pPr>
      <w:r w:rsidRPr="00606332">
        <w:t xml:space="preserve">Table </w:t>
      </w:r>
      <w:r w:rsidR="00E63B4E" w:rsidRPr="006D28D4">
        <w:t>5.3</w:t>
      </w:r>
      <w:r w:rsidRPr="00606332">
        <w:t xml:space="preserve"> —</w:t>
      </w:r>
      <w:r>
        <w:t xml:space="preserve"> 2001 </w:t>
      </w:r>
      <w:r w:rsidR="00E778E5">
        <w:t>c</w:t>
      </w:r>
      <w:r>
        <w:t xml:space="preserve">hanges to the </w:t>
      </w:r>
      <w:r w:rsidR="00723BBB">
        <w:t>e</w:t>
      </w:r>
      <w:r>
        <w:t xml:space="preserve">xcise </w:t>
      </w:r>
      <w:r w:rsidR="00723BBB">
        <w:t>rates</w:t>
      </w:r>
      <w:r>
        <w:t xml:space="preserve"> of </w:t>
      </w:r>
      <w:r w:rsidR="006B129B">
        <w:t>o</w:t>
      </w:r>
      <w:r>
        <w:t xml:space="preserve">ld </w:t>
      </w:r>
      <w:r w:rsidR="006B129B">
        <w:t>oil</w:t>
      </w:r>
      <w:r>
        <w:t xml:space="preserve"> and </w:t>
      </w:r>
      <w:r w:rsidR="006B129B">
        <w:t>new o</w:t>
      </w:r>
      <w:r>
        <w:t>il</w:t>
      </w:r>
    </w:p>
    <w:tbl>
      <w:tblPr>
        <w:tblStyle w:val="TableGrid"/>
        <w:tblW w:w="0" w:type="auto"/>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98"/>
        <w:gridCol w:w="1798"/>
        <w:gridCol w:w="1798"/>
        <w:gridCol w:w="1799"/>
      </w:tblGrid>
      <w:tr w:rsidR="008339DA" w:rsidRPr="008339DA" w14:paraId="47F84CCA" w14:textId="77777777" w:rsidTr="006B129B">
        <w:trPr>
          <w:jc w:val="right"/>
        </w:trPr>
        <w:tc>
          <w:tcPr>
            <w:tcW w:w="1985" w:type="dxa"/>
            <w:shd w:val="clear" w:color="auto" w:fill="auto"/>
          </w:tcPr>
          <w:p w14:paraId="6EB7840D" w14:textId="27CAE96A" w:rsidR="008339DA" w:rsidRPr="006B129B" w:rsidRDefault="008339DA" w:rsidP="008950BC">
            <w:pPr>
              <w:pStyle w:val="TableColumnHeadingLeft"/>
              <w:jc w:val="left"/>
            </w:pPr>
            <w:r w:rsidRPr="006B129B">
              <w:t>Production (Megalitres)</w:t>
            </w:r>
          </w:p>
        </w:tc>
        <w:tc>
          <w:tcPr>
            <w:tcW w:w="1798" w:type="dxa"/>
            <w:shd w:val="clear" w:color="auto" w:fill="auto"/>
          </w:tcPr>
          <w:p w14:paraId="1151EB46" w14:textId="4C650F30" w:rsidR="008339DA" w:rsidRPr="006B129B" w:rsidRDefault="008339DA" w:rsidP="008950BC">
            <w:pPr>
              <w:pStyle w:val="TableColumnHeadingLeft"/>
              <w:jc w:val="left"/>
            </w:pPr>
            <w:r w:rsidRPr="006B129B">
              <w:t>Old Oil</w:t>
            </w:r>
            <w:r w:rsidRPr="006B129B">
              <w:br/>
              <w:t>(Current)</w:t>
            </w:r>
          </w:p>
        </w:tc>
        <w:tc>
          <w:tcPr>
            <w:tcW w:w="1798" w:type="dxa"/>
            <w:shd w:val="clear" w:color="auto" w:fill="auto"/>
          </w:tcPr>
          <w:p w14:paraId="0EBB9C59" w14:textId="2977F898" w:rsidR="008339DA" w:rsidRPr="006B129B" w:rsidRDefault="008339DA" w:rsidP="008950BC">
            <w:pPr>
              <w:pStyle w:val="TableColumnHeadingLeft"/>
              <w:jc w:val="left"/>
            </w:pPr>
            <w:r w:rsidRPr="006B129B">
              <w:t>Old Oil</w:t>
            </w:r>
            <w:r w:rsidRPr="006B129B">
              <w:br/>
              <w:t>(Before 2001 Changes)</w:t>
            </w:r>
          </w:p>
        </w:tc>
        <w:tc>
          <w:tcPr>
            <w:tcW w:w="1798" w:type="dxa"/>
            <w:shd w:val="clear" w:color="auto" w:fill="auto"/>
          </w:tcPr>
          <w:p w14:paraId="4E69B37C" w14:textId="094588C9" w:rsidR="008339DA" w:rsidRPr="006B129B" w:rsidRDefault="008339DA" w:rsidP="008950BC">
            <w:pPr>
              <w:pStyle w:val="TableColumnHeadingLeft"/>
              <w:jc w:val="left"/>
            </w:pPr>
            <w:r w:rsidRPr="006B129B">
              <w:t>New Oil</w:t>
            </w:r>
            <w:r w:rsidRPr="006B129B">
              <w:br/>
              <w:t>(Current)</w:t>
            </w:r>
          </w:p>
        </w:tc>
        <w:tc>
          <w:tcPr>
            <w:tcW w:w="1799" w:type="dxa"/>
            <w:shd w:val="clear" w:color="auto" w:fill="auto"/>
          </w:tcPr>
          <w:p w14:paraId="48177BE1" w14:textId="3BE3592F" w:rsidR="008339DA" w:rsidRPr="006B129B" w:rsidRDefault="008339DA" w:rsidP="008950BC">
            <w:pPr>
              <w:pStyle w:val="TableColumnHeadingLeft"/>
              <w:jc w:val="left"/>
            </w:pPr>
            <w:r w:rsidRPr="006B129B">
              <w:t>New Oil</w:t>
            </w:r>
            <w:r w:rsidRPr="006B129B">
              <w:br/>
              <w:t>(Before 2001 Changes)</w:t>
            </w:r>
          </w:p>
        </w:tc>
      </w:tr>
      <w:tr w:rsidR="008339DA" w:rsidRPr="008339DA" w14:paraId="42A3EFE0" w14:textId="77777777" w:rsidTr="006B129B">
        <w:trPr>
          <w:jc w:val="right"/>
        </w:trPr>
        <w:tc>
          <w:tcPr>
            <w:tcW w:w="1985" w:type="dxa"/>
            <w:shd w:val="clear" w:color="auto" w:fill="auto"/>
          </w:tcPr>
          <w:p w14:paraId="1BA6CA5C" w14:textId="6ABD9BDF" w:rsidR="008339DA" w:rsidRPr="006B129B" w:rsidRDefault="008339DA" w:rsidP="008950BC">
            <w:pPr>
              <w:pStyle w:val="TableColumnHeadingLeft"/>
            </w:pPr>
            <w:r w:rsidRPr="006B129B">
              <w:t>0 to 50</w:t>
            </w:r>
          </w:p>
        </w:tc>
        <w:tc>
          <w:tcPr>
            <w:tcW w:w="1798" w:type="dxa"/>
            <w:shd w:val="clear" w:color="auto" w:fill="auto"/>
          </w:tcPr>
          <w:p w14:paraId="68ADF141" w14:textId="6FAE552D" w:rsidR="008339DA" w:rsidRPr="008339DA" w:rsidRDefault="008339DA" w:rsidP="008950BC">
            <w:pPr>
              <w:pStyle w:val="TableTextRight"/>
            </w:pPr>
            <w:r w:rsidRPr="008339DA">
              <w:t>0</w:t>
            </w:r>
          </w:p>
        </w:tc>
        <w:tc>
          <w:tcPr>
            <w:tcW w:w="1798" w:type="dxa"/>
            <w:shd w:val="clear" w:color="auto" w:fill="auto"/>
          </w:tcPr>
          <w:p w14:paraId="740D2F8A" w14:textId="78DE8663" w:rsidR="008339DA" w:rsidRPr="00E63B4E" w:rsidRDefault="008339DA" w:rsidP="008950BC">
            <w:pPr>
              <w:pStyle w:val="TableTextRight"/>
              <w:rPr>
                <w:color w:val="1F497D" w:themeColor="text2"/>
              </w:rPr>
            </w:pPr>
            <w:r w:rsidRPr="00E63B4E">
              <w:rPr>
                <w:color w:val="1F497D" w:themeColor="text2"/>
              </w:rPr>
              <w:t>0</w:t>
            </w:r>
          </w:p>
        </w:tc>
        <w:tc>
          <w:tcPr>
            <w:tcW w:w="1798" w:type="dxa"/>
            <w:shd w:val="clear" w:color="auto" w:fill="auto"/>
          </w:tcPr>
          <w:p w14:paraId="38E5B4AC" w14:textId="2BB86FF8" w:rsidR="008339DA" w:rsidRPr="008339DA" w:rsidRDefault="008339DA" w:rsidP="008950BC">
            <w:pPr>
              <w:pStyle w:val="TableTextRight"/>
            </w:pPr>
            <w:r w:rsidRPr="008339DA">
              <w:t>0</w:t>
            </w:r>
          </w:p>
        </w:tc>
        <w:tc>
          <w:tcPr>
            <w:tcW w:w="1799" w:type="dxa"/>
            <w:shd w:val="clear" w:color="auto" w:fill="auto"/>
          </w:tcPr>
          <w:p w14:paraId="5F5107C5" w14:textId="06F1107F" w:rsidR="008339DA" w:rsidRPr="00E63B4E" w:rsidRDefault="008339DA" w:rsidP="008950BC">
            <w:pPr>
              <w:pStyle w:val="TableTextRight"/>
              <w:rPr>
                <w:color w:val="1F497D" w:themeColor="text2"/>
              </w:rPr>
            </w:pPr>
            <w:r w:rsidRPr="00E63B4E">
              <w:rPr>
                <w:color w:val="1F497D" w:themeColor="text2"/>
              </w:rPr>
              <w:t>0</w:t>
            </w:r>
          </w:p>
        </w:tc>
      </w:tr>
      <w:tr w:rsidR="008339DA" w:rsidRPr="008339DA" w14:paraId="1D3C37AE" w14:textId="77777777" w:rsidTr="006B129B">
        <w:trPr>
          <w:jc w:val="right"/>
        </w:trPr>
        <w:tc>
          <w:tcPr>
            <w:tcW w:w="1985" w:type="dxa"/>
            <w:shd w:val="clear" w:color="auto" w:fill="auto"/>
          </w:tcPr>
          <w:p w14:paraId="26364004" w14:textId="07119B33" w:rsidR="008339DA" w:rsidRPr="006B129B" w:rsidRDefault="008339DA" w:rsidP="008950BC">
            <w:pPr>
              <w:pStyle w:val="TableColumnHeadingLeft"/>
            </w:pPr>
            <w:r w:rsidRPr="006B129B">
              <w:t>Over 50 to 100</w:t>
            </w:r>
          </w:p>
        </w:tc>
        <w:tc>
          <w:tcPr>
            <w:tcW w:w="1798" w:type="dxa"/>
            <w:shd w:val="clear" w:color="auto" w:fill="auto"/>
          </w:tcPr>
          <w:p w14:paraId="0A42928D" w14:textId="0E069B82" w:rsidR="008339DA" w:rsidRPr="008339DA" w:rsidRDefault="008339DA" w:rsidP="008950BC">
            <w:pPr>
              <w:pStyle w:val="TableTextRight"/>
            </w:pPr>
            <w:r w:rsidRPr="008339DA">
              <w:t>0</w:t>
            </w:r>
          </w:p>
        </w:tc>
        <w:tc>
          <w:tcPr>
            <w:tcW w:w="1798" w:type="dxa"/>
            <w:shd w:val="clear" w:color="auto" w:fill="auto"/>
          </w:tcPr>
          <w:p w14:paraId="36FCEE6F" w14:textId="0BD66C1E" w:rsidR="008339DA" w:rsidRPr="00E63B4E" w:rsidRDefault="008339DA" w:rsidP="008950BC">
            <w:pPr>
              <w:pStyle w:val="TableTextRight"/>
              <w:rPr>
                <w:color w:val="1F497D" w:themeColor="text2"/>
              </w:rPr>
            </w:pPr>
            <w:r w:rsidRPr="00E63B4E">
              <w:rPr>
                <w:color w:val="1F497D" w:themeColor="text2"/>
              </w:rPr>
              <w:t>5</w:t>
            </w:r>
          </w:p>
        </w:tc>
        <w:tc>
          <w:tcPr>
            <w:tcW w:w="1798" w:type="dxa"/>
            <w:shd w:val="clear" w:color="auto" w:fill="auto"/>
          </w:tcPr>
          <w:p w14:paraId="2053EF8B" w14:textId="5DAC5548" w:rsidR="008339DA" w:rsidRPr="008339DA" w:rsidRDefault="008339DA" w:rsidP="008950BC">
            <w:pPr>
              <w:pStyle w:val="TableTextRight"/>
            </w:pPr>
            <w:r w:rsidRPr="008339DA">
              <w:t>0</w:t>
            </w:r>
          </w:p>
        </w:tc>
        <w:tc>
          <w:tcPr>
            <w:tcW w:w="1799" w:type="dxa"/>
            <w:shd w:val="clear" w:color="auto" w:fill="auto"/>
          </w:tcPr>
          <w:p w14:paraId="4F196B75" w14:textId="691298DF" w:rsidR="008339DA" w:rsidRPr="00E63B4E" w:rsidRDefault="008339DA" w:rsidP="008950BC">
            <w:pPr>
              <w:pStyle w:val="TableTextRight"/>
              <w:rPr>
                <w:color w:val="1F497D" w:themeColor="text2"/>
              </w:rPr>
            </w:pPr>
            <w:r w:rsidRPr="00E63B4E">
              <w:rPr>
                <w:color w:val="1F497D" w:themeColor="text2"/>
              </w:rPr>
              <w:t>0</w:t>
            </w:r>
          </w:p>
        </w:tc>
      </w:tr>
      <w:tr w:rsidR="008339DA" w:rsidRPr="008339DA" w14:paraId="091015FE" w14:textId="77777777" w:rsidTr="006B129B">
        <w:trPr>
          <w:jc w:val="right"/>
        </w:trPr>
        <w:tc>
          <w:tcPr>
            <w:tcW w:w="1985" w:type="dxa"/>
            <w:shd w:val="clear" w:color="auto" w:fill="auto"/>
          </w:tcPr>
          <w:p w14:paraId="2A30CF53" w14:textId="497B9731" w:rsidR="008339DA" w:rsidRPr="006B129B" w:rsidRDefault="008339DA" w:rsidP="008950BC">
            <w:pPr>
              <w:pStyle w:val="TableColumnHeadingLeft"/>
            </w:pPr>
            <w:r w:rsidRPr="006B129B">
              <w:t>Over 100 to 200</w:t>
            </w:r>
          </w:p>
        </w:tc>
        <w:tc>
          <w:tcPr>
            <w:tcW w:w="1798" w:type="dxa"/>
            <w:shd w:val="clear" w:color="auto" w:fill="auto"/>
          </w:tcPr>
          <w:p w14:paraId="2D8E7713" w14:textId="2E887CF4" w:rsidR="008339DA" w:rsidRPr="008339DA" w:rsidRDefault="008339DA" w:rsidP="008950BC">
            <w:pPr>
              <w:pStyle w:val="TableTextRight"/>
            </w:pPr>
            <w:r w:rsidRPr="008339DA">
              <w:t>0</w:t>
            </w:r>
          </w:p>
        </w:tc>
        <w:tc>
          <w:tcPr>
            <w:tcW w:w="1798" w:type="dxa"/>
            <w:shd w:val="clear" w:color="auto" w:fill="auto"/>
          </w:tcPr>
          <w:p w14:paraId="4D7AD829" w14:textId="3BFE80CF" w:rsidR="008339DA" w:rsidRPr="00E63B4E" w:rsidRDefault="008339DA" w:rsidP="008950BC">
            <w:pPr>
              <w:pStyle w:val="TableTextRight"/>
              <w:rPr>
                <w:color w:val="1F497D" w:themeColor="text2"/>
              </w:rPr>
            </w:pPr>
            <w:r w:rsidRPr="00E63B4E">
              <w:rPr>
                <w:color w:val="1F497D" w:themeColor="text2"/>
              </w:rPr>
              <w:t>15</w:t>
            </w:r>
          </w:p>
        </w:tc>
        <w:tc>
          <w:tcPr>
            <w:tcW w:w="1798" w:type="dxa"/>
            <w:shd w:val="clear" w:color="auto" w:fill="auto"/>
          </w:tcPr>
          <w:p w14:paraId="7CC388F0" w14:textId="3750A358" w:rsidR="008339DA" w:rsidRPr="008339DA" w:rsidRDefault="008339DA" w:rsidP="008950BC">
            <w:pPr>
              <w:pStyle w:val="TableTextRight"/>
            </w:pPr>
            <w:r w:rsidRPr="008339DA">
              <w:t>0</w:t>
            </w:r>
          </w:p>
        </w:tc>
        <w:tc>
          <w:tcPr>
            <w:tcW w:w="1799" w:type="dxa"/>
            <w:shd w:val="clear" w:color="auto" w:fill="auto"/>
          </w:tcPr>
          <w:p w14:paraId="74695C8A" w14:textId="097FA0D2" w:rsidR="008339DA" w:rsidRPr="00E63B4E" w:rsidRDefault="008339DA" w:rsidP="008950BC">
            <w:pPr>
              <w:pStyle w:val="TableTextRight"/>
              <w:rPr>
                <w:color w:val="1F497D" w:themeColor="text2"/>
              </w:rPr>
            </w:pPr>
            <w:r w:rsidRPr="00E63B4E">
              <w:rPr>
                <w:color w:val="1F497D" w:themeColor="text2"/>
              </w:rPr>
              <w:t>0</w:t>
            </w:r>
          </w:p>
        </w:tc>
      </w:tr>
      <w:tr w:rsidR="008339DA" w:rsidRPr="008339DA" w14:paraId="402C3498" w14:textId="77777777" w:rsidTr="006B129B">
        <w:trPr>
          <w:jc w:val="right"/>
        </w:trPr>
        <w:tc>
          <w:tcPr>
            <w:tcW w:w="1985" w:type="dxa"/>
            <w:shd w:val="clear" w:color="auto" w:fill="auto"/>
          </w:tcPr>
          <w:p w14:paraId="49286E7D" w14:textId="25641E53" w:rsidR="008339DA" w:rsidRPr="006B129B" w:rsidRDefault="008339DA" w:rsidP="008950BC">
            <w:pPr>
              <w:pStyle w:val="TableColumnHeadingLeft"/>
            </w:pPr>
            <w:r w:rsidRPr="006B129B">
              <w:t>Over 200 to 300</w:t>
            </w:r>
          </w:p>
        </w:tc>
        <w:tc>
          <w:tcPr>
            <w:tcW w:w="1798" w:type="dxa"/>
            <w:shd w:val="clear" w:color="auto" w:fill="auto"/>
          </w:tcPr>
          <w:p w14:paraId="2F239A9C" w14:textId="452E755B" w:rsidR="008339DA" w:rsidRPr="008339DA" w:rsidRDefault="008339DA" w:rsidP="008950BC">
            <w:pPr>
              <w:pStyle w:val="TableTextRight"/>
            </w:pPr>
            <w:r w:rsidRPr="008339DA">
              <w:t>20</w:t>
            </w:r>
          </w:p>
        </w:tc>
        <w:tc>
          <w:tcPr>
            <w:tcW w:w="1798" w:type="dxa"/>
            <w:shd w:val="clear" w:color="auto" w:fill="auto"/>
          </w:tcPr>
          <w:p w14:paraId="03EF2D6A" w14:textId="2DA04ABC" w:rsidR="008339DA" w:rsidRPr="00E63B4E" w:rsidRDefault="008339DA" w:rsidP="008950BC">
            <w:pPr>
              <w:pStyle w:val="TableTextRight"/>
              <w:rPr>
                <w:color w:val="1F497D" w:themeColor="text2"/>
              </w:rPr>
            </w:pPr>
            <w:r w:rsidRPr="00E63B4E">
              <w:rPr>
                <w:color w:val="1F497D" w:themeColor="text2"/>
              </w:rPr>
              <w:t>20</w:t>
            </w:r>
          </w:p>
        </w:tc>
        <w:tc>
          <w:tcPr>
            <w:tcW w:w="1798" w:type="dxa"/>
            <w:shd w:val="clear" w:color="auto" w:fill="auto"/>
          </w:tcPr>
          <w:p w14:paraId="09ADEDB7" w14:textId="2B9727EF" w:rsidR="008339DA" w:rsidRPr="008339DA" w:rsidRDefault="008339DA" w:rsidP="008950BC">
            <w:pPr>
              <w:pStyle w:val="TableTextRight"/>
            </w:pPr>
            <w:r w:rsidRPr="008339DA">
              <w:t>0</w:t>
            </w:r>
          </w:p>
        </w:tc>
        <w:tc>
          <w:tcPr>
            <w:tcW w:w="1799" w:type="dxa"/>
            <w:shd w:val="clear" w:color="auto" w:fill="auto"/>
          </w:tcPr>
          <w:p w14:paraId="70852D6A" w14:textId="00494ACC" w:rsidR="008339DA" w:rsidRPr="00E63B4E" w:rsidRDefault="008339DA" w:rsidP="008950BC">
            <w:pPr>
              <w:pStyle w:val="TableTextRight"/>
              <w:rPr>
                <w:color w:val="1F497D" w:themeColor="text2"/>
              </w:rPr>
            </w:pPr>
            <w:r w:rsidRPr="00E63B4E">
              <w:rPr>
                <w:color w:val="1F497D" w:themeColor="text2"/>
              </w:rPr>
              <w:t>0</w:t>
            </w:r>
          </w:p>
        </w:tc>
      </w:tr>
      <w:tr w:rsidR="008339DA" w:rsidRPr="008339DA" w14:paraId="41836E59" w14:textId="77777777" w:rsidTr="006B129B">
        <w:trPr>
          <w:jc w:val="right"/>
        </w:trPr>
        <w:tc>
          <w:tcPr>
            <w:tcW w:w="1985" w:type="dxa"/>
            <w:shd w:val="clear" w:color="auto" w:fill="auto"/>
          </w:tcPr>
          <w:p w14:paraId="7AEA7312" w14:textId="0CEC22BC" w:rsidR="008339DA" w:rsidRPr="006B129B" w:rsidRDefault="008339DA" w:rsidP="008950BC">
            <w:pPr>
              <w:pStyle w:val="TableColumnHeadingLeft"/>
            </w:pPr>
            <w:r w:rsidRPr="006B129B">
              <w:t>Over 300 to 400</w:t>
            </w:r>
          </w:p>
        </w:tc>
        <w:tc>
          <w:tcPr>
            <w:tcW w:w="1798" w:type="dxa"/>
            <w:shd w:val="clear" w:color="auto" w:fill="auto"/>
          </w:tcPr>
          <w:p w14:paraId="0F4D812A" w14:textId="2259004C" w:rsidR="008339DA" w:rsidRPr="008339DA" w:rsidRDefault="008339DA" w:rsidP="008950BC">
            <w:pPr>
              <w:pStyle w:val="TableTextRight"/>
            </w:pPr>
            <w:r w:rsidRPr="008339DA">
              <w:t>30</w:t>
            </w:r>
          </w:p>
        </w:tc>
        <w:tc>
          <w:tcPr>
            <w:tcW w:w="1798" w:type="dxa"/>
            <w:shd w:val="clear" w:color="auto" w:fill="auto"/>
          </w:tcPr>
          <w:p w14:paraId="2B60D2E5" w14:textId="795FD759" w:rsidR="008339DA" w:rsidRPr="00E63B4E" w:rsidRDefault="008339DA" w:rsidP="008950BC">
            <w:pPr>
              <w:pStyle w:val="TableTextRight"/>
              <w:rPr>
                <w:color w:val="1F497D" w:themeColor="text2"/>
              </w:rPr>
            </w:pPr>
            <w:r w:rsidRPr="00E63B4E">
              <w:rPr>
                <w:color w:val="1F497D" w:themeColor="text2"/>
              </w:rPr>
              <w:t>40</w:t>
            </w:r>
          </w:p>
        </w:tc>
        <w:tc>
          <w:tcPr>
            <w:tcW w:w="1798" w:type="dxa"/>
            <w:shd w:val="clear" w:color="auto" w:fill="auto"/>
          </w:tcPr>
          <w:p w14:paraId="3C875C3B" w14:textId="60E3C1CE" w:rsidR="008339DA" w:rsidRPr="008339DA" w:rsidRDefault="008339DA" w:rsidP="008950BC">
            <w:pPr>
              <w:pStyle w:val="TableTextRight"/>
            </w:pPr>
            <w:r w:rsidRPr="008339DA">
              <w:t>0</w:t>
            </w:r>
          </w:p>
        </w:tc>
        <w:tc>
          <w:tcPr>
            <w:tcW w:w="1799" w:type="dxa"/>
            <w:shd w:val="clear" w:color="auto" w:fill="auto"/>
          </w:tcPr>
          <w:p w14:paraId="2FEA1063" w14:textId="16C7118F" w:rsidR="008339DA" w:rsidRPr="00E63B4E" w:rsidRDefault="008339DA" w:rsidP="008950BC">
            <w:pPr>
              <w:pStyle w:val="TableTextRight"/>
              <w:rPr>
                <w:color w:val="1F497D" w:themeColor="text2"/>
              </w:rPr>
            </w:pPr>
            <w:r w:rsidRPr="00E63B4E">
              <w:rPr>
                <w:color w:val="1F497D" w:themeColor="text2"/>
              </w:rPr>
              <w:t>0</w:t>
            </w:r>
          </w:p>
        </w:tc>
      </w:tr>
      <w:tr w:rsidR="008339DA" w:rsidRPr="008339DA" w14:paraId="71A4FF5F" w14:textId="77777777" w:rsidTr="006B129B">
        <w:trPr>
          <w:jc w:val="right"/>
        </w:trPr>
        <w:tc>
          <w:tcPr>
            <w:tcW w:w="1985" w:type="dxa"/>
            <w:shd w:val="clear" w:color="auto" w:fill="auto"/>
          </w:tcPr>
          <w:p w14:paraId="6A2D11A3" w14:textId="59FD2BD6" w:rsidR="008339DA" w:rsidRPr="006B129B" w:rsidRDefault="008339DA" w:rsidP="008950BC">
            <w:pPr>
              <w:pStyle w:val="TableColumnHeadingLeft"/>
            </w:pPr>
            <w:r w:rsidRPr="006B129B">
              <w:t>Over 400 to 500</w:t>
            </w:r>
          </w:p>
        </w:tc>
        <w:tc>
          <w:tcPr>
            <w:tcW w:w="1798" w:type="dxa"/>
            <w:shd w:val="clear" w:color="auto" w:fill="auto"/>
          </w:tcPr>
          <w:p w14:paraId="5E0A9B17" w14:textId="4B6D2E16" w:rsidR="008339DA" w:rsidRPr="008339DA" w:rsidRDefault="008339DA" w:rsidP="008950BC">
            <w:pPr>
              <w:pStyle w:val="TableTextRight"/>
            </w:pPr>
            <w:r w:rsidRPr="008339DA">
              <w:t>40</w:t>
            </w:r>
          </w:p>
        </w:tc>
        <w:tc>
          <w:tcPr>
            <w:tcW w:w="1798" w:type="dxa"/>
            <w:shd w:val="clear" w:color="auto" w:fill="auto"/>
          </w:tcPr>
          <w:p w14:paraId="57ECAB61" w14:textId="6CD5755A" w:rsidR="008339DA" w:rsidRPr="00E63B4E" w:rsidRDefault="008339DA" w:rsidP="008950BC">
            <w:pPr>
              <w:pStyle w:val="TableTextRight"/>
              <w:rPr>
                <w:color w:val="1F497D" w:themeColor="text2"/>
              </w:rPr>
            </w:pPr>
            <w:r w:rsidRPr="00E63B4E">
              <w:rPr>
                <w:color w:val="1F497D" w:themeColor="text2"/>
              </w:rPr>
              <w:t>70</w:t>
            </w:r>
          </w:p>
        </w:tc>
        <w:tc>
          <w:tcPr>
            <w:tcW w:w="1798" w:type="dxa"/>
            <w:shd w:val="clear" w:color="auto" w:fill="auto"/>
          </w:tcPr>
          <w:p w14:paraId="2D7782E7" w14:textId="1C8EEEB4" w:rsidR="008339DA" w:rsidRPr="008339DA" w:rsidRDefault="008339DA" w:rsidP="008950BC">
            <w:pPr>
              <w:pStyle w:val="TableTextRight"/>
            </w:pPr>
            <w:r w:rsidRPr="008339DA">
              <w:t>0</w:t>
            </w:r>
          </w:p>
        </w:tc>
        <w:tc>
          <w:tcPr>
            <w:tcW w:w="1799" w:type="dxa"/>
            <w:shd w:val="clear" w:color="auto" w:fill="auto"/>
          </w:tcPr>
          <w:p w14:paraId="5CE5A983" w14:textId="6DF95D2F" w:rsidR="008339DA" w:rsidRPr="00E63B4E" w:rsidRDefault="008339DA" w:rsidP="008950BC">
            <w:pPr>
              <w:pStyle w:val="TableTextRight"/>
              <w:rPr>
                <w:color w:val="1F497D" w:themeColor="text2"/>
              </w:rPr>
            </w:pPr>
            <w:r w:rsidRPr="00E63B4E">
              <w:rPr>
                <w:color w:val="1F497D" w:themeColor="text2"/>
              </w:rPr>
              <w:t>0</w:t>
            </w:r>
          </w:p>
        </w:tc>
      </w:tr>
      <w:tr w:rsidR="008339DA" w:rsidRPr="008339DA" w14:paraId="13872A27" w14:textId="77777777" w:rsidTr="006B129B">
        <w:trPr>
          <w:jc w:val="right"/>
        </w:trPr>
        <w:tc>
          <w:tcPr>
            <w:tcW w:w="1985" w:type="dxa"/>
            <w:shd w:val="clear" w:color="auto" w:fill="auto"/>
          </w:tcPr>
          <w:p w14:paraId="61E5D838" w14:textId="60878AA8" w:rsidR="008339DA" w:rsidRPr="006B129B" w:rsidRDefault="008339DA" w:rsidP="008950BC">
            <w:pPr>
              <w:pStyle w:val="TableColumnHeadingLeft"/>
            </w:pPr>
            <w:r w:rsidRPr="006B129B">
              <w:t>Over 500 to 600</w:t>
            </w:r>
          </w:p>
        </w:tc>
        <w:tc>
          <w:tcPr>
            <w:tcW w:w="1798" w:type="dxa"/>
            <w:shd w:val="clear" w:color="auto" w:fill="auto"/>
          </w:tcPr>
          <w:p w14:paraId="49A4CE29" w14:textId="368DF0F6" w:rsidR="008339DA" w:rsidRPr="008339DA" w:rsidRDefault="008339DA" w:rsidP="008950BC">
            <w:pPr>
              <w:pStyle w:val="TableTextRight"/>
            </w:pPr>
            <w:r w:rsidRPr="008339DA">
              <w:t>50</w:t>
            </w:r>
          </w:p>
        </w:tc>
        <w:tc>
          <w:tcPr>
            <w:tcW w:w="1798" w:type="dxa"/>
            <w:shd w:val="clear" w:color="auto" w:fill="auto"/>
          </w:tcPr>
          <w:p w14:paraId="5285D15C" w14:textId="5403FFD8" w:rsidR="008339DA" w:rsidRPr="00E63B4E" w:rsidRDefault="008339DA" w:rsidP="008950BC">
            <w:pPr>
              <w:pStyle w:val="TableTextRight"/>
              <w:rPr>
                <w:color w:val="1F497D" w:themeColor="text2"/>
              </w:rPr>
            </w:pPr>
            <w:r w:rsidRPr="00E63B4E">
              <w:rPr>
                <w:color w:val="1F497D" w:themeColor="text2"/>
              </w:rPr>
              <w:t>75</w:t>
            </w:r>
          </w:p>
        </w:tc>
        <w:tc>
          <w:tcPr>
            <w:tcW w:w="1798" w:type="dxa"/>
            <w:shd w:val="clear" w:color="auto" w:fill="auto"/>
          </w:tcPr>
          <w:p w14:paraId="72BDA7C9" w14:textId="32683453" w:rsidR="008339DA" w:rsidRPr="008339DA" w:rsidRDefault="008339DA" w:rsidP="008950BC">
            <w:pPr>
              <w:pStyle w:val="TableTextRight"/>
            </w:pPr>
            <w:r w:rsidRPr="008339DA">
              <w:t>10</w:t>
            </w:r>
          </w:p>
        </w:tc>
        <w:tc>
          <w:tcPr>
            <w:tcW w:w="1799" w:type="dxa"/>
            <w:shd w:val="clear" w:color="auto" w:fill="auto"/>
          </w:tcPr>
          <w:p w14:paraId="70DAC367" w14:textId="1278D22A" w:rsidR="008339DA" w:rsidRPr="00E63B4E" w:rsidRDefault="008339DA" w:rsidP="008950BC">
            <w:pPr>
              <w:pStyle w:val="TableTextRight"/>
              <w:rPr>
                <w:color w:val="1F497D" w:themeColor="text2"/>
              </w:rPr>
            </w:pPr>
            <w:r w:rsidRPr="00E63B4E">
              <w:rPr>
                <w:color w:val="1F497D" w:themeColor="text2"/>
              </w:rPr>
              <w:t>10</w:t>
            </w:r>
          </w:p>
        </w:tc>
      </w:tr>
      <w:tr w:rsidR="008339DA" w:rsidRPr="008339DA" w14:paraId="6B38D820" w14:textId="77777777" w:rsidTr="006B129B">
        <w:trPr>
          <w:jc w:val="right"/>
        </w:trPr>
        <w:tc>
          <w:tcPr>
            <w:tcW w:w="1985" w:type="dxa"/>
            <w:shd w:val="clear" w:color="auto" w:fill="auto"/>
          </w:tcPr>
          <w:p w14:paraId="5E6CCAD7" w14:textId="7EC8294D" w:rsidR="008339DA" w:rsidRPr="006B129B" w:rsidRDefault="008339DA" w:rsidP="008950BC">
            <w:pPr>
              <w:pStyle w:val="TableColumnHeadingLeft"/>
            </w:pPr>
            <w:r w:rsidRPr="006B129B">
              <w:t>Over 600 to 700</w:t>
            </w:r>
          </w:p>
        </w:tc>
        <w:tc>
          <w:tcPr>
            <w:tcW w:w="1798" w:type="dxa"/>
            <w:shd w:val="clear" w:color="auto" w:fill="auto"/>
          </w:tcPr>
          <w:p w14:paraId="0EAE83C2" w14:textId="7E61E794" w:rsidR="008339DA" w:rsidRPr="008339DA" w:rsidRDefault="008339DA" w:rsidP="008950BC">
            <w:pPr>
              <w:pStyle w:val="TableTextRight"/>
            </w:pPr>
            <w:r w:rsidRPr="008339DA">
              <w:t>55</w:t>
            </w:r>
          </w:p>
        </w:tc>
        <w:tc>
          <w:tcPr>
            <w:tcW w:w="1798" w:type="dxa"/>
            <w:shd w:val="clear" w:color="auto" w:fill="auto"/>
          </w:tcPr>
          <w:p w14:paraId="5801614C" w14:textId="387AEEF1" w:rsidR="008339DA" w:rsidRPr="00E63B4E" w:rsidRDefault="008339DA" w:rsidP="008950BC">
            <w:pPr>
              <w:pStyle w:val="TableTextRight"/>
              <w:rPr>
                <w:color w:val="1F497D" w:themeColor="text2"/>
              </w:rPr>
            </w:pPr>
            <w:r w:rsidRPr="00E63B4E">
              <w:rPr>
                <w:color w:val="1F497D" w:themeColor="text2"/>
              </w:rPr>
              <w:t>75</w:t>
            </w:r>
          </w:p>
        </w:tc>
        <w:tc>
          <w:tcPr>
            <w:tcW w:w="1798" w:type="dxa"/>
            <w:shd w:val="clear" w:color="auto" w:fill="auto"/>
          </w:tcPr>
          <w:p w14:paraId="47FE86D0" w14:textId="62AC3230" w:rsidR="008339DA" w:rsidRPr="008339DA" w:rsidRDefault="008339DA" w:rsidP="008950BC">
            <w:pPr>
              <w:pStyle w:val="TableTextRight"/>
            </w:pPr>
            <w:r w:rsidRPr="008339DA">
              <w:t>15</w:t>
            </w:r>
          </w:p>
        </w:tc>
        <w:tc>
          <w:tcPr>
            <w:tcW w:w="1799" w:type="dxa"/>
            <w:shd w:val="clear" w:color="auto" w:fill="auto"/>
          </w:tcPr>
          <w:p w14:paraId="0A86AA1D" w14:textId="40234523" w:rsidR="008339DA" w:rsidRPr="00E63B4E" w:rsidRDefault="008339DA" w:rsidP="008950BC">
            <w:pPr>
              <w:pStyle w:val="TableTextRight"/>
              <w:rPr>
                <w:color w:val="1F497D" w:themeColor="text2"/>
              </w:rPr>
            </w:pPr>
            <w:r w:rsidRPr="00E63B4E">
              <w:rPr>
                <w:color w:val="1F497D" w:themeColor="text2"/>
              </w:rPr>
              <w:t>20</w:t>
            </w:r>
          </w:p>
        </w:tc>
      </w:tr>
      <w:tr w:rsidR="008339DA" w:rsidRPr="008339DA" w14:paraId="2863F030" w14:textId="77777777" w:rsidTr="006B129B">
        <w:trPr>
          <w:jc w:val="right"/>
        </w:trPr>
        <w:tc>
          <w:tcPr>
            <w:tcW w:w="1985" w:type="dxa"/>
            <w:shd w:val="clear" w:color="auto" w:fill="auto"/>
          </w:tcPr>
          <w:p w14:paraId="0DFA2B6C" w14:textId="1D02228D" w:rsidR="008339DA" w:rsidRPr="006B129B" w:rsidRDefault="008339DA" w:rsidP="008950BC">
            <w:pPr>
              <w:pStyle w:val="TableColumnHeadingLeft"/>
            </w:pPr>
            <w:r w:rsidRPr="006B129B">
              <w:t xml:space="preserve">Over 700 to 800 </w:t>
            </w:r>
          </w:p>
        </w:tc>
        <w:tc>
          <w:tcPr>
            <w:tcW w:w="1798" w:type="dxa"/>
            <w:shd w:val="clear" w:color="auto" w:fill="auto"/>
          </w:tcPr>
          <w:p w14:paraId="516077F8" w14:textId="0CFE0D48" w:rsidR="008339DA" w:rsidRPr="008339DA" w:rsidRDefault="008339DA" w:rsidP="008950BC">
            <w:pPr>
              <w:pStyle w:val="TableTextRight"/>
            </w:pPr>
            <w:r w:rsidRPr="008339DA">
              <w:t>55</w:t>
            </w:r>
          </w:p>
        </w:tc>
        <w:tc>
          <w:tcPr>
            <w:tcW w:w="1798" w:type="dxa"/>
            <w:shd w:val="clear" w:color="auto" w:fill="auto"/>
          </w:tcPr>
          <w:p w14:paraId="7CE74599" w14:textId="5F2D557C" w:rsidR="008339DA" w:rsidRPr="00E63B4E" w:rsidRDefault="008339DA" w:rsidP="008950BC">
            <w:pPr>
              <w:pStyle w:val="TableTextRight"/>
              <w:rPr>
                <w:color w:val="1F497D" w:themeColor="text2"/>
              </w:rPr>
            </w:pPr>
            <w:r w:rsidRPr="00E63B4E">
              <w:rPr>
                <w:color w:val="1F497D" w:themeColor="text2"/>
              </w:rPr>
              <w:t>75</w:t>
            </w:r>
          </w:p>
        </w:tc>
        <w:tc>
          <w:tcPr>
            <w:tcW w:w="1798" w:type="dxa"/>
            <w:shd w:val="clear" w:color="auto" w:fill="auto"/>
          </w:tcPr>
          <w:p w14:paraId="4F65FCFC" w14:textId="030E33B5" w:rsidR="008339DA" w:rsidRPr="008339DA" w:rsidRDefault="008339DA" w:rsidP="008950BC">
            <w:pPr>
              <w:pStyle w:val="TableTextRight"/>
            </w:pPr>
            <w:r w:rsidRPr="008339DA">
              <w:t>20</w:t>
            </w:r>
          </w:p>
        </w:tc>
        <w:tc>
          <w:tcPr>
            <w:tcW w:w="1799" w:type="dxa"/>
            <w:shd w:val="clear" w:color="auto" w:fill="auto"/>
          </w:tcPr>
          <w:p w14:paraId="16A739DF" w14:textId="24202C2E" w:rsidR="008339DA" w:rsidRPr="00E63B4E" w:rsidRDefault="008339DA" w:rsidP="008950BC">
            <w:pPr>
              <w:pStyle w:val="TableTextRight"/>
              <w:rPr>
                <w:color w:val="1F497D" w:themeColor="text2"/>
              </w:rPr>
            </w:pPr>
            <w:r w:rsidRPr="00E63B4E">
              <w:rPr>
                <w:color w:val="1F497D" w:themeColor="text2"/>
              </w:rPr>
              <w:t>30</w:t>
            </w:r>
          </w:p>
        </w:tc>
      </w:tr>
      <w:tr w:rsidR="008339DA" w:rsidRPr="008339DA" w14:paraId="1B9CCCB7" w14:textId="77777777" w:rsidTr="006B129B">
        <w:trPr>
          <w:jc w:val="right"/>
        </w:trPr>
        <w:tc>
          <w:tcPr>
            <w:tcW w:w="1985" w:type="dxa"/>
            <w:shd w:val="clear" w:color="auto" w:fill="auto"/>
          </w:tcPr>
          <w:p w14:paraId="0BA41F6A" w14:textId="69664312" w:rsidR="008339DA" w:rsidRPr="006B129B" w:rsidRDefault="008339DA" w:rsidP="008950BC">
            <w:pPr>
              <w:pStyle w:val="TableColumnHeadingLeft"/>
            </w:pPr>
            <w:r w:rsidRPr="006B129B">
              <w:t>Over 800</w:t>
            </w:r>
          </w:p>
        </w:tc>
        <w:tc>
          <w:tcPr>
            <w:tcW w:w="1798" w:type="dxa"/>
            <w:shd w:val="clear" w:color="auto" w:fill="auto"/>
          </w:tcPr>
          <w:p w14:paraId="3255E1FA" w14:textId="09504805" w:rsidR="008339DA" w:rsidRPr="008339DA" w:rsidRDefault="008339DA" w:rsidP="008950BC">
            <w:pPr>
              <w:pStyle w:val="TableTextRight"/>
            </w:pPr>
            <w:r w:rsidRPr="008339DA">
              <w:t>55</w:t>
            </w:r>
          </w:p>
        </w:tc>
        <w:tc>
          <w:tcPr>
            <w:tcW w:w="1798" w:type="dxa"/>
            <w:shd w:val="clear" w:color="auto" w:fill="auto"/>
          </w:tcPr>
          <w:p w14:paraId="23CAFDB4" w14:textId="69357041" w:rsidR="008339DA" w:rsidRPr="00E63B4E" w:rsidRDefault="008339DA" w:rsidP="008950BC">
            <w:pPr>
              <w:pStyle w:val="TableTextRight"/>
              <w:rPr>
                <w:color w:val="1F497D" w:themeColor="text2"/>
              </w:rPr>
            </w:pPr>
            <w:r w:rsidRPr="00E63B4E">
              <w:rPr>
                <w:color w:val="1F497D" w:themeColor="text2"/>
              </w:rPr>
              <w:t>75</w:t>
            </w:r>
          </w:p>
        </w:tc>
        <w:tc>
          <w:tcPr>
            <w:tcW w:w="1798" w:type="dxa"/>
            <w:shd w:val="clear" w:color="auto" w:fill="auto"/>
          </w:tcPr>
          <w:p w14:paraId="3D73999D" w14:textId="52E2592E" w:rsidR="008339DA" w:rsidRPr="008339DA" w:rsidRDefault="008339DA" w:rsidP="008950BC">
            <w:pPr>
              <w:pStyle w:val="TableTextRight"/>
            </w:pPr>
            <w:r w:rsidRPr="008339DA">
              <w:t>30</w:t>
            </w:r>
          </w:p>
        </w:tc>
        <w:tc>
          <w:tcPr>
            <w:tcW w:w="1799" w:type="dxa"/>
            <w:shd w:val="clear" w:color="auto" w:fill="auto"/>
          </w:tcPr>
          <w:p w14:paraId="16D8F0DB" w14:textId="014B99BC" w:rsidR="008339DA" w:rsidRPr="00E63B4E" w:rsidRDefault="008339DA" w:rsidP="008950BC">
            <w:pPr>
              <w:pStyle w:val="TableTextRight"/>
              <w:rPr>
                <w:color w:val="1F497D" w:themeColor="text2"/>
              </w:rPr>
            </w:pPr>
            <w:r w:rsidRPr="00E63B4E">
              <w:rPr>
                <w:color w:val="1F497D" w:themeColor="text2"/>
              </w:rPr>
              <w:t>35</w:t>
            </w:r>
          </w:p>
        </w:tc>
      </w:tr>
    </w:tbl>
    <w:p w14:paraId="1008627A" w14:textId="1D7D16B0" w:rsidR="008950BC" w:rsidRDefault="002C63F3" w:rsidP="002C63F3">
      <w:pPr>
        <w:pStyle w:val="ChartorTableNote"/>
      </w:pPr>
      <w:r>
        <w:t>Source: Petroleum Resource Rent Tax Secretariat</w:t>
      </w:r>
    </w:p>
    <w:p w14:paraId="30C4A558" w14:textId="77777777" w:rsidR="002C63F3" w:rsidRDefault="002C63F3" w:rsidP="008950BC">
      <w:pPr>
        <w:pStyle w:val="SingleParagraph"/>
      </w:pPr>
    </w:p>
    <w:p w14:paraId="595F75C6" w14:textId="2CB69BB8" w:rsidR="00AA7794" w:rsidRDefault="00AA7794" w:rsidP="008950BC">
      <w:r>
        <w:t xml:space="preserve">In 2008, condensate production became subject to the crude oil excise regime at the same rates as </w:t>
      </w:r>
      <w:r w:rsidR="005D6F39">
        <w:t>‘</w:t>
      </w:r>
      <w:r>
        <w:t>new oil</w:t>
      </w:r>
      <w:r w:rsidR="005D6F39">
        <w:t>’</w:t>
      </w:r>
      <w:r>
        <w:t xml:space="preserve">. This reversed the 1977 exemption and resulted in condensate production in the </w:t>
      </w:r>
      <w:r w:rsidR="00223600">
        <w:t>NWS p</w:t>
      </w:r>
      <w:r>
        <w:t xml:space="preserve">roject area and onshore being subject to excise. </w:t>
      </w:r>
    </w:p>
    <w:p w14:paraId="422CA954" w14:textId="2BC07DCA" w:rsidR="00AA7794" w:rsidRDefault="00AA7794" w:rsidP="006D54FE">
      <w:r>
        <w:t xml:space="preserve">On 2 July 2010, the </w:t>
      </w:r>
      <w:r w:rsidR="0046294B">
        <w:t>then G</w:t>
      </w:r>
      <w:r>
        <w:t xml:space="preserve">overnment announced as part of its revised resource tax arrangements that the PRRT regime would be extended to all Australian onshore and offshore oil and gas projects. When the PRRT was extended from 1 July 2012, crude oil excise and royalty arrangements were maintained. The explanatory statement addresses this issue: </w:t>
      </w:r>
    </w:p>
    <w:p w14:paraId="4668D8E0" w14:textId="21109590" w:rsidR="00AA7794" w:rsidRPr="00DF06D5" w:rsidRDefault="00AA7794" w:rsidP="00DF06D5">
      <w:pPr>
        <w:ind w:left="567" w:right="565"/>
        <w:rPr>
          <w:color w:val="1F497D" w:themeColor="text2"/>
          <w:sz w:val="20"/>
        </w:rPr>
      </w:pPr>
      <w:r w:rsidRPr="00DF06D5">
        <w:rPr>
          <w:color w:val="1F497D" w:themeColor="text2"/>
          <w:sz w:val="20"/>
        </w:rPr>
        <w:t>The existing crude oil excise arrangements are not intended to be disturbed by the extension of the PRRT to all Australian oil and gas projects from 1 July 2012. These arrangements will continue to apply once the projects become subject to the PRRT, with the excise paid being creditable against the PRRT</w:t>
      </w:r>
      <w:r w:rsidR="00BC395B">
        <w:rPr>
          <w:color w:val="1F497D" w:themeColor="text2"/>
          <w:sz w:val="20"/>
        </w:rPr>
        <w:t xml:space="preserve"> </w:t>
      </w:r>
      <w:r w:rsidR="00BC395B" w:rsidRPr="00BC395B">
        <w:rPr>
          <w:color w:val="1F497D" w:themeColor="text2"/>
          <w:sz w:val="20"/>
        </w:rPr>
        <w:t>(</w:t>
      </w:r>
      <w:r w:rsidR="00DF06D5" w:rsidRPr="006D28D4">
        <w:rPr>
          <w:color w:val="1F497D" w:themeColor="text2"/>
          <w:sz w:val="20"/>
        </w:rPr>
        <w:t>Explanatory Memorandum</w:t>
      </w:r>
      <w:r w:rsidR="007A79C6" w:rsidRPr="006D28D4">
        <w:rPr>
          <w:color w:val="1F497D" w:themeColor="text2"/>
          <w:sz w:val="20"/>
        </w:rPr>
        <w:t>,</w:t>
      </w:r>
      <w:r w:rsidR="00DF06D5" w:rsidRPr="006D28D4">
        <w:rPr>
          <w:color w:val="1F497D" w:themeColor="text2"/>
          <w:sz w:val="20"/>
        </w:rPr>
        <w:t xml:space="preserve"> </w:t>
      </w:r>
      <w:r w:rsidR="00DF06D5" w:rsidRPr="006D28D4">
        <w:rPr>
          <w:i/>
          <w:color w:val="1F497D" w:themeColor="text2"/>
          <w:sz w:val="20"/>
        </w:rPr>
        <w:t>Petroleum Resource Rent Tax Assessment Amendment Bill 2011</w:t>
      </w:r>
      <w:r w:rsidR="00BC395B" w:rsidRPr="006D28D4">
        <w:rPr>
          <w:color w:val="1F497D" w:themeColor="text2"/>
          <w:sz w:val="20"/>
        </w:rPr>
        <w:t xml:space="preserve"> (Cth)</w:t>
      </w:r>
      <w:r w:rsidR="00470490" w:rsidRPr="006D28D4">
        <w:rPr>
          <w:color w:val="1F497D" w:themeColor="text2"/>
          <w:sz w:val="20"/>
        </w:rPr>
        <w:t>, p</w:t>
      </w:r>
      <w:r w:rsidR="00BC395B" w:rsidRPr="006D28D4">
        <w:rPr>
          <w:color w:val="1F497D" w:themeColor="text2"/>
          <w:sz w:val="20"/>
        </w:rPr>
        <w:t xml:space="preserve">. </w:t>
      </w:r>
      <w:r w:rsidR="00470490" w:rsidRPr="006D28D4">
        <w:rPr>
          <w:color w:val="1F497D" w:themeColor="text2"/>
          <w:sz w:val="20"/>
        </w:rPr>
        <w:t>113</w:t>
      </w:r>
      <w:r w:rsidR="00BC395B" w:rsidRPr="006D28D4">
        <w:rPr>
          <w:color w:val="1F497D" w:themeColor="text2"/>
          <w:sz w:val="20"/>
        </w:rPr>
        <w:t>).</w:t>
      </w:r>
    </w:p>
    <w:p w14:paraId="52E6CD08" w14:textId="79998A9C" w:rsidR="008910B1" w:rsidRDefault="00B20416" w:rsidP="005E4A56">
      <w:r>
        <w:t xml:space="preserve">As outlined in </w:t>
      </w:r>
      <w:r w:rsidR="00A07F6A" w:rsidRPr="006D28D4">
        <w:t>s</w:t>
      </w:r>
      <w:r w:rsidRPr="006D28D4">
        <w:t xml:space="preserve">ection </w:t>
      </w:r>
      <w:r w:rsidR="00AE790C" w:rsidRPr="006D28D4">
        <w:t>4.6</w:t>
      </w:r>
      <w:r w:rsidR="0046294B" w:rsidRPr="006D28D4">
        <w:t xml:space="preserve"> and Appendix B.1.4</w:t>
      </w:r>
      <w:r w:rsidRPr="006D28D4">
        <w:t xml:space="preserve"> </w:t>
      </w:r>
      <w:r>
        <w:t>t</w:t>
      </w:r>
      <w:r w:rsidR="00AA7794">
        <w:t xml:space="preserve">he </w:t>
      </w:r>
      <w:r>
        <w:t xml:space="preserve">PRRT </w:t>
      </w:r>
      <w:r w:rsidR="00AA7794">
        <w:t xml:space="preserve">legislation provides a deduction category to accommodate Commonwealth and </w:t>
      </w:r>
      <w:r w:rsidR="000A33FC">
        <w:t>state</w:t>
      </w:r>
      <w:r w:rsidR="00AA7794">
        <w:t xml:space="preserve"> resource tax expenditures, such as royalties and crude oil excise, to ensure petroleum projects are not subject to double taxation. </w:t>
      </w:r>
    </w:p>
    <w:p w14:paraId="63C17E30" w14:textId="0C2CDE10" w:rsidR="006F144C" w:rsidRDefault="00DC6F6A" w:rsidP="00A96825">
      <w:bookmarkStart w:id="7835" w:name="_Toc476577387"/>
      <w:bookmarkStart w:id="7836" w:name="_Toc476582376"/>
      <w:bookmarkStart w:id="7837" w:name="_Toc476583050"/>
      <w:bookmarkStart w:id="7838" w:name="_Toc476583767"/>
      <w:bookmarkStart w:id="7839" w:name="_Toc476584215"/>
      <w:r>
        <w:t>As a result of these changes</w:t>
      </w:r>
      <w:r w:rsidR="008910B1">
        <w:t xml:space="preserve">, </w:t>
      </w:r>
      <w:r w:rsidR="00A872CE">
        <w:t xml:space="preserve">crude oil excise currently </w:t>
      </w:r>
      <w:r w:rsidR="00B20416">
        <w:t>only applies to</w:t>
      </w:r>
      <w:r w:rsidR="00A872CE">
        <w:t xml:space="preserve"> onshore production (except Barrow Island) and to the </w:t>
      </w:r>
      <w:r w:rsidR="006F2234">
        <w:t>NWS</w:t>
      </w:r>
      <w:r w:rsidR="00A872CE">
        <w:t xml:space="preserve"> project area. In practice, only the </w:t>
      </w:r>
      <w:r w:rsidR="006F2234">
        <w:t>NWS</w:t>
      </w:r>
      <w:r w:rsidR="00A872CE">
        <w:t xml:space="preserve"> project area pays </w:t>
      </w:r>
      <w:r w:rsidR="006F144C">
        <w:t xml:space="preserve">crude oil </w:t>
      </w:r>
      <w:r w:rsidR="00A872CE">
        <w:t xml:space="preserve">excise. There </w:t>
      </w:r>
      <w:r w:rsidR="006B129B">
        <w:t>is</w:t>
      </w:r>
      <w:r w:rsidR="00A872CE">
        <w:t xml:space="preserve"> no onshore production that </w:t>
      </w:r>
      <w:r w:rsidR="006B129B">
        <w:t>has</w:t>
      </w:r>
      <w:r w:rsidR="006F144C">
        <w:t xml:space="preserve">, or </w:t>
      </w:r>
      <w:r w:rsidR="006B129B">
        <w:t>is</w:t>
      </w:r>
      <w:r w:rsidR="00A872CE">
        <w:t xml:space="preserve"> expected to</w:t>
      </w:r>
      <w:r w:rsidR="006F144C">
        <w:t>,</w:t>
      </w:r>
      <w:r w:rsidR="00A872CE">
        <w:t xml:space="preserve"> exceed the </w:t>
      </w:r>
      <w:r w:rsidR="006F144C">
        <w:t xml:space="preserve">current </w:t>
      </w:r>
      <w:r w:rsidR="00A872CE">
        <w:t xml:space="preserve">field and annual thresholds. </w:t>
      </w:r>
    </w:p>
    <w:p w14:paraId="0E80C4ED" w14:textId="665122FD" w:rsidR="00A872CE" w:rsidRPr="00020002" w:rsidRDefault="00A872CE" w:rsidP="00A96825">
      <w:bookmarkStart w:id="7840" w:name="_Toc476738122"/>
      <w:bookmarkStart w:id="7841" w:name="_Toc476747707"/>
      <w:bookmarkStart w:id="7842" w:name="_Toc476749117"/>
      <w:bookmarkStart w:id="7843" w:name="_Toc476753984"/>
      <w:bookmarkStart w:id="7844" w:name="_Toc476754479"/>
      <w:bookmarkStart w:id="7845" w:name="_Toc476754644"/>
      <w:bookmarkStart w:id="7846" w:name="_Toc476759883"/>
      <w:bookmarkStart w:id="7847" w:name="_Toc476761505"/>
      <w:bookmarkStart w:id="7848" w:name="_Toc476767143"/>
      <w:bookmarkStart w:id="7849" w:name="_Toc476827189"/>
      <w:bookmarkStart w:id="7850" w:name="_Toc476828882"/>
      <w:bookmarkStart w:id="7851" w:name="_Toc476833756"/>
      <w:bookmarkStart w:id="7852" w:name="_Toc476837229"/>
      <w:bookmarkStart w:id="7853" w:name="_Toc476841102"/>
      <w:bookmarkStart w:id="7854" w:name="_Toc476841307"/>
      <w:bookmarkStart w:id="7855" w:name="_Toc476842066"/>
      <w:bookmarkStart w:id="7856" w:name="_Toc476843010"/>
      <w:bookmarkStart w:id="7857" w:name="_Toc476843181"/>
      <w:r w:rsidRPr="00020002">
        <w:t xml:space="preserve">In respect of the </w:t>
      </w:r>
      <w:r w:rsidR="006F2234" w:rsidRPr="00020002">
        <w:t>NWS</w:t>
      </w:r>
      <w:r w:rsidRPr="00020002">
        <w:t xml:space="preserve"> project area, while gases are not levied under the current crude oil excise, </w:t>
      </w:r>
      <w:r w:rsidR="00373E22" w:rsidRPr="00020002">
        <w:t>they</w:t>
      </w:r>
      <w:r w:rsidRPr="00020002">
        <w:t xml:space="preserve"> are covered under the Commonwealth royalties that apply to the </w:t>
      </w:r>
      <w:r w:rsidR="006F2234" w:rsidRPr="00020002">
        <w:t>NWS</w:t>
      </w:r>
      <w:r w:rsidRPr="00020002">
        <w:t xml:space="preserve"> project, discussed in </w:t>
      </w:r>
      <w:r w:rsidRPr="006D28D4">
        <w:t xml:space="preserve">section </w:t>
      </w:r>
      <w:r w:rsidR="00993FCA" w:rsidRPr="006D28D4">
        <w:t>6</w:t>
      </w:r>
      <w:r w:rsidRPr="006D28D4">
        <w:t>.1</w:t>
      </w:r>
      <w:r w:rsidRPr="00020002">
        <w:t>.</w:t>
      </w:r>
    </w:p>
    <w:p w14:paraId="02C18243" w14:textId="63C1AE2F" w:rsidR="00AA7794" w:rsidRDefault="008120BA" w:rsidP="006D54FE">
      <w:pPr>
        <w:pStyle w:val="Heading2"/>
      </w:pPr>
      <w:bookmarkStart w:id="7858" w:name="_Toc476844679"/>
      <w:bookmarkStart w:id="7859" w:name="_Toc476845572"/>
      <w:bookmarkStart w:id="7860" w:name="_Toc476926965"/>
      <w:bookmarkStart w:id="7861" w:name="_Toc476927078"/>
      <w:bookmarkStart w:id="7862" w:name="_Toc476927252"/>
      <w:bookmarkStart w:id="7863" w:name="_Toc476928516"/>
      <w:bookmarkStart w:id="7864" w:name="_Toc476929559"/>
      <w:bookmarkStart w:id="7865" w:name="_Toc476929734"/>
      <w:bookmarkStart w:id="7866" w:name="_Toc476930777"/>
      <w:bookmarkStart w:id="7867" w:name="_Toc476931584"/>
      <w:bookmarkStart w:id="7868" w:name="_Toc477869920"/>
      <w:bookmarkStart w:id="7869" w:name="_Toc477871159"/>
      <w:bookmarkStart w:id="7870" w:name="_Toc477873318"/>
      <w:bookmarkStart w:id="7871" w:name="_Toc477875312"/>
      <w:bookmarkStart w:id="7872" w:name="_Toc477880225"/>
      <w:bookmarkStart w:id="7873" w:name="_Toc477881485"/>
      <w:bookmarkStart w:id="7874" w:name="_Toc477955889"/>
      <w:bookmarkStart w:id="7875" w:name="_Toc477963134"/>
      <w:bookmarkStart w:id="7876" w:name="_Toc477963620"/>
      <w:bookmarkStart w:id="7877" w:name="_Toc477965206"/>
      <w:bookmarkStart w:id="7878" w:name="_Toc477966710"/>
      <w:bookmarkStart w:id="7879" w:name="_Toc477966879"/>
      <w:bookmarkStart w:id="7880" w:name="_Toc477967219"/>
      <w:bookmarkStart w:id="7881" w:name="_Toc478121356"/>
      <w:bookmarkStart w:id="7882" w:name="_Toc478122269"/>
      <w:bookmarkStart w:id="7883" w:name="_Toc478132243"/>
      <w:bookmarkStart w:id="7884" w:name="_Toc478133269"/>
      <w:bookmarkStart w:id="7885" w:name="_Toc478132406"/>
      <w:bookmarkStart w:id="7886" w:name="_Toc478134735"/>
      <w:bookmarkStart w:id="7887" w:name="_Toc478137437"/>
      <w:bookmarkStart w:id="7888" w:name="_Toc478138509"/>
      <w:bookmarkStart w:id="7889" w:name="_Toc478140079"/>
      <w:bookmarkStart w:id="7890" w:name="_Toc478140495"/>
      <w:bookmarkStart w:id="7891" w:name="_Toc478142701"/>
      <w:bookmarkStart w:id="7892" w:name="_Toc478566420"/>
      <w:bookmarkStart w:id="7893" w:name="_Toc478569587"/>
      <w:bookmarkStart w:id="7894" w:name="_Toc478569761"/>
      <w:bookmarkStart w:id="7895" w:name="_Toc478570835"/>
      <w:bookmarkStart w:id="7896" w:name="_Toc478633034"/>
      <w:bookmarkStart w:id="7897" w:name="_Toc478641444"/>
      <w:bookmarkStart w:id="7898" w:name="_Toc478654338"/>
      <w:bookmarkStart w:id="7899" w:name="_Toc478654512"/>
      <w:bookmarkStart w:id="7900" w:name="_Toc478657807"/>
      <w:bookmarkStart w:id="7901" w:name="_Toc478993228"/>
      <w:bookmarkStart w:id="7902" w:name="_Toc479000299"/>
      <w:bookmarkStart w:id="7903" w:name="_Toc479002233"/>
      <w:bookmarkStart w:id="7904" w:name="_Toc479002405"/>
      <w:bookmarkStart w:id="7905" w:name="_Toc479254380"/>
      <w:bookmarkStart w:id="7906" w:name="_Toc479258569"/>
      <w:bookmarkStart w:id="7907" w:name="_Toc479258885"/>
      <w:bookmarkStart w:id="7908" w:name="_Toc479259777"/>
      <w:bookmarkStart w:id="7909" w:name="_Toc479262200"/>
      <w:bookmarkStart w:id="7910" w:name="_Toc479262621"/>
      <w:bookmarkStart w:id="7911" w:name="_Toc479321322"/>
      <w:bookmarkStart w:id="7912" w:name="_Toc479326761"/>
      <w:bookmarkStart w:id="7913" w:name="_Toc479333360"/>
      <w:bookmarkStart w:id="7914" w:name="_Toc479335057"/>
      <w:bookmarkStart w:id="7915" w:name="_Toc479341772"/>
      <w:bookmarkStart w:id="7916" w:name="_Toc479345188"/>
      <w:bookmarkStart w:id="7917" w:name="_Toc479345397"/>
      <w:bookmarkStart w:id="7918" w:name="_Toc479348378"/>
      <w:bookmarkStart w:id="7919" w:name="_Toc479675972"/>
      <w:bookmarkStart w:id="7920" w:name="_Toc479690939"/>
      <w:bookmarkStart w:id="7921" w:name="_Toc479693517"/>
      <w:bookmarkStart w:id="7922" w:name="_Toc479770686"/>
      <w:r>
        <w:t>5</w:t>
      </w:r>
      <w:r w:rsidR="006D54FE">
        <w:t>.</w:t>
      </w:r>
      <w:r w:rsidR="00734233">
        <w:t>4</w:t>
      </w:r>
      <w:r w:rsidR="006D54FE">
        <w:tab/>
        <w:t xml:space="preserve">Administration </w:t>
      </w:r>
      <w:r w:rsidR="00823B29">
        <w:t>o</w:t>
      </w:r>
      <w:r w:rsidR="006D54FE">
        <w:t>f Excise</w:t>
      </w:r>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p>
    <w:p w14:paraId="4A832BD3" w14:textId="49ACA0AA" w:rsidR="00C65A02" w:rsidRDefault="004535A7" w:rsidP="00C65A02">
      <w:r>
        <w:t xml:space="preserve">A </w:t>
      </w:r>
      <w:r w:rsidR="00C65A02">
        <w:t>number of Commonwealth Acts interact to support the operation of the excise:</w:t>
      </w:r>
    </w:p>
    <w:p w14:paraId="25351ACA" w14:textId="389DA137" w:rsidR="00C65A02" w:rsidRDefault="00C65A02" w:rsidP="002700E0">
      <w:pPr>
        <w:pStyle w:val="Bullet"/>
      </w:pPr>
      <w:r w:rsidRPr="00C65A02">
        <w:rPr>
          <w:i/>
        </w:rPr>
        <w:t>Petroleum Excise (Prices) Act 1987</w:t>
      </w:r>
      <w:r>
        <w:rPr>
          <w:i/>
        </w:rPr>
        <w:t xml:space="preserve"> </w:t>
      </w:r>
      <w:r w:rsidR="005A0CA4" w:rsidRPr="005A0CA4">
        <w:t>(Cth)</w:t>
      </w:r>
      <w:r>
        <w:t xml:space="preserve"> and supporting regulations</w:t>
      </w:r>
      <w:r w:rsidR="005D6F39">
        <w:t xml:space="preserve"> — </w:t>
      </w:r>
      <w:r>
        <w:t>which contain the legislative mechanism and supporting administrative functions for the determinations of the VOLWARE price.</w:t>
      </w:r>
    </w:p>
    <w:p w14:paraId="015188C2" w14:textId="072A9F18" w:rsidR="00C65A02" w:rsidRDefault="00C65A02" w:rsidP="002700E0">
      <w:pPr>
        <w:pStyle w:val="Bullet"/>
      </w:pPr>
      <w:r w:rsidRPr="00C65A02">
        <w:rPr>
          <w:i/>
        </w:rPr>
        <w:t>Petroleum Resource Rent Tax Assessment Act 1987</w:t>
      </w:r>
      <w:r>
        <w:t xml:space="preserve"> </w:t>
      </w:r>
      <w:r w:rsidR="005A0CA4" w:rsidRPr="005A0CA4">
        <w:t>(Cth)</w:t>
      </w:r>
      <w:r w:rsidR="005D6F39">
        <w:t xml:space="preserve"> — </w:t>
      </w:r>
      <w:r>
        <w:t>contains the definition of the Resources rent tax area exempt from excise duty.</w:t>
      </w:r>
    </w:p>
    <w:p w14:paraId="2FF837FE" w14:textId="12083B06" w:rsidR="00C65A02" w:rsidRDefault="00C65A02" w:rsidP="002700E0">
      <w:pPr>
        <w:pStyle w:val="Bullet"/>
        <w:rPr>
          <w:rFonts w:ascii="Arial" w:hAnsi="Arial" w:cs="Arial"/>
        </w:rPr>
      </w:pPr>
      <w:r w:rsidRPr="00C65A02">
        <w:rPr>
          <w:i/>
        </w:rPr>
        <w:t>Excise Tariff Act 1921</w:t>
      </w:r>
      <w:r>
        <w:rPr>
          <w:i/>
        </w:rPr>
        <w:t xml:space="preserve"> </w:t>
      </w:r>
      <w:r w:rsidR="005A0CA4" w:rsidRPr="005A0CA4">
        <w:t>(Cth)</w:t>
      </w:r>
      <w:r w:rsidR="005D6F39">
        <w:rPr>
          <w:i/>
        </w:rPr>
        <w:t xml:space="preserve"> — </w:t>
      </w:r>
      <w:r>
        <w:t xml:space="preserve">contains definitions other than condensate, </w:t>
      </w:r>
      <w:r w:rsidR="001E7474">
        <w:t>by</w:t>
      </w:r>
      <w:r w:rsidR="005D6F39">
        <w:noBreakHyphen/>
      </w:r>
      <w:r>
        <w:t>law requirements and method of calculating excise.</w:t>
      </w:r>
    </w:p>
    <w:p w14:paraId="6088E9FB" w14:textId="6C471E9A" w:rsidR="00C65A02" w:rsidRDefault="00C65A02" w:rsidP="002700E0">
      <w:pPr>
        <w:pStyle w:val="Bullet"/>
      </w:pPr>
      <w:r w:rsidRPr="00C65A02">
        <w:rPr>
          <w:i/>
        </w:rPr>
        <w:t>Excise Act 1901</w:t>
      </w:r>
      <w:r>
        <w:rPr>
          <w:i/>
        </w:rPr>
        <w:t xml:space="preserve"> </w:t>
      </w:r>
      <w:r w:rsidR="005A0CA4" w:rsidRPr="005A0CA4">
        <w:t>(Cth)</w:t>
      </w:r>
      <w:r w:rsidR="005D6F39">
        <w:t xml:space="preserve"> — </w:t>
      </w:r>
      <w:r>
        <w:t xml:space="preserve">includes condensate definition, </w:t>
      </w:r>
      <w:r w:rsidR="001E7474">
        <w:t>by</w:t>
      </w:r>
      <w:r w:rsidR="005D6F39">
        <w:noBreakHyphen/>
      </w:r>
      <w:r>
        <w:t xml:space="preserve">law authority, </w:t>
      </w:r>
      <w:r w:rsidR="00C61094">
        <w:t xml:space="preserve">associated registration and reporting </w:t>
      </w:r>
      <w:r>
        <w:t>requirements and other administrative matters.</w:t>
      </w:r>
      <w:r w:rsidR="00C61094">
        <w:t xml:space="preserve"> </w:t>
      </w:r>
    </w:p>
    <w:p w14:paraId="7F853E4C" w14:textId="55DBCCF7" w:rsidR="00C65A02" w:rsidRDefault="00C65A02" w:rsidP="002700E0">
      <w:pPr>
        <w:pStyle w:val="Bullet"/>
      </w:pPr>
      <w:r w:rsidRPr="00C65A02">
        <w:rPr>
          <w:i/>
        </w:rPr>
        <w:t>Seas and submerged Lands Act 1973</w:t>
      </w:r>
      <w:r>
        <w:t xml:space="preserve"> </w:t>
      </w:r>
      <w:r w:rsidR="005A0CA4" w:rsidRPr="005A0CA4">
        <w:t>(Cth)</w:t>
      </w:r>
      <w:r w:rsidR="005D6F39">
        <w:t xml:space="preserve"> — </w:t>
      </w:r>
      <w:r>
        <w:t xml:space="preserve">contains the definition of </w:t>
      </w:r>
      <w:r w:rsidR="005D6F39">
        <w:t>‘</w:t>
      </w:r>
      <w:r>
        <w:t>territorial sea</w:t>
      </w:r>
      <w:r w:rsidR="005D6F39">
        <w:t>’</w:t>
      </w:r>
      <w:r>
        <w:t xml:space="preserve"> for the purposes of exempt offshore field.</w:t>
      </w:r>
    </w:p>
    <w:p w14:paraId="24834AFC" w14:textId="25F26CDB" w:rsidR="00C65A02" w:rsidRDefault="00C65A02" w:rsidP="00C65A02">
      <w:r>
        <w:t xml:space="preserve">The excise regime is administered by the </w:t>
      </w:r>
      <w:r w:rsidR="00C72D0A">
        <w:t>ATO</w:t>
      </w:r>
      <w:r>
        <w:t>.</w:t>
      </w:r>
    </w:p>
    <w:p w14:paraId="0F03CED3" w14:textId="000AFAEA" w:rsidR="00C65A02" w:rsidRDefault="001D5251" w:rsidP="006D54FE">
      <w:r>
        <w:t xml:space="preserve">The </w:t>
      </w:r>
      <w:r w:rsidRPr="004535A7">
        <w:rPr>
          <w:i/>
          <w:iCs/>
        </w:rPr>
        <w:t xml:space="preserve">Excise Act 1901 </w:t>
      </w:r>
      <w:r w:rsidR="005A0CA4" w:rsidRPr="005A0CA4">
        <w:rPr>
          <w:iCs/>
        </w:rPr>
        <w:t>(Cth)</w:t>
      </w:r>
      <w:r w:rsidRPr="004535A7">
        <w:rPr>
          <w:i/>
          <w:iCs/>
        </w:rPr>
        <w:t xml:space="preserve"> </w:t>
      </w:r>
      <w:r w:rsidRPr="004535A7">
        <w:t xml:space="preserve">provides the Commissioner </w:t>
      </w:r>
      <w:r>
        <w:t xml:space="preserve">of Taxation with </w:t>
      </w:r>
      <w:r w:rsidRPr="004535A7">
        <w:t>authority to make by</w:t>
      </w:r>
      <w:r w:rsidR="005D6F39">
        <w:noBreakHyphen/>
      </w:r>
      <w:r w:rsidRPr="004535A7">
        <w:t>laws where an item of the Schedule in the Excise Tariff Act or a section of the Excise Tariff Act is expressed to apply to</w:t>
      </w:r>
      <w:r>
        <w:t xml:space="preserve"> things as prescribed by by</w:t>
      </w:r>
      <w:r w:rsidR="005D6F39">
        <w:noBreakHyphen/>
      </w:r>
      <w:r>
        <w:t>law. In the context of crude oil and condensate, by</w:t>
      </w:r>
      <w:r w:rsidR="005D6F39">
        <w:noBreakHyphen/>
      </w:r>
      <w:r>
        <w:t>laws are made by the Commissioner in order to prescribe fields</w:t>
      </w:r>
      <w:r w:rsidR="006A45A9">
        <w:t>;</w:t>
      </w:r>
      <w:r>
        <w:rPr>
          <w:rStyle w:val="FootnoteReference"/>
        </w:rPr>
        <w:footnoteReference w:id="24"/>
      </w:r>
      <w:r>
        <w:t xml:space="preserve"> old production areas (old oil); new production areas (new oil); condensate production areas (condensate); and intermediate production areas (intermediate oil).</w:t>
      </w:r>
    </w:p>
    <w:p w14:paraId="57E1A364" w14:textId="1B45DD4E" w:rsidR="001D5251" w:rsidRDefault="00AA7794" w:rsidP="006D54FE">
      <w:r>
        <w:t xml:space="preserve">The </w:t>
      </w:r>
      <w:r w:rsidRPr="007A1E7A">
        <w:rPr>
          <w:i/>
        </w:rPr>
        <w:t>Petroleum Excise (Prices) Act 1987</w:t>
      </w:r>
      <w:r>
        <w:t xml:space="preserve"> </w:t>
      </w:r>
      <w:r w:rsidR="005A0CA4" w:rsidRPr="005A0CA4">
        <w:t xml:space="preserve">(Cth) </w:t>
      </w:r>
      <w:r>
        <w:t xml:space="preserve">gives the Minister or person authorised by the Minister the power to determine VOLWARE prices. The Minister </w:t>
      </w:r>
      <w:r w:rsidR="0074553D">
        <w:t xml:space="preserve">(Treasurer) </w:t>
      </w:r>
      <w:r>
        <w:t>has delegated th</w:t>
      </w:r>
      <w:r w:rsidR="001D5251">
        <w:t>is</w:t>
      </w:r>
      <w:r>
        <w:t xml:space="preserve"> power to specific ATO personnel while retaining responsibility over the remaining provisions.</w:t>
      </w:r>
      <w:r w:rsidR="001D5251">
        <w:t xml:space="preserve"> </w:t>
      </w:r>
    </w:p>
    <w:p w14:paraId="2AC6F83D" w14:textId="41E2D330" w:rsidR="008879C0" w:rsidRDefault="008879C0" w:rsidP="006D54FE">
      <w:r>
        <w:t xml:space="preserve">The ATO makes interim VOLWARE determinations for each production region monthly, and has up to six months following the end of a month to issue the final VOLWARE determination for that month. </w:t>
      </w:r>
      <w:r w:rsidR="001D5251">
        <w:t xml:space="preserve">The review understands that the ATO has a staged quality assurance process to ensure that the interim and final VOLWARE price determinations </w:t>
      </w:r>
      <w:r>
        <w:t>are</w:t>
      </w:r>
      <w:r w:rsidR="001D5251">
        <w:t xml:space="preserve"> accurate.</w:t>
      </w:r>
    </w:p>
    <w:p w14:paraId="1287E0B7" w14:textId="21285D61" w:rsidR="00AA7794" w:rsidRDefault="00AA7794" w:rsidP="006D54FE">
      <w:r>
        <w:t xml:space="preserve">In practice, </w:t>
      </w:r>
      <w:r w:rsidR="00B50146">
        <w:t xml:space="preserve">the </w:t>
      </w:r>
      <w:r>
        <w:t xml:space="preserve">requirement </w:t>
      </w:r>
      <w:r w:rsidR="00B50146">
        <w:t xml:space="preserve">to make VOLWARE determinations </w:t>
      </w:r>
      <w:r>
        <w:t>is relatively small</w:t>
      </w:r>
      <w:r w:rsidR="0007256A">
        <w:t xml:space="preserve"> as t</w:t>
      </w:r>
      <w:r>
        <w:t xml:space="preserve">here are only </w:t>
      </w:r>
      <w:r w:rsidR="0074553D">
        <w:t xml:space="preserve">a </w:t>
      </w:r>
      <w:r>
        <w:t>few taxpayers</w:t>
      </w:r>
      <w:r w:rsidR="00050DD7">
        <w:t xml:space="preserve"> from which crude oil excise is collected</w:t>
      </w:r>
      <w:r w:rsidR="00B50146">
        <w:t xml:space="preserve"> and the ATO need not make</w:t>
      </w:r>
      <w:r w:rsidR="00EA451B">
        <w:t xml:space="preserve"> interim or final VOLWARE determinations </w:t>
      </w:r>
      <w:r w:rsidR="0007256A">
        <w:t>where there is no excise liability.</w:t>
      </w:r>
      <w:r>
        <w:t xml:space="preserve"> The </w:t>
      </w:r>
      <w:r w:rsidR="0007256A">
        <w:t>ATO</w:t>
      </w:r>
      <w:r>
        <w:t xml:space="preserve"> submissi</w:t>
      </w:r>
      <w:r w:rsidR="006D54FE">
        <w:t>on indicated that:</w:t>
      </w:r>
    </w:p>
    <w:p w14:paraId="01C48667" w14:textId="194CEBCC" w:rsidR="00AA7794" w:rsidRPr="006D54FE" w:rsidRDefault="00AA7794" w:rsidP="006D54FE">
      <w:pPr>
        <w:ind w:left="567" w:right="565"/>
        <w:rPr>
          <w:color w:val="1F497D" w:themeColor="text2"/>
          <w:sz w:val="20"/>
        </w:rPr>
      </w:pPr>
      <w:r w:rsidRPr="006D54FE">
        <w:rPr>
          <w:color w:val="1F497D" w:themeColor="text2"/>
          <w:sz w:val="20"/>
        </w:rPr>
        <w:t>Only offshore producers currently pay Crude Oil Excise. There are no onshore producers paying, as the initial 4767.3</w:t>
      </w:r>
      <w:r w:rsidR="0074553D">
        <w:rPr>
          <w:color w:val="1F497D" w:themeColor="text2"/>
          <w:sz w:val="20"/>
        </w:rPr>
        <w:t xml:space="preserve"> </w:t>
      </w:r>
      <w:r w:rsidRPr="006D54FE">
        <w:rPr>
          <w:color w:val="1F497D" w:themeColor="text2"/>
          <w:sz w:val="20"/>
        </w:rPr>
        <w:t xml:space="preserve">ML </w:t>
      </w:r>
      <w:r w:rsidRPr="00C72D0A">
        <w:rPr>
          <w:color w:val="1F497D" w:themeColor="text2"/>
          <w:sz w:val="20"/>
        </w:rPr>
        <w:t xml:space="preserve">threshold and annual thresholds have not been exceeded for </w:t>
      </w:r>
      <w:r>
        <w:rPr>
          <w:color w:val="1F497D" w:themeColor="text2"/>
          <w:sz w:val="20"/>
        </w:rPr>
        <w:t>any prescribed production areas</w:t>
      </w:r>
      <w:r w:rsidR="008910B1" w:rsidRPr="00C72D0A">
        <w:rPr>
          <w:color w:val="1F497D" w:themeColor="text2"/>
          <w:sz w:val="20"/>
        </w:rPr>
        <w:t xml:space="preserve"> </w:t>
      </w:r>
      <w:r w:rsidR="00C72D0A">
        <w:rPr>
          <w:color w:val="1F497D" w:themeColor="text2"/>
          <w:sz w:val="20"/>
        </w:rPr>
        <w:t>(</w:t>
      </w:r>
      <w:r w:rsidR="00CC112D">
        <w:rPr>
          <w:color w:val="1F497D" w:themeColor="text2"/>
          <w:sz w:val="20"/>
        </w:rPr>
        <w:t>ATO</w:t>
      </w:r>
      <w:r w:rsidR="008910B1" w:rsidRPr="002700E0">
        <w:rPr>
          <w:color w:val="1F497D" w:themeColor="text2"/>
          <w:sz w:val="20"/>
        </w:rPr>
        <w:t xml:space="preserve"> Submission, p</w:t>
      </w:r>
      <w:r w:rsidR="00C72D0A" w:rsidRPr="002700E0">
        <w:rPr>
          <w:color w:val="1F497D" w:themeColor="text2"/>
          <w:sz w:val="20"/>
        </w:rPr>
        <w:t>.</w:t>
      </w:r>
      <w:r w:rsidR="001D5251" w:rsidRPr="002700E0">
        <w:rPr>
          <w:color w:val="1F497D" w:themeColor="text2"/>
          <w:sz w:val="20"/>
        </w:rPr>
        <w:t> </w:t>
      </w:r>
      <w:r w:rsidR="009036FB" w:rsidRPr="002700E0">
        <w:rPr>
          <w:color w:val="1F497D" w:themeColor="text2"/>
          <w:sz w:val="20"/>
        </w:rPr>
        <w:t>26</w:t>
      </w:r>
      <w:r w:rsidR="00C72D0A">
        <w:rPr>
          <w:color w:val="1F497D" w:themeColor="text2"/>
          <w:sz w:val="20"/>
        </w:rPr>
        <w:t>)</w:t>
      </w:r>
      <w:r w:rsidR="009036FB" w:rsidRPr="00C72D0A">
        <w:rPr>
          <w:color w:val="1F497D" w:themeColor="text2"/>
          <w:sz w:val="20"/>
        </w:rPr>
        <w:t xml:space="preserve">. </w:t>
      </w:r>
    </w:p>
    <w:p w14:paraId="777597BF" w14:textId="531BF804" w:rsidR="00AA1467" w:rsidRDefault="00B50146" w:rsidP="005C74AC">
      <w:r>
        <w:t xml:space="preserve">Further, </w:t>
      </w:r>
      <w:r w:rsidR="00050DD7" w:rsidRPr="002700E0">
        <w:t xml:space="preserve">the </w:t>
      </w:r>
      <w:r>
        <w:t xml:space="preserve">calculations to determine crude oil excise liabilities </w:t>
      </w:r>
      <w:r w:rsidR="00050DD7" w:rsidRPr="002700E0">
        <w:t>are relatively straightforward and outlined in regulations.</w:t>
      </w:r>
      <w:r>
        <w:t xml:space="preserve"> </w:t>
      </w:r>
    </w:p>
    <w:p w14:paraId="4FE090FE" w14:textId="79AFEDE2" w:rsidR="005C74AC" w:rsidRDefault="005C74AC" w:rsidP="005C74AC">
      <w:r>
        <w:t>Overall, the ATO</w:t>
      </w:r>
      <w:r w:rsidR="005D6F39">
        <w:t>’</w:t>
      </w:r>
      <w:r>
        <w:t>s view is:</w:t>
      </w:r>
    </w:p>
    <w:p w14:paraId="12EDBDE1" w14:textId="3124C4AD" w:rsidR="001D5251" w:rsidRPr="005C74AC" w:rsidRDefault="00C72D0A" w:rsidP="00AA1467">
      <w:pPr>
        <w:pStyle w:val="ListParagraph"/>
        <w:ind w:right="565"/>
        <w:rPr>
          <w:color w:val="1F497D" w:themeColor="text2"/>
          <w:sz w:val="20"/>
        </w:rPr>
      </w:pPr>
      <w:r>
        <w:rPr>
          <w:color w:val="1F497D" w:themeColor="text2"/>
          <w:sz w:val="20"/>
        </w:rPr>
        <w:t>T</w:t>
      </w:r>
      <w:r w:rsidR="005C74AC" w:rsidRPr="0098776A">
        <w:rPr>
          <w:color w:val="1F497D" w:themeColor="text2"/>
          <w:sz w:val="20"/>
        </w:rPr>
        <w:t>he excise regime for crude oil and condensate is operating in accordance with its legislative intent</w:t>
      </w:r>
      <w:r>
        <w:rPr>
          <w:color w:val="1F497D" w:themeColor="text2"/>
          <w:sz w:val="20"/>
        </w:rPr>
        <w:t xml:space="preserve"> (</w:t>
      </w:r>
      <w:r w:rsidR="00CC112D">
        <w:rPr>
          <w:color w:val="1F497D" w:themeColor="text2"/>
          <w:sz w:val="20"/>
        </w:rPr>
        <w:t>ATO</w:t>
      </w:r>
      <w:r w:rsidR="005C74AC" w:rsidRPr="002700E0">
        <w:rPr>
          <w:color w:val="1F497D" w:themeColor="text2"/>
          <w:sz w:val="20"/>
        </w:rPr>
        <w:t xml:space="preserve"> Submission, p</w:t>
      </w:r>
      <w:r w:rsidRPr="002700E0">
        <w:rPr>
          <w:color w:val="1F497D" w:themeColor="text2"/>
          <w:sz w:val="20"/>
        </w:rPr>
        <w:t>.</w:t>
      </w:r>
      <w:r w:rsidR="0074553D">
        <w:rPr>
          <w:color w:val="1F497D" w:themeColor="text2"/>
          <w:sz w:val="20"/>
        </w:rPr>
        <w:t> </w:t>
      </w:r>
      <w:r w:rsidR="005C74AC" w:rsidRPr="002700E0">
        <w:rPr>
          <w:color w:val="1F497D" w:themeColor="text2"/>
          <w:sz w:val="20"/>
        </w:rPr>
        <w:t>28</w:t>
      </w:r>
      <w:r>
        <w:rPr>
          <w:color w:val="1F497D" w:themeColor="text2"/>
          <w:sz w:val="20"/>
        </w:rPr>
        <w:t>)</w:t>
      </w:r>
      <w:r w:rsidR="005C74AC" w:rsidRPr="005C74AC">
        <w:rPr>
          <w:color w:val="1F497D" w:themeColor="text2"/>
          <w:sz w:val="20"/>
        </w:rPr>
        <w:t xml:space="preserve">. </w:t>
      </w:r>
    </w:p>
    <w:p w14:paraId="6BE0FB3D" w14:textId="4690DEE7" w:rsidR="00C61094" w:rsidRDefault="004E3CED" w:rsidP="005E7B3F">
      <w:pPr>
        <w:pStyle w:val="Heading3"/>
      </w:pPr>
      <w:bookmarkStart w:id="7923" w:name="_Toc476926966"/>
      <w:bookmarkStart w:id="7924" w:name="_Toc476927079"/>
      <w:bookmarkStart w:id="7925" w:name="_Toc476927253"/>
      <w:bookmarkStart w:id="7926" w:name="_Toc476928517"/>
      <w:bookmarkStart w:id="7927" w:name="_Toc476929560"/>
      <w:bookmarkStart w:id="7928" w:name="_Toc476929735"/>
      <w:bookmarkStart w:id="7929" w:name="_Toc476930778"/>
      <w:bookmarkStart w:id="7930" w:name="_Toc476931585"/>
      <w:bookmarkStart w:id="7931" w:name="_Toc477869921"/>
      <w:bookmarkStart w:id="7932" w:name="_Toc477871160"/>
      <w:bookmarkStart w:id="7933" w:name="_Toc477873319"/>
      <w:bookmarkStart w:id="7934" w:name="_Toc477875313"/>
      <w:bookmarkStart w:id="7935" w:name="_Toc477880226"/>
      <w:bookmarkStart w:id="7936" w:name="_Toc477881486"/>
      <w:bookmarkStart w:id="7937" w:name="_Toc477955890"/>
      <w:bookmarkStart w:id="7938" w:name="_Toc477963135"/>
      <w:bookmarkStart w:id="7939" w:name="_Toc477963621"/>
      <w:bookmarkStart w:id="7940" w:name="_Toc477965207"/>
      <w:bookmarkStart w:id="7941" w:name="_Toc477966711"/>
      <w:bookmarkStart w:id="7942" w:name="_Toc477966880"/>
      <w:bookmarkStart w:id="7943" w:name="_Toc477967220"/>
      <w:bookmarkStart w:id="7944" w:name="_Toc478121357"/>
      <w:bookmarkStart w:id="7945" w:name="_Toc478122270"/>
      <w:bookmarkStart w:id="7946" w:name="_Toc478132244"/>
      <w:bookmarkStart w:id="7947" w:name="_Toc478133270"/>
      <w:bookmarkStart w:id="7948" w:name="_Toc478132407"/>
      <w:bookmarkStart w:id="7949" w:name="_Toc478134736"/>
      <w:bookmarkStart w:id="7950" w:name="_Toc478137438"/>
      <w:bookmarkStart w:id="7951" w:name="_Toc478138510"/>
      <w:bookmarkStart w:id="7952" w:name="_Toc478140080"/>
      <w:bookmarkStart w:id="7953" w:name="_Toc478140496"/>
      <w:bookmarkStart w:id="7954" w:name="_Toc478142702"/>
      <w:bookmarkStart w:id="7955" w:name="_Toc478566421"/>
      <w:bookmarkStart w:id="7956" w:name="_Toc478569588"/>
      <w:bookmarkStart w:id="7957" w:name="_Toc478569762"/>
      <w:bookmarkStart w:id="7958" w:name="_Toc478570836"/>
      <w:bookmarkStart w:id="7959" w:name="_Toc478633035"/>
      <w:bookmarkStart w:id="7960" w:name="_Toc478641445"/>
      <w:bookmarkStart w:id="7961" w:name="_Toc478654339"/>
      <w:bookmarkStart w:id="7962" w:name="_Toc478654513"/>
      <w:bookmarkStart w:id="7963" w:name="_Toc478657808"/>
      <w:bookmarkStart w:id="7964" w:name="_Toc478993229"/>
      <w:bookmarkStart w:id="7965" w:name="_Toc479000300"/>
      <w:bookmarkStart w:id="7966" w:name="_Toc479002234"/>
      <w:bookmarkStart w:id="7967" w:name="_Toc479002406"/>
      <w:bookmarkStart w:id="7968" w:name="_Toc479254381"/>
      <w:bookmarkStart w:id="7969" w:name="_Toc479258570"/>
      <w:bookmarkStart w:id="7970" w:name="_Toc479258886"/>
      <w:bookmarkStart w:id="7971" w:name="_Toc479259778"/>
      <w:bookmarkStart w:id="7972" w:name="_Toc479262201"/>
      <w:bookmarkStart w:id="7973" w:name="_Toc479262622"/>
      <w:bookmarkStart w:id="7974" w:name="_Toc479321323"/>
      <w:bookmarkStart w:id="7975" w:name="_Toc479326762"/>
      <w:bookmarkStart w:id="7976" w:name="_Toc479333361"/>
      <w:bookmarkStart w:id="7977" w:name="_Toc479335058"/>
      <w:bookmarkStart w:id="7978" w:name="_Toc479341773"/>
      <w:bookmarkStart w:id="7979" w:name="_Toc479345189"/>
      <w:bookmarkStart w:id="7980" w:name="_Toc479345398"/>
      <w:bookmarkStart w:id="7981" w:name="_Toc479348379"/>
      <w:bookmarkStart w:id="7982" w:name="_Toc479675973"/>
      <w:bookmarkStart w:id="7983" w:name="_Toc479690940"/>
      <w:bookmarkStart w:id="7984" w:name="_Toc479693518"/>
      <w:bookmarkStart w:id="7985" w:name="_Toc479770687"/>
      <w:r>
        <w:t>5.4.1</w:t>
      </w:r>
      <w:r>
        <w:tab/>
      </w:r>
      <w:r w:rsidR="00C61094">
        <w:t>Administration differences between onshore and offshore</w:t>
      </w:r>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r w:rsidR="00C61094">
        <w:t xml:space="preserve"> </w:t>
      </w:r>
    </w:p>
    <w:p w14:paraId="084AE8AE" w14:textId="75C81938" w:rsidR="00D91A76" w:rsidRPr="00F66D2D" w:rsidRDefault="001A46DF" w:rsidP="00D91A76">
      <w:r>
        <w:t xml:space="preserve">There are different </w:t>
      </w:r>
      <w:r w:rsidR="001E7474">
        <w:t xml:space="preserve">licencing </w:t>
      </w:r>
      <w:r>
        <w:t>requirements between onshore and offshore producers. For offshore fields,</w:t>
      </w:r>
      <w:r w:rsidR="009E05A7">
        <w:t xml:space="preserve"> t</w:t>
      </w:r>
      <w:r w:rsidR="005E7B3F">
        <w:t>he first 4767.3 megalitres of sta</w:t>
      </w:r>
      <w:r w:rsidR="00974C35">
        <w:t>bilised</w:t>
      </w:r>
      <w:r w:rsidR="005E7B3F">
        <w:t xml:space="preserve"> crude oil and condensate produced from offshore fi</w:t>
      </w:r>
      <w:r w:rsidR="009E05A7">
        <w:t xml:space="preserve">elds </w:t>
      </w:r>
      <w:r>
        <w:t>are</w:t>
      </w:r>
      <w:r w:rsidR="009E05A7">
        <w:t xml:space="preserve"> exempt from excise duty</w:t>
      </w:r>
      <w:r>
        <w:t>. I</w:t>
      </w:r>
      <w:r w:rsidR="005E7B3F">
        <w:t xml:space="preserve">n contrast, the same quantity </w:t>
      </w:r>
      <w:r w:rsidR="009E05A7">
        <w:t xml:space="preserve">from </w:t>
      </w:r>
      <w:r w:rsidR="005E7B3F">
        <w:t>onshore field</w:t>
      </w:r>
      <w:r w:rsidR="009E05A7">
        <w:t>s</w:t>
      </w:r>
      <w:r w:rsidR="005E7B3F">
        <w:t xml:space="preserve"> </w:t>
      </w:r>
      <w:r>
        <w:t>receives</w:t>
      </w:r>
      <w:r w:rsidR="005E7B3F">
        <w:t xml:space="preserve"> a </w:t>
      </w:r>
      <w:r w:rsidR="005D6F39">
        <w:t>‘</w:t>
      </w:r>
      <w:r w:rsidR="005E7B3F">
        <w:t>free rate</w:t>
      </w:r>
      <w:r w:rsidR="005D6F39">
        <w:t>’</w:t>
      </w:r>
      <w:r w:rsidR="005E7B3F">
        <w:t xml:space="preserve"> of excise duty. </w:t>
      </w:r>
      <w:r>
        <w:t>As a result,</w:t>
      </w:r>
      <w:r w:rsidR="005E7B3F">
        <w:t xml:space="preserve"> all onshore </w:t>
      </w:r>
      <w:r w:rsidR="005E7B3F" w:rsidRPr="00F66D2D">
        <w:t xml:space="preserve">production </w:t>
      </w:r>
      <w:r w:rsidRPr="00F66D2D">
        <w:t>is</w:t>
      </w:r>
      <w:r w:rsidR="005E7B3F" w:rsidRPr="00F66D2D">
        <w:t xml:space="preserve"> subject to the licen</w:t>
      </w:r>
      <w:r w:rsidR="001E7474" w:rsidRPr="00F66D2D">
        <w:t>c</w:t>
      </w:r>
      <w:r w:rsidR="005E7B3F" w:rsidRPr="00F66D2D">
        <w:t xml:space="preserve">ing requirements of the </w:t>
      </w:r>
      <w:r w:rsidR="005E7B3F" w:rsidRPr="00F66D2D">
        <w:rPr>
          <w:i/>
        </w:rPr>
        <w:t>Excise Act 1901</w:t>
      </w:r>
      <w:r w:rsidR="005A0CA4" w:rsidRPr="00F66D2D">
        <w:rPr>
          <w:i/>
        </w:rPr>
        <w:t xml:space="preserve"> </w:t>
      </w:r>
      <w:r w:rsidR="005A0CA4" w:rsidRPr="00F66D2D">
        <w:t>(Cth).</w:t>
      </w:r>
      <w:r w:rsidR="005E7B3F" w:rsidRPr="00F66D2D">
        <w:t xml:space="preserve"> </w:t>
      </w:r>
      <w:r w:rsidR="009E1142" w:rsidRPr="00F66D2D">
        <w:t xml:space="preserve">This impacts </w:t>
      </w:r>
      <w:r w:rsidR="00F66D2D" w:rsidRPr="00F66D2D">
        <w:t>25</w:t>
      </w:r>
      <w:r w:rsidR="009E1142" w:rsidRPr="00F66D2D">
        <w:t xml:space="preserve"> producers who hold </w:t>
      </w:r>
      <w:r w:rsidR="00F66D2D" w:rsidRPr="00F66D2D">
        <w:t>120</w:t>
      </w:r>
      <w:r w:rsidR="009E1142" w:rsidRPr="00F66D2D">
        <w:t xml:space="preserve"> separate </w:t>
      </w:r>
      <w:r w:rsidR="001E7474" w:rsidRPr="00F66D2D">
        <w:t>licences</w:t>
      </w:r>
      <w:r w:rsidR="009E1142" w:rsidRPr="00F66D2D">
        <w:rPr>
          <w:rStyle w:val="FootnoteReference"/>
        </w:rPr>
        <w:footnoteReference w:id="25"/>
      </w:r>
      <w:r w:rsidR="009E1142" w:rsidRPr="00F66D2D">
        <w:t xml:space="preserve"> and </w:t>
      </w:r>
      <w:r w:rsidR="009E05A7" w:rsidRPr="00F66D2D">
        <w:t xml:space="preserve">requires them to provide annual reports to the ATO as part of their </w:t>
      </w:r>
      <w:r w:rsidR="00D91A76" w:rsidRPr="00F66D2D">
        <w:t>record</w:t>
      </w:r>
      <w:r w:rsidR="00E02082">
        <w:t xml:space="preserve"> </w:t>
      </w:r>
      <w:r w:rsidR="00D91A76" w:rsidRPr="00F66D2D">
        <w:t xml:space="preserve">keeping </w:t>
      </w:r>
      <w:r w:rsidR="009E05A7" w:rsidRPr="00F66D2D">
        <w:t>requirements</w:t>
      </w:r>
      <w:r w:rsidRPr="00F66D2D">
        <w:t>, including</w:t>
      </w:r>
      <w:r w:rsidR="00D91A76" w:rsidRPr="00F66D2D">
        <w:t>:</w:t>
      </w:r>
    </w:p>
    <w:p w14:paraId="641509BE" w14:textId="047E4508" w:rsidR="00D91A76" w:rsidRPr="00F66D2D" w:rsidRDefault="00D91A76" w:rsidP="004E3CED">
      <w:pPr>
        <w:pStyle w:val="Bullet"/>
      </w:pPr>
      <w:r w:rsidRPr="00F66D2D">
        <w:t>type and quantity of each product (</w:t>
      </w:r>
      <w:r w:rsidR="008950BC">
        <w:t>that is,</w:t>
      </w:r>
      <w:r w:rsidRPr="00F66D2D">
        <w:t xml:space="preserve"> stabilised crude petroleum oil and/or condensate) recorded separately for each production area;</w:t>
      </w:r>
    </w:p>
    <w:p w14:paraId="1623AD85" w14:textId="77777777" w:rsidR="00D91A76" w:rsidRDefault="00D91A76" w:rsidP="004E3CED">
      <w:pPr>
        <w:pStyle w:val="Bullet"/>
      </w:pPr>
      <w:r w:rsidRPr="00F66D2D">
        <w:t>where a production area has ceased production, the date of cessation and the quantities of product manufactured prior</w:t>
      </w:r>
      <w:r>
        <w:t xml:space="preserve"> to that date; and </w:t>
      </w:r>
    </w:p>
    <w:p w14:paraId="71C48594" w14:textId="77777777" w:rsidR="00D91A76" w:rsidRDefault="00D91A76" w:rsidP="004E3CED">
      <w:pPr>
        <w:pStyle w:val="Bullet"/>
      </w:pPr>
      <w:r>
        <w:t>where there has been a change in ownership of a production area, the date of transfer and name of the new producer.</w:t>
      </w:r>
    </w:p>
    <w:p w14:paraId="718D2BD3" w14:textId="49D56F35" w:rsidR="00AA7794" w:rsidRDefault="008120BA" w:rsidP="006D54FE">
      <w:pPr>
        <w:pStyle w:val="Heading2"/>
      </w:pPr>
      <w:bookmarkStart w:id="7986" w:name="_Toc476577388"/>
      <w:bookmarkStart w:id="7987" w:name="_Toc476582377"/>
      <w:bookmarkStart w:id="7988" w:name="_Toc476583051"/>
      <w:bookmarkStart w:id="7989" w:name="_Toc476583768"/>
      <w:bookmarkStart w:id="7990" w:name="_Toc476584216"/>
      <w:bookmarkStart w:id="7991" w:name="_Toc476738123"/>
      <w:bookmarkStart w:id="7992" w:name="_Toc476747708"/>
      <w:bookmarkStart w:id="7993" w:name="_Toc476749118"/>
      <w:bookmarkStart w:id="7994" w:name="_Toc476753985"/>
      <w:bookmarkStart w:id="7995" w:name="_Toc476754480"/>
      <w:bookmarkStart w:id="7996" w:name="_Toc476754645"/>
      <w:bookmarkStart w:id="7997" w:name="_Toc476759884"/>
      <w:bookmarkStart w:id="7998" w:name="_Toc476761506"/>
      <w:bookmarkStart w:id="7999" w:name="_Toc476767144"/>
      <w:bookmarkStart w:id="8000" w:name="_Toc476827190"/>
      <w:bookmarkStart w:id="8001" w:name="_Toc476828883"/>
      <w:bookmarkStart w:id="8002" w:name="_Toc476833757"/>
      <w:bookmarkStart w:id="8003" w:name="_Toc476837230"/>
      <w:bookmarkStart w:id="8004" w:name="_Toc476841103"/>
      <w:bookmarkStart w:id="8005" w:name="_Toc476841308"/>
      <w:bookmarkStart w:id="8006" w:name="_Toc476842067"/>
      <w:bookmarkStart w:id="8007" w:name="_Toc476843011"/>
      <w:bookmarkStart w:id="8008" w:name="_Toc476843182"/>
      <w:bookmarkStart w:id="8009" w:name="_Toc476844680"/>
      <w:bookmarkStart w:id="8010" w:name="_Toc476845573"/>
      <w:bookmarkStart w:id="8011" w:name="_Toc476926967"/>
      <w:bookmarkStart w:id="8012" w:name="_Toc476927080"/>
      <w:bookmarkStart w:id="8013" w:name="_Toc476927254"/>
      <w:bookmarkStart w:id="8014" w:name="_Toc476928518"/>
      <w:bookmarkStart w:id="8015" w:name="_Toc476929561"/>
      <w:bookmarkStart w:id="8016" w:name="_Toc476929736"/>
      <w:bookmarkStart w:id="8017" w:name="_Toc476930779"/>
      <w:bookmarkStart w:id="8018" w:name="_Toc476931586"/>
      <w:bookmarkStart w:id="8019" w:name="_Toc477869922"/>
      <w:bookmarkStart w:id="8020" w:name="_Toc477871161"/>
      <w:bookmarkStart w:id="8021" w:name="_Toc477873320"/>
      <w:bookmarkStart w:id="8022" w:name="_Toc477875314"/>
      <w:bookmarkStart w:id="8023" w:name="_Toc477880227"/>
      <w:bookmarkStart w:id="8024" w:name="_Toc477881487"/>
      <w:bookmarkStart w:id="8025" w:name="_Toc477955891"/>
      <w:bookmarkStart w:id="8026" w:name="_Toc477963136"/>
      <w:bookmarkStart w:id="8027" w:name="_Toc477963622"/>
      <w:bookmarkStart w:id="8028" w:name="_Toc477965208"/>
      <w:bookmarkStart w:id="8029" w:name="_Toc477966712"/>
      <w:bookmarkStart w:id="8030" w:name="_Toc477966881"/>
      <w:bookmarkStart w:id="8031" w:name="_Toc477967221"/>
      <w:bookmarkStart w:id="8032" w:name="_Toc478121358"/>
      <w:bookmarkStart w:id="8033" w:name="_Toc478122271"/>
      <w:bookmarkStart w:id="8034" w:name="_Toc478132245"/>
      <w:bookmarkStart w:id="8035" w:name="_Toc478133271"/>
      <w:bookmarkStart w:id="8036" w:name="_Toc478132408"/>
      <w:bookmarkStart w:id="8037" w:name="_Toc478134737"/>
      <w:bookmarkStart w:id="8038" w:name="_Toc478137439"/>
      <w:bookmarkStart w:id="8039" w:name="_Toc478138511"/>
      <w:bookmarkStart w:id="8040" w:name="_Toc478140081"/>
      <w:bookmarkStart w:id="8041" w:name="_Toc478140497"/>
      <w:bookmarkStart w:id="8042" w:name="_Toc478142703"/>
      <w:bookmarkStart w:id="8043" w:name="_Toc478566422"/>
      <w:bookmarkStart w:id="8044" w:name="_Toc478569589"/>
      <w:bookmarkStart w:id="8045" w:name="_Toc478569763"/>
      <w:bookmarkStart w:id="8046" w:name="_Toc478570837"/>
      <w:bookmarkStart w:id="8047" w:name="_Toc478633036"/>
      <w:bookmarkStart w:id="8048" w:name="_Toc478641446"/>
      <w:bookmarkStart w:id="8049" w:name="_Toc478654340"/>
      <w:bookmarkStart w:id="8050" w:name="_Toc478654514"/>
      <w:bookmarkStart w:id="8051" w:name="_Toc478657809"/>
      <w:bookmarkStart w:id="8052" w:name="_Toc478993230"/>
      <w:bookmarkStart w:id="8053" w:name="_Toc479000301"/>
      <w:bookmarkStart w:id="8054" w:name="_Toc479002235"/>
      <w:bookmarkStart w:id="8055" w:name="_Toc479002407"/>
      <w:bookmarkStart w:id="8056" w:name="_Toc479254382"/>
      <w:bookmarkStart w:id="8057" w:name="_Toc479258571"/>
      <w:bookmarkStart w:id="8058" w:name="_Toc479258887"/>
      <w:bookmarkStart w:id="8059" w:name="_Toc479259779"/>
      <w:bookmarkStart w:id="8060" w:name="_Toc479262202"/>
      <w:bookmarkStart w:id="8061" w:name="_Toc479262623"/>
      <w:bookmarkStart w:id="8062" w:name="_Toc479321324"/>
      <w:bookmarkStart w:id="8063" w:name="_Toc479326763"/>
      <w:bookmarkStart w:id="8064" w:name="_Toc479333362"/>
      <w:bookmarkStart w:id="8065" w:name="_Toc479335059"/>
      <w:bookmarkStart w:id="8066" w:name="_Toc479341774"/>
      <w:bookmarkStart w:id="8067" w:name="_Toc479345190"/>
      <w:bookmarkStart w:id="8068" w:name="_Toc479345399"/>
      <w:bookmarkStart w:id="8069" w:name="_Toc479348380"/>
      <w:bookmarkStart w:id="8070" w:name="_Toc479675974"/>
      <w:bookmarkStart w:id="8071" w:name="_Toc479690941"/>
      <w:bookmarkStart w:id="8072" w:name="_Toc479693519"/>
      <w:bookmarkStart w:id="8073" w:name="_Toc479770688"/>
      <w:r>
        <w:t>5</w:t>
      </w:r>
      <w:r w:rsidR="00024C92">
        <w:t>.</w:t>
      </w:r>
      <w:r w:rsidR="00734233">
        <w:t>5</w:t>
      </w:r>
      <w:r w:rsidR="00024C92">
        <w:tab/>
        <w:t>Commentary on Crude Oil Excise</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p>
    <w:p w14:paraId="03C052B5" w14:textId="4AFFD732" w:rsidR="00AA7794" w:rsidRDefault="0098776A" w:rsidP="006D54FE">
      <w:r>
        <w:t xml:space="preserve">The </w:t>
      </w:r>
      <w:r w:rsidR="00AA7794">
        <w:t xml:space="preserve">APPEA submission </w:t>
      </w:r>
      <w:r w:rsidR="000625F6">
        <w:t xml:space="preserve">argued that the continued application of production excise should be revisited for onshore producers and noted the </w:t>
      </w:r>
      <w:r w:rsidR="00D91A76">
        <w:t xml:space="preserve">compliance costs on onshore producers </w:t>
      </w:r>
      <w:r w:rsidR="005C74AC">
        <w:t xml:space="preserve">that </w:t>
      </w:r>
      <w:r w:rsidR="00D91A76">
        <w:t xml:space="preserve">result </w:t>
      </w:r>
      <w:r w:rsidR="005C74AC">
        <w:t xml:space="preserve">from </w:t>
      </w:r>
      <w:r w:rsidR="00D91A76">
        <w:t xml:space="preserve">the </w:t>
      </w:r>
      <w:r w:rsidR="001E7474">
        <w:t xml:space="preserve">licencing </w:t>
      </w:r>
      <w:r w:rsidR="005E7B3F">
        <w:t xml:space="preserve">differences </w:t>
      </w:r>
      <w:r w:rsidR="00D91A76">
        <w:t>from onshore and offshore production</w:t>
      </w:r>
      <w:r w:rsidR="005E7B3F">
        <w:t>:</w:t>
      </w:r>
    </w:p>
    <w:p w14:paraId="0431A52D" w14:textId="3B2846E4" w:rsidR="00AA7794" w:rsidRPr="006D54FE" w:rsidRDefault="00AA7794" w:rsidP="006D54FE">
      <w:pPr>
        <w:ind w:left="567" w:right="565"/>
        <w:rPr>
          <w:color w:val="1F497D" w:themeColor="text2"/>
          <w:sz w:val="20"/>
        </w:rPr>
      </w:pPr>
      <w:r w:rsidRPr="006D54FE">
        <w:rPr>
          <w:color w:val="1F497D" w:themeColor="text2"/>
          <w:sz w:val="20"/>
        </w:rPr>
        <w:t>All producers of crude oil excise and condensate covered by the regime are required to comply with the provisions of the legislation and any compliance/reporting obligations that may be imposed by the Australian Taxation Office</w:t>
      </w:r>
      <w:r w:rsidR="008950BC">
        <w:rPr>
          <w:color w:val="1F497D" w:themeColor="text2"/>
          <w:sz w:val="20"/>
        </w:rPr>
        <w:t xml:space="preserve"> </w:t>
      </w:r>
      <w:r w:rsidR="00C72D0A">
        <w:rPr>
          <w:color w:val="1F497D" w:themeColor="text2"/>
          <w:sz w:val="20"/>
        </w:rPr>
        <w:t>…</w:t>
      </w:r>
    </w:p>
    <w:p w14:paraId="7F9A6465" w14:textId="7B2AFFB2" w:rsidR="00AA7794" w:rsidRPr="006D54FE" w:rsidRDefault="00AA7794" w:rsidP="006D54FE">
      <w:pPr>
        <w:ind w:left="567" w:right="565"/>
        <w:rPr>
          <w:color w:val="1F497D" w:themeColor="text2"/>
          <w:sz w:val="20"/>
        </w:rPr>
      </w:pPr>
      <w:r w:rsidRPr="006D54FE">
        <w:rPr>
          <w:color w:val="1F497D" w:themeColor="text2"/>
          <w:sz w:val="20"/>
        </w:rPr>
        <w:t>…</w:t>
      </w:r>
      <w:r w:rsidR="008950BC">
        <w:rPr>
          <w:color w:val="1F497D" w:themeColor="text2"/>
          <w:sz w:val="20"/>
        </w:rPr>
        <w:t xml:space="preserve"> </w:t>
      </w:r>
      <w:r w:rsidRPr="006D54FE">
        <w:rPr>
          <w:color w:val="1F497D" w:themeColor="text2"/>
          <w:sz w:val="20"/>
        </w:rPr>
        <w:t xml:space="preserve">Overall, there is not expected to be any duty incurred for onshore crude oil and/or condensate production in Australia. Despite this, producers are required to meet the verification, administrative and compliance obligations imposed by the regime. </w:t>
      </w:r>
    </w:p>
    <w:p w14:paraId="610A679B" w14:textId="1F4C89E4" w:rsidR="00AA7794" w:rsidRPr="00857126" w:rsidRDefault="00AA7794" w:rsidP="00857126">
      <w:pPr>
        <w:ind w:left="567" w:right="565"/>
        <w:rPr>
          <w:color w:val="1F497D" w:themeColor="text2"/>
          <w:sz w:val="20"/>
        </w:rPr>
      </w:pPr>
      <w:r w:rsidRPr="00857126">
        <w:rPr>
          <w:color w:val="1F497D" w:themeColor="text2"/>
          <w:sz w:val="20"/>
        </w:rPr>
        <w:t>In addition to the compliance costs imposed on companies, the imposition of a potential excise liability on onshore crude oil and condensate production (in the event of a future discovery) has the potential to be factored into the exploration decisions of investors. In particular, this may impact on exploration in frontier onshore areas where the risk/reward balance can be different to more traditionally explored regions. High risk frontier exploration requires a fiscal framework that provides an incentive for risk capital to be directed towards these areas</w:t>
      </w:r>
      <w:r w:rsidR="005D6F39">
        <w:rPr>
          <w:color w:val="1F497D" w:themeColor="text2"/>
          <w:sz w:val="20"/>
        </w:rPr>
        <w:t xml:space="preserve"> — </w:t>
      </w:r>
      <w:r w:rsidRPr="00857126">
        <w:rPr>
          <w:color w:val="1F497D" w:themeColor="text2"/>
          <w:sz w:val="20"/>
        </w:rPr>
        <w:t xml:space="preserve">the imposition of a potential excise liability on future discoveries clearly sends a negative fiscal signal. </w:t>
      </w:r>
    </w:p>
    <w:p w14:paraId="27FD025D" w14:textId="6358B3CD" w:rsidR="00D91A76" w:rsidRPr="00416CC0" w:rsidRDefault="00AA7794" w:rsidP="00416CC0">
      <w:pPr>
        <w:ind w:left="567" w:right="565"/>
        <w:rPr>
          <w:color w:val="1F497D" w:themeColor="text2"/>
          <w:sz w:val="20"/>
        </w:rPr>
      </w:pPr>
      <w:r w:rsidRPr="00857126">
        <w:rPr>
          <w:color w:val="1F497D" w:themeColor="text2"/>
          <w:sz w:val="20"/>
        </w:rPr>
        <w:t>In summary, as the Government has effectively accepted that PRRT is now its primary mechanism for the taxation of crude oil and condensate production, the continued application of production excise for areas that are unlikely to incur a</w:t>
      </w:r>
      <w:r w:rsidR="00FE0AF3" w:rsidRPr="00857126">
        <w:rPr>
          <w:color w:val="1F497D" w:themeColor="text2"/>
          <w:sz w:val="20"/>
        </w:rPr>
        <w:t xml:space="preserve"> liability should be revisited</w:t>
      </w:r>
      <w:r w:rsidR="00C72D0A">
        <w:rPr>
          <w:color w:val="1F497D" w:themeColor="text2"/>
          <w:sz w:val="20"/>
        </w:rPr>
        <w:t xml:space="preserve"> </w:t>
      </w:r>
      <w:r w:rsidR="00C72D0A" w:rsidRPr="00551FA9">
        <w:rPr>
          <w:color w:val="1F497D" w:themeColor="text2"/>
          <w:sz w:val="20"/>
        </w:rPr>
        <w:t>(</w:t>
      </w:r>
      <w:r w:rsidR="00857126" w:rsidRPr="00551FA9">
        <w:rPr>
          <w:color w:val="1F497D" w:themeColor="text2"/>
          <w:sz w:val="20"/>
        </w:rPr>
        <w:t>APPEA Submission, p</w:t>
      </w:r>
      <w:r w:rsidR="00C72D0A" w:rsidRPr="00551FA9">
        <w:rPr>
          <w:color w:val="1F497D" w:themeColor="text2"/>
          <w:sz w:val="20"/>
        </w:rPr>
        <w:t xml:space="preserve">. </w:t>
      </w:r>
      <w:r w:rsidR="00D91A76" w:rsidRPr="00551FA9">
        <w:rPr>
          <w:color w:val="1F497D" w:themeColor="text2"/>
          <w:sz w:val="20"/>
        </w:rPr>
        <w:t>32</w:t>
      </w:r>
      <w:r w:rsidR="00C72D0A" w:rsidRPr="00551FA9">
        <w:rPr>
          <w:color w:val="1F497D" w:themeColor="text2"/>
          <w:sz w:val="20"/>
        </w:rPr>
        <w:t>)</w:t>
      </w:r>
      <w:r w:rsidR="00D91A76">
        <w:rPr>
          <w:color w:val="1F497D" w:themeColor="text2"/>
          <w:sz w:val="20"/>
        </w:rPr>
        <w:t>.</w:t>
      </w:r>
    </w:p>
    <w:p w14:paraId="182EC313" w14:textId="600DD836" w:rsidR="00A206E2" w:rsidRDefault="00B20416" w:rsidP="00264701">
      <w:r>
        <w:t>In contrast</w:t>
      </w:r>
      <w:r w:rsidR="005C74AC">
        <w:t xml:space="preserve">, </w:t>
      </w:r>
      <w:r w:rsidR="00AA7794" w:rsidRPr="00FE0AF3">
        <w:t xml:space="preserve">Prosper Australia noted the reduction in the rates of excise over time and questioned the logic for such high exemptions on crude oil and condensate. They recommended to </w:t>
      </w:r>
      <w:r w:rsidR="005D6F39">
        <w:t>‘</w:t>
      </w:r>
      <w:r w:rsidR="00AA7794" w:rsidRPr="00FE0AF3">
        <w:t>remove exemptions so that all p</w:t>
      </w:r>
      <w:r w:rsidR="00FE0AF3">
        <w:t xml:space="preserve">roduction incurs some crude </w:t>
      </w:r>
      <w:r w:rsidR="00E53439">
        <w:t>excise</w:t>
      </w:r>
      <w:r w:rsidR="005D6F39">
        <w:t>’</w:t>
      </w:r>
      <w:r w:rsidR="00FE0AF3">
        <w:t xml:space="preserve"> </w:t>
      </w:r>
      <w:r w:rsidR="00FE0AF3" w:rsidRPr="00551FA9">
        <w:t>(Prosper</w:t>
      </w:r>
      <w:r w:rsidR="00CF2405" w:rsidRPr="00551FA9">
        <w:t> </w:t>
      </w:r>
      <w:r w:rsidR="00FE0AF3" w:rsidRPr="00551FA9">
        <w:t>Australia Submission, p. 13)</w:t>
      </w:r>
      <w:r w:rsidR="00AA7794" w:rsidRPr="00FE0AF3">
        <w:t>.</w:t>
      </w:r>
    </w:p>
    <w:p w14:paraId="78518F7E" w14:textId="7889707F" w:rsidR="00DB560D" w:rsidRDefault="00A83909" w:rsidP="00264701">
      <w:r>
        <w:t xml:space="preserve">The removal of the </w:t>
      </w:r>
      <w:r w:rsidR="00A206E2">
        <w:t xml:space="preserve">current </w:t>
      </w:r>
      <w:r>
        <w:t>30 million barrel threshold was modelled on a project basis rather tha</w:t>
      </w:r>
      <w:r w:rsidR="00BF3C32">
        <w:t>n a field basis and resulted</w:t>
      </w:r>
      <w:r w:rsidR="008D435D">
        <w:t xml:space="preserve"> in </w:t>
      </w:r>
      <w:r w:rsidR="000555AD">
        <w:t>a $2</w:t>
      </w:r>
      <w:r w:rsidR="003414C3">
        <w:t> </w:t>
      </w:r>
      <w:r w:rsidR="000555AD">
        <w:t xml:space="preserve">billion increase in </w:t>
      </w:r>
      <w:r w:rsidR="008D435D">
        <w:t xml:space="preserve">revenue </w:t>
      </w:r>
      <w:r w:rsidR="00A206E2">
        <w:t xml:space="preserve">compared with the baseline </w:t>
      </w:r>
      <w:r w:rsidR="008D435D">
        <w:t>over the period</w:t>
      </w:r>
      <w:r w:rsidR="00264701">
        <w:t xml:space="preserve"> to </w:t>
      </w:r>
      <w:r w:rsidR="008D435D">
        <w:t xml:space="preserve">2050, </w:t>
      </w:r>
      <w:r w:rsidR="000555AD">
        <w:t>predominantly from production in the NWS project</w:t>
      </w:r>
      <w:r w:rsidR="00A206E2">
        <w:t xml:space="preserve">, see </w:t>
      </w:r>
      <w:r w:rsidR="00A206E2" w:rsidRPr="006D28D4">
        <w:t>Figure 5.1</w:t>
      </w:r>
      <w:r w:rsidR="008E7A85">
        <w:t>.</w:t>
      </w:r>
      <w:r w:rsidR="00DB560D" w:rsidRPr="00DB560D">
        <w:rPr>
          <w:rStyle w:val="FootnoteReference"/>
        </w:rPr>
        <w:t xml:space="preserve"> </w:t>
      </w:r>
      <w:r w:rsidR="00DB560D">
        <w:rPr>
          <w:rStyle w:val="FootnoteReference"/>
        </w:rPr>
        <w:footnoteReference w:id="26"/>
      </w:r>
      <w:r w:rsidR="008E7A85">
        <w:t xml:space="preserve"> </w:t>
      </w:r>
      <w:r w:rsidR="00A206E2">
        <w:t>E</w:t>
      </w:r>
      <w:r>
        <w:t xml:space="preserve">xtending </w:t>
      </w:r>
      <w:r w:rsidR="002C4FF6">
        <w:t xml:space="preserve">the crude oil </w:t>
      </w:r>
      <w:r>
        <w:t>exci</w:t>
      </w:r>
      <w:r w:rsidR="008E7A85">
        <w:t>se to all offshore projects and</w:t>
      </w:r>
      <w:r>
        <w:t xml:space="preserve"> remov</w:t>
      </w:r>
      <w:r w:rsidR="002C4FF6">
        <w:t>ing</w:t>
      </w:r>
      <w:r>
        <w:t xml:space="preserve"> the 30 million barrel threshold was also modelled</w:t>
      </w:r>
      <w:r w:rsidR="008E7A85">
        <w:t>.</w:t>
      </w:r>
      <w:r w:rsidR="002C4FF6">
        <w:t xml:space="preserve"> </w:t>
      </w:r>
      <w:r w:rsidR="00264701">
        <w:t>The</w:t>
      </w:r>
      <w:r w:rsidR="000555AD">
        <w:t>se</w:t>
      </w:r>
      <w:r w:rsidR="00264701">
        <w:t xml:space="preserve"> results are </w:t>
      </w:r>
      <w:r w:rsidR="000555AD">
        <w:t xml:space="preserve">also </w:t>
      </w:r>
      <w:r w:rsidR="00264701">
        <w:t xml:space="preserve">in </w:t>
      </w:r>
      <w:r w:rsidR="00264701" w:rsidRPr="003538E7">
        <w:t>Figure 5.1</w:t>
      </w:r>
      <w:r w:rsidR="00264701">
        <w:t>.</w:t>
      </w:r>
    </w:p>
    <w:p w14:paraId="45ECC142" w14:textId="487886C2" w:rsidR="00264701" w:rsidRDefault="00B939FE" w:rsidP="00B939FE">
      <w:pPr>
        <w:spacing w:after="0" w:line="240" w:lineRule="auto"/>
        <w:jc w:val="left"/>
      </w:pPr>
      <w:r>
        <w:br w:type="page"/>
      </w:r>
    </w:p>
    <w:p w14:paraId="73F9F32A" w14:textId="513DA778" w:rsidR="00264701" w:rsidRPr="000555AD" w:rsidRDefault="00264701" w:rsidP="00221C2A">
      <w:pPr>
        <w:pStyle w:val="ChartMainHeading"/>
      </w:pPr>
      <w:r w:rsidRPr="004E78F2">
        <w:t xml:space="preserve">Figure </w:t>
      </w:r>
      <w:r>
        <w:rPr>
          <w:bCs/>
          <w:szCs w:val="22"/>
        </w:rPr>
        <w:t>5.1</w:t>
      </w:r>
      <w:r w:rsidRPr="004E78F2">
        <w:t xml:space="preserve"> </w:t>
      </w:r>
      <w:r w:rsidR="00EE212D" w:rsidRPr="00EE212D">
        <w:t>—</w:t>
      </w:r>
      <w:r>
        <w:t xml:space="preserve"> E</w:t>
      </w:r>
      <w:r w:rsidRPr="004E78F2">
        <w:t>xcise threshold</w:t>
      </w:r>
      <w:r>
        <w:t xml:space="preserve"> removed</w:t>
      </w:r>
      <w:r w:rsidRPr="004E78F2">
        <w:t xml:space="preserve"> and appl</w:t>
      </w:r>
      <w:r>
        <w:t>ied</w:t>
      </w:r>
      <w:r w:rsidRPr="004E78F2">
        <w:t xml:space="preserve"> onshore and offshore</w:t>
      </w:r>
    </w:p>
    <w:p w14:paraId="56F28965" w14:textId="7B61219F" w:rsidR="00264701" w:rsidRDefault="000555AD" w:rsidP="00264701">
      <w:pPr>
        <w:pStyle w:val="ChartGraphic"/>
      </w:pPr>
      <w:r>
        <w:rPr>
          <w:noProof/>
        </w:rPr>
        <w:drawing>
          <wp:inline distT="0" distB="0" distL="0" distR="0" wp14:anchorId="5853DCCD" wp14:editId="6DFFF3D0">
            <wp:extent cx="5580000" cy="2880000"/>
            <wp:effectExtent l="0" t="0" r="1905" b="0"/>
            <wp:docPr id="13" name="Chart 13" descr="Figure 5.1 shows the effect on revenue if the 30 million barrel threshold is removed and excise is applied both onshore and offsho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63367EE" w14:textId="507B358D" w:rsidR="00EE212D" w:rsidRDefault="00EE212D" w:rsidP="008950BC">
      <w:pPr>
        <w:pStyle w:val="ChartorTableNote"/>
      </w:pPr>
      <w:r>
        <w:t>Source: Petroleum Resource Rent Tax Review Secretariat.</w:t>
      </w:r>
    </w:p>
    <w:p w14:paraId="31E82562" w14:textId="77777777" w:rsidR="008950BC" w:rsidRPr="008950BC" w:rsidRDefault="008950BC" w:rsidP="008950BC">
      <w:pPr>
        <w:pStyle w:val="SingleParagraph"/>
      </w:pPr>
    </w:p>
    <w:p w14:paraId="7146DD1D" w14:textId="58F61DC1" w:rsidR="008C39E4" w:rsidRDefault="00264701" w:rsidP="00A83909">
      <w:r>
        <w:t>Under this option, compared with the review</w:t>
      </w:r>
      <w:r w:rsidR="005D6F39">
        <w:t>’</w:t>
      </w:r>
      <w:r>
        <w:t>s baseline scenario, revenue collections (including crude oil excise and PRRT) would be around $</w:t>
      </w:r>
      <w:r w:rsidRPr="006D28D4">
        <w:t>12 billion</w:t>
      </w:r>
      <w:r>
        <w:t xml:space="preserve"> higher over the ten years to 2027. However, over the whole period to 2050, this option results in total revenue being around $</w:t>
      </w:r>
      <w:r w:rsidRPr="006D28D4">
        <w:t>14 billion</w:t>
      </w:r>
      <w:r>
        <w:t xml:space="preserve"> lower than in the baseline scenario. While the removal of excise thresholds results in increased revenue from excise collections initially, over the longer term there is significantly lower revenue. This is because excises paid would be resource tax expenditures and would be uplifted at LTBR plus 5 percentage points and carried forward against assessable PRRT receipts in the future. There are similarities in the results from this option and that of introducing a new royalty (</w:t>
      </w:r>
      <w:r w:rsidRPr="006D28D4">
        <w:t>outlined in section 6.5</w:t>
      </w:r>
      <w:r>
        <w:t xml:space="preserve">). </w:t>
      </w:r>
    </w:p>
    <w:p w14:paraId="5BAAC2CB" w14:textId="39B3DC63" w:rsidR="00D91A76" w:rsidRPr="00FE0AF3" w:rsidRDefault="00AA7794" w:rsidP="00FE0AF3">
      <w:r w:rsidRPr="00FE0AF3">
        <w:t>Further,</w:t>
      </w:r>
      <w:r w:rsidR="005C74AC">
        <w:t xml:space="preserve"> Prosper Australia</w:t>
      </w:r>
      <w:r w:rsidRPr="00FE0AF3">
        <w:t xml:space="preserve"> recommended considering merging the crude oil excise and Barrow Island </w:t>
      </w:r>
      <w:r w:rsidR="001E7474">
        <w:t>RRR</w:t>
      </w:r>
      <w:r w:rsidRPr="00FE0AF3">
        <w:t xml:space="preserve"> and increasing the rate as a simplification measure</w:t>
      </w:r>
      <w:r w:rsidR="00FE0AF3">
        <w:t xml:space="preserve"> </w:t>
      </w:r>
      <w:r w:rsidR="00FE0AF3" w:rsidRPr="00551FA9">
        <w:t>(Prosper Australia Submission, p. 13)</w:t>
      </w:r>
      <w:r w:rsidRPr="00FE0AF3">
        <w:t>.</w:t>
      </w:r>
      <w:r w:rsidR="00054898">
        <w:t xml:space="preserve"> </w:t>
      </w:r>
      <w:r w:rsidR="00353FF5">
        <w:t>The</w:t>
      </w:r>
      <w:r w:rsidR="00D91A76">
        <w:t xml:space="preserve"> Barrow Island </w:t>
      </w:r>
      <w:r w:rsidR="001E7474">
        <w:t>RRR</w:t>
      </w:r>
      <w:r w:rsidR="00D91A76">
        <w:t xml:space="preserve">, described in further detail in </w:t>
      </w:r>
      <w:r w:rsidR="00D91A76" w:rsidRPr="006D28D4">
        <w:t xml:space="preserve">section </w:t>
      </w:r>
      <w:r w:rsidR="00223600" w:rsidRPr="006D28D4">
        <w:t>6</w:t>
      </w:r>
      <w:r w:rsidR="00D91A76" w:rsidRPr="006D28D4">
        <w:t>.2</w:t>
      </w:r>
      <w:r w:rsidR="00AE790C">
        <w:t>,</w:t>
      </w:r>
      <w:r w:rsidR="00D91A76">
        <w:t xml:space="preserve"> is essentially a </w:t>
      </w:r>
      <w:r w:rsidR="004730A7">
        <w:t>profit</w:t>
      </w:r>
      <w:r w:rsidR="005D6F39">
        <w:noBreakHyphen/>
      </w:r>
      <w:r w:rsidR="00D91A76">
        <w:t>base</w:t>
      </w:r>
      <w:r w:rsidR="00A83909">
        <w:t>d</w:t>
      </w:r>
      <w:r w:rsidR="00D91A76">
        <w:t xml:space="preserve"> tax very similar in design to the PRRT and may not be a good candidate for a simplification merger.</w:t>
      </w:r>
    </w:p>
    <w:p w14:paraId="1F394DC8" w14:textId="51981EF2" w:rsidR="005F35F4" w:rsidRDefault="005F35F4" w:rsidP="006D54FE">
      <w:r>
        <w:t xml:space="preserve">As outlined in </w:t>
      </w:r>
      <w:r w:rsidRPr="006D28D4">
        <w:t>section 5.3</w:t>
      </w:r>
      <w:r>
        <w:t xml:space="preserve">, the changes in the rate of excise over time have primarily sought to encourage further development of marginal fields. This was one of the reasons for the introduction of a total field threshold in 1987 and it was one of the factors that led to the introduction of the PRRT around the same time. The smaller onshore fields </w:t>
      </w:r>
      <w:r w:rsidDel="00530F6A">
        <w:t>typically</w:t>
      </w:r>
      <w:r>
        <w:t xml:space="preserve"> have higher marginal costs to operate and were disproportionately impacted.</w:t>
      </w:r>
    </w:p>
    <w:p w14:paraId="377B37E1" w14:textId="4352F11D" w:rsidR="000F477D" w:rsidDel="00C91B82" w:rsidRDefault="008D435D" w:rsidP="006D54FE">
      <w:r>
        <w:t xml:space="preserve">State royalties are the primary method </w:t>
      </w:r>
      <w:r w:rsidR="00A147F3">
        <w:t xml:space="preserve">by which </w:t>
      </w:r>
      <w:r>
        <w:t>the Australian community receives a return for its onshore resources.</w:t>
      </w:r>
      <w:r w:rsidDel="00B939FE">
        <w:t xml:space="preserve"> </w:t>
      </w:r>
      <w:r w:rsidR="004F2E94">
        <w:t>No onshore producers currently pay crude oil excise because production has not exceeded the annual and field production thresholds</w:t>
      </w:r>
      <w:r w:rsidR="00D10802">
        <w:t xml:space="preserve">. </w:t>
      </w:r>
      <w:r w:rsidR="004F2E94">
        <w:t>Further, at current rates of production, it is unlikely that any existing onshore fields will pay any excise.</w:t>
      </w:r>
      <w:r w:rsidR="005F35F4" w:rsidDel="00B939FE">
        <w:t xml:space="preserve"> </w:t>
      </w:r>
    </w:p>
    <w:p w14:paraId="113D292F" w14:textId="12C8C5D9" w:rsidR="00264701" w:rsidRDefault="004F2E94" w:rsidP="00AB1D5D">
      <w:r>
        <w:t>As noted</w:t>
      </w:r>
      <w:r w:rsidR="00AB1D5D">
        <w:t xml:space="preserve"> in </w:t>
      </w:r>
      <w:r w:rsidRPr="006D28D4">
        <w:t>section 5.4</w:t>
      </w:r>
      <w:r>
        <w:t>,</w:t>
      </w:r>
      <w:r w:rsidR="00AB1D5D">
        <w:t xml:space="preserve"> crude oil excise is only collected from the </w:t>
      </w:r>
      <w:r>
        <w:t>NWS p</w:t>
      </w:r>
      <w:r w:rsidR="00AB1D5D">
        <w:t xml:space="preserve">roject </w:t>
      </w:r>
      <w:r w:rsidR="00161002">
        <w:t>a</w:t>
      </w:r>
      <w:r w:rsidR="00AB1D5D">
        <w:t>rea</w:t>
      </w:r>
      <w:r>
        <w:t xml:space="preserve"> and together</w:t>
      </w:r>
      <w:r w:rsidR="00AB1D5D">
        <w:t xml:space="preserve"> with the Commonwealth royalty, makes up the long standing tax arrangements applying to this </w:t>
      </w:r>
      <w:r w:rsidR="00D33F9B">
        <w:t>project</w:t>
      </w:r>
      <w:r w:rsidR="00AB1D5D">
        <w:t xml:space="preserve">. </w:t>
      </w:r>
      <w:r>
        <w:t>While g</w:t>
      </w:r>
      <w:r w:rsidR="00AB1D5D">
        <w:t xml:space="preserve">ases are not levied under the crude oil excise, </w:t>
      </w:r>
      <w:r>
        <w:t>they</w:t>
      </w:r>
      <w:r w:rsidR="00AB1D5D">
        <w:t xml:space="preserve"> are covered by royalty arrangements</w:t>
      </w:r>
      <w:r w:rsidR="001D7B0C">
        <w:t xml:space="preserve"> along with oil and condensate production</w:t>
      </w:r>
      <w:r w:rsidR="00AB1D5D">
        <w:t>.</w:t>
      </w:r>
    </w:p>
    <w:p w14:paraId="293277FB" w14:textId="77777777" w:rsidR="00DB560D" w:rsidRDefault="00DB560D">
      <w:pPr>
        <w:spacing w:after="0" w:line="240" w:lineRule="auto"/>
        <w:jc w:val="left"/>
      </w:pPr>
      <w:bookmarkStart w:id="8074" w:name="_Toc476577390"/>
      <w:bookmarkStart w:id="8075" w:name="_Toc476582379"/>
      <w:bookmarkStart w:id="8076" w:name="_Toc476583053"/>
      <w:bookmarkStart w:id="8077" w:name="_Toc476583770"/>
      <w:bookmarkStart w:id="8078" w:name="_Toc476584218"/>
      <w:bookmarkStart w:id="8079" w:name="_Toc476738125"/>
      <w:bookmarkStart w:id="8080" w:name="_Toc476747710"/>
      <w:bookmarkStart w:id="8081" w:name="_Toc476749120"/>
      <w:bookmarkStart w:id="8082" w:name="_Toc476753987"/>
      <w:bookmarkStart w:id="8083" w:name="_Toc476754482"/>
      <w:bookmarkStart w:id="8084" w:name="_Toc476754647"/>
      <w:bookmarkStart w:id="8085" w:name="_Toc476759886"/>
      <w:bookmarkStart w:id="8086" w:name="_Toc476761508"/>
      <w:bookmarkStart w:id="8087" w:name="_Toc476767146"/>
      <w:bookmarkStart w:id="8088" w:name="_Toc476827192"/>
      <w:bookmarkStart w:id="8089" w:name="_Toc476828885"/>
      <w:bookmarkStart w:id="8090" w:name="_Toc476833759"/>
      <w:bookmarkStart w:id="8091" w:name="_Toc476837232"/>
      <w:bookmarkStart w:id="8092" w:name="_Toc476841105"/>
      <w:bookmarkStart w:id="8093" w:name="_Toc476841310"/>
      <w:bookmarkStart w:id="8094" w:name="_Toc476842069"/>
      <w:bookmarkStart w:id="8095" w:name="_Toc476843013"/>
      <w:bookmarkStart w:id="8096" w:name="_Toc476843184"/>
      <w:bookmarkStart w:id="8097" w:name="_Toc476844682"/>
      <w:bookmarkStart w:id="8098" w:name="_Toc476845575"/>
      <w:bookmarkStart w:id="8099" w:name="_Toc476926969"/>
      <w:bookmarkStart w:id="8100" w:name="_Toc476927082"/>
      <w:bookmarkStart w:id="8101" w:name="_Toc476927256"/>
      <w:bookmarkStart w:id="8102" w:name="_Toc476928520"/>
      <w:bookmarkStart w:id="8103" w:name="_Toc476929563"/>
      <w:bookmarkStart w:id="8104" w:name="_Toc476929738"/>
      <w:bookmarkStart w:id="8105" w:name="_Toc476930781"/>
      <w:bookmarkStart w:id="8106" w:name="_Toc476931588"/>
      <w:bookmarkStart w:id="8107" w:name="_Toc477869924"/>
      <w:bookmarkStart w:id="8108" w:name="_Toc477871163"/>
      <w:bookmarkStart w:id="8109" w:name="_Toc477873322"/>
      <w:bookmarkStart w:id="8110" w:name="_Toc477875316"/>
      <w:bookmarkStart w:id="8111" w:name="_Toc477880229"/>
      <w:bookmarkStart w:id="8112" w:name="_Toc477881489"/>
      <w:bookmarkStart w:id="8113" w:name="_Toc477955893"/>
      <w:bookmarkStart w:id="8114" w:name="_Toc477963138"/>
      <w:bookmarkStart w:id="8115" w:name="_Toc477963624"/>
      <w:bookmarkStart w:id="8116" w:name="_Toc477965210"/>
      <w:bookmarkStart w:id="8117" w:name="_Toc477966714"/>
      <w:bookmarkStart w:id="8118" w:name="_Toc477966883"/>
      <w:bookmarkStart w:id="8119" w:name="_Toc477967223"/>
      <w:bookmarkStart w:id="8120" w:name="_Toc478121360"/>
      <w:bookmarkStart w:id="8121" w:name="_Toc478122273"/>
      <w:bookmarkStart w:id="8122" w:name="_Toc478132247"/>
      <w:bookmarkStart w:id="8123" w:name="_Toc478133273"/>
      <w:bookmarkStart w:id="8124" w:name="_Toc478132410"/>
      <w:bookmarkStart w:id="8125" w:name="_Toc478134739"/>
      <w:bookmarkStart w:id="8126" w:name="_Toc478137441"/>
      <w:bookmarkStart w:id="8127" w:name="_Toc478138513"/>
      <w:bookmarkStart w:id="8128" w:name="_Toc478140083"/>
      <w:bookmarkStart w:id="8129" w:name="_Toc478140499"/>
      <w:bookmarkStart w:id="8130" w:name="_Toc478142705"/>
      <w:bookmarkStart w:id="8131" w:name="_Toc478566424"/>
      <w:bookmarkStart w:id="8132" w:name="_Toc478569591"/>
      <w:bookmarkStart w:id="8133" w:name="_Toc478569765"/>
      <w:bookmarkStart w:id="8134" w:name="_Toc478570839"/>
      <w:bookmarkStart w:id="8135" w:name="_Toc478633038"/>
      <w:bookmarkStart w:id="8136" w:name="_Toc478641448"/>
      <w:bookmarkStart w:id="8137" w:name="_Toc478654342"/>
      <w:bookmarkStart w:id="8138" w:name="_Toc478654516"/>
      <w:bookmarkStart w:id="8139" w:name="_Toc478657811"/>
      <w:bookmarkStart w:id="8140" w:name="_Toc478993232"/>
      <w:bookmarkStart w:id="8141" w:name="_Toc479000303"/>
      <w:bookmarkStart w:id="8142" w:name="_Toc479002237"/>
      <w:bookmarkStart w:id="8143" w:name="_Toc479002409"/>
      <w:r>
        <w:br w:type="page"/>
      </w:r>
    </w:p>
    <w:p w14:paraId="2827EC14" w14:textId="1DA26A5D" w:rsidR="00AA7794" w:rsidRDefault="008120BA" w:rsidP="006D54FE">
      <w:pPr>
        <w:pStyle w:val="Heading1"/>
      </w:pPr>
      <w:bookmarkStart w:id="8144" w:name="_Toc479254383"/>
      <w:bookmarkStart w:id="8145" w:name="_Toc479258572"/>
      <w:bookmarkStart w:id="8146" w:name="_Toc479258888"/>
      <w:bookmarkStart w:id="8147" w:name="_Toc479259780"/>
      <w:bookmarkStart w:id="8148" w:name="_Toc479262203"/>
      <w:bookmarkStart w:id="8149" w:name="_Toc479262624"/>
      <w:bookmarkStart w:id="8150" w:name="_Toc479321325"/>
      <w:bookmarkStart w:id="8151" w:name="_Toc479326764"/>
      <w:bookmarkStart w:id="8152" w:name="_Toc479333025"/>
      <w:bookmarkStart w:id="8153" w:name="_Toc479333363"/>
      <w:bookmarkStart w:id="8154" w:name="_Toc479335060"/>
      <w:bookmarkStart w:id="8155" w:name="_Toc479341775"/>
      <w:bookmarkStart w:id="8156" w:name="_Toc479345191"/>
      <w:bookmarkStart w:id="8157" w:name="_Toc479345400"/>
      <w:bookmarkStart w:id="8158" w:name="_Toc479348381"/>
      <w:bookmarkStart w:id="8159" w:name="_Toc479675975"/>
      <w:bookmarkStart w:id="8160" w:name="_Toc479690942"/>
      <w:bookmarkStart w:id="8161" w:name="_Toc479693520"/>
      <w:bookmarkStart w:id="8162" w:name="_Toc479770689"/>
      <w:r>
        <w:t>6</w:t>
      </w:r>
      <w:r w:rsidR="00C065B1">
        <w:t>.</w:t>
      </w:r>
      <w:r w:rsidR="00C065B1">
        <w:tab/>
        <w:t>Other Revenue Including Royalties</w:t>
      </w:r>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p>
    <w:p w14:paraId="2162B0BB" w14:textId="21623943" w:rsidR="006D54FE" w:rsidRDefault="00952358" w:rsidP="006D54FE">
      <w:r>
        <w:t xml:space="preserve">In addition to </w:t>
      </w:r>
      <w:r w:rsidR="00AA7794">
        <w:t xml:space="preserve">the PRRT and excise, the Australian Government receives other </w:t>
      </w:r>
      <w:r>
        <w:t xml:space="preserve">revenue from </w:t>
      </w:r>
      <w:r w:rsidR="00AA7794">
        <w:t xml:space="preserve">petroleum </w:t>
      </w:r>
      <w:r w:rsidR="002E2F16">
        <w:t>projects</w:t>
      </w:r>
      <w:r w:rsidR="00AA7794">
        <w:t>, mostly in the form of royalties</w:t>
      </w:r>
      <w:r>
        <w:t>.</w:t>
      </w:r>
    </w:p>
    <w:p w14:paraId="2EEDA4B9" w14:textId="64FC7BC8" w:rsidR="00AA7794" w:rsidRDefault="008120BA" w:rsidP="006D54FE">
      <w:pPr>
        <w:pStyle w:val="Heading2"/>
      </w:pPr>
      <w:bookmarkStart w:id="8163" w:name="_Toc476577391"/>
      <w:bookmarkStart w:id="8164" w:name="_Toc476582380"/>
      <w:bookmarkStart w:id="8165" w:name="_Toc476583054"/>
      <w:bookmarkStart w:id="8166" w:name="_Toc476583771"/>
      <w:bookmarkStart w:id="8167" w:name="_Toc476584219"/>
      <w:bookmarkStart w:id="8168" w:name="_Toc476738126"/>
      <w:bookmarkStart w:id="8169" w:name="_Toc476747711"/>
      <w:bookmarkStart w:id="8170" w:name="_Toc476749121"/>
      <w:bookmarkStart w:id="8171" w:name="_Toc476753988"/>
      <w:bookmarkStart w:id="8172" w:name="_Toc476754483"/>
      <w:bookmarkStart w:id="8173" w:name="_Toc476754648"/>
      <w:bookmarkStart w:id="8174" w:name="_Toc476759887"/>
      <w:bookmarkStart w:id="8175" w:name="_Toc476761509"/>
      <w:bookmarkStart w:id="8176" w:name="_Toc476767147"/>
      <w:bookmarkStart w:id="8177" w:name="_Toc476827193"/>
      <w:bookmarkStart w:id="8178" w:name="_Toc476828886"/>
      <w:bookmarkStart w:id="8179" w:name="_Toc476833760"/>
      <w:bookmarkStart w:id="8180" w:name="_Toc476837233"/>
      <w:bookmarkStart w:id="8181" w:name="_Toc476841106"/>
      <w:bookmarkStart w:id="8182" w:name="_Toc476841311"/>
      <w:bookmarkStart w:id="8183" w:name="_Toc476842070"/>
      <w:bookmarkStart w:id="8184" w:name="_Toc476843014"/>
      <w:bookmarkStart w:id="8185" w:name="_Toc476843185"/>
      <w:bookmarkStart w:id="8186" w:name="_Toc476844683"/>
      <w:bookmarkStart w:id="8187" w:name="_Toc476845576"/>
      <w:bookmarkStart w:id="8188" w:name="_Toc476926970"/>
      <w:bookmarkStart w:id="8189" w:name="_Toc476927083"/>
      <w:bookmarkStart w:id="8190" w:name="_Toc476927257"/>
      <w:bookmarkStart w:id="8191" w:name="_Toc476928521"/>
      <w:bookmarkStart w:id="8192" w:name="_Toc476929564"/>
      <w:bookmarkStart w:id="8193" w:name="_Toc476929739"/>
      <w:bookmarkStart w:id="8194" w:name="_Toc476930782"/>
      <w:bookmarkStart w:id="8195" w:name="_Toc476931589"/>
      <w:bookmarkStart w:id="8196" w:name="_Toc477869925"/>
      <w:bookmarkStart w:id="8197" w:name="_Toc477871164"/>
      <w:bookmarkStart w:id="8198" w:name="_Toc477873323"/>
      <w:bookmarkStart w:id="8199" w:name="_Toc477875317"/>
      <w:bookmarkStart w:id="8200" w:name="_Toc477880230"/>
      <w:bookmarkStart w:id="8201" w:name="_Toc477881490"/>
      <w:bookmarkStart w:id="8202" w:name="_Toc477955894"/>
      <w:bookmarkStart w:id="8203" w:name="_Toc477963139"/>
      <w:bookmarkStart w:id="8204" w:name="_Toc477963625"/>
      <w:bookmarkStart w:id="8205" w:name="_Toc477965211"/>
      <w:bookmarkStart w:id="8206" w:name="_Toc477966715"/>
      <w:bookmarkStart w:id="8207" w:name="_Toc477966884"/>
      <w:bookmarkStart w:id="8208" w:name="_Toc477967224"/>
      <w:bookmarkStart w:id="8209" w:name="_Toc478121361"/>
      <w:bookmarkStart w:id="8210" w:name="_Toc478122274"/>
      <w:bookmarkStart w:id="8211" w:name="_Toc478132104"/>
      <w:bookmarkStart w:id="8212" w:name="_Toc478132248"/>
      <w:bookmarkStart w:id="8213" w:name="_Toc478133274"/>
      <w:bookmarkStart w:id="8214" w:name="_Toc478132411"/>
      <w:bookmarkStart w:id="8215" w:name="_Toc478134740"/>
      <w:bookmarkStart w:id="8216" w:name="_Toc478137442"/>
      <w:bookmarkStart w:id="8217" w:name="_Toc478138514"/>
      <w:bookmarkStart w:id="8218" w:name="_Toc478140084"/>
      <w:bookmarkStart w:id="8219" w:name="_Toc478140500"/>
      <w:bookmarkStart w:id="8220" w:name="_Toc478142706"/>
      <w:bookmarkStart w:id="8221" w:name="_Toc478566425"/>
      <w:bookmarkStart w:id="8222" w:name="_Toc478569592"/>
      <w:bookmarkStart w:id="8223" w:name="_Toc478569766"/>
      <w:bookmarkStart w:id="8224" w:name="_Toc478570840"/>
      <w:bookmarkStart w:id="8225" w:name="_Toc478633039"/>
      <w:bookmarkStart w:id="8226" w:name="_Toc478641449"/>
      <w:bookmarkStart w:id="8227" w:name="_Toc478654343"/>
      <w:bookmarkStart w:id="8228" w:name="_Toc478654517"/>
      <w:bookmarkStart w:id="8229" w:name="_Toc478657812"/>
      <w:bookmarkStart w:id="8230" w:name="_Toc478993233"/>
      <w:bookmarkStart w:id="8231" w:name="_Toc479000304"/>
      <w:bookmarkStart w:id="8232" w:name="_Toc479002238"/>
      <w:bookmarkStart w:id="8233" w:name="_Toc479002410"/>
      <w:bookmarkStart w:id="8234" w:name="_Toc479254384"/>
      <w:bookmarkStart w:id="8235" w:name="_Toc479258573"/>
      <w:bookmarkStart w:id="8236" w:name="_Toc479258889"/>
      <w:bookmarkStart w:id="8237" w:name="_Toc479259781"/>
      <w:bookmarkStart w:id="8238" w:name="_Toc479262204"/>
      <w:bookmarkStart w:id="8239" w:name="_Toc479262625"/>
      <w:bookmarkStart w:id="8240" w:name="_Toc479321326"/>
      <w:bookmarkStart w:id="8241" w:name="_Toc479326765"/>
      <w:bookmarkStart w:id="8242" w:name="_Toc479333026"/>
      <w:bookmarkStart w:id="8243" w:name="_Toc479333364"/>
      <w:bookmarkStart w:id="8244" w:name="_Toc479335061"/>
      <w:bookmarkStart w:id="8245" w:name="_Toc479341776"/>
      <w:bookmarkStart w:id="8246" w:name="_Toc479345192"/>
      <w:bookmarkStart w:id="8247" w:name="_Toc479345401"/>
      <w:bookmarkStart w:id="8248" w:name="_Toc479348382"/>
      <w:bookmarkStart w:id="8249" w:name="_Toc479675976"/>
      <w:bookmarkStart w:id="8250" w:name="_Toc479690943"/>
      <w:bookmarkStart w:id="8251" w:name="_Toc479693521"/>
      <w:bookmarkStart w:id="8252" w:name="_Toc479770690"/>
      <w:r>
        <w:t>6</w:t>
      </w:r>
      <w:r w:rsidR="00C065B1">
        <w:t>.1</w:t>
      </w:r>
      <w:r w:rsidR="00C065B1">
        <w:tab/>
        <w:t>Commonwealth Royalties</w:t>
      </w:r>
      <w:r w:rsidR="005D6F39">
        <w:t xml:space="preserve"> — </w:t>
      </w:r>
      <w:r w:rsidR="00C065B1">
        <w:t>North West Shelf Project</w:t>
      </w:r>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p>
    <w:p w14:paraId="6DD519DB" w14:textId="6C98AD5C" w:rsidR="00AA7794" w:rsidRDefault="00AA7794" w:rsidP="006D54FE">
      <w:r>
        <w:t xml:space="preserve">Commonwealth offshore petroleum royalty only applies to the </w:t>
      </w:r>
      <w:r w:rsidR="00353FF5">
        <w:t>NWS</w:t>
      </w:r>
      <w:r>
        <w:t xml:space="preserve"> project</w:t>
      </w:r>
      <w:r w:rsidR="00952358">
        <w:t>. The NWS</w:t>
      </w:r>
      <w:r>
        <w:t xml:space="preserve"> project is also subject to PRRT (from 2012) and excise</w:t>
      </w:r>
      <w:r w:rsidR="00353FF5">
        <w:t>,</w:t>
      </w:r>
      <w:r>
        <w:t xml:space="preserve"> making it Australia</w:t>
      </w:r>
      <w:r w:rsidR="005D6F39">
        <w:t>’</w:t>
      </w:r>
      <w:r>
        <w:t>s only offshore petroleum project subject to all three</w:t>
      </w:r>
      <w:r w:rsidR="00353FF5">
        <w:t xml:space="preserve"> taxation regimes</w:t>
      </w:r>
      <w:r>
        <w:t xml:space="preserve">. Royalty is payable to the Australian Government </w:t>
      </w:r>
      <w:r w:rsidR="00952358">
        <w:t>on</w:t>
      </w:r>
      <w:r>
        <w:t xml:space="preserve"> the value of all petroleum (including gas) production from the </w:t>
      </w:r>
      <w:r w:rsidR="00353FF5">
        <w:t>NWS</w:t>
      </w:r>
      <w:r>
        <w:t xml:space="preserve"> project area and is shared with </w:t>
      </w:r>
      <w:r w:rsidR="00353FF5">
        <w:t xml:space="preserve">the </w:t>
      </w:r>
      <w:r w:rsidR="005B40FC">
        <w:t>WA</w:t>
      </w:r>
      <w:r w:rsidDel="005B40FC">
        <w:t xml:space="preserve"> </w:t>
      </w:r>
      <w:r w:rsidR="005B40FC">
        <w:t xml:space="preserve">Government </w:t>
      </w:r>
      <w:r>
        <w:t xml:space="preserve">as prescribed by </w:t>
      </w:r>
      <w:r w:rsidR="00AB4FD2">
        <w:t>s</w:t>
      </w:r>
      <w:r>
        <w:t xml:space="preserve">ection 75 of </w:t>
      </w:r>
      <w:r w:rsidRPr="006D54FE">
        <w:rPr>
          <w:i/>
        </w:rPr>
        <w:t>the Offshore Petroleum and Greenhouse Gas Storage Act 2006</w:t>
      </w:r>
      <w:r>
        <w:t xml:space="preserve">. The legislative basis for the collection of Commonwealth royalty is the </w:t>
      </w:r>
      <w:r w:rsidRPr="006D54FE">
        <w:rPr>
          <w:i/>
        </w:rPr>
        <w:t>Offshore Petroleum and Greenhouse Gas Storage Act 2006 and the Offshore Petroleum (Royalty) Act 2006</w:t>
      </w:r>
      <w:r>
        <w:t>.</w:t>
      </w:r>
    </w:p>
    <w:p w14:paraId="7D8F4489" w14:textId="4BDADF61" w:rsidR="00AA7794" w:rsidRDefault="00AA7794" w:rsidP="006D54FE">
      <w:r>
        <w:t>The NWS royalty is an ad valorem royalty levied as a percentage of the wellhead value</w:t>
      </w:r>
      <w:r w:rsidR="00952358">
        <w:t>. Wellhead value</w:t>
      </w:r>
      <w:r>
        <w:t xml:space="preserve"> is calculated by </w:t>
      </w:r>
      <w:r w:rsidR="00952358">
        <w:t xml:space="preserve">taking sales receipts and </w:t>
      </w:r>
      <w:r>
        <w:t>subtracting excise, allowances for post</w:t>
      </w:r>
      <w:r w:rsidR="005D6F39">
        <w:noBreakHyphen/>
      </w:r>
      <w:r>
        <w:t>wellhead capital assets and depreciation, and operating costs such as processing and transportation.</w:t>
      </w:r>
      <w:r w:rsidR="00353FF5">
        <w:t xml:space="preserve"> </w:t>
      </w:r>
      <w:r>
        <w:t>Conceptually, the wellhead is the point of valuation closest to the petroleum extraction point.</w:t>
      </w:r>
    </w:p>
    <w:p w14:paraId="7C453B25" w14:textId="019946A2" w:rsidR="00AA7794" w:rsidRDefault="00AA7794" w:rsidP="006D54FE">
      <w:r>
        <w:t>The NWS royalty rate is set at between 10 and 12.5</w:t>
      </w:r>
      <w:r w:rsidR="007A1E7A">
        <w:t xml:space="preserve"> per cent</w:t>
      </w:r>
      <w:r>
        <w:t xml:space="preserve"> of the wellhead value</w:t>
      </w:r>
      <w:r w:rsidR="00952358">
        <w:t>, depending on the production licence</w:t>
      </w:r>
      <w:r>
        <w:t>. Petroleum recovered under a primary production licence attracts a royalty rate of 10</w:t>
      </w:r>
      <w:r w:rsidR="007A1E7A">
        <w:t xml:space="preserve"> per cent</w:t>
      </w:r>
      <w:r>
        <w:t>. If there is a</w:t>
      </w:r>
      <w:r w:rsidR="002F6F9B">
        <w:t>n area remaining</w:t>
      </w:r>
      <w:r>
        <w:t xml:space="preserve"> within the permit or lease after the primary licence is granted</w:t>
      </w:r>
      <w:r w:rsidR="00353FF5">
        <w:t>,</w:t>
      </w:r>
      <w:r>
        <w:t xml:space="preserve"> a secondary production licence may be granted</w:t>
      </w:r>
      <w:r w:rsidR="002F6F9B">
        <w:t xml:space="preserve"> over that area</w:t>
      </w:r>
      <w:r>
        <w:t>. Royalty rates on secondary production licences are limited to between 11 and 12.5</w:t>
      </w:r>
      <w:r w:rsidR="007A1E7A">
        <w:t xml:space="preserve"> per cent</w:t>
      </w:r>
      <w:r>
        <w:t>.</w:t>
      </w:r>
      <w:r w:rsidDel="00952358">
        <w:t xml:space="preserve"> </w:t>
      </w:r>
      <w:r w:rsidR="00952358">
        <w:t>All</w:t>
      </w:r>
      <w:r>
        <w:t xml:space="preserve"> fields that are currently producing under a secondary licence pay royalt</w:t>
      </w:r>
      <w:r w:rsidR="00FC2F5F">
        <w:t>ies</w:t>
      </w:r>
      <w:r>
        <w:t xml:space="preserve"> at</w:t>
      </w:r>
      <w:r w:rsidR="008950BC">
        <w:t> </w:t>
      </w:r>
      <w:r>
        <w:t>12.5</w:t>
      </w:r>
      <w:r w:rsidR="008950BC">
        <w:t> </w:t>
      </w:r>
      <w:r w:rsidR="007A1E7A">
        <w:t>per</w:t>
      </w:r>
      <w:r w:rsidR="008950BC">
        <w:t> </w:t>
      </w:r>
      <w:r w:rsidR="007A1E7A">
        <w:t>cent</w:t>
      </w:r>
      <w:r>
        <w:t>.</w:t>
      </w:r>
    </w:p>
    <w:p w14:paraId="06FAF28E" w14:textId="3957C591" w:rsidR="00AA7794" w:rsidRDefault="00AA7794" w:rsidP="006D54FE">
      <w:r>
        <w:t>The NWS royalties are shared</w:t>
      </w:r>
      <w:r w:rsidR="00952358">
        <w:t xml:space="preserve"> with </w:t>
      </w:r>
      <w:r w:rsidR="005B40FC">
        <w:t>WA,</w:t>
      </w:r>
      <w:r>
        <w:t xml:space="preserve"> with approximately two thirds of collections paid to the </w:t>
      </w:r>
      <w:r w:rsidR="00952358">
        <w:t>WA</w:t>
      </w:r>
      <w:r>
        <w:t xml:space="preserve"> Government and one third to the </w:t>
      </w:r>
      <w:r w:rsidR="005B40FC">
        <w:t xml:space="preserve">Commonwealth </w:t>
      </w:r>
      <w:r>
        <w:t>Government. As the royalty rate increases from 10 to 12.5</w:t>
      </w:r>
      <w:r w:rsidR="007A1E7A">
        <w:t xml:space="preserve"> per cent</w:t>
      </w:r>
      <w:r>
        <w:t xml:space="preserve">, </w:t>
      </w:r>
      <w:r w:rsidR="00952358">
        <w:t>WA</w:t>
      </w:r>
      <w:r w:rsidR="005D6F39">
        <w:t>’</w:t>
      </w:r>
      <w:r>
        <w:t>s share of the royalty increases incrementally.</w:t>
      </w:r>
    </w:p>
    <w:p w14:paraId="65847C9E" w14:textId="63488A0D" w:rsidR="00BD63A6" w:rsidRDefault="00AA7794" w:rsidP="006D54FE">
      <w:r>
        <w:t xml:space="preserve">Royalties received from the NWS project represent a significant and constant source of revenue for the </w:t>
      </w:r>
      <w:r w:rsidR="005B40FC">
        <w:t xml:space="preserve">Commonwealth </w:t>
      </w:r>
      <w:r>
        <w:t xml:space="preserve">and </w:t>
      </w:r>
      <w:r w:rsidR="005B40FC">
        <w:t>WA G</w:t>
      </w:r>
      <w:r>
        <w:t xml:space="preserve">overnments. The NWS </w:t>
      </w:r>
      <w:r w:rsidR="00FC2F5F">
        <w:t>p</w:t>
      </w:r>
      <w:r>
        <w:t>roject</w:t>
      </w:r>
      <w:r w:rsidR="005D6F39">
        <w:t>’</w:t>
      </w:r>
      <w:r>
        <w:t xml:space="preserve">s submission to the </w:t>
      </w:r>
      <w:r w:rsidR="005B40FC">
        <w:t xml:space="preserve">review </w:t>
      </w:r>
      <w:r>
        <w:t>stated</w:t>
      </w:r>
      <w:r w:rsidR="00BD63A6">
        <w:t>:</w:t>
      </w:r>
    </w:p>
    <w:p w14:paraId="3784C47C" w14:textId="7037767C" w:rsidR="00BD63A6" w:rsidRPr="00BD63A6" w:rsidRDefault="00AA7794" w:rsidP="00BD63A6">
      <w:pPr>
        <w:ind w:left="720"/>
        <w:rPr>
          <w:color w:val="1F497D" w:themeColor="text2"/>
          <w:sz w:val="20"/>
        </w:rPr>
      </w:pPr>
      <w:r w:rsidRPr="00BD63A6">
        <w:rPr>
          <w:color w:val="1F497D" w:themeColor="text2"/>
          <w:sz w:val="20"/>
        </w:rPr>
        <w:t>…</w:t>
      </w:r>
      <w:r w:rsidR="008950BC">
        <w:rPr>
          <w:color w:val="1F497D" w:themeColor="text2"/>
          <w:sz w:val="20"/>
        </w:rPr>
        <w:t xml:space="preserve"> </w:t>
      </w:r>
      <w:r w:rsidRPr="00BD63A6">
        <w:rPr>
          <w:color w:val="1F497D" w:themeColor="text2"/>
          <w:sz w:val="20"/>
        </w:rPr>
        <w:t>the royalties paid by the NWS Project participants over the life of the project are significant, recently ave</w:t>
      </w:r>
      <w:r w:rsidR="008D70E8">
        <w:rPr>
          <w:color w:val="1F497D" w:themeColor="text2"/>
          <w:sz w:val="20"/>
        </w:rPr>
        <w:t xml:space="preserve">raging over $1 billion annually </w:t>
      </w:r>
      <w:r w:rsidR="008D70E8" w:rsidRPr="00551FA9">
        <w:rPr>
          <w:color w:val="1F497D" w:themeColor="text2"/>
          <w:sz w:val="20"/>
        </w:rPr>
        <w:t>(</w:t>
      </w:r>
      <w:r w:rsidR="00BD63A6" w:rsidRPr="00551FA9">
        <w:rPr>
          <w:color w:val="1F497D" w:themeColor="text2"/>
          <w:sz w:val="20"/>
        </w:rPr>
        <w:t>NWS Project Submission, p</w:t>
      </w:r>
      <w:r w:rsidR="003E69D7">
        <w:rPr>
          <w:color w:val="1F497D" w:themeColor="text2"/>
          <w:sz w:val="20"/>
        </w:rPr>
        <w:t>.</w:t>
      </w:r>
      <w:r w:rsidR="00BD63A6" w:rsidRPr="00551FA9">
        <w:rPr>
          <w:color w:val="1F497D" w:themeColor="text2"/>
          <w:sz w:val="20"/>
        </w:rPr>
        <w:t xml:space="preserve"> 8</w:t>
      </w:r>
      <w:r w:rsidR="008D70E8" w:rsidRPr="00551FA9">
        <w:rPr>
          <w:color w:val="1F497D" w:themeColor="text2"/>
          <w:sz w:val="20"/>
        </w:rPr>
        <w:t>)</w:t>
      </w:r>
      <w:r w:rsidR="00BD63A6" w:rsidRPr="008D70E8">
        <w:rPr>
          <w:color w:val="1F497D" w:themeColor="text2"/>
          <w:sz w:val="20"/>
        </w:rPr>
        <w:t>.</w:t>
      </w:r>
    </w:p>
    <w:p w14:paraId="50585D1A" w14:textId="0312DE54" w:rsidR="00AA7794" w:rsidRDefault="008120BA" w:rsidP="006D54FE">
      <w:pPr>
        <w:pStyle w:val="Heading3"/>
      </w:pPr>
      <w:bookmarkStart w:id="8253" w:name="_Toc476577392"/>
      <w:bookmarkStart w:id="8254" w:name="_Toc476582381"/>
      <w:bookmarkStart w:id="8255" w:name="_Toc476583055"/>
      <w:bookmarkStart w:id="8256" w:name="_Toc476583772"/>
      <w:bookmarkStart w:id="8257" w:name="_Toc476584220"/>
      <w:bookmarkStart w:id="8258" w:name="_Toc476738127"/>
      <w:bookmarkStart w:id="8259" w:name="_Toc476747712"/>
      <w:bookmarkStart w:id="8260" w:name="_Toc476749122"/>
      <w:bookmarkStart w:id="8261" w:name="_Toc476753989"/>
      <w:bookmarkStart w:id="8262" w:name="_Toc476754484"/>
      <w:bookmarkStart w:id="8263" w:name="_Toc476754649"/>
      <w:bookmarkStart w:id="8264" w:name="_Toc476759888"/>
      <w:bookmarkStart w:id="8265" w:name="_Toc476761510"/>
      <w:bookmarkStart w:id="8266" w:name="_Toc476767148"/>
      <w:bookmarkStart w:id="8267" w:name="_Toc476827194"/>
      <w:bookmarkStart w:id="8268" w:name="_Toc476828887"/>
      <w:bookmarkStart w:id="8269" w:name="_Toc476833761"/>
      <w:bookmarkStart w:id="8270" w:name="_Toc476837234"/>
      <w:bookmarkStart w:id="8271" w:name="_Toc476841107"/>
      <w:bookmarkStart w:id="8272" w:name="_Toc476841312"/>
      <w:bookmarkStart w:id="8273" w:name="_Toc476842071"/>
      <w:bookmarkStart w:id="8274" w:name="_Toc476843015"/>
      <w:bookmarkStart w:id="8275" w:name="_Toc476843186"/>
      <w:bookmarkStart w:id="8276" w:name="_Toc476844684"/>
      <w:bookmarkStart w:id="8277" w:name="_Toc476845577"/>
      <w:bookmarkStart w:id="8278" w:name="_Toc476926971"/>
      <w:bookmarkStart w:id="8279" w:name="_Toc476927084"/>
      <w:bookmarkStart w:id="8280" w:name="_Toc476927258"/>
      <w:bookmarkStart w:id="8281" w:name="_Toc476928522"/>
      <w:bookmarkStart w:id="8282" w:name="_Toc476929565"/>
      <w:bookmarkStart w:id="8283" w:name="_Toc476929740"/>
      <w:bookmarkStart w:id="8284" w:name="_Toc476930783"/>
      <w:bookmarkStart w:id="8285" w:name="_Toc476931590"/>
      <w:bookmarkStart w:id="8286" w:name="_Toc477869926"/>
      <w:bookmarkStart w:id="8287" w:name="_Toc477871165"/>
      <w:bookmarkStart w:id="8288" w:name="_Toc477873324"/>
      <w:bookmarkStart w:id="8289" w:name="_Toc477875318"/>
      <w:bookmarkStart w:id="8290" w:name="_Toc477880231"/>
      <w:bookmarkStart w:id="8291" w:name="_Toc477881491"/>
      <w:bookmarkStart w:id="8292" w:name="_Toc477955895"/>
      <w:bookmarkStart w:id="8293" w:name="_Toc477963140"/>
      <w:bookmarkStart w:id="8294" w:name="_Toc477963626"/>
      <w:bookmarkStart w:id="8295" w:name="_Toc477965212"/>
      <w:bookmarkStart w:id="8296" w:name="_Toc477966716"/>
      <w:bookmarkStart w:id="8297" w:name="_Toc477966885"/>
      <w:bookmarkStart w:id="8298" w:name="_Toc477967225"/>
      <w:bookmarkStart w:id="8299" w:name="_Toc478121362"/>
      <w:bookmarkStart w:id="8300" w:name="_Toc478122275"/>
      <w:bookmarkStart w:id="8301" w:name="_Toc478132105"/>
      <w:bookmarkStart w:id="8302" w:name="_Toc478132249"/>
      <w:bookmarkStart w:id="8303" w:name="_Toc478133275"/>
      <w:bookmarkStart w:id="8304" w:name="_Toc478132412"/>
      <w:bookmarkStart w:id="8305" w:name="_Toc478134741"/>
      <w:bookmarkStart w:id="8306" w:name="_Toc478137443"/>
      <w:bookmarkStart w:id="8307" w:name="_Toc478138515"/>
      <w:bookmarkStart w:id="8308" w:name="_Toc478140085"/>
      <w:bookmarkStart w:id="8309" w:name="_Toc478140501"/>
      <w:bookmarkStart w:id="8310" w:name="_Toc478142707"/>
      <w:bookmarkStart w:id="8311" w:name="_Toc478566426"/>
      <w:bookmarkStart w:id="8312" w:name="_Toc478569593"/>
      <w:bookmarkStart w:id="8313" w:name="_Toc478569767"/>
      <w:bookmarkStart w:id="8314" w:name="_Toc478570841"/>
      <w:bookmarkStart w:id="8315" w:name="_Toc478633040"/>
      <w:bookmarkStart w:id="8316" w:name="_Toc478641450"/>
      <w:bookmarkStart w:id="8317" w:name="_Toc478654344"/>
      <w:bookmarkStart w:id="8318" w:name="_Toc478654518"/>
      <w:bookmarkStart w:id="8319" w:name="_Toc478657813"/>
      <w:bookmarkStart w:id="8320" w:name="_Toc478993234"/>
      <w:bookmarkStart w:id="8321" w:name="_Toc479000305"/>
      <w:bookmarkStart w:id="8322" w:name="_Toc479002239"/>
      <w:bookmarkStart w:id="8323" w:name="_Toc479002411"/>
      <w:bookmarkStart w:id="8324" w:name="_Toc479254385"/>
      <w:bookmarkStart w:id="8325" w:name="_Toc479258574"/>
      <w:bookmarkStart w:id="8326" w:name="_Toc479258890"/>
      <w:bookmarkStart w:id="8327" w:name="_Toc479259782"/>
      <w:bookmarkStart w:id="8328" w:name="_Toc479262205"/>
      <w:bookmarkStart w:id="8329" w:name="_Toc479262626"/>
      <w:bookmarkStart w:id="8330" w:name="_Toc479321327"/>
      <w:bookmarkStart w:id="8331" w:name="_Toc479326766"/>
      <w:bookmarkStart w:id="8332" w:name="_Toc479333027"/>
      <w:bookmarkStart w:id="8333" w:name="_Toc479333365"/>
      <w:bookmarkStart w:id="8334" w:name="_Toc479335062"/>
      <w:bookmarkStart w:id="8335" w:name="_Toc479341777"/>
      <w:bookmarkStart w:id="8336" w:name="_Toc479345193"/>
      <w:bookmarkStart w:id="8337" w:name="_Toc479345402"/>
      <w:bookmarkStart w:id="8338" w:name="_Toc479348383"/>
      <w:bookmarkStart w:id="8339" w:name="_Toc479675977"/>
      <w:bookmarkStart w:id="8340" w:name="_Toc479690944"/>
      <w:bookmarkStart w:id="8341" w:name="_Toc479693522"/>
      <w:bookmarkStart w:id="8342" w:name="_Toc479770691"/>
      <w:r>
        <w:t>6</w:t>
      </w:r>
      <w:r w:rsidR="00C065B1">
        <w:t>.1.1</w:t>
      </w:r>
      <w:r w:rsidR="00C065B1">
        <w:tab/>
        <w:t xml:space="preserve">North West Shelf </w:t>
      </w:r>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r w:rsidR="00C357C4">
        <w:t>r</w:t>
      </w:r>
      <w:r w:rsidR="00C065B1">
        <w:t xml:space="preserve">oyalty </w:t>
      </w:r>
      <w:r w:rsidR="00C357C4">
        <w:t>a</w:t>
      </w:r>
      <w:r w:rsidR="00C065B1">
        <w:t>dministration</w:t>
      </w:r>
      <w:bookmarkEnd w:id="8332"/>
      <w:bookmarkEnd w:id="8333"/>
      <w:bookmarkEnd w:id="8334"/>
      <w:bookmarkEnd w:id="8335"/>
      <w:bookmarkEnd w:id="8336"/>
      <w:bookmarkEnd w:id="8337"/>
      <w:bookmarkEnd w:id="8338"/>
      <w:bookmarkEnd w:id="8339"/>
      <w:bookmarkEnd w:id="8340"/>
      <w:bookmarkEnd w:id="8341"/>
      <w:bookmarkEnd w:id="8342"/>
    </w:p>
    <w:p w14:paraId="24A4C6C2" w14:textId="30A61F48" w:rsidR="00AA7794" w:rsidRDefault="00AA7794" w:rsidP="006D54FE">
      <w:r>
        <w:t xml:space="preserve">Under the </w:t>
      </w:r>
      <w:r w:rsidRPr="00D30D31">
        <w:rPr>
          <w:i/>
        </w:rPr>
        <w:t>Offshore Petroleum (Royalty) Act 2006</w:t>
      </w:r>
      <w:r w:rsidR="00D30D31">
        <w:t>,</w:t>
      </w:r>
      <w:r>
        <w:t xml:space="preserve"> functions relating to the operation and administration of the NWS project, including royalties, are undert</w:t>
      </w:r>
      <w:r w:rsidR="003F4DA0">
        <w:t>aken through a Joint Authority</w:t>
      </w:r>
      <w:r>
        <w:t xml:space="preserve"> arrangement between WA and the Commonwealth. The current WA member of the </w:t>
      </w:r>
      <w:r w:rsidR="003F4DA0">
        <w:t>Joint Authority</w:t>
      </w:r>
      <w:r>
        <w:t xml:space="preserve"> is the WA Minister for Mines and Petroleum, with the responsible Commonwealth Minister currently the Minister for Resources and Northern Australia.</w:t>
      </w:r>
    </w:p>
    <w:p w14:paraId="5559C495" w14:textId="7A4B83DE" w:rsidR="00AA7794" w:rsidRDefault="00AA7794" w:rsidP="006D54FE">
      <w:r>
        <w:t>Functions relating to the day to day administration of the NWS royalty are the responsibility of the WA delegate of the JA, the WA Department of Mines and Petroleum (DMP). The DIIS acts on behalf of the Commonwealth delegate to ensure the accuracy and completeness of NWS royalty revenue received and paid to WA.</w:t>
      </w:r>
      <w:r w:rsidR="00DF19CC">
        <w:t xml:space="preserve"> </w:t>
      </w:r>
      <w:r>
        <w:t xml:space="preserve">These arrangements have been in place since the Offshore Constitutional Settlement 1979 </w:t>
      </w:r>
      <w:r w:rsidR="008C7307">
        <w:t>and are</w:t>
      </w:r>
      <w:r w:rsidR="008C7307" w:rsidDel="005B40FC">
        <w:t xml:space="preserve"> </w:t>
      </w:r>
      <w:r>
        <w:t>enshrine</w:t>
      </w:r>
      <w:r w:rsidR="008C7307">
        <w:t>d</w:t>
      </w:r>
      <w:r>
        <w:t xml:space="preserve"> in the </w:t>
      </w:r>
      <w:r w:rsidRPr="008D70E8">
        <w:rPr>
          <w:i/>
        </w:rPr>
        <w:t xml:space="preserve">Offshore Petroleum (Royalty) </w:t>
      </w:r>
      <w:r w:rsidR="00694AAE" w:rsidRPr="00694AAE">
        <w:rPr>
          <w:i/>
        </w:rPr>
        <w:t>Act 2006</w:t>
      </w:r>
      <w:r>
        <w:t>.</w:t>
      </w:r>
    </w:p>
    <w:p w14:paraId="6FD77466" w14:textId="54EC52A6" w:rsidR="00AA7794" w:rsidRDefault="00AA7794" w:rsidP="006D54FE">
      <w:r>
        <w:t xml:space="preserve">During 2016, the </w:t>
      </w:r>
      <w:r w:rsidR="008D70E8">
        <w:t xml:space="preserve">ANAO </w:t>
      </w:r>
      <w:r>
        <w:t xml:space="preserve">conducted a performance audit </w:t>
      </w:r>
      <w:r w:rsidR="00D23567">
        <w:t>of the NWS royalty administration arrangements</w:t>
      </w:r>
      <w:r w:rsidR="005C3DE2">
        <w:t>.</w:t>
      </w:r>
    </w:p>
    <w:p w14:paraId="379958F4" w14:textId="0B838492" w:rsidR="00AA7794" w:rsidRDefault="00AA7794" w:rsidP="006D54FE">
      <w:r>
        <w:t xml:space="preserve">The ANAO identified four key areas for review: general administration; compliance; promoting certainty in administering the royalties; and governance arrangements. The ANAO made four recommendations which broadly included: </w:t>
      </w:r>
    </w:p>
    <w:p w14:paraId="10F651B3" w14:textId="77777777" w:rsidR="00AA7794" w:rsidRDefault="00AA7794" w:rsidP="00551FA9">
      <w:pPr>
        <w:ind w:left="709" w:hanging="709"/>
      </w:pPr>
      <w:r>
        <w:t>1)</w:t>
      </w:r>
      <w:r>
        <w:tab/>
        <w:t>Improve governance over the administration of the royalty calculation and collection function.</w:t>
      </w:r>
    </w:p>
    <w:p w14:paraId="54A8F753" w14:textId="3F4FE650" w:rsidR="00AA7794" w:rsidRDefault="00AA7794" w:rsidP="00551FA9">
      <w:pPr>
        <w:ind w:left="709" w:hanging="709"/>
      </w:pPr>
      <w:r>
        <w:t>2)</w:t>
      </w:r>
      <w:r>
        <w:tab/>
        <w:t>Set a timeline and regularly review progress against this timeline so as to expedite changes to the Royalty Schedule aimed at updating and improving the clarity of descriptions relating to deductible expenditure, and incorporating expenditure relating to new fields.</w:t>
      </w:r>
    </w:p>
    <w:p w14:paraId="712506F0" w14:textId="2CCA3E10" w:rsidR="00AA7794" w:rsidRDefault="00AA7794" w:rsidP="00551FA9">
      <w:pPr>
        <w:ind w:left="709" w:hanging="709"/>
      </w:pPr>
      <w:r>
        <w:t>3)</w:t>
      </w:r>
      <w:r>
        <w:tab/>
        <w:t xml:space="preserve">Implement improved controls for the verification of </w:t>
      </w:r>
      <w:r w:rsidR="00DF19CC">
        <w:t>NWS</w:t>
      </w:r>
      <w:r>
        <w:t xml:space="preserve"> petroleum production and sales to provide increased assurance that the approach taken when allocating production to fields is complete and accurate.</w:t>
      </w:r>
    </w:p>
    <w:p w14:paraId="34881295" w14:textId="3D699A2B" w:rsidR="00AA7794" w:rsidRDefault="00AA7794" w:rsidP="00551FA9">
      <w:pPr>
        <w:ind w:left="709" w:hanging="709"/>
      </w:pPr>
      <w:r>
        <w:t>4)</w:t>
      </w:r>
      <w:r>
        <w:tab/>
        <w:t>Verify the validity of deductions claimed prior to 2014; and develop and implement a comprehensive strategy for gaining a reasonable level of assurance that deductions claimed by the N</w:t>
      </w:r>
      <w:r w:rsidR="00DF19CC">
        <w:t>WS</w:t>
      </w:r>
      <w:r>
        <w:t xml:space="preserve"> producers in 2015 and later years are valid and calculated in accordance with the Royalty Schedule.</w:t>
      </w:r>
    </w:p>
    <w:p w14:paraId="223BDFFB" w14:textId="77777777" w:rsidR="00625247" w:rsidRDefault="00AA7794" w:rsidP="006D54FE">
      <w:r>
        <w:t xml:space="preserve">In </w:t>
      </w:r>
      <w:r w:rsidR="00952D2A">
        <w:t>its</w:t>
      </w:r>
      <w:r>
        <w:t xml:space="preserve"> response to the ANAO audit report findings, DIIS agreed with all four recommendations. DIIS </w:t>
      </w:r>
      <w:r w:rsidR="00625247">
        <w:t>stated:</w:t>
      </w:r>
    </w:p>
    <w:p w14:paraId="52E6E9D5" w14:textId="1A788F1D" w:rsidR="00AA7794" w:rsidRPr="00625247" w:rsidRDefault="00DF19CC" w:rsidP="00625247">
      <w:pPr>
        <w:ind w:left="720"/>
        <w:rPr>
          <w:color w:val="1F497D" w:themeColor="text2"/>
          <w:sz w:val="20"/>
        </w:rPr>
      </w:pPr>
      <w:r>
        <w:rPr>
          <w:color w:val="1F497D" w:themeColor="text2"/>
          <w:sz w:val="20"/>
        </w:rPr>
        <w:t>…</w:t>
      </w:r>
      <w:r w:rsidR="008950BC">
        <w:rPr>
          <w:color w:val="1F497D" w:themeColor="text2"/>
          <w:sz w:val="20"/>
        </w:rPr>
        <w:t xml:space="preserve"> </w:t>
      </w:r>
      <w:r w:rsidR="00AA7794" w:rsidRPr="00625247">
        <w:rPr>
          <w:color w:val="1F497D" w:themeColor="text2"/>
          <w:sz w:val="20"/>
        </w:rPr>
        <w:t>accountability and assurance frameworks over the administration of collection of NWS petroleum royalties could be improved, in particular to ensure they are appropriately documented and that the operational responsibilities of the Australian and Western</w:t>
      </w:r>
      <w:r w:rsidR="008950BC">
        <w:rPr>
          <w:color w:val="1F497D" w:themeColor="text2"/>
          <w:sz w:val="20"/>
        </w:rPr>
        <w:t> </w:t>
      </w:r>
      <w:r w:rsidR="00AA7794" w:rsidRPr="00625247">
        <w:rPr>
          <w:color w:val="1F497D" w:themeColor="text2"/>
          <w:sz w:val="20"/>
        </w:rPr>
        <w:t>Australian Gover</w:t>
      </w:r>
      <w:r w:rsidR="00625247" w:rsidRPr="00625247">
        <w:rPr>
          <w:color w:val="1F497D" w:themeColor="text2"/>
          <w:sz w:val="20"/>
        </w:rPr>
        <w:t>nments are clearly articulated</w:t>
      </w:r>
      <w:r w:rsidR="005D6F39">
        <w:rPr>
          <w:color w:val="1F497D" w:themeColor="text2"/>
          <w:sz w:val="20"/>
        </w:rPr>
        <w:t>’</w:t>
      </w:r>
      <w:r w:rsidR="00625247" w:rsidRPr="00625247">
        <w:rPr>
          <w:color w:val="1F497D" w:themeColor="text2"/>
          <w:sz w:val="20"/>
        </w:rPr>
        <w:t xml:space="preserve"> and that </w:t>
      </w:r>
      <w:r w:rsidR="005D6F39">
        <w:rPr>
          <w:color w:val="1F497D" w:themeColor="text2"/>
          <w:sz w:val="20"/>
        </w:rPr>
        <w:t>‘</w:t>
      </w:r>
      <w:r w:rsidR="00AA7794" w:rsidRPr="00625247">
        <w:rPr>
          <w:color w:val="1F497D" w:themeColor="text2"/>
          <w:sz w:val="20"/>
        </w:rPr>
        <w:t xml:space="preserve">the current processes over royalty collection are robust and provide for the accurate, efficient and comprehensive collection of NWS royalty payments. The </w:t>
      </w:r>
      <w:r w:rsidR="00D21231" w:rsidRPr="00625247">
        <w:rPr>
          <w:color w:val="1F497D" w:themeColor="text2"/>
          <w:sz w:val="20"/>
        </w:rPr>
        <w:t>D</w:t>
      </w:r>
      <w:r w:rsidR="00AA7794" w:rsidRPr="00625247">
        <w:rPr>
          <w:color w:val="1F497D" w:themeColor="text2"/>
          <w:sz w:val="20"/>
        </w:rPr>
        <w:t>epartment will confirm their reliability in partnership with the Western Australia Government and the NWS joint venture participants in actioning the report</w:t>
      </w:r>
      <w:r w:rsidR="005D6F39">
        <w:rPr>
          <w:color w:val="1F497D" w:themeColor="text2"/>
          <w:sz w:val="20"/>
        </w:rPr>
        <w:t>’</w:t>
      </w:r>
      <w:r w:rsidR="00AA7794" w:rsidRPr="00625247">
        <w:rPr>
          <w:color w:val="1F497D" w:themeColor="text2"/>
          <w:sz w:val="20"/>
        </w:rPr>
        <w:t xml:space="preserve">s </w:t>
      </w:r>
      <w:r w:rsidR="00AA7794" w:rsidRPr="00551FA9">
        <w:rPr>
          <w:color w:val="1F497D" w:themeColor="text2"/>
          <w:sz w:val="20"/>
        </w:rPr>
        <w:t>recommendations</w:t>
      </w:r>
      <w:r w:rsidR="00233D15" w:rsidRPr="00625247">
        <w:rPr>
          <w:color w:val="1F497D" w:themeColor="text2"/>
          <w:sz w:val="20"/>
        </w:rPr>
        <w:t xml:space="preserve"> </w:t>
      </w:r>
      <w:r w:rsidR="00233D15" w:rsidRPr="00551FA9">
        <w:rPr>
          <w:color w:val="1F497D" w:themeColor="text2"/>
          <w:sz w:val="20"/>
        </w:rPr>
        <w:t xml:space="preserve">(ANAO, 2016, </w:t>
      </w:r>
      <w:r w:rsidR="006C4371" w:rsidRPr="00551FA9">
        <w:rPr>
          <w:color w:val="1F497D" w:themeColor="text2"/>
          <w:sz w:val="20"/>
        </w:rPr>
        <w:t xml:space="preserve">p. </w:t>
      </w:r>
      <w:r w:rsidR="00233D15" w:rsidRPr="00551FA9">
        <w:rPr>
          <w:color w:val="1F497D" w:themeColor="text2"/>
          <w:sz w:val="20"/>
        </w:rPr>
        <w:t>10).</w:t>
      </w:r>
    </w:p>
    <w:p w14:paraId="46C0C209" w14:textId="19D4A5EF" w:rsidR="00625247" w:rsidRDefault="00AA7794" w:rsidP="006D54FE">
      <w:r>
        <w:t xml:space="preserve">The </w:t>
      </w:r>
      <w:r w:rsidR="00C240C7">
        <w:t>WA</w:t>
      </w:r>
      <w:r>
        <w:t xml:space="preserve"> Government stated:</w:t>
      </w:r>
    </w:p>
    <w:p w14:paraId="7FA573A8" w14:textId="235E74DB" w:rsidR="00AA7794" w:rsidRPr="00625247" w:rsidRDefault="00AA7794" w:rsidP="00625247">
      <w:pPr>
        <w:ind w:left="720"/>
        <w:rPr>
          <w:color w:val="1F497D" w:themeColor="text2"/>
          <w:sz w:val="20"/>
        </w:rPr>
      </w:pPr>
      <w:r w:rsidRPr="00625247">
        <w:rPr>
          <w:color w:val="1F497D" w:themeColor="text2"/>
          <w:sz w:val="20"/>
        </w:rPr>
        <w:t>The North West Shelf project royalty revenue verification processes used by the Western</w:t>
      </w:r>
      <w:r w:rsidR="008950BC">
        <w:rPr>
          <w:color w:val="1F497D" w:themeColor="text2"/>
          <w:sz w:val="20"/>
        </w:rPr>
        <w:t> </w:t>
      </w:r>
      <w:r w:rsidRPr="00625247">
        <w:rPr>
          <w:color w:val="1F497D" w:themeColor="text2"/>
          <w:sz w:val="20"/>
        </w:rPr>
        <w:t xml:space="preserve">Australian Department of Mines and Petroleum are robust and adequate. The Australian people can be confident that North West Shelf project royalties are being accurately assessed and </w:t>
      </w:r>
      <w:r w:rsidRPr="00551FA9">
        <w:rPr>
          <w:color w:val="1F497D" w:themeColor="text2"/>
          <w:sz w:val="20"/>
        </w:rPr>
        <w:t>collected</w:t>
      </w:r>
      <w:r w:rsidR="00233D15" w:rsidRPr="00625247">
        <w:rPr>
          <w:color w:val="1F497D" w:themeColor="text2"/>
          <w:sz w:val="20"/>
        </w:rPr>
        <w:t xml:space="preserve"> </w:t>
      </w:r>
      <w:r w:rsidR="00233D15" w:rsidRPr="00551FA9">
        <w:rPr>
          <w:color w:val="1F497D" w:themeColor="text2"/>
          <w:sz w:val="20"/>
        </w:rPr>
        <w:t xml:space="preserve">(ANAO, 2016, </w:t>
      </w:r>
      <w:r w:rsidR="006C4371" w:rsidRPr="00551FA9">
        <w:rPr>
          <w:color w:val="1F497D" w:themeColor="text2"/>
          <w:sz w:val="20"/>
        </w:rPr>
        <w:t xml:space="preserve">p. </w:t>
      </w:r>
      <w:r w:rsidR="00233D15" w:rsidRPr="00551FA9">
        <w:rPr>
          <w:color w:val="1F497D" w:themeColor="text2"/>
          <w:sz w:val="20"/>
        </w:rPr>
        <w:t>11)</w:t>
      </w:r>
      <w:r w:rsidRPr="00551FA9">
        <w:rPr>
          <w:color w:val="1F497D" w:themeColor="text2"/>
          <w:sz w:val="20"/>
        </w:rPr>
        <w:t>.</w:t>
      </w:r>
    </w:p>
    <w:p w14:paraId="1A70C856" w14:textId="7D78205D" w:rsidR="00A920F4" w:rsidRDefault="00AA7794" w:rsidP="006D54FE">
      <w:r>
        <w:t>In its submission</w:t>
      </w:r>
      <w:r w:rsidR="00A920F4">
        <w:t xml:space="preserve">, </w:t>
      </w:r>
      <w:r w:rsidR="00C240C7">
        <w:t xml:space="preserve">the </w:t>
      </w:r>
      <w:r w:rsidR="00F3679A">
        <w:t>NWS</w:t>
      </w:r>
      <w:r w:rsidR="00A920F4">
        <w:t xml:space="preserve"> </w:t>
      </w:r>
      <w:r w:rsidR="00C240C7">
        <w:t xml:space="preserve">project </w:t>
      </w:r>
      <w:r>
        <w:t>stat</w:t>
      </w:r>
      <w:r w:rsidR="00A920F4">
        <w:t>ed</w:t>
      </w:r>
      <w:r>
        <w:t xml:space="preserve">: </w:t>
      </w:r>
    </w:p>
    <w:p w14:paraId="0952E7B9" w14:textId="0BC31E11" w:rsidR="00AA7794" w:rsidRPr="00625247" w:rsidRDefault="00AA7794">
      <w:pPr>
        <w:ind w:left="720"/>
        <w:rPr>
          <w:color w:val="1F497D" w:themeColor="text2"/>
          <w:sz w:val="20"/>
        </w:rPr>
      </w:pPr>
      <w:r w:rsidRPr="006F4D5A">
        <w:rPr>
          <w:color w:val="1F497D" w:themeColor="text2"/>
          <w:sz w:val="20"/>
        </w:rPr>
        <w:t xml:space="preserve">Woodside, as operator of the NWS Project, has robust compliance processes with regard to royalty obligations and has supported DIIS in the assurance review carried out by the ANAO and the 2014 NWS Project royalty audit by the Western Australian Department of Mines and Petroleum (DMP). Woodside as operator in carrying out its regular royalty compliance activities and audits with the DMP, and in supporting DIIS in relation to its review, has and will continue to conduct itself in an open, transparent and cooperative </w:t>
      </w:r>
      <w:r w:rsidRPr="00551FA9">
        <w:rPr>
          <w:color w:val="1F497D" w:themeColor="text2"/>
          <w:sz w:val="20"/>
        </w:rPr>
        <w:t>manner</w:t>
      </w:r>
      <w:r w:rsidR="00233D15" w:rsidRPr="006F4D5A">
        <w:rPr>
          <w:color w:val="1F497D" w:themeColor="text2"/>
          <w:sz w:val="20"/>
        </w:rPr>
        <w:t xml:space="preserve"> </w:t>
      </w:r>
      <w:r w:rsidR="00233D15" w:rsidRPr="00551FA9">
        <w:rPr>
          <w:color w:val="1F497D" w:themeColor="text2"/>
          <w:sz w:val="20"/>
        </w:rPr>
        <w:t>(NWS Submission, p</w:t>
      </w:r>
      <w:r w:rsidR="006C4371" w:rsidRPr="00551FA9">
        <w:rPr>
          <w:color w:val="1F497D" w:themeColor="text2"/>
          <w:sz w:val="20"/>
        </w:rPr>
        <w:t>.</w:t>
      </w:r>
      <w:r w:rsidR="00233D15" w:rsidRPr="00551FA9">
        <w:rPr>
          <w:color w:val="1F497D" w:themeColor="text2"/>
          <w:sz w:val="20"/>
        </w:rPr>
        <w:t xml:space="preserve"> 10)</w:t>
      </w:r>
      <w:r w:rsidRPr="00551FA9">
        <w:rPr>
          <w:color w:val="1F497D" w:themeColor="text2"/>
          <w:sz w:val="20"/>
        </w:rPr>
        <w:t>.</w:t>
      </w:r>
    </w:p>
    <w:p w14:paraId="4C906911" w14:textId="30F2A7CF" w:rsidR="00AA7794" w:rsidRDefault="00AA7794" w:rsidP="006D54FE">
      <w:r>
        <w:t>While the ANAO</w:t>
      </w:r>
      <w:r w:rsidR="005D6F39">
        <w:t>’</w:t>
      </w:r>
      <w:r>
        <w:t>s findings of the administration of the NWS royalty regime point to areas requiring improvement, the findings do not suggest any administration concerns that are not being resolved through DIIS</w:t>
      </w:r>
      <w:r w:rsidR="005D6F39">
        <w:t>’</w:t>
      </w:r>
      <w:r>
        <w:t xml:space="preserve"> implementation of the recommendations. </w:t>
      </w:r>
      <w:r w:rsidR="00C240C7">
        <w:t>T</w:t>
      </w:r>
      <w:r>
        <w:t xml:space="preserve">here is no evidence to suggest the issues identified in the audit extend beyond the </w:t>
      </w:r>
      <w:r w:rsidR="00D21231">
        <w:t>NWS</w:t>
      </w:r>
      <w:r>
        <w:t xml:space="preserve"> project or are systemic across the broader industry.</w:t>
      </w:r>
    </w:p>
    <w:p w14:paraId="5B1B883E" w14:textId="2DE33577" w:rsidR="00AA7794" w:rsidRDefault="008120BA" w:rsidP="006D54FE">
      <w:pPr>
        <w:pStyle w:val="Heading3"/>
      </w:pPr>
      <w:bookmarkStart w:id="8343" w:name="_Toc476577393"/>
      <w:bookmarkStart w:id="8344" w:name="_Toc476582382"/>
      <w:bookmarkStart w:id="8345" w:name="_Toc476583056"/>
      <w:bookmarkStart w:id="8346" w:name="_Toc476583773"/>
      <w:bookmarkStart w:id="8347" w:name="_Toc476584221"/>
      <w:bookmarkStart w:id="8348" w:name="_Toc476738128"/>
      <w:bookmarkStart w:id="8349" w:name="_Toc476747713"/>
      <w:bookmarkStart w:id="8350" w:name="_Toc476749123"/>
      <w:bookmarkStart w:id="8351" w:name="_Toc476753990"/>
      <w:bookmarkStart w:id="8352" w:name="_Toc476754485"/>
      <w:bookmarkStart w:id="8353" w:name="_Toc476754650"/>
      <w:bookmarkStart w:id="8354" w:name="_Toc476759889"/>
      <w:bookmarkStart w:id="8355" w:name="_Toc476761511"/>
      <w:bookmarkStart w:id="8356" w:name="_Toc476767149"/>
      <w:bookmarkStart w:id="8357" w:name="_Toc476827195"/>
      <w:bookmarkStart w:id="8358" w:name="_Toc476828888"/>
      <w:bookmarkStart w:id="8359" w:name="_Toc476833762"/>
      <w:bookmarkStart w:id="8360" w:name="_Toc476837235"/>
      <w:bookmarkStart w:id="8361" w:name="_Toc476841108"/>
      <w:bookmarkStart w:id="8362" w:name="_Toc476841313"/>
      <w:bookmarkStart w:id="8363" w:name="_Toc476842072"/>
      <w:bookmarkStart w:id="8364" w:name="_Toc476843016"/>
      <w:bookmarkStart w:id="8365" w:name="_Toc476843187"/>
      <w:bookmarkStart w:id="8366" w:name="_Toc476844685"/>
      <w:bookmarkStart w:id="8367" w:name="_Toc476845578"/>
      <w:bookmarkStart w:id="8368" w:name="_Toc476926972"/>
      <w:bookmarkStart w:id="8369" w:name="_Toc476927085"/>
      <w:bookmarkStart w:id="8370" w:name="_Toc476927259"/>
      <w:bookmarkStart w:id="8371" w:name="_Toc476928523"/>
      <w:bookmarkStart w:id="8372" w:name="_Toc476929566"/>
      <w:bookmarkStart w:id="8373" w:name="_Toc476929741"/>
      <w:bookmarkStart w:id="8374" w:name="_Toc476930784"/>
      <w:bookmarkStart w:id="8375" w:name="_Toc476931591"/>
      <w:bookmarkStart w:id="8376" w:name="_Toc477869927"/>
      <w:bookmarkStart w:id="8377" w:name="_Toc477871166"/>
      <w:bookmarkStart w:id="8378" w:name="_Toc477873325"/>
      <w:bookmarkStart w:id="8379" w:name="_Toc477875319"/>
      <w:bookmarkStart w:id="8380" w:name="_Toc477880232"/>
      <w:bookmarkStart w:id="8381" w:name="_Toc477881492"/>
      <w:bookmarkStart w:id="8382" w:name="_Toc477955896"/>
      <w:bookmarkStart w:id="8383" w:name="_Toc477963141"/>
      <w:bookmarkStart w:id="8384" w:name="_Toc477963627"/>
      <w:bookmarkStart w:id="8385" w:name="_Toc477965213"/>
      <w:bookmarkStart w:id="8386" w:name="_Toc477966717"/>
      <w:bookmarkStart w:id="8387" w:name="_Toc477966886"/>
      <w:bookmarkStart w:id="8388" w:name="_Toc477967226"/>
      <w:bookmarkStart w:id="8389" w:name="_Toc478121363"/>
      <w:bookmarkStart w:id="8390" w:name="_Toc478122276"/>
      <w:bookmarkStart w:id="8391" w:name="_Toc478132106"/>
      <w:bookmarkStart w:id="8392" w:name="_Toc478132250"/>
      <w:bookmarkStart w:id="8393" w:name="_Toc478133276"/>
      <w:bookmarkStart w:id="8394" w:name="_Toc478132413"/>
      <w:bookmarkStart w:id="8395" w:name="_Toc478134742"/>
      <w:bookmarkStart w:id="8396" w:name="_Toc478137444"/>
      <w:bookmarkStart w:id="8397" w:name="_Toc478138516"/>
      <w:bookmarkStart w:id="8398" w:name="_Toc478140086"/>
      <w:bookmarkStart w:id="8399" w:name="_Toc478140502"/>
      <w:bookmarkStart w:id="8400" w:name="_Toc478142708"/>
      <w:bookmarkStart w:id="8401" w:name="_Toc478566427"/>
      <w:bookmarkStart w:id="8402" w:name="_Toc478569594"/>
      <w:bookmarkStart w:id="8403" w:name="_Toc478569768"/>
      <w:bookmarkStart w:id="8404" w:name="_Toc478570842"/>
      <w:bookmarkStart w:id="8405" w:name="_Toc478633041"/>
      <w:bookmarkStart w:id="8406" w:name="_Toc478641451"/>
      <w:bookmarkStart w:id="8407" w:name="_Toc478654345"/>
      <w:bookmarkStart w:id="8408" w:name="_Toc478654519"/>
      <w:bookmarkStart w:id="8409" w:name="_Toc478657814"/>
      <w:bookmarkStart w:id="8410" w:name="_Toc478993235"/>
      <w:bookmarkStart w:id="8411" w:name="_Toc479000306"/>
      <w:bookmarkStart w:id="8412" w:name="_Toc479002240"/>
      <w:bookmarkStart w:id="8413" w:name="_Toc479002412"/>
      <w:bookmarkStart w:id="8414" w:name="_Toc479254386"/>
      <w:bookmarkStart w:id="8415" w:name="_Toc479258575"/>
      <w:bookmarkStart w:id="8416" w:name="_Toc479258891"/>
      <w:bookmarkStart w:id="8417" w:name="_Toc479259783"/>
      <w:bookmarkStart w:id="8418" w:name="_Toc479262206"/>
      <w:bookmarkStart w:id="8419" w:name="_Toc479262627"/>
      <w:bookmarkStart w:id="8420" w:name="_Toc479321328"/>
      <w:bookmarkStart w:id="8421" w:name="_Toc479326767"/>
      <w:bookmarkStart w:id="8422" w:name="_Toc479333028"/>
      <w:bookmarkStart w:id="8423" w:name="_Toc479333366"/>
      <w:bookmarkStart w:id="8424" w:name="_Toc479335063"/>
      <w:bookmarkStart w:id="8425" w:name="_Toc479341778"/>
      <w:bookmarkStart w:id="8426" w:name="_Toc479345194"/>
      <w:bookmarkStart w:id="8427" w:name="_Toc479345403"/>
      <w:bookmarkStart w:id="8428" w:name="_Toc479348384"/>
      <w:bookmarkStart w:id="8429" w:name="_Toc479675978"/>
      <w:bookmarkStart w:id="8430" w:name="_Toc479690945"/>
      <w:bookmarkStart w:id="8431" w:name="_Toc479693523"/>
      <w:bookmarkStart w:id="8432" w:name="_Toc479770692"/>
      <w:r>
        <w:t>6</w:t>
      </w:r>
      <w:r w:rsidR="00C065B1">
        <w:t>.1.2</w:t>
      </w:r>
      <w:r w:rsidR="00C065B1">
        <w:tab/>
        <w:t xml:space="preserve">Commentary </w:t>
      </w:r>
      <w:r w:rsidR="00625247">
        <w:t>o</w:t>
      </w:r>
      <w:r w:rsidR="00C065B1">
        <w:t xml:space="preserve">n North West Shelf </w:t>
      </w:r>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r w:rsidR="00C357C4">
        <w:t>r</w:t>
      </w:r>
      <w:r w:rsidR="00C065B1">
        <w:t>oyalties</w:t>
      </w:r>
      <w:bookmarkEnd w:id="8422"/>
      <w:bookmarkEnd w:id="8423"/>
      <w:bookmarkEnd w:id="8424"/>
      <w:bookmarkEnd w:id="8425"/>
      <w:bookmarkEnd w:id="8426"/>
      <w:bookmarkEnd w:id="8427"/>
      <w:bookmarkEnd w:id="8428"/>
      <w:bookmarkEnd w:id="8429"/>
      <w:bookmarkEnd w:id="8430"/>
      <w:bookmarkEnd w:id="8431"/>
      <w:bookmarkEnd w:id="8432"/>
    </w:p>
    <w:p w14:paraId="0FE55910" w14:textId="67914DFA" w:rsidR="00AA7794" w:rsidRDefault="00AA7794" w:rsidP="006D54FE">
      <w:r>
        <w:t xml:space="preserve">As discussed throughout this </w:t>
      </w:r>
      <w:r w:rsidR="00D21231">
        <w:t>report</w:t>
      </w:r>
      <w:r>
        <w:t xml:space="preserve">, there are arguments for and against the imposition of royalties. </w:t>
      </w:r>
      <w:r w:rsidR="00D34A3C">
        <w:t>O</w:t>
      </w:r>
      <w:r>
        <w:t>utput</w:t>
      </w:r>
      <w:r w:rsidR="005D6F39">
        <w:noBreakHyphen/>
      </w:r>
      <w:r>
        <w:t>based royalties discourage investment and production because they are levied irrespective of the costs of production. Consequently, investors receive a lower post</w:t>
      </w:r>
      <w:r w:rsidR="005D6F39">
        <w:noBreakHyphen/>
      </w:r>
      <w:r>
        <w:t>tax return from a more expensive operation because costs are not recognised for tax purposes</w:t>
      </w:r>
      <w:r w:rsidR="00233D15">
        <w:t xml:space="preserve"> </w:t>
      </w:r>
      <w:r w:rsidR="00233D15" w:rsidRPr="00551FA9">
        <w:t>(Australia</w:t>
      </w:r>
      <w:r w:rsidR="005D6F39">
        <w:t>’</w:t>
      </w:r>
      <w:r w:rsidR="00233D15" w:rsidRPr="00551FA9">
        <w:t>s Future Tax Review 2009, p</w:t>
      </w:r>
      <w:r w:rsidR="006C4371" w:rsidRPr="00551FA9">
        <w:t>.</w:t>
      </w:r>
      <w:r w:rsidR="00233D15" w:rsidRPr="00551FA9">
        <w:t xml:space="preserve"> 222)</w:t>
      </w:r>
      <w:r w:rsidRPr="00551FA9">
        <w:t>.</w:t>
      </w:r>
    </w:p>
    <w:p w14:paraId="0428A46B" w14:textId="4AD3567A" w:rsidR="00D34A3C" w:rsidRDefault="00AA7794" w:rsidP="006D54FE">
      <w:r>
        <w:t xml:space="preserve">Despite these shortcomings there are benefits </w:t>
      </w:r>
      <w:r w:rsidR="00D34A3C">
        <w:t>from an</w:t>
      </w:r>
      <w:r>
        <w:t xml:space="preserve"> ad valorem royalt</w:t>
      </w:r>
      <w:r w:rsidR="00D34A3C">
        <w:t>y regime</w:t>
      </w:r>
      <w:r>
        <w:t xml:space="preserve"> that are attractive to governments. Royalty regimes generally </w:t>
      </w:r>
      <w:r w:rsidR="00D34A3C">
        <w:t xml:space="preserve">provide a relatively </w:t>
      </w:r>
      <w:r>
        <w:t>stable and predictable</w:t>
      </w:r>
      <w:r w:rsidR="00D34A3C">
        <w:t xml:space="preserve"> revenue flow to the government</w:t>
      </w:r>
      <w:r>
        <w:t xml:space="preserve">, offer administrative efficiency, </w:t>
      </w:r>
      <w:r w:rsidR="00D34A3C">
        <w:t>and are a transparent way of demonstrating to the</w:t>
      </w:r>
      <w:r w:rsidDel="00D34A3C">
        <w:t xml:space="preserve"> </w:t>
      </w:r>
      <w:r w:rsidR="00D34A3C">
        <w:t xml:space="preserve">general </w:t>
      </w:r>
      <w:r>
        <w:t>community</w:t>
      </w:r>
      <w:r w:rsidR="00D34A3C">
        <w:t xml:space="preserve"> that they are getting a return for the use of their resources</w:t>
      </w:r>
      <w:r>
        <w:t>. The WA Government submission noted that ad valorem royalties provide revenue stability which is particularly important to state governments with limited means of raising revenue</w:t>
      </w:r>
      <w:r w:rsidR="00233D15">
        <w:t xml:space="preserve"> </w:t>
      </w:r>
      <w:r w:rsidR="00233D15" w:rsidRPr="00F67087">
        <w:t>(Western Australian Government Submission, p</w:t>
      </w:r>
      <w:r w:rsidR="006C4371" w:rsidRPr="00F67087">
        <w:t>.</w:t>
      </w:r>
      <w:r w:rsidR="00233D15" w:rsidRPr="00F67087">
        <w:t xml:space="preserve"> 10)</w:t>
      </w:r>
      <w:r w:rsidRPr="00F67087">
        <w:t>.</w:t>
      </w:r>
      <w:r>
        <w:t xml:space="preserve"> To minimise the impact on marginal projects, the WA Government states: </w:t>
      </w:r>
    </w:p>
    <w:p w14:paraId="5833063B" w14:textId="1C378B06" w:rsidR="00D34A3C" w:rsidRPr="00CB5423" w:rsidRDefault="00AA7794">
      <w:pPr>
        <w:ind w:left="720"/>
        <w:rPr>
          <w:color w:val="1F497D" w:themeColor="text2"/>
          <w:sz w:val="20"/>
        </w:rPr>
      </w:pPr>
      <w:r w:rsidRPr="00F67087">
        <w:rPr>
          <w:color w:val="1F497D" w:themeColor="text2"/>
          <w:sz w:val="20"/>
        </w:rPr>
        <w:t>NWS ad valorem royalty regime it applies is more efficient because it deducts certain operating and capital costs than a specific royalty that charges per physical unit of production</w:t>
      </w:r>
      <w:r w:rsidR="00233D15" w:rsidRPr="00CB5423">
        <w:rPr>
          <w:color w:val="1F497D" w:themeColor="text2"/>
          <w:sz w:val="20"/>
        </w:rPr>
        <w:t xml:space="preserve"> </w:t>
      </w:r>
      <w:r w:rsidR="00233D15" w:rsidRPr="00F67087">
        <w:rPr>
          <w:color w:val="1F497D" w:themeColor="text2"/>
          <w:sz w:val="20"/>
        </w:rPr>
        <w:t>(Western Australian Government Submission, p</w:t>
      </w:r>
      <w:r w:rsidR="006C4371" w:rsidRPr="00F67087">
        <w:rPr>
          <w:color w:val="1F497D" w:themeColor="text2"/>
          <w:sz w:val="20"/>
        </w:rPr>
        <w:t>.</w:t>
      </w:r>
      <w:r w:rsidR="00233D15" w:rsidRPr="00F67087">
        <w:rPr>
          <w:color w:val="1F497D" w:themeColor="text2"/>
          <w:sz w:val="20"/>
        </w:rPr>
        <w:t xml:space="preserve"> 9)</w:t>
      </w:r>
      <w:r w:rsidRPr="00F67087">
        <w:rPr>
          <w:color w:val="1F497D" w:themeColor="text2"/>
          <w:sz w:val="20"/>
        </w:rPr>
        <w:t>.</w:t>
      </w:r>
    </w:p>
    <w:p w14:paraId="1FCB04C5" w14:textId="646AF575" w:rsidR="00D34A3C" w:rsidRDefault="00AA7794" w:rsidP="00D34A3C">
      <w:r>
        <w:t>The WA Government also made the point that it uses the revenue it receives from royalties to invest in infrastructure required to support the growth of petroleum projects in WA</w:t>
      </w:r>
      <w:r w:rsidR="00B85729">
        <w:t>, noting that</w:t>
      </w:r>
      <w:r w:rsidR="00420502">
        <w:t>:</w:t>
      </w:r>
    </w:p>
    <w:p w14:paraId="6C967B2C" w14:textId="02CAB590" w:rsidR="00AA7794" w:rsidRPr="00CB5423" w:rsidRDefault="00AA7794" w:rsidP="00F67087">
      <w:pPr>
        <w:ind w:left="720"/>
        <w:rPr>
          <w:color w:val="1F497D" w:themeColor="text2"/>
          <w:sz w:val="20"/>
        </w:rPr>
      </w:pPr>
      <w:r w:rsidRPr="00F67087">
        <w:rPr>
          <w:color w:val="1F497D" w:themeColor="text2"/>
          <w:sz w:val="20"/>
        </w:rPr>
        <w:t>the royalty revenue sharing arrangements between the state and the Commonwealth reflect both the state</w:t>
      </w:r>
      <w:r w:rsidR="005D6F39">
        <w:rPr>
          <w:color w:val="1F497D" w:themeColor="text2"/>
          <w:sz w:val="20"/>
        </w:rPr>
        <w:t>’</w:t>
      </w:r>
      <w:r w:rsidRPr="00F67087">
        <w:rPr>
          <w:color w:val="1F497D" w:themeColor="text2"/>
          <w:sz w:val="20"/>
        </w:rPr>
        <w:t>s significant investment in support of these projects and historic royalty arrangements</w:t>
      </w:r>
      <w:r w:rsidR="00233D15" w:rsidRPr="00F67087">
        <w:rPr>
          <w:color w:val="1F497D" w:themeColor="text2"/>
          <w:sz w:val="20"/>
        </w:rPr>
        <w:t xml:space="preserve"> (Western Australian Government Submission, p</w:t>
      </w:r>
      <w:r w:rsidR="006C4371" w:rsidRPr="00F67087">
        <w:rPr>
          <w:color w:val="1F497D" w:themeColor="text2"/>
          <w:sz w:val="20"/>
        </w:rPr>
        <w:t>.</w:t>
      </w:r>
      <w:r w:rsidR="00233D15" w:rsidRPr="00F67087">
        <w:rPr>
          <w:color w:val="1F497D" w:themeColor="text2"/>
          <w:sz w:val="20"/>
        </w:rPr>
        <w:t xml:space="preserve"> 1).</w:t>
      </w:r>
    </w:p>
    <w:p w14:paraId="6400484F" w14:textId="1B2A26E6" w:rsidR="00AA7794" w:rsidRDefault="00AA7794" w:rsidP="006D54FE">
      <w:r>
        <w:t xml:space="preserve">The royalty arrangements applying to the </w:t>
      </w:r>
      <w:r w:rsidR="00D21231">
        <w:t>NWS</w:t>
      </w:r>
      <w:r>
        <w:t xml:space="preserve"> project </w:t>
      </w:r>
      <w:r w:rsidR="00D34A3C">
        <w:t>are long standing and there does not appear to be a case for introducing any changes.</w:t>
      </w:r>
    </w:p>
    <w:p w14:paraId="79E2EC2B" w14:textId="14B54B14" w:rsidR="00AA7794" w:rsidRDefault="008120BA" w:rsidP="006D54FE">
      <w:pPr>
        <w:pStyle w:val="Heading2"/>
      </w:pPr>
      <w:bookmarkStart w:id="8433" w:name="_Toc476577394"/>
      <w:bookmarkStart w:id="8434" w:name="_Toc476582383"/>
      <w:bookmarkStart w:id="8435" w:name="_Toc476583057"/>
      <w:bookmarkStart w:id="8436" w:name="_Toc476583774"/>
      <w:bookmarkStart w:id="8437" w:name="_Toc476584222"/>
      <w:bookmarkStart w:id="8438" w:name="_Toc476738129"/>
      <w:bookmarkStart w:id="8439" w:name="_Toc476747714"/>
      <w:bookmarkStart w:id="8440" w:name="_Toc476749124"/>
      <w:bookmarkStart w:id="8441" w:name="_Toc476753991"/>
      <w:bookmarkStart w:id="8442" w:name="_Toc476754486"/>
      <w:bookmarkStart w:id="8443" w:name="_Toc476754651"/>
      <w:bookmarkStart w:id="8444" w:name="_Toc476759890"/>
      <w:bookmarkStart w:id="8445" w:name="_Toc476761512"/>
      <w:bookmarkStart w:id="8446" w:name="_Toc476767150"/>
      <w:bookmarkStart w:id="8447" w:name="_Toc476827196"/>
      <w:bookmarkStart w:id="8448" w:name="_Toc476828889"/>
      <w:bookmarkStart w:id="8449" w:name="_Toc476833763"/>
      <w:bookmarkStart w:id="8450" w:name="_Toc476837236"/>
      <w:bookmarkStart w:id="8451" w:name="_Toc476841109"/>
      <w:bookmarkStart w:id="8452" w:name="_Toc476841314"/>
      <w:bookmarkStart w:id="8453" w:name="_Toc476842073"/>
      <w:bookmarkStart w:id="8454" w:name="_Toc476843017"/>
      <w:bookmarkStart w:id="8455" w:name="_Toc476843188"/>
      <w:bookmarkStart w:id="8456" w:name="_Toc476844686"/>
      <w:bookmarkStart w:id="8457" w:name="_Toc476845579"/>
      <w:bookmarkStart w:id="8458" w:name="_Toc476926973"/>
      <w:bookmarkStart w:id="8459" w:name="_Toc476927086"/>
      <w:bookmarkStart w:id="8460" w:name="_Toc476927260"/>
      <w:bookmarkStart w:id="8461" w:name="_Toc476928524"/>
      <w:bookmarkStart w:id="8462" w:name="_Toc476929567"/>
      <w:bookmarkStart w:id="8463" w:name="_Toc476929742"/>
      <w:bookmarkStart w:id="8464" w:name="_Toc476930785"/>
      <w:bookmarkStart w:id="8465" w:name="_Toc476931592"/>
      <w:bookmarkStart w:id="8466" w:name="_Toc477869928"/>
      <w:bookmarkStart w:id="8467" w:name="_Toc477871167"/>
      <w:bookmarkStart w:id="8468" w:name="_Toc477873326"/>
      <w:bookmarkStart w:id="8469" w:name="_Toc477875320"/>
      <w:bookmarkStart w:id="8470" w:name="_Toc477880233"/>
      <w:bookmarkStart w:id="8471" w:name="_Toc477881493"/>
      <w:bookmarkStart w:id="8472" w:name="_Toc477955897"/>
      <w:bookmarkStart w:id="8473" w:name="_Toc477963142"/>
      <w:bookmarkStart w:id="8474" w:name="_Toc477963628"/>
      <w:bookmarkStart w:id="8475" w:name="_Toc477965214"/>
      <w:bookmarkStart w:id="8476" w:name="_Toc477966718"/>
      <w:bookmarkStart w:id="8477" w:name="_Toc477966887"/>
      <w:bookmarkStart w:id="8478" w:name="_Toc477967227"/>
      <w:bookmarkStart w:id="8479" w:name="_Toc478121364"/>
      <w:bookmarkStart w:id="8480" w:name="_Toc478122277"/>
      <w:bookmarkStart w:id="8481" w:name="_Toc478132107"/>
      <w:bookmarkStart w:id="8482" w:name="_Toc478132251"/>
      <w:bookmarkStart w:id="8483" w:name="_Toc478133277"/>
      <w:bookmarkStart w:id="8484" w:name="_Toc478132414"/>
      <w:bookmarkStart w:id="8485" w:name="_Toc478134743"/>
      <w:bookmarkStart w:id="8486" w:name="_Toc478137445"/>
      <w:bookmarkStart w:id="8487" w:name="_Toc478138517"/>
      <w:bookmarkStart w:id="8488" w:name="_Toc478140087"/>
      <w:bookmarkStart w:id="8489" w:name="_Toc478140503"/>
      <w:bookmarkStart w:id="8490" w:name="_Toc478142709"/>
      <w:bookmarkStart w:id="8491" w:name="_Toc478566428"/>
      <w:bookmarkStart w:id="8492" w:name="_Toc478569595"/>
      <w:bookmarkStart w:id="8493" w:name="_Toc478569769"/>
      <w:bookmarkStart w:id="8494" w:name="_Toc478570843"/>
      <w:bookmarkStart w:id="8495" w:name="_Toc478633042"/>
      <w:bookmarkStart w:id="8496" w:name="_Toc478641452"/>
      <w:bookmarkStart w:id="8497" w:name="_Toc478654346"/>
      <w:bookmarkStart w:id="8498" w:name="_Toc478654520"/>
      <w:bookmarkStart w:id="8499" w:name="_Toc478657815"/>
      <w:bookmarkStart w:id="8500" w:name="_Toc478993236"/>
      <w:bookmarkStart w:id="8501" w:name="_Toc479000307"/>
      <w:bookmarkStart w:id="8502" w:name="_Toc479002241"/>
      <w:bookmarkStart w:id="8503" w:name="_Toc479002413"/>
      <w:bookmarkStart w:id="8504" w:name="_Toc479254387"/>
      <w:bookmarkStart w:id="8505" w:name="_Toc479258576"/>
      <w:bookmarkStart w:id="8506" w:name="_Toc479258892"/>
      <w:bookmarkStart w:id="8507" w:name="_Toc479259784"/>
      <w:bookmarkStart w:id="8508" w:name="_Toc479262207"/>
      <w:bookmarkStart w:id="8509" w:name="_Toc479262628"/>
      <w:bookmarkStart w:id="8510" w:name="_Toc479321329"/>
      <w:bookmarkStart w:id="8511" w:name="_Toc479326768"/>
      <w:bookmarkStart w:id="8512" w:name="_Toc479333029"/>
      <w:bookmarkStart w:id="8513" w:name="_Toc479333367"/>
      <w:bookmarkStart w:id="8514" w:name="_Toc479335064"/>
      <w:bookmarkStart w:id="8515" w:name="_Toc479341779"/>
      <w:bookmarkStart w:id="8516" w:name="_Toc479345195"/>
      <w:bookmarkStart w:id="8517" w:name="_Toc479345404"/>
      <w:bookmarkStart w:id="8518" w:name="_Toc479348385"/>
      <w:bookmarkStart w:id="8519" w:name="_Toc479675979"/>
      <w:bookmarkStart w:id="8520" w:name="_Toc479690946"/>
      <w:bookmarkStart w:id="8521" w:name="_Toc479693524"/>
      <w:bookmarkStart w:id="8522" w:name="_Toc479770693"/>
      <w:r>
        <w:t>6</w:t>
      </w:r>
      <w:r w:rsidR="00C065B1">
        <w:t xml:space="preserve">.2 </w:t>
      </w:r>
      <w:r w:rsidR="00C065B1">
        <w:tab/>
        <w:t>Resource Rent Royalty</w:t>
      </w:r>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118B15ED" w14:textId="5643343A" w:rsidR="00AA7794" w:rsidRDefault="00AA7794" w:rsidP="006D54FE">
      <w:r>
        <w:t xml:space="preserve">Commonwealth excise can be waived on particular onshore projects where a state </w:t>
      </w:r>
      <w:r w:rsidR="00DF19CC">
        <w:t xml:space="preserve">or territory </w:t>
      </w:r>
      <w:r>
        <w:t xml:space="preserve">introduces a </w:t>
      </w:r>
      <w:r w:rsidR="00D34A3C">
        <w:t>resource rent royalty (</w:t>
      </w:r>
      <w:r>
        <w:t>RRR</w:t>
      </w:r>
      <w:r w:rsidR="00D34A3C">
        <w:t>)</w:t>
      </w:r>
      <w:r>
        <w:t xml:space="preserve"> in accordance with the </w:t>
      </w:r>
      <w:r w:rsidRPr="007A1E7A">
        <w:rPr>
          <w:i/>
        </w:rPr>
        <w:t>Petroleum Revenue Act 1985</w:t>
      </w:r>
      <w:r>
        <w:t xml:space="preserve"> and negotiates a revenue sharing agreement with the </w:t>
      </w:r>
      <w:r w:rsidR="005B40FC">
        <w:t xml:space="preserve">Commonwealth </w:t>
      </w:r>
      <w:r>
        <w:t>Government. The RRR currently only applies to the Barrow Island project off WA. It is profit</w:t>
      </w:r>
      <w:r w:rsidR="005D6F39">
        <w:noBreakHyphen/>
      </w:r>
      <w:r>
        <w:t>based, similar in principle to PRRT, except that:</w:t>
      </w:r>
    </w:p>
    <w:p w14:paraId="1FD4D295" w14:textId="1162F1CB" w:rsidR="00AA7794" w:rsidRDefault="00AA7794" w:rsidP="00F67087">
      <w:pPr>
        <w:pStyle w:val="Bullet"/>
      </w:pPr>
      <w:r>
        <w:t>exploration deductions are limited to the year preceding the introduction of RRR</w:t>
      </w:r>
      <w:r w:rsidR="00B85729">
        <w:t>;</w:t>
      </w:r>
      <w:r>
        <w:t xml:space="preserve"> </w:t>
      </w:r>
    </w:p>
    <w:p w14:paraId="429F5B6C" w14:textId="3D3310E0" w:rsidR="00AA7794" w:rsidRDefault="00AA7794" w:rsidP="00F67087">
      <w:pPr>
        <w:pStyle w:val="Bullet"/>
      </w:pPr>
      <w:r>
        <w:t>revenue is shared according to a formula in the Act, whereas PRRT revenue is not shared with the states</w:t>
      </w:r>
      <w:r w:rsidR="00B85729">
        <w:t>; and</w:t>
      </w:r>
    </w:p>
    <w:p w14:paraId="76830809" w14:textId="053BC540" w:rsidR="00AA7794" w:rsidRDefault="00AA7794" w:rsidP="00F67087">
      <w:pPr>
        <w:pStyle w:val="Bullet"/>
      </w:pPr>
      <w:r>
        <w:t xml:space="preserve">for Barrow Island, RRR is shared between the </w:t>
      </w:r>
      <w:r w:rsidR="005B40FC">
        <w:t xml:space="preserve">Commonwealth </w:t>
      </w:r>
      <w:r>
        <w:t>and W</w:t>
      </w:r>
      <w:r w:rsidR="00DF19CC">
        <w:t>A G</w:t>
      </w:r>
      <w:r>
        <w:t>overnments in the ratio 75:25 respectively.</w:t>
      </w:r>
    </w:p>
    <w:p w14:paraId="1BD83E41" w14:textId="7F5CA9AB" w:rsidR="00AA7794" w:rsidRDefault="00AA7794" w:rsidP="006D54FE">
      <w:r>
        <w:t xml:space="preserve">The RRR was introduced for the Barrow Island project in 1985. The RRR was an initiative by the </w:t>
      </w:r>
      <w:r w:rsidR="00B85729">
        <w:t>WA</w:t>
      </w:r>
      <w:r>
        <w:t xml:space="preserve"> Government in consultation with the </w:t>
      </w:r>
      <w:r w:rsidR="005B40FC">
        <w:t xml:space="preserve">Commonwealth </w:t>
      </w:r>
      <w:r>
        <w:t>Government to replace the existing ad valorem royalty and crude oil excise that applied to the Barrow Island project. It was as an incentive for continued production and optimal recovery from the project following concerns that future investment could be impeded by the prevailing royalty arrangements.</w:t>
      </w:r>
    </w:p>
    <w:p w14:paraId="51D8F630" w14:textId="1E02E45A" w:rsidR="00AA7794" w:rsidRDefault="008120BA" w:rsidP="006D54FE">
      <w:pPr>
        <w:pStyle w:val="Heading2"/>
      </w:pPr>
      <w:bookmarkStart w:id="8523" w:name="_Toc476577395"/>
      <w:bookmarkStart w:id="8524" w:name="_Toc476582384"/>
      <w:bookmarkStart w:id="8525" w:name="_Toc476583058"/>
      <w:bookmarkStart w:id="8526" w:name="_Toc476583775"/>
      <w:bookmarkStart w:id="8527" w:name="_Toc476584223"/>
      <w:bookmarkStart w:id="8528" w:name="_Toc476738130"/>
      <w:bookmarkStart w:id="8529" w:name="_Toc476747715"/>
      <w:bookmarkStart w:id="8530" w:name="_Toc476749125"/>
      <w:bookmarkStart w:id="8531" w:name="_Toc476753992"/>
      <w:bookmarkStart w:id="8532" w:name="_Toc476754487"/>
      <w:bookmarkStart w:id="8533" w:name="_Toc476754652"/>
      <w:bookmarkStart w:id="8534" w:name="_Toc476759891"/>
      <w:bookmarkStart w:id="8535" w:name="_Toc476761513"/>
      <w:bookmarkStart w:id="8536" w:name="_Toc476767151"/>
      <w:bookmarkStart w:id="8537" w:name="_Toc476827197"/>
      <w:bookmarkStart w:id="8538" w:name="_Toc476828890"/>
      <w:bookmarkStart w:id="8539" w:name="_Toc476833764"/>
      <w:bookmarkStart w:id="8540" w:name="_Toc476837237"/>
      <w:bookmarkStart w:id="8541" w:name="_Toc476841110"/>
      <w:bookmarkStart w:id="8542" w:name="_Toc476841315"/>
      <w:bookmarkStart w:id="8543" w:name="_Toc476842074"/>
      <w:bookmarkStart w:id="8544" w:name="_Toc476843018"/>
      <w:bookmarkStart w:id="8545" w:name="_Toc476843189"/>
      <w:bookmarkStart w:id="8546" w:name="_Toc476844687"/>
      <w:bookmarkStart w:id="8547" w:name="_Toc476845580"/>
      <w:bookmarkStart w:id="8548" w:name="_Toc476926974"/>
      <w:bookmarkStart w:id="8549" w:name="_Toc476927087"/>
      <w:bookmarkStart w:id="8550" w:name="_Toc476927261"/>
      <w:bookmarkStart w:id="8551" w:name="_Toc476928525"/>
      <w:bookmarkStart w:id="8552" w:name="_Toc476929568"/>
      <w:bookmarkStart w:id="8553" w:name="_Toc476929743"/>
      <w:bookmarkStart w:id="8554" w:name="_Toc476930786"/>
      <w:bookmarkStart w:id="8555" w:name="_Toc476931593"/>
      <w:bookmarkStart w:id="8556" w:name="_Toc477869929"/>
      <w:bookmarkStart w:id="8557" w:name="_Toc477871168"/>
      <w:bookmarkStart w:id="8558" w:name="_Toc477873327"/>
      <w:bookmarkStart w:id="8559" w:name="_Toc477875321"/>
      <w:bookmarkStart w:id="8560" w:name="_Toc477880234"/>
      <w:bookmarkStart w:id="8561" w:name="_Toc477881494"/>
      <w:bookmarkStart w:id="8562" w:name="_Toc477955898"/>
      <w:bookmarkStart w:id="8563" w:name="_Toc477963143"/>
      <w:bookmarkStart w:id="8564" w:name="_Toc477963629"/>
      <w:bookmarkStart w:id="8565" w:name="_Toc477965215"/>
      <w:bookmarkStart w:id="8566" w:name="_Toc477966719"/>
      <w:bookmarkStart w:id="8567" w:name="_Toc477966888"/>
      <w:bookmarkStart w:id="8568" w:name="_Toc477967228"/>
      <w:bookmarkStart w:id="8569" w:name="_Toc478121365"/>
      <w:bookmarkStart w:id="8570" w:name="_Toc478122278"/>
      <w:bookmarkStart w:id="8571" w:name="_Toc478132108"/>
      <w:bookmarkStart w:id="8572" w:name="_Toc478132252"/>
      <w:bookmarkStart w:id="8573" w:name="_Toc478133278"/>
      <w:bookmarkStart w:id="8574" w:name="_Toc478132415"/>
      <w:bookmarkStart w:id="8575" w:name="_Toc478134744"/>
      <w:bookmarkStart w:id="8576" w:name="_Toc478137446"/>
      <w:bookmarkStart w:id="8577" w:name="_Toc478138518"/>
      <w:bookmarkStart w:id="8578" w:name="_Toc478140088"/>
      <w:bookmarkStart w:id="8579" w:name="_Toc478140504"/>
      <w:bookmarkStart w:id="8580" w:name="_Toc478142710"/>
      <w:bookmarkStart w:id="8581" w:name="_Toc478566429"/>
      <w:bookmarkStart w:id="8582" w:name="_Toc478569596"/>
      <w:bookmarkStart w:id="8583" w:name="_Toc478569770"/>
      <w:bookmarkStart w:id="8584" w:name="_Toc478570844"/>
      <w:bookmarkStart w:id="8585" w:name="_Toc478633043"/>
      <w:bookmarkStart w:id="8586" w:name="_Toc478641453"/>
      <w:bookmarkStart w:id="8587" w:name="_Toc478654347"/>
      <w:bookmarkStart w:id="8588" w:name="_Toc478654521"/>
      <w:bookmarkStart w:id="8589" w:name="_Toc478657816"/>
      <w:bookmarkStart w:id="8590" w:name="_Toc478993237"/>
      <w:bookmarkStart w:id="8591" w:name="_Toc479000308"/>
      <w:bookmarkStart w:id="8592" w:name="_Toc479002242"/>
      <w:bookmarkStart w:id="8593" w:name="_Toc479002414"/>
      <w:bookmarkStart w:id="8594" w:name="_Toc479254388"/>
      <w:bookmarkStart w:id="8595" w:name="_Toc479258577"/>
      <w:bookmarkStart w:id="8596" w:name="_Toc479258893"/>
      <w:bookmarkStart w:id="8597" w:name="_Toc479259785"/>
      <w:bookmarkStart w:id="8598" w:name="_Toc479262208"/>
      <w:bookmarkStart w:id="8599" w:name="_Toc479262629"/>
      <w:bookmarkStart w:id="8600" w:name="_Toc479321330"/>
      <w:bookmarkStart w:id="8601" w:name="_Toc479326769"/>
      <w:bookmarkStart w:id="8602" w:name="_Toc479333030"/>
      <w:bookmarkStart w:id="8603" w:name="_Toc479333368"/>
      <w:bookmarkStart w:id="8604" w:name="_Toc479335065"/>
      <w:bookmarkStart w:id="8605" w:name="_Toc479341780"/>
      <w:bookmarkStart w:id="8606" w:name="_Toc479345196"/>
      <w:bookmarkStart w:id="8607" w:name="_Toc479345405"/>
      <w:bookmarkStart w:id="8608" w:name="_Toc479348386"/>
      <w:bookmarkStart w:id="8609" w:name="_Toc479675980"/>
      <w:bookmarkStart w:id="8610" w:name="_Toc479690947"/>
      <w:bookmarkStart w:id="8611" w:name="_Toc479693525"/>
      <w:bookmarkStart w:id="8612" w:name="_Toc479770694"/>
      <w:r>
        <w:t>6</w:t>
      </w:r>
      <w:r w:rsidR="00C065B1">
        <w:t>.3</w:t>
      </w:r>
      <w:r w:rsidR="00C065B1">
        <w:tab/>
        <w:t>State Royalties</w:t>
      </w:r>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p>
    <w:p w14:paraId="0EA9C53A" w14:textId="2D127C93" w:rsidR="006E2F5E" w:rsidRDefault="00AA7794" w:rsidP="006D54FE">
      <w:r>
        <w:t>The states</w:t>
      </w:r>
      <w:r w:rsidDel="005B40FC">
        <w:t xml:space="preserve"> </w:t>
      </w:r>
      <w:r>
        <w:t>have responsibility for onshore petroleum resources and within nearby coastal waters (less than three nautical miles from shore</w:t>
      </w:r>
      <w:r w:rsidR="00897C03">
        <w:t>), including for resource charging arrangements.</w:t>
      </w:r>
    </w:p>
    <w:p w14:paraId="6026C886" w14:textId="3C6BD6C6" w:rsidR="006E2F5E" w:rsidRDefault="006E2F5E" w:rsidP="006D54FE">
      <w:r>
        <w:t>State royalties are the primary means by which the community receives a return for its onshore petroleum resources. An examination of whether state royalties are achieving a fair return for the community is outside the review</w:t>
      </w:r>
      <w:r w:rsidR="005D6F39">
        <w:t>’</w:t>
      </w:r>
      <w:r>
        <w:t>s terms of reference.</w:t>
      </w:r>
    </w:p>
    <w:p w14:paraId="0B698095" w14:textId="0AEAC3A9" w:rsidR="00AA7794" w:rsidRDefault="00AA7794" w:rsidP="006D54FE">
      <w:r>
        <w:t>State royalties are typically calculated on an ad</w:t>
      </w:r>
      <w:r w:rsidR="00AB620D">
        <w:t> </w:t>
      </w:r>
      <w:r>
        <w:t>valorem basis or percentage of the value of the petroleum, applying a fixed percentage of between 10 and 12.5</w:t>
      </w:r>
      <w:r w:rsidR="00AB620D">
        <w:t xml:space="preserve"> per cent </w:t>
      </w:r>
      <w:r>
        <w:t xml:space="preserve">of the wellhead value. The state royalty regimes are broadly similar in structure to Commonwealth royalties with a few minor differences relating to deductions and the royalty rates. </w:t>
      </w:r>
      <w:r w:rsidR="00AB620D">
        <w:t xml:space="preserve">State royalty collections are set out in </w:t>
      </w:r>
      <w:r w:rsidR="005B40FC" w:rsidRPr="006D28D4">
        <w:t>Figure 2.4</w:t>
      </w:r>
      <w:r w:rsidR="00AB620D">
        <w:t xml:space="preserve">. </w:t>
      </w:r>
    </w:p>
    <w:p w14:paraId="04D5449F" w14:textId="4FE1FD63" w:rsidR="00AA7794" w:rsidRDefault="008120BA" w:rsidP="006D54FE">
      <w:pPr>
        <w:pStyle w:val="Heading2"/>
      </w:pPr>
      <w:bookmarkStart w:id="8613" w:name="_Toc476577396"/>
      <w:bookmarkStart w:id="8614" w:name="_Toc476582385"/>
      <w:bookmarkStart w:id="8615" w:name="_Toc476583059"/>
      <w:bookmarkStart w:id="8616" w:name="_Toc476583776"/>
      <w:bookmarkStart w:id="8617" w:name="_Toc476584224"/>
      <w:bookmarkStart w:id="8618" w:name="_Toc476738131"/>
      <w:bookmarkStart w:id="8619" w:name="_Toc476747716"/>
      <w:bookmarkStart w:id="8620" w:name="_Toc476749126"/>
      <w:bookmarkStart w:id="8621" w:name="_Toc476753993"/>
      <w:bookmarkStart w:id="8622" w:name="_Toc476754488"/>
      <w:bookmarkStart w:id="8623" w:name="_Toc476754653"/>
      <w:bookmarkStart w:id="8624" w:name="_Toc476759892"/>
      <w:bookmarkStart w:id="8625" w:name="_Toc476761514"/>
      <w:bookmarkStart w:id="8626" w:name="_Toc476767152"/>
      <w:bookmarkStart w:id="8627" w:name="_Toc476827198"/>
      <w:bookmarkStart w:id="8628" w:name="_Toc476828891"/>
      <w:bookmarkStart w:id="8629" w:name="_Toc476833765"/>
      <w:bookmarkStart w:id="8630" w:name="_Toc476837238"/>
      <w:bookmarkStart w:id="8631" w:name="_Toc476841111"/>
      <w:bookmarkStart w:id="8632" w:name="_Toc476841316"/>
      <w:bookmarkStart w:id="8633" w:name="_Toc476842075"/>
      <w:bookmarkStart w:id="8634" w:name="_Toc476843019"/>
      <w:bookmarkStart w:id="8635" w:name="_Toc476843190"/>
      <w:bookmarkStart w:id="8636" w:name="_Toc476844688"/>
      <w:bookmarkStart w:id="8637" w:name="_Toc476845581"/>
      <w:bookmarkStart w:id="8638" w:name="_Toc476926975"/>
      <w:bookmarkStart w:id="8639" w:name="_Toc476927088"/>
      <w:bookmarkStart w:id="8640" w:name="_Toc476927262"/>
      <w:bookmarkStart w:id="8641" w:name="_Toc476928526"/>
      <w:bookmarkStart w:id="8642" w:name="_Toc476929569"/>
      <w:bookmarkStart w:id="8643" w:name="_Toc476929744"/>
      <w:bookmarkStart w:id="8644" w:name="_Toc476930787"/>
      <w:bookmarkStart w:id="8645" w:name="_Toc476931594"/>
      <w:bookmarkStart w:id="8646" w:name="_Toc477869930"/>
      <w:bookmarkStart w:id="8647" w:name="_Toc477871169"/>
      <w:bookmarkStart w:id="8648" w:name="_Toc477873328"/>
      <w:bookmarkStart w:id="8649" w:name="_Toc477875322"/>
      <w:bookmarkStart w:id="8650" w:name="_Toc477880235"/>
      <w:bookmarkStart w:id="8651" w:name="_Toc477881495"/>
      <w:bookmarkStart w:id="8652" w:name="_Toc477955899"/>
      <w:bookmarkStart w:id="8653" w:name="_Toc477963144"/>
      <w:bookmarkStart w:id="8654" w:name="_Toc477963630"/>
      <w:bookmarkStart w:id="8655" w:name="_Toc477965216"/>
      <w:bookmarkStart w:id="8656" w:name="_Toc477966720"/>
      <w:bookmarkStart w:id="8657" w:name="_Toc477966889"/>
      <w:bookmarkStart w:id="8658" w:name="_Toc477967229"/>
      <w:bookmarkStart w:id="8659" w:name="_Toc478121366"/>
      <w:bookmarkStart w:id="8660" w:name="_Toc478122279"/>
      <w:bookmarkStart w:id="8661" w:name="_Toc478132109"/>
      <w:bookmarkStart w:id="8662" w:name="_Toc478132253"/>
      <w:bookmarkStart w:id="8663" w:name="_Toc478133279"/>
      <w:bookmarkStart w:id="8664" w:name="_Toc478132416"/>
      <w:bookmarkStart w:id="8665" w:name="_Toc478134745"/>
      <w:bookmarkStart w:id="8666" w:name="_Toc478137447"/>
      <w:bookmarkStart w:id="8667" w:name="_Toc478138519"/>
      <w:bookmarkStart w:id="8668" w:name="_Toc478140089"/>
      <w:bookmarkStart w:id="8669" w:name="_Toc478140505"/>
      <w:bookmarkStart w:id="8670" w:name="_Toc478142711"/>
      <w:bookmarkStart w:id="8671" w:name="_Toc478566430"/>
      <w:bookmarkStart w:id="8672" w:name="_Toc478569597"/>
      <w:bookmarkStart w:id="8673" w:name="_Toc478569771"/>
      <w:bookmarkStart w:id="8674" w:name="_Toc478570845"/>
      <w:bookmarkStart w:id="8675" w:name="_Toc478633044"/>
      <w:bookmarkStart w:id="8676" w:name="_Toc478641454"/>
      <w:bookmarkStart w:id="8677" w:name="_Toc478654348"/>
      <w:bookmarkStart w:id="8678" w:name="_Toc478654522"/>
      <w:bookmarkStart w:id="8679" w:name="_Toc478657817"/>
      <w:bookmarkStart w:id="8680" w:name="_Toc478993238"/>
      <w:bookmarkStart w:id="8681" w:name="_Toc479000309"/>
      <w:bookmarkStart w:id="8682" w:name="_Toc479002243"/>
      <w:bookmarkStart w:id="8683" w:name="_Toc479002415"/>
      <w:bookmarkStart w:id="8684" w:name="_Toc479254389"/>
      <w:bookmarkStart w:id="8685" w:name="_Toc479258578"/>
      <w:bookmarkStart w:id="8686" w:name="_Toc479258894"/>
      <w:bookmarkStart w:id="8687" w:name="_Toc479259786"/>
      <w:bookmarkStart w:id="8688" w:name="_Toc479262209"/>
      <w:bookmarkStart w:id="8689" w:name="_Toc479262630"/>
      <w:bookmarkStart w:id="8690" w:name="_Toc479321331"/>
      <w:bookmarkStart w:id="8691" w:name="_Toc479326770"/>
      <w:bookmarkStart w:id="8692" w:name="_Toc479333031"/>
      <w:bookmarkStart w:id="8693" w:name="_Toc479333369"/>
      <w:bookmarkStart w:id="8694" w:name="_Toc479335066"/>
      <w:bookmarkStart w:id="8695" w:name="_Toc479341781"/>
      <w:bookmarkStart w:id="8696" w:name="_Toc479345197"/>
      <w:bookmarkStart w:id="8697" w:name="_Toc479345406"/>
      <w:bookmarkStart w:id="8698" w:name="_Toc479348387"/>
      <w:bookmarkStart w:id="8699" w:name="_Toc479675981"/>
      <w:bookmarkStart w:id="8700" w:name="_Toc479690948"/>
      <w:bookmarkStart w:id="8701" w:name="_Toc479693526"/>
      <w:bookmarkStart w:id="8702" w:name="_Toc479770695"/>
      <w:r>
        <w:t>6</w:t>
      </w:r>
      <w:r w:rsidR="00C065B1">
        <w:t>.4</w:t>
      </w:r>
      <w:r w:rsidR="00C065B1">
        <w:tab/>
        <w:t>Other Revenues</w:t>
      </w:r>
      <w:r w:rsidR="005D6F39">
        <w:t xml:space="preserve"> — </w:t>
      </w:r>
      <w:r w:rsidR="00C065B1">
        <w:t>Joint Petroleum Development Area</w:t>
      </w:r>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14:paraId="04B6310D" w14:textId="49D484BD" w:rsidR="00AA7794" w:rsidRDefault="00AA7794" w:rsidP="006D54FE">
      <w:r>
        <w:t>Petroleum produced within the JPDA in the Timor Sea is subject to fiscal terms outlined in a Production Sharing Contract (PSC). PSCs are agreements between the parties to a petroleum extraction facility and the Australian and Timor</w:t>
      </w:r>
      <w:r w:rsidR="005D6F39">
        <w:noBreakHyphen/>
      </w:r>
      <w:r>
        <w:t xml:space="preserve">Leste </w:t>
      </w:r>
      <w:r w:rsidR="005B40FC">
        <w:t xml:space="preserve">Governments </w:t>
      </w:r>
      <w:r>
        <w:t>regarding the percentage of production each party will receive after the participating parties have recovered a specified amount of costs and expenses.</w:t>
      </w:r>
    </w:p>
    <w:p w14:paraId="5C84766B" w14:textId="23F52B9A" w:rsidR="00AA7794" w:rsidRDefault="00AA7794" w:rsidP="006D54FE">
      <w:r>
        <w:t>Day</w:t>
      </w:r>
      <w:r w:rsidR="005D6F39">
        <w:noBreakHyphen/>
      </w:r>
      <w:r>
        <w:t>to</w:t>
      </w:r>
      <w:r w:rsidR="005D6F39">
        <w:noBreakHyphen/>
      </w:r>
      <w:r>
        <w:t>day regulation of the JPDA is managed by the Designated Authority, which is the Timor</w:t>
      </w:r>
      <w:r w:rsidR="005D6F39">
        <w:noBreakHyphen/>
      </w:r>
      <w:r>
        <w:t>Leste offshore regulator the Autoridade Nacional do Petróleo E Minerais (ANPM). The ANPM regulates operations in the JPDA and administers and collects revenue on behalf of both countries. The Timor Sea Treaty provides that revenue from petroleum production in the JPDA, which is currently only from the Bayu</w:t>
      </w:r>
      <w:r w:rsidR="005D6F39">
        <w:noBreakHyphen/>
      </w:r>
      <w:r>
        <w:t>Undan field, is split between Timor</w:t>
      </w:r>
      <w:r w:rsidR="005D6F39">
        <w:noBreakHyphen/>
      </w:r>
      <w:r>
        <w:t>Leste and Australia on a 90:10 basis. These arrangements represent a bilateral agreement between Australia and Timor</w:t>
      </w:r>
      <w:r w:rsidR="005D6F39">
        <w:noBreakHyphen/>
      </w:r>
      <w:r>
        <w:t xml:space="preserve">Leste and are covered for completeness in this review with no contemplation of recommending </w:t>
      </w:r>
      <w:r w:rsidR="00897C03">
        <w:t>any</w:t>
      </w:r>
      <w:r>
        <w:t xml:space="preserve"> change</w:t>
      </w:r>
      <w:r w:rsidR="006025F8">
        <w:t>.</w:t>
      </w:r>
    </w:p>
    <w:p w14:paraId="75B43DB4" w14:textId="01701FFE" w:rsidR="00AB620D" w:rsidRDefault="001B6F74" w:rsidP="006D54FE">
      <w:bookmarkStart w:id="8703" w:name="_Toc476577397"/>
      <w:bookmarkStart w:id="8704" w:name="_Toc476582386"/>
      <w:bookmarkStart w:id="8705" w:name="_Toc476583060"/>
      <w:bookmarkStart w:id="8706" w:name="_Toc476583777"/>
      <w:bookmarkStart w:id="8707" w:name="_Toc476584225"/>
      <w:bookmarkStart w:id="8708" w:name="_Toc476738132"/>
      <w:bookmarkStart w:id="8709" w:name="_Toc476747717"/>
      <w:bookmarkStart w:id="8710" w:name="_Toc476749127"/>
      <w:bookmarkStart w:id="8711" w:name="_Toc476753994"/>
      <w:bookmarkStart w:id="8712" w:name="_Toc476754489"/>
      <w:bookmarkStart w:id="8713" w:name="_Toc476754654"/>
      <w:bookmarkStart w:id="8714" w:name="_Toc476759893"/>
      <w:bookmarkStart w:id="8715" w:name="_Toc476761515"/>
      <w:bookmarkStart w:id="8716" w:name="_Toc476767153"/>
      <w:bookmarkStart w:id="8717" w:name="_Toc476827199"/>
      <w:bookmarkStart w:id="8718" w:name="_Toc476828892"/>
      <w:bookmarkStart w:id="8719" w:name="_Toc476833766"/>
      <w:bookmarkStart w:id="8720" w:name="_Toc476837239"/>
      <w:bookmarkStart w:id="8721" w:name="_Toc476841112"/>
      <w:bookmarkStart w:id="8722" w:name="_Toc476841317"/>
      <w:bookmarkStart w:id="8723" w:name="_Toc476842076"/>
      <w:bookmarkStart w:id="8724" w:name="_Toc476843020"/>
      <w:bookmarkStart w:id="8725" w:name="_Toc476843191"/>
      <w:bookmarkStart w:id="8726" w:name="_Toc476844689"/>
      <w:bookmarkStart w:id="8727" w:name="_Toc476845582"/>
      <w:bookmarkStart w:id="8728" w:name="_Toc476926976"/>
      <w:bookmarkStart w:id="8729" w:name="_Toc476927089"/>
      <w:bookmarkStart w:id="8730" w:name="_Toc476927263"/>
      <w:bookmarkStart w:id="8731" w:name="_Toc476928527"/>
      <w:bookmarkStart w:id="8732" w:name="_Toc476929570"/>
      <w:bookmarkStart w:id="8733" w:name="_Toc476929745"/>
      <w:bookmarkStart w:id="8734" w:name="_Toc476930788"/>
      <w:bookmarkStart w:id="8735" w:name="_Toc476931595"/>
      <w:bookmarkStart w:id="8736" w:name="_Toc477869931"/>
      <w:bookmarkStart w:id="8737" w:name="_Toc477871170"/>
      <w:bookmarkStart w:id="8738" w:name="_Toc477873329"/>
      <w:bookmarkStart w:id="8739" w:name="_Toc477875323"/>
      <w:bookmarkStart w:id="8740" w:name="_Toc477880236"/>
      <w:bookmarkStart w:id="8741" w:name="_Toc477881496"/>
      <w:r>
        <w:t xml:space="preserve">The </w:t>
      </w:r>
      <w:r w:rsidR="006025F8">
        <w:t>Australian</w:t>
      </w:r>
      <w:r>
        <w:t xml:space="preserve"> Government also collects a small amount of revenue from </w:t>
      </w:r>
      <w:r w:rsidR="00AB620D">
        <w:t xml:space="preserve">petroleum projects in coastal waters. </w:t>
      </w:r>
      <w:r>
        <w:t>While s</w:t>
      </w:r>
      <w:r w:rsidR="00AB620D">
        <w:t xml:space="preserve">tate </w:t>
      </w:r>
      <w:r>
        <w:t>royalties from projects in coastal</w:t>
      </w:r>
      <w:r w:rsidR="00AB620D">
        <w:t xml:space="preserve"> waters </w:t>
      </w:r>
      <w:r w:rsidR="0090078B">
        <w:t>are</w:t>
      </w:r>
      <w:r w:rsidR="00AB620D">
        <w:t xml:space="preserve"> </w:t>
      </w:r>
      <w:r>
        <w:t>usually</w:t>
      </w:r>
      <w:r w:rsidR="00AB620D">
        <w:t xml:space="preserve"> retained by the relevant state, </w:t>
      </w:r>
      <w:r>
        <w:t>royalty revenue from</w:t>
      </w:r>
      <w:r w:rsidR="00AB620D">
        <w:t xml:space="preserve"> projects derived from Commonwealth permits</w:t>
      </w:r>
      <w:r>
        <w:t xml:space="preserve"> that existed prior to 1979</w:t>
      </w:r>
      <w:r w:rsidR="00AB620D">
        <w:t xml:space="preserve"> is shared with the </w:t>
      </w:r>
      <w:r w:rsidR="006025F8">
        <w:t>Australian Government</w:t>
      </w:r>
      <w:r w:rsidR="00AB620D">
        <w:t>.</w:t>
      </w:r>
    </w:p>
    <w:p w14:paraId="57B40D33" w14:textId="3866DEC1" w:rsidR="00AA7794" w:rsidRDefault="008120BA" w:rsidP="00F435C1">
      <w:pPr>
        <w:pStyle w:val="Heading2"/>
      </w:pPr>
      <w:bookmarkStart w:id="8742" w:name="_Toc477955900"/>
      <w:bookmarkStart w:id="8743" w:name="_Toc477963145"/>
      <w:bookmarkStart w:id="8744" w:name="_Toc477963631"/>
      <w:bookmarkStart w:id="8745" w:name="_Toc477965217"/>
      <w:bookmarkStart w:id="8746" w:name="_Toc477966721"/>
      <w:bookmarkStart w:id="8747" w:name="_Toc477966890"/>
      <w:bookmarkStart w:id="8748" w:name="_Toc477967230"/>
      <w:bookmarkStart w:id="8749" w:name="_Toc478121367"/>
      <w:bookmarkStart w:id="8750" w:name="_Toc478122280"/>
      <w:bookmarkStart w:id="8751" w:name="_Toc478132110"/>
      <w:bookmarkStart w:id="8752" w:name="_Toc478132254"/>
      <w:bookmarkStart w:id="8753" w:name="_Toc478133280"/>
      <w:bookmarkStart w:id="8754" w:name="_Toc478132417"/>
      <w:bookmarkStart w:id="8755" w:name="_Toc478134746"/>
      <w:bookmarkStart w:id="8756" w:name="_Toc478137448"/>
      <w:bookmarkStart w:id="8757" w:name="_Toc478138520"/>
      <w:bookmarkStart w:id="8758" w:name="_Toc478140090"/>
      <w:bookmarkStart w:id="8759" w:name="_Toc478140506"/>
      <w:bookmarkStart w:id="8760" w:name="_Toc478142712"/>
      <w:bookmarkStart w:id="8761" w:name="_Toc478566431"/>
      <w:bookmarkStart w:id="8762" w:name="_Toc478569598"/>
      <w:bookmarkStart w:id="8763" w:name="_Toc478569772"/>
      <w:bookmarkStart w:id="8764" w:name="_Toc478570846"/>
      <w:bookmarkStart w:id="8765" w:name="_Toc478633045"/>
      <w:bookmarkStart w:id="8766" w:name="_Toc478641455"/>
      <w:bookmarkStart w:id="8767" w:name="_Toc478654349"/>
      <w:bookmarkStart w:id="8768" w:name="_Toc478654523"/>
      <w:bookmarkStart w:id="8769" w:name="_Toc478657818"/>
      <w:bookmarkStart w:id="8770" w:name="_Toc478993239"/>
      <w:bookmarkStart w:id="8771" w:name="_Toc479000310"/>
      <w:bookmarkStart w:id="8772" w:name="_Toc479002244"/>
      <w:bookmarkStart w:id="8773" w:name="_Toc479002416"/>
      <w:bookmarkStart w:id="8774" w:name="_Toc479254390"/>
      <w:bookmarkStart w:id="8775" w:name="_Toc479258579"/>
      <w:bookmarkStart w:id="8776" w:name="_Toc479258895"/>
      <w:bookmarkStart w:id="8777" w:name="_Toc479259787"/>
      <w:bookmarkStart w:id="8778" w:name="_Toc479262210"/>
      <w:bookmarkStart w:id="8779" w:name="_Toc479262631"/>
      <w:bookmarkStart w:id="8780" w:name="_Toc479321332"/>
      <w:bookmarkStart w:id="8781" w:name="_Toc479326771"/>
      <w:bookmarkStart w:id="8782" w:name="_Toc479333032"/>
      <w:bookmarkStart w:id="8783" w:name="_Toc479333370"/>
      <w:bookmarkStart w:id="8784" w:name="_Toc479335067"/>
      <w:bookmarkStart w:id="8785" w:name="_Toc479341782"/>
      <w:bookmarkStart w:id="8786" w:name="_Toc479345198"/>
      <w:bookmarkStart w:id="8787" w:name="_Toc479345407"/>
      <w:bookmarkStart w:id="8788" w:name="_Toc479348388"/>
      <w:bookmarkStart w:id="8789" w:name="_Toc479675982"/>
      <w:bookmarkStart w:id="8790" w:name="_Toc479690949"/>
      <w:bookmarkStart w:id="8791" w:name="_Toc479693527"/>
      <w:bookmarkStart w:id="8792" w:name="_Toc479770696"/>
      <w:r>
        <w:t>6</w:t>
      </w:r>
      <w:r w:rsidR="00C065B1">
        <w:t>.5</w:t>
      </w:r>
      <w:r w:rsidR="00C065B1">
        <w:tab/>
      </w:r>
      <w:r w:rsidR="009D5929">
        <w:t xml:space="preserve">Applying </w:t>
      </w:r>
      <w:r w:rsidR="003C1E3F">
        <w:t>a</w:t>
      </w:r>
      <w:r w:rsidR="009D5929">
        <w:t xml:space="preserve"> Royalty </w:t>
      </w:r>
      <w:r w:rsidR="00C065B1">
        <w:t xml:space="preserve">to </w:t>
      </w:r>
      <w:r w:rsidR="00F435C1">
        <w:t xml:space="preserve">Offshore </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r w:rsidR="002B739A">
        <w:t>Petroleum</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p>
    <w:p w14:paraId="677E50E8" w14:textId="2BBD487B" w:rsidR="00AA7794" w:rsidRDefault="00DA6D2B" w:rsidP="00F435C1">
      <w:r>
        <w:t>A number of</w:t>
      </w:r>
      <w:r w:rsidR="00AA7794">
        <w:t xml:space="preserve"> submissions (</w:t>
      </w:r>
      <w:r w:rsidR="00701342">
        <w:t xml:space="preserve">including </w:t>
      </w:r>
      <w:r w:rsidR="00AA7794">
        <w:t>Dr Diane Kraal</w:t>
      </w:r>
      <w:r w:rsidR="00701342">
        <w:t xml:space="preserve"> and</w:t>
      </w:r>
      <w:r w:rsidR="00AA7794">
        <w:t xml:space="preserve"> </w:t>
      </w:r>
      <w:r w:rsidR="000A33FC">
        <w:t>of</w:t>
      </w:r>
      <w:r w:rsidR="00AA7794">
        <w:t xml:space="preserve"> Australia</w:t>
      </w:r>
      <w:r w:rsidR="00701342">
        <w:t>,</w:t>
      </w:r>
      <w:r w:rsidR="00AA7794">
        <w:t xml:space="preserve"> supported by Publish What You Pay, </w:t>
      </w:r>
      <w:r w:rsidR="00CC112D" w:rsidRPr="00CC112D">
        <w:t>Community</w:t>
      </w:r>
      <w:r w:rsidR="00AA7794">
        <w:t xml:space="preserve"> </w:t>
      </w:r>
      <w:r w:rsidR="0076402B">
        <w:t xml:space="preserve">and </w:t>
      </w:r>
      <w:r w:rsidR="00CC112D" w:rsidRPr="00CC112D">
        <w:t>Public Sector Union</w:t>
      </w:r>
      <w:r w:rsidR="00AA7794">
        <w:t xml:space="preserve">, </w:t>
      </w:r>
      <w:r w:rsidR="00CC112D" w:rsidRPr="00CC112D">
        <w:t>Australian Council of Social Service</w:t>
      </w:r>
      <w:r w:rsidR="00AA7794">
        <w:t xml:space="preserve">, </w:t>
      </w:r>
      <w:r w:rsidR="0076402B">
        <w:t xml:space="preserve">and </w:t>
      </w:r>
      <w:r w:rsidR="00AA7794">
        <w:t>A</w:t>
      </w:r>
      <w:r w:rsidR="00CC112D">
        <w:t xml:space="preserve">ustralian </w:t>
      </w:r>
      <w:r w:rsidR="00AA7794">
        <w:t>C</w:t>
      </w:r>
      <w:r w:rsidR="00CC112D">
        <w:t xml:space="preserve">ouncil of </w:t>
      </w:r>
      <w:r w:rsidR="00AA7794">
        <w:t>T</w:t>
      </w:r>
      <w:r w:rsidR="00CC112D">
        <w:t xml:space="preserve">rade </w:t>
      </w:r>
      <w:r w:rsidR="00AA7794">
        <w:t>U</w:t>
      </w:r>
      <w:r w:rsidR="00CC112D">
        <w:t>nions</w:t>
      </w:r>
      <w:r w:rsidR="00AA7794">
        <w:t>) advocated that a new royalty be applied to offshore petroleum projects, in addition to the PRRT</w:t>
      </w:r>
      <w:r w:rsidR="001B6F74">
        <w:t>:</w:t>
      </w:r>
    </w:p>
    <w:p w14:paraId="73F2CB90" w14:textId="1A343445" w:rsidR="00AA7794" w:rsidRDefault="00AA7794" w:rsidP="00F435C1">
      <w:pPr>
        <w:ind w:left="567" w:right="565"/>
        <w:rPr>
          <w:color w:val="1F497D" w:themeColor="text2"/>
          <w:sz w:val="20"/>
        </w:rPr>
      </w:pPr>
      <w:r w:rsidRPr="00F435C1">
        <w:rPr>
          <w:color w:val="1F497D" w:themeColor="text2"/>
          <w:sz w:val="20"/>
        </w:rPr>
        <w:t>Royalties should be re</w:t>
      </w:r>
      <w:r w:rsidR="005D6F39">
        <w:rPr>
          <w:color w:val="1F497D" w:themeColor="text2"/>
          <w:sz w:val="20"/>
        </w:rPr>
        <w:noBreakHyphen/>
      </w:r>
      <w:r w:rsidRPr="00F435C1">
        <w:rPr>
          <w:color w:val="1F497D" w:themeColor="text2"/>
          <w:sz w:val="20"/>
        </w:rPr>
        <w:t>introduced for integrated natural projects in Commonwealth waters. This change would result in earlier and assured revenue from resources. Royalties are credited against later PRRT collection. The fiscal system would then be equal to onshore coal seam gas projects and the North We</w:t>
      </w:r>
      <w:r w:rsidR="00DF27A3">
        <w:rPr>
          <w:color w:val="1F497D" w:themeColor="text2"/>
          <w:sz w:val="20"/>
        </w:rPr>
        <w:t xml:space="preserve">st Shelf project </w:t>
      </w:r>
      <w:r w:rsidR="00DF27A3" w:rsidRPr="00F67087">
        <w:rPr>
          <w:color w:val="1F497D" w:themeColor="text2"/>
          <w:sz w:val="20"/>
        </w:rPr>
        <w:t>(</w:t>
      </w:r>
      <w:r w:rsidR="00070503">
        <w:rPr>
          <w:color w:val="1F497D" w:themeColor="text2"/>
          <w:sz w:val="20"/>
        </w:rPr>
        <w:t xml:space="preserve">Dr </w:t>
      </w:r>
      <w:r w:rsidR="00DF27A3" w:rsidRPr="00F67087">
        <w:rPr>
          <w:color w:val="1F497D" w:themeColor="text2"/>
          <w:sz w:val="20"/>
        </w:rPr>
        <w:t>Diane Kraal Submission, p. 2)</w:t>
      </w:r>
      <w:r w:rsidR="00DF27A3">
        <w:rPr>
          <w:color w:val="1F497D" w:themeColor="text2"/>
          <w:sz w:val="20"/>
        </w:rPr>
        <w:t>.</w:t>
      </w:r>
    </w:p>
    <w:p w14:paraId="2EE37F5E" w14:textId="34E15BAF" w:rsidR="00BC0D65" w:rsidRPr="00BC0D65" w:rsidRDefault="00BC0D65" w:rsidP="00BC0D65">
      <w:r w:rsidRPr="00BC0D65">
        <w:t xml:space="preserve">The Tax Justice Network </w:t>
      </w:r>
      <w:r w:rsidR="009B7D3C">
        <w:t xml:space="preserve">Australia </w:t>
      </w:r>
      <w:r w:rsidR="0076402B">
        <w:t>proposes</w:t>
      </w:r>
      <w:r w:rsidRPr="00BC0D65">
        <w:t xml:space="preserve"> that a royalty</w:t>
      </w:r>
      <w:r>
        <w:t xml:space="preserve"> </w:t>
      </w:r>
      <w:r w:rsidRPr="00BC0D65">
        <w:t>based on the existing state and Commonwealth royalties</w:t>
      </w:r>
      <w:r w:rsidR="009B7D3C">
        <w:t>,</w:t>
      </w:r>
      <w:r w:rsidRPr="00BC0D65">
        <w:t xml:space="preserve"> </w:t>
      </w:r>
      <w:r>
        <w:t xml:space="preserve">and </w:t>
      </w:r>
      <w:r w:rsidR="005D6F39">
        <w:t>‘</w:t>
      </w:r>
      <w:r>
        <w:t>deductible from PRRT</w:t>
      </w:r>
      <w:r w:rsidR="005D6F39">
        <w:t>’</w:t>
      </w:r>
      <w:r w:rsidR="009B7D3C">
        <w:t>,</w:t>
      </w:r>
      <w:r>
        <w:t xml:space="preserve"> </w:t>
      </w:r>
      <w:r w:rsidRPr="00BC0D65">
        <w:t xml:space="preserve">would ensure a reasonable return to the community and </w:t>
      </w:r>
      <w:r>
        <w:t xml:space="preserve">equalise the tax arrangements for oil and gas projects: </w:t>
      </w:r>
    </w:p>
    <w:p w14:paraId="54C67C32" w14:textId="0F8ACAD2" w:rsidR="00BC0D65" w:rsidRPr="00F435C1" w:rsidRDefault="00BC0D65" w:rsidP="00F435C1">
      <w:pPr>
        <w:ind w:left="567" w:right="565"/>
        <w:rPr>
          <w:color w:val="1F497D" w:themeColor="text2"/>
          <w:sz w:val="20"/>
        </w:rPr>
      </w:pPr>
      <w:r w:rsidRPr="00BC0D65">
        <w:rPr>
          <w:color w:val="1F497D" w:themeColor="text2"/>
          <w:sz w:val="20"/>
        </w:rPr>
        <w:t>This royalty regime would support the important but basic principle that the Australian people should be paid a floor or minimum price for extracting and selling the nation</w:t>
      </w:r>
      <w:r w:rsidR="005D6F39">
        <w:rPr>
          <w:color w:val="1F497D" w:themeColor="text2"/>
          <w:sz w:val="20"/>
        </w:rPr>
        <w:t>’</w:t>
      </w:r>
      <w:r w:rsidRPr="00BC0D65">
        <w:rPr>
          <w:color w:val="1F497D" w:themeColor="text2"/>
          <w:sz w:val="20"/>
        </w:rPr>
        <w:t>s finite natural resources. No other industries, including other oil and gas projects, are able to obtain their inputs for free. Introducing this royalty would level the playing field for all oil and gas projects an</w:t>
      </w:r>
      <w:r w:rsidR="00DF27A3">
        <w:rPr>
          <w:color w:val="1F497D" w:themeColor="text2"/>
          <w:sz w:val="20"/>
        </w:rPr>
        <w:t>d industry players in Australia</w:t>
      </w:r>
      <w:r w:rsidRPr="00BC0D65">
        <w:rPr>
          <w:color w:val="1F497D" w:themeColor="text2"/>
          <w:sz w:val="20"/>
        </w:rPr>
        <w:t xml:space="preserve"> </w:t>
      </w:r>
      <w:r w:rsidRPr="00F67087">
        <w:rPr>
          <w:color w:val="1F497D" w:themeColor="text2"/>
          <w:sz w:val="20"/>
        </w:rPr>
        <w:t>(Tax Justice Network</w:t>
      </w:r>
      <w:r w:rsidR="00DF27A3" w:rsidRPr="00F67087">
        <w:rPr>
          <w:color w:val="1F497D" w:themeColor="text2"/>
          <w:sz w:val="20"/>
        </w:rPr>
        <w:t xml:space="preserve"> Australia</w:t>
      </w:r>
      <w:r w:rsidRPr="00F67087">
        <w:rPr>
          <w:color w:val="1F497D" w:themeColor="text2"/>
          <w:sz w:val="20"/>
        </w:rPr>
        <w:t>, p. 6)</w:t>
      </w:r>
      <w:r w:rsidR="00DF27A3">
        <w:rPr>
          <w:color w:val="1F497D" w:themeColor="text2"/>
          <w:sz w:val="20"/>
        </w:rPr>
        <w:t>.</w:t>
      </w:r>
    </w:p>
    <w:p w14:paraId="218DEC59" w14:textId="651C151B" w:rsidR="00B912B4" w:rsidRDefault="00AA7794" w:rsidP="00B912B4">
      <w:r>
        <w:t xml:space="preserve">The Tax Justice Network </w:t>
      </w:r>
      <w:r w:rsidR="00DF27A3">
        <w:t xml:space="preserve">Australia </w:t>
      </w:r>
      <w:r>
        <w:t>estimated a new 10</w:t>
      </w:r>
      <w:r w:rsidR="00F640F7">
        <w:t> </w:t>
      </w:r>
      <w:r>
        <w:t>per</w:t>
      </w:r>
      <w:r w:rsidR="00F640F7">
        <w:t> </w:t>
      </w:r>
      <w:r>
        <w:t xml:space="preserve">cent royalty on existing and new offshore gas projects could return </w:t>
      </w:r>
      <w:r w:rsidRPr="006D28D4">
        <w:t>$4</w:t>
      </w:r>
      <w:r w:rsidR="00701342" w:rsidRPr="006D28D4">
        <w:t xml:space="preserve"> to </w:t>
      </w:r>
      <w:r w:rsidRPr="006D28D4">
        <w:t>$6</w:t>
      </w:r>
      <w:r w:rsidR="00F640F7" w:rsidRPr="006D28D4">
        <w:t> </w:t>
      </w:r>
      <w:r w:rsidRPr="006D28D4">
        <w:t>billion</w:t>
      </w:r>
      <w:r>
        <w:t xml:space="preserve"> ov</w:t>
      </w:r>
      <w:r w:rsidR="00DF06D5">
        <w:t>er the forward estimate period.</w:t>
      </w:r>
      <w:r w:rsidR="001C5DEE">
        <w:t xml:space="preserve"> </w:t>
      </w:r>
      <w:r w:rsidR="001C5DEE" w:rsidRPr="00780F97">
        <w:t>The McKell Institute</w:t>
      </w:r>
      <w:r w:rsidR="001C5DEE" w:rsidRPr="00780F97">
        <w:rPr>
          <w:rStyle w:val="FootnoteReference"/>
        </w:rPr>
        <w:footnoteReference w:id="27"/>
      </w:r>
      <w:r w:rsidR="001C5DEE" w:rsidRPr="00780F97">
        <w:t xml:space="preserve"> undertook further work and analysis on this proposal. </w:t>
      </w:r>
      <w:r w:rsidR="00054432">
        <w:t>It</w:t>
      </w:r>
      <w:r w:rsidR="001C5DEE" w:rsidRPr="00780F97">
        <w:t xml:space="preserve"> pro</w:t>
      </w:r>
      <w:r w:rsidR="00460854" w:rsidRPr="00780F97">
        <w:t>duced projections under low</w:t>
      </w:r>
      <w:r w:rsidR="001C5DEE" w:rsidRPr="00780F97">
        <w:t xml:space="preserve"> and high case scenarios over 4 years (the forward estimate period) as well as 10 years, that results in royalty revenue collections up to $11.3 billion in the forward estimate period and $28.4 billion over 10 years in a high case scenario</w:t>
      </w:r>
      <w:r w:rsidR="005D6F39">
        <w:t xml:space="preserve"> — </w:t>
      </w:r>
      <w:r w:rsidR="001C5DEE" w:rsidRPr="00780F97">
        <w:t>see Figure 6.1.</w:t>
      </w:r>
    </w:p>
    <w:p w14:paraId="7B935AE0" w14:textId="77777777" w:rsidR="002410F0" w:rsidRDefault="002410F0" w:rsidP="002410F0">
      <w:r>
        <w:t xml:space="preserve">A royalty was also considered advantageous by the WA Government as it provides an assured revenue flow to the government. It </w:t>
      </w:r>
      <w:r w:rsidRPr="009B7D3C">
        <w:t>noted</w:t>
      </w:r>
      <w:r>
        <w:t>:</w:t>
      </w:r>
    </w:p>
    <w:p w14:paraId="5F1231D1" w14:textId="287B2DC5" w:rsidR="002410F0" w:rsidRPr="00F640F7" w:rsidRDefault="002410F0" w:rsidP="002410F0">
      <w:pPr>
        <w:ind w:left="567" w:right="565"/>
        <w:rPr>
          <w:color w:val="1F497D" w:themeColor="text2"/>
          <w:sz w:val="20"/>
        </w:rPr>
      </w:pPr>
      <w:r w:rsidRPr="00F640F7">
        <w:rPr>
          <w:color w:val="1F497D" w:themeColor="text2"/>
          <w:sz w:val="20"/>
        </w:rPr>
        <w:t>Wellhead ad valorem systems as used in Western Australia, with their limits on deductibility, will always provide a return to the community whenever production occurs. Hence they can be argued to be fairer than rent based systems, such as the PRRT, where a considerable number of marginal projects will not make any return to the community</w:t>
      </w:r>
      <w:r w:rsidR="006F6653" w:rsidRPr="006F6653">
        <w:rPr>
          <w:color w:val="1F497D" w:themeColor="text2"/>
          <w:sz w:val="20"/>
        </w:rPr>
        <w:t xml:space="preserve"> (</w:t>
      </w:r>
      <w:r w:rsidRPr="006F6653">
        <w:rPr>
          <w:color w:val="1F497D" w:themeColor="text2"/>
          <w:sz w:val="20"/>
        </w:rPr>
        <w:t>Western Australian Government Submission p. 10).</w:t>
      </w:r>
    </w:p>
    <w:p w14:paraId="6EA2EFB2" w14:textId="6982AFFE" w:rsidR="00A0414D" w:rsidRPr="009958A7" w:rsidRDefault="00A0414D" w:rsidP="00A0414D">
      <w:r>
        <w:t xml:space="preserve">The Australia Institute considered the PRRT and royalty taxes were levied for different reasons. </w:t>
      </w:r>
      <w:r w:rsidRPr="009958A7">
        <w:t xml:space="preserve">They supported </w:t>
      </w:r>
      <w:r w:rsidR="005D6F39">
        <w:t>‘</w:t>
      </w:r>
      <w:r w:rsidRPr="009958A7">
        <w:t>imposing a new royalty on all oil and gas extraction and increasing the rate of the PRRT</w:t>
      </w:r>
      <w:r w:rsidR="005D6F39">
        <w:t>’</w:t>
      </w:r>
      <w:r>
        <w:t xml:space="preserve"> </w:t>
      </w:r>
      <w:r w:rsidRPr="006F6653">
        <w:t>(The Australia Institute Submission, p. 7)</w:t>
      </w:r>
      <w:r w:rsidR="0070552C">
        <w:t>:</w:t>
      </w:r>
    </w:p>
    <w:p w14:paraId="7BD27D77" w14:textId="3735419F" w:rsidR="00A0414D" w:rsidRPr="00F435C1" w:rsidRDefault="00A0414D" w:rsidP="00A0414D">
      <w:pPr>
        <w:ind w:left="567" w:right="565"/>
        <w:rPr>
          <w:color w:val="1F497D" w:themeColor="text2"/>
          <w:sz w:val="20"/>
        </w:rPr>
      </w:pPr>
      <w:r w:rsidRPr="00F435C1">
        <w:rPr>
          <w:color w:val="1F497D" w:themeColor="text2"/>
          <w:sz w:val="20"/>
        </w:rPr>
        <w:t>Royalties are akin to a sale of the commodity in question and may well be tailored to recover government costs</w:t>
      </w:r>
      <w:r>
        <w:rPr>
          <w:color w:val="1F497D" w:themeColor="text2"/>
          <w:sz w:val="20"/>
        </w:rPr>
        <w:t>…t</w:t>
      </w:r>
      <w:r w:rsidRPr="00F435C1">
        <w:rPr>
          <w:color w:val="1F497D" w:themeColor="text2"/>
          <w:sz w:val="20"/>
        </w:rPr>
        <w:t>he PRRT by contrast is designed to capture for the community t</w:t>
      </w:r>
      <w:r>
        <w:rPr>
          <w:color w:val="1F497D" w:themeColor="text2"/>
          <w:sz w:val="20"/>
        </w:rPr>
        <w:t xml:space="preserve">he super profits attributable </w:t>
      </w:r>
      <w:r w:rsidRPr="006F6653">
        <w:rPr>
          <w:color w:val="1F497D" w:themeColor="text2"/>
          <w:sz w:val="20"/>
        </w:rPr>
        <w:t>(The Australia Institute</w:t>
      </w:r>
      <w:r w:rsidR="0081778C">
        <w:rPr>
          <w:color w:val="1F497D" w:themeColor="text2"/>
          <w:sz w:val="20"/>
        </w:rPr>
        <w:t xml:space="preserve"> Submission</w:t>
      </w:r>
      <w:r w:rsidRPr="006F6653">
        <w:rPr>
          <w:color w:val="1F497D" w:themeColor="text2"/>
          <w:sz w:val="20"/>
        </w:rPr>
        <w:t>, p. 5)</w:t>
      </w:r>
      <w:r>
        <w:rPr>
          <w:color w:val="1F497D" w:themeColor="text2"/>
          <w:sz w:val="20"/>
        </w:rPr>
        <w:t>.</w:t>
      </w:r>
    </w:p>
    <w:p w14:paraId="7B9B5165" w14:textId="2C6833F9" w:rsidR="00061AF2" w:rsidRDefault="00DF06D5" w:rsidP="00F435C1">
      <w:r w:rsidRPr="009B7D3C">
        <w:t>In other submissions, Greenpeace</w:t>
      </w:r>
      <w:r w:rsidR="008D6709">
        <w:t xml:space="preserve"> </w:t>
      </w:r>
      <w:r w:rsidR="006F24CD">
        <w:t>Australia Pacific</w:t>
      </w:r>
      <w:r w:rsidRPr="009B7D3C">
        <w:t>, Unit</w:t>
      </w:r>
      <w:r w:rsidR="005B40FC">
        <w:t>ing</w:t>
      </w:r>
      <w:r w:rsidRPr="009B7D3C">
        <w:t xml:space="preserve"> Church</w:t>
      </w:r>
      <w:r w:rsidR="006F24CD">
        <w:t xml:space="preserve"> in Australia</w:t>
      </w:r>
      <w:r w:rsidRPr="009B7D3C">
        <w:t xml:space="preserve">, Prosper Australia supported reforms that resulted in a more equitable return for the Australian community, delivered either through PRRT reforms or a new royalty scheme. Professionals Australia recommended where possible, </w:t>
      </w:r>
      <w:r w:rsidR="0070552C">
        <w:t>Commonwealth</w:t>
      </w:r>
      <w:r w:rsidRPr="009B7D3C">
        <w:t xml:space="preserve"> and </w:t>
      </w:r>
      <w:r w:rsidR="00160C3B">
        <w:t>s</w:t>
      </w:r>
      <w:r w:rsidR="00DA6D2B" w:rsidRPr="009B7D3C">
        <w:t xml:space="preserve">tate </w:t>
      </w:r>
      <w:r w:rsidR="00160C3B">
        <w:t>g</w:t>
      </w:r>
      <w:r w:rsidRPr="009B7D3C">
        <w:t xml:space="preserve">overnments should utilise royalties levied on volumes as the preferred taxation method for resources, as these best recognise the depletion of finite assets. </w:t>
      </w:r>
    </w:p>
    <w:p w14:paraId="61EC4324" w14:textId="45DE0A58" w:rsidR="001C5DEE" w:rsidRPr="001C5DEE" w:rsidRDefault="001C5DEE" w:rsidP="00221C2A">
      <w:pPr>
        <w:pStyle w:val="ChartMainHeading"/>
      </w:pPr>
      <w:r>
        <w:t xml:space="preserve">Figure </w:t>
      </w:r>
      <w:r w:rsidRPr="006D28D4">
        <w:t>6.1</w:t>
      </w:r>
      <w:r w:rsidR="005D6F39">
        <w:t xml:space="preserve"> — </w:t>
      </w:r>
      <w:r>
        <w:t>4 and 10 year revenue projections under low, base and high case scenarios</w:t>
      </w:r>
    </w:p>
    <w:p w14:paraId="2D78FFC4" w14:textId="40782714" w:rsidR="001C5DEE" w:rsidRDefault="001C5DEE" w:rsidP="008950BC">
      <w:pPr>
        <w:pStyle w:val="ChartorTableNote"/>
      </w:pPr>
      <w:r>
        <w:rPr>
          <w:noProof/>
        </w:rPr>
        <w:drawing>
          <wp:inline distT="0" distB="0" distL="0" distR="0" wp14:anchorId="0B9C8F57" wp14:editId="4C55CB15">
            <wp:extent cx="5759450" cy="3025871"/>
            <wp:effectExtent l="0" t="0" r="0" b="3175"/>
            <wp:docPr id="15" name="Picture 15" descr="Figure 6.1 is a column chart that shows the McKell Institute’s 4 and 10 year revenue projections under three scenarios: a low, base and high case scenario. The broad assumptions used in the McKell Institute’s modelling are outlined in their report ‘Harnessing the Boom’ released publicly in April 2017. This chart is sourced from that report. The results of the McKell Institute’s 4 year revenue forecasts for the low, base and high scenarios is AUD$2,207 million, AUD$5,077 million, AUD$11,361 million respectively. The results of the McKell Institute’s 10 year revenue forecasts for the low, base and high scenarios is AUD$5,517 million, AUD$12,693 million and AUD$28,403 mill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3025871"/>
                    </a:xfrm>
                    <a:prstGeom prst="rect">
                      <a:avLst/>
                    </a:prstGeom>
                    <a:noFill/>
                    <a:ln>
                      <a:noFill/>
                    </a:ln>
                  </pic:spPr>
                </pic:pic>
              </a:graphicData>
            </a:graphic>
          </wp:inline>
        </w:drawing>
      </w:r>
      <w:r w:rsidRPr="006D28D4">
        <w:t>Source: McKell Institute 2017, p</w:t>
      </w:r>
      <w:r>
        <w:t xml:space="preserve"> 44.</w:t>
      </w:r>
    </w:p>
    <w:p w14:paraId="3A14867C" w14:textId="77777777" w:rsidR="008950BC" w:rsidRPr="008950BC" w:rsidRDefault="008950BC" w:rsidP="008950BC">
      <w:pPr>
        <w:pStyle w:val="SingleParagraph"/>
      </w:pPr>
    </w:p>
    <w:p w14:paraId="4F960D58" w14:textId="3863E293" w:rsidR="00AA7794" w:rsidRDefault="008120BA" w:rsidP="00F435C1">
      <w:pPr>
        <w:pStyle w:val="Heading3"/>
      </w:pPr>
      <w:bookmarkStart w:id="8793" w:name="_Toc476577398"/>
      <w:bookmarkStart w:id="8794" w:name="_Toc476582387"/>
      <w:bookmarkStart w:id="8795" w:name="_Toc476583061"/>
      <w:bookmarkStart w:id="8796" w:name="_Toc476583778"/>
      <w:bookmarkStart w:id="8797" w:name="_Toc476584226"/>
      <w:bookmarkStart w:id="8798" w:name="_Toc476738133"/>
      <w:bookmarkStart w:id="8799" w:name="_Toc476747718"/>
      <w:bookmarkStart w:id="8800" w:name="_Toc476749128"/>
      <w:bookmarkStart w:id="8801" w:name="_Toc476753995"/>
      <w:bookmarkStart w:id="8802" w:name="_Toc476754490"/>
      <w:bookmarkStart w:id="8803" w:name="_Toc476754655"/>
      <w:bookmarkStart w:id="8804" w:name="_Toc476759894"/>
      <w:bookmarkStart w:id="8805" w:name="_Toc476761516"/>
      <w:bookmarkStart w:id="8806" w:name="_Toc476767154"/>
      <w:bookmarkStart w:id="8807" w:name="_Toc476827200"/>
      <w:bookmarkStart w:id="8808" w:name="_Toc476828893"/>
      <w:bookmarkStart w:id="8809" w:name="_Toc476833767"/>
      <w:bookmarkStart w:id="8810" w:name="_Toc476837240"/>
      <w:bookmarkStart w:id="8811" w:name="_Toc476841113"/>
      <w:bookmarkStart w:id="8812" w:name="_Toc476841318"/>
      <w:bookmarkStart w:id="8813" w:name="_Toc476842077"/>
      <w:bookmarkStart w:id="8814" w:name="_Toc476843021"/>
      <w:bookmarkStart w:id="8815" w:name="_Toc476843192"/>
      <w:bookmarkStart w:id="8816" w:name="_Toc476844690"/>
      <w:bookmarkStart w:id="8817" w:name="_Toc476845583"/>
      <w:bookmarkStart w:id="8818" w:name="_Toc476926977"/>
      <w:bookmarkStart w:id="8819" w:name="_Toc476927090"/>
      <w:bookmarkStart w:id="8820" w:name="_Toc476927264"/>
      <w:bookmarkStart w:id="8821" w:name="_Toc476928528"/>
      <w:bookmarkStart w:id="8822" w:name="_Toc476929571"/>
      <w:bookmarkStart w:id="8823" w:name="_Toc476929746"/>
      <w:bookmarkStart w:id="8824" w:name="_Toc476930789"/>
      <w:bookmarkStart w:id="8825" w:name="_Toc476931596"/>
      <w:bookmarkStart w:id="8826" w:name="_Toc477869932"/>
      <w:bookmarkStart w:id="8827" w:name="_Toc477871171"/>
      <w:bookmarkStart w:id="8828" w:name="_Toc477873330"/>
      <w:bookmarkStart w:id="8829" w:name="_Toc477875324"/>
      <w:bookmarkStart w:id="8830" w:name="_Toc477880237"/>
      <w:bookmarkStart w:id="8831" w:name="_Toc477881497"/>
      <w:bookmarkStart w:id="8832" w:name="_Toc477955901"/>
      <w:bookmarkStart w:id="8833" w:name="_Toc477963146"/>
      <w:bookmarkStart w:id="8834" w:name="_Toc477963632"/>
      <w:bookmarkStart w:id="8835" w:name="_Toc477965218"/>
      <w:bookmarkStart w:id="8836" w:name="_Toc477966722"/>
      <w:bookmarkStart w:id="8837" w:name="_Toc477966891"/>
      <w:bookmarkStart w:id="8838" w:name="_Toc477967231"/>
      <w:bookmarkStart w:id="8839" w:name="_Toc478121368"/>
      <w:bookmarkStart w:id="8840" w:name="_Toc478122281"/>
      <w:bookmarkStart w:id="8841" w:name="_Toc478132111"/>
      <w:bookmarkStart w:id="8842" w:name="_Toc478132255"/>
      <w:bookmarkStart w:id="8843" w:name="_Toc478133281"/>
      <w:bookmarkStart w:id="8844" w:name="_Toc478132418"/>
      <w:bookmarkStart w:id="8845" w:name="_Toc478134747"/>
      <w:bookmarkStart w:id="8846" w:name="_Toc478137449"/>
      <w:bookmarkStart w:id="8847" w:name="_Toc478138521"/>
      <w:bookmarkStart w:id="8848" w:name="_Toc478140091"/>
      <w:bookmarkStart w:id="8849" w:name="_Toc478140507"/>
      <w:bookmarkStart w:id="8850" w:name="_Toc478142713"/>
      <w:bookmarkStart w:id="8851" w:name="_Toc478566432"/>
      <w:bookmarkStart w:id="8852" w:name="_Toc478569599"/>
      <w:bookmarkStart w:id="8853" w:name="_Toc478569773"/>
      <w:bookmarkStart w:id="8854" w:name="_Toc478570847"/>
      <w:bookmarkStart w:id="8855" w:name="_Toc478633046"/>
      <w:bookmarkStart w:id="8856" w:name="_Toc478641456"/>
      <w:bookmarkStart w:id="8857" w:name="_Toc478654350"/>
      <w:bookmarkStart w:id="8858" w:name="_Toc478654524"/>
      <w:bookmarkStart w:id="8859" w:name="_Toc478657819"/>
      <w:bookmarkStart w:id="8860" w:name="_Toc478993240"/>
      <w:bookmarkStart w:id="8861" w:name="_Toc479000311"/>
      <w:bookmarkStart w:id="8862" w:name="_Toc479002245"/>
      <w:bookmarkStart w:id="8863" w:name="_Toc479002417"/>
      <w:bookmarkStart w:id="8864" w:name="_Toc479254391"/>
      <w:bookmarkStart w:id="8865" w:name="_Toc479258580"/>
      <w:bookmarkStart w:id="8866" w:name="_Toc479258896"/>
      <w:bookmarkStart w:id="8867" w:name="_Toc479259788"/>
      <w:bookmarkStart w:id="8868" w:name="_Toc479262211"/>
      <w:bookmarkStart w:id="8869" w:name="_Toc479262632"/>
      <w:bookmarkStart w:id="8870" w:name="_Toc479321333"/>
      <w:bookmarkStart w:id="8871" w:name="_Toc479326772"/>
      <w:bookmarkStart w:id="8872" w:name="_Toc479333033"/>
      <w:bookmarkStart w:id="8873" w:name="_Toc479333371"/>
      <w:bookmarkStart w:id="8874" w:name="_Toc479335068"/>
      <w:bookmarkStart w:id="8875" w:name="_Toc479341783"/>
      <w:bookmarkStart w:id="8876" w:name="_Toc479345199"/>
      <w:bookmarkStart w:id="8877" w:name="_Toc479345408"/>
      <w:bookmarkStart w:id="8878" w:name="_Toc479348389"/>
      <w:bookmarkStart w:id="8879" w:name="_Toc479675983"/>
      <w:bookmarkStart w:id="8880" w:name="_Toc479690950"/>
      <w:bookmarkStart w:id="8881" w:name="_Toc479693528"/>
      <w:bookmarkStart w:id="8882" w:name="_Toc479770697"/>
      <w:r>
        <w:t>6</w:t>
      </w:r>
      <w:r w:rsidR="00F435C1">
        <w:t>.5.1</w:t>
      </w:r>
      <w:r w:rsidR="00F435C1">
        <w:tab/>
        <w:t xml:space="preserve">Impact </w:t>
      </w:r>
      <w:r w:rsidR="009D5929">
        <w:t>o</w:t>
      </w:r>
      <w:r w:rsidR="00F435C1">
        <w:t xml:space="preserve">f </w:t>
      </w:r>
      <w:r w:rsidR="009D5929">
        <w:t>a</w:t>
      </w:r>
      <w:r w:rsidR="00F435C1">
        <w:t xml:space="preserve"> </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r w:rsidR="00E63B4E">
        <w:t>n</w:t>
      </w:r>
      <w:r w:rsidR="00F435C1">
        <w:t xml:space="preserve">ew </w:t>
      </w:r>
      <w:r w:rsidR="00E63B4E">
        <w:t>o</w:t>
      </w:r>
      <w:r w:rsidR="00F435C1">
        <w:t xml:space="preserve">ffshore </w:t>
      </w:r>
      <w:r w:rsidR="00E63B4E">
        <w:t>r</w:t>
      </w:r>
      <w:r w:rsidR="00F435C1">
        <w:t>oyalty</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p>
    <w:p w14:paraId="38FBADF8" w14:textId="19F3D9F7" w:rsidR="009B7D3C" w:rsidRDefault="00AA7794" w:rsidP="00F435C1">
      <w:r>
        <w:t xml:space="preserve">Industry </w:t>
      </w:r>
      <w:r w:rsidR="006C6EEC">
        <w:t xml:space="preserve">submissions </w:t>
      </w:r>
      <w:r>
        <w:t>were largely silent on the proposal for a royalty.</w:t>
      </w:r>
      <w:r w:rsidR="009B7D3C">
        <w:t xml:space="preserve"> </w:t>
      </w:r>
      <w:r w:rsidR="006C6EEC">
        <w:t xml:space="preserve">Those advocating </w:t>
      </w:r>
      <w:r w:rsidR="0068228C">
        <w:t>for</w:t>
      </w:r>
      <w:r w:rsidR="006C6EEC">
        <w:t xml:space="preserve"> a new royalty did not </w:t>
      </w:r>
      <w:r w:rsidDel="006C6EEC">
        <w:t>articulate</w:t>
      </w:r>
      <w:r>
        <w:t xml:space="preserve"> how the scheme would be designed. </w:t>
      </w:r>
    </w:p>
    <w:p w14:paraId="480CF49F" w14:textId="092222FE" w:rsidR="00AA7794" w:rsidRDefault="0076402B" w:rsidP="00F435C1">
      <w:r>
        <w:t xml:space="preserve">The review </w:t>
      </w:r>
      <w:r w:rsidR="00AA7794">
        <w:t xml:space="preserve">modelled extending </w:t>
      </w:r>
      <w:r w:rsidR="00DD77A7">
        <w:t xml:space="preserve">a </w:t>
      </w:r>
      <w:r w:rsidR="006C6EEC">
        <w:t xml:space="preserve">royalty </w:t>
      </w:r>
      <w:r w:rsidR="00AA7794">
        <w:t xml:space="preserve">arrangement </w:t>
      </w:r>
      <w:r w:rsidR="00A0414D">
        <w:t xml:space="preserve">similar </w:t>
      </w:r>
      <w:r w:rsidR="00DD77A7">
        <w:t xml:space="preserve">to </w:t>
      </w:r>
      <w:r w:rsidR="00AA7794">
        <w:t>that appl</w:t>
      </w:r>
      <w:r w:rsidR="00DD77A7">
        <w:t>ying</w:t>
      </w:r>
      <w:r w:rsidR="00AA7794">
        <w:t xml:space="preserve"> to the </w:t>
      </w:r>
      <w:r w:rsidR="009B7D3C">
        <w:t>NWS</w:t>
      </w:r>
      <w:r w:rsidR="00F435C1">
        <w:t xml:space="preserve"> </w:t>
      </w:r>
      <w:r w:rsidR="0070552C">
        <w:t>project</w:t>
      </w:r>
      <w:r w:rsidR="00BE4252">
        <w:t xml:space="preserve"> </w:t>
      </w:r>
      <w:r w:rsidR="00F435C1">
        <w:t xml:space="preserve">to </w:t>
      </w:r>
      <w:r w:rsidR="006C6EEC">
        <w:t xml:space="preserve">all </w:t>
      </w:r>
      <w:r w:rsidR="00F435C1">
        <w:t>offshore projects</w:t>
      </w:r>
      <w:r w:rsidR="00DA6D2B">
        <w:t>.</w:t>
      </w:r>
      <w:r w:rsidR="00DF06D5">
        <w:rPr>
          <w:rStyle w:val="FootnoteReference"/>
        </w:rPr>
        <w:footnoteReference w:id="28"/>
      </w:r>
      <w:r w:rsidR="00F435C1">
        <w:t xml:space="preserve"> </w:t>
      </w:r>
      <w:r w:rsidR="00A0414D">
        <w:t>This involved applying a</w:t>
      </w:r>
      <w:r w:rsidR="00521E05">
        <w:t xml:space="preserve"> 10 per cent royalty </w:t>
      </w:r>
      <w:r w:rsidR="00556FA3">
        <w:t>a</w:t>
      </w:r>
      <w:r w:rsidR="00A0414D">
        <w:t>s a</w:t>
      </w:r>
      <w:r w:rsidR="00556FA3">
        <w:t xml:space="preserve"> percentage of wellhead value</w:t>
      </w:r>
      <w:r w:rsidR="00A0414D">
        <w:t xml:space="preserve"> to the projects Gorgon, Wheatstone, Ichthys, Pluto and Prelude</w:t>
      </w:r>
      <w:r w:rsidR="00556FA3">
        <w:t xml:space="preserve">. The </w:t>
      </w:r>
      <w:r w:rsidR="00DD77A7">
        <w:t>current uplift rate on resource tax expenditures of LTBR plus 5 percentage points</w:t>
      </w:r>
      <w:r w:rsidR="00556FA3">
        <w:t xml:space="preserve"> was maintained</w:t>
      </w:r>
      <w:r w:rsidR="00DD77A7">
        <w:t xml:space="preserve">. </w:t>
      </w:r>
      <w:r w:rsidR="009B7D3C" w:rsidRPr="006D28D4">
        <w:t xml:space="preserve">Figure </w:t>
      </w:r>
      <w:r w:rsidR="00E63B4E" w:rsidRPr="006D28D4">
        <w:t>6.</w:t>
      </w:r>
      <w:r w:rsidR="001C5DEE">
        <w:t>2</w:t>
      </w:r>
      <w:r w:rsidR="009B7D3C">
        <w:t xml:space="preserve"> illustrates the impact of </w:t>
      </w:r>
      <w:r w:rsidR="005C3DE2">
        <w:t>the introduction of such a royalty.</w:t>
      </w:r>
    </w:p>
    <w:p w14:paraId="00D6472F" w14:textId="19827512" w:rsidR="00F435C1" w:rsidRDefault="009B7D3C" w:rsidP="00221C2A">
      <w:pPr>
        <w:pStyle w:val="ChartMainHeading"/>
      </w:pPr>
      <w:r>
        <w:t xml:space="preserve">Figure </w:t>
      </w:r>
      <w:r w:rsidR="00E63B4E" w:rsidRPr="006D28D4">
        <w:t>6</w:t>
      </w:r>
      <w:r w:rsidR="00E63B4E" w:rsidRPr="00496C37">
        <w:t>.</w:t>
      </w:r>
      <w:r w:rsidR="001C5DEE">
        <w:t>2</w:t>
      </w:r>
      <w:r>
        <w:t xml:space="preserve"> </w:t>
      </w:r>
      <w:r w:rsidR="00496C37" w:rsidRPr="00496C37">
        <w:t>—</w:t>
      </w:r>
      <w:r>
        <w:t xml:space="preserve"> </w:t>
      </w:r>
      <w:r w:rsidR="00396D3C">
        <w:t xml:space="preserve">10 per cent </w:t>
      </w:r>
      <w:r w:rsidR="00E63B4E">
        <w:t>r</w:t>
      </w:r>
      <w:r w:rsidR="00396D3C">
        <w:t xml:space="preserve">oyalty </w:t>
      </w:r>
      <w:r w:rsidR="00E63B4E">
        <w:t>a</w:t>
      </w:r>
      <w:r w:rsidR="00396D3C">
        <w:t xml:space="preserve">pplied to </w:t>
      </w:r>
      <w:r w:rsidR="00E63B4E">
        <w:t>o</w:t>
      </w:r>
      <w:r w:rsidR="00396D3C">
        <w:t xml:space="preserve">ffshore </w:t>
      </w:r>
      <w:r w:rsidR="00E63B4E">
        <w:t>p</w:t>
      </w:r>
      <w:r w:rsidR="00396D3C">
        <w:t xml:space="preserve">rojects </w:t>
      </w:r>
    </w:p>
    <w:bookmarkStart w:id="8883" w:name="_1553413973"/>
    <w:bookmarkStart w:id="8884" w:name="_1553502283"/>
    <w:bookmarkEnd w:id="8883"/>
    <w:bookmarkEnd w:id="8884"/>
    <w:p w14:paraId="03B9F722" w14:textId="42ED2A32" w:rsidR="009B7D3C" w:rsidRPr="006D28D4" w:rsidRDefault="008950BC" w:rsidP="00BE2306">
      <w:pPr>
        <w:pStyle w:val="ChartGraphic"/>
      </w:pPr>
      <w:r>
        <w:rPr>
          <w:highlight w:val="yellow"/>
        </w:rPr>
        <w:object w:dxaOrig="8775" w:dyaOrig="4516" w14:anchorId="549BD4BF">
          <v:shape id="_x0000_i1047" type="#_x0000_t75" alt="Figure 6.2 compares PRRT revenue from the review’s baseline scenario with PRRT revenue when a 10% royalty is applied to offshore project and the royalty payments are creditable for PRRT purposes and uplifted at LTBR plus 5 percentage points." style="width:439.5pt;height:227.25pt" o:ole="">
            <v:imagedata r:id="rId81" o:title=""/>
          </v:shape>
          <o:OLEObject Type="Link" ProgID="Excel.Sheet.12" ShapeID="_x0000_i1047" DrawAspect="Content" r:id="rId82" UpdateMode="Always">
            <o:LinkType>EnhancedMetaFile</o:LinkType>
            <o:LockedField>false</o:LockedField>
          </o:OLEObject>
        </w:object>
      </w:r>
    </w:p>
    <w:p w14:paraId="1AAC1FB0" w14:textId="3BBFA933" w:rsidR="009B7D3C" w:rsidRDefault="00C72A2E" w:rsidP="008950BC">
      <w:pPr>
        <w:pStyle w:val="ChartorTableNote"/>
      </w:pPr>
      <w:r w:rsidRPr="00632CE3">
        <w:t>Source: Petroleum Resource Rent Tax Review Secretariat</w:t>
      </w:r>
      <w:r w:rsidR="00E778E5">
        <w:t>.</w:t>
      </w:r>
    </w:p>
    <w:p w14:paraId="6988F25B" w14:textId="77777777" w:rsidR="008950BC" w:rsidRPr="008950BC" w:rsidRDefault="008950BC" w:rsidP="008950BC">
      <w:pPr>
        <w:pStyle w:val="SingleParagraph"/>
      </w:pPr>
    </w:p>
    <w:p w14:paraId="06A82717" w14:textId="468E257B" w:rsidR="00B4413F" w:rsidRDefault="008E2AAC" w:rsidP="00F435C1">
      <w:r>
        <w:t>Compared to</w:t>
      </w:r>
      <w:r w:rsidR="006C6EEC">
        <w:t xml:space="preserve"> the baseline scenario, i</w:t>
      </w:r>
      <w:r w:rsidR="00AF3183">
        <w:t>ntroducing a ro</w:t>
      </w:r>
      <w:r w:rsidR="007672CD">
        <w:t>yalty</w:t>
      </w:r>
      <w:r w:rsidR="00AF3183">
        <w:t xml:space="preserve"> would </w:t>
      </w:r>
      <w:r>
        <w:t xml:space="preserve">result in an </w:t>
      </w:r>
      <w:r w:rsidR="00AF3183">
        <w:t xml:space="preserve">increase </w:t>
      </w:r>
      <w:r>
        <w:t xml:space="preserve">in </w:t>
      </w:r>
      <w:r w:rsidR="00AF3183">
        <w:t xml:space="preserve">revenue collections by </w:t>
      </w:r>
      <w:r w:rsidR="00AF3183" w:rsidRPr="006D28D4">
        <w:t>$</w:t>
      </w:r>
      <w:r w:rsidR="00E21BF7" w:rsidRPr="006D28D4">
        <w:t xml:space="preserve">23 </w:t>
      </w:r>
      <w:r w:rsidR="00AF3183" w:rsidRPr="006D28D4">
        <w:t>billion</w:t>
      </w:r>
      <w:r w:rsidR="00AF3183">
        <w:t xml:space="preserve"> over the ten years to </w:t>
      </w:r>
      <w:r w:rsidR="0068228C">
        <w:t>2027</w:t>
      </w:r>
      <w:r w:rsidR="00AF3183">
        <w:t xml:space="preserve">. </w:t>
      </w:r>
      <w:r>
        <w:t>The new royalty essentially acts as a bring</w:t>
      </w:r>
      <w:r w:rsidR="005D6F39">
        <w:noBreakHyphen/>
      </w:r>
      <w:r>
        <w:t>forward of PRRT payable</w:t>
      </w:r>
      <w:r w:rsidR="00523A6C">
        <w:t xml:space="preserve"> and</w:t>
      </w:r>
      <w:r w:rsidR="006C6EEC">
        <w:t xml:space="preserve"> would have a major impact on the cash flow position of projects. </w:t>
      </w:r>
      <w:r w:rsidR="00AF3183">
        <w:t xml:space="preserve">However, over the </w:t>
      </w:r>
      <w:r w:rsidR="00523A6C">
        <w:t>longer</w:t>
      </w:r>
      <w:r w:rsidR="00AF3183">
        <w:t xml:space="preserve"> period to </w:t>
      </w:r>
      <w:r w:rsidR="00AF3183" w:rsidRPr="006D28D4">
        <w:t>205</w:t>
      </w:r>
      <w:r w:rsidR="00DF3664" w:rsidRPr="006D28D4">
        <w:t>0</w:t>
      </w:r>
      <w:r w:rsidR="00AF3183">
        <w:t xml:space="preserve">, </w:t>
      </w:r>
      <w:r w:rsidR="005C3DE2">
        <w:t>the</w:t>
      </w:r>
      <w:r w:rsidR="00AF3183">
        <w:t xml:space="preserve"> combined royalty and PRRT collections</w:t>
      </w:r>
      <w:r w:rsidR="005C3DE2">
        <w:t xml:space="preserve"> would be around $</w:t>
      </w:r>
      <w:r w:rsidR="005C3DE2" w:rsidRPr="006D28D4">
        <w:t>19 billion</w:t>
      </w:r>
      <w:r w:rsidR="005C3DE2">
        <w:t xml:space="preserve"> lower than the PRRT revenue in the baseline scenario</w:t>
      </w:r>
      <w:r w:rsidR="00AF3183">
        <w:t xml:space="preserve">. This occurs because royalty payments </w:t>
      </w:r>
      <w:r w:rsidR="009B7D3C">
        <w:t>are</w:t>
      </w:r>
      <w:r w:rsidR="00AF3183">
        <w:t xml:space="preserve"> </w:t>
      </w:r>
      <w:r w:rsidR="009B7D3C">
        <w:t>creditable</w:t>
      </w:r>
      <w:r w:rsidR="00AF3183">
        <w:t xml:space="preserve"> for PRRT purposes, uplifted at L</w:t>
      </w:r>
      <w:r w:rsidR="000A33FC">
        <w:t>TB</w:t>
      </w:r>
      <w:r w:rsidR="00AF3183">
        <w:t>R plus 5 percent</w:t>
      </w:r>
      <w:r w:rsidR="009B7D3C">
        <w:t>age points</w:t>
      </w:r>
      <w:r w:rsidR="00AF3183">
        <w:t xml:space="preserve">. </w:t>
      </w:r>
      <w:r w:rsidR="00DF3664">
        <w:t xml:space="preserve">PRRT revenue is reduced due to the uplifted royalty </w:t>
      </w:r>
      <w:r w:rsidR="001245BF">
        <w:t>credit</w:t>
      </w:r>
      <w:r w:rsidR="00DF3664">
        <w:t xml:space="preserve">s, which outweigh royalty collections. </w:t>
      </w:r>
    </w:p>
    <w:p w14:paraId="011768B6" w14:textId="0A81EDB8" w:rsidR="008E2AAC" w:rsidRDefault="008E2AAC" w:rsidP="00F435C1">
      <w:r>
        <w:t>The modelling by the Tax Justice Network Australia</w:t>
      </w:r>
      <w:r w:rsidR="001C5DEE">
        <w:t xml:space="preserve"> </w:t>
      </w:r>
      <w:r w:rsidR="001C5DEE" w:rsidRPr="00780F97">
        <w:t>and the McKell Institute</w:t>
      </w:r>
      <w:r w:rsidR="001C5DEE">
        <w:t xml:space="preserve"> (</w:t>
      </w:r>
      <w:r w:rsidR="001C5DEE" w:rsidRPr="006D28D4">
        <w:t>section 6.5)</w:t>
      </w:r>
      <w:r w:rsidRPr="006D28D4">
        <w:t>,</w:t>
      </w:r>
      <w:r>
        <w:t xml:space="preserve"> while conducted on a different basis, covers the shorter term impacts</w:t>
      </w:r>
      <w:r w:rsidR="00523A6C">
        <w:t xml:space="preserve"> when PRRT collections are not expected from these offshore projects</w:t>
      </w:r>
      <w:r>
        <w:t xml:space="preserve">. </w:t>
      </w:r>
      <w:r w:rsidR="00523A6C">
        <w:t>The l</w:t>
      </w:r>
      <w:r>
        <w:t>ong</w:t>
      </w:r>
      <w:r w:rsidR="005D6F39">
        <w:noBreakHyphen/>
      </w:r>
      <w:r>
        <w:t xml:space="preserve">term impacts </w:t>
      </w:r>
      <w:r w:rsidR="00523A6C">
        <w:t xml:space="preserve">on PRRT collections or </w:t>
      </w:r>
      <w:r>
        <w:t xml:space="preserve">interactions </w:t>
      </w:r>
      <w:r w:rsidR="00523A6C">
        <w:t xml:space="preserve">with </w:t>
      </w:r>
      <w:r>
        <w:t xml:space="preserve">the uplift factor </w:t>
      </w:r>
      <w:r w:rsidR="00FB1E28">
        <w:t>were</w:t>
      </w:r>
      <w:r>
        <w:t xml:space="preserve"> not taken into account.</w:t>
      </w:r>
      <w:r w:rsidR="005B214A">
        <w:t xml:space="preserve"> Nor were the implications of a royalty on the cash flow position of existing projects.</w:t>
      </w:r>
    </w:p>
    <w:p w14:paraId="39263CFE" w14:textId="48862B60" w:rsidR="00AA7794" w:rsidRDefault="00AA7794" w:rsidP="00F435C1">
      <w:r>
        <w:t xml:space="preserve">The impact of a royalty will differ for each project (together with changes in oil price). For more marginal investments, </w:t>
      </w:r>
      <w:r w:rsidR="009B7D3C">
        <w:t>a royalty</w:t>
      </w:r>
      <w:r>
        <w:t xml:space="preserve"> would provide a minimum return to the Australian community for the use of </w:t>
      </w:r>
      <w:r w:rsidR="009B7D3C">
        <w:t xml:space="preserve">its </w:t>
      </w:r>
      <w:r>
        <w:t xml:space="preserve">petroleum resources. </w:t>
      </w:r>
      <w:r w:rsidR="0076402B">
        <w:t>However, t</w:t>
      </w:r>
      <w:r>
        <w:t>he imposition of the royalty would also likely discourage future investment</w:t>
      </w:r>
      <w:r w:rsidR="009B7D3C">
        <w:t>,</w:t>
      </w:r>
      <w:r>
        <w:t xml:space="preserve"> and potentially impact the extent to which petroleum resources are extracted as producers may decide to shut production (similar to the</w:t>
      </w:r>
      <w:r w:rsidR="006C6EEC">
        <w:t xml:space="preserve"> concerns over</w:t>
      </w:r>
      <w:r>
        <w:t xml:space="preserve"> Bass Strait in the 1990s).</w:t>
      </w:r>
    </w:p>
    <w:p w14:paraId="4BCD42C6" w14:textId="049B0294" w:rsidR="0068228C" w:rsidRDefault="00AA7794" w:rsidP="0068228C">
      <w:pPr>
        <w:rPr>
          <w:color w:val="auto"/>
        </w:rPr>
      </w:pPr>
      <w:bookmarkStart w:id="8885" w:name="_Toc476577399"/>
      <w:bookmarkStart w:id="8886" w:name="_Toc476582388"/>
      <w:bookmarkStart w:id="8887" w:name="_Toc476583062"/>
      <w:bookmarkStart w:id="8888" w:name="_Toc476583779"/>
      <w:bookmarkStart w:id="8889" w:name="_Toc476584227"/>
      <w:r>
        <w:t xml:space="preserve">For more profitable investments, (those with a higher internal rate of return that are more likely to return PRRT revenues), it is likely that over the life of the project, a royalty would provide a lower amount of revenue than the current PRRT. The new royalty would result in cash payments from the time </w:t>
      </w:r>
      <w:r w:rsidR="00716C4D">
        <w:t xml:space="preserve">of </w:t>
      </w:r>
      <w:r>
        <w:t xml:space="preserve">production, before the venture is profitable. As a result, </w:t>
      </w:r>
      <w:r w:rsidR="003F31F1">
        <w:t xml:space="preserve">credits for </w:t>
      </w:r>
      <w:r>
        <w:t>royalties paid under this option would all be converted to a deduction equivalent and uplifted at the rate LTBR</w:t>
      </w:r>
      <w:r w:rsidR="00971B68">
        <w:t xml:space="preserve"> </w:t>
      </w:r>
      <w:r w:rsidR="008627A8">
        <w:t>plus</w:t>
      </w:r>
      <w:r>
        <w:t xml:space="preserve"> 5 per</w:t>
      </w:r>
      <w:r w:rsidR="008627A8">
        <w:t>centage points</w:t>
      </w:r>
      <w:r>
        <w:t xml:space="preserve"> and carried forward for deduction against assessable </w:t>
      </w:r>
      <w:r w:rsidR="00AC2CDB">
        <w:t xml:space="preserve">PRRT </w:t>
      </w:r>
      <w:r>
        <w:t>receipts in the future. While the</w:t>
      </w:r>
      <w:r w:rsidDel="005B40FC">
        <w:t xml:space="preserve"> </w:t>
      </w:r>
      <w:r w:rsidR="005B40FC">
        <w:t xml:space="preserve">Government </w:t>
      </w:r>
      <w:r>
        <w:t xml:space="preserve">receives some revenue early on, the undeducted expenditure associated with that royalty payment grows at a greater rate than the </w:t>
      </w:r>
      <w:r w:rsidR="005B40FC">
        <w:t>Government</w:t>
      </w:r>
      <w:r w:rsidR="005D6F39">
        <w:t>’</w:t>
      </w:r>
      <w:r w:rsidR="005B40FC">
        <w:t xml:space="preserve">s </w:t>
      </w:r>
      <w:r>
        <w:t>long term cost of borrowing for that payment. This</w:t>
      </w:r>
      <w:r w:rsidR="00716C4D">
        <w:t xml:space="preserve"> reduces the overall tax revenue received by the </w:t>
      </w:r>
      <w:r w:rsidR="008627A8">
        <w:t>g</w:t>
      </w:r>
      <w:r w:rsidR="00716C4D">
        <w:t>overnment and</w:t>
      </w:r>
      <w:r>
        <w:t xml:space="preserve"> </w:t>
      </w:r>
      <w:r w:rsidR="003F31F1">
        <w:t>extends the lead</w:t>
      </w:r>
      <w:r>
        <w:t xml:space="preserve"> time </w:t>
      </w:r>
      <w:r w:rsidR="003F31F1">
        <w:t>before</w:t>
      </w:r>
      <w:r>
        <w:t xml:space="preserve"> PRRT revenue </w:t>
      </w:r>
      <w:r w:rsidR="0080631E">
        <w:t>is</w:t>
      </w:r>
      <w:r>
        <w:t xml:space="preserve"> collected</w:t>
      </w:r>
      <w:r w:rsidR="00716C4D">
        <w:t>.</w:t>
      </w:r>
      <w:r w:rsidR="00410BCA">
        <w:t xml:space="preserve"> These outcomes highlight issues around the appropriateness of the uplift for royalty taxation which is discussed </w:t>
      </w:r>
      <w:r w:rsidR="00410BCA" w:rsidRPr="006D28D4">
        <w:rPr>
          <w:color w:val="auto"/>
        </w:rPr>
        <w:t>in Section 4.</w:t>
      </w:r>
      <w:r w:rsidR="00A0414D" w:rsidRPr="006D28D4">
        <w:rPr>
          <w:color w:val="auto"/>
        </w:rPr>
        <w:t>6</w:t>
      </w:r>
      <w:r w:rsidR="00410BCA" w:rsidRPr="006D28D4">
        <w:rPr>
          <w:color w:val="auto"/>
        </w:rPr>
        <w:t>.</w:t>
      </w:r>
      <w:r w:rsidR="001D5FB5">
        <w:rPr>
          <w:color w:val="auto"/>
        </w:rPr>
        <w:t xml:space="preserve"> </w:t>
      </w:r>
    </w:p>
    <w:p w14:paraId="6A01C5BB" w14:textId="6ADE75BA" w:rsidR="00505D31" w:rsidRDefault="008120BA" w:rsidP="00505D31">
      <w:pPr>
        <w:pStyle w:val="Heading3"/>
      </w:pPr>
      <w:bookmarkStart w:id="8890" w:name="_Toc477869933"/>
      <w:bookmarkStart w:id="8891" w:name="_Toc477871172"/>
      <w:bookmarkStart w:id="8892" w:name="_Toc477873331"/>
      <w:bookmarkStart w:id="8893" w:name="_Toc477875325"/>
      <w:bookmarkStart w:id="8894" w:name="_Toc477880238"/>
      <w:bookmarkStart w:id="8895" w:name="_Toc477881498"/>
      <w:bookmarkStart w:id="8896" w:name="_Toc477955902"/>
      <w:bookmarkStart w:id="8897" w:name="_Toc477963147"/>
      <w:bookmarkStart w:id="8898" w:name="_Toc477963633"/>
      <w:bookmarkStart w:id="8899" w:name="_Toc477965219"/>
      <w:bookmarkStart w:id="8900" w:name="_Toc477966723"/>
      <w:bookmarkStart w:id="8901" w:name="_Toc477966892"/>
      <w:bookmarkStart w:id="8902" w:name="_Toc477967232"/>
      <w:bookmarkStart w:id="8903" w:name="_Toc478121369"/>
      <w:bookmarkStart w:id="8904" w:name="_Toc478122282"/>
      <w:bookmarkStart w:id="8905" w:name="_Toc478132112"/>
      <w:bookmarkStart w:id="8906" w:name="_Toc478132256"/>
      <w:bookmarkStart w:id="8907" w:name="_Toc478133282"/>
      <w:bookmarkStart w:id="8908" w:name="_Toc478132419"/>
      <w:bookmarkStart w:id="8909" w:name="_Toc478134748"/>
      <w:bookmarkStart w:id="8910" w:name="_Toc478137450"/>
      <w:bookmarkStart w:id="8911" w:name="_Toc478138522"/>
      <w:bookmarkStart w:id="8912" w:name="_Toc478140092"/>
      <w:bookmarkStart w:id="8913" w:name="_Toc478140508"/>
      <w:bookmarkStart w:id="8914" w:name="_Toc478142714"/>
      <w:bookmarkStart w:id="8915" w:name="_Toc478566433"/>
      <w:bookmarkStart w:id="8916" w:name="_Toc478569600"/>
      <w:bookmarkStart w:id="8917" w:name="_Toc478569774"/>
      <w:bookmarkStart w:id="8918" w:name="_Toc478570848"/>
      <w:bookmarkStart w:id="8919" w:name="_Toc478633047"/>
      <w:bookmarkStart w:id="8920" w:name="_Toc478641457"/>
      <w:bookmarkStart w:id="8921" w:name="_Toc478654351"/>
      <w:bookmarkStart w:id="8922" w:name="_Toc478654525"/>
      <w:bookmarkStart w:id="8923" w:name="_Toc478657820"/>
      <w:bookmarkStart w:id="8924" w:name="_Toc478993241"/>
      <w:bookmarkStart w:id="8925" w:name="_Toc479000312"/>
      <w:bookmarkStart w:id="8926" w:name="_Toc479002246"/>
      <w:bookmarkStart w:id="8927" w:name="_Toc479002418"/>
      <w:bookmarkStart w:id="8928" w:name="_Toc479254392"/>
      <w:bookmarkStart w:id="8929" w:name="_Toc479258581"/>
      <w:bookmarkStart w:id="8930" w:name="_Toc479258897"/>
      <w:bookmarkStart w:id="8931" w:name="_Toc479259789"/>
      <w:bookmarkStart w:id="8932" w:name="_Toc479262212"/>
      <w:bookmarkStart w:id="8933" w:name="_Toc479262633"/>
      <w:bookmarkStart w:id="8934" w:name="_Toc479321334"/>
      <w:bookmarkStart w:id="8935" w:name="_Toc479326773"/>
      <w:bookmarkStart w:id="8936" w:name="_Toc479333034"/>
      <w:bookmarkStart w:id="8937" w:name="_Toc479333372"/>
      <w:bookmarkStart w:id="8938" w:name="_Toc479335069"/>
      <w:bookmarkStart w:id="8939" w:name="_Toc479341784"/>
      <w:bookmarkStart w:id="8940" w:name="_Toc479345200"/>
      <w:bookmarkStart w:id="8941" w:name="_Toc479345409"/>
      <w:bookmarkStart w:id="8942" w:name="_Toc479348390"/>
      <w:bookmarkStart w:id="8943" w:name="_Toc479675984"/>
      <w:bookmarkStart w:id="8944" w:name="_Toc479690951"/>
      <w:bookmarkStart w:id="8945" w:name="_Toc479693529"/>
      <w:bookmarkStart w:id="8946" w:name="_Toc479770698"/>
      <w:bookmarkStart w:id="8947" w:name="_Toc476577400"/>
      <w:bookmarkStart w:id="8948" w:name="_Toc476582389"/>
      <w:bookmarkStart w:id="8949" w:name="_Toc476583063"/>
      <w:bookmarkStart w:id="8950" w:name="_Toc476583780"/>
      <w:bookmarkStart w:id="8951" w:name="_Toc476584228"/>
      <w:bookmarkStart w:id="8952" w:name="_Toc476738135"/>
      <w:bookmarkStart w:id="8953" w:name="_Toc476747720"/>
      <w:bookmarkStart w:id="8954" w:name="_Toc476749130"/>
      <w:bookmarkStart w:id="8955" w:name="_Toc476753997"/>
      <w:bookmarkStart w:id="8956" w:name="_Toc476754492"/>
      <w:bookmarkStart w:id="8957" w:name="_Toc476754657"/>
      <w:bookmarkStart w:id="8958" w:name="_Toc476759896"/>
      <w:bookmarkStart w:id="8959" w:name="_Toc476761518"/>
      <w:bookmarkStart w:id="8960" w:name="_Toc476767156"/>
      <w:bookmarkStart w:id="8961" w:name="_Toc476827202"/>
      <w:bookmarkStart w:id="8962" w:name="_Toc476828895"/>
      <w:bookmarkStart w:id="8963" w:name="_Toc476833769"/>
      <w:bookmarkStart w:id="8964" w:name="_Toc476837242"/>
      <w:bookmarkStart w:id="8965" w:name="_Toc476841115"/>
      <w:bookmarkStart w:id="8966" w:name="_Toc476841320"/>
      <w:bookmarkStart w:id="8967" w:name="_Toc476842079"/>
      <w:bookmarkStart w:id="8968" w:name="_Toc476843023"/>
      <w:bookmarkStart w:id="8969" w:name="_Toc476843194"/>
      <w:bookmarkStart w:id="8970" w:name="_Toc476844692"/>
      <w:bookmarkStart w:id="8971" w:name="_Toc476845585"/>
      <w:bookmarkEnd w:id="8885"/>
      <w:bookmarkEnd w:id="8886"/>
      <w:bookmarkEnd w:id="8887"/>
      <w:bookmarkEnd w:id="8888"/>
      <w:bookmarkEnd w:id="8889"/>
      <w:r>
        <w:t>6</w:t>
      </w:r>
      <w:r w:rsidR="00F435C1" w:rsidDel="00410BCA">
        <w:t>.5.2</w:t>
      </w:r>
      <w:r w:rsidR="00F435C1" w:rsidDel="00410BCA">
        <w:tab/>
      </w:r>
      <w:bookmarkStart w:id="8972" w:name="_Toc476926979"/>
      <w:bookmarkStart w:id="8973" w:name="_Toc476927092"/>
      <w:bookmarkStart w:id="8974" w:name="_Toc476927266"/>
      <w:bookmarkStart w:id="8975" w:name="_Toc476928530"/>
      <w:bookmarkStart w:id="8976" w:name="_Toc476929573"/>
      <w:bookmarkStart w:id="8977" w:name="_Toc476929748"/>
      <w:bookmarkStart w:id="8978" w:name="_Toc476930791"/>
      <w:bookmarkStart w:id="8979" w:name="_Toc476931598"/>
      <w:r w:rsidR="00505D31">
        <w:t xml:space="preserve">Capping </w:t>
      </w:r>
      <w:r w:rsidR="00F94E1B">
        <w:t xml:space="preserve">yearly </w:t>
      </w:r>
      <w:r w:rsidR="00E63B4E">
        <w:t>d</w:t>
      </w:r>
      <w:r w:rsidR="00505D31">
        <w:t>eductions</w:t>
      </w:r>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72"/>
      <w:bookmarkEnd w:id="8973"/>
      <w:bookmarkEnd w:id="8974"/>
      <w:bookmarkEnd w:id="8975"/>
      <w:bookmarkEnd w:id="8976"/>
      <w:bookmarkEnd w:id="8977"/>
      <w:bookmarkEnd w:id="8978"/>
      <w:bookmarkEnd w:id="8979"/>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p>
    <w:p w14:paraId="055DB35A" w14:textId="4017F3C0" w:rsidR="00505D31" w:rsidRDefault="00734233" w:rsidP="00505D31">
      <w:r>
        <w:t xml:space="preserve">One </w:t>
      </w:r>
      <w:r w:rsidR="00505D31">
        <w:t xml:space="preserve">option raised in consultations was capping the amount of deductions that can be used in any one year, in order that all projects with positive receipts pay some amount of PRRT in each year, including before </w:t>
      </w:r>
      <w:r w:rsidR="007A6136">
        <w:t>projects become cash flow positive</w:t>
      </w:r>
      <w:r w:rsidR="00505D31">
        <w:t xml:space="preserve">. For example, the use of deductions could be limited to 80 or 90 per cent of assessable </w:t>
      </w:r>
      <w:r w:rsidR="00AC2CDB">
        <w:t>PRRT</w:t>
      </w:r>
      <w:r w:rsidR="00505D31">
        <w:t xml:space="preserve"> receipts, with PRRT paid on the remaining amount. This is a type of royalty under a different guise</w:t>
      </w:r>
      <w:r w:rsidR="005D6F39">
        <w:t xml:space="preserve"> — </w:t>
      </w:r>
      <w:r w:rsidR="00505D31">
        <w:t xml:space="preserve">the </w:t>
      </w:r>
      <w:r w:rsidR="005D6F39">
        <w:t>‘</w:t>
      </w:r>
      <w:r w:rsidR="00505D31">
        <w:t>royalty</w:t>
      </w:r>
      <w:r w:rsidR="005D6F39">
        <w:t>’</w:t>
      </w:r>
      <w:r w:rsidR="00505D31">
        <w:t xml:space="preserve"> rate is the percentage of assessable </w:t>
      </w:r>
      <w:r w:rsidR="00AC2CDB">
        <w:t xml:space="preserve">PRRT </w:t>
      </w:r>
      <w:r w:rsidR="00505D31">
        <w:t>receipts retained, multiplied by the tax rate.</w:t>
      </w:r>
    </w:p>
    <w:p w14:paraId="76B629C2" w14:textId="02206ADA" w:rsidR="00505D31" w:rsidRDefault="00505D31" w:rsidP="00505D31">
      <w:r>
        <w:t>There are a number of variations on this proposal. For example, this arrangement could apply for the life of a project, or for a finite amount of time</w:t>
      </w:r>
      <w:r w:rsidR="005B40FC">
        <w:t xml:space="preserve">, say, </w:t>
      </w:r>
      <w:r>
        <w:t>for the first ten years of production</w:t>
      </w:r>
      <w:r w:rsidR="00B72C8E">
        <w:t xml:space="preserve"> with f</w:t>
      </w:r>
      <w:r>
        <w:t xml:space="preserve">ull deductions possible after this. </w:t>
      </w:r>
    </w:p>
    <w:p w14:paraId="456CDBCE" w14:textId="05FC67B5" w:rsidR="00505D31" w:rsidRDefault="00505D31" w:rsidP="00505D31">
      <w:r>
        <w:t xml:space="preserve">The treatment of resource tax expenditure (for example </w:t>
      </w:r>
      <w:r w:rsidR="00B72C8E">
        <w:t xml:space="preserve">excise and </w:t>
      </w:r>
      <w:r>
        <w:t xml:space="preserve">state royalties) would be a key consideration. In order to minimise the potential for double taxation, the cap could not apply to deductions for resource tax expenditure. This would mean that projects paying royalty or excise could in theory pay no PRRT, with the return to the community generated through other resource charging arrangements. </w:t>
      </w:r>
    </w:p>
    <w:p w14:paraId="23457DA0" w14:textId="35E1016C" w:rsidR="00B72C8E" w:rsidRDefault="00505D31" w:rsidP="00505D31">
      <w:r>
        <w:t>This option would move away from the</w:t>
      </w:r>
      <w:r w:rsidDel="00956145">
        <w:t xml:space="preserve"> </w:t>
      </w:r>
      <w:r w:rsidR="00956145">
        <w:t>original design</w:t>
      </w:r>
      <w:r>
        <w:t xml:space="preserve"> of the PRRT as a cash flow tax towards a hybrid system comprising elements of both royalty and profit</w:t>
      </w:r>
      <w:r w:rsidR="005D6F39">
        <w:noBreakHyphen/>
      </w:r>
      <w:r>
        <w:t xml:space="preserve">based systems. </w:t>
      </w:r>
      <w:r w:rsidR="00B72C8E">
        <w:t>For</w:t>
      </w:r>
      <w:r>
        <w:t xml:space="preserve"> projects ultimately profitable enough to pay PRR</w:t>
      </w:r>
      <w:r w:rsidR="00734233">
        <w:t>T</w:t>
      </w:r>
      <w:r>
        <w:t xml:space="preserve"> under the current regime, this is effectively a pre</w:t>
      </w:r>
      <w:r w:rsidR="005D6F39">
        <w:noBreakHyphen/>
      </w:r>
      <w:r>
        <w:t>payment of PRRT, at a discount rate equal to the uplift rate. For projects that would never be profitable enough to pay PRRT</w:t>
      </w:r>
      <w:r w:rsidR="00B72C8E">
        <w:t>,</w:t>
      </w:r>
      <w:r>
        <w:t xml:space="preserve"> this model would operate similar to a royalty</w:t>
      </w:r>
      <w:r w:rsidR="00B72C8E">
        <w:t xml:space="preserve"> and impose a minimum tax</w:t>
      </w:r>
      <w:r>
        <w:t xml:space="preserve">. In both cases, projects would pay during times when their projects are </w:t>
      </w:r>
      <w:r w:rsidR="00D50D6D">
        <w:t>cash flow negative</w:t>
      </w:r>
      <w:r>
        <w:t xml:space="preserve">. </w:t>
      </w:r>
      <w:r w:rsidR="006F11D3">
        <w:t>For future projects, t</w:t>
      </w:r>
      <w:r>
        <w:t>his would contribute to the downside risk of projects, as outline</w:t>
      </w:r>
      <w:r w:rsidR="00B72C8E">
        <w:t>d</w:t>
      </w:r>
      <w:r>
        <w:t xml:space="preserve"> in </w:t>
      </w:r>
      <w:r w:rsidRPr="006D28D4">
        <w:t xml:space="preserve">section </w:t>
      </w:r>
      <w:r w:rsidR="006F11D3" w:rsidRPr="006D28D4">
        <w:t>1</w:t>
      </w:r>
      <w:r w:rsidRPr="006D28D4">
        <w:t>.</w:t>
      </w:r>
      <w:r w:rsidR="006F11D3" w:rsidRPr="006D28D4">
        <w:t>5</w:t>
      </w:r>
      <w:r w:rsidR="005B40FC" w:rsidRPr="006D28D4">
        <w:t>.2</w:t>
      </w:r>
      <w:r w:rsidRPr="006D28D4">
        <w:t>.</w:t>
      </w:r>
      <w:r>
        <w:t xml:space="preserve"> </w:t>
      </w:r>
    </w:p>
    <w:p w14:paraId="75FFE367" w14:textId="7772F433" w:rsidR="00AB0D55" w:rsidRDefault="008B646D" w:rsidP="00505D31">
      <w:pPr>
        <w:rPr>
          <w:color w:val="auto"/>
        </w:rPr>
      </w:pPr>
      <w:r>
        <w:t>The review</w:t>
      </w:r>
      <w:r w:rsidR="00AB0D55">
        <w:t xml:space="preserve"> </w:t>
      </w:r>
      <w:r>
        <w:t>has</w:t>
      </w:r>
      <w:r w:rsidR="00AB0D55">
        <w:t xml:space="preserve"> modelled a specific option raised </w:t>
      </w:r>
      <w:r w:rsidR="00956145">
        <w:t xml:space="preserve">with </w:t>
      </w:r>
      <w:r w:rsidR="00AB0D55">
        <w:t>the review which was to cap</w:t>
      </w:r>
      <w:r w:rsidR="00AB0D55" w:rsidRPr="00AB0D55">
        <w:t xml:space="preserve"> </w:t>
      </w:r>
      <w:r w:rsidR="00AB0D55">
        <w:t xml:space="preserve">the deductions that could be claimed in any one year to 80 per cent of assessable PRRT receipts. This would provide an immediate increase in revenue to the government. But in order not to adversely impact on overall profitability of existing projects, </w:t>
      </w:r>
      <w:r w:rsidR="005B214A">
        <w:t xml:space="preserve">it was proposed that </w:t>
      </w:r>
      <w:r w:rsidR="00AB0D55">
        <w:t xml:space="preserve">the uplift for </w:t>
      </w:r>
      <w:r w:rsidR="00AB0D55" w:rsidDel="009C63A6">
        <w:t xml:space="preserve">general </w:t>
      </w:r>
      <w:r w:rsidR="009C63A6">
        <w:t>project</w:t>
      </w:r>
      <w:r w:rsidR="00AB0D55">
        <w:t xml:space="preserve"> </w:t>
      </w:r>
      <w:r w:rsidR="00AB0D55" w:rsidRPr="005B4FE0">
        <w:rPr>
          <w:color w:val="auto"/>
        </w:rPr>
        <w:t xml:space="preserve">expenditure </w:t>
      </w:r>
      <w:r w:rsidR="005B214A">
        <w:rPr>
          <w:color w:val="auto"/>
        </w:rPr>
        <w:t>be</w:t>
      </w:r>
      <w:r w:rsidR="00AB0D55" w:rsidRPr="005B4FE0">
        <w:rPr>
          <w:color w:val="auto"/>
        </w:rPr>
        <w:t xml:space="preserve"> increased to LTBR plus 7 percentage points. The results are outlined in </w:t>
      </w:r>
      <w:r w:rsidR="00AB0D55" w:rsidRPr="006D28D4">
        <w:rPr>
          <w:color w:val="auto"/>
        </w:rPr>
        <w:t>Figure </w:t>
      </w:r>
      <w:r w:rsidR="00E63B4E" w:rsidRPr="006D28D4">
        <w:rPr>
          <w:color w:val="auto"/>
        </w:rPr>
        <w:t>6.</w:t>
      </w:r>
      <w:r w:rsidR="001C5DEE">
        <w:rPr>
          <w:color w:val="auto"/>
        </w:rPr>
        <w:t>3</w:t>
      </w:r>
      <w:r w:rsidR="00A90F2D" w:rsidRPr="005B4FE0">
        <w:rPr>
          <w:color w:val="auto"/>
        </w:rPr>
        <w:t>.</w:t>
      </w:r>
      <w:r w:rsidR="00521E05" w:rsidRPr="005B4FE0">
        <w:rPr>
          <w:color w:val="auto"/>
        </w:rPr>
        <w:t xml:space="preserve"> </w:t>
      </w:r>
    </w:p>
    <w:p w14:paraId="019752BA" w14:textId="32A5BF4B" w:rsidR="00BE2306" w:rsidRDefault="00BE2306" w:rsidP="00221C2A">
      <w:pPr>
        <w:pStyle w:val="ChartMainHeading"/>
      </w:pPr>
      <w:r>
        <w:t xml:space="preserve">Figure </w:t>
      </w:r>
      <w:r w:rsidR="00E63B4E" w:rsidRPr="006D28D4">
        <w:t>6.</w:t>
      </w:r>
      <w:r w:rsidR="001C5DEE">
        <w:t>3</w:t>
      </w:r>
      <w:r>
        <w:t xml:space="preserve"> </w:t>
      </w:r>
      <w:r w:rsidR="00496C37" w:rsidRPr="00496C37">
        <w:t>—</w:t>
      </w:r>
      <w:r>
        <w:t xml:space="preserve"> Capping </w:t>
      </w:r>
      <w:r w:rsidR="00214109">
        <w:t xml:space="preserve">PRRT </w:t>
      </w:r>
      <w:r w:rsidR="00496C37">
        <w:t>d</w:t>
      </w:r>
      <w:r w:rsidR="005B40FC">
        <w:t xml:space="preserve">eductions </w:t>
      </w:r>
      <w:r>
        <w:t xml:space="preserve">at 80 per cent </w:t>
      </w:r>
      <w:r w:rsidR="00496C37">
        <w:t>w</w:t>
      </w:r>
      <w:r w:rsidR="005B40FC">
        <w:t xml:space="preserve">ith </w:t>
      </w:r>
      <w:r w:rsidR="00214109">
        <w:t xml:space="preserve">an </w:t>
      </w:r>
      <w:r w:rsidR="00496C37">
        <w:t>u</w:t>
      </w:r>
      <w:r w:rsidR="005B40FC">
        <w:t xml:space="preserve">plift </w:t>
      </w:r>
      <w:r>
        <w:t xml:space="preserve">on </w:t>
      </w:r>
      <w:r w:rsidR="00496C37">
        <w:t>g</w:t>
      </w:r>
      <w:r w:rsidR="00214109">
        <w:t>eneral</w:t>
      </w:r>
      <w:r w:rsidDel="005B40FC">
        <w:t xml:space="preserve"> </w:t>
      </w:r>
      <w:r w:rsidR="00496C37">
        <w:t>e</w:t>
      </w:r>
      <w:r w:rsidR="005B40FC">
        <w:t xml:space="preserve">xpenditure </w:t>
      </w:r>
      <w:r w:rsidR="00214109">
        <w:t>of</w:t>
      </w:r>
      <w:r>
        <w:t xml:space="preserve"> LT</w:t>
      </w:r>
      <w:r w:rsidR="000A33FC">
        <w:t>B</w:t>
      </w:r>
      <w:r>
        <w:t xml:space="preserve">R + 7 </w:t>
      </w:r>
      <w:r w:rsidR="00496C37">
        <w:t>p</w:t>
      </w:r>
      <w:r w:rsidR="0050099B">
        <w:t xml:space="preserve">ercentage </w:t>
      </w:r>
      <w:r w:rsidR="00496C37">
        <w:t>p</w:t>
      </w:r>
      <w:r w:rsidR="0050099B">
        <w:t xml:space="preserve">oints </w:t>
      </w:r>
    </w:p>
    <w:p w14:paraId="0472026C" w14:textId="721ED841" w:rsidR="00F0222D" w:rsidRDefault="008950BC" w:rsidP="00BE2306">
      <w:pPr>
        <w:pStyle w:val="ChartGraphic"/>
      </w:pPr>
      <w:r>
        <w:object w:dxaOrig="8775" w:dyaOrig="4530" w14:anchorId="5469991D">
          <v:shape id="_x0000_i1048" type="#_x0000_t75" alt="Figure 6.3 compares the PRRT revenue from the review’s baseline scenario with PRRT revenue where deductions are capped at 80 per cent of assessable receipts and the uplift on general expenditure is increased to LTBR plus 7 percentage points." style="width:439.5pt;height:227.25pt" o:ole="">
            <v:imagedata r:id="rId83" o:title=""/>
          </v:shape>
          <o:OLEObject Type="Link" ProgID="Excel.Sheet.12" ShapeID="_x0000_i1048" DrawAspect="Content" r:id="rId84" UpdateMode="Always">
            <o:LinkType>EnhancedMetaFile</o:LinkType>
            <o:LockedField>false</o:LockedField>
          </o:OLEObject>
        </w:object>
      </w:r>
    </w:p>
    <w:p w14:paraId="32F0E2C2" w14:textId="77C1968B" w:rsidR="00F0222D" w:rsidRDefault="00F0222D" w:rsidP="008950BC">
      <w:pPr>
        <w:pStyle w:val="ChartorTableNote"/>
      </w:pPr>
      <w:r w:rsidRPr="00632CE3">
        <w:t>Source: Petroleum Resource Rent Tax Review Secretariat</w:t>
      </w:r>
      <w:r w:rsidR="00496C37">
        <w:t>.</w:t>
      </w:r>
    </w:p>
    <w:p w14:paraId="0246232C" w14:textId="77777777" w:rsidR="008950BC" w:rsidRPr="008950BC" w:rsidRDefault="008950BC" w:rsidP="008950BC">
      <w:pPr>
        <w:pStyle w:val="SingleParagraph"/>
      </w:pPr>
    </w:p>
    <w:p w14:paraId="072F20DE" w14:textId="76898F95" w:rsidR="004B2C8A" w:rsidRDefault="004B2C8A" w:rsidP="00F0222D">
      <w:r>
        <w:t xml:space="preserve">Under this </w:t>
      </w:r>
      <w:r w:rsidR="00AB0D55">
        <w:t>approach</w:t>
      </w:r>
      <w:r>
        <w:t xml:space="preserve">, </w:t>
      </w:r>
      <w:r w:rsidR="00B728B5">
        <w:t xml:space="preserve">compared with the </w:t>
      </w:r>
      <w:r w:rsidR="00AB0D55">
        <w:t>review</w:t>
      </w:r>
      <w:r w:rsidR="005D6F39">
        <w:t>’</w:t>
      </w:r>
      <w:r w:rsidR="00AB0D55">
        <w:t>s</w:t>
      </w:r>
      <w:r w:rsidR="00B728B5">
        <w:t xml:space="preserve"> baseline, </w:t>
      </w:r>
      <w:r>
        <w:t xml:space="preserve">PRRT </w:t>
      </w:r>
      <w:r w:rsidR="00B728B5">
        <w:t xml:space="preserve">revenue </w:t>
      </w:r>
      <w:r>
        <w:t xml:space="preserve">would </w:t>
      </w:r>
      <w:r w:rsidR="005B214A">
        <w:t xml:space="preserve">be around </w:t>
      </w:r>
      <w:r>
        <w:t>$</w:t>
      </w:r>
      <w:r w:rsidR="00AB0D55" w:rsidRPr="006D28D4">
        <w:t>31</w:t>
      </w:r>
      <w:r w:rsidR="00F0222D" w:rsidRPr="006D28D4">
        <w:t> </w:t>
      </w:r>
      <w:r w:rsidR="009E0FB9" w:rsidRPr="006D28D4">
        <w:t>billion</w:t>
      </w:r>
      <w:r>
        <w:t xml:space="preserve"> </w:t>
      </w:r>
      <w:r w:rsidR="005B214A">
        <w:t xml:space="preserve">higher </w:t>
      </w:r>
      <w:r>
        <w:t xml:space="preserve">over the ten years to </w:t>
      </w:r>
      <w:r w:rsidR="00A90F2D">
        <w:t xml:space="preserve">2027. </w:t>
      </w:r>
      <w:r w:rsidR="00AB0D55">
        <w:t>However,</w:t>
      </w:r>
      <w:r>
        <w:t xml:space="preserve"> over the </w:t>
      </w:r>
      <w:r w:rsidR="005B214A">
        <w:t xml:space="preserve">whole </w:t>
      </w:r>
      <w:r>
        <w:t xml:space="preserve">period to </w:t>
      </w:r>
      <w:r w:rsidR="00A90F2D">
        <w:t>2050, this option results</w:t>
      </w:r>
      <w:r w:rsidR="00AE54B0">
        <w:t xml:space="preserve"> </w:t>
      </w:r>
      <w:r w:rsidR="005B214A">
        <w:t>in total</w:t>
      </w:r>
      <w:r w:rsidR="00A90F2D">
        <w:t xml:space="preserve"> PRRT revenue</w:t>
      </w:r>
      <w:r w:rsidR="005B214A">
        <w:t xml:space="preserve"> being</w:t>
      </w:r>
      <w:r w:rsidR="007672CD">
        <w:t xml:space="preserve"> around</w:t>
      </w:r>
      <w:r w:rsidR="00A90F2D">
        <w:t xml:space="preserve"> $</w:t>
      </w:r>
      <w:r w:rsidR="00A90F2D" w:rsidRPr="006D28D4">
        <w:t>21</w:t>
      </w:r>
      <w:r w:rsidR="00F0222D" w:rsidRPr="006D28D4">
        <w:t> </w:t>
      </w:r>
      <w:r w:rsidR="009E0FB9" w:rsidRPr="006D28D4">
        <w:t>billion</w:t>
      </w:r>
      <w:r w:rsidR="00A90F2D">
        <w:t xml:space="preserve"> </w:t>
      </w:r>
      <w:r w:rsidR="005B214A">
        <w:t>lower than that in the basel</w:t>
      </w:r>
      <w:r w:rsidR="007672CD">
        <w:t>ine scenario</w:t>
      </w:r>
      <w:r w:rsidR="00A90F2D">
        <w:t>.</w:t>
      </w:r>
      <w:r w:rsidR="00521E05">
        <w:t xml:space="preserve"> </w:t>
      </w:r>
      <w:r w:rsidR="005B214A">
        <w:t>While there is a bring</w:t>
      </w:r>
      <w:r w:rsidR="005D6F39">
        <w:noBreakHyphen/>
      </w:r>
      <w:r w:rsidR="005B214A">
        <w:t xml:space="preserve">forward in PRRT revenue, this is at the expense of significantly lower revenue in the later period because </w:t>
      </w:r>
      <w:r w:rsidR="00112161">
        <w:t xml:space="preserve">deductions for general expenditure </w:t>
      </w:r>
      <w:r w:rsidR="005B214A">
        <w:t xml:space="preserve">are </w:t>
      </w:r>
      <w:r w:rsidR="00112161">
        <w:t>being uplifted at a higher rate</w:t>
      </w:r>
      <w:r w:rsidR="005B214A">
        <w:t xml:space="preserve"> than in the baseline</w:t>
      </w:r>
      <w:r w:rsidR="00112161">
        <w:t xml:space="preserve">. </w:t>
      </w:r>
    </w:p>
    <w:p w14:paraId="598E99A2" w14:textId="410FB32E" w:rsidR="00AA7794" w:rsidRDefault="008120BA" w:rsidP="00F435C1">
      <w:pPr>
        <w:pStyle w:val="Heading3"/>
      </w:pPr>
      <w:bookmarkStart w:id="8980" w:name="_Toc479254393"/>
      <w:bookmarkStart w:id="8981" w:name="_Toc479258582"/>
      <w:bookmarkStart w:id="8982" w:name="_Toc479258898"/>
      <w:bookmarkStart w:id="8983" w:name="_Toc479259790"/>
      <w:bookmarkStart w:id="8984" w:name="_Toc479262213"/>
      <w:bookmarkStart w:id="8985" w:name="_Toc479262634"/>
      <w:bookmarkStart w:id="8986" w:name="_Toc479321335"/>
      <w:bookmarkStart w:id="8987" w:name="_Toc479326774"/>
      <w:bookmarkStart w:id="8988" w:name="_Toc479333035"/>
      <w:bookmarkStart w:id="8989" w:name="_Toc479333373"/>
      <w:bookmarkStart w:id="8990" w:name="_Toc479335070"/>
      <w:bookmarkStart w:id="8991" w:name="_Toc479341785"/>
      <w:bookmarkStart w:id="8992" w:name="_Toc479345201"/>
      <w:bookmarkStart w:id="8993" w:name="_Toc479345410"/>
      <w:bookmarkStart w:id="8994" w:name="_Toc479348391"/>
      <w:bookmarkStart w:id="8995" w:name="_Toc479675985"/>
      <w:bookmarkStart w:id="8996" w:name="_Toc479690952"/>
      <w:bookmarkStart w:id="8997" w:name="_Toc479693530"/>
      <w:bookmarkStart w:id="8998" w:name="_Toc479770699"/>
      <w:bookmarkStart w:id="8999" w:name="_Toc476926980"/>
      <w:bookmarkStart w:id="9000" w:name="_Toc476927093"/>
      <w:bookmarkStart w:id="9001" w:name="_Toc476927267"/>
      <w:bookmarkStart w:id="9002" w:name="_Toc476928531"/>
      <w:bookmarkStart w:id="9003" w:name="_Toc476929574"/>
      <w:bookmarkStart w:id="9004" w:name="_Toc476929749"/>
      <w:bookmarkStart w:id="9005" w:name="_Toc476930792"/>
      <w:bookmarkStart w:id="9006" w:name="_Toc476931599"/>
      <w:bookmarkStart w:id="9007" w:name="_Toc477869934"/>
      <w:bookmarkStart w:id="9008" w:name="_Toc477871173"/>
      <w:bookmarkStart w:id="9009" w:name="_Toc477873332"/>
      <w:bookmarkStart w:id="9010" w:name="_Toc477875326"/>
      <w:bookmarkStart w:id="9011" w:name="_Toc477880239"/>
      <w:bookmarkStart w:id="9012" w:name="_Toc477881499"/>
      <w:bookmarkStart w:id="9013" w:name="_Toc477955903"/>
      <w:bookmarkStart w:id="9014" w:name="_Toc477963148"/>
      <w:bookmarkStart w:id="9015" w:name="_Toc477963634"/>
      <w:bookmarkStart w:id="9016" w:name="_Toc477965220"/>
      <w:bookmarkStart w:id="9017" w:name="_Toc477966724"/>
      <w:bookmarkStart w:id="9018" w:name="_Toc477966893"/>
      <w:bookmarkStart w:id="9019" w:name="_Toc477967233"/>
      <w:bookmarkStart w:id="9020" w:name="_Toc478121370"/>
      <w:bookmarkStart w:id="9021" w:name="_Toc478122283"/>
      <w:bookmarkStart w:id="9022" w:name="_Toc478132113"/>
      <w:bookmarkStart w:id="9023" w:name="_Toc478132257"/>
      <w:bookmarkStart w:id="9024" w:name="_Toc478133283"/>
      <w:bookmarkStart w:id="9025" w:name="_Toc478132420"/>
      <w:bookmarkStart w:id="9026" w:name="_Toc478134749"/>
      <w:bookmarkStart w:id="9027" w:name="_Toc478137451"/>
      <w:bookmarkStart w:id="9028" w:name="_Toc478138523"/>
      <w:bookmarkStart w:id="9029" w:name="_Toc478140093"/>
      <w:bookmarkStart w:id="9030" w:name="_Toc478140509"/>
      <w:bookmarkStart w:id="9031" w:name="_Toc478142715"/>
      <w:bookmarkStart w:id="9032" w:name="_Toc478566434"/>
      <w:bookmarkStart w:id="9033" w:name="_Toc478569601"/>
      <w:bookmarkStart w:id="9034" w:name="_Toc478569775"/>
      <w:bookmarkStart w:id="9035" w:name="_Toc478570849"/>
      <w:bookmarkStart w:id="9036" w:name="_Toc478633048"/>
      <w:bookmarkStart w:id="9037" w:name="_Toc478641458"/>
      <w:bookmarkStart w:id="9038" w:name="_Toc478654352"/>
      <w:bookmarkStart w:id="9039" w:name="_Toc478654526"/>
      <w:bookmarkStart w:id="9040" w:name="_Toc478657821"/>
      <w:bookmarkStart w:id="9041" w:name="_Toc478993242"/>
      <w:bookmarkStart w:id="9042" w:name="_Toc479000313"/>
      <w:bookmarkStart w:id="9043" w:name="_Toc479002247"/>
      <w:bookmarkStart w:id="9044" w:name="_Toc479002419"/>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r>
        <w:t>6</w:t>
      </w:r>
      <w:r w:rsidR="009D5929">
        <w:t>.5.3</w:t>
      </w:r>
      <w:r w:rsidR="009D5929">
        <w:tab/>
      </w:r>
      <w:r w:rsidR="00AA7794">
        <w:t xml:space="preserve">Impact </w:t>
      </w:r>
      <w:r w:rsidR="009D5929">
        <w:t>of a</w:t>
      </w:r>
      <w:r w:rsidR="00F94E1B">
        <w:t xml:space="preserve"> delayed</w:t>
      </w:r>
      <w:r w:rsidR="009D5929">
        <w:t xml:space="preserve"> </w:t>
      </w:r>
      <w:r w:rsidR="00E63B4E">
        <w:t>o</w:t>
      </w:r>
      <w:r w:rsidR="009D5929">
        <w:t xml:space="preserve">ffshore </w:t>
      </w:r>
      <w:r w:rsidR="00E63B4E">
        <w:t>r</w:t>
      </w:r>
      <w:r w:rsidR="009D5929">
        <w:t>oyalty</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r w:rsidR="009D5929">
        <w:t xml:space="preserve"> </w:t>
      </w:r>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p>
    <w:p w14:paraId="4EA8D203" w14:textId="1E3E47FF" w:rsidR="00AA7794" w:rsidRDefault="00734233" w:rsidP="00F435C1">
      <w:r>
        <w:t>Another</w:t>
      </w:r>
      <w:r w:rsidR="00AA7794">
        <w:t xml:space="preserve"> option proposed to the review</w:t>
      </w:r>
      <w:r w:rsidR="00AA7794" w:rsidDel="00B728B5">
        <w:t xml:space="preserve"> </w:t>
      </w:r>
      <w:r w:rsidR="00AA7794">
        <w:t xml:space="preserve">was to provide a </w:t>
      </w:r>
      <w:r w:rsidR="005D6F39">
        <w:t>‘</w:t>
      </w:r>
      <w:r w:rsidR="00AA7794">
        <w:t>grace period</w:t>
      </w:r>
      <w:r w:rsidR="005D6F39">
        <w:t>’</w:t>
      </w:r>
      <w:r w:rsidR="00AA7794">
        <w:t xml:space="preserve"> for the introduction of any new royalty, in recognition of </w:t>
      </w:r>
      <w:r w:rsidR="000C3DD4">
        <w:t xml:space="preserve">the impact on the cash flow position of </w:t>
      </w:r>
      <w:r w:rsidR="00AA7794">
        <w:t xml:space="preserve">investments already committed and to minimise distortions. </w:t>
      </w:r>
      <w:r w:rsidR="000C3DD4">
        <w:t>One option was</w:t>
      </w:r>
      <w:r w:rsidR="00AA7794">
        <w:t xml:space="preserve"> to subject all offshore projects to a royalty 5 to 10 years from when they first commence production. Alternately, the new royalty could start 5 to 10</w:t>
      </w:r>
      <w:r w:rsidR="00521E05">
        <w:t> </w:t>
      </w:r>
      <w:r w:rsidR="00AA7794">
        <w:t xml:space="preserve">years after commencement of any new legislation. The </w:t>
      </w:r>
      <w:r w:rsidR="00AE54B0">
        <w:t>grossed</w:t>
      </w:r>
      <w:r w:rsidR="005D6F39">
        <w:noBreakHyphen/>
      </w:r>
      <w:r w:rsidR="00AE54B0">
        <w:t xml:space="preserve">up </w:t>
      </w:r>
      <w:r w:rsidR="00AA7794">
        <w:t xml:space="preserve">royalty would continue to be deducted from </w:t>
      </w:r>
      <w:r w:rsidR="00F14C3A">
        <w:t xml:space="preserve">assessable </w:t>
      </w:r>
      <w:r w:rsidR="00AA7794">
        <w:t xml:space="preserve">PRRT </w:t>
      </w:r>
      <w:r w:rsidR="00F14C3A">
        <w:t>receipts</w:t>
      </w:r>
      <w:r w:rsidR="00AA7794">
        <w:t xml:space="preserve">. </w:t>
      </w:r>
    </w:p>
    <w:p w14:paraId="3B15FB55" w14:textId="1527960D" w:rsidR="00556FA3" w:rsidRPr="006D28D4" w:rsidRDefault="000C3DD4" w:rsidP="00F435C1">
      <w:r>
        <w:t>The review</w:t>
      </w:r>
      <w:r w:rsidR="00556FA3">
        <w:t xml:space="preserve"> modelled a royalty of 10 per</w:t>
      </w:r>
      <w:r w:rsidR="003A09CC">
        <w:t xml:space="preserve"> </w:t>
      </w:r>
      <w:r w:rsidR="00556FA3">
        <w:t xml:space="preserve">cent on wellhead value, </w:t>
      </w:r>
      <w:r w:rsidR="00017607">
        <w:t>commencing</w:t>
      </w:r>
      <w:r w:rsidR="00556FA3">
        <w:t xml:space="preserve"> 10 years after production</w:t>
      </w:r>
      <w:r w:rsidR="006900B7">
        <w:t xml:space="preserve"> (with the uplift factor remaining LTBR plus 5 percentage points)</w:t>
      </w:r>
      <w:r w:rsidR="00556FA3">
        <w:t xml:space="preserve">. The results are illustrated in </w:t>
      </w:r>
      <w:r w:rsidR="00556FA3" w:rsidRPr="006D28D4">
        <w:t xml:space="preserve">Figure </w:t>
      </w:r>
      <w:r w:rsidR="00E63B4E" w:rsidRPr="006D28D4">
        <w:t>6.</w:t>
      </w:r>
      <w:r w:rsidR="001C5DEE" w:rsidRPr="006D28D4">
        <w:t>4</w:t>
      </w:r>
      <w:r w:rsidR="00556FA3" w:rsidRPr="006D28D4">
        <w:t>.</w:t>
      </w:r>
    </w:p>
    <w:p w14:paraId="1CEFCB1C" w14:textId="16B22F83" w:rsidR="00FA7E75" w:rsidRDefault="00FA7E75" w:rsidP="00221C2A">
      <w:pPr>
        <w:pStyle w:val="ChartMainHeading"/>
      </w:pPr>
      <w:r w:rsidRPr="006D28D4">
        <w:t xml:space="preserve">Figure </w:t>
      </w:r>
      <w:r w:rsidR="00E63B4E" w:rsidRPr="006D28D4">
        <w:t>6.</w:t>
      </w:r>
      <w:r w:rsidR="001C5DEE">
        <w:t>4</w:t>
      </w:r>
      <w:r w:rsidR="008E715D" w:rsidRPr="004E78F2">
        <w:t xml:space="preserve"> </w:t>
      </w:r>
      <w:r w:rsidR="00496C37" w:rsidRPr="00496C37">
        <w:t>—</w:t>
      </w:r>
      <w:r w:rsidR="008E715D">
        <w:t xml:space="preserve"> 10 Per cent royalty commencing ten years after production b</w:t>
      </w:r>
      <w:r>
        <w:t xml:space="preserve">egins </w:t>
      </w:r>
    </w:p>
    <w:p w14:paraId="5C05D65D" w14:textId="25F2C0AF" w:rsidR="007B7DC9" w:rsidRPr="007B7DC9" w:rsidRDefault="008950BC" w:rsidP="007B7DC9">
      <w:pPr>
        <w:pStyle w:val="ChartGraphic"/>
      </w:pPr>
      <w:r>
        <w:object w:dxaOrig="8775" w:dyaOrig="4530" w14:anchorId="268EEE5C">
          <v:shape id="_x0000_i1049" type="#_x0000_t75" alt="Figure 6.4 shows the effect on PRRT revenue when a 10 per cent royalty commencing 10 years after production begins is applied." style="width:439.5pt;height:227.25pt" o:ole="">
            <v:imagedata r:id="rId85" o:title=""/>
          </v:shape>
          <o:OLEObject Type="Link" ProgID="Excel.Sheet.12" ShapeID="_x0000_i1049" DrawAspect="Content" r:id="rId86" UpdateMode="Always">
            <o:LinkType>EnhancedMetaFile</o:LinkType>
            <o:LockedField>false</o:LockedField>
          </o:OLEObject>
        </w:object>
      </w:r>
    </w:p>
    <w:p w14:paraId="3412D38D" w14:textId="1182F8F4" w:rsidR="00F0222D" w:rsidRDefault="00F0222D" w:rsidP="008950BC">
      <w:pPr>
        <w:pStyle w:val="ChartorTableNote"/>
      </w:pPr>
      <w:r w:rsidRPr="00632CE3">
        <w:t>Source: Petroleum Resource Rent Tax Review Secretariat</w:t>
      </w:r>
      <w:r w:rsidR="00496C37">
        <w:t>.</w:t>
      </w:r>
    </w:p>
    <w:p w14:paraId="3D464775" w14:textId="77777777" w:rsidR="008950BC" w:rsidRPr="008950BC" w:rsidRDefault="008950BC" w:rsidP="008950BC">
      <w:pPr>
        <w:pStyle w:val="SingleParagraph"/>
      </w:pPr>
    </w:p>
    <w:p w14:paraId="7ADC8E96" w14:textId="4109A3C3" w:rsidR="009E0FB9" w:rsidRDefault="00556FA3" w:rsidP="00F435C1">
      <w:r w:rsidRPr="005B4FE0">
        <w:t xml:space="preserve">Under this approach, </w:t>
      </w:r>
      <w:r w:rsidR="00017607" w:rsidRPr="005B4FE0">
        <w:t xml:space="preserve">when </w:t>
      </w:r>
      <w:r w:rsidRPr="005B4FE0">
        <w:t>compared with the review</w:t>
      </w:r>
      <w:r w:rsidR="005D6F39">
        <w:t>’</w:t>
      </w:r>
      <w:r w:rsidRPr="005B4FE0">
        <w:t xml:space="preserve">s baseline, the PRRT revenue would </w:t>
      </w:r>
      <w:r w:rsidR="00FB3D9B">
        <w:t>increase by around</w:t>
      </w:r>
      <w:r w:rsidRPr="005B4FE0">
        <w:t xml:space="preserve"> $</w:t>
      </w:r>
      <w:r w:rsidRPr="006D28D4">
        <w:t xml:space="preserve">7 </w:t>
      </w:r>
      <w:r w:rsidR="009E0FB9" w:rsidRPr="006D28D4">
        <w:t>billion</w:t>
      </w:r>
      <w:r w:rsidR="006900B7" w:rsidRPr="006D28D4">
        <w:t xml:space="preserve"> </w:t>
      </w:r>
      <w:r w:rsidR="006900B7" w:rsidRPr="005B4FE0">
        <w:t>over the ten years to 2027</w:t>
      </w:r>
      <w:r w:rsidR="006E6792">
        <w:t>.</w:t>
      </w:r>
      <w:r w:rsidR="00AE54B0">
        <w:t xml:space="preserve"> </w:t>
      </w:r>
      <w:r w:rsidR="004279F9">
        <w:t>O</w:t>
      </w:r>
      <w:r w:rsidRPr="005B4FE0">
        <w:t xml:space="preserve">ver the </w:t>
      </w:r>
      <w:r w:rsidR="00FB3D9B">
        <w:t xml:space="preserve">whole </w:t>
      </w:r>
      <w:r w:rsidRPr="005B4FE0">
        <w:t>period to 2050</w:t>
      </w:r>
      <w:r w:rsidR="006900B7" w:rsidRPr="005B4FE0">
        <w:t>,</w:t>
      </w:r>
      <w:r w:rsidRPr="005B4FE0">
        <w:t xml:space="preserve"> </w:t>
      </w:r>
      <w:r w:rsidR="00017607" w:rsidRPr="005B4FE0">
        <w:t xml:space="preserve">the </w:t>
      </w:r>
      <w:r w:rsidRPr="005B4FE0">
        <w:t xml:space="preserve">combined royalty and PRRT revenues </w:t>
      </w:r>
      <w:r w:rsidR="00FB3D9B">
        <w:t>would be around</w:t>
      </w:r>
      <w:r w:rsidR="00017607" w:rsidRPr="005B4FE0">
        <w:t xml:space="preserve"> </w:t>
      </w:r>
      <w:r w:rsidRPr="005B4FE0">
        <w:t>$</w:t>
      </w:r>
      <w:r w:rsidRPr="006D28D4" w:rsidDel="00FB3D9B">
        <w:t>6</w:t>
      </w:r>
      <w:r w:rsidR="004279F9" w:rsidRPr="006D28D4">
        <w:t> </w:t>
      </w:r>
      <w:r w:rsidRPr="006D28D4">
        <w:t>billion</w:t>
      </w:r>
      <w:r w:rsidR="00FB3D9B" w:rsidRPr="006D28D4">
        <w:t xml:space="preserve"> </w:t>
      </w:r>
      <w:r w:rsidR="004279F9">
        <w:t xml:space="preserve">higher </w:t>
      </w:r>
      <w:r w:rsidR="00FB3D9B">
        <w:t>than in the baseline scenario</w:t>
      </w:r>
      <w:r w:rsidRPr="005B4FE0">
        <w:t xml:space="preserve">. </w:t>
      </w:r>
      <w:r>
        <w:t>This result is more positive</w:t>
      </w:r>
      <w:r w:rsidR="006900B7">
        <w:t xml:space="preserve"> than </w:t>
      </w:r>
      <w:r w:rsidR="00A0414D">
        <w:t xml:space="preserve">the </w:t>
      </w:r>
      <w:r w:rsidR="006900B7">
        <w:t>immedi</w:t>
      </w:r>
      <w:r w:rsidR="00A0414D">
        <w:t>ate introduction of the royalty</w:t>
      </w:r>
      <w:r w:rsidR="006900B7">
        <w:t xml:space="preserve"> or capping </w:t>
      </w:r>
      <w:r w:rsidR="00A0414D">
        <w:t xml:space="preserve">the </w:t>
      </w:r>
      <w:r w:rsidR="006900B7">
        <w:t xml:space="preserve">total deductions predominantly </w:t>
      </w:r>
      <w:r w:rsidR="00AE54B0">
        <w:t>because</w:t>
      </w:r>
      <w:r w:rsidR="006900B7">
        <w:t xml:space="preserve"> delay</w:t>
      </w:r>
      <w:r w:rsidR="00A0414D">
        <w:t>ing</w:t>
      </w:r>
      <w:r w:rsidR="006900B7">
        <w:t xml:space="preserve"> </w:t>
      </w:r>
      <w:r w:rsidR="00A0414D">
        <w:t xml:space="preserve">royalty </w:t>
      </w:r>
      <w:r w:rsidR="006900B7">
        <w:t xml:space="preserve">payments </w:t>
      </w:r>
      <w:r w:rsidR="00A0414D">
        <w:t>means they become more aligned to when projects become profitable</w:t>
      </w:r>
      <w:r w:rsidR="006900B7">
        <w:t>. As</w:t>
      </w:r>
      <w:r w:rsidR="00017607">
        <w:t xml:space="preserve"> a result,</w:t>
      </w:r>
      <w:r w:rsidR="006900B7">
        <w:t xml:space="preserve"> </w:t>
      </w:r>
      <w:r w:rsidR="00A0414D">
        <w:t xml:space="preserve">royalty </w:t>
      </w:r>
      <w:r w:rsidR="006900B7">
        <w:t xml:space="preserve">payments </w:t>
      </w:r>
      <w:r w:rsidR="00FB3D9B">
        <w:t>are not</w:t>
      </w:r>
      <w:r w:rsidR="006900B7">
        <w:t xml:space="preserve"> uplifted and offset against future PRRT revenue as much as in these alternate options</w:t>
      </w:r>
      <w:r w:rsidR="00A0414D">
        <w:t xml:space="preserve"> (in </w:t>
      </w:r>
      <w:r w:rsidR="00C518F7">
        <w:t>6</w:t>
      </w:r>
      <w:r w:rsidR="00A0414D">
        <w:t xml:space="preserve">.5.1. and </w:t>
      </w:r>
      <w:r w:rsidR="00C518F7">
        <w:t>6</w:t>
      </w:r>
      <w:r w:rsidR="00A0414D">
        <w:t>.5.2)</w:t>
      </w:r>
      <w:r w:rsidR="00017607">
        <w:t>.</w:t>
      </w:r>
    </w:p>
    <w:p w14:paraId="3D8DA817" w14:textId="676FAA0C" w:rsidR="00AA7794" w:rsidRDefault="0050099B" w:rsidP="00F435C1">
      <w:r>
        <w:t xml:space="preserve">The modelling does not capture </w:t>
      </w:r>
      <w:r w:rsidR="009E0FB9" w:rsidDel="0050099B">
        <w:t>the</w:t>
      </w:r>
      <w:r w:rsidR="009E0FB9">
        <w:t xml:space="preserve"> distortive effect of</w:t>
      </w:r>
      <w:r w:rsidR="009440CF">
        <w:t xml:space="preserve"> the royalty which</w:t>
      </w:r>
      <w:r w:rsidR="009E0FB9">
        <w:t xml:space="preserve"> is likely to affect projects towards the end</w:t>
      </w:r>
      <w:r w:rsidR="00A0414D">
        <w:t xml:space="preserve"> </w:t>
      </w:r>
      <w:r w:rsidR="009E0FB9">
        <w:t>their lives o</w:t>
      </w:r>
      <w:r w:rsidR="006025F8">
        <w:t>r</w:t>
      </w:r>
      <w:r w:rsidR="009E0FB9">
        <w:t xml:space="preserve"> the lives of particular fields. As noted in </w:t>
      </w:r>
      <w:r w:rsidR="009E0FB9" w:rsidRPr="006D28D4">
        <w:t>section 3</w:t>
      </w:r>
      <w:r w:rsidR="009E0FB9">
        <w:t>, the PRRT was introduced in part because of concerns that the existing royalty arrangements were leading to the premature closing of fields leaving resources in the ground.</w:t>
      </w:r>
    </w:p>
    <w:p w14:paraId="1F8D79B3" w14:textId="4D67EBB6" w:rsidR="00AA7794" w:rsidRDefault="008120BA" w:rsidP="00F435C1">
      <w:pPr>
        <w:pStyle w:val="Heading3"/>
      </w:pPr>
      <w:bookmarkStart w:id="9045" w:name="_Toc476926981"/>
      <w:bookmarkStart w:id="9046" w:name="_Toc476927094"/>
      <w:bookmarkStart w:id="9047" w:name="_Toc476927268"/>
      <w:bookmarkStart w:id="9048" w:name="_Toc476928532"/>
      <w:bookmarkStart w:id="9049" w:name="_Toc476929575"/>
      <w:bookmarkStart w:id="9050" w:name="_Toc476929750"/>
      <w:bookmarkStart w:id="9051" w:name="_Toc476930793"/>
      <w:bookmarkStart w:id="9052" w:name="_Toc476931600"/>
      <w:bookmarkStart w:id="9053" w:name="_Toc477869935"/>
      <w:bookmarkStart w:id="9054" w:name="_Toc477871174"/>
      <w:bookmarkStart w:id="9055" w:name="_Toc477873333"/>
      <w:bookmarkStart w:id="9056" w:name="_Toc477875327"/>
      <w:bookmarkStart w:id="9057" w:name="_Toc477880240"/>
      <w:bookmarkStart w:id="9058" w:name="_Toc477881500"/>
      <w:bookmarkStart w:id="9059" w:name="_Toc477955904"/>
      <w:bookmarkStart w:id="9060" w:name="_Toc477963149"/>
      <w:bookmarkStart w:id="9061" w:name="_Toc477963635"/>
      <w:bookmarkStart w:id="9062" w:name="_Toc477965221"/>
      <w:bookmarkStart w:id="9063" w:name="_Toc477966725"/>
      <w:bookmarkStart w:id="9064" w:name="_Toc477966894"/>
      <w:bookmarkStart w:id="9065" w:name="_Toc477967234"/>
      <w:bookmarkStart w:id="9066" w:name="_Toc478121371"/>
      <w:bookmarkStart w:id="9067" w:name="_Toc478122284"/>
      <w:bookmarkStart w:id="9068" w:name="_Toc478132114"/>
      <w:bookmarkStart w:id="9069" w:name="_Toc478132258"/>
      <w:bookmarkStart w:id="9070" w:name="_Toc478133284"/>
      <w:bookmarkStart w:id="9071" w:name="_Toc478132421"/>
      <w:bookmarkStart w:id="9072" w:name="_Toc478134750"/>
      <w:bookmarkStart w:id="9073" w:name="_Toc478137452"/>
      <w:bookmarkStart w:id="9074" w:name="_Toc478138524"/>
      <w:bookmarkStart w:id="9075" w:name="_Toc478140094"/>
      <w:bookmarkStart w:id="9076" w:name="_Toc478140510"/>
      <w:bookmarkStart w:id="9077" w:name="_Toc478142716"/>
      <w:bookmarkStart w:id="9078" w:name="_Toc478566435"/>
      <w:bookmarkStart w:id="9079" w:name="_Toc478569602"/>
      <w:bookmarkStart w:id="9080" w:name="_Toc478569776"/>
      <w:bookmarkStart w:id="9081" w:name="_Toc478570850"/>
      <w:bookmarkStart w:id="9082" w:name="_Toc478633049"/>
      <w:bookmarkStart w:id="9083" w:name="_Toc478641459"/>
      <w:bookmarkStart w:id="9084" w:name="_Toc478654353"/>
      <w:bookmarkStart w:id="9085" w:name="_Toc478654527"/>
      <w:bookmarkStart w:id="9086" w:name="_Toc478657822"/>
      <w:bookmarkStart w:id="9087" w:name="_Toc478993243"/>
      <w:bookmarkStart w:id="9088" w:name="_Toc479000314"/>
      <w:bookmarkStart w:id="9089" w:name="_Toc479002248"/>
      <w:bookmarkStart w:id="9090" w:name="_Toc479002420"/>
      <w:bookmarkStart w:id="9091" w:name="_Toc479254394"/>
      <w:bookmarkStart w:id="9092" w:name="_Toc479258583"/>
      <w:bookmarkStart w:id="9093" w:name="_Toc479258899"/>
      <w:bookmarkStart w:id="9094" w:name="_Toc479259791"/>
      <w:bookmarkStart w:id="9095" w:name="_Toc479262214"/>
      <w:bookmarkStart w:id="9096" w:name="_Toc479262635"/>
      <w:bookmarkStart w:id="9097" w:name="_Toc479321336"/>
      <w:bookmarkStart w:id="9098" w:name="_Toc479326775"/>
      <w:bookmarkStart w:id="9099" w:name="_Toc479333036"/>
      <w:bookmarkStart w:id="9100" w:name="_Toc479333374"/>
      <w:bookmarkStart w:id="9101" w:name="_Toc479335071"/>
      <w:bookmarkStart w:id="9102" w:name="_Toc479341786"/>
      <w:bookmarkStart w:id="9103" w:name="_Toc479345202"/>
      <w:bookmarkStart w:id="9104" w:name="_Toc479345411"/>
      <w:bookmarkStart w:id="9105" w:name="_Toc479348392"/>
      <w:bookmarkStart w:id="9106" w:name="_Toc479675986"/>
      <w:bookmarkStart w:id="9107" w:name="_Toc479690953"/>
      <w:bookmarkStart w:id="9108" w:name="_Toc479693531"/>
      <w:bookmarkStart w:id="9109" w:name="_Toc479770700"/>
      <w:r>
        <w:t>6</w:t>
      </w:r>
      <w:r w:rsidR="009D5929">
        <w:t>.5.</w:t>
      </w:r>
      <w:r>
        <w:t>4</w:t>
      </w:r>
      <w:r w:rsidR="009D5929">
        <w:tab/>
      </w:r>
      <w:r w:rsidR="00505D31">
        <w:t>Overlapping coverage of PRRT, royalties and excise</w:t>
      </w:r>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p>
    <w:p w14:paraId="11828FF6" w14:textId="61F621CE" w:rsidR="00AA7794" w:rsidRDefault="00FB3D9B" w:rsidP="00F435C1">
      <w:r>
        <w:t>Some</w:t>
      </w:r>
      <w:r w:rsidR="00AA7794">
        <w:t xml:space="preserve"> submissions (Tax Justice Network Australia, Dr Diane Kraal) dr</w:t>
      </w:r>
      <w:r w:rsidR="00B728B5">
        <w:t>e</w:t>
      </w:r>
      <w:r w:rsidR="007672CD">
        <w:t>w</w:t>
      </w:r>
      <w:r w:rsidR="00AA7794">
        <w:t xml:space="preserve"> attention to </w:t>
      </w:r>
      <w:r w:rsidR="00B728B5">
        <w:t xml:space="preserve">the inconsistencies in the </w:t>
      </w:r>
      <w:r w:rsidR="00AA7794">
        <w:t xml:space="preserve">coverage of tax instruments </w:t>
      </w:r>
      <w:r w:rsidR="00B728B5">
        <w:t>between onshore and offshore projects</w:t>
      </w:r>
      <w:r w:rsidR="00AA7794">
        <w:t xml:space="preserve">. </w:t>
      </w:r>
    </w:p>
    <w:p w14:paraId="58D9923A" w14:textId="1E36F994" w:rsidR="00AA7794" w:rsidRPr="00F2688B" w:rsidRDefault="008950BC" w:rsidP="00F2688B">
      <w:pPr>
        <w:ind w:left="567" w:right="565"/>
        <w:rPr>
          <w:color w:val="1F497D" w:themeColor="text2"/>
          <w:sz w:val="20"/>
        </w:rPr>
      </w:pPr>
      <w:r>
        <w:rPr>
          <w:color w:val="1F497D" w:themeColor="text2"/>
          <w:sz w:val="20"/>
        </w:rPr>
        <w:t>The 10 per cent</w:t>
      </w:r>
      <w:r w:rsidR="00AA7794" w:rsidRPr="00F2688B">
        <w:rPr>
          <w:color w:val="1F497D" w:themeColor="text2"/>
          <w:sz w:val="20"/>
        </w:rPr>
        <w:t xml:space="preserve"> royalty should be designed based on review of the existing State and Commonwealth royalties that already apply to all other oil and gas projects in Australia. As with these existing royalty systems the new royalty system would be deductible from PRRT, but the PRRT remains as a backstop that would collect additional revenue if and when prices increase substantially and when exist</w:t>
      </w:r>
      <w:r w:rsidR="00AA7794">
        <w:rPr>
          <w:color w:val="1F497D" w:themeColor="text2"/>
          <w:sz w:val="20"/>
        </w:rPr>
        <w:t xml:space="preserve">ing PRRT credits are </w:t>
      </w:r>
      <w:r w:rsidR="00F2688B">
        <w:rPr>
          <w:color w:val="1F497D" w:themeColor="text2"/>
          <w:sz w:val="20"/>
        </w:rPr>
        <w:t xml:space="preserve">exhausted </w:t>
      </w:r>
      <w:r w:rsidR="00F2688B" w:rsidRPr="006F6653">
        <w:rPr>
          <w:color w:val="1F497D" w:themeColor="text2"/>
          <w:sz w:val="20"/>
        </w:rPr>
        <w:t>(</w:t>
      </w:r>
      <w:r w:rsidR="00AA7794" w:rsidRPr="006F6653">
        <w:rPr>
          <w:color w:val="1F497D" w:themeColor="text2"/>
          <w:sz w:val="20"/>
        </w:rPr>
        <w:t>Tax</w:t>
      </w:r>
      <w:r w:rsidR="00EC1C87" w:rsidRPr="006F6653">
        <w:rPr>
          <w:color w:val="1F497D" w:themeColor="text2"/>
          <w:sz w:val="20"/>
        </w:rPr>
        <w:t> </w:t>
      </w:r>
      <w:r w:rsidR="00AA7794" w:rsidRPr="006F6653">
        <w:rPr>
          <w:color w:val="1F497D" w:themeColor="text2"/>
          <w:sz w:val="20"/>
        </w:rPr>
        <w:t>Justice Network</w:t>
      </w:r>
      <w:r w:rsidR="00F2688B" w:rsidRPr="006F6653">
        <w:rPr>
          <w:color w:val="1F497D" w:themeColor="text2"/>
          <w:sz w:val="20"/>
        </w:rPr>
        <w:t xml:space="preserve"> Australia, p. 6</w:t>
      </w:r>
      <w:r w:rsidR="00F2688B">
        <w:rPr>
          <w:color w:val="1F497D" w:themeColor="text2"/>
          <w:sz w:val="20"/>
        </w:rPr>
        <w:t>)</w:t>
      </w:r>
      <w:r w:rsidR="00AA7794" w:rsidRPr="00F2688B">
        <w:rPr>
          <w:color w:val="1F497D" w:themeColor="text2"/>
          <w:sz w:val="20"/>
        </w:rPr>
        <w:t xml:space="preserve">. </w:t>
      </w:r>
    </w:p>
    <w:p w14:paraId="1556201B" w14:textId="686216A1" w:rsidR="001D6F2B" w:rsidRDefault="00AA7794" w:rsidP="00F435C1">
      <w:r>
        <w:t xml:space="preserve">The coverage of respective </w:t>
      </w:r>
      <w:r w:rsidR="00D86084">
        <w:t>tax</w:t>
      </w:r>
      <w:r>
        <w:t xml:space="preserve"> instruments is largely a historical and legacy feature. The successive changes to the </w:t>
      </w:r>
      <w:r w:rsidR="00D86084">
        <w:t>various</w:t>
      </w:r>
      <w:r>
        <w:t xml:space="preserve"> regime</w:t>
      </w:r>
      <w:r w:rsidR="00D86084">
        <w:t>s</w:t>
      </w:r>
      <w:r>
        <w:t xml:space="preserve"> have been iterative and </w:t>
      </w:r>
      <w:r w:rsidR="00D86084">
        <w:t xml:space="preserve">have </w:t>
      </w:r>
      <w:r>
        <w:t>taken into account p</w:t>
      </w:r>
      <w:r w:rsidR="00F23E78">
        <w:t xml:space="preserve">ast </w:t>
      </w:r>
      <w:r w:rsidR="0050099B">
        <w:t>policy settings</w:t>
      </w:r>
      <w:r w:rsidR="00F23E78">
        <w:t xml:space="preserve">, </w:t>
      </w:r>
      <w:r w:rsidR="00C4514E">
        <w:t xml:space="preserve">for example, when the PRRT was extended in 2012 to </w:t>
      </w:r>
      <w:r w:rsidR="00F23E78">
        <w:t xml:space="preserve">production onshore and in the </w:t>
      </w:r>
      <w:r w:rsidR="000A33FC">
        <w:t>NWS</w:t>
      </w:r>
      <w:r w:rsidR="00F23E78">
        <w:t xml:space="preserve"> project area</w:t>
      </w:r>
      <w:r w:rsidR="00A42D3E">
        <w:t xml:space="preserve"> and</w:t>
      </w:r>
      <w:r w:rsidR="00C4514E">
        <w:t xml:space="preserve"> starting base arrangements were made to assist the transition. Details are outlined in </w:t>
      </w:r>
      <w:r w:rsidR="00F23E78" w:rsidRPr="006D28D4">
        <w:t>section 3.</w:t>
      </w:r>
      <w:r w:rsidR="006A1DBA" w:rsidRPr="006D28D4">
        <w:t>1</w:t>
      </w:r>
      <w:r w:rsidR="0080631E" w:rsidRPr="006D28D4">
        <w:t>.</w:t>
      </w:r>
      <w:r w:rsidR="0050099B">
        <w:t xml:space="preserve"> </w:t>
      </w:r>
      <w:r w:rsidR="0080631E">
        <w:t xml:space="preserve">The </w:t>
      </w:r>
      <w:r w:rsidR="00C4514E">
        <w:t xml:space="preserve">overall impact of the starting base arrangements is such that </w:t>
      </w:r>
      <w:r w:rsidR="00D86084">
        <w:t>onshore projects and the NWS</w:t>
      </w:r>
      <w:r w:rsidR="00A42D3E">
        <w:t xml:space="preserve"> project</w:t>
      </w:r>
      <w:r w:rsidR="00D86084">
        <w:t xml:space="preserve"> </w:t>
      </w:r>
      <w:r w:rsidR="0080631E">
        <w:t>(</w:t>
      </w:r>
      <w:r w:rsidR="00D86084">
        <w:t>subject to both royalties and the PRRT</w:t>
      </w:r>
      <w:r w:rsidR="0080631E">
        <w:t>)</w:t>
      </w:r>
      <w:r w:rsidR="00D86084">
        <w:t xml:space="preserve"> are </w:t>
      </w:r>
      <w:r w:rsidR="00FB3D9B">
        <w:t>unlikely</w:t>
      </w:r>
      <w:r w:rsidR="00D86084">
        <w:t xml:space="preserve"> </w:t>
      </w:r>
      <w:r w:rsidR="00FB3D9B">
        <w:t xml:space="preserve">to </w:t>
      </w:r>
      <w:r w:rsidR="00D86084">
        <w:t>pay PRRT.</w:t>
      </w:r>
      <w:r w:rsidR="00C4514E">
        <w:t xml:space="preserve"> </w:t>
      </w:r>
      <w:r w:rsidR="00D86084">
        <w:t xml:space="preserve">As the NWS </w:t>
      </w:r>
      <w:r w:rsidR="0050099B">
        <w:t xml:space="preserve">project </w:t>
      </w:r>
      <w:r w:rsidR="00D86084">
        <w:t>submission noted</w:t>
      </w:r>
      <w:r w:rsidR="00C4514E">
        <w:t>:</w:t>
      </w:r>
    </w:p>
    <w:p w14:paraId="4B6667ED" w14:textId="28D0E8C8" w:rsidR="001D6F2B" w:rsidRPr="006D28D4" w:rsidRDefault="001D6F2B" w:rsidP="001D6F2B">
      <w:pPr>
        <w:ind w:left="567" w:right="565"/>
        <w:rPr>
          <w:color w:val="1F497D" w:themeColor="text2"/>
          <w:sz w:val="20"/>
        </w:rPr>
      </w:pPr>
      <w:r w:rsidRPr="001D6F2B">
        <w:rPr>
          <w:color w:val="1F497D" w:themeColor="text2"/>
          <w:sz w:val="20"/>
        </w:rPr>
        <w:t>Since the inception of the NWS Project, the primary resource taxes paid have been royalties and excise. The existing royalty and excise regimes continue to operate alongside the PRRT regime and the royalties and excise paid by the NWS Project participants are effectively creditable against any PRRT liability that may be payable. Consequently, it is expected that royalties and excise will continue to be the primary resource taxes paid in relation to the NWS project</w:t>
      </w:r>
      <w:r w:rsidRPr="006F6653">
        <w:rPr>
          <w:color w:val="1F497D" w:themeColor="text2"/>
          <w:sz w:val="20"/>
        </w:rPr>
        <w:t xml:space="preserve"> (NWS Project submission, p</w:t>
      </w:r>
      <w:r w:rsidR="006F6653" w:rsidRPr="006F6653">
        <w:rPr>
          <w:color w:val="1F497D" w:themeColor="text2"/>
          <w:sz w:val="20"/>
        </w:rPr>
        <w:t xml:space="preserve">. </w:t>
      </w:r>
      <w:r w:rsidR="00C4514E" w:rsidRPr="006F6653">
        <w:rPr>
          <w:color w:val="1F497D" w:themeColor="text2"/>
          <w:sz w:val="20"/>
        </w:rPr>
        <w:t>8).</w:t>
      </w:r>
    </w:p>
    <w:p w14:paraId="3B52301F" w14:textId="0DD12055" w:rsidR="00C4514E" w:rsidRDefault="00C4514E" w:rsidP="00C4514E">
      <w:bookmarkStart w:id="9110" w:name="_Toc476577403"/>
      <w:bookmarkStart w:id="9111" w:name="_Toc476582392"/>
      <w:bookmarkStart w:id="9112" w:name="_Toc476583066"/>
      <w:bookmarkStart w:id="9113" w:name="_Toc476583783"/>
      <w:bookmarkStart w:id="9114" w:name="_Toc476584231"/>
      <w:bookmarkStart w:id="9115" w:name="_Toc476738138"/>
      <w:bookmarkStart w:id="9116" w:name="_Toc476747723"/>
      <w:bookmarkStart w:id="9117" w:name="_Toc476749133"/>
      <w:bookmarkStart w:id="9118" w:name="_Toc476754000"/>
      <w:bookmarkStart w:id="9119" w:name="_Toc476754495"/>
      <w:bookmarkStart w:id="9120" w:name="_Toc476754660"/>
      <w:bookmarkStart w:id="9121" w:name="_Toc476759899"/>
      <w:bookmarkStart w:id="9122" w:name="_Toc476761521"/>
      <w:bookmarkStart w:id="9123" w:name="_Toc476767159"/>
      <w:bookmarkStart w:id="9124" w:name="_Toc476827205"/>
      <w:bookmarkStart w:id="9125" w:name="_Toc476828898"/>
      <w:bookmarkStart w:id="9126" w:name="_Toc476833772"/>
      <w:bookmarkStart w:id="9127" w:name="_Toc476837245"/>
      <w:bookmarkStart w:id="9128" w:name="_Toc476841118"/>
      <w:bookmarkStart w:id="9129" w:name="_Toc476841323"/>
      <w:bookmarkStart w:id="9130" w:name="_Toc476842082"/>
      <w:bookmarkStart w:id="9131" w:name="_Toc476843026"/>
      <w:bookmarkStart w:id="9132" w:name="_Toc476843197"/>
      <w:bookmarkStart w:id="9133" w:name="_Toc476844695"/>
      <w:bookmarkStart w:id="9134" w:name="_Toc476845588"/>
      <w:bookmarkStart w:id="9135" w:name="_Toc476926982"/>
      <w:bookmarkStart w:id="9136" w:name="_Toc476927095"/>
      <w:bookmarkStart w:id="9137" w:name="_Toc476927269"/>
      <w:bookmarkStart w:id="9138" w:name="_Toc476928533"/>
      <w:bookmarkStart w:id="9139" w:name="_Toc476929576"/>
      <w:bookmarkStart w:id="9140" w:name="_Toc476929751"/>
      <w:bookmarkStart w:id="9141" w:name="_Toc476930794"/>
      <w:bookmarkStart w:id="9142" w:name="_Toc476931601"/>
      <w:r w:rsidRPr="006F6653">
        <w:t xml:space="preserve">Further, in respect of the special onshore Barrow Island arrangements (see </w:t>
      </w:r>
      <w:r w:rsidRPr="006D28D4">
        <w:t xml:space="preserve">section </w:t>
      </w:r>
      <w:r w:rsidR="007E7A4C" w:rsidRPr="006D28D4">
        <w:t>6.2</w:t>
      </w:r>
      <w:r w:rsidRPr="006D28D4">
        <w:t xml:space="preserve">), </w:t>
      </w:r>
      <w:r>
        <w:t>ExxonMobil Australia submission stat</w:t>
      </w:r>
      <w:r w:rsidRPr="007E7A4C">
        <w:t>e</w:t>
      </w:r>
      <w:r>
        <w:t>d:</w:t>
      </w:r>
    </w:p>
    <w:p w14:paraId="61444554" w14:textId="4A8CB2C6" w:rsidR="00C4514E" w:rsidRDefault="00C4514E" w:rsidP="00C4514E">
      <w:pPr>
        <w:ind w:left="567" w:right="565"/>
        <w:rPr>
          <w:color w:val="1F497D" w:themeColor="text2"/>
          <w:sz w:val="20"/>
        </w:rPr>
      </w:pPr>
      <w:r>
        <w:rPr>
          <w:color w:val="1F497D" w:themeColor="text2"/>
          <w:sz w:val="20"/>
        </w:rPr>
        <w:t>t</w:t>
      </w:r>
      <w:r w:rsidRPr="00C4514E">
        <w:rPr>
          <w:color w:val="1F497D" w:themeColor="text2"/>
          <w:sz w:val="20"/>
        </w:rPr>
        <w:t>he EMA Group is a participant in a project subject to the Barrow Island royalty, a scheme that is largely the same as PRRT, includin</w:t>
      </w:r>
      <w:r w:rsidR="008950BC">
        <w:rPr>
          <w:color w:val="1F497D" w:themeColor="text2"/>
          <w:sz w:val="20"/>
        </w:rPr>
        <w:t>g being applied at a rate of 40 per cent</w:t>
      </w:r>
      <w:r w:rsidRPr="00C4514E">
        <w:rPr>
          <w:color w:val="1F497D" w:themeColor="text2"/>
          <w:sz w:val="20"/>
        </w:rPr>
        <w:t xml:space="preserve">. Because this project is already paying an equivalent royalty, the project is not expected to pay PRRT, but is required to complete annual PRRT returns. This regulatory cost is borne by the EMA Group and the ATO, without any apparent benefit to the community </w:t>
      </w:r>
      <w:r w:rsidR="006F6653" w:rsidRPr="006F6653">
        <w:rPr>
          <w:color w:val="1F497D" w:themeColor="text2"/>
          <w:sz w:val="20"/>
        </w:rPr>
        <w:t>(</w:t>
      </w:r>
      <w:r w:rsidRPr="006F6653">
        <w:rPr>
          <w:color w:val="1F497D" w:themeColor="text2"/>
          <w:sz w:val="20"/>
        </w:rPr>
        <w:t xml:space="preserve">ExxonMobil Australia </w:t>
      </w:r>
      <w:r w:rsidR="006F6653" w:rsidRPr="006F6653">
        <w:rPr>
          <w:color w:val="1F497D" w:themeColor="text2"/>
          <w:sz w:val="20"/>
        </w:rPr>
        <w:t>S</w:t>
      </w:r>
      <w:r w:rsidRPr="006F6653">
        <w:rPr>
          <w:color w:val="1F497D" w:themeColor="text2"/>
          <w:sz w:val="20"/>
        </w:rPr>
        <w:t>ubmission, p</w:t>
      </w:r>
      <w:r w:rsidR="006F6653" w:rsidRPr="006F6653">
        <w:rPr>
          <w:color w:val="1F497D" w:themeColor="text2"/>
          <w:sz w:val="20"/>
        </w:rPr>
        <w:t xml:space="preserve">. </w:t>
      </w:r>
      <w:r w:rsidRPr="006F6653">
        <w:rPr>
          <w:color w:val="1F497D" w:themeColor="text2"/>
          <w:sz w:val="20"/>
        </w:rPr>
        <w:t>6</w:t>
      </w:r>
      <w:r w:rsidR="006F6653" w:rsidRPr="006F6653">
        <w:rPr>
          <w:color w:val="1F497D" w:themeColor="text2"/>
          <w:sz w:val="20"/>
        </w:rPr>
        <w:t>)</w:t>
      </w:r>
      <w:r w:rsidRPr="006F6653">
        <w:rPr>
          <w:color w:val="1F497D" w:themeColor="text2"/>
          <w:sz w:val="20"/>
        </w:rPr>
        <w:t>.</w:t>
      </w:r>
    </w:p>
    <w:p w14:paraId="5E2E2C8D" w14:textId="776EBE6C" w:rsidR="00AF2069" w:rsidRDefault="00AF2069" w:rsidP="00AF2069">
      <w:r>
        <w:t xml:space="preserve">New onshore projects </w:t>
      </w:r>
      <w:r w:rsidRPr="00263677">
        <w:t xml:space="preserve">will be subject to a state royalty and PRRT </w:t>
      </w:r>
      <w:r w:rsidR="007E7A4C" w:rsidRPr="00263677">
        <w:t xml:space="preserve">but </w:t>
      </w:r>
      <w:r w:rsidR="00FB3D9B">
        <w:t xml:space="preserve">would </w:t>
      </w:r>
      <w:r w:rsidR="007E7A4C" w:rsidRPr="00263677">
        <w:t>not have access to the</w:t>
      </w:r>
      <w:r w:rsidRPr="00263677">
        <w:t xml:space="preserve"> starting base arrangements.</w:t>
      </w:r>
      <w:r w:rsidR="007E7A4C" w:rsidRPr="00263677">
        <w:t xml:space="preserve"> Whether or not these projects will pay both the royalty and PRRT will depend on their individual circumstances. </w:t>
      </w:r>
      <w:r w:rsidR="007E7A4C" w:rsidRPr="00263677">
        <w:rPr>
          <w:color w:val="auto"/>
        </w:rPr>
        <w:t>The fact that projects have proceeded onshore under a state royalty regime does not help with questions regarding which projects might have been discouraged by the regime.</w:t>
      </w:r>
      <w:r w:rsidR="007E7A4C">
        <w:rPr>
          <w:color w:val="auto"/>
        </w:rPr>
        <w:t xml:space="preserve"> </w:t>
      </w:r>
    </w:p>
    <w:p w14:paraId="13D1B166" w14:textId="05296C37" w:rsidR="007E7A4C" w:rsidRDefault="007E7A4C" w:rsidP="007E7A4C">
      <w:r w:rsidRPr="00263677">
        <w:t xml:space="preserve">The application of a state royalty, together with current uplift factor for resource tax expenditures, could result in a significant reduction in PRRT revenue over the life of those projects and a similar total revenue collection profile to that in </w:t>
      </w:r>
      <w:r w:rsidRPr="006D28D4">
        <w:t xml:space="preserve">Figure </w:t>
      </w:r>
      <w:r w:rsidR="004E2091" w:rsidRPr="006D28D4">
        <w:t xml:space="preserve">6.2 </w:t>
      </w:r>
      <w:r w:rsidRPr="006D28D4">
        <w:t>(</w:t>
      </w:r>
      <w:r w:rsidR="00A55B6C" w:rsidRPr="006D28D4">
        <w:t xml:space="preserve">see section </w:t>
      </w:r>
      <w:r w:rsidRPr="006D28D4">
        <w:t xml:space="preserve"> 6.5.1).</w:t>
      </w:r>
      <w:r w:rsidRPr="00263677">
        <w:t xml:space="preserve"> </w:t>
      </w:r>
    </w:p>
    <w:p w14:paraId="366D784A" w14:textId="044DFB04" w:rsidR="003A0305" w:rsidRDefault="007E7A4C" w:rsidP="007E7A4C">
      <w:r>
        <w:t xml:space="preserve">Overall, </w:t>
      </w:r>
      <w:r w:rsidRPr="001E3C66">
        <w:rPr>
          <w:color w:val="auto"/>
        </w:rPr>
        <w:t>return</w:t>
      </w:r>
      <w:r>
        <w:t>ing</w:t>
      </w:r>
      <w:r w:rsidRPr="001E3C66">
        <w:rPr>
          <w:color w:val="auto"/>
        </w:rPr>
        <w:t xml:space="preserve"> to a royalty </w:t>
      </w:r>
      <w:r>
        <w:t xml:space="preserve">arrangement </w:t>
      </w:r>
      <w:r w:rsidRPr="001E3C66">
        <w:rPr>
          <w:color w:val="auto"/>
        </w:rPr>
        <w:t xml:space="preserve">for offshore projects </w:t>
      </w:r>
      <w:r>
        <w:t xml:space="preserve">similar </w:t>
      </w:r>
      <w:r w:rsidR="003A0305">
        <w:t xml:space="preserve">in design </w:t>
      </w:r>
      <w:r>
        <w:t>to that applying on</w:t>
      </w:r>
      <w:r w:rsidRPr="001E3C66">
        <w:rPr>
          <w:color w:val="auto"/>
        </w:rPr>
        <w:t xml:space="preserve">shore or to the </w:t>
      </w:r>
      <w:r w:rsidR="0050099B">
        <w:rPr>
          <w:color w:val="auto"/>
        </w:rPr>
        <w:t>NWS</w:t>
      </w:r>
      <w:r w:rsidRPr="001E3C66">
        <w:rPr>
          <w:color w:val="auto"/>
        </w:rPr>
        <w:t xml:space="preserve"> </w:t>
      </w:r>
      <w:r>
        <w:t xml:space="preserve">project </w:t>
      </w:r>
      <w:r w:rsidRPr="001E3C66">
        <w:rPr>
          <w:color w:val="auto"/>
        </w:rPr>
        <w:t>would initially provide a more stable revenue flow and</w:t>
      </w:r>
      <w:r w:rsidR="00A42D3E">
        <w:rPr>
          <w:color w:val="auto"/>
        </w:rPr>
        <w:t>,</w:t>
      </w:r>
      <w:r w:rsidRPr="001E3C66">
        <w:rPr>
          <w:color w:val="auto"/>
        </w:rPr>
        <w:t xml:space="preserve"> </w:t>
      </w:r>
      <w:r>
        <w:t xml:space="preserve">potentially, </w:t>
      </w:r>
      <w:r w:rsidRPr="001E3C66">
        <w:rPr>
          <w:color w:val="auto"/>
        </w:rPr>
        <w:t xml:space="preserve">a more transparent </w:t>
      </w:r>
      <w:r w:rsidR="003A0305">
        <w:rPr>
          <w:color w:val="auto"/>
        </w:rPr>
        <w:t xml:space="preserve">way </w:t>
      </w:r>
      <w:r w:rsidRPr="001E3C66">
        <w:rPr>
          <w:color w:val="auto"/>
        </w:rPr>
        <w:t xml:space="preserve">of demonstrating to the community that </w:t>
      </w:r>
      <w:r>
        <w:t xml:space="preserve">Australians </w:t>
      </w:r>
      <w:r w:rsidRPr="001E3C66">
        <w:rPr>
          <w:color w:val="auto"/>
        </w:rPr>
        <w:t xml:space="preserve">are getting a return for the development of their </w:t>
      </w:r>
      <w:r>
        <w:t xml:space="preserve">oil and gas </w:t>
      </w:r>
      <w:r w:rsidRPr="001E3C66">
        <w:rPr>
          <w:color w:val="auto"/>
        </w:rPr>
        <w:t>resources. However, after the first 10 years</w:t>
      </w:r>
      <w:r>
        <w:t xml:space="preserve"> of production</w:t>
      </w:r>
      <w:r w:rsidRPr="001E3C66">
        <w:rPr>
          <w:color w:val="auto"/>
        </w:rPr>
        <w:t xml:space="preserve">, revenues </w:t>
      </w:r>
      <w:r>
        <w:t xml:space="preserve">would likely </w:t>
      </w:r>
      <w:r w:rsidRPr="001E3C66">
        <w:rPr>
          <w:color w:val="auto"/>
        </w:rPr>
        <w:t>become less</w:t>
      </w:r>
      <w:r w:rsidR="0080631E">
        <w:rPr>
          <w:color w:val="auto"/>
        </w:rPr>
        <w:t xml:space="preserve"> than what it would have been under the current arrangements</w:t>
      </w:r>
      <w:r w:rsidRPr="001E3C66">
        <w:rPr>
          <w:color w:val="auto"/>
        </w:rPr>
        <w:t xml:space="preserve">. The interaction with the uplift for resource tax expenditures </w:t>
      </w:r>
      <w:r w:rsidR="0080631E">
        <w:rPr>
          <w:color w:val="auto"/>
        </w:rPr>
        <w:t>is</w:t>
      </w:r>
      <w:r w:rsidRPr="001E3C66">
        <w:rPr>
          <w:color w:val="auto"/>
        </w:rPr>
        <w:t xml:space="preserve"> an additional factor that needs to be considered (see </w:t>
      </w:r>
      <w:r w:rsidRPr="006D28D4">
        <w:rPr>
          <w:color w:val="auto"/>
        </w:rPr>
        <w:t>section 6.5.1</w:t>
      </w:r>
      <w:r w:rsidRPr="001E3C66">
        <w:rPr>
          <w:color w:val="auto"/>
        </w:rPr>
        <w:t>). With royalty payments credited against PRRT and uplifted</w:t>
      </w:r>
      <w:r w:rsidR="003A0305">
        <w:rPr>
          <w:color w:val="auto"/>
        </w:rPr>
        <w:t xml:space="preserve"> at LTBR plus 5</w:t>
      </w:r>
      <w:r w:rsidR="0080631E">
        <w:rPr>
          <w:color w:val="auto"/>
        </w:rPr>
        <w:t> </w:t>
      </w:r>
      <w:r w:rsidR="003A0305">
        <w:rPr>
          <w:color w:val="auto"/>
        </w:rPr>
        <w:t>percentage points</w:t>
      </w:r>
      <w:r w:rsidRPr="001E3C66">
        <w:rPr>
          <w:color w:val="auto"/>
        </w:rPr>
        <w:t>, over the longer term</w:t>
      </w:r>
      <w:r w:rsidR="003A0305">
        <w:rPr>
          <w:color w:val="auto"/>
        </w:rPr>
        <w:t xml:space="preserve"> (</w:t>
      </w:r>
      <w:r w:rsidR="009E46E8">
        <w:rPr>
          <w:color w:val="auto"/>
        </w:rPr>
        <w:t>and in</w:t>
      </w:r>
      <w:r w:rsidR="0080631E">
        <w:rPr>
          <w:color w:val="auto"/>
        </w:rPr>
        <w:t xml:space="preserve"> </w:t>
      </w:r>
      <w:r w:rsidR="003A0305">
        <w:rPr>
          <w:color w:val="auto"/>
        </w:rPr>
        <w:t>line with the review</w:t>
      </w:r>
      <w:r w:rsidR="005D6F39">
        <w:rPr>
          <w:color w:val="auto"/>
        </w:rPr>
        <w:t>’</w:t>
      </w:r>
      <w:r w:rsidR="003A0305">
        <w:rPr>
          <w:color w:val="auto"/>
        </w:rPr>
        <w:t>s baseline scenario of oil prices around $65 a barrel</w:t>
      </w:r>
      <w:r w:rsidR="00791365">
        <w:rPr>
          <w:color w:val="auto"/>
        </w:rPr>
        <w:t xml:space="preserve"> indexed</w:t>
      </w:r>
      <w:r w:rsidR="003A0305">
        <w:rPr>
          <w:color w:val="auto"/>
        </w:rPr>
        <w:t>)</w:t>
      </w:r>
      <w:r w:rsidRPr="001E3C66">
        <w:rPr>
          <w:color w:val="auto"/>
        </w:rPr>
        <w:t xml:space="preserve">, the steady returns initially provided are offset. </w:t>
      </w:r>
      <w:r>
        <w:t>Over the life of the project, the community receives a lower overall return as total revenue (</w:t>
      </w:r>
      <w:r w:rsidRPr="001E3C66">
        <w:rPr>
          <w:color w:val="auto"/>
        </w:rPr>
        <w:t xml:space="preserve">PRRT </w:t>
      </w:r>
      <w:r>
        <w:t>and royalties) collected is significantly reduced</w:t>
      </w:r>
      <w:r w:rsidR="003A0305">
        <w:t xml:space="preserve"> compared to the scenario had the royalty not applied</w:t>
      </w:r>
      <w:r>
        <w:t xml:space="preserve">. </w:t>
      </w:r>
      <w:r w:rsidR="003A0305">
        <w:t xml:space="preserve">The imposition of royalties </w:t>
      </w:r>
      <w:r w:rsidR="009E46E8">
        <w:t xml:space="preserve">also </w:t>
      </w:r>
      <w:r w:rsidR="003A0305">
        <w:t xml:space="preserve">results in a </w:t>
      </w:r>
      <w:r w:rsidR="003A0305" w:rsidRPr="001E3C66">
        <w:rPr>
          <w:color w:val="auto"/>
        </w:rPr>
        <w:t xml:space="preserve">different distribution of who is paying revenue </w:t>
      </w:r>
      <w:r w:rsidR="0080631E">
        <w:t>in addition to</w:t>
      </w:r>
      <w:r w:rsidR="003A0305">
        <w:t xml:space="preserve"> differences in the total revenue collected</w:t>
      </w:r>
      <w:r w:rsidR="003A0305" w:rsidRPr="001E3C66">
        <w:rPr>
          <w:color w:val="auto"/>
        </w:rPr>
        <w:t>.</w:t>
      </w:r>
    </w:p>
    <w:p w14:paraId="05AC81E2" w14:textId="0913D255" w:rsidR="00AF2069" w:rsidRPr="007E7A4C" w:rsidRDefault="007E7A4C" w:rsidP="00AF2069">
      <w:r w:rsidRPr="001E3C66">
        <w:t xml:space="preserve">The introduction of the PRRT to </w:t>
      </w:r>
      <w:r>
        <w:t>g</w:t>
      </w:r>
      <w:r w:rsidRPr="001E3C66">
        <w:t>reenfield offshore projects in 1988 was designed to overcome deficiencies in excise and royalty regimes, including that investment and development of more marginal projects was being discouraged</w:t>
      </w:r>
      <w:r w:rsidR="003A0305">
        <w:t xml:space="preserve"> (see </w:t>
      </w:r>
      <w:r w:rsidR="003A0305" w:rsidRPr="006D28D4">
        <w:t>section 3.1)</w:t>
      </w:r>
      <w:r w:rsidRPr="001E3C66">
        <w:t>.</w:t>
      </w:r>
      <w:r>
        <w:t xml:space="preserve"> </w:t>
      </w:r>
      <w:r w:rsidR="003A0305" w:rsidRPr="00442910">
        <w:t xml:space="preserve">A return to the royalty regime would likely encounter similar arguments as to </w:t>
      </w:r>
      <w:r w:rsidR="003A0305">
        <w:t xml:space="preserve">its </w:t>
      </w:r>
      <w:r w:rsidR="003A0305" w:rsidRPr="00442910">
        <w:t>d</w:t>
      </w:r>
      <w:r w:rsidR="003A0305">
        <w:t xml:space="preserve">eficiencies at a future point in time. </w:t>
      </w:r>
    </w:p>
    <w:p w14:paraId="1D0FD203" w14:textId="74458778" w:rsidR="00AA7794" w:rsidRDefault="008120BA" w:rsidP="00F435C1">
      <w:pPr>
        <w:pStyle w:val="Heading3"/>
      </w:pPr>
      <w:bookmarkStart w:id="9143" w:name="_Toc477869936"/>
      <w:bookmarkStart w:id="9144" w:name="_Toc477871175"/>
      <w:bookmarkStart w:id="9145" w:name="_Toc477873334"/>
      <w:bookmarkStart w:id="9146" w:name="_Toc477875328"/>
      <w:bookmarkStart w:id="9147" w:name="_Toc477880241"/>
      <w:bookmarkStart w:id="9148" w:name="_Toc477881501"/>
      <w:bookmarkStart w:id="9149" w:name="_Toc477955905"/>
      <w:bookmarkStart w:id="9150" w:name="_Toc477963150"/>
      <w:bookmarkStart w:id="9151" w:name="_Toc477963636"/>
      <w:bookmarkStart w:id="9152" w:name="_Toc477965222"/>
      <w:bookmarkStart w:id="9153" w:name="_Toc477966726"/>
      <w:bookmarkStart w:id="9154" w:name="_Toc477966895"/>
      <w:bookmarkStart w:id="9155" w:name="_Toc477967235"/>
      <w:bookmarkStart w:id="9156" w:name="_Toc478121372"/>
      <w:bookmarkStart w:id="9157" w:name="_Toc478122285"/>
      <w:bookmarkStart w:id="9158" w:name="_Toc478132115"/>
      <w:bookmarkStart w:id="9159" w:name="_Toc478132259"/>
      <w:bookmarkStart w:id="9160" w:name="_Toc478133285"/>
      <w:bookmarkStart w:id="9161" w:name="_Toc478132422"/>
      <w:bookmarkStart w:id="9162" w:name="_Toc478134751"/>
      <w:bookmarkStart w:id="9163" w:name="_Toc478137453"/>
      <w:bookmarkStart w:id="9164" w:name="_Toc478138525"/>
      <w:bookmarkStart w:id="9165" w:name="_Toc478140095"/>
      <w:bookmarkStart w:id="9166" w:name="_Toc478140511"/>
      <w:bookmarkStart w:id="9167" w:name="_Toc478142717"/>
      <w:bookmarkStart w:id="9168" w:name="_Toc478566436"/>
      <w:bookmarkStart w:id="9169" w:name="_Toc478569603"/>
      <w:bookmarkStart w:id="9170" w:name="_Toc478569777"/>
      <w:bookmarkStart w:id="9171" w:name="_Toc478570851"/>
      <w:bookmarkStart w:id="9172" w:name="_Toc478633050"/>
      <w:bookmarkStart w:id="9173" w:name="_Toc478641460"/>
      <w:bookmarkStart w:id="9174" w:name="_Toc478654354"/>
      <w:bookmarkStart w:id="9175" w:name="_Toc478654528"/>
      <w:bookmarkStart w:id="9176" w:name="_Toc478657823"/>
      <w:bookmarkStart w:id="9177" w:name="_Toc478993244"/>
      <w:bookmarkStart w:id="9178" w:name="_Toc479000315"/>
      <w:bookmarkStart w:id="9179" w:name="_Toc479002249"/>
      <w:bookmarkStart w:id="9180" w:name="_Toc479002421"/>
      <w:bookmarkStart w:id="9181" w:name="_Toc479254395"/>
      <w:bookmarkStart w:id="9182" w:name="_Toc479258584"/>
      <w:bookmarkStart w:id="9183" w:name="_Toc479258900"/>
      <w:bookmarkStart w:id="9184" w:name="_Toc479259792"/>
      <w:bookmarkStart w:id="9185" w:name="_Toc479262215"/>
      <w:bookmarkStart w:id="9186" w:name="_Toc479262636"/>
      <w:bookmarkStart w:id="9187" w:name="_Toc479321337"/>
      <w:bookmarkStart w:id="9188" w:name="_Toc479326776"/>
      <w:bookmarkStart w:id="9189" w:name="_Toc479333037"/>
      <w:bookmarkStart w:id="9190" w:name="_Toc479333375"/>
      <w:bookmarkStart w:id="9191" w:name="_Toc479335072"/>
      <w:bookmarkStart w:id="9192" w:name="_Toc479341787"/>
      <w:bookmarkStart w:id="9193" w:name="_Toc479345203"/>
      <w:bookmarkStart w:id="9194" w:name="_Toc479345412"/>
      <w:bookmarkStart w:id="9195" w:name="_Toc479348393"/>
      <w:bookmarkStart w:id="9196" w:name="_Toc479675987"/>
      <w:bookmarkStart w:id="9197" w:name="_Toc479690954"/>
      <w:bookmarkStart w:id="9198" w:name="_Toc479693532"/>
      <w:bookmarkStart w:id="9199" w:name="_Toc479770701"/>
      <w:r>
        <w:t>6</w:t>
      </w:r>
      <w:r w:rsidR="00F435C1">
        <w:t>.5.</w:t>
      </w:r>
      <w:r>
        <w:t>5</w:t>
      </w:r>
      <w:r w:rsidR="00F435C1">
        <w:tab/>
      </w:r>
      <w:r w:rsidR="00AA7794">
        <w:t xml:space="preserve">Royalties for </w:t>
      </w:r>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r w:rsidR="00F94E1B">
        <w:t>r</w:t>
      </w:r>
      <w:r w:rsidR="00AA7794">
        <w:t>egions</w:t>
      </w:r>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p>
    <w:p w14:paraId="60D912DF" w14:textId="2C9C0155" w:rsidR="00F435C1" w:rsidRDefault="00AA7794" w:rsidP="00F435C1">
      <w:r>
        <w:t xml:space="preserve">A large number (27) of submissions supported introduction of a new </w:t>
      </w:r>
      <w:r w:rsidR="005D6F39">
        <w:t>‘</w:t>
      </w:r>
      <w:r>
        <w:t>Royalty for Regions</w:t>
      </w:r>
      <w:r w:rsidR="005D6F39">
        <w:t>’</w:t>
      </w:r>
      <w:r>
        <w:t xml:space="preserve"> </w:t>
      </w:r>
      <w:r w:rsidR="0080631E">
        <w:t xml:space="preserve">scheme </w:t>
      </w:r>
      <w:r>
        <w:t>to better support the rural and remote areas from which the majority of resources are derived. The review acknowledges these submissions and notes that</w:t>
      </w:r>
      <w:r w:rsidR="00145043">
        <w:t xml:space="preserve"> recommendations related to how Commonwealth </w:t>
      </w:r>
      <w:r>
        <w:t>revenue should be distributed following its collection are outside its terms of reference.</w:t>
      </w:r>
    </w:p>
    <w:p w14:paraId="04A482F0" w14:textId="4B10CB75" w:rsidR="00145043" w:rsidRPr="00F435C1" w:rsidRDefault="00145043" w:rsidP="00F435C1">
      <w:r>
        <w:t>Issues relating to the distribution of onshore royalties are a matter for the</w:t>
      </w:r>
      <w:r w:rsidDel="0050099B">
        <w:t xml:space="preserve"> </w:t>
      </w:r>
      <w:r w:rsidR="0050099B">
        <w:t>states</w:t>
      </w:r>
      <w:r>
        <w:t>.</w:t>
      </w:r>
    </w:p>
    <w:p w14:paraId="19ABBDFB" w14:textId="77777777" w:rsidR="002841DC" w:rsidRDefault="002841DC" w:rsidP="00F435C1">
      <w:bookmarkStart w:id="9200" w:name="_Toc476577404"/>
      <w:bookmarkStart w:id="9201" w:name="_Toc476582393"/>
      <w:bookmarkStart w:id="9202" w:name="_Toc476583067"/>
      <w:bookmarkStart w:id="9203" w:name="_Toc476583784"/>
      <w:bookmarkStart w:id="9204" w:name="_Toc476584232"/>
      <w:bookmarkStart w:id="9205" w:name="_Toc476738139"/>
      <w:bookmarkStart w:id="9206" w:name="_Toc476747724"/>
      <w:bookmarkStart w:id="9207" w:name="_Toc476749134"/>
      <w:bookmarkStart w:id="9208" w:name="_Toc476754001"/>
      <w:bookmarkStart w:id="9209" w:name="_Toc476754496"/>
      <w:bookmarkStart w:id="9210" w:name="_Toc476754661"/>
      <w:bookmarkStart w:id="9211" w:name="_Toc476759900"/>
      <w:bookmarkStart w:id="9212" w:name="_Toc476761522"/>
      <w:bookmarkStart w:id="9213" w:name="_Toc476767160"/>
      <w:bookmarkStart w:id="9214" w:name="_Toc476827206"/>
      <w:bookmarkStart w:id="9215" w:name="_Toc476828899"/>
      <w:bookmarkStart w:id="9216" w:name="_Toc476833773"/>
      <w:bookmarkStart w:id="9217" w:name="_Toc476837246"/>
      <w:bookmarkStart w:id="9218" w:name="_Toc476841119"/>
      <w:bookmarkStart w:id="9219" w:name="_Toc476841324"/>
      <w:bookmarkStart w:id="9220" w:name="_Toc476842083"/>
      <w:bookmarkStart w:id="9221" w:name="_Toc476843027"/>
      <w:bookmarkStart w:id="9222" w:name="_Toc476843198"/>
      <w:bookmarkStart w:id="9223" w:name="_Toc476844696"/>
      <w:bookmarkStart w:id="9224" w:name="_Toc476845589"/>
      <w:bookmarkStart w:id="9225" w:name="_Toc476926983"/>
      <w:bookmarkStart w:id="9226" w:name="_Toc476927096"/>
      <w:bookmarkStart w:id="9227" w:name="_Toc476927270"/>
      <w:bookmarkStart w:id="9228" w:name="_Toc476928534"/>
      <w:bookmarkStart w:id="9229" w:name="_Toc476929577"/>
      <w:bookmarkStart w:id="9230" w:name="_Toc476929752"/>
      <w:bookmarkStart w:id="9231" w:name="_Toc476930795"/>
      <w:bookmarkStart w:id="9232" w:name="_Toc476931602"/>
      <w:bookmarkStart w:id="9233" w:name="_Toc477869937"/>
      <w:bookmarkStart w:id="9234" w:name="_Toc477871176"/>
      <w:bookmarkStart w:id="9235" w:name="_Toc477873335"/>
      <w:bookmarkStart w:id="9236" w:name="_Toc477875329"/>
      <w:bookmarkStart w:id="9237" w:name="_Toc477880242"/>
      <w:bookmarkStart w:id="9238" w:name="_Toc477881502"/>
      <w:bookmarkStart w:id="9239" w:name="_Toc477955906"/>
      <w:bookmarkStart w:id="9240" w:name="_Toc477963151"/>
      <w:bookmarkStart w:id="9241" w:name="_Toc477963637"/>
      <w:bookmarkStart w:id="9242" w:name="_Toc477965223"/>
      <w:bookmarkStart w:id="9243" w:name="_Toc477966727"/>
      <w:bookmarkStart w:id="9244" w:name="_Toc477966896"/>
      <w:bookmarkStart w:id="9245" w:name="_Toc477967236"/>
      <w:bookmarkStart w:id="9246" w:name="_Toc478121373"/>
      <w:bookmarkStart w:id="9247" w:name="_Toc478122286"/>
      <w:bookmarkStart w:id="9248" w:name="_Toc478132116"/>
      <w:bookmarkStart w:id="9249" w:name="_Toc478132260"/>
      <w:bookmarkStart w:id="9250" w:name="_Toc478133286"/>
      <w:bookmarkStart w:id="9251" w:name="_Toc478132423"/>
      <w:bookmarkStart w:id="9252" w:name="_Toc478134752"/>
      <w:bookmarkStart w:id="9253" w:name="_Toc478137454"/>
      <w:bookmarkStart w:id="9254" w:name="_Toc478138526"/>
      <w:bookmarkStart w:id="9255" w:name="_Toc478140096"/>
      <w:bookmarkStart w:id="9256" w:name="_Toc478140512"/>
      <w:bookmarkStart w:id="9257" w:name="_Toc478142718"/>
      <w:bookmarkStart w:id="9258" w:name="_Toc478566437"/>
      <w:bookmarkStart w:id="9259" w:name="_Toc478569604"/>
      <w:bookmarkStart w:id="9260" w:name="_Toc478569778"/>
      <w:bookmarkStart w:id="9261" w:name="_Toc478570852"/>
      <w:bookmarkStart w:id="9262" w:name="_Toc478633051"/>
      <w:bookmarkStart w:id="9263" w:name="_Toc478641461"/>
      <w:bookmarkStart w:id="9264" w:name="_Toc478654355"/>
      <w:bookmarkStart w:id="9265" w:name="_Toc478654529"/>
      <w:bookmarkStart w:id="9266" w:name="_Toc478657824"/>
      <w:bookmarkStart w:id="9267" w:name="_Toc478993245"/>
      <w:bookmarkStart w:id="9268" w:name="_Toc479000316"/>
      <w:bookmarkStart w:id="9269" w:name="_Toc479002250"/>
      <w:bookmarkStart w:id="9270" w:name="_Toc479002422"/>
      <w:bookmarkStart w:id="9271" w:name="_Toc479254396"/>
      <w:bookmarkStart w:id="9272" w:name="_Toc479258585"/>
      <w:bookmarkStart w:id="9273" w:name="_Toc479258901"/>
      <w:bookmarkStart w:id="9274" w:name="_Toc479259793"/>
      <w:bookmarkStart w:id="9275" w:name="_Toc479262216"/>
      <w:bookmarkStart w:id="9276" w:name="_Toc479262637"/>
      <w:bookmarkStart w:id="9277" w:name="_Toc479321338"/>
      <w:bookmarkStart w:id="9278" w:name="_Toc479326777"/>
      <w:bookmarkStart w:id="9279" w:name="_Toc479333038"/>
      <w:bookmarkStart w:id="9280" w:name="_Toc479333376"/>
      <w:bookmarkStart w:id="9281" w:name="_Toc479335073"/>
      <w:bookmarkStart w:id="9282" w:name="_Toc479341788"/>
      <w:bookmarkStart w:id="9283" w:name="_Toc479345204"/>
      <w:bookmarkStart w:id="9284" w:name="_Toc479345413"/>
      <w:bookmarkStart w:id="9285" w:name="_Toc479348394"/>
      <w:bookmarkStart w:id="9286" w:name="_Toc479675988"/>
      <w:bookmarkStart w:id="9287" w:name="_Toc479690955"/>
      <w:bookmarkStart w:id="9288" w:name="_Toc479693533"/>
      <w:r>
        <w:br w:type="page"/>
      </w:r>
    </w:p>
    <w:p w14:paraId="3FBD676D" w14:textId="46C48CEA" w:rsidR="00AA7794" w:rsidRDefault="008120BA" w:rsidP="00617367">
      <w:pPr>
        <w:pStyle w:val="Heading1"/>
      </w:pPr>
      <w:bookmarkStart w:id="9289" w:name="_Toc479770702"/>
      <w:r>
        <w:t>7</w:t>
      </w:r>
      <w:r w:rsidR="00AA7794">
        <w:t>.</w:t>
      </w:r>
      <w:r w:rsidR="00AA7794">
        <w:tab/>
      </w:r>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r w:rsidR="00D47F27">
        <w:t xml:space="preserve">Other </w:t>
      </w:r>
      <w:r w:rsidR="00D47F27" w:rsidRPr="00617367">
        <w:t>Issues</w:t>
      </w:r>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14:paraId="69C69B89" w14:textId="196759A0" w:rsidR="003B72DC" w:rsidRPr="00617367" w:rsidRDefault="00617367" w:rsidP="00617367">
      <w:r w:rsidRPr="00617367">
        <w:t xml:space="preserve">A number of issues canvassed in submissions were </w:t>
      </w:r>
      <w:r w:rsidR="002A437B">
        <w:t xml:space="preserve">considered to </w:t>
      </w:r>
      <w:r w:rsidR="006B5061">
        <w:t xml:space="preserve">be </w:t>
      </w:r>
      <w:r w:rsidRPr="00617367">
        <w:t xml:space="preserve">outside the scope of </w:t>
      </w:r>
      <w:r w:rsidRPr="00617367" w:rsidDel="00E90B65">
        <w:t>this</w:t>
      </w:r>
      <w:r w:rsidRPr="00617367">
        <w:t xml:space="preserve"> review. Th</w:t>
      </w:r>
      <w:r w:rsidR="002A437B">
        <w:t xml:space="preserve">ese are canvassed </w:t>
      </w:r>
      <w:r w:rsidR="006B5061">
        <w:t>in</w:t>
      </w:r>
      <w:r w:rsidRPr="00617367">
        <w:t xml:space="preserve"> </w:t>
      </w:r>
      <w:r w:rsidR="002A437B">
        <w:t xml:space="preserve">this </w:t>
      </w:r>
      <w:r w:rsidRPr="00617367">
        <w:t>section</w:t>
      </w:r>
      <w:r w:rsidR="002A437B">
        <w:t>.</w:t>
      </w:r>
    </w:p>
    <w:p w14:paraId="0349D33B" w14:textId="2FE7B583" w:rsidR="003B72DC" w:rsidRPr="00617367" w:rsidRDefault="008120BA" w:rsidP="007440FB">
      <w:pPr>
        <w:pStyle w:val="Heading2"/>
      </w:pPr>
      <w:bookmarkStart w:id="9290" w:name="_Toc476577405"/>
      <w:bookmarkStart w:id="9291" w:name="_Toc476582394"/>
      <w:bookmarkStart w:id="9292" w:name="_Toc476583068"/>
      <w:bookmarkStart w:id="9293" w:name="_Toc476583785"/>
      <w:bookmarkStart w:id="9294" w:name="_Toc476584233"/>
      <w:bookmarkStart w:id="9295" w:name="_Toc476738140"/>
      <w:bookmarkStart w:id="9296" w:name="_Toc476747725"/>
      <w:bookmarkStart w:id="9297" w:name="_Toc476749135"/>
      <w:bookmarkStart w:id="9298" w:name="_Toc476754002"/>
      <w:bookmarkStart w:id="9299" w:name="_Toc476754497"/>
      <w:bookmarkStart w:id="9300" w:name="_Toc476754662"/>
      <w:bookmarkStart w:id="9301" w:name="_Toc476759901"/>
      <w:bookmarkStart w:id="9302" w:name="_Toc476761523"/>
      <w:bookmarkStart w:id="9303" w:name="_Toc476767161"/>
      <w:bookmarkStart w:id="9304" w:name="_Toc476827207"/>
      <w:bookmarkStart w:id="9305" w:name="_Toc476828900"/>
      <w:bookmarkStart w:id="9306" w:name="_Toc476833774"/>
      <w:bookmarkStart w:id="9307" w:name="_Toc476837247"/>
      <w:bookmarkStart w:id="9308" w:name="_Toc476841120"/>
      <w:bookmarkStart w:id="9309" w:name="_Toc476841325"/>
      <w:bookmarkStart w:id="9310" w:name="_Toc476842084"/>
      <w:bookmarkStart w:id="9311" w:name="_Toc476843028"/>
      <w:bookmarkStart w:id="9312" w:name="_Toc476843199"/>
      <w:bookmarkStart w:id="9313" w:name="_Toc476844697"/>
      <w:bookmarkStart w:id="9314" w:name="_Toc476845590"/>
      <w:bookmarkStart w:id="9315" w:name="_Toc476926984"/>
      <w:bookmarkStart w:id="9316" w:name="_Toc476927097"/>
      <w:bookmarkStart w:id="9317" w:name="_Toc476927271"/>
      <w:bookmarkStart w:id="9318" w:name="_Toc476928535"/>
      <w:bookmarkStart w:id="9319" w:name="_Toc476929578"/>
      <w:bookmarkStart w:id="9320" w:name="_Toc476929753"/>
      <w:bookmarkStart w:id="9321" w:name="_Toc476930796"/>
      <w:bookmarkStart w:id="9322" w:name="_Toc476931603"/>
      <w:bookmarkStart w:id="9323" w:name="_Toc477869938"/>
      <w:bookmarkStart w:id="9324" w:name="_Toc477871177"/>
      <w:bookmarkStart w:id="9325" w:name="_Toc477873336"/>
      <w:bookmarkStart w:id="9326" w:name="_Toc477875330"/>
      <w:bookmarkStart w:id="9327" w:name="_Toc477880243"/>
      <w:bookmarkStart w:id="9328" w:name="_Toc477881503"/>
      <w:bookmarkStart w:id="9329" w:name="_Toc477955907"/>
      <w:bookmarkStart w:id="9330" w:name="_Toc477963152"/>
      <w:bookmarkStart w:id="9331" w:name="_Toc477963638"/>
      <w:bookmarkStart w:id="9332" w:name="_Toc477965224"/>
      <w:bookmarkStart w:id="9333" w:name="_Toc477966728"/>
      <w:bookmarkStart w:id="9334" w:name="_Toc477966897"/>
      <w:bookmarkStart w:id="9335" w:name="_Toc477967237"/>
      <w:bookmarkStart w:id="9336" w:name="_Toc478121374"/>
      <w:bookmarkStart w:id="9337" w:name="_Toc478122287"/>
      <w:bookmarkStart w:id="9338" w:name="_Toc478132117"/>
      <w:bookmarkStart w:id="9339" w:name="_Toc478132261"/>
      <w:bookmarkStart w:id="9340" w:name="_Toc478133287"/>
      <w:bookmarkStart w:id="9341" w:name="_Toc478132424"/>
      <w:bookmarkStart w:id="9342" w:name="_Toc478134753"/>
      <w:bookmarkStart w:id="9343" w:name="_Toc478137455"/>
      <w:bookmarkStart w:id="9344" w:name="_Toc478138527"/>
      <w:bookmarkStart w:id="9345" w:name="_Toc478140097"/>
      <w:bookmarkStart w:id="9346" w:name="_Toc478140513"/>
      <w:bookmarkStart w:id="9347" w:name="_Toc478142719"/>
      <w:bookmarkStart w:id="9348" w:name="_Toc478566438"/>
      <w:bookmarkStart w:id="9349" w:name="_Toc478569605"/>
      <w:bookmarkStart w:id="9350" w:name="_Toc478569779"/>
      <w:bookmarkStart w:id="9351" w:name="_Toc478570853"/>
      <w:bookmarkStart w:id="9352" w:name="_Toc478633052"/>
      <w:bookmarkStart w:id="9353" w:name="_Toc478641462"/>
      <w:bookmarkStart w:id="9354" w:name="_Toc478654356"/>
      <w:bookmarkStart w:id="9355" w:name="_Toc478654530"/>
      <w:bookmarkStart w:id="9356" w:name="_Toc478657825"/>
      <w:bookmarkStart w:id="9357" w:name="_Toc478993246"/>
      <w:bookmarkStart w:id="9358" w:name="_Toc479000317"/>
      <w:bookmarkStart w:id="9359" w:name="_Toc479002251"/>
      <w:bookmarkStart w:id="9360" w:name="_Toc479002423"/>
      <w:bookmarkStart w:id="9361" w:name="_Toc479254397"/>
      <w:bookmarkStart w:id="9362" w:name="_Toc479258586"/>
      <w:bookmarkStart w:id="9363" w:name="_Toc479258902"/>
      <w:bookmarkStart w:id="9364" w:name="_Toc479259794"/>
      <w:bookmarkStart w:id="9365" w:name="_Toc479262217"/>
      <w:bookmarkStart w:id="9366" w:name="_Toc479262638"/>
      <w:bookmarkStart w:id="9367" w:name="_Toc479321339"/>
      <w:bookmarkStart w:id="9368" w:name="_Toc479326778"/>
      <w:bookmarkStart w:id="9369" w:name="_Toc479333039"/>
      <w:bookmarkStart w:id="9370" w:name="_Toc479333377"/>
      <w:bookmarkStart w:id="9371" w:name="_Toc479335074"/>
      <w:bookmarkStart w:id="9372" w:name="_Toc479341789"/>
      <w:bookmarkStart w:id="9373" w:name="_Toc479345205"/>
      <w:bookmarkStart w:id="9374" w:name="_Toc479345414"/>
      <w:bookmarkStart w:id="9375" w:name="_Toc479348395"/>
      <w:bookmarkStart w:id="9376" w:name="_Toc479675989"/>
      <w:bookmarkStart w:id="9377" w:name="_Toc479690956"/>
      <w:bookmarkStart w:id="9378" w:name="_Toc479693534"/>
      <w:bookmarkStart w:id="9379" w:name="_Toc479770703"/>
      <w:r>
        <w:t>7</w:t>
      </w:r>
      <w:r w:rsidR="007440FB">
        <w:t>.1</w:t>
      </w:r>
      <w:r w:rsidR="007440FB">
        <w:tab/>
      </w:r>
      <w:r w:rsidR="00617367" w:rsidRPr="00617367">
        <w:t xml:space="preserve">Government </w:t>
      </w:r>
      <w:r w:rsidR="00C349B8">
        <w:t>I</w:t>
      </w:r>
      <w:r w:rsidR="00617367" w:rsidRPr="00617367">
        <w:t>nvolvement</w:t>
      </w:r>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p w14:paraId="42392698" w14:textId="3971C4C4" w:rsidR="003B72DC" w:rsidRPr="00617367" w:rsidRDefault="00617367" w:rsidP="00617367">
      <w:r w:rsidRPr="00617367">
        <w:t xml:space="preserve">Some submissions considered </w:t>
      </w:r>
      <w:r w:rsidR="00D86084">
        <w:t xml:space="preserve">direct </w:t>
      </w:r>
      <w:r w:rsidRPr="00617367">
        <w:t xml:space="preserve">government involvement </w:t>
      </w:r>
      <w:r w:rsidR="00D86084">
        <w:t xml:space="preserve">in the development of oil and gas projects was </w:t>
      </w:r>
      <w:r w:rsidRPr="00617367">
        <w:t xml:space="preserve">important and should be increased in a range of different areas. Prosper Australia </w:t>
      </w:r>
      <w:r w:rsidR="00D86084">
        <w:t>suggested</w:t>
      </w:r>
      <w:r w:rsidRPr="00617367">
        <w:t xml:space="preserve"> increased </w:t>
      </w:r>
      <w:r w:rsidR="00D86084">
        <w:t xml:space="preserve">government </w:t>
      </w:r>
      <w:r w:rsidRPr="00617367">
        <w:t xml:space="preserve">ownership </w:t>
      </w:r>
      <w:r w:rsidR="00D86084">
        <w:t>of projects would help ensure</w:t>
      </w:r>
      <w:r w:rsidRPr="00617367">
        <w:t xml:space="preserve"> adequate returns: </w:t>
      </w:r>
    </w:p>
    <w:p w14:paraId="258A7CD9" w14:textId="3423ADD6" w:rsidR="003B72DC" w:rsidRPr="00617367" w:rsidRDefault="00617367" w:rsidP="00617367">
      <w:pPr>
        <w:ind w:left="567" w:right="565"/>
        <w:rPr>
          <w:color w:val="1F497D" w:themeColor="text2"/>
          <w:sz w:val="20"/>
        </w:rPr>
      </w:pPr>
      <w:r w:rsidRPr="00617367">
        <w:rPr>
          <w:color w:val="1F497D" w:themeColor="text2"/>
          <w:sz w:val="20"/>
        </w:rPr>
        <w:t xml:space="preserve">International comparisons suggest that </w:t>
      </w:r>
      <w:r w:rsidRPr="00617367">
        <w:rPr>
          <w:b/>
          <w:i/>
          <w:color w:val="1F497D" w:themeColor="text2"/>
          <w:sz w:val="20"/>
        </w:rPr>
        <w:t xml:space="preserve">any </w:t>
      </w:r>
      <w:r w:rsidRPr="00617367">
        <w:rPr>
          <w:color w:val="1F497D" w:themeColor="text2"/>
          <w:sz w:val="20"/>
        </w:rPr>
        <w:t>effective method of capturing resource rents for the public will require heavy</w:t>
      </w:r>
      <w:r w:rsidR="005D6F39">
        <w:rPr>
          <w:color w:val="1F497D" w:themeColor="text2"/>
          <w:sz w:val="20"/>
        </w:rPr>
        <w:noBreakHyphen/>
      </w:r>
      <w:r w:rsidRPr="00617367">
        <w:rPr>
          <w:color w:val="1F497D" w:themeColor="text2"/>
          <w:sz w:val="20"/>
        </w:rPr>
        <w:t>handed government involvement in the sector. If this Review is unable to consider much greater involvement in the sector by government, such as taking ownership stakes in current oil and gas operations, or by investing in government–owned operations in new resources, than [stet] little genuine pro</w:t>
      </w:r>
      <w:r w:rsidR="002359B2">
        <w:rPr>
          <w:color w:val="1F497D" w:themeColor="text2"/>
          <w:sz w:val="20"/>
        </w:rPr>
        <w:t xml:space="preserve">gress will be made </w:t>
      </w:r>
      <w:r w:rsidR="002359B2" w:rsidRPr="006F6653">
        <w:rPr>
          <w:color w:val="1F497D" w:themeColor="text2"/>
          <w:sz w:val="20"/>
        </w:rPr>
        <w:t>(</w:t>
      </w:r>
      <w:r w:rsidRPr="006F6653">
        <w:rPr>
          <w:color w:val="1F497D" w:themeColor="text2"/>
          <w:sz w:val="20"/>
        </w:rPr>
        <w:t xml:space="preserve">Prosper Australia </w:t>
      </w:r>
      <w:r w:rsidR="006B5061">
        <w:rPr>
          <w:color w:val="1F497D" w:themeColor="text2"/>
          <w:sz w:val="20"/>
        </w:rPr>
        <w:t>S</w:t>
      </w:r>
      <w:r w:rsidRPr="006F6653">
        <w:rPr>
          <w:color w:val="1F497D" w:themeColor="text2"/>
          <w:sz w:val="20"/>
        </w:rPr>
        <w:t>ubmission</w:t>
      </w:r>
      <w:r w:rsidR="002359B2" w:rsidRPr="006F6653">
        <w:rPr>
          <w:color w:val="1F497D" w:themeColor="text2"/>
          <w:sz w:val="20"/>
        </w:rPr>
        <w:t>, p. 7</w:t>
      </w:r>
      <w:r w:rsidR="005D6F39">
        <w:rPr>
          <w:color w:val="1F497D" w:themeColor="text2"/>
          <w:sz w:val="20"/>
        </w:rPr>
        <w:noBreakHyphen/>
      </w:r>
      <w:r w:rsidR="002359B2" w:rsidRPr="006F6653">
        <w:rPr>
          <w:color w:val="1F497D" w:themeColor="text2"/>
          <w:sz w:val="20"/>
        </w:rPr>
        <w:t>8)</w:t>
      </w:r>
      <w:r w:rsidR="002359B2" w:rsidRPr="002359B2">
        <w:rPr>
          <w:color w:val="1F497D" w:themeColor="text2"/>
          <w:sz w:val="20"/>
        </w:rPr>
        <w:t>.</w:t>
      </w:r>
    </w:p>
    <w:p w14:paraId="4CE46354" w14:textId="15BDAB11" w:rsidR="003B72DC" w:rsidRPr="00617367" w:rsidRDefault="00617367" w:rsidP="00617367">
      <w:r w:rsidRPr="00617367">
        <w:t xml:space="preserve">The focus of Professionals Australia was for </w:t>
      </w:r>
      <w:r w:rsidR="00D86084">
        <w:t>g</w:t>
      </w:r>
      <w:r w:rsidRPr="00617367">
        <w:t>overnments to have an increased role in ensuring that the skills from local engineering firms were developed and utilised in delivering oil and gas projects. They made a number of recommendations along these lines, including:</w:t>
      </w:r>
    </w:p>
    <w:p w14:paraId="70C366D4" w14:textId="205FC1E3" w:rsidR="003B72DC" w:rsidRPr="00617367" w:rsidRDefault="00617367" w:rsidP="00617367">
      <w:pPr>
        <w:ind w:left="567" w:right="565"/>
        <w:rPr>
          <w:color w:val="1F497D" w:themeColor="text2"/>
          <w:sz w:val="20"/>
        </w:rPr>
      </w:pPr>
      <w:r w:rsidRPr="00617367">
        <w:rPr>
          <w:color w:val="1F497D" w:themeColor="text2"/>
          <w:sz w:val="20"/>
        </w:rPr>
        <w:t>That all future projects and major service contracts must contain a requirement for a workforce skills development plan, which incorporates local actions that will be applicable to all subcontracting companies. These should have a focus on the development of high</w:t>
      </w:r>
      <w:r w:rsidR="005D6F39">
        <w:rPr>
          <w:color w:val="1F497D" w:themeColor="text2"/>
          <w:sz w:val="20"/>
        </w:rPr>
        <w:noBreakHyphen/>
      </w:r>
      <w:r w:rsidRPr="00617367">
        <w:rPr>
          <w:color w:val="1F497D" w:themeColor="text2"/>
          <w:sz w:val="20"/>
        </w:rPr>
        <w:t>wage,</w:t>
      </w:r>
      <w:r w:rsidR="002359B2">
        <w:rPr>
          <w:color w:val="1F497D" w:themeColor="text2"/>
          <w:sz w:val="20"/>
        </w:rPr>
        <w:t xml:space="preserve"> high</w:t>
      </w:r>
      <w:r w:rsidR="005D6F39">
        <w:rPr>
          <w:color w:val="1F497D" w:themeColor="text2"/>
          <w:sz w:val="20"/>
        </w:rPr>
        <w:noBreakHyphen/>
      </w:r>
      <w:r w:rsidR="002359B2">
        <w:rPr>
          <w:color w:val="1F497D" w:themeColor="text2"/>
          <w:sz w:val="20"/>
        </w:rPr>
        <w:t xml:space="preserve">skills jobs for the State </w:t>
      </w:r>
      <w:r w:rsidR="002359B2" w:rsidRPr="003E69D7">
        <w:rPr>
          <w:color w:val="1F497D" w:themeColor="text2"/>
          <w:sz w:val="20"/>
        </w:rPr>
        <w:t>(Professionals Australia Submission, p. 2).</w:t>
      </w:r>
    </w:p>
    <w:p w14:paraId="134CC0A4" w14:textId="4E058ADC" w:rsidR="003B72DC" w:rsidRPr="00617367" w:rsidRDefault="00617367" w:rsidP="00617367">
      <w:pPr>
        <w:rPr>
          <w:lang w:val="en"/>
        </w:rPr>
      </w:pPr>
      <w:r w:rsidRPr="00617367">
        <w:t xml:space="preserve">Another perspective was offered </w:t>
      </w:r>
      <w:r w:rsidR="002A437B">
        <w:t xml:space="preserve">in the submission </w:t>
      </w:r>
      <w:r w:rsidRPr="00617367">
        <w:t>by Professor John Chandler</w:t>
      </w:r>
      <w:r w:rsidR="00D86084">
        <w:t>.</w:t>
      </w:r>
      <w:r w:rsidRPr="00617367">
        <w:t xml:space="preserve"> </w:t>
      </w:r>
      <w:r w:rsidR="002A437B">
        <w:t xml:space="preserve">He </w:t>
      </w:r>
      <w:r w:rsidRPr="00617367">
        <w:t xml:space="preserve">focused on the efficient use of infrastructure and the potential role </w:t>
      </w:r>
      <w:r w:rsidR="002A437B">
        <w:t>g</w:t>
      </w:r>
      <w:r w:rsidRPr="00617367">
        <w:t>overnment</w:t>
      </w:r>
      <w:r w:rsidR="002A437B">
        <w:t>s</w:t>
      </w:r>
      <w:r w:rsidRPr="00617367">
        <w:t xml:space="preserve"> could have in incentivising developers to engage in more collaborative behaviour that took national or regional requirements into account. Professor Chandler </w:t>
      </w:r>
      <w:r w:rsidR="006B5061">
        <w:t>believes</w:t>
      </w:r>
      <w:r w:rsidRPr="00617367">
        <w:t xml:space="preserve"> </w:t>
      </w:r>
      <w:r w:rsidR="002A437B">
        <w:t xml:space="preserve">because </w:t>
      </w:r>
      <w:r w:rsidRPr="00617367">
        <w:t xml:space="preserve">licensees are focused on making the maximum profit from </w:t>
      </w:r>
      <w:r w:rsidR="002A437B">
        <w:t>their</w:t>
      </w:r>
      <w:r w:rsidRPr="00617367">
        <w:t xml:space="preserve"> licence area,</w:t>
      </w:r>
      <w:r w:rsidR="002A437B">
        <w:t xml:space="preserve"> </w:t>
      </w:r>
      <w:r w:rsidRPr="00617367">
        <w:t xml:space="preserve">without obligations to take national or regional interests into account, projects may be developed in </w:t>
      </w:r>
      <w:r w:rsidR="006025F8">
        <w:t xml:space="preserve">a </w:t>
      </w:r>
      <w:r w:rsidRPr="00617367">
        <w:t xml:space="preserve">way that use infrastructure inefficiently or </w:t>
      </w:r>
      <w:r w:rsidR="002A437B">
        <w:t>are</w:t>
      </w:r>
      <w:r w:rsidRPr="00617367">
        <w:t xml:space="preserve"> unduly expensive, resulting in a loss of PRRT</w:t>
      </w:r>
      <w:r w:rsidR="002A437B">
        <w:t xml:space="preserve"> revenue.</w:t>
      </w:r>
    </w:p>
    <w:p w14:paraId="0286FD2B" w14:textId="6FEDB272" w:rsidR="003B72DC" w:rsidRPr="00617367" w:rsidRDefault="008120BA" w:rsidP="007440FB">
      <w:pPr>
        <w:pStyle w:val="Heading2"/>
      </w:pPr>
      <w:bookmarkStart w:id="9380" w:name="_Toc476577406"/>
      <w:bookmarkStart w:id="9381" w:name="_Toc476582395"/>
      <w:bookmarkStart w:id="9382" w:name="_Toc476583069"/>
      <w:bookmarkStart w:id="9383" w:name="_Toc476583786"/>
      <w:bookmarkStart w:id="9384" w:name="_Toc476584234"/>
      <w:bookmarkStart w:id="9385" w:name="_Toc476738141"/>
      <w:bookmarkStart w:id="9386" w:name="_Toc476747726"/>
      <w:bookmarkStart w:id="9387" w:name="_Toc476749136"/>
      <w:bookmarkStart w:id="9388" w:name="_Toc476754003"/>
      <w:bookmarkStart w:id="9389" w:name="_Toc476754498"/>
      <w:bookmarkStart w:id="9390" w:name="_Toc476754663"/>
      <w:bookmarkStart w:id="9391" w:name="_Toc476759902"/>
      <w:bookmarkStart w:id="9392" w:name="_Toc476761524"/>
      <w:bookmarkStart w:id="9393" w:name="_Toc476767162"/>
      <w:bookmarkStart w:id="9394" w:name="_Toc476827208"/>
      <w:bookmarkStart w:id="9395" w:name="_Toc476828901"/>
      <w:bookmarkStart w:id="9396" w:name="_Toc476833775"/>
      <w:bookmarkStart w:id="9397" w:name="_Toc476837248"/>
      <w:bookmarkStart w:id="9398" w:name="_Toc476841121"/>
      <w:bookmarkStart w:id="9399" w:name="_Toc476841326"/>
      <w:bookmarkStart w:id="9400" w:name="_Toc476842085"/>
      <w:bookmarkStart w:id="9401" w:name="_Toc476843029"/>
      <w:bookmarkStart w:id="9402" w:name="_Toc476843200"/>
      <w:bookmarkStart w:id="9403" w:name="_Toc476844698"/>
      <w:bookmarkStart w:id="9404" w:name="_Toc476845591"/>
      <w:bookmarkStart w:id="9405" w:name="_Toc476926985"/>
      <w:bookmarkStart w:id="9406" w:name="_Toc476927098"/>
      <w:bookmarkStart w:id="9407" w:name="_Toc476927272"/>
      <w:bookmarkStart w:id="9408" w:name="_Toc476928536"/>
      <w:bookmarkStart w:id="9409" w:name="_Toc476929579"/>
      <w:bookmarkStart w:id="9410" w:name="_Toc476929754"/>
      <w:bookmarkStart w:id="9411" w:name="_Toc476930797"/>
      <w:bookmarkStart w:id="9412" w:name="_Toc476931604"/>
      <w:bookmarkStart w:id="9413" w:name="_Toc477869939"/>
      <w:bookmarkStart w:id="9414" w:name="_Toc477871178"/>
      <w:bookmarkStart w:id="9415" w:name="_Toc477873337"/>
      <w:bookmarkStart w:id="9416" w:name="_Toc477875331"/>
      <w:bookmarkStart w:id="9417" w:name="_Toc477880244"/>
      <w:bookmarkStart w:id="9418" w:name="_Toc477881504"/>
      <w:bookmarkStart w:id="9419" w:name="_Toc477955908"/>
      <w:bookmarkStart w:id="9420" w:name="_Toc477963153"/>
      <w:bookmarkStart w:id="9421" w:name="_Toc477963639"/>
      <w:bookmarkStart w:id="9422" w:name="_Toc477965225"/>
      <w:bookmarkStart w:id="9423" w:name="_Toc477966729"/>
      <w:bookmarkStart w:id="9424" w:name="_Toc477966898"/>
      <w:bookmarkStart w:id="9425" w:name="_Toc477967238"/>
      <w:bookmarkStart w:id="9426" w:name="_Toc478121375"/>
      <w:bookmarkStart w:id="9427" w:name="_Toc478122288"/>
      <w:bookmarkStart w:id="9428" w:name="_Toc478132118"/>
      <w:bookmarkStart w:id="9429" w:name="_Toc478132262"/>
      <w:bookmarkStart w:id="9430" w:name="_Toc478133288"/>
      <w:bookmarkStart w:id="9431" w:name="_Toc478132425"/>
      <w:bookmarkStart w:id="9432" w:name="_Toc478134754"/>
      <w:bookmarkStart w:id="9433" w:name="_Toc478137456"/>
      <w:bookmarkStart w:id="9434" w:name="_Toc478138528"/>
      <w:bookmarkStart w:id="9435" w:name="_Toc478140098"/>
      <w:bookmarkStart w:id="9436" w:name="_Toc478140514"/>
      <w:bookmarkStart w:id="9437" w:name="_Toc478142720"/>
      <w:bookmarkStart w:id="9438" w:name="_Toc478566439"/>
      <w:bookmarkStart w:id="9439" w:name="_Toc478569606"/>
      <w:bookmarkStart w:id="9440" w:name="_Toc478569780"/>
      <w:bookmarkStart w:id="9441" w:name="_Toc478570854"/>
      <w:bookmarkStart w:id="9442" w:name="_Toc478633053"/>
      <w:bookmarkStart w:id="9443" w:name="_Toc478641463"/>
      <w:bookmarkStart w:id="9444" w:name="_Toc478654357"/>
      <w:bookmarkStart w:id="9445" w:name="_Toc478654531"/>
      <w:bookmarkStart w:id="9446" w:name="_Toc478657826"/>
      <w:bookmarkStart w:id="9447" w:name="_Toc478993247"/>
      <w:bookmarkStart w:id="9448" w:name="_Toc479000318"/>
      <w:bookmarkStart w:id="9449" w:name="_Toc479002252"/>
      <w:bookmarkStart w:id="9450" w:name="_Toc479002424"/>
      <w:bookmarkStart w:id="9451" w:name="_Toc479254398"/>
      <w:bookmarkStart w:id="9452" w:name="_Toc479258587"/>
      <w:bookmarkStart w:id="9453" w:name="_Toc479258903"/>
      <w:bookmarkStart w:id="9454" w:name="_Toc479259795"/>
      <w:bookmarkStart w:id="9455" w:name="_Toc479262218"/>
      <w:bookmarkStart w:id="9456" w:name="_Toc479262639"/>
      <w:bookmarkStart w:id="9457" w:name="_Toc479321340"/>
      <w:bookmarkStart w:id="9458" w:name="_Toc479326779"/>
      <w:bookmarkStart w:id="9459" w:name="_Toc479333040"/>
      <w:bookmarkStart w:id="9460" w:name="_Toc479333378"/>
      <w:bookmarkStart w:id="9461" w:name="_Toc479335075"/>
      <w:bookmarkStart w:id="9462" w:name="_Toc479341790"/>
      <w:bookmarkStart w:id="9463" w:name="_Toc479345206"/>
      <w:bookmarkStart w:id="9464" w:name="_Toc479345415"/>
      <w:bookmarkStart w:id="9465" w:name="_Toc479348396"/>
      <w:bookmarkStart w:id="9466" w:name="_Toc479675990"/>
      <w:bookmarkStart w:id="9467" w:name="_Toc479690957"/>
      <w:bookmarkStart w:id="9468" w:name="_Toc479693535"/>
      <w:bookmarkStart w:id="9469" w:name="_Toc479770704"/>
      <w:r>
        <w:t>7</w:t>
      </w:r>
      <w:r w:rsidR="007440FB">
        <w:t>.2</w:t>
      </w:r>
      <w:r w:rsidR="007440FB">
        <w:tab/>
      </w:r>
      <w:r w:rsidR="00617367" w:rsidRPr="00617367">
        <w:t xml:space="preserve">Environmental </w:t>
      </w:r>
      <w:r w:rsidR="00C349B8">
        <w:t>C</w:t>
      </w:r>
      <w:r w:rsidR="00617367" w:rsidRPr="00617367">
        <w:t>oncerns</w:t>
      </w:r>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p>
    <w:p w14:paraId="0FAB06D5" w14:textId="2BB7611D" w:rsidR="003B72DC" w:rsidRPr="002359B2" w:rsidRDefault="00617367" w:rsidP="002359B2">
      <w:r w:rsidRPr="00617367">
        <w:t xml:space="preserve">The submission from Greenpeace Australia Pacific </w:t>
      </w:r>
      <w:r w:rsidRPr="002359B2">
        <w:t xml:space="preserve">was framed on the basis </w:t>
      </w:r>
      <w:r w:rsidR="005D6F39">
        <w:t>‘</w:t>
      </w:r>
      <w:r w:rsidRPr="002359B2">
        <w:t>of the very clear scientific evidence that most of the world</w:t>
      </w:r>
      <w:r w:rsidR="005D6F39">
        <w:t>’</w:t>
      </w:r>
      <w:r w:rsidRPr="002359B2">
        <w:t>s known fossil fuel reserves must be left in the ground if climate change is to be kept below 2°C of warmin</w:t>
      </w:r>
      <w:r w:rsidR="002359B2" w:rsidRPr="002359B2">
        <w:t>g above pre</w:t>
      </w:r>
      <w:r w:rsidR="005D6F39">
        <w:noBreakHyphen/>
      </w:r>
      <w:r w:rsidR="002359B2" w:rsidRPr="002359B2">
        <w:t xml:space="preserve">industrial levels </w:t>
      </w:r>
      <w:r w:rsidR="002359B2" w:rsidRPr="006F6653">
        <w:t>(</w:t>
      </w:r>
      <w:r w:rsidR="00C74EAA" w:rsidRPr="006F6653">
        <w:t>Greenpeac</w:t>
      </w:r>
      <w:r w:rsidR="002359B2" w:rsidRPr="006F6653">
        <w:t>e Australia Pacific Submission, p. 2</w:t>
      </w:r>
      <w:r w:rsidR="005D6F39">
        <w:noBreakHyphen/>
      </w:r>
      <w:r w:rsidR="002359B2" w:rsidRPr="006F6653">
        <w:t>3)</w:t>
      </w:r>
      <w:r w:rsidR="005D6F39">
        <w:t>’</w:t>
      </w:r>
      <w:r w:rsidR="002359B2">
        <w:t>.</w:t>
      </w:r>
    </w:p>
    <w:p w14:paraId="29C080AE" w14:textId="77777777" w:rsidR="006B5061" w:rsidRDefault="006B5061">
      <w:pPr>
        <w:spacing w:after="0" w:line="240" w:lineRule="auto"/>
        <w:jc w:val="left"/>
      </w:pPr>
      <w:r>
        <w:br w:type="page"/>
      </w:r>
    </w:p>
    <w:p w14:paraId="6DA15FFE" w14:textId="7FF1EEC1" w:rsidR="002359B2" w:rsidRDefault="00617367" w:rsidP="00617367">
      <w:r w:rsidRPr="00617367">
        <w:t xml:space="preserve">Greenpeace </w:t>
      </w:r>
      <w:r w:rsidR="003C44A1">
        <w:t>Australia Pacific</w:t>
      </w:r>
      <w:r w:rsidRPr="00617367">
        <w:t xml:space="preserve"> </w:t>
      </w:r>
      <w:r w:rsidR="002359B2">
        <w:t xml:space="preserve">noted that they </w:t>
      </w:r>
      <w:r w:rsidRPr="00617367">
        <w:t>would</w:t>
      </w:r>
      <w:r w:rsidR="002359B2">
        <w:t>:</w:t>
      </w:r>
    </w:p>
    <w:p w14:paraId="2F31D34D" w14:textId="12B330AC" w:rsidR="003B72DC" w:rsidRPr="002359B2" w:rsidRDefault="002359B2" w:rsidP="002359B2">
      <w:pPr>
        <w:ind w:left="567" w:right="565"/>
        <w:rPr>
          <w:color w:val="1F497D" w:themeColor="text2"/>
          <w:sz w:val="20"/>
        </w:rPr>
      </w:pPr>
      <w:r>
        <w:rPr>
          <w:color w:val="1F497D" w:themeColor="text2"/>
          <w:sz w:val="20"/>
        </w:rPr>
        <w:t>…</w:t>
      </w:r>
      <w:r w:rsidR="008950BC">
        <w:rPr>
          <w:color w:val="1F497D" w:themeColor="text2"/>
          <w:sz w:val="20"/>
        </w:rPr>
        <w:t xml:space="preserve"> </w:t>
      </w:r>
      <w:r w:rsidR="00617367" w:rsidRPr="002359B2">
        <w:rPr>
          <w:color w:val="1F497D" w:themeColor="text2"/>
          <w:sz w:val="20"/>
        </w:rPr>
        <w:t>support reforms that will result in more money from existing fossil fuel developments flowing back into the public purse. However, we fundamentally disagree with the notion that any further exploration activities conducted by fossil fuel companies should be facilitated o</w:t>
      </w:r>
      <w:r>
        <w:rPr>
          <w:color w:val="1F497D" w:themeColor="text2"/>
          <w:sz w:val="20"/>
        </w:rPr>
        <w:t xml:space="preserve">r subsidised by the government </w:t>
      </w:r>
      <w:r w:rsidRPr="006F6653">
        <w:rPr>
          <w:color w:val="1F497D" w:themeColor="text2"/>
          <w:sz w:val="20"/>
        </w:rPr>
        <w:t>(Greenpeace Australia Pacific</w:t>
      </w:r>
      <w:r w:rsidR="00817F1F">
        <w:rPr>
          <w:color w:val="1F497D" w:themeColor="text2"/>
          <w:sz w:val="20"/>
        </w:rPr>
        <w:t xml:space="preserve"> Submission</w:t>
      </w:r>
      <w:r w:rsidRPr="006F6653">
        <w:rPr>
          <w:color w:val="1F497D" w:themeColor="text2"/>
          <w:sz w:val="20"/>
        </w:rPr>
        <w:t>, p.</w:t>
      </w:r>
      <w:r w:rsidR="00817F1F">
        <w:rPr>
          <w:color w:val="1F497D" w:themeColor="text2"/>
          <w:sz w:val="20"/>
        </w:rPr>
        <w:t> </w:t>
      </w:r>
      <w:r w:rsidRPr="006F6653">
        <w:rPr>
          <w:color w:val="1F497D" w:themeColor="text2"/>
          <w:sz w:val="20"/>
        </w:rPr>
        <w:t>1)</w:t>
      </w:r>
      <w:r>
        <w:rPr>
          <w:color w:val="1F497D" w:themeColor="text2"/>
          <w:sz w:val="20"/>
        </w:rPr>
        <w:t>.</w:t>
      </w:r>
    </w:p>
    <w:p w14:paraId="25840B1D" w14:textId="3300865B" w:rsidR="003B72DC" w:rsidRPr="00617367" w:rsidRDefault="00617367" w:rsidP="00617367">
      <w:r w:rsidRPr="00617367">
        <w:t xml:space="preserve">Greenpeace </w:t>
      </w:r>
      <w:r w:rsidR="003C44A1">
        <w:t>Australia Pacific</w:t>
      </w:r>
      <w:r w:rsidRPr="00617367">
        <w:t xml:space="preserve"> also recommended that</w:t>
      </w:r>
      <w:r>
        <w:t xml:space="preserve"> </w:t>
      </w:r>
      <w:r w:rsidR="005D6F39">
        <w:t>‘</w:t>
      </w:r>
      <w:r w:rsidR="002359B2">
        <w:t>r</w:t>
      </w:r>
      <w:r w:rsidRPr="00617367">
        <w:t>evenue from a reformed PRRT or royalty scheme should be invested in renewable energy to help speed up the trans</w:t>
      </w:r>
      <w:r w:rsidR="002359B2">
        <w:t>ition to a clean energy economy (</w:t>
      </w:r>
      <w:r w:rsidR="002359B2" w:rsidRPr="006F6653">
        <w:t>Greenpeace Australia Pacific</w:t>
      </w:r>
      <w:r w:rsidR="003C44A1">
        <w:t xml:space="preserve"> Submission</w:t>
      </w:r>
      <w:r w:rsidR="002359B2" w:rsidRPr="006F6653">
        <w:t xml:space="preserve"> p. 6</w:t>
      </w:r>
      <w:r w:rsidR="002359B2">
        <w:t>)</w:t>
      </w:r>
      <w:r w:rsidR="005D6F39">
        <w:t>’</w:t>
      </w:r>
      <w:r w:rsidR="002359B2">
        <w:t>.</w:t>
      </w:r>
    </w:p>
    <w:p w14:paraId="55AB1EB7" w14:textId="6A74C1DF" w:rsidR="003B72DC" w:rsidRPr="00617367" w:rsidRDefault="008120BA" w:rsidP="007440FB">
      <w:pPr>
        <w:pStyle w:val="Heading2"/>
      </w:pPr>
      <w:bookmarkStart w:id="9470" w:name="_Toc476577407"/>
      <w:bookmarkStart w:id="9471" w:name="_Toc476582396"/>
      <w:bookmarkStart w:id="9472" w:name="_Toc476583070"/>
      <w:bookmarkStart w:id="9473" w:name="_Toc476583787"/>
      <w:bookmarkStart w:id="9474" w:name="_Toc476584235"/>
      <w:bookmarkStart w:id="9475" w:name="_Toc476738142"/>
      <w:bookmarkStart w:id="9476" w:name="_Toc476747727"/>
      <w:bookmarkStart w:id="9477" w:name="_Toc476749137"/>
      <w:bookmarkStart w:id="9478" w:name="_Toc476754004"/>
      <w:bookmarkStart w:id="9479" w:name="_Toc476754499"/>
      <w:bookmarkStart w:id="9480" w:name="_Toc476754664"/>
      <w:bookmarkStart w:id="9481" w:name="_Toc476759903"/>
      <w:bookmarkStart w:id="9482" w:name="_Toc476761525"/>
      <w:bookmarkStart w:id="9483" w:name="_Toc476767163"/>
      <w:bookmarkStart w:id="9484" w:name="_Toc476827209"/>
      <w:bookmarkStart w:id="9485" w:name="_Toc476828902"/>
      <w:bookmarkStart w:id="9486" w:name="_Toc476833776"/>
      <w:bookmarkStart w:id="9487" w:name="_Toc476837249"/>
      <w:bookmarkStart w:id="9488" w:name="_Toc476841122"/>
      <w:bookmarkStart w:id="9489" w:name="_Toc476841327"/>
      <w:bookmarkStart w:id="9490" w:name="_Toc476842086"/>
      <w:bookmarkStart w:id="9491" w:name="_Toc476843030"/>
      <w:bookmarkStart w:id="9492" w:name="_Toc476843201"/>
      <w:bookmarkStart w:id="9493" w:name="_Toc476844699"/>
      <w:bookmarkStart w:id="9494" w:name="_Toc476845592"/>
      <w:bookmarkStart w:id="9495" w:name="_Toc477869940"/>
      <w:bookmarkStart w:id="9496" w:name="_Toc477871179"/>
      <w:bookmarkStart w:id="9497" w:name="_Toc477873338"/>
      <w:bookmarkStart w:id="9498" w:name="_Toc477875332"/>
      <w:bookmarkStart w:id="9499" w:name="_Toc477880245"/>
      <w:bookmarkStart w:id="9500" w:name="_Toc477881505"/>
      <w:bookmarkStart w:id="9501" w:name="_Toc477955909"/>
      <w:bookmarkStart w:id="9502" w:name="_Toc477963154"/>
      <w:bookmarkStart w:id="9503" w:name="_Toc477963640"/>
      <w:bookmarkStart w:id="9504" w:name="_Toc477965226"/>
      <w:bookmarkStart w:id="9505" w:name="_Toc477966730"/>
      <w:bookmarkStart w:id="9506" w:name="_Toc477966899"/>
      <w:bookmarkStart w:id="9507" w:name="_Toc477967239"/>
      <w:bookmarkStart w:id="9508" w:name="_Toc478121376"/>
      <w:bookmarkStart w:id="9509" w:name="_Toc478122289"/>
      <w:bookmarkStart w:id="9510" w:name="_Toc478132119"/>
      <w:bookmarkStart w:id="9511" w:name="_Toc478132263"/>
      <w:bookmarkStart w:id="9512" w:name="_Toc478133289"/>
      <w:bookmarkStart w:id="9513" w:name="_Toc478132426"/>
      <w:bookmarkStart w:id="9514" w:name="_Toc478134755"/>
      <w:bookmarkStart w:id="9515" w:name="_Toc478137457"/>
      <w:bookmarkStart w:id="9516" w:name="_Toc478138529"/>
      <w:bookmarkStart w:id="9517" w:name="_Toc478140099"/>
      <w:bookmarkStart w:id="9518" w:name="_Toc478140515"/>
      <w:bookmarkStart w:id="9519" w:name="_Toc478142721"/>
      <w:bookmarkStart w:id="9520" w:name="_Toc478566440"/>
      <w:bookmarkStart w:id="9521" w:name="_Toc478569607"/>
      <w:bookmarkStart w:id="9522" w:name="_Toc478569781"/>
      <w:bookmarkStart w:id="9523" w:name="_Toc478570855"/>
      <w:bookmarkStart w:id="9524" w:name="_Toc478633054"/>
      <w:bookmarkStart w:id="9525" w:name="_Toc478641464"/>
      <w:bookmarkStart w:id="9526" w:name="_Toc478654358"/>
      <w:bookmarkStart w:id="9527" w:name="_Toc478654532"/>
      <w:bookmarkStart w:id="9528" w:name="_Toc478657827"/>
      <w:bookmarkStart w:id="9529" w:name="_Toc478993248"/>
      <w:bookmarkStart w:id="9530" w:name="_Toc479000319"/>
      <w:bookmarkStart w:id="9531" w:name="_Toc479002253"/>
      <w:bookmarkStart w:id="9532" w:name="_Toc479002425"/>
      <w:bookmarkStart w:id="9533" w:name="_Toc476926986"/>
      <w:bookmarkStart w:id="9534" w:name="_Toc476927099"/>
      <w:bookmarkStart w:id="9535" w:name="_Toc476927273"/>
      <w:bookmarkStart w:id="9536" w:name="_Toc476928537"/>
      <w:bookmarkStart w:id="9537" w:name="_Toc476929580"/>
      <w:bookmarkStart w:id="9538" w:name="_Toc476929755"/>
      <w:bookmarkStart w:id="9539" w:name="_Toc476930798"/>
      <w:bookmarkStart w:id="9540" w:name="_Toc476931605"/>
      <w:bookmarkStart w:id="9541" w:name="_Toc479254399"/>
      <w:bookmarkStart w:id="9542" w:name="_Toc479258588"/>
      <w:bookmarkStart w:id="9543" w:name="_Toc479258904"/>
      <w:bookmarkStart w:id="9544" w:name="_Toc479259796"/>
      <w:bookmarkStart w:id="9545" w:name="_Toc479262219"/>
      <w:bookmarkStart w:id="9546" w:name="_Toc479262640"/>
      <w:bookmarkStart w:id="9547" w:name="_Toc479321341"/>
      <w:bookmarkStart w:id="9548" w:name="_Toc479326780"/>
      <w:bookmarkStart w:id="9549" w:name="_Toc479333041"/>
      <w:bookmarkStart w:id="9550" w:name="_Toc479333379"/>
      <w:bookmarkStart w:id="9551" w:name="_Toc479335076"/>
      <w:bookmarkStart w:id="9552" w:name="_Toc479341791"/>
      <w:bookmarkStart w:id="9553" w:name="_Toc479345207"/>
      <w:bookmarkStart w:id="9554" w:name="_Toc479345416"/>
      <w:bookmarkStart w:id="9555" w:name="_Toc479348397"/>
      <w:bookmarkStart w:id="9556" w:name="_Toc479675991"/>
      <w:bookmarkStart w:id="9557" w:name="_Toc479690958"/>
      <w:bookmarkStart w:id="9558" w:name="_Toc479693536"/>
      <w:bookmarkStart w:id="9559" w:name="_Toc479770705"/>
      <w:r>
        <w:t>7</w:t>
      </w:r>
      <w:r w:rsidR="007440FB">
        <w:t>.3</w:t>
      </w:r>
      <w:r w:rsidR="007440FB">
        <w:tab/>
      </w:r>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r w:rsidR="007202A9">
        <w:t xml:space="preserve">Profit </w:t>
      </w:r>
      <w:r w:rsidR="003C1E3F">
        <w:t>S</w:t>
      </w:r>
      <w:r w:rsidR="007202A9">
        <w:t>hifting</w:t>
      </w:r>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p>
    <w:p w14:paraId="20C641C0" w14:textId="46FEB58F" w:rsidR="003B72DC" w:rsidRPr="00617367" w:rsidRDefault="007202A9" w:rsidP="00617367">
      <w:r>
        <w:t>T</w:t>
      </w:r>
      <w:r w:rsidR="00617367" w:rsidRPr="00617367">
        <w:t>he ability for multinational</w:t>
      </w:r>
      <w:r>
        <w:t xml:space="preserve"> corporations </w:t>
      </w:r>
      <w:r w:rsidR="00617367" w:rsidRPr="00617367">
        <w:t xml:space="preserve">to shift profits </w:t>
      </w:r>
      <w:r>
        <w:t xml:space="preserve">in order to reduce their tax obligations </w:t>
      </w:r>
      <w:r w:rsidR="00617367" w:rsidRPr="00617367">
        <w:t>was raised as a</w:t>
      </w:r>
      <w:r w:rsidR="00617367">
        <w:t>n issue of</w:t>
      </w:r>
      <w:r w:rsidR="00617367" w:rsidRPr="00617367">
        <w:t xml:space="preserve"> concern in a number of submissions</w:t>
      </w:r>
      <w:r w:rsidR="00561633">
        <w:t>:</w:t>
      </w:r>
      <w:r w:rsidR="00617367" w:rsidRPr="00617367">
        <w:t xml:space="preserve"> </w:t>
      </w:r>
    </w:p>
    <w:p w14:paraId="5102169D" w14:textId="61518D9B" w:rsidR="002666E7" w:rsidRPr="00617367" w:rsidRDefault="002666E7" w:rsidP="002666E7">
      <w:pPr>
        <w:ind w:left="567" w:right="565"/>
        <w:rPr>
          <w:color w:val="1F497D" w:themeColor="text2"/>
          <w:sz w:val="20"/>
        </w:rPr>
      </w:pPr>
      <w:r w:rsidRPr="00617367">
        <w:rPr>
          <w:color w:val="1F497D" w:themeColor="text2"/>
          <w:sz w:val="20"/>
        </w:rPr>
        <w:t>Where profit</w:t>
      </w:r>
      <w:r w:rsidR="005D6F39">
        <w:rPr>
          <w:color w:val="1F497D" w:themeColor="text2"/>
          <w:sz w:val="20"/>
        </w:rPr>
        <w:noBreakHyphen/>
      </w:r>
      <w:r w:rsidRPr="00617367">
        <w:rPr>
          <w:color w:val="1F497D" w:themeColor="text2"/>
          <w:sz w:val="20"/>
        </w:rPr>
        <w:t>based taxes are employed, the Federal Government should ensure that companies are not able to shift their profit abroad to avoid taxation. More stringent requirements around local content would assist this process</w:t>
      </w:r>
      <w:r>
        <w:rPr>
          <w:color w:val="1F497D" w:themeColor="text2"/>
          <w:sz w:val="20"/>
        </w:rPr>
        <w:t xml:space="preserve"> </w:t>
      </w:r>
      <w:r w:rsidRPr="006F6653">
        <w:rPr>
          <w:color w:val="1F497D" w:themeColor="text2"/>
          <w:sz w:val="20"/>
        </w:rPr>
        <w:t>(Professionals Australia Submission, p. 2)</w:t>
      </w:r>
      <w:r w:rsidRPr="00617367">
        <w:rPr>
          <w:color w:val="1F497D" w:themeColor="text2"/>
          <w:sz w:val="20"/>
        </w:rPr>
        <w:t>.</w:t>
      </w:r>
    </w:p>
    <w:p w14:paraId="582A70B5" w14:textId="2CACAAE9" w:rsidR="002666E7" w:rsidRPr="00617367" w:rsidRDefault="002666E7" w:rsidP="002666E7">
      <w:pPr>
        <w:ind w:left="567" w:right="565"/>
        <w:rPr>
          <w:color w:val="1F497D" w:themeColor="text2"/>
          <w:sz w:val="20"/>
        </w:rPr>
      </w:pPr>
      <w:r w:rsidRPr="00617367">
        <w:rPr>
          <w:color w:val="1F497D" w:themeColor="text2"/>
          <w:sz w:val="20"/>
        </w:rPr>
        <w:t>The notion of a profit</w:t>
      </w:r>
      <w:r w:rsidR="005D6F39">
        <w:rPr>
          <w:color w:val="1F497D" w:themeColor="text2"/>
          <w:sz w:val="20"/>
        </w:rPr>
        <w:noBreakHyphen/>
      </w:r>
      <w:r w:rsidRPr="00617367">
        <w:rPr>
          <w:color w:val="1F497D" w:themeColor="text2"/>
          <w:sz w:val="20"/>
        </w:rPr>
        <w:t>based tax is brilliant in theory, but presents serious problems in the real world. These problems are exacerbated by long</w:t>
      </w:r>
      <w:r w:rsidR="005D6F39">
        <w:rPr>
          <w:color w:val="1F497D" w:themeColor="text2"/>
          <w:sz w:val="20"/>
        </w:rPr>
        <w:noBreakHyphen/>
      </w:r>
      <w:r w:rsidRPr="00617367">
        <w:rPr>
          <w:color w:val="1F497D" w:themeColor="text2"/>
          <w:sz w:val="20"/>
        </w:rPr>
        <w:t>standing practices of multinational oil companies to aggressively minimise tax payments by shifting pro</w:t>
      </w:r>
      <w:r>
        <w:rPr>
          <w:color w:val="1F497D" w:themeColor="text2"/>
          <w:sz w:val="20"/>
        </w:rPr>
        <w:t>fits to low or no tax regimes (</w:t>
      </w:r>
      <w:r w:rsidRPr="006F6653">
        <w:rPr>
          <w:color w:val="1F497D" w:themeColor="text2"/>
          <w:sz w:val="20"/>
        </w:rPr>
        <w:t>Tax Justice Network Australia Submission, p. 2)</w:t>
      </w:r>
      <w:r>
        <w:rPr>
          <w:color w:val="1F497D" w:themeColor="text2"/>
          <w:sz w:val="20"/>
        </w:rPr>
        <w:t>.</w:t>
      </w:r>
    </w:p>
    <w:p w14:paraId="11A49160" w14:textId="73F1D4F4" w:rsidR="00617367" w:rsidRPr="00617367" w:rsidRDefault="002359B2" w:rsidP="00617367">
      <w:pPr>
        <w:ind w:left="567" w:right="565"/>
        <w:rPr>
          <w:color w:val="1F497D" w:themeColor="text2"/>
          <w:sz w:val="20"/>
        </w:rPr>
      </w:pPr>
      <w:r>
        <w:rPr>
          <w:color w:val="1F497D" w:themeColor="text2"/>
          <w:sz w:val="20"/>
        </w:rPr>
        <w:t>…</w:t>
      </w:r>
      <w:r w:rsidR="008950BC">
        <w:rPr>
          <w:color w:val="1F497D" w:themeColor="text2"/>
          <w:sz w:val="20"/>
        </w:rPr>
        <w:t xml:space="preserve"> </w:t>
      </w:r>
      <w:r>
        <w:rPr>
          <w:color w:val="1F497D" w:themeColor="text2"/>
          <w:sz w:val="20"/>
        </w:rPr>
        <w:t>a</w:t>
      </w:r>
      <w:r w:rsidR="00617367" w:rsidRPr="00617367">
        <w:rPr>
          <w:color w:val="1F497D" w:themeColor="text2"/>
          <w:sz w:val="20"/>
        </w:rPr>
        <w:t xml:space="preserve"> component </w:t>
      </w:r>
      <w:r>
        <w:rPr>
          <w:color w:val="1F497D" w:themeColor="text2"/>
          <w:sz w:val="20"/>
        </w:rPr>
        <w:t xml:space="preserve">of </w:t>
      </w:r>
      <w:r w:rsidR="00617367" w:rsidRPr="00617367">
        <w:rPr>
          <w:color w:val="1F497D" w:themeColor="text2"/>
          <w:sz w:val="20"/>
        </w:rPr>
        <w:t>the decline in resource tax revenues is probably due to standard profit shifting by multi</w:t>
      </w:r>
      <w:r w:rsidR="005D6F39">
        <w:rPr>
          <w:color w:val="1F497D" w:themeColor="text2"/>
          <w:sz w:val="20"/>
        </w:rPr>
        <w:noBreakHyphen/>
      </w:r>
      <w:r w:rsidR="00617367" w:rsidRPr="00617367">
        <w:rPr>
          <w:color w:val="1F497D" w:themeColor="text2"/>
          <w:sz w:val="20"/>
        </w:rPr>
        <w:t>nationals, including transfer</w:t>
      </w:r>
      <w:r w:rsidR="005D6F39">
        <w:rPr>
          <w:color w:val="1F497D" w:themeColor="text2"/>
          <w:sz w:val="20"/>
        </w:rPr>
        <w:noBreakHyphen/>
      </w:r>
      <w:r w:rsidR="00617367" w:rsidRPr="00617367">
        <w:rPr>
          <w:color w:val="1F497D" w:themeColor="text2"/>
          <w:sz w:val="20"/>
        </w:rPr>
        <w:t xml:space="preserve">pricing of brand inputs, exploration and rig investments. This obviously applies much more broadly than to resource taxation alone. But as noted in this submission numerous times, enforceability of a tax is in many ways more </w:t>
      </w:r>
      <w:r w:rsidR="00C32767">
        <w:rPr>
          <w:color w:val="1F497D" w:themeColor="text2"/>
          <w:sz w:val="20"/>
        </w:rPr>
        <w:t>important than its efficiency (</w:t>
      </w:r>
      <w:r w:rsidR="00617367" w:rsidRPr="006F6653">
        <w:rPr>
          <w:color w:val="1F497D" w:themeColor="text2"/>
          <w:sz w:val="20"/>
        </w:rPr>
        <w:t xml:space="preserve">Prosper Australia </w:t>
      </w:r>
      <w:r w:rsidR="00C32767" w:rsidRPr="006F6653">
        <w:rPr>
          <w:color w:val="1F497D" w:themeColor="text2"/>
          <w:sz w:val="20"/>
        </w:rPr>
        <w:t>S</w:t>
      </w:r>
      <w:r w:rsidR="00617367" w:rsidRPr="006F6653">
        <w:rPr>
          <w:color w:val="1F497D" w:themeColor="text2"/>
          <w:sz w:val="20"/>
        </w:rPr>
        <w:t>ubmission</w:t>
      </w:r>
      <w:r w:rsidR="00C32767" w:rsidRPr="006F6653">
        <w:rPr>
          <w:color w:val="1F497D" w:themeColor="text2"/>
          <w:sz w:val="20"/>
        </w:rPr>
        <w:t>, p. 10</w:t>
      </w:r>
      <w:r w:rsidR="00C32767">
        <w:rPr>
          <w:color w:val="1F497D" w:themeColor="text2"/>
          <w:sz w:val="20"/>
        </w:rPr>
        <w:t>).</w:t>
      </w:r>
    </w:p>
    <w:p w14:paraId="42867895" w14:textId="22445E6D" w:rsidR="00617367" w:rsidRDefault="00B604F9" w:rsidP="00617367">
      <w:r>
        <w:t>While i</w:t>
      </w:r>
      <w:r w:rsidR="007202A9">
        <w:t xml:space="preserve">ssues associated with profit shifting to avoid company tax obligations </w:t>
      </w:r>
      <w:r w:rsidR="00B27C55">
        <w:t>are</w:t>
      </w:r>
      <w:r w:rsidR="007202A9">
        <w:t xml:space="preserve"> outside the scope of the review</w:t>
      </w:r>
      <w:r w:rsidR="002666E7">
        <w:t xml:space="preserve">, </w:t>
      </w:r>
      <w:r w:rsidR="008B646D">
        <w:t>the review</w:t>
      </w:r>
      <w:r w:rsidR="002666E7">
        <w:t xml:space="preserve"> note</w:t>
      </w:r>
      <w:r w:rsidR="008B646D">
        <w:t>s that</w:t>
      </w:r>
      <w:r w:rsidR="002666E7">
        <w:t xml:space="preserve"> the Government is pursuing the G20/OECD Base Erosion Profit Shifting agenda</w:t>
      </w:r>
      <w:r>
        <w:t>.</w:t>
      </w:r>
      <w:r w:rsidR="002666E7">
        <w:t xml:space="preserve"> On the issue of integrity of the PRRT legislation, see</w:t>
      </w:r>
      <w:r w:rsidR="002666E7">
        <w:rPr>
          <w:shd w:val="clear" w:color="auto" w:fill="FFFF00"/>
        </w:rPr>
        <w:t xml:space="preserve"> </w:t>
      </w:r>
      <w:r w:rsidR="006857D5" w:rsidRPr="006D28D4">
        <w:t>s</w:t>
      </w:r>
      <w:r w:rsidR="002666E7" w:rsidRPr="006D28D4">
        <w:t>ection</w:t>
      </w:r>
      <w:r w:rsidR="00817F1F" w:rsidRPr="006D28D4">
        <w:t> </w:t>
      </w:r>
      <w:r w:rsidR="002666E7" w:rsidRPr="006D28D4">
        <w:t>4.</w:t>
      </w:r>
      <w:r w:rsidR="00A76D6C" w:rsidRPr="006D28D4">
        <w:t>1</w:t>
      </w:r>
      <w:r w:rsidR="00A76D6C">
        <w:t>1</w:t>
      </w:r>
      <w:r w:rsidR="002666E7">
        <w:t xml:space="preserve"> which covers the robustness of the ATO</w:t>
      </w:r>
      <w:r w:rsidR="005D6F39">
        <w:t>’</w:t>
      </w:r>
      <w:r w:rsidR="002666E7">
        <w:t>s administration of the PRRT.</w:t>
      </w:r>
    </w:p>
    <w:p w14:paraId="02FA9C22" w14:textId="5BA74C5D" w:rsidR="00D640A2" w:rsidRDefault="00D640A2" w:rsidP="00D640A2">
      <w:pPr>
        <w:pStyle w:val="OutlineNumbered1"/>
        <w:rPr>
          <w:rFonts w:ascii="Century Gothic" w:hAnsi="Century Gothic" w:cs="Arial"/>
          <w:color w:val="1F497D" w:themeColor="text2"/>
          <w:kern w:val="32"/>
          <w:sz w:val="36"/>
          <w:szCs w:val="36"/>
        </w:rPr>
      </w:pPr>
      <w:bookmarkStart w:id="9560" w:name="_Toc476566723"/>
      <w:bookmarkStart w:id="9561" w:name="_Toc476577409"/>
      <w:bookmarkStart w:id="9562" w:name="_Toc476582398"/>
      <w:bookmarkStart w:id="9563" w:name="_Toc476583072"/>
      <w:bookmarkStart w:id="9564" w:name="_Toc476583789"/>
      <w:bookmarkStart w:id="9565" w:name="_Toc476584237"/>
      <w:r>
        <w:br w:type="page"/>
      </w:r>
    </w:p>
    <w:p w14:paraId="00D3D973" w14:textId="714F58E4" w:rsidR="00AA7794" w:rsidRDefault="004B72F6" w:rsidP="004B72F6">
      <w:pPr>
        <w:pStyle w:val="Heading1"/>
      </w:pPr>
      <w:bookmarkStart w:id="9566" w:name="_Toc476577410"/>
      <w:bookmarkStart w:id="9567" w:name="_Toc476582399"/>
      <w:bookmarkStart w:id="9568" w:name="_Toc476583073"/>
      <w:bookmarkStart w:id="9569" w:name="_Toc476583790"/>
      <w:bookmarkStart w:id="9570" w:name="_Toc476584238"/>
      <w:bookmarkStart w:id="9571" w:name="_Toc476738145"/>
      <w:bookmarkStart w:id="9572" w:name="_Toc476747730"/>
      <w:bookmarkStart w:id="9573" w:name="_Toc476749140"/>
      <w:bookmarkStart w:id="9574" w:name="_Toc476754007"/>
      <w:bookmarkStart w:id="9575" w:name="_Toc476754502"/>
      <w:bookmarkStart w:id="9576" w:name="_Toc476754667"/>
      <w:bookmarkStart w:id="9577" w:name="_Toc476759906"/>
      <w:bookmarkStart w:id="9578" w:name="_Toc476761528"/>
      <w:bookmarkStart w:id="9579" w:name="_Toc476767166"/>
      <w:bookmarkStart w:id="9580" w:name="_Toc476827212"/>
      <w:bookmarkStart w:id="9581" w:name="_Toc476828905"/>
      <w:bookmarkStart w:id="9582" w:name="_Toc476833779"/>
      <w:bookmarkStart w:id="9583" w:name="_Toc476837252"/>
      <w:bookmarkStart w:id="9584" w:name="_Toc476841125"/>
      <w:bookmarkStart w:id="9585" w:name="_Toc476841330"/>
      <w:bookmarkStart w:id="9586" w:name="_Toc476842089"/>
      <w:bookmarkStart w:id="9587" w:name="_Toc476843033"/>
      <w:bookmarkStart w:id="9588" w:name="_Toc476843204"/>
      <w:bookmarkStart w:id="9589" w:name="_Toc476844702"/>
      <w:bookmarkStart w:id="9590" w:name="_Toc476845595"/>
      <w:bookmarkStart w:id="9591" w:name="_Toc476926989"/>
      <w:bookmarkStart w:id="9592" w:name="_Toc476927102"/>
      <w:bookmarkStart w:id="9593" w:name="_Toc476927276"/>
      <w:bookmarkStart w:id="9594" w:name="_Toc476928540"/>
      <w:bookmarkStart w:id="9595" w:name="_Toc476929583"/>
      <w:bookmarkStart w:id="9596" w:name="_Toc476929758"/>
      <w:bookmarkStart w:id="9597" w:name="_Toc476930801"/>
      <w:bookmarkStart w:id="9598" w:name="_Toc476931608"/>
      <w:bookmarkStart w:id="9599" w:name="_Toc477869942"/>
      <w:bookmarkStart w:id="9600" w:name="_Toc477871181"/>
      <w:bookmarkStart w:id="9601" w:name="_Toc477873340"/>
      <w:bookmarkStart w:id="9602" w:name="_Toc477875334"/>
      <w:bookmarkStart w:id="9603" w:name="_Toc477880247"/>
      <w:bookmarkStart w:id="9604" w:name="_Toc477881507"/>
      <w:bookmarkStart w:id="9605" w:name="_Toc477955911"/>
      <w:bookmarkStart w:id="9606" w:name="_Toc477963156"/>
      <w:bookmarkStart w:id="9607" w:name="_Toc477963642"/>
      <w:bookmarkStart w:id="9608" w:name="_Toc477965228"/>
      <w:bookmarkStart w:id="9609" w:name="_Toc477966732"/>
      <w:bookmarkStart w:id="9610" w:name="_Toc477966901"/>
      <w:bookmarkStart w:id="9611" w:name="_Toc477967241"/>
      <w:bookmarkStart w:id="9612" w:name="_Toc478121378"/>
      <w:bookmarkStart w:id="9613" w:name="_Toc478122291"/>
      <w:bookmarkStart w:id="9614" w:name="_Toc478132121"/>
      <w:bookmarkStart w:id="9615" w:name="_Toc478132265"/>
      <w:bookmarkStart w:id="9616" w:name="_Toc478133291"/>
      <w:bookmarkStart w:id="9617" w:name="_Toc478132428"/>
      <w:bookmarkStart w:id="9618" w:name="_Toc478134757"/>
      <w:bookmarkStart w:id="9619" w:name="_Toc478137459"/>
      <w:bookmarkStart w:id="9620" w:name="_Toc478138531"/>
      <w:bookmarkStart w:id="9621" w:name="_Toc478140101"/>
      <w:bookmarkStart w:id="9622" w:name="_Toc478140517"/>
      <w:bookmarkStart w:id="9623" w:name="_Toc478142723"/>
      <w:bookmarkStart w:id="9624" w:name="_Toc478566442"/>
      <w:bookmarkStart w:id="9625" w:name="_Toc478569609"/>
      <w:bookmarkStart w:id="9626" w:name="_Toc478569783"/>
      <w:bookmarkStart w:id="9627" w:name="_Toc478570857"/>
      <w:bookmarkStart w:id="9628" w:name="_Toc478633056"/>
      <w:bookmarkStart w:id="9629" w:name="_Toc478641466"/>
      <w:bookmarkStart w:id="9630" w:name="_Toc478654360"/>
      <w:bookmarkStart w:id="9631" w:name="_Toc478654534"/>
      <w:bookmarkStart w:id="9632" w:name="_Toc478657829"/>
      <w:bookmarkStart w:id="9633" w:name="_Toc478993250"/>
      <w:bookmarkStart w:id="9634" w:name="_Toc479000321"/>
      <w:bookmarkStart w:id="9635" w:name="_Toc479002255"/>
      <w:bookmarkStart w:id="9636" w:name="_Toc479002427"/>
      <w:bookmarkStart w:id="9637" w:name="_Toc479254401"/>
      <w:bookmarkStart w:id="9638" w:name="_Toc479258590"/>
      <w:bookmarkStart w:id="9639" w:name="_Toc479258906"/>
      <w:bookmarkStart w:id="9640" w:name="_Toc479259798"/>
      <w:bookmarkStart w:id="9641" w:name="_Toc479262221"/>
      <w:bookmarkStart w:id="9642" w:name="_Toc479262642"/>
      <w:bookmarkStart w:id="9643" w:name="_Toc479321343"/>
      <w:bookmarkStart w:id="9644" w:name="_Toc479326782"/>
      <w:bookmarkStart w:id="9645" w:name="_Toc479333043"/>
      <w:bookmarkStart w:id="9646" w:name="_Toc479333381"/>
      <w:bookmarkStart w:id="9647" w:name="_Toc479335078"/>
      <w:bookmarkStart w:id="9648" w:name="_Toc479341793"/>
      <w:bookmarkStart w:id="9649" w:name="_Toc479345209"/>
      <w:bookmarkStart w:id="9650" w:name="_Toc479345418"/>
      <w:bookmarkStart w:id="9651" w:name="_Toc479348399"/>
      <w:bookmarkStart w:id="9652" w:name="_Toc479675992"/>
      <w:bookmarkStart w:id="9653" w:name="_Toc479690959"/>
      <w:bookmarkStart w:id="9654" w:name="_Toc479693537"/>
      <w:bookmarkStart w:id="9655" w:name="_Toc479770706"/>
      <w:bookmarkEnd w:id="9560"/>
      <w:bookmarkEnd w:id="9561"/>
      <w:bookmarkEnd w:id="9562"/>
      <w:bookmarkEnd w:id="9563"/>
      <w:bookmarkEnd w:id="9564"/>
      <w:bookmarkEnd w:id="9565"/>
      <w:r>
        <w:t>Bibliography</w:t>
      </w:r>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p>
    <w:p w14:paraId="4A2446C4" w14:textId="555A69EC" w:rsidR="00671AD6" w:rsidRDefault="00D338FA" w:rsidP="00E82A42">
      <w:pPr>
        <w:jc w:val="left"/>
        <w:rPr>
          <w:rStyle w:val="HTMLCite"/>
          <w:color w:val="666666"/>
        </w:rPr>
      </w:pPr>
      <w:r w:rsidRPr="00DE31DB">
        <w:t xml:space="preserve">Agalliu, I. (2011). </w:t>
      </w:r>
      <w:r w:rsidRPr="00DE31DB">
        <w:rPr>
          <w:i/>
        </w:rPr>
        <w:t xml:space="preserve">Comparative Assessment of the Federal Oil and Gas Fiscal </w:t>
      </w:r>
      <w:r w:rsidR="007A6518" w:rsidRPr="004B2051">
        <w:rPr>
          <w:i/>
        </w:rPr>
        <w:t>System</w:t>
      </w:r>
      <w:r w:rsidR="007A6518" w:rsidRPr="004B2051">
        <w:t>.</w:t>
      </w:r>
      <w:r w:rsidRPr="00DE31DB">
        <w:t xml:space="preserve"> US Department of the Interior Bureau of Ocean Energy Management. </w:t>
      </w:r>
      <w:r w:rsidR="007A6518" w:rsidRPr="004B2051">
        <w:t xml:space="preserve">October 2011. </w:t>
      </w:r>
      <w:r w:rsidRPr="00DE31DB">
        <w:t xml:space="preserve">Available at </w:t>
      </w:r>
      <w:hyperlink r:id="rId87" w:history="1">
        <w:r w:rsidR="00BE580D" w:rsidRPr="00814E54">
          <w:rPr>
            <w:rStyle w:val="Hyperlink"/>
          </w:rPr>
          <w:t>https://www.energy.senate.gov/public/index.cfm/files/serve?File_id=d174971c</w:t>
        </w:r>
        <w:r w:rsidR="005D6F39">
          <w:rPr>
            <w:rStyle w:val="Hyperlink"/>
          </w:rPr>
          <w:noBreakHyphen/>
        </w:r>
        <w:r w:rsidR="00BE580D" w:rsidRPr="00814E54">
          <w:rPr>
            <w:rStyle w:val="Hyperlink"/>
          </w:rPr>
          <w:t>4682</w:t>
        </w:r>
        <w:r w:rsidR="005D6F39">
          <w:rPr>
            <w:rStyle w:val="Hyperlink"/>
          </w:rPr>
          <w:noBreakHyphen/>
        </w:r>
        <w:r w:rsidR="00BE580D" w:rsidRPr="00814E54">
          <w:rPr>
            <w:rStyle w:val="Hyperlink"/>
          </w:rPr>
          <w:t>4d96</w:t>
        </w:r>
        <w:r w:rsidR="005D6F39">
          <w:rPr>
            <w:rStyle w:val="Hyperlink"/>
          </w:rPr>
          <w:noBreakHyphen/>
        </w:r>
        <w:r w:rsidR="00BE580D" w:rsidRPr="00814E54">
          <w:rPr>
            <w:rStyle w:val="Hyperlink"/>
          </w:rPr>
          <w:t>b194</w:t>
        </w:r>
        <w:r w:rsidR="005D6F39">
          <w:rPr>
            <w:rStyle w:val="Hyperlink"/>
          </w:rPr>
          <w:noBreakHyphen/>
        </w:r>
        <w:r w:rsidR="00BE580D" w:rsidRPr="00814E54">
          <w:rPr>
            <w:rStyle w:val="Hyperlink"/>
          </w:rPr>
          <w:t>a85fa2b86774</w:t>
        </w:r>
      </w:hyperlink>
      <w:r w:rsidR="00BE580D">
        <w:t xml:space="preserve"> </w:t>
      </w:r>
    </w:p>
    <w:p w14:paraId="1200AEC0" w14:textId="321B26BC" w:rsidR="007A6518" w:rsidRDefault="007A6518" w:rsidP="00E82A42">
      <w:pPr>
        <w:jc w:val="left"/>
      </w:pPr>
      <w:r w:rsidRPr="004B2051">
        <w:t>Alaska</w:t>
      </w:r>
      <w:r w:rsidR="00697B89" w:rsidRPr="004B2051">
        <w:t xml:space="preserve"> Department of Revenue (2015)</w:t>
      </w:r>
      <w:r w:rsidRPr="004B2051">
        <w:t xml:space="preserve">. </w:t>
      </w:r>
      <w:r w:rsidR="00697B89" w:rsidRPr="004B2051">
        <w:rPr>
          <w:i/>
        </w:rPr>
        <w:t>Alaska</w:t>
      </w:r>
      <w:r w:rsidR="005D6F39">
        <w:rPr>
          <w:i/>
        </w:rPr>
        <w:t>’</w:t>
      </w:r>
      <w:r w:rsidR="00697B89" w:rsidRPr="004B2051">
        <w:rPr>
          <w:i/>
        </w:rPr>
        <w:t>s Oil and Gas Competitiveness Report</w:t>
      </w:r>
      <w:r w:rsidR="00697B89" w:rsidRPr="004B2051">
        <w:t xml:space="preserve">. Alaska Oil and Gas Competitiveness Review Board. February 27, 2015. Available at: </w:t>
      </w:r>
      <w:hyperlink r:id="rId88" w:history="1">
        <w:r w:rsidR="00E91B60" w:rsidRPr="002248C2">
          <w:rPr>
            <w:rStyle w:val="Hyperlink"/>
          </w:rPr>
          <w:t>http://dor.alaska.gov/Oil</w:t>
        </w:r>
        <w:r w:rsidR="005D6F39">
          <w:rPr>
            <w:rStyle w:val="Hyperlink"/>
          </w:rPr>
          <w:noBreakHyphen/>
        </w:r>
        <w:r w:rsidR="00E91B60" w:rsidRPr="002248C2">
          <w:rPr>
            <w:rStyle w:val="Hyperlink"/>
          </w:rPr>
          <w:t>Gas</w:t>
        </w:r>
        <w:r w:rsidR="005D6F39">
          <w:rPr>
            <w:rStyle w:val="Hyperlink"/>
          </w:rPr>
          <w:noBreakHyphen/>
        </w:r>
        <w:r w:rsidR="00E91B60" w:rsidRPr="002248C2">
          <w:rPr>
            <w:rStyle w:val="Hyperlink"/>
          </w:rPr>
          <w:t>Competitiveness</w:t>
        </w:r>
        <w:r w:rsidR="005D6F39">
          <w:rPr>
            <w:rStyle w:val="Hyperlink"/>
          </w:rPr>
          <w:noBreakHyphen/>
        </w:r>
        <w:r w:rsidR="00E91B60" w:rsidRPr="002248C2">
          <w:rPr>
            <w:rStyle w:val="Hyperlink"/>
          </w:rPr>
          <w:t>Review</w:t>
        </w:r>
        <w:r w:rsidR="005D6F39">
          <w:rPr>
            <w:rStyle w:val="Hyperlink"/>
          </w:rPr>
          <w:noBreakHyphen/>
        </w:r>
        <w:r w:rsidR="00E91B60" w:rsidRPr="002248C2">
          <w:rPr>
            <w:rStyle w:val="Hyperlink"/>
          </w:rPr>
          <w:t>Board.aspx</w:t>
        </w:r>
      </w:hyperlink>
      <w:r w:rsidR="00E91B60">
        <w:t xml:space="preserve"> </w:t>
      </w:r>
    </w:p>
    <w:p w14:paraId="4C182A1C" w14:textId="22B386C4" w:rsidR="00E91B60" w:rsidRDefault="007A6518" w:rsidP="00E82A42">
      <w:pPr>
        <w:jc w:val="left"/>
      </w:pPr>
      <w:r w:rsidRPr="004B2051">
        <w:t xml:space="preserve">Alberta Oil and Gas Industry Quarterly Update (2016). Winter </w:t>
      </w:r>
      <w:r w:rsidR="005251D4" w:rsidRPr="004B2051">
        <w:t>201</w:t>
      </w:r>
      <w:r w:rsidR="005251D4">
        <w:t>6</w:t>
      </w:r>
      <w:r w:rsidRPr="004B2051">
        <w:t>.</w:t>
      </w:r>
      <w:r w:rsidR="00E91B60">
        <w:t xml:space="preserve"> Available at:</w:t>
      </w:r>
      <w:r w:rsidR="00E91B60" w:rsidRPr="00E91B60">
        <w:t xml:space="preserve"> </w:t>
      </w:r>
      <w:hyperlink r:id="rId89" w:history="1">
        <w:r w:rsidR="00E91B60" w:rsidRPr="002248C2">
          <w:rPr>
            <w:rStyle w:val="Hyperlink"/>
          </w:rPr>
          <w:t>http://www.albertacanada.com/business/statistics/oil</w:t>
        </w:r>
        <w:r w:rsidR="005D6F39">
          <w:rPr>
            <w:rStyle w:val="Hyperlink"/>
          </w:rPr>
          <w:noBreakHyphen/>
        </w:r>
        <w:r w:rsidR="00E91B60" w:rsidRPr="002248C2">
          <w:rPr>
            <w:rStyle w:val="Hyperlink"/>
          </w:rPr>
          <w:t>and</w:t>
        </w:r>
        <w:r w:rsidR="005D6F39">
          <w:rPr>
            <w:rStyle w:val="Hyperlink"/>
          </w:rPr>
          <w:noBreakHyphen/>
        </w:r>
        <w:r w:rsidR="00E91B60" w:rsidRPr="002248C2">
          <w:rPr>
            <w:rStyle w:val="Hyperlink"/>
          </w:rPr>
          <w:t>gas</w:t>
        </w:r>
        <w:r w:rsidR="005D6F39">
          <w:rPr>
            <w:rStyle w:val="Hyperlink"/>
          </w:rPr>
          <w:noBreakHyphen/>
        </w:r>
        <w:r w:rsidR="00E91B60" w:rsidRPr="002248C2">
          <w:rPr>
            <w:rStyle w:val="Hyperlink"/>
          </w:rPr>
          <w:t>quarterly.aspx</w:t>
        </w:r>
      </w:hyperlink>
      <w:r w:rsidR="00E91B60">
        <w:t xml:space="preserve"> </w:t>
      </w:r>
    </w:p>
    <w:p w14:paraId="34B0E1E8" w14:textId="29C4A8D2" w:rsidR="006A5285" w:rsidRPr="00DE31DB" w:rsidRDefault="006A5285" w:rsidP="006A5285">
      <w:pPr>
        <w:jc w:val="left"/>
      </w:pPr>
      <w:r w:rsidRPr="004B2051">
        <w:t>Australia</w:t>
      </w:r>
      <w:r w:rsidR="005D6F39">
        <w:t>’</w:t>
      </w:r>
      <w:r w:rsidRPr="004B2051">
        <w:t xml:space="preserve">s Future Tax System Review (2010). </w:t>
      </w:r>
      <w:r w:rsidRPr="004B2051">
        <w:rPr>
          <w:i/>
        </w:rPr>
        <w:t>Australia</w:t>
      </w:r>
      <w:r w:rsidR="005D6F39">
        <w:rPr>
          <w:i/>
        </w:rPr>
        <w:t>’</w:t>
      </w:r>
      <w:r w:rsidRPr="004B2051">
        <w:rPr>
          <w:i/>
        </w:rPr>
        <w:t>s Future Tax System: Report to Treasurer.</w:t>
      </w:r>
      <w:r w:rsidRPr="004B2051">
        <w:t xml:space="preserve"> Commonwealth of Australia. Available at: </w:t>
      </w:r>
      <w:hyperlink r:id="rId90" w:history="1">
        <w:r w:rsidR="006269D7" w:rsidRPr="00814E54">
          <w:rPr>
            <w:rStyle w:val="Hyperlink"/>
          </w:rPr>
          <w:t>http://taxreview.treasury.gov.au/</w:t>
        </w:r>
      </w:hyperlink>
      <w:r w:rsidR="006269D7">
        <w:t xml:space="preserve"> </w:t>
      </w:r>
    </w:p>
    <w:p w14:paraId="40F84FAB" w14:textId="4351F7B9" w:rsidR="007B1582" w:rsidRPr="00DE31DB" w:rsidRDefault="007B1582" w:rsidP="001F1AFE">
      <w:pPr>
        <w:jc w:val="left"/>
      </w:pPr>
      <w:r w:rsidRPr="004B2051">
        <w:t xml:space="preserve">Australian Bureau of Statistics (2016). </w:t>
      </w:r>
      <w:r w:rsidRPr="004B2051">
        <w:rPr>
          <w:i/>
        </w:rPr>
        <w:t>Mineral and Petroleum Exploration, Australia</w:t>
      </w:r>
      <w:r w:rsidR="009C065A" w:rsidRPr="004B2051">
        <w:t>.</w:t>
      </w:r>
      <w:r w:rsidRPr="004B2051">
        <w:t xml:space="preserve"> Dec 2016, Cat. No. 8412.0. Available at www.abs.gov.au/AUSSTATS/abs@.nsf/Lookup/8412.0Main+Features1Dec%202016?OpenDocument</w:t>
      </w:r>
    </w:p>
    <w:p w14:paraId="1F660496" w14:textId="2C814554" w:rsidR="00EB08B3" w:rsidRDefault="00EB08B3" w:rsidP="001F1AFE">
      <w:pPr>
        <w:jc w:val="left"/>
      </w:pPr>
      <w:r w:rsidRPr="00DE31DB">
        <w:t xml:space="preserve">Australian Competition and Consumer Commission (2016). </w:t>
      </w:r>
      <w:r w:rsidR="00A840F9" w:rsidRPr="00DE31DB">
        <w:rPr>
          <w:i/>
        </w:rPr>
        <w:t>Inquiry into the East Coast Gas Market</w:t>
      </w:r>
      <w:r w:rsidR="00A840F9" w:rsidRPr="00DE31DB">
        <w:t xml:space="preserve">. April 2016. Available at: </w:t>
      </w:r>
      <w:hyperlink r:id="rId91" w:history="1">
        <w:r w:rsidR="00A840F9" w:rsidRPr="00DE31DB">
          <w:rPr>
            <w:rStyle w:val="Hyperlink"/>
          </w:rPr>
          <w:t>https://www.accc.gov.au/regulated</w:t>
        </w:r>
        <w:r w:rsidR="005D6F39">
          <w:rPr>
            <w:rStyle w:val="Hyperlink"/>
          </w:rPr>
          <w:noBreakHyphen/>
        </w:r>
        <w:r w:rsidR="00A840F9" w:rsidRPr="00DE31DB">
          <w:rPr>
            <w:rStyle w:val="Hyperlink"/>
          </w:rPr>
          <w:t>infrastructure/energy/east</w:t>
        </w:r>
        <w:r w:rsidR="005D6F39">
          <w:rPr>
            <w:rStyle w:val="Hyperlink"/>
          </w:rPr>
          <w:noBreakHyphen/>
        </w:r>
        <w:r w:rsidR="00A840F9" w:rsidRPr="00DE31DB">
          <w:rPr>
            <w:rStyle w:val="Hyperlink"/>
          </w:rPr>
          <w:t>coast</w:t>
        </w:r>
        <w:r w:rsidR="005D6F39">
          <w:rPr>
            <w:rStyle w:val="Hyperlink"/>
          </w:rPr>
          <w:noBreakHyphen/>
        </w:r>
        <w:r w:rsidR="00A840F9" w:rsidRPr="00DE31DB">
          <w:rPr>
            <w:rStyle w:val="Hyperlink"/>
          </w:rPr>
          <w:t>gas</w:t>
        </w:r>
        <w:r w:rsidR="005D6F39">
          <w:rPr>
            <w:rStyle w:val="Hyperlink"/>
          </w:rPr>
          <w:noBreakHyphen/>
        </w:r>
        <w:r w:rsidR="00A840F9" w:rsidRPr="00DE31DB">
          <w:rPr>
            <w:rStyle w:val="Hyperlink"/>
          </w:rPr>
          <w:t>inquiry</w:t>
        </w:r>
        <w:r w:rsidR="005D6F39">
          <w:rPr>
            <w:rStyle w:val="Hyperlink"/>
          </w:rPr>
          <w:noBreakHyphen/>
        </w:r>
        <w:r w:rsidR="00A840F9" w:rsidRPr="00DE31DB">
          <w:rPr>
            <w:rStyle w:val="Hyperlink"/>
          </w:rPr>
          <w:t>2015</w:t>
        </w:r>
      </w:hyperlink>
      <w:r w:rsidR="00A840F9" w:rsidRPr="00DE31DB">
        <w:t xml:space="preserve"> </w:t>
      </w:r>
    </w:p>
    <w:p w14:paraId="1ECA9B4C" w14:textId="40BA6AF3" w:rsidR="00DF3173" w:rsidRDefault="00DF3173" w:rsidP="001F1AFE">
      <w:pPr>
        <w:jc w:val="left"/>
      </w:pPr>
      <w:r w:rsidRPr="00DF3173">
        <w:t>Australian</w:t>
      </w:r>
      <w:r>
        <w:t xml:space="preserve"> Energy Market Operator (</w:t>
      </w:r>
      <w:r w:rsidR="002F1691">
        <w:t>2017</w:t>
      </w:r>
      <w:r>
        <w:t xml:space="preserve">). </w:t>
      </w:r>
      <w:r w:rsidRPr="00DF3173">
        <w:rPr>
          <w:i/>
        </w:rPr>
        <w:t xml:space="preserve">Gas Statement of Opportunities </w:t>
      </w:r>
      <w:r w:rsidR="007A71F6">
        <w:rPr>
          <w:i/>
        </w:rPr>
        <w:t>f</w:t>
      </w:r>
      <w:r w:rsidRPr="00DF3173">
        <w:rPr>
          <w:i/>
        </w:rPr>
        <w:t>or Eastern and South</w:t>
      </w:r>
      <w:r w:rsidR="005D6F39">
        <w:rPr>
          <w:i/>
        </w:rPr>
        <w:noBreakHyphen/>
      </w:r>
      <w:r w:rsidRPr="00DF3173">
        <w:rPr>
          <w:i/>
        </w:rPr>
        <w:t>Eastern</w:t>
      </w:r>
      <w:r>
        <w:t xml:space="preserve"> </w:t>
      </w:r>
      <w:r w:rsidRPr="00DF3173">
        <w:rPr>
          <w:i/>
        </w:rPr>
        <w:t>Australia</w:t>
      </w:r>
      <w:r>
        <w:t xml:space="preserve">. March 2016. Available at: </w:t>
      </w:r>
      <w:hyperlink r:id="rId92" w:history="1">
        <w:r w:rsidRPr="003F2EDA">
          <w:rPr>
            <w:rStyle w:val="Hyperlink"/>
          </w:rPr>
          <w:t>https://www.aemo.com.au/</w:t>
        </w:r>
        <w:r w:rsidR="005D6F39">
          <w:rPr>
            <w:rStyle w:val="Hyperlink"/>
          </w:rPr>
          <w:noBreakHyphen/>
        </w:r>
        <w:r w:rsidRPr="003F2EDA">
          <w:rPr>
            <w:rStyle w:val="Hyperlink"/>
          </w:rPr>
          <w:t>/media/Files/PDF/2016</w:t>
        </w:r>
        <w:r w:rsidR="005D6F39">
          <w:rPr>
            <w:rStyle w:val="Hyperlink"/>
          </w:rPr>
          <w:noBreakHyphen/>
        </w:r>
        <w:r w:rsidRPr="003F2EDA">
          <w:rPr>
            <w:rStyle w:val="Hyperlink"/>
          </w:rPr>
          <w:t>Gas</w:t>
        </w:r>
        <w:r w:rsidR="005D6F39">
          <w:rPr>
            <w:rStyle w:val="Hyperlink"/>
          </w:rPr>
          <w:noBreakHyphen/>
        </w:r>
        <w:r w:rsidRPr="003F2EDA">
          <w:rPr>
            <w:rStyle w:val="Hyperlink"/>
          </w:rPr>
          <w:t>Statement</w:t>
        </w:r>
        <w:r w:rsidR="005D6F39">
          <w:rPr>
            <w:rStyle w:val="Hyperlink"/>
          </w:rPr>
          <w:noBreakHyphen/>
        </w:r>
        <w:r w:rsidRPr="003F2EDA">
          <w:rPr>
            <w:rStyle w:val="Hyperlink"/>
          </w:rPr>
          <w:t>of</w:t>
        </w:r>
        <w:r w:rsidR="005D6F39">
          <w:rPr>
            <w:rStyle w:val="Hyperlink"/>
          </w:rPr>
          <w:noBreakHyphen/>
        </w:r>
        <w:r w:rsidRPr="003F2EDA">
          <w:rPr>
            <w:rStyle w:val="Hyperlink"/>
          </w:rPr>
          <w:t>Opportunities.pdf</w:t>
        </w:r>
      </w:hyperlink>
      <w:r>
        <w:t xml:space="preserve"> </w:t>
      </w:r>
    </w:p>
    <w:p w14:paraId="193BABDA" w14:textId="50E2174D" w:rsidR="00DF3173" w:rsidRPr="00DF3173" w:rsidRDefault="00DF3173" w:rsidP="001F1AFE">
      <w:pPr>
        <w:jc w:val="left"/>
      </w:pPr>
      <w:r w:rsidRPr="00DF3173">
        <w:t>Australian</w:t>
      </w:r>
      <w:r>
        <w:t xml:space="preserve"> Energy Market Operator (</w:t>
      </w:r>
      <w:r w:rsidR="002F1691">
        <w:t>2016</w:t>
      </w:r>
      <w:r>
        <w:t xml:space="preserve">). </w:t>
      </w:r>
      <w:r w:rsidRPr="00DF3173">
        <w:rPr>
          <w:i/>
        </w:rPr>
        <w:t>Gas Statement of Opportunities for Western Australia.</w:t>
      </w:r>
      <w:r>
        <w:t xml:space="preserve"> December 2016. Available at: </w:t>
      </w:r>
      <w:hyperlink r:id="rId93" w:history="1">
        <w:r w:rsidRPr="003F2EDA">
          <w:rPr>
            <w:rStyle w:val="Hyperlink"/>
          </w:rPr>
          <w:t>https://www.aemo.com.au/</w:t>
        </w:r>
        <w:r w:rsidR="005D6F39">
          <w:rPr>
            <w:rStyle w:val="Hyperlink"/>
          </w:rPr>
          <w:noBreakHyphen/>
        </w:r>
        <w:r w:rsidRPr="003F2EDA">
          <w:rPr>
            <w:rStyle w:val="Hyperlink"/>
          </w:rPr>
          <w:t>/media/Files/Gas/National_Planning_and_Forecasting/WA_GSOO/2016/2016</w:t>
        </w:r>
        <w:r w:rsidR="005D6F39">
          <w:rPr>
            <w:rStyle w:val="Hyperlink"/>
          </w:rPr>
          <w:noBreakHyphen/>
        </w:r>
        <w:r w:rsidRPr="003F2EDA">
          <w:rPr>
            <w:rStyle w:val="Hyperlink"/>
          </w:rPr>
          <w:t>WA</w:t>
        </w:r>
        <w:r w:rsidR="005D6F39">
          <w:rPr>
            <w:rStyle w:val="Hyperlink"/>
          </w:rPr>
          <w:noBreakHyphen/>
        </w:r>
        <w:r w:rsidRPr="003F2EDA">
          <w:rPr>
            <w:rStyle w:val="Hyperlink"/>
          </w:rPr>
          <w:t>Gas</w:t>
        </w:r>
        <w:r w:rsidR="005D6F39">
          <w:rPr>
            <w:rStyle w:val="Hyperlink"/>
          </w:rPr>
          <w:noBreakHyphen/>
        </w:r>
        <w:r w:rsidRPr="003F2EDA">
          <w:rPr>
            <w:rStyle w:val="Hyperlink"/>
          </w:rPr>
          <w:t>Statement</w:t>
        </w:r>
        <w:r w:rsidR="005D6F39">
          <w:rPr>
            <w:rStyle w:val="Hyperlink"/>
          </w:rPr>
          <w:noBreakHyphen/>
        </w:r>
        <w:r w:rsidRPr="003F2EDA">
          <w:rPr>
            <w:rStyle w:val="Hyperlink"/>
          </w:rPr>
          <w:t>of</w:t>
        </w:r>
        <w:r w:rsidR="005D6F39">
          <w:rPr>
            <w:rStyle w:val="Hyperlink"/>
          </w:rPr>
          <w:noBreakHyphen/>
        </w:r>
        <w:r w:rsidRPr="003F2EDA">
          <w:rPr>
            <w:rStyle w:val="Hyperlink"/>
          </w:rPr>
          <w:t>Opportunities.pdf</w:t>
        </w:r>
      </w:hyperlink>
    </w:p>
    <w:p w14:paraId="12F393CC" w14:textId="324EECC4" w:rsidR="000A6931" w:rsidRDefault="000A6931" w:rsidP="001F1AFE">
      <w:pPr>
        <w:jc w:val="left"/>
      </w:pPr>
      <w:r w:rsidRPr="004B2051">
        <w:t xml:space="preserve">Australian National Audit Office (2009). </w:t>
      </w:r>
      <w:r w:rsidRPr="004B2051">
        <w:rPr>
          <w:i/>
        </w:rPr>
        <w:t>Administration of the Petroleum Resource Rent Tax</w:t>
      </w:r>
      <w:r w:rsidRPr="004B2051">
        <w:t xml:space="preserve">. 20 May, 2009. Available at: </w:t>
      </w:r>
      <w:hyperlink r:id="rId94" w:history="1">
        <w:r w:rsidR="00912C6B" w:rsidRPr="004B2051">
          <w:rPr>
            <w:rStyle w:val="Hyperlink"/>
          </w:rPr>
          <w:t>https://www.anao.gov.au/work/performance</w:t>
        </w:r>
        <w:r w:rsidR="005D6F39">
          <w:rPr>
            <w:rStyle w:val="Hyperlink"/>
          </w:rPr>
          <w:noBreakHyphen/>
        </w:r>
        <w:r w:rsidR="00912C6B" w:rsidRPr="004B2051">
          <w:rPr>
            <w:rStyle w:val="Hyperlink"/>
          </w:rPr>
          <w:t>audit/administration</w:t>
        </w:r>
        <w:r w:rsidR="005D6F39">
          <w:rPr>
            <w:rStyle w:val="Hyperlink"/>
          </w:rPr>
          <w:noBreakHyphen/>
        </w:r>
        <w:r w:rsidR="00912C6B" w:rsidRPr="004B2051">
          <w:rPr>
            <w:rStyle w:val="Hyperlink"/>
          </w:rPr>
          <w:t>petroleum</w:t>
        </w:r>
        <w:r w:rsidR="005D6F39">
          <w:rPr>
            <w:rStyle w:val="Hyperlink"/>
          </w:rPr>
          <w:noBreakHyphen/>
        </w:r>
        <w:r w:rsidR="00912C6B" w:rsidRPr="004B2051">
          <w:rPr>
            <w:rStyle w:val="Hyperlink"/>
          </w:rPr>
          <w:t>resource</w:t>
        </w:r>
        <w:r w:rsidR="005D6F39">
          <w:rPr>
            <w:rStyle w:val="Hyperlink"/>
          </w:rPr>
          <w:noBreakHyphen/>
        </w:r>
        <w:r w:rsidR="00912C6B" w:rsidRPr="004B2051">
          <w:rPr>
            <w:rStyle w:val="Hyperlink"/>
          </w:rPr>
          <w:t>rent</w:t>
        </w:r>
        <w:r w:rsidR="005D6F39">
          <w:rPr>
            <w:rStyle w:val="Hyperlink"/>
          </w:rPr>
          <w:noBreakHyphen/>
        </w:r>
        <w:r w:rsidR="00912C6B" w:rsidRPr="004B2051">
          <w:rPr>
            <w:rStyle w:val="Hyperlink"/>
          </w:rPr>
          <w:t>tax</w:t>
        </w:r>
      </w:hyperlink>
    </w:p>
    <w:p w14:paraId="34FE1DB8" w14:textId="1214E674" w:rsidR="00912C6B" w:rsidRDefault="00912C6B" w:rsidP="001F1AFE">
      <w:pPr>
        <w:jc w:val="left"/>
      </w:pPr>
      <w:r w:rsidRPr="004B2051">
        <w:t xml:space="preserve">Australian National Audit Office (2016). </w:t>
      </w:r>
      <w:r w:rsidRPr="004B2051">
        <w:rPr>
          <w:i/>
        </w:rPr>
        <w:t>Collection of the North West Shelf Royalty Revenue</w:t>
      </w:r>
      <w:r w:rsidRPr="004B2051">
        <w:t>. Available at: https://www.anao.gov.au/sites/g/files/net2766/f/ANAO_Report_2016</w:t>
      </w:r>
      <w:r w:rsidR="005D6F39">
        <w:noBreakHyphen/>
      </w:r>
      <w:r w:rsidRPr="004B2051">
        <w:t>2017_%2028.pdf</w:t>
      </w:r>
    </w:p>
    <w:p w14:paraId="6309906F" w14:textId="74B9A6ED" w:rsidR="00AA7794" w:rsidRDefault="00AA7794" w:rsidP="001F1AFE">
      <w:pPr>
        <w:jc w:val="left"/>
      </w:pPr>
      <w:r w:rsidRPr="00DE31DB">
        <w:t>Australian Tax</w:t>
      </w:r>
      <w:r w:rsidR="00841BCD">
        <w:t>ation</w:t>
      </w:r>
      <w:r w:rsidRPr="00DE31DB">
        <w:t xml:space="preserve"> Office (2016). Timor Sea Treaty: Joint Petroleum Development Area instructions 2016, Available at: </w:t>
      </w:r>
      <w:hyperlink r:id="rId95" w:anchor="Background" w:history="1">
        <w:r w:rsidR="00175163" w:rsidRPr="00DE31DB">
          <w:rPr>
            <w:rStyle w:val="Hyperlink"/>
          </w:rPr>
          <w:t>https://www.ato.gov.au/Forms/Timor</w:t>
        </w:r>
        <w:r w:rsidR="005D6F39">
          <w:rPr>
            <w:rStyle w:val="Hyperlink"/>
          </w:rPr>
          <w:noBreakHyphen/>
        </w:r>
        <w:r w:rsidR="00175163" w:rsidRPr="00DE31DB">
          <w:rPr>
            <w:rStyle w:val="Hyperlink"/>
          </w:rPr>
          <w:t>Sea</w:t>
        </w:r>
        <w:r w:rsidR="005D6F39">
          <w:rPr>
            <w:rStyle w:val="Hyperlink"/>
          </w:rPr>
          <w:noBreakHyphen/>
        </w:r>
        <w:r w:rsidR="00175163" w:rsidRPr="00DE31DB">
          <w:rPr>
            <w:rStyle w:val="Hyperlink"/>
          </w:rPr>
          <w:t>Treaty</w:t>
        </w:r>
        <w:r w:rsidR="005D6F39">
          <w:rPr>
            <w:rStyle w:val="Hyperlink"/>
          </w:rPr>
          <w:noBreakHyphen/>
        </w:r>
        <w:r w:rsidR="005D6F39">
          <w:rPr>
            <w:rStyle w:val="Hyperlink"/>
          </w:rPr>
          <w:noBreakHyphen/>
        </w:r>
        <w:r w:rsidR="005D6F39">
          <w:rPr>
            <w:rStyle w:val="Hyperlink"/>
          </w:rPr>
          <w:noBreakHyphen/>
        </w:r>
        <w:r w:rsidR="00175163" w:rsidRPr="00DE31DB">
          <w:rPr>
            <w:rStyle w:val="Hyperlink"/>
          </w:rPr>
          <w:t>Joint</w:t>
        </w:r>
        <w:r w:rsidR="005D6F39">
          <w:rPr>
            <w:rStyle w:val="Hyperlink"/>
          </w:rPr>
          <w:noBreakHyphen/>
        </w:r>
        <w:r w:rsidR="00175163" w:rsidRPr="00DE31DB">
          <w:rPr>
            <w:rStyle w:val="Hyperlink"/>
          </w:rPr>
          <w:t>Petroleum</w:t>
        </w:r>
        <w:r w:rsidR="005D6F39">
          <w:rPr>
            <w:rStyle w:val="Hyperlink"/>
          </w:rPr>
          <w:noBreakHyphen/>
        </w:r>
        <w:r w:rsidR="00175163" w:rsidRPr="00DE31DB">
          <w:rPr>
            <w:rStyle w:val="Hyperlink"/>
          </w:rPr>
          <w:t>Development</w:t>
        </w:r>
        <w:r w:rsidR="005D6F39">
          <w:rPr>
            <w:rStyle w:val="Hyperlink"/>
          </w:rPr>
          <w:noBreakHyphen/>
        </w:r>
        <w:r w:rsidR="00175163" w:rsidRPr="00DE31DB">
          <w:rPr>
            <w:rStyle w:val="Hyperlink"/>
          </w:rPr>
          <w:t>Area</w:t>
        </w:r>
        <w:r w:rsidR="005D6F39">
          <w:rPr>
            <w:rStyle w:val="Hyperlink"/>
          </w:rPr>
          <w:noBreakHyphen/>
        </w:r>
        <w:r w:rsidR="00175163" w:rsidRPr="00DE31DB">
          <w:rPr>
            <w:rStyle w:val="Hyperlink"/>
          </w:rPr>
          <w:t>instructions</w:t>
        </w:r>
        <w:r w:rsidR="005D6F39">
          <w:rPr>
            <w:rStyle w:val="Hyperlink"/>
          </w:rPr>
          <w:noBreakHyphen/>
        </w:r>
        <w:r w:rsidR="00175163" w:rsidRPr="00DE31DB">
          <w:rPr>
            <w:rStyle w:val="Hyperlink"/>
          </w:rPr>
          <w:t>2016/?page=2#Background</w:t>
        </w:r>
      </w:hyperlink>
    </w:p>
    <w:p w14:paraId="4534D7AB" w14:textId="44ADD437" w:rsidR="00175B49" w:rsidRPr="00DE31DB" w:rsidRDefault="00175B49" w:rsidP="00175B49">
      <w:pPr>
        <w:jc w:val="left"/>
      </w:pPr>
      <w:r w:rsidRPr="004B2051">
        <w:t xml:space="preserve">Barrymore, S and Butler, A (2015). </w:t>
      </w:r>
      <w:r w:rsidRPr="004B2051">
        <w:rPr>
          <w:i/>
        </w:rPr>
        <w:t>Decommissioning Facilities in Australia</w:t>
      </w:r>
      <w:r w:rsidR="005D6F39">
        <w:rPr>
          <w:i/>
        </w:rPr>
        <w:t>’</w:t>
      </w:r>
      <w:r w:rsidRPr="004B2051">
        <w:rPr>
          <w:i/>
        </w:rPr>
        <w:t>s Offshore Areas</w:t>
      </w:r>
      <w:r w:rsidR="005D6F39">
        <w:rPr>
          <w:i/>
        </w:rPr>
        <w:t xml:space="preserve"> — </w:t>
      </w:r>
      <w:r w:rsidRPr="004B2051">
        <w:rPr>
          <w:i/>
        </w:rPr>
        <w:t>Whose Responsibility?</w:t>
      </w:r>
      <w:r w:rsidRPr="004B2051">
        <w:rPr>
          <w:lang w:val="en"/>
        </w:rPr>
        <w:t xml:space="preserve"> Available at</w:t>
      </w:r>
      <w:r w:rsidRPr="004B2051">
        <w:t xml:space="preserve">: </w:t>
      </w:r>
      <w:hyperlink r:id="rId96" w:history="1">
        <w:r w:rsidRPr="004B2051">
          <w:rPr>
            <w:rStyle w:val="Hyperlink"/>
          </w:rPr>
          <w:t>https://www.ampla.org/conference</w:t>
        </w:r>
        <w:r w:rsidR="005D6F39">
          <w:rPr>
            <w:rStyle w:val="Hyperlink"/>
          </w:rPr>
          <w:noBreakHyphen/>
        </w:r>
        <w:r w:rsidRPr="004B2051">
          <w:rPr>
            <w:rStyle w:val="Hyperlink"/>
          </w:rPr>
          <w:t>information/5b2</w:t>
        </w:r>
        <w:r w:rsidR="005D6F39">
          <w:rPr>
            <w:rStyle w:val="Hyperlink"/>
          </w:rPr>
          <w:noBreakHyphen/>
        </w:r>
        <w:r w:rsidRPr="004B2051">
          <w:rPr>
            <w:rStyle w:val="Hyperlink"/>
          </w:rPr>
          <w:t>barrymore/2015</w:t>
        </w:r>
        <w:r w:rsidR="005D6F39">
          <w:rPr>
            <w:rStyle w:val="Hyperlink"/>
          </w:rPr>
          <w:noBreakHyphen/>
        </w:r>
        <w:r w:rsidRPr="004B2051">
          <w:rPr>
            <w:rStyle w:val="Hyperlink"/>
          </w:rPr>
          <w:t>annual</w:t>
        </w:r>
        <w:r w:rsidR="005D6F39">
          <w:rPr>
            <w:rStyle w:val="Hyperlink"/>
          </w:rPr>
          <w:noBreakHyphen/>
        </w:r>
        <w:r w:rsidRPr="004B2051">
          <w:rPr>
            <w:rStyle w:val="Hyperlink"/>
          </w:rPr>
          <w:t>conference</w:t>
        </w:r>
        <w:r w:rsidR="005D6F39">
          <w:rPr>
            <w:rStyle w:val="Hyperlink"/>
          </w:rPr>
          <w:noBreakHyphen/>
        </w:r>
        <w:r w:rsidR="005D6F39">
          <w:rPr>
            <w:rStyle w:val="Hyperlink"/>
          </w:rPr>
          <w:noBreakHyphen/>
        </w:r>
        <w:r w:rsidR="005D6F39">
          <w:rPr>
            <w:rStyle w:val="Hyperlink"/>
          </w:rPr>
          <w:noBreakHyphen/>
        </w:r>
        <w:r w:rsidRPr="004B2051">
          <w:rPr>
            <w:rStyle w:val="Hyperlink"/>
          </w:rPr>
          <w:t>perth</w:t>
        </w:r>
      </w:hyperlink>
      <w:r w:rsidRPr="004B2051">
        <w:t xml:space="preserve"> </w:t>
      </w:r>
    </w:p>
    <w:p w14:paraId="1E42C9C7" w14:textId="33587C04" w:rsidR="00175163" w:rsidRDefault="00175163" w:rsidP="001F1AFE">
      <w:pPr>
        <w:jc w:val="left"/>
      </w:pPr>
      <w:r w:rsidRPr="004B2051">
        <w:t>Brown</w:t>
      </w:r>
      <w:r w:rsidR="00642EA7" w:rsidRPr="004B2051">
        <w:t xml:space="preserve">, E. C. (1948), </w:t>
      </w:r>
      <w:r w:rsidR="005D6F39">
        <w:t>‘</w:t>
      </w:r>
      <w:r w:rsidR="00642EA7" w:rsidRPr="004B2051">
        <w:t>Business Income Taxation and Investment Incentives</w:t>
      </w:r>
      <w:r w:rsidR="005D6F39">
        <w:t>’</w:t>
      </w:r>
      <w:r w:rsidR="00642EA7" w:rsidRPr="004B2051">
        <w:t xml:space="preserve"> in </w:t>
      </w:r>
      <w:r w:rsidR="00CB4E50" w:rsidRPr="004B2051">
        <w:t xml:space="preserve">edited book </w:t>
      </w:r>
      <w:r w:rsidR="00642EA7" w:rsidRPr="004B2051">
        <w:rPr>
          <w:i/>
        </w:rPr>
        <w:t>Income Employment and Public Policy, Essays in Honor of Alvin H. Hansen</w:t>
      </w:r>
      <w:r w:rsidR="00CB4E50" w:rsidRPr="004B2051">
        <w:t>. Edited by L. A.Metzler, H. S.Perloff and E. D.Domar.</w:t>
      </w:r>
      <w:r w:rsidR="00642EA7" w:rsidRPr="004B2051">
        <w:t xml:space="preserve"> Norton, New York.</w:t>
      </w:r>
    </w:p>
    <w:p w14:paraId="6C94CABD" w14:textId="7ED15796" w:rsidR="00E37428" w:rsidRDefault="00E37428" w:rsidP="001F1AFE">
      <w:pPr>
        <w:jc w:val="left"/>
      </w:pPr>
      <w:r w:rsidRPr="004B2051">
        <w:t xml:space="preserve">Chevron (2012 and 2013). </w:t>
      </w:r>
      <w:r w:rsidR="000A2DD4" w:rsidRPr="004B2051">
        <w:rPr>
          <w:i/>
        </w:rPr>
        <w:t>Press Releases</w:t>
      </w:r>
      <w:r w:rsidRPr="004B2051">
        <w:t>. Available at www.chevron.com/investors/press</w:t>
      </w:r>
      <w:r w:rsidR="005D6F39">
        <w:noBreakHyphen/>
      </w:r>
      <w:r w:rsidRPr="004B2051">
        <w:t>releases</w:t>
      </w:r>
    </w:p>
    <w:p w14:paraId="304EED38" w14:textId="194456B5" w:rsidR="007B4819" w:rsidRDefault="007B4819" w:rsidP="001F1AFE">
      <w:pPr>
        <w:jc w:val="left"/>
      </w:pPr>
      <w:r w:rsidRPr="004B2051">
        <w:t>Commonwealth Government (1983</w:t>
      </w:r>
      <w:r w:rsidR="006A5285" w:rsidRPr="004B2051">
        <w:t>).</w:t>
      </w:r>
      <w:r w:rsidRPr="004B2051">
        <w:t xml:space="preserve"> </w:t>
      </w:r>
      <w:r w:rsidRPr="004B2051">
        <w:rPr>
          <w:i/>
        </w:rPr>
        <w:t>Discussion Paper on Resource Rent Tax in the Petroleum Sector</w:t>
      </w:r>
      <w:r w:rsidR="006A5285" w:rsidRPr="004B2051">
        <w:t>.</w:t>
      </w:r>
      <w:r w:rsidRPr="004B2051">
        <w:t xml:space="preserve"> December</w:t>
      </w:r>
      <w:r w:rsidR="006A5285" w:rsidRPr="004B2051">
        <w:t>, 1983</w:t>
      </w:r>
      <w:r w:rsidRPr="004B2051">
        <w:t>.</w:t>
      </w:r>
      <w:r>
        <w:t xml:space="preserve"> </w:t>
      </w:r>
    </w:p>
    <w:p w14:paraId="5DF239DD" w14:textId="36EDB66C" w:rsidR="003155A9" w:rsidRPr="004B2051" w:rsidRDefault="003155A9" w:rsidP="001F1AFE">
      <w:pPr>
        <w:jc w:val="left"/>
      </w:pPr>
      <w:r w:rsidRPr="004B2051">
        <w:t>Commonwealth Government (1984</w:t>
      </w:r>
      <w:r w:rsidR="006A5285" w:rsidRPr="004B2051">
        <w:t>a</w:t>
      </w:r>
      <w:r w:rsidRPr="004B2051">
        <w:t>)</w:t>
      </w:r>
      <w:r w:rsidR="006A5285" w:rsidRPr="004B2051">
        <w:t>.</w:t>
      </w:r>
      <w:r w:rsidRPr="004B2051">
        <w:t xml:space="preserve"> </w:t>
      </w:r>
      <w:r w:rsidRPr="004B2051">
        <w:rPr>
          <w:i/>
        </w:rPr>
        <w:t xml:space="preserve">Effects on Exploration of Resource Rent Tax With Full Exploration </w:t>
      </w:r>
      <w:r w:rsidR="009222FE" w:rsidRPr="004B2051">
        <w:rPr>
          <w:i/>
        </w:rPr>
        <w:t>L</w:t>
      </w:r>
      <w:r w:rsidRPr="004B2051">
        <w:rPr>
          <w:i/>
        </w:rPr>
        <w:t>oss Offsets</w:t>
      </w:r>
      <w:r w:rsidR="006A5285" w:rsidRPr="004B2051">
        <w:t>.</w:t>
      </w:r>
      <w:r w:rsidRPr="004B2051">
        <w:t xml:space="preserve"> February</w:t>
      </w:r>
      <w:r w:rsidR="006A5285" w:rsidRPr="004B2051">
        <w:t>, 1984</w:t>
      </w:r>
      <w:r w:rsidRPr="004B2051">
        <w:t>.</w:t>
      </w:r>
    </w:p>
    <w:p w14:paraId="47A33302" w14:textId="373ACDF8" w:rsidR="00D75C92" w:rsidRPr="004B2051" w:rsidRDefault="00D75C92" w:rsidP="001F1AFE">
      <w:pPr>
        <w:jc w:val="left"/>
        <w:rPr>
          <w:color w:val="auto"/>
        </w:rPr>
      </w:pPr>
      <w:r w:rsidRPr="004B2051">
        <w:rPr>
          <w:color w:val="auto"/>
        </w:rPr>
        <w:t>Commonwealth Government (1984</w:t>
      </w:r>
      <w:r w:rsidR="006A5285" w:rsidRPr="004B2051">
        <w:rPr>
          <w:color w:val="auto"/>
        </w:rPr>
        <w:t>b</w:t>
      </w:r>
      <w:r w:rsidRPr="004B2051">
        <w:rPr>
          <w:color w:val="auto"/>
        </w:rPr>
        <w:t xml:space="preserve">), </w:t>
      </w:r>
      <w:r w:rsidRPr="004B2051">
        <w:rPr>
          <w:i/>
          <w:color w:val="auto"/>
        </w:rPr>
        <w:t xml:space="preserve">Outline of a </w:t>
      </w:r>
      <w:r w:rsidR="005D6F39">
        <w:rPr>
          <w:i/>
          <w:color w:val="auto"/>
        </w:rPr>
        <w:t>‘</w:t>
      </w:r>
      <w:r w:rsidRPr="004B2051">
        <w:rPr>
          <w:i/>
          <w:color w:val="auto"/>
        </w:rPr>
        <w:t>Greenfields</w:t>
      </w:r>
      <w:r w:rsidR="005D6F39">
        <w:rPr>
          <w:i/>
          <w:color w:val="auto"/>
        </w:rPr>
        <w:t>’</w:t>
      </w:r>
      <w:r w:rsidRPr="004B2051">
        <w:rPr>
          <w:i/>
          <w:color w:val="auto"/>
        </w:rPr>
        <w:t xml:space="preserve"> Resource Rent Tax in the Petroleum Sector</w:t>
      </w:r>
      <w:r w:rsidR="006A5285" w:rsidRPr="004B2051">
        <w:rPr>
          <w:color w:val="auto"/>
        </w:rPr>
        <w:t>.</w:t>
      </w:r>
      <w:r w:rsidRPr="004B2051">
        <w:rPr>
          <w:color w:val="auto"/>
        </w:rPr>
        <w:t xml:space="preserve"> April</w:t>
      </w:r>
      <w:r w:rsidR="006A5285" w:rsidRPr="004B2051">
        <w:rPr>
          <w:color w:val="auto"/>
        </w:rPr>
        <w:t>, 1984</w:t>
      </w:r>
      <w:r w:rsidR="00EC2F4F" w:rsidRPr="004B2051">
        <w:rPr>
          <w:color w:val="auto"/>
        </w:rPr>
        <w:t>.</w:t>
      </w:r>
    </w:p>
    <w:p w14:paraId="72A0F66C" w14:textId="0C6FDAF3" w:rsidR="00D75C92" w:rsidRPr="00D75C92" w:rsidRDefault="00D75C92" w:rsidP="001F1AFE">
      <w:pPr>
        <w:jc w:val="left"/>
        <w:rPr>
          <w:color w:val="auto"/>
        </w:rPr>
      </w:pPr>
      <w:r w:rsidRPr="004B2051">
        <w:rPr>
          <w:color w:val="auto"/>
        </w:rPr>
        <w:t>Commonwealth Government (</w:t>
      </w:r>
      <w:r w:rsidR="006A5285" w:rsidRPr="004B2051">
        <w:rPr>
          <w:color w:val="auto"/>
        </w:rPr>
        <w:t>1984c).</w:t>
      </w:r>
      <w:r w:rsidRPr="004B2051">
        <w:rPr>
          <w:color w:val="auto"/>
        </w:rPr>
        <w:t xml:space="preserve"> </w:t>
      </w:r>
      <w:r w:rsidR="005D6F39">
        <w:rPr>
          <w:color w:val="auto"/>
        </w:rPr>
        <w:t>“</w:t>
      </w:r>
      <w:r w:rsidR="006A5285" w:rsidRPr="004B2051">
        <w:rPr>
          <w:color w:val="auto"/>
        </w:rPr>
        <w:t xml:space="preserve">Resource Rent Tax on </w:t>
      </w:r>
      <w:r w:rsidR="005D6F39">
        <w:rPr>
          <w:color w:val="auto"/>
        </w:rPr>
        <w:t>‘</w:t>
      </w:r>
      <w:r w:rsidR="006A5285" w:rsidRPr="004B2051">
        <w:rPr>
          <w:color w:val="auto"/>
        </w:rPr>
        <w:t>Greenfields</w:t>
      </w:r>
      <w:r w:rsidR="005D6F39">
        <w:rPr>
          <w:color w:val="auto"/>
        </w:rPr>
        <w:t>’</w:t>
      </w:r>
      <w:r w:rsidR="006A5285" w:rsidRPr="004B2051">
        <w:rPr>
          <w:color w:val="auto"/>
        </w:rPr>
        <w:t xml:space="preserve"> Offshore Petroleum Projects</w:t>
      </w:r>
      <w:r w:rsidR="005D6F39">
        <w:rPr>
          <w:color w:val="auto"/>
        </w:rPr>
        <w:t>”</w:t>
      </w:r>
      <w:r w:rsidR="006A5285" w:rsidRPr="004B2051">
        <w:rPr>
          <w:color w:val="auto"/>
        </w:rPr>
        <w:t>.</w:t>
      </w:r>
      <w:r w:rsidRPr="004B2051">
        <w:rPr>
          <w:color w:val="auto"/>
        </w:rPr>
        <w:t xml:space="preserve"> </w:t>
      </w:r>
      <w:r w:rsidR="00EC2F4F" w:rsidRPr="004B2051">
        <w:rPr>
          <w:color w:val="auto"/>
        </w:rPr>
        <w:t>Statement by the Treasurer The Hon P. J. Keating and the Minister for Resources and Energy Senator The Hon Peter Walsh</w:t>
      </w:r>
      <w:r w:rsidR="006A5285" w:rsidRPr="004B2051">
        <w:rPr>
          <w:color w:val="auto"/>
        </w:rPr>
        <w:t>.</w:t>
      </w:r>
      <w:r w:rsidRPr="004B2051">
        <w:rPr>
          <w:color w:val="auto"/>
        </w:rPr>
        <w:t xml:space="preserve"> June</w:t>
      </w:r>
      <w:r w:rsidR="006A5285" w:rsidRPr="004B2051">
        <w:rPr>
          <w:color w:val="auto"/>
        </w:rPr>
        <w:t>, 1984</w:t>
      </w:r>
      <w:r w:rsidR="00EC2F4F" w:rsidRPr="004B2051">
        <w:rPr>
          <w:color w:val="auto"/>
        </w:rPr>
        <w:t>.</w:t>
      </w:r>
    </w:p>
    <w:p w14:paraId="48ACE360" w14:textId="2CA04076" w:rsidR="00DB57E2" w:rsidRDefault="00B46DD6" w:rsidP="00B46DD6">
      <w:pPr>
        <w:jc w:val="left"/>
      </w:pPr>
      <w:r w:rsidRPr="004B2051">
        <w:t>Cassidy N. and Kosev (2015).</w:t>
      </w:r>
      <w:r w:rsidR="000A2DD4" w:rsidRPr="004B2051">
        <w:t xml:space="preserve"> </w:t>
      </w:r>
      <w:r w:rsidR="005D6F39">
        <w:t>“</w:t>
      </w:r>
      <w:r w:rsidRPr="004B2051">
        <w:t>Australia and the Global LNG Market</w:t>
      </w:r>
      <w:r w:rsidR="005D6F39">
        <w:t>”</w:t>
      </w:r>
      <w:r w:rsidR="00024F09" w:rsidRPr="004B2051">
        <w:t xml:space="preserve">. </w:t>
      </w:r>
      <w:r w:rsidR="00024F09" w:rsidRPr="004B2051">
        <w:rPr>
          <w:i/>
        </w:rPr>
        <w:t>Bulletin</w:t>
      </w:r>
      <w:r w:rsidR="000A2DD4" w:rsidRPr="004B2051">
        <w:t>.</w:t>
      </w:r>
      <w:r w:rsidR="00024F09" w:rsidRPr="004B2051">
        <w:t xml:space="preserve"> March Quarter 2015.</w:t>
      </w:r>
      <w:r w:rsidRPr="004B2051">
        <w:t xml:space="preserve"> Reserve Bank of Australia</w:t>
      </w:r>
      <w:r w:rsidR="00024F09" w:rsidRPr="004B2051">
        <w:t>. A</w:t>
      </w:r>
      <w:r w:rsidRPr="004B2051">
        <w:t xml:space="preserve">vailable at </w:t>
      </w:r>
      <w:hyperlink r:id="rId97" w:history="1">
        <w:r w:rsidRPr="004B2051">
          <w:rPr>
            <w:rStyle w:val="Hyperlink"/>
          </w:rPr>
          <w:t>http://www.rba.gov.au/publications/bulletin/2015/mar/pdf/bu</w:t>
        </w:r>
        <w:r w:rsidR="005D6F39">
          <w:rPr>
            <w:rStyle w:val="Hyperlink"/>
          </w:rPr>
          <w:noBreakHyphen/>
        </w:r>
        <w:r w:rsidRPr="004B2051">
          <w:rPr>
            <w:rStyle w:val="Hyperlink"/>
          </w:rPr>
          <w:t>0315</w:t>
        </w:r>
        <w:r w:rsidR="005D6F39">
          <w:rPr>
            <w:rStyle w:val="Hyperlink"/>
          </w:rPr>
          <w:noBreakHyphen/>
        </w:r>
        <w:r w:rsidRPr="004B2051">
          <w:rPr>
            <w:rStyle w:val="Hyperlink"/>
          </w:rPr>
          <w:t>4.pdf</w:t>
        </w:r>
      </w:hyperlink>
    </w:p>
    <w:p w14:paraId="7554B269" w14:textId="7112659E" w:rsidR="00B46DD6" w:rsidRDefault="00024F09" w:rsidP="001F1AFE">
      <w:pPr>
        <w:jc w:val="left"/>
      </w:pPr>
      <w:r w:rsidRPr="004B2051">
        <w:t xml:space="preserve">Dediu, D., Ellis, M., Heyning, C., Lambert, P., Segorbe, J. and Thain, A. (2016). </w:t>
      </w:r>
      <w:r w:rsidRPr="004B2051">
        <w:rPr>
          <w:i/>
        </w:rPr>
        <w:t>Sustaining Impact from Australian LNG Operations</w:t>
      </w:r>
      <w:r w:rsidRPr="004B2051">
        <w:t>. McKinsey Australia. April 2016.</w:t>
      </w:r>
    </w:p>
    <w:p w14:paraId="317838EF" w14:textId="354F3CAE" w:rsidR="003450C6" w:rsidRDefault="003450C6" w:rsidP="001F1AFE">
      <w:pPr>
        <w:jc w:val="left"/>
      </w:pPr>
      <w:r w:rsidRPr="004B2051">
        <w:t>Department of Industry, Innovation and Science</w:t>
      </w:r>
      <w:r w:rsidR="001F0ADB" w:rsidRPr="004B2051">
        <w:t xml:space="preserve"> </w:t>
      </w:r>
      <w:r w:rsidRPr="004B2051">
        <w:t xml:space="preserve">(2016a). </w:t>
      </w:r>
      <w:r w:rsidRPr="004B2051">
        <w:rPr>
          <w:i/>
        </w:rPr>
        <w:t>Australian Energy Update 2016</w:t>
      </w:r>
      <w:r w:rsidR="000235B7" w:rsidRPr="004B2051">
        <w:t>.</w:t>
      </w:r>
      <w:r w:rsidR="00846F88" w:rsidRPr="004B2051">
        <w:t xml:space="preserve"> </w:t>
      </w:r>
      <w:r w:rsidR="001F1AFE" w:rsidRPr="004B2051">
        <w:t xml:space="preserve">Office of the Chief Economist. </w:t>
      </w:r>
      <w:r w:rsidR="00846F88" w:rsidRPr="004B2051">
        <w:t xml:space="preserve">Available at </w:t>
      </w:r>
      <w:r w:rsidR="00044565" w:rsidRPr="004B2051">
        <w:t>www.industry.gov.au/Office</w:t>
      </w:r>
      <w:r w:rsidR="005D6F39">
        <w:noBreakHyphen/>
      </w:r>
      <w:r w:rsidR="00044565" w:rsidRPr="004B2051">
        <w:t>of</w:t>
      </w:r>
      <w:r w:rsidR="005D6F39">
        <w:noBreakHyphen/>
      </w:r>
      <w:r w:rsidR="00044565" w:rsidRPr="004B2051">
        <w:t>the</w:t>
      </w:r>
      <w:r w:rsidR="005D6F39">
        <w:noBreakHyphen/>
      </w:r>
      <w:r w:rsidR="00044565" w:rsidRPr="004B2051">
        <w:t>Chief</w:t>
      </w:r>
      <w:r w:rsidR="005D6F39">
        <w:noBreakHyphen/>
      </w:r>
      <w:r w:rsidR="00044565" w:rsidRPr="004B2051">
        <w:t>Economist/Publications/Pages/Australian</w:t>
      </w:r>
      <w:r w:rsidR="005D6F39">
        <w:noBreakHyphen/>
      </w:r>
      <w:r w:rsidR="00044565" w:rsidRPr="004B2051">
        <w:t>energy</w:t>
      </w:r>
      <w:r w:rsidR="005D6F39">
        <w:noBreakHyphen/>
      </w:r>
      <w:r w:rsidR="00044565" w:rsidRPr="004B2051">
        <w:t>statistics.aspx</w:t>
      </w:r>
    </w:p>
    <w:p w14:paraId="49B6D093" w14:textId="5E5D98AD" w:rsidR="000235B7" w:rsidRDefault="000235B7" w:rsidP="001F1AFE">
      <w:pPr>
        <w:jc w:val="left"/>
      </w:pPr>
      <w:r w:rsidRPr="004B2051">
        <w:t>Department of Industry, Innovation and Science (2016b</w:t>
      </w:r>
      <w:r w:rsidR="001F0ADB" w:rsidRPr="004B2051">
        <w:t xml:space="preserve">). </w:t>
      </w:r>
      <w:r w:rsidR="001F0ADB" w:rsidRPr="004B2051">
        <w:rPr>
          <w:i/>
        </w:rPr>
        <w:t>Resources Energy Quarterly</w:t>
      </w:r>
      <w:r w:rsidR="005D6F39">
        <w:rPr>
          <w:i/>
        </w:rPr>
        <w:t xml:space="preserve"> — </w:t>
      </w:r>
      <w:r w:rsidR="001F0ADB" w:rsidRPr="004B2051">
        <w:rPr>
          <w:i/>
        </w:rPr>
        <w:t>March 2016</w:t>
      </w:r>
      <w:r w:rsidR="005D6F39">
        <w:t xml:space="preserve">. </w:t>
      </w:r>
      <w:r w:rsidR="001F1AFE" w:rsidRPr="004B2051">
        <w:t>Office of the Chief Economist.</w:t>
      </w:r>
      <w:r w:rsidR="00846F88" w:rsidRPr="004B2051">
        <w:t xml:space="preserve"> Available at</w:t>
      </w:r>
      <w:r w:rsidR="00044565" w:rsidRPr="004B2051">
        <w:t xml:space="preserve"> www.industry.gov.au/Office</w:t>
      </w:r>
      <w:r w:rsidR="005D6F39">
        <w:noBreakHyphen/>
      </w:r>
      <w:r w:rsidR="00044565" w:rsidRPr="004B2051">
        <w:t>of</w:t>
      </w:r>
      <w:r w:rsidR="005D6F39">
        <w:noBreakHyphen/>
      </w:r>
      <w:r w:rsidR="00044565" w:rsidRPr="004B2051">
        <w:t>the</w:t>
      </w:r>
      <w:r w:rsidR="005D6F39">
        <w:noBreakHyphen/>
      </w:r>
      <w:r w:rsidR="00044565" w:rsidRPr="004B2051">
        <w:t>Chief</w:t>
      </w:r>
      <w:r w:rsidR="005D6F39">
        <w:noBreakHyphen/>
      </w:r>
      <w:r w:rsidR="00044565" w:rsidRPr="004B2051">
        <w:t>Economist/Publications/Pages/Resources</w:t>
      </w:r>
      <w:r w:rsidR="005D6F39">
        <w:noBreakHyphen/>
      </w:r>
      <w:r w:rsidR="00044565" w:rsidRPr="004B2051">
        <w:t>and</w:t>
      </w:r>
      <w:r w:rsidR="005D6F39">
        <w:noBreakHyphen/>
      </w:r>
      <w:r w:rsidR="00044565" w:rsidRPr="004B2051">
        <w:t>energy</w:t>
      </w:r>
      <w:r w:rsidR="005D6F39">
        <w:noBreakHyphen/>
      </w:r>
      <w:r w:rsidR="00044565" w:rsidRPr="004B2051">
        <w:t>quarterly.aspx</w:t>
      </w:r>
    </w:p>
    <w:p w14:paraId="1E45572A" w14:textId="557493A8" w:rsidR="0030271A" w:rsidRDefault="0030271A" w:rsidP="001F1AFE">
      <w:pPr>
        <w:jc w:val="left"/>
      </w:pPr>
      <w:r w:rsidRPr="004B2051">
        <w:t xml:space="preserve">Department of Industry, Innovation and Science (2016c). </w:t>
      </w:r>
      <w:r w:rsidRPr="004B2051">
        <w:rPr>
          <w:i/>
        </w:rPr>
        <w:t>Resources Energy Quarterly</w:t>
      </w:r>
      <w:r w:rsidR="005D6F39">
        <w:rPr>
          <w:i/>
        </w:rPr>
        <w:t xml:space="preserve"> — </w:t>
      </w:r>
      <w:r w:rsidRPr="004B2051">
        <w:rPr>
          <w:i/>
        </w:rPr>
        <w:t>December 2016</w:t>
      </w:r>
      <w:r w:rsidRPr="004B2051">
        <w:t>.</w:t>
      </w:r>
      <w:r w:rsidR="00846F88" w:rsidRPr="004B2051">
        <w:t xml:space="preserve"> </w:t>
      </w:r>
      <w:r w:rsidR="001F1AFE" w:rsidRPr="004B2051">
        <w:t xml:space="preserve">Office of the Chief Economist. </w:t>
      </w:r>
      <w:r w:rsidR="00846F88" w:rsidRPr="004B2051">
        <w:t>Available at</w:t>
      </w:r>
      <w:r w:rsidR="00044565" w:rsidRPr="004B2051">
        <w:t xml:space="preserve"> www.industry.gov.au/Office</w:t>
      </w:r>
      <w:r w:rsidR="005D6F39">
        <w:noBreakHyphen/>
      </w:r>
      <w:r w:rsidR="00044565" w:rsidRPr="004B2051">
        <w:t>of</w:t>
      </w:r>
      <w:r w:rsidR="005D6F39">
        <w:noBreakHyphen/>
      </w:r>
      <w:r w:rsidR="00044565" w:rsidRPr="004B2051">
        <w:t>the</w:t>
      </w:r>
      <w:r w:rsidR="005D6F39">
        <w:noBreakHyphen/>
      </w:r>
      <w:r w:rsidR="00044565" w:rsidRPr="004B2051">
        <w:t>Chief</w:t>
      </w:r>
      <w:r w:rsidR="005D6F39">
        <w:noBreakHyphen/>
      </w:r>
      <w:r w:rsidR="00044565" w:rsidRPr="004B2051">
        <w:t>Economist/Publications/Pages/Resources</w:t>
      </w:r>
      <w:r w:rsidR="005D6F39">
        <w:noBreakHyphen/>
      </w:r>
      <w:r w:rsidR="00044565" w:rsidRPr="004B2051">
        <w:t>and</w:t>
      </w:r>
      <w:r w:rsidR="005D6F39">
        <w:noBreakHyphen/>
      </w:r>
      <w:r w:rsidR="00044565" w:rsidRPr="004B2051">
        <w:t>energy</w:t>
      </w:r>
      <w:r w:rsidR="005D6F39">
        <w:noBreakHyphen/>
      </w:r>
      <w:r w:rsidR="00044565" w:rsidRPr="004B2051">
        <w:t>quarterly.aspx</w:t>
      </w:r>
    </w:p>
    <w:p w14:paraId="322B1908" w14:textId="6C44DA87" w:rsidR="0030271A" w:rsidRDefault="0030271A" w:rsidP="001F1AFE">
      <w:pPr>
        <w:jc w:val="left"/>
      </w:pPr>
      <w:r w:rsidRPr="004B2051">
        <w:t xml:space="preserve">Department of Industry, Innovation and Science (2016d). </w:t>
      </w:r>
      <w:r w:rsidR="00846F88" w:rsidRPr="004B2051">
        <w:rPr>
          <w:i/>
        </w:rPr>
        <w:t>Energy in Australia 2015</w:t>
      </w:r>
      <w:r w:rsidRPr="004B2051">
        <w:t>.</w:t>
      </w:r>
      <w:r w:rsidR="00846F88" w:rsidRPr="004B2051">
        <w:t xml:space="preserve"> </w:t>
      </w:r>
      <w:r w:rsidR="001F1AFE" w:rsidRPr="004B2051">
        <w:t xml:space="preserve">Office of the Chief Economist. </w:t>
      </w:r>
      <w:r w:rsidR="00846F88" w:rsidRPr="004B2051">
        <w:t>Available at</w:t>
      </w:r>
      <w:r w:rsidR="00044565" w:rsidRPr="004B2051">
        <w:t xml:space="preserve"> </w:t>
      </w:r>
      <w:hyperlink r:id="rId98" w:history="1">
        <w:r w:rsidR="00855176" w:rsidRPr="004B2051">
          <w:rPr>
            <w:rStyle w:val="Hyperlink"/>
          </w:rPr>
          <w:t>www.industry.gov.au/Office</w:t>
        </w:r>
        <w:r w:rsidR="005D6F39">
          <w:rPr>
            <w:rStyle w:val="Hyperlink"/>
          </w:rPr>
          <w:noBreakHyphen/>
        </w:r>
        <w:r w:rsidR="00855176" w:rsidRPr="004B2051">
          <w:rPr>
            <w:rStyle w:val="Hyperlink"/>
          </w:rPr>
          <w:t>of</w:t>
        </w:r>
        <w:r w:rsidR="005D6F39">
          <w:rPr>
            <w:rStyle w:val="Hyperlink"/>
          </w:rPr>
          <w:noBreakHyphen/>
        </w:r>
        <w:r w:rsidR="00855176" w:rsidRPr="004B2051">
          <w:rPr>
            <w:rStyle w:val="Hyperlink"/>
          </w:rPr>
          <w:t>the</w:t>
        </w:r>
        <w:r w:rsidR="005D6F39">
          <w:rPr>
            <w:rStyle w:val="Hyperlink"/>
          </w:rPr>
          <w:noBreakHyphen/>
        </w:r>
        <w:r w:rsidR="00855176" w:rsidRPr="004B2051">
          <w:rPr>
            <w:rStyle w:val="Hyperlink"/>
          </w:rPr>
          <w:t>Chief</w:t>
        </w:r>
        <w:r w:rsidR="005D6F39">
          <w:rPr>
            <w:rStyle w:val="Hyperlink"/>
          </w:rPr>
          <w:noBreakHyphen/>
        </w:r>
        <w:r w:rsidR="00855176" w:rsidRPr="004B2051">
          <w:rPr>
            <w:rStyle w:val="Hyperlink"/>
          </w:rPr>
          <w:t>Economist/Publications/Pages/Energy</w:t>
        </w:r>
        <w:r w:rsidR="005D6F39">
          <w:rPr>
            <w:rStyle w:val="Hyperlink"/>
          </w:rPr>
          <w:noBreakHyphen/>
        </w:r>
        <w:r w:rsidR="00855176" w:rsidRPr="004B2051">
          <w:rPr>
            <w:rStyle w:val="Hyperlink"/>
          </w:rPr>
          <w:t>in</w:t>
        </w:r>
        <w:r w:rsidR="005D6F39">
          <w:rPr>
            <w:rStyle w:val="Hyperlink"/>
          </w:rPr>
          <w:noBreakHyphen/>
        </w:r>
        <w:r w:rsidR="00855176" w:rsidRPr="004B2051">
          <w:rPr>
            <w:rStyle w:val="Hyperlink"/>
          </w:rPr>
          <w:t>Australia.aspx</w:t>
        </w:r>
      </w:hyperlink>
    </w:p>
    <w:p w14:paraId="44DFB7A2" w14:textId="73A8CD67" w:rsidR="00855176" w:rsidRDefault="00855176" w:rsidP="00855176">
      <w:pPr>
        <w:jc w:val="left"/>
      </w:pPr>
      <w:r w:rsidRPr="004B2051">
        <w:t xml:space="preserve">Department of Industry, Innovation and Science (2016e). </w:t>
      </w:r>
      <w:r w:rsidRPr="004B2051">
        <w:rPr>
          <w:i/>
        </w:rPr>
        <w:t>Resources and Energy Major Projects</w:t>
      </w:r>
      <w:r w:rsidR="005D6F39">
        <w:rPr>
          <w:i/>
        </w:rPr>
        <w:t xml:space="preserve"> — </w:t>
      </w:r>
      <w:r w:rsidRPr="004B2051">
        <w:rPr>
          <w:i/>
        </w:rPr>
        <w:t>December 2016</w:t>
      </w:r>
      <w:r w:rsidRPr="004B2051">
        <w:t xml:space="preserve">. Office of the Chief Economist. Available at </w:t>
      </w:r>
      <w:hyperlink r:id="rId99" w:history="1">
        <w:r w:rsidR="00A3607E" w:rsidRPr="004B2051">
          <w:rPr>
            <w:rStyle w:val="Hyperlink"/>
          </w:rPr>
          <w:t>www.industry.gov.au/Office</w:t>
        </w:r>
        <w:r w:rsidR="005D6F39">
          <w:rPr>
            <w:rStyle w:val="Hyperlink"/>
          </w:rPr>
          <w:noBreakHyphen/>
        </w:r>
        <w:r w:rsidR="00A3607E" w:rsidRPr="004B2051">
          <w:rPr>
            <w:rStyle w:val="Hyperlink"/>
          </w:rPr>
          <w:t>of</w:t>
        </w:r>
        <w:r w:rsidR="005D6F39">
          <w:rPr>
            <w:rStyle w:val="Hyperlink"/>
          </w:rPr>
          <w:noBreakHyphen/>
        </w:r>
        <w:r w:rsidR="00A3607E" w:rsidRPr="004B2051">
          <w:rPr>
            <w:rStyle w:val="Hyperlink"/>
          </w:rPr>
          <w:t>the</w:t>
        </w:r>
        <w:r w:rsidR="005D6F39">
          <w:rPr>
            <w:rStyle w:val="Hyperlink"/>
          </w:rPr>
          <w:noBreakHyphen/>
        </w:r>
        <w:r w:rsidR="00A3607E" w:rsidRPr="004B2051">
          <w:rPr>
            <w:rStyle w:val="Hyperlink"/>
          </w:rPr>
          <w:t>Chief</w:t>
        </w:r>
        <w:r w:rsidR="005D6F39">
          <w:rPr>
            <w:rStyle w:val="Hyperlink"/>
          </w:rPr>
          <w:noBreakHyphen/>
        </w:r>
        <w:r w:rsidR="00A3607E" w:rsidRPr="004B2051">
          <w:rPr>
            <w:rStyle w:val="Hyperlink"/>
          </w:rPr>
          <w:t>Economist/Publications/Documents/req/Resources</w:t>
        </w:r>
        <w:r w:rsidR="005D6F39">
          <w:rPr>
            <w:rStyle w:val="Hyperlink"/>
          </w:rPr>
          <w:noBreakHyphen/>
        </w:r>
        <w:r w:rsidR="00A3607E" w:rsidRPr="004B2051">
          <w:rPr>
            <w:rStyle w:val="Hyperlink"/>
          </w:rPr>
          <w:t>and</w:t>
        </w:r>
        <w:r w:rsidR="005D6F39">
          <w:rPr>
            <w:rStyle w:val="Hyperlink"/>
          </w:rPr>
          <w:noBreakHyphen/>
        </w:r>
        <w:r w:rsidR="00A3607E" w:rsidRPr="004B2051">
          <w:rPr>
            <w:rStyle w:val="Hyperlink"/>
          </w:rPr>
          <w:t>Energy</w:t>
        </w:r>
        <w:r w:rsidR="005D6F39">
          <w:rPr>
            <w:rStyle w:val="Hyperlink"/>
          </w:rPr>
          <w:noBreakHyphen/>
        </w:r>
        <w:r w:rsidR="00A3607E" w:rsidRPr="004B2051">
          <w:rPr>
            <w:rStyle w:val="Hyperlink"/>
          </w:rPr>
          <w:t>Major</w:t>
        </w:r>
        <w:r w:rsidR="005D6F39">
          <w:rPr>
            <w:rStyle w:val="Hyperlink"/>
          </w:rPr>
          <w:noBreakHyphen/>
        </w:r>
        <w:r w:rsidR="00A3607E" w:rsidRPr="004B2051">
          <w:rPr>
            <w:rStyle w:val="Hyperlink"/>
          </w:rPr>
          <w:t>Projects</w:t>
        </w:r>
        <w:r w:rsidR="005D6F39">
          <w:rPr>
            <w:rStyle w:val="Hyperlink"/>
          </w:rPr>
          <w:noBreakHyphen/>
        </w:r>
        <w:r w:rsidR="00A3607E" w:rsidRPr="004B2051">
          <w:rPr>
            <w:rStyle w:val="Hyperlink"/>
          </w:rPr>
          <w:t>December</w:t>
        </w:r>
        <w:r w:rsidR="005D6F39">
          <w:rPr>
            <w:rStyle w:val="Hyperlink"/>
          </w:rPr>
          <w:noBreakHyphen/>
        </w:r>
        <w:r w:rsidR="00A3607E" w:rsidRPr="004B2051">
          <w:rPr>
            <w:rStyle w:val="Hyperlink"/>
          </w:rPr>
          <w:t>2016.pdf</w:t>
        </w:r>
      </w:hyperlink>
    </w:p>
    <w:p w14:paraId="308AA268" w14:textId="77777777" w:rsidR="0089652B" w:rsidRDefault="0089652B">
      <w:pPr>
        <w:spacing w:after="0" w:line="240" w:lineRule="auto"/>
        <w:jc w:val="left"/>
      </w:pPr>
      <w:r>
        <w:br w:type="page"/>
      </w:r>
    </w:p>
    <w:p w14:paraId="1CD5E894" w14:textId="6155B842" w:rsidR="00A3607E" w:rsidRDefault="00A3607E" w:rsidP="00855176">
      <w:pPr>
        <w:jc w:val="left"/>
        <w:rPr>
          <w:rStyle w:val="Hyperlink"/>
        </w:rPr>
      </w:pPr>
      <w:r w:rsidRPr="004B2051">
        <w:t xml:space="preserve">Department of Industry, Innovation and Science (2016f). </w:t>
      </w:r>
      <w:r w:rsidRPr="004B2051">
        <w:rPr>
          <w:i/>
        </w:rPr>
        <w:t xml:space="preserve">Gas </w:t>
      </w:r>
      <w:r w:rsidR="007C7E2E" w:rsidRPr="004B2051">
        <w:rPr>
          <w:i/>
        </w:rPr>
        <w:t>M</w:t>
      </w:r>
      <w:r w:rsidRPr="004B2051">
        <w:rPr>
          <w:i/>
        </w:rPr>
        <w:t xml:space="preserve">arket </w:t>
      </w:r>
      <w:r w:rsidR="007C7E2E" w:rsidRPr="004B2051">
        <w:rPr>
          <w:i/>
        </w:rPr>
        <w:t>R</w:t>
      </w:r>
      <w:r w:rsidRPr="004B2051">
        <w:rPr>
          <w:i/>
        </w:rPr>
        <w:t>eport 2015</w:t>
      </w:r>
      <w:r w:rsidRPr="004B2051">
        <w:t xml:space="preserve">. Office of the Chief Economist. Available at </w:t>
      </w:r>
      <w:hyperlink r:id="rId100" w:history="1">
        <w:r w:rsidR="00C13BA8" w:rsidRPr="004B2051">
          <w:rPr>
            <w:rStyle w:val="Hyperlink"/>
          </w:rPr>
          <w:t>www.industry.gov.au/Office</w:t>
        </w:r>
        <w:r w:rsidR="005D6F39">
          <w:rPr>
            <w:rStyle w:val="Hyperlink"/>
          </w:rPr>
          <w:noBreakHyphen/>
        </w:r>
        <w:r w:rsidR="00C13BA8" w:rsidRPr="004B2051">
          <w:rPr>
            <w:rStyle w:val="Hyperlink"/>
          </w:rPr>
          <w:t>of</w:t>
        </w:r>
        <w:r w:rsidR="005D6F39">
          <w:rPr>
            <w:rStyle w:val="Hyperlink"/>
          </w:rPr>
          <w:noBreakHyphen/>
        </w:r>
        <w:r w:rsidR="00C13BA8" w:rsidRPr="004B2051">
          <w:rPr>
            <w:rStyle w:val="Hyperlink"/>
          </w:rPr>
          <w:t>the</w:t>
        </w:r>
        <w:r w:rsidR="005D6F39">
          <w:rPr>
            <w:rStyle w:val="Hyperlink"/>
          </w:rPr>
          <w:noBreakHyphen/>
        </w:r>
        <w:r w:rsidR="00C13BA8" w:rsidRPr="004B2051">
          <w:rPr>
            <w:rStyle w:val="Hyperlink"/>
          </w:rPr>
          <w:t>Chief</w:t>
        </w:r>
        <w:r w:rsidR="005D6F39">
          <w:rPr>
            <w:rStyle w:val="Hyperlink"/>
          </w:rPr>
          <w:noBreakHyphen/>
        </w:r>
        <w:r w:rsidR="00C13BA8" w:rsidRPr="004B2051">
          <w:rPr>
            <w:rStyle w:val="Hyperlink"/>
          </w:rPr>
          <w:t>Economist/Publications/Pages/Gas</w:t>
        </w:r>
        <w:r w:rsidR="005D6F39">
          <w:rPr>
            <w:rStyle w:val="Hyperlink"/>
          </w:rPr>
          <w:noBreakHyphen/>
        </w:r>
        <w:r w:rsidR="00C13BA8" w:rsidRPr="004B2051">
          <w:rPr>
            <w:rStyle w:val="Hyperlink"/>
          </w:rPr>
          <w:t>market</w:t>
        </w:r>
        <w:r w:rsidR="005D6F39">
          <w:rPr>
            <w:rStyle w:val="Hyperlink"/>
          </w:rPr>
          <w:noBreakHyphen/>
        </w:r>
        <w:r w:rsidR="00C13BA8" w:rsidRPr="004B2051">
          <w:rPr>
            <w:rStyle w:val="Hyperlink"/>
          </w:rPr>
          <w:t>report.aspx#</w:t>
        </w:r>
      </w:hyperlink>
    </w:p>
    <w:p w14:paraId="35AB0C5D" w14:textId="0F7BA603" w:rsidR="00E41653" w:rsidRDefault="00E41653" w:rsidP="00855176">
      <w:pPr>
        <w:jc w:val="left"/>
      </w:pPr>
      <w:r w:rsidRPr="004B2051">
        <w:t>Department of Industr</w:t>
      </w:r>
      <w:r>
        <w:t>y, Innovation and Science (2017</w:t>
      </w:r>
      <w:r w:rsidRPr="004B2051">
        <w:t xml:space="preserve">). </w:t>
      </w:r>
      <w:r w:rsidRPr="004B2051">
        <w:rPr>
          <w:i/>
        </w:rPr>
        <w:t>Resources Energy Quarterly</w:t>
      </w:r>
      <w:r w:rsidR="005D6F39">
        <w:rPr>
          <w:i/>
        </w:rPr>
        <w:t xml:space="preserve"> — </w:t>
      </w:r>
      <w:r>
        <w:rPr>
          <w:i/>
        </w:rPr>
        <w:t>March 2017</w:t>
      </w:r>
      <w:r w:rsidRPr="004B2051">
        <w:t xml:space="preserve">. Office of the Chief Economist. Available at </w:t>
      </w:r>
      <w:r>
        <w:t>www.</w:t>
      </w:r>
      <w:r w:rsidRPr="00E41653">
        <w:t>industry.gov.au/Office</w:t>
      </w:r>
      <w:r w:rsidR="005D6F39">
        <w:noBreakHyphen/>
      </w:r>
      <w:r w:rsidRPr="00E41653">
        <w:t>of</w:t>
      </w:r>
      <w:r w:rsidR="005D6F39">
        <w:noBreakHyphen/>
      </w:r>
      <w:r w:rsidRPr="00E41653">
        <w:t>the</w:t>
      </w:r>
      <w:r w:rsidR="005D6F39">
        <w:noBreakHyphen/>
      </w:r>
      <w:r w:rsidRPr="00E41653">
        <w:t>Chief</w:t>
      </w:r>
      <w:r w:rsidR="005D6F39">
        <w:noBreakHyphen/>
      </w:r>
      <w:r w:rsidRPr="00E41653">
        <w:t>Economist/Publications/Pages/Resources</w:t>
      </w:r>
      <w:r w:rsidR="005D6F39">
        <w:noBreakHyphen/>
      </w:r>
      <w:r w:rsidRPr="00E41653">
        <w:t>and</w:t>
      </w:r>
      <w:r w:rsidR="005D6F39">
        <w:noBreakHyphen/>
      </w:r>
      <w:r w:rsidRPr="00E41653">
        <w:t>energy</w:t>
      </w:r>
      <w:r w:rsidR="005D6F39">
        <w:noBreakHyphen/>
      </w:r>
      <w:r w:rsidRPr="00E41653">
        <w:t>quarterly.aspx</w:t>
      </w:r>
    </w:p>
    <w:p w14:paraId="65F2B92C" w14:textId="2F30C6F4" w:rsidR="00C13BA8" w:rsidRPr="00DE31DB" w:rsidRDefault="00C13BA8" w:rsidP="00855176">
      <w:pPr>
        <w:jc w:val="left"/>
      </w:pPr>
      <w:r w:rsidRPr="004B2051">
        <w:t xml:space="preserve">Department of Industry, Innovation and Science (n.d). The History of Petroleum Resources Rent Tax. Available at: </w:t>
      </w:r>
      <w:hyperlink r:id="rId101" w:history="1">
        <w:r w:rsidRPr="004B2051">
          <w:rPr>
            <w:rStyle w:val="Hyperlink"/>
          </w:rPr>
          <w:t>https://industry.gov.au/resource/Enhancing/ResourcesTaxation/PetroleumResourceRentTax/Pages/PRRTHistory.aspx</w:t>
        </w:r>
      </w:hyperlink>
    </w:p>
    <w:p w14:paraId="22E73565" w14:textId="3E857AF4" w:rsidR="00436460" w:rsidRPr="00DE31DB" w:rsidRDefault="00436460" w:rsidP="00436460">
      <w:pPr>
        <w:jc w:val="left"/>
      </w:pPr>
      <w:r w:rsidRPr="004B2051">
        <w:t xml:space="preserve">Fane, G (1987). </w:t>
      </w:r>
      <w:r w:rsidR="005D6F39">
        <w:t>“</w:t>
      </w:r>
      <w:r w:rsidRPr="004B2051">
        <w:t>Neutral taxation under uncertainty</w:t>
      </w:r>
      <w:r w:rsidR="005D6F39">
        <w:t>”</w:t>
      </w:r>
      <w:r w:rsidRPr="004B2051">
        <w:t xml:space="preserve">. </w:t>
      </w:r>
      <w:r w:rsidRPr="004B2051">
        <w:rPr>
          <w:i/>
        </w:rPr>
        <w:t>Journal of Public Economics</w:t>
      </w:r>
      <w:r w:rsidRPr="004B2051">
        <w:t>. Volume 33, Issue 1. pp. 95</w:t>
      </w:r>
      <w:r w:rsidR="005D6F39">
        <w:noBreakHyphen/>
      </w:r>
      <w:r w:rsidRPr="004B2051">
        <w:t>105.</w:t>
      </w:r>
    </w:p>
    <w:p w14:paraId="1CF19E54" w14:textId="3B8E3466" w:rsidR="008627F7" w:rsidRPr="004B2051" w:rsidRDefault="008627F7" w:rsidP="001F1AFE">
      <w:pPr>
        <w:jc w:val="left"/>
        <w:rPr>
          <w:rStyle w:val="Hyperlink"/>
        </w:rPr>
      </w:pPr>
      <w:r w:rsidRPr="004B2051">
        <w:rPr>
          <w:rStyle w:val="Hyperlink"/>
        </w:rPr>
        <w:t xml:space="preserve">Fraser Institute (2016a). </w:t>
      </w:r>
      <w:r w:rsidRPr="004B2051">
        <w:rPr>
          <w:rStyle w:val="Hyperlink"/>
          <w:i/>
        </w:rPr>
        <w:t>Global Petroleum Survey 201</w:t>
      </w:r>
      <w:r w:rsidRPr="004B2051">
        <w:rPr>
          <w:rStyle w:val="Hyperlink"/>
        </w:rPr>
        <w:t xml:space="preserve">6. Available at </w:t>
      </w:r>
      <w:hyperlink r:id="rId102" w:history="1">
        <w:r w:rsidRPr="004B2051">
          <w:rPr>
            <w:rStyle w:val="Hyperlink"/>
          </w:rPr>
          <w:t>www.fraserinstitute.org/studies/global</w:t>
        </w:r>
        <w:r w:rsidR="005D6F39">
          <w:rPr>
            <w:rStyle w:val="Hyperlink"/>
          </w:rPr>
          <w:noBreakHyphen/>
        </w:r>
        <w:r w:rsidRPr="004B2051">
          <w:rPr>
            <w:rStyle w:val="Hyperlink"/>
          </w:rPr>
          <w:t>petroleum</w:t>
        </w:r>
        <w:r w:rsidR="005D6F39">
          <w:rPr>
            <w:rStyle w:val="Hyperlink"/>
          </w:rPr>
          <w:noBreakHyphen/>
        </w:r>
        <w:r w:rsidRPr="004B2051">
          <w:rPr>
            <w:rStyle w:val="Hyperlink"/>
          </w:rPr>
          <w:t>survey</w:t>
        </w:r>
        <w:r w:rsidR="005D6F39">
          <w:rPr>
            <w:rStyle w:val="Hyperlink"/>
          </w:rPr>
          <w:noBreakHyphen/>
        </w:r>
        <w:r w:rsidRPr="004B2051">
          <w:rPr>
            <w:rStyle w:val="Hyperlink"/>
          </w:rPr>
          <w:t>2016</w:t>
        </w:r>
      </w:hyperlink>
    </w:p>
    <w:p w14:paraId="3E9C6AA6" w14:textId="341103A7" w:rsidR="008627F7" w:rsidRDefault="009F0888" w:rsidP="00E82A42">
      <w:pPr>
        <w:jc w:val="left"/>
        <w:rPr>
          <w:rStyle w:val="Hyperlink"/>
        </w:rPr>
      </w:pPr>
      <w:r w:rsidRPr="004B2051">
        <w:rPr>
          <w:rStyle w:val="Hyperlink"/>
        </w:rPr>
        <w:t>Fraser Institute (2016b</w:t>
      </w:r>
      <w:r w:rsidR="008627F7" w:rsidRPr="004B2051">
        <w:rPr>
          <w:rStyle w:val="Hyperlink"/>
        </w:rPr>
        <w:t>)</w:t>
      </w:r>
      <w:r w:rsidRPr="004B2051">
        <w:rPr>
          <w:rStyle w:val="Hyperlink"/>
        </w:rPr>
        <w:t xml:space="preserve">. </w:t>
      </w:r>
      <w:r w:rsidRPr="004B2051">
        <w:rPr>
          <w:rStyle w:val="Hyperlink"/>
          <w:i/>
        </w:rPr>
        <w:t>Global Petroleum Survey 2016</w:t>
      </w:r>
      <w:r w:rsidR="00CB4E50" w:rsidRPr="004B2051">
        <w:rPr>
          <w:rStyle w:val="Hyperlink"/>
        </w:rPr>
        <w:t>.</w:t>
      </w:r>
      <w:r w:rsidRPr="004B2051">
        <w:rPr>
          <w:rStyle w:val="Hyperlink"/>
        </w:rPr>
        <w:t xml:space="preserve"> Canada </w:t>
      </w:r>
      <w:r w:rsidR="00CB4E50" w:rsidRPr="004B2051">
        <w:rPr>
          <w:rStyle w:val="Hyperlink"/>
        </w:rPr>
        <w:t>Press R</w:t>
      </w:r>
      <w:r w:rsidRPr="004B2051">
        <w:rPr>
          <w:rStyle w:val="Hyperlink"/>
        </w:rPr>
        <w:t>elease</w:t>
      </w:r>
      <w:r w:rsidR="00CB4E50" w:rsidRPr="004B2051">
        <w:rPr>
          <w:rStyle w:val="Hyperlink"/>
        </w:rPr>
        <w:t>.</w:t>
      </w:r>
      <w:r w:rsidRPr="004B2051">
        <w:rPr>
          <w:rStyle w:val="Hyperlink"/>
        </w:rPr>
        <w:t xml:space="preserve"> </w:t>
      </w:r>
      <w:r w:rsidR="008627F7" w:rsidRPr="004B2051">
        <w:rPr>
          <w:rStyle w:val="Hyperlink"/>
        </w:rPr>
        <w:t xml:space="preserve">Available at </w:t>
      </w:r>
      <w:hyperlink r:id="rId103" w:history="1">
        <w:r w:rsidR="00D858AA" w:rsidRPr="004B2051">
          <w:rPr>
            <w:rStyle w:val="Hyperlink"/>
          </w:rPr>
          <w:t>https://www.fraserinstitute.org/sites/default/files/global</w:t>
        </w:r>
        <w:r w:rsidR="005D6F39">
          <w:rPr>
            <w:rStyle w:val="Hyperlink"/>
          </w:rPr>
          <w:noBreakHyphen/>
        </w:r>
        <w:r w:rsidR="00D858AA" w:rsidRPr="004B2051">
          <w:rPr>
            <w:rStyle w:val="Hyperlink"/>
          </w:rPr>
          <w:t>petroleum</w:t>
        </w:r>
        <w:r w:rsidR="005D6F39">
          <w:rPr>
            <w:rStyle w:val="Hyperlink"/>
          </w:rPr>
          <w:noBreakHyphen/>
        </w:r>
        <w:r w:rsidR="00D858AA" w:rsidRPr="004B2051">
          <w:rPr>
            <w:rStyle w:val="Hyperlink"/>
          </w:rPr>
          <w:t>survey</w:t>
        </w:r>
        <w:r w:rsidR="005D6F39">
          <w:rPr>
            <w:rStyle w:val="Hyperlink"/>
          </w:rPr>
          <w:noBreakHyphen/>
        </w:r>
        <w:r w:rsidR="00D858AA" w:rsidRPr="004B2051">
          <w:rPr>
            <w:rStyle w:val="Hyperlink"/>
          </w:rPr>
          <w:t>2016</w:t>
        </w:r>
        <w:r w:rsidR="005D6F39">
          <w:rPr>
            <w:rStyle w:val="Hyperlink"/>
          </w:rPr>
          <w:noBreakHyphen/>
        </w:r>
        <w:r w:rsidR="00D858AA" w:rsidRPr="004B2051">
          <w:rPr>
            <w:rStyle w:val="Hyperlink"/>
          </w:rPr>
          <w:t>news%20release.pdf</w:t>
        </w:r>
      </w:hyperlink>
    </w:p>
    <w:p w14:paraId="2626DFEA" w14:textId="7B0C0951" w:rsidR="00D858AA" w:rsidRPr="00DE31DB" w:rsidRDefault="00D858AA" w:rsidP="00D858AA">
      <w:pPr>
        <w:jc w:val="left"/>
      </w:pPr>
      <w:r w:rsidRPr="004B2051">
        <w:t xml:space="preserve">Freebairn, J. (2015). </w:t>
      </w:r>
      <w:r w:rsidR="005D6F39">
        <w:t>“</w:t>
      </w:r>
      <w:r w:rsidRPr="004B2051">
        <w:t>Reconsidering Royalty and Resource Rent Taxes for Australian Mining</w:t>
      </w:r>
      <w:r w:rsidR="005D6F39">
        <w:t>”</w:t>
      </w:r>
      <w:r w:rsidRPr="004B2051">
        <w:t xml:space="preserve">. </w:t>
      </w:r>
      <w:r w:rsidRPr="004B2051">
        <w:rPr>
          <w:i/>
        </w:rPr>
        <w:t>Australian Journal of Agricultural and Resource Economics</w:t>
      </w:r>
      <w:r w:rsidRPr="004B2051">
        <w:t>. Volume 59, Issue 4. October 2015. pp. 586</w:t>
      </w:r>
      <w:r w:rsidR="005D6F39">
        <w:noBreakHyphen/>
      </w:r>
      <w:r w:rsidRPr="004B2051">
        <w:t>601.</w:t>
      </w:r>
    </w:p>
    <w:p w14:paraId="6D8D0BE9" w14:textId="42BC86B4" w:rsidR="00BE143F" w:rsidRDefault="00BE143F" w:rsidP="001F1AFE">
      <w:pPr>
        <w:jc w:val="left"/>
      </w:pPr>
      <w:r w:rsidRPr="004B2051">
        <w:t xml:space="preserve">Geoscience Australia (2016). </w:t>
      </w:r>
      <w:r w:rsidRPr="004B2051">
        <w:rPr>
          <w:i/>
        </w:rPr>
        <w:t>Australian Energy Resources Assessment: Interim Report</w:t>
      </w:r>
      <w:r w:rsidRPr="004B2051">
        <w:t xml:space="preserve">. Available at: </w:t>
      </w:r>
      <w:hyperlink r:id="rId104" w:history="1">
        <w:r w:rsidR="007E3CCC" w:rsidRPr="004B2051">
          <w:rPr>
            <w:rStyle w:val="Hyperlink"/>
          </w:rPr>
          <w:t>www.ga.gov.au/aera</w:t>
        </w:r>
      </w:hyperlink>
    </w:p>
    <w:p w14:paraId="5D52F1D2" w14:textId="584646A7" w:rsidR="007E3CCC" w:rsidRDefault="007E3CCC" w:rsidP="007E3CCC">
      <w:pPr>
        <w:jc w:val="left"/>
        <w:rPr>
          <w:rStyle w:val="Hyperlink"/>
        </w:rPr>
      </w:pPr>
      <w:r w:rsidRPr="004B2051">
        <w:t xml:space="preserve">Grattan Institute (2010). </w:t>
      </w:r>
      <w:r w:rsidR="005D6F39">
        <w:t>“</w:t>
      </w:r>
      <w:r w:rsidRPr="004B2051">
        <w:t>Mineral Resource Rent Tax—Will It Work?</w:t>
      </w:r>
      <w:r w:rsidR="005D6F39">
        <w:t>”</w:t>
      </w:r>
      <w:r w:rsidRPr="004B2051">
        <w:t xml:space="preserve">. Transcript. 30 May, 2013. Available at: </w:t>
      </w:r>
      <w:hyperlink r:id="rId105" w:history="1">
        <w:r w:rsidRPr="004B2051">
          <w:rPr>
            <w:rStyle w:val="Hyperlink"/>
          </w:rPr>
          <w:t>http://www.taxwatch.org.au/ssl/CMS/files_cms/186_MRRT%20Report.pdf</w:t>
        </w:r>
      </w:hyperlink>
    </w:p>
    <w:p w14:paraId="4430D5AF" w14:textId="71196C6B" w:rsidR="008D36DF" w:rsidRPr="004B2051" w:rsidRDefault="008D36DF" w:rsidP="00E82A42">
      <w:pPr>
        <w:jc w:val="left"/>
        <w:rPr>
          <w:lang w:val="en"/>
        </w:rPr>
      </w:pPr>
      <w:r w:rsidRPr="004B2051">
        <w:rPr>
          <w:lang w:val="en"/>
        </w:rPr>
        <w:t xml:space="preserve">HM Treasury (2014). </w:t>
      </w:r>
      <w:r w:rsidRPr="004B2051">
        <w:rPr>
          <w:i/>
          <w:lang w:val="en"/>
        </w:rPr>
        <w:t>Review of the Oil and Gas Fiscal Regime: Call for Evidence</w:t>
      </w:r>
      <w:r w:rsidRPr="004B2051">
        <w:rPr>
          <w:lang w:val="en"/>
        </w:rPr>
        <w:t>. December 2014. Available at: https://www.gov.uk/government/consultations/review</w:t>
      </w:r>
      <w:r w:rsidR="005D6F39">
        <w:rPr>
          <w:lang w:val="en"/>
        </w:rPr>
        <w:noBreakHyphen/>
      </w:r>
      <w:r w:rsidRPr="004B2051">
        <w:rPr>
          <w:lang w:val="en"/>
        </w:rPr>
        <w:t>of</w:t>
      </w:r>
      <w:r w:rsidR="005D6F39">
        <w:rPr>
          <w:lang w:val="en"/>
        </w:rPr>
        <w:noBreakHyphen/>
      </w:r>
      <w:r w:rsidRPr="004B2051">
        <w:rPr>
          <w:lang w:val="en"/>
        </w:rPr>
        <w:t>the</w:t>
      </w:r>
      <w:r w:rsidR="005D6F39">
        <w:rPr>
          <w:lang w:val="en"/>
        </w:rPr>
        <w:noBreakHyphen/>
      </w:r>
      <w:r w:rsidRPr="004B2051">
        <w:rPr>
          <w:lang w:val="en"/>
        </w:rPr>
        <w:t>oil</w:t>
      </w:r>
      <w:r w:rsidR="005D6F39">
        <w:rPr>
          <w:lang w:val="en"/>
        </w:rPr>
        <w:noBreakHyphen/>
      </w:r>
      <w:r w:rsidRPr="004B2051">
        <w:rPr>
          <w:lang w:val="en"/>
        </w:rPr>
        <w:t>and</w:t>
      </w:r>
      <w:r w:rsidR="005D6F39">
        <w:rPr>
          <w:lang w:val="en"/>
        </w:rPr>
        <w:noBreakHyphen/>
      </w:r>
      <w:r w:rsidRPr="004B2051">
        <w:rPr>
          <w:lang w:val="en"/>
        </w:rPr>
        <w:t>gas</w:t>
      </w:r>
      <w:r w:rsidR="005D6F39">
        <w:rPr>
          <w:lang w:val="en"/>
        </w:rPr>
        <w:noBreakHyphen/>
      </w:r>
      <w:r w:rsidRPr="004B2051">
        <w:rPr>
          <w:lang w:val="en"/>
        </w:rPr>
        <w:t>fiscal</w:t>
      </w:r>
      <w:r w:rsidR="005D6F39">
        <w:rPr>
          <w:lang w:val="en"/>
        </w:rPr>
        <w:noBreakHyphen/>
      </w:r>
      <w:r w:rsidRPr="004B2051">
        <w:rPr>
          <w:lang w:val="en"/>
        </w:rPr>
        <w:t>regime</w:t>
      </w:r>
      <w:r w:rsidR="005D6F39">
        <w:rPr>
          <w:lang w:val="en"/>
        </w:rPr>
        <w:noBreakHyphen/>
      </w:r>
      <w:r w:rsidRPr="004B2051">
        <w:rPr>
          <w:lang w:val="en"/>
        </w:rPr>
        <w:t>a</w:t>
      </w:r>
      <w:r w:rsidR="005D6F39">
        <w:rPr>
          <w:lang w:val="en"/>
        </w:rPr>
        <w:noBreakHyphen/>
      </w:r>
      <w:r w:rsidRPr="004B2051">
        <w:rPr>
          <w:lang w:val="en"/>
        </w:rPr>
        <w:t>call</w:t>
      </w:r>
      <w:r w:rsidR="005D6F39">
        <w:rPr>
          <w:lang w:val="en"/>
        </w:rPr>
        <w:noBreakHyphen/>
      </w:r>
      <w:r w:rsidRPr="004B2051">
        <w:rPr>
          <w:lang w:val="en"/>
        </w:rPr>
        <w:t>for</w:t>
      </w:r>
      <w:r w:rsidR="005D6F39">
        <w:rPr>
          <w:lang w:val="en"/>
        </w:rPr>
        <w:noBreakHyphen/>
      </w:r>
      <w:r w:rsidRPr="004B2051">
        <w:rPr>
          <w:lang w:val="en"/>
        </w:rPr>
        <w:t>evidence</w:t>
      </w:r>
    </w:p>
    <w:p w14:paraId="51617EBF" w14:textId="6F06890C" w:rsidR="008D36DF" w:rsidRDefault="008D36DF" w:rsidP="00E82A42">
      <w:pPr>
        <w:jc w:val="left"/>
      </w:pPr>
      <w:r w:rsidRPr="004B2051">
        <w:t xml:space="preserve">Hogan L. and Goldswrothy, B. (2010). </w:t>
      </w:r>
      <w:r w:rsidR="005D6F39">
        <w:t>“</w:t>
      </w:r>
      <w:r w:rsidRPr="004B2051">
        <w:t>International mineral Taxation: Experience and Issues</w:t>
      </w:r>
      <w:r w:rsidR="005D6F39">
        <w:t>”</w:t>
      </w:r>
      <w:r w:rsidRPr="004B2051">
        <w:t xml:space="preserve"> in edited book </w:t>
      </w:r>
      <w:r w:rsidRPr="004B2051">
        <w:rPr>
          <w:i/>
        </w:rPr>
        <w:t>The Taxation of Petroleum and Minerals: Principles, Problems and Practice</w:t>
      </w:r>
      <w:r w:rsidRPr="004B2051">
        <w:t xml:space="preserve"> by Daniel, P. Keen M, and McPherson, C. Routledge: New York, New York. pp. 122</w:t>
      </w:r>
      <w:r w:rsidR="005D6F39">
        <w:noBreakHyphen/>
      </w:r>
      <w:r w:rsidRPr="004B2051">
        <w:t>162.</w:t>
      </w:r>
    </w:p>
    <w:p w14:paraId="084162DC" w14:textId="77777777" w:rsidR="007C7E2E" w:rsidRPr="00DE31DB" w:rsidRDefault="007C7E2E" w:rsidP="007C7E2E">
      <w:pPr>
        <w:jc w:val="left"/>
      </w:pPr>
      <w:r w:rsidRPr="004B2051">
        <w:t xml:space="preserve">International Energy Agency (2013). </w:t>
      </w:r>
      <w:r w:rsidRPr="004B2051">
        <w:rPr>
          <w:i/>
        </w:rPr>
        <w:t>World Energy Outlook 2013</w:t>
      </w:r>
      <w:r w:rsidRPr="004B2051">
        <w:t xml:space="preserve">. Available at </w:t>
      </w:r>
      <w:hyperlink r:id="rId106" w:history="1">
        <w:r w:rsidRPr="004B2051">
          <w:rPr>
            <w:rStyle w:val="Hyperlink"/>
          </w:rPr>
          <w:t>www.worldenergyoutlook.org/weo2013/</w:t>
        </w:r>
      </w:hyperlink>
    </w:p>
    <w:p w14:paraId="62569A5B" w14:textId="316EE475" w:rsidR="0067026D" w:rsidRDefault="0067026D" w:rsidP="0067026D">
      <w:pPr>
        <w:jc w:val="left"/>
      </w:pPr>
      <w:r w:rsidRPr="004B2051">
        <w:t xml:space="preserve">International Monetary Fund (2012). </w:t>
      </w:r>
      <w:r w:rsidRPr="004B2051">
        <w:rPr>
          <w:i/>
        </w:rPr>
        <w:t>Fiscal Regimes for Extractive Industries: Design and Implementation</w:t>
      </w:r>
      <w:r w:rsidRPr="004B2051">
        <w:t xml:space="preserve">. Fiscal Affairs Department, IMF. August 15, 2012. Available at: </w:t>
      </w:r>
      <w:hyperlink r:id="rId107" w:history="1">
        <w:r w:rsidR="005E5BB9" w:rsidRPr="004B2051">
          <w:rPr>
            <w:rStyle w:val="Hyperlink"/>
          </w:rPr>
          <w:t>https://www.imf.org/external/np/pp/eng/2012/081512.pdf</w:t>
        </w:r>
      </w:hyperlink>
    </w:p>
    <w:p w14:paraId="51852EDF" w14:textId="77777777" w:rsidR="0089652B" w:rsidRDefault="0089652B" w:rsidP="0067026D">
      <w:pPr>
        <w:jc w:val="left"/>
      </w:pPr>
    </w:p>
    <w:p w14:paraId="54A78E05" w14:textId="565637AE" w:rsidR="005E5BB9" w:rsidRPr="00DE31DB" w:rsidRDefault="005E5BB9" w:rsidP="0067026D">
      <w:pPr>
        <w:jc w:val="left"/>
      </w:pPr>
      <w:r w:rsidRPr="004B2051">
        <w:t>International Transport Workers</w:t>
      </w:r>
      <w:r w:rsidR="005D6F39">
        <w:t>’</w:t>
      </w:r>
      <w:r w:rsidRPr="004B2051">
        <w:t xml:space="preserve"> Federation, Briefing Paper (2016). </w:t>
      </w:r>
      <w:r w:rsidRPr="004B2051">
        <w:rPr>
          <w:i/>
        </w:rPr>
        <w:t>Australian LNG Exports to Boom, Tax Revenue is a Bust</w:t>
      </w:r>
      <w:r w:rsidRPr="004B2051">
        <w:t xml:space="preserve">. Available at: </w:t>
      </w:r>
      <w:hyperlink r:id="rId108" w:history="1">
        <w:r w:rsidR="0089652B" w:rsidRPr="003F256A">
          <w:rPr>
            <w:rStyle w:val="Hyperlink"/>
            <w:szCs w:val="22"/>
          </w:rPr>
          <w:t>https://static1.squarespace.com/static/574507cde707eb3324 24b26a/t/582d44d3b3db2bc03f850780/1479361749065/ITF+PRRT+Brief+2+Qatar+</w:t>
        </w:r>
        <w:r w:rsidR="0089652B" w:rsidRPr="003F256A">
          <w:rPr>
            <w:rStyle w:val="Hyperlink"/>
            <w:szCs w:val="22"/>
          </w:rPr>
          <w:noBreakHyphen/>
          <w:t>+Sept</w:t>
        </w:r>
        <w:r w:rsidR="0089652B" w:rsidRPr="003F256A">
          <w:rPr>
            <w:rStyle w:val="Hyperlink"/>
            <w:szCs w:val="22"/>
          </w:rPr>
          <w:br/>
          <w:t>2016.pdf</w:t>
        </w:r>
      </w:hyperlink>
      <w:r w:rsidRPr="00DE31DB">
        <w:t xml:space="preserve"> </w:t>
      </w:r>
    </w:p>
    <w:p w14:paraId="0A74ACAA" w14:textId="619EA088" w:rsidR="00481727" w:rsidRPr="00DE31DB" w:rsidRDefault="00481727" w:rsidP="001F1AFE">
      <w:pPr>
        <w:jc w:val="left"/>
        <w:rPr>
          <w:rStyle w:val="Hyperlink"/>
        </w:rPr>
      </w:pPr>
      <w:r w:rsidRPr="004B2051">
        <w:t xml:space="preserve">Kellas, G (2010). </w:t>
      </w:r>
      <w:r w:rsidR="005D6F39">
        <w:t>“</w:t>
      </w:r>
      <w:r w:rsidRPr="004B2051">
        <w:t>Natural Gas Experience and Issues</w:t>
      </w:r>
      <w:r w:rsidR="005D6F39">
        <w:t>”</w:t>
      </w:r>
      <w:r w:rsidRPr="004B2051">
        <w:t xml:space="preserve"> in edited book </w:t>
      </w:r>
      <w:r w:rsidRPr="004B2051">
        <w:rPr>
          <w:i/>
        </w:rPr>
        <w:t>The Taxation of Petroleum and Minerals: Principles, Problems and Practice</w:t>
      </w:r>
      <w:r w:rsidRPr="004B2051">
        <w:t xml:space="preserve"> by Daniel, P. Keen M, and McPherson, C. Routledge: New York, New York. pp. </w:t>
      </w:r>
      <w:r w:rsidR="001022FF" w:rsidRPr="004B2051">
        <w:t>163</w:t>
      </w:r>
      <w:r w:rsidR="005D6F39">
        <w:noBreakHyphen/>
      </w:r>
      <w:r w:rsidR="001022FF" w:rsidRPr="004B2051">
        <w:t>184.</w:t>
      </w:r>
    </w:p>
    <w:p w14:paraId="7730EC0A" w14:textId="6701976C" w:rsidR="00435800" w:rsidRPr="00DE31DB" w:rsidRDefault="00435800" w:rsidP="001F1AFE">
      <w:pPr>
        <w:jc w:val="left"/>
        <w:rPr>
          <w:rStyle w:val="Hyperlink"/>
        </w:rPr>
      </w:pPr>
      <w:r w:rsidRPr="004B2051">
        <w:t xml:space="preserve">Kraal, </w:t>
      </w:r>
      <w:r w:rsidR="00A64FD3">
        <w:t>Dia</w:t>
      </w:r>
      <w:r w:rsidRPr="004B2051">
        <w:t xml:space="preserve">ne (2016). </w:t>
      </w:r>
      <w:r w:rsidR="005D6F39">
        <w:t>“</w:t>
      </w:r>
      <w:r w:rsidRPr="004B2051">
        <w:t>Call for Review: Petroleum Resource Rent Tax Gas Transfer Pricing</w:t>
      </w:r>
      <w:r w:rsidR="005D6F39">
        <w:t>”</w:t>
      </w:r>
      <w:r w:rsidRPr="004B2051">
        <w:t xml:space="preserve">. </w:t>
      </w:r>
      <w:r w:rsidR="00382E91" w:rsidRPr="004B2051">
        <w:rPr>
          <w:i/>
        </w:rPr>
        <w:t>Business Insight</w:t>
      </w:r>
      <w:r w:rsidR="00382E91" w:rsidRPr="004B2051">
        <w:t xml:space="preserve">. </w:t>
      </w:r>
      <w:r w:rsidRPr="004B2051">
        <w:t>Monash Business School. 23 May, 2016.</w:t>
      </w:r>
    </w:p>
    <w:p w14:paraId="6FE2F29A" w14:textId="1AAFB173" w:rsidR="00312659" w:rsidRPr="00676CC2" w:rsidRDefault="00312659" w:rsidP="001F1AFE">
      <w:pPr>
        <w:jc w:val="left"/>
      </w:pPr>
      <w:r w:rsidRPr="004B2051">
        <w:t>Macrobusiness (201</w:t>
      </w:r>
      <w:r w:rsidR="00B86023" w:rsidRPr="004B2051">
        <w:t>4</w:t>
      </w:r>
      <w:r w:rsidRPr="004B2051">
        <w:t xml:space="preserve">). </w:t>
      </w:r>
      <w:r w:rsidR="005D6F39">
        <w:t>“</w:t>
      </w:r>
      <w:r w:rsidR="00B86023" w:rsidRPr="004B2051">
        <w:t>IEA: Nobody will invest in Australian LNG</w:t>
      </w:r>
      <w:r w:rsidR="005D6F39">
        <w:t>”</w:t>
      </w:r>
      <w:r w:rsidR="00B86023" w:rsidRPr="004B2051">
        <w:t xml:space="preserve">. Available at: </w:t>
      </w:r>
      <w:hyperlink r:id="rId109" w:history="1">
        <w:r w:rsidR="005F1FCC" w:rsidRPr="004B2051">
          <w:rPr>
            <w:rStyle w:val="Hyperlink"/>
          </w:rPr>
          <w:t>http://www.macrobusiness.com.au/2014/03/iea</w:t>
        </w:r>
        <w:r w:rsidR="005D6F39">
          <w:rPr>
            <w:rStyle w:val="Hyperlink"/>
          </w:rPr>
          <w:noBreakHyphen/>
        </w:r>
        <w:r w:rsidR="005F1FCC" w:rsidRPr="004B2051">
          <w:rPr>
            <w:rStyle w:val="Hyperlink"/>
          </w:rPr>
          <w:t>nobody</w:t>
        </w:r>
        <w:r w:rsidR="005D6F39">
          <w:rPr>
            <w:rStyle w:val="Hyperlink"/>
          </w:rPr>
          <w:noBreakHyphen/>
        </w:r>
        <w:r w:rsidR="005F1FCC" w:rsidRPr="004B2051">
          <w:rPr>
            <w:rStyle w:val="Hyperlink"/>
          </w:rPr>
          <w:t>will</w:t>
        </w:r>
        <w:r w:rsidR="005D6F39">
          <w:rPr>
            <w:rStyle w:val="Hyperlink"/>
          </w:rPr>
          <w:noBreakHyphen/>
        </w:r>
        <w:r w:rsidR="005F1FCC" w:rsidRPr="004B2051">
          <w:rPr>
            <w:rStyle w:val="Hyperlink"/>
          </w:rPr>
          <w:t>invest</w:t>
        </w:r>
        <w:r w:rsidR="005D6F39">
          <w:rPr>
            <w:rStyle w:val="Hyperlink"/>
          </w:rPr>
          <w:noBreakHyphen/>
        </w:r>
        <w:r w:rsidR="005F1FCC" w:rsidRPr="004B2051">
          <w:rPr>
            <w:rStyle w:val="Hyperlink"/>
          </w:rPr>
          <w:t>in</w:t>
        </w:r>
        <w:r w:rsidR="005D6F39">
          <w:rPr>
            <w:rStyle w:val="Hyperlink"/>
          </w:rPr>
          <w:noBreakHyphen/>
        </w:r>
        <w:r w:rsidR="005F1FCC" w:rsidRPr="004B2051">
          <w:rPr>
            <w:rStyle w:val="Hyperlink"/>
          </w:rPr>
          <w:t>australian</w:t>
        </w:r>
        <w:r w:rsidR="005D6F39">
          <w:rPr>
            <w:rStyle w:val="Hyperlink"/>
          </w:rPr>
          <w:noBreakHyphen/>
        </w:r>
        <w:r w:rsidR="005F1FCC" w:rsidRPr="004B2051">
          <w:rPr>
            <w:rStyle w:val="Hyperlink"/>
          </w:rPr>
          <w:t>lng/</w:t>
        </w:r>
      </w:hyperlink>
    </w:p>
    <w:p w14:paraId="3BDCC999" w14:textId="6D1074FF" w:rsidR="001B467F" w:rsidRDefault="001B467F" w:rsidP="001F1AFE">
      <w:pPr>
        <w:jc w:val="left"/>
      </w:pPr>
      <w:r>
        <w:t xml:space="preserve">McKell Institute (2017). </w:t>
      </w:r>
      <w:r w:rsidR="005D6F39">
        <w:t>“</w:t>
      </w:r>
      <w:r>
        <w:t>Harnessing the Boom</w:t>
      </w:r>
      <w:r w:rsidR="005D6F39">
        <w:t xml:space="preserve"> — </w:t>
      </w:r>
      <w:r>
        <w:t>How Australia can better capture the benefits of the natural gas boom</w:t>
      </w:r>
      <w:r w:rsidR="005D6F39">
        <w:t>”</w:t>
      </w:r>
      <w:r>
        <w:t xml:space="preserve">. Available at: </w:t>
      </w:r>
      <w:hyperlink r:id="rId110" w:history="1">
        <w:r w:rsidRPr="00FD75BD">
          <w:rPr>
            <w:rStyle w:val="Hyperlink"/>
          </w:rPr>
          <w:t>https://mckellinstitute.org.au/research/reports/harnessing</w:t>
        </w:r>
        <w:r w:rsidR="005D6F39">
          <w:rPr>
            <w:rStyle w:val="Hyperlink"/>
          </w:rPr>
          <w:noBreakHyphen/>
        </w:r>
        <w:r w:rsidRPr="00FD75BD">
          <w:rPr>
            <w:rStyle w:val="Hyperlink"/>
          </w:rPr>
          <w:t>the</w:t>
        </w:r>
        <w:r w:rsidR="005D6F39">
          <w:rPr>
            <w:rStyle w:val="Hyperlink"/>
          </w:rPr>
          <w:noBreakHyphen/>
        </w:r>
        <w:r w:rsidRPr="00FD75BD">
          <w:rPr>
            <w:rStyle w:val="Hyperlink"/>
          </w:rPr>
          <w:t>boom/</w:t>
        </w:r>
      </w:hyperlink>
      <w:r>
        <w:t xml:space="preserve"> </w:t>
      </w:r>
    </w:p>
    <w:p w14:paraId="3C263721" w14:textId="7D030B09" w:rsidR="00185772" w:rsidRDefault="00185772" w:rsidP="001F1AFE">
      <w:pPr>
        <w:jc w:val="left"/>
      </w:pPr>
      <w:r w:rsidRPr="004B2051">
        <w:t xml:space="preserve">Oil and Gas Authority (2015). </w:t>
      </w:r>
      <w:r w:rsidRPr="004B2051">
        <w:rPr>
          <w:i/>
        </w:rPr>
        <w:t>Summary of UK Estimated Remaining Recoverable Hydrocarbon Resources 2015</w:t>
      </w:r>
      <w:r w:rsidRPr="004B2051">
        <w:t>. Available at: https://www.ogauthority.co.uk/data</w:t>
      </w:r>
      <w:r w:rsidR="005D6F39">
        <w:noBreakHyphen/>
      </w:r>
      <w:r w:rsidRPr="004B2051">
        <w:t>centre/data</w:t>
      </w:r>
      <w:r w:rsidR="005D6F39">
        <w:noBreakHyphen/>
      </w:r>
      <w:r w:rsidRPr="004B2051">
        <w:t>downloads</w:t>
      </w:r>
      <w:r w:rsidR="005D6F39">
        <w:noBreakHyphen/>
      </w:r>
      <w:r w:rsidRPr="004B2051">
        <w:t>and</w:t>
      </w:r>
      <w:r w:rsidR="005D6F39">
        <w:noBreakHyphen/>
      </w:r>
      <w:r w:rsidRPr="004B2051">
        <w:t>publications/reserves</w:t>
      </w:r>
      <w:r w:rsidR="005D6F39">
        <w:noBreakHyphen/>
      </w:r>
      <w:r w:rsidRPr="004B2051">
        <w:t>and</w:t>
      </w:r>
      <w:r w:rsidR="005D6F39">
        <w:noBreakHyphen/>
      </w:r>
      <w:r w:rsidRPr="004B2051">
        <w:t>resources/</w:t>
      </w:r>
    </w:p>
    <w:p w14:paraId="01922A83" w14:textId="40DF3595" w:rsidR="005F1FCC" w:rsidRPr="00DE31DB" w:rsidRDefault="005F1FCC" w:rsidP="001F1AFE">
      <w:pPr>
        <w:jc w:val="left"/>
      </w:pPr>
      <w:r w:rsidRPr="004B2051">
        <w:t>Organisation of Economic Co</w:t>
      </w:r>
      <w:r w:rsidR="005D6F39">
        <w:noBreakHyphen/>
      </w:r>
      <w:r w:rsidR="00C03F7E" w:rsidRPr="004B2051">
        <w:t>operation</w:t>
      </w:r>
      <w:r w:rsidRPr="004B2051">
        <w:t xml:space="preserve"> and Development (2010) </w:t>
      </w:r>
      <w:r w:rsidRPr="004B2051">
        <w:rPr>
          <w:rStyle w:val="Emphasis"/>
          <w:lang w:val="en"/>
        </w:rPr>
        <w:t>OECD Transfer Pricing Guidelines for Multinational Enterprises and Tax Administrations 2010</w:t>
      </w:r>
      <w:r w:rsidR="006344D1" w:rsidRPr="004B2051">
        <w:rPr>
          <w:lang w:val="en"/>
        </w:rPr>
        <w:t>.</w:t>
      </w:r>
      <w:r w:rsidRPr="004B2051">
        <w:rPr>
          <w:lang w:val="en"/>
        </w:rPr>
        <w:t xml:space="preserve"> OECD Publishing, Paris.</w:t>
      </w:r>
      <w:r w:rsidR="006344D1" w:rsidRPr="004B2051">
        <w:rPr>
          <w:lang w:val="en"/>
        </w:rPr>
        <w:t xml:space="preserve"> Available at: </w:t>
      </w:r>
      <w:hyperlink r:id="rId111" w:tgtFrame="_blank" w:tooltip="http://dx.doi.org/10.1787/tpg-2010-en" w:history="1">
        <w:r w:rsidRPr="004B2051">
          <w:rPr>
            <w:rStyle w:val="Hyperlink"/>
            <w:lang w:val="en"/>
          </w:rPr>
          <w:t>http://dx.doi.org/10.1787/tpg</w:t>
        </w:r>
        <w:r w:rsidR="005D6F39">
          <w:rPr>
            <w:rStyle w:val="Hyperlink"/>
            <w:lang w:val="en"/>
          </w:rPr>
          <w:noBreakHyphen/>
        </w:r>
        <w:r w:rsidRPr="004B2051">
          <w:rPr>
            <w:rStyle w:val="Hyperlink"/>
            <w:lang w:val="en"/>
          </w:rPr>
          <w:t>2010</w:t>
        </w:r>
        <w:r w:rsidR="005D6F39">
          <w:rPr>
            <w:rStyle w:val="Hyperlink"/>
            <w:lang w:val="en"/>
          </w:rPr>
          <w:noBreakHyphen/>
        </w:r>
        <w:r w:rsidRPr="004B2051">
          <w:rPr>
            <w:rStyle w:val="Hyperlink"/>
            <w:lang w:val="en"/>
          </w:rPr>
          <w:t>en</w:t>
        </w:r>
      </w:hyperlink>
      <w:r w:rsidR="006344D1" w:rsidRPr="004B2051">
        <w:t>.</w:t>
      </w:r>
    </w:p>
    <w:p w14:paraId="58C7C7AC" w14:textId="77777777" w:rsidR="00FD6B9D" w:rsidRDefault="00FD6B9D" w:rsidP="00FD6B9D">
      <w:pPr>
        <w:jc w:val="left"/>
      </w:pPr>
      <w:r w:rsidRPr="004B2051">
        <w:t xml:space="preserve">Parliament of Australia (1986) </w:t>
      </w:r>
      <w:r w:rsidRPr="004B2051">
        <w:rPr>
          <w:i/>
        </w:rPr>
        <w:t>House of Representatives Hansard</w:t>
      </w:r>
      <w:r w:rsidRPr="004B2051">
        <w:t>. 28 November 1986.</w:t>
      </w:r>
    </w:p>
    <w:p w14:paraId="36F4FC41" w14:textId="77777777" w:rsidR="00787554" w:rsidRDefault="00787554" w:rsidP="001F1AFE">
      <w:pPr>
        <w:jc w:val="left"/>
      </w:pPr>
      <w:r w:rsidRPr="004B2051">
        <w:t xml:space="preserve">Parliament of Australia (1987). </w:t>
      </w:r>
      <w:r w:rsidRPr="004B2051">
        <w:rPr>
          <w:i/>
        </w:rPr>
        <w:t>House of Representatives Hansard</w:t>
      </w:r>
      <w:r w:rsidRPr="004B2051">
        <w:t>. 21 October, 1987.</w:t>
      </w:r>
    </w:p>
    <w:p w14:paraId="09555FCE" w14:textId="38A2B195" w:rsidR="00A05B1B" w:rsidRDefault="00A05B1B" w:rsidP="001F1AFE">
      <w:pPr>
        <w:jc w:val="left"/>
      </w:pPr>
      <w:r w:rsidRPr="00DE31DB">
        <w:t xml:space="preserve">Parliament of Australia (1991). </w:t>
      </w:r>
      <w:r w:rsidRPr="00DE31DB">
        <w:rPr>
          <w:i/>
        </w:rPr>
        <w:t>House of Representatives Hansard</w:t>
      </w:r>
      <w:r w:rsidRPr="00DE31DB">
        <w:t>. 9 May, 1991.</w:t>
      </w:r>
    </w:p>
    <w:p w14:paraId="10FE5A1D" w14:textId="77777777" w:rsidR="00BE242E" w:rsidRPr="004B2051" w:rsidRDefault="00BE242E" w:rsidP="00BE242E">
      <w:pPr>
        <w:jc w:val="left"/>
      </w:pPr>
      <w:r w:rsidRPr="004B2051">
        <w:t>Petroleum Resource Rent Tax Bill 1987 (Cth) (1987).</w:t>
      </w:r>
    </w:p>
    <w:p w14:paraId="08D3D35F" w14:textId="77777777" w:rsidR="00BE242E" w:rsidRPr="004B2051" w:rsidRDefault="00BE242E" w:rsidP="00BE242E">
      <w:pPr>
        <w:jc w:val="left"/>
      </w:pPr>
      <w:r w:rsidRPr="004B2051">
        <w:t xml:space="preserve">Petroleum Resource Rent Tax Bill 1987 (Cth) (1987). </w:t>
      </w:r>
      <w:r w:rsidRPr="004B2051">
        <w:rPr>
          <w:i/>
        </w:rPr>
        <w:t>Explanatory Memorandum</w:t>
      </w:r>
      <w:r w:rsidRPr="004B2051">
        <w:t>. 1987.</w:t>
      </w:r>
    </w:p>
    <w:p w14:paraId="416085E7" w14:textId="77777777" w:rsidR="00BE242E" w:rsidRPr="004B2051" w:rsidRDefault="00BE242E" w:rsidP="00BE242E">
      <w:pPr>
        <w:jc w:val="left"/>
      </w:pPr>
      <w:r w:rsidRPr="004B2051">
        <w:t xml:space="preserve">Petroleum Resource Rent Tax Assessment Amendment Bill 2011 (Cth). </w:t>
      </w:r>
      <w:r w:rsidRPr="004B2051">
        <w:rPr>
          <w:i/>
        </w:rPr>
        <w:t>Explanatory Memorandum</w:t>
      </w:r>
      <w:r w:rsidRPr="004B2051">
        <w:t>. 2011.</w:t>
      </w:r>
    </w:p>
    <w:p w14:paraId="12951AA2" w14:textId="5B698DCA" w:rsidR="007E3CCC" w:rsidRPr="00DE31DB" w:rsidRDefault="007E3CCC" w:rsidP="001F1AFE">
      <w:pPr>
        <w:jc w:val="left"/>
      </w:pPr>
      <w:r w:rsidRPr="004B2051">
        <w:t xml:space="preserve">Policy Transition Group (2010). </w:t>
      </w:r>
      <w:r w:rsidR="005D6F39">
        <w:t>“</w:t>
      </w:r>
      <w:r w:rsidRPr="004B2051">
        <w:t>New Resource Taxation Arrangements</w:t>
      </w:r>
      <w:r w:rsidR="005D6F39">
        <w:t>”</w:t>
      </w:r>
      <w:r w:rsidRPr="004B2051">
        <w:t xml:space="preserve">. </w:t>
      </w:r>
      <w:r w:rsidRPr="004B2051">
        <w:rPr>
          <w:i/>
        </w:rPr>
        <w:t>Policy Transition Group Report to the Australian Government</w:t>
      </w:r>
      <w:r w:rsidRPr="004B2051">
        <w:t>. December, 2010.</w:t>
      </w:r>
    </w:p>
    <w:p w14:paraId="2BBD9003" w14:textId="6EF74A4F" w:rsidR="00EB08B3" w:rsidRDefault="00EB08B3" w:rsidP="001F1AFE">
      <w:pPr>
        <w:jc w:val="left"/>
        <w:rPr>
          <w:rStyle w:val="Hyperlink"/>
        </w:rPr>
      </w:pPr>
      <w:r w:rsidRPr="004B2051">
        <w:t xml:space="preserve">Productivity Commission (2009). </w:t>
      </w:r>
      <w:r w:rsidR="005D6F39">
        <w:t>“</w:t>
      </w:r>
      <w:r w:rsidRPr="004B2051">
        <w:t>Review of Regulatory Burden on the Upstream Petroleum (Oil and Gas) Sector</w:t>
      </w:r>
      <w:r w:rsidR="005D6F39">
        <w:t>”</w:t>
      </w:r>
      <w:r w:rsidRPr="004B2051">
        <w:t xml:space="preserve">. </w:t>
      </w:r>
      <w:r w:rsidRPr="004B2051">
        <w:rPr>
          <w:i/>
        </w:rPr>
        <w:t>Productivity Commission Research Report</w:t>
      </w:r>
      <w:r w:rsidRPr="004B2051">
        <w:t xml:space="preserve">. April 2009. Available at: </w:t>
      </w:r>
      <w:hyperlink r:id="rId112" w:history="1">
        <w:r w:rsidRPr="004B2051">
          <w:rPr>
            <w:rStyle w:val="Hyperlink"/>
          </w:rPr>
          <w:t>http://www.pc.gov.au/inquiries/completed/upstream</w:t>
        </w:r>
        <w:r w:rsidR="005D6F39">
          <w:rPr>
            <w:rStyle w:val="Hyperlink"/>
          </w:rPr>
          <w:noBreakHyphen/>
        </w:r>
        <w:r w:rsidRPr="004B2051">
          <w:rPr>
            <w:rStyle w:val="Hyperlink"/>
          </w:rPr>
          <w:t>petroleum/report/upstream</w:t>
        </w:r>
        <w:r w:rsidR="005D6F39">
          <w:rPr>
            <w:rStyle w:val="Hyperlink"/>
          </w:rPr>
          <w:noBreakHyphen/>
        </w:r>
        <w:r w:rsidRPr="004B2051">
          <w:rPr>
            <w:rStyle w:val="Hyperlink"/>
          </w:rPr>
          <w:t>petroleum.pdf</w:t>
        </w:r>
      </w:hyperlink>
    </w:p>
    <w:p w14:paraId="5927D142" w14:textId="495B231A" w:rsidR="00BC395B" w:rsidRPr="00BC395B" w:rsidRDefault="00BC395B" w:rsidP="001F1AFE">
      <w:pPr>
        <w:jc w:val="left"/>
        <w:rPr>
          <w:color w:val="auto"/>
        </w:rPr>
      </w:pPr>
      <w:r w:rsidRPr="004B2051">
        <w:rPr>
          <w:color w:val="auto"/>
        </w:rPr>
        <w:t xml:space="preserve">Tax Laws Amendment Bill No. 6 </w:t>
      </w:r>
      <w:r w:rsidR="002700E0" w:rsidRPr="004B2051">
        <w:rPr>
          <w:color w:val="auto"/>
        </w:rPr>
        <w:t>2001</w:t>
      </w:r>
      <w:r w:rsidRPr="004B2051">
        <w:rPr>
          <w:color w:val="auto"/>
        </w:rPr>
        <w:t xml:space="preserve"> (Cth) (</w:t>
      </w:r>
      <w:r w:rsidR="002700E0" w:rsidRPr="004B2051">
        <w:rPr>
          <w:color w:val="auto"/>
        </w:rPr>
        <w:t>2001</w:t>
      </w:r>
      <w:r w:rsidRPr="004B2051">
        <w:rPr>
          <w:color w:val="auto"/>
        </w:rPr>
        <w:t xml:space="preserve">). Explanatory Memorandum. </w:t>
      </w:r>
      <w:r w:rsidR="002700E0" w:rsidRPr="004B2051">
        <w:rPr>
          <w:color w:val="auto"/>
        </w:rPr>
        <w:t>2001</w:t>
      </w:r>
      <w:r w:rsidRPr="004B2051">
        <w:rPr>
          <w:color w:val="auto"/>
        </w:rPr>
        <w:t>.</w:t>
      </w:r>
    </w:p>
    <w:p w14:paraId="186484E5" w14:textId="1316776C" w:rsidR="00B14A02" w:rsidRDefault="00657AFB" w:rsidP="001F1AFE">
      <w:pPr>
        <w:jc w:val="left"/>
      </w:pPr>
      <w:r w:rsidRPr="004B2051">
        <w:t xml:space="preserve">US Energy Information Administration (2017). </w:t>
      </w:r>
      <w:r w:rsidRPr="004B2051">
        <w:rPr>
          <w:i/>
        </w:rPr>
        <w:t>Petroleum and Other Liquids: Spot Price</w:t>
      </w:r>
      <w:r w:rsidRPr="004B2051">
        <w:t xml:space="preserve">s </w:t>
      </w:r>
      <w:r w:rsidR="000A2DD4" w:rsidRPr="004B2051">
        <w:t>D</w:t>
      </w:r>
      <w:r w:rsidRPr="004B2051">
        <w:t>ata. Available at: www.eia.gov/dnav/pet/pet_pri_spt_s1_d.htm</w:t>
      </w:r>
    </w:p>
    <w:p w14:paraId="59F6F2F7" w14:textId="44A302CD" w:rsidR="00ED32D5" w:rsidRPr="004B72F6" w:rsidRDefault="00ED32D5" w:rsidP="001F1AFE">
      <w:pPr>
        <w:jc w:val="left"/>
      </w:pPr>
    </w:p>
    <w:p w14:paraId="34E9A527" w14:textId="6F4890AA" w:rsidR="00257E1A" w:rsidRPr="003610A0" w:rsidRDefault="009D0552" w:rsidP="00257E1A">
      <w:pPr>
        <w:pStyle w:val="Heading1"/>
      </w:pPr>
      <w:bookmarkStart w:id="9656" w:name="_Toc477869943"/>
      <w:bookmarkStart w:id="9657" w:name="_Toc477871182"/>
      <w:bookmarkStart w:id="9658" w:name="_Toc477873341"/>
      <w:bookmarkStart w:id="9659" w:name="_Toc477875335"/>
      <w:bookmarkStart w:id="9660" w:name="_Toc477880248"/>
      <w:bookmarkStart w:id="9661" w:name="_Toc477881508"/>
      <w:bookmarkStart w:id="9662" w:name="_Toc477955912"/>
      <w:bookmarkStart w:id="9663" w:name="_Toc477963157"/>
      <w:bookmarkStart w:id="9664" w:name="_Toc477963643"/>
      <w:bookmarkStart w:id="9665" w:name="_Toc477965229"/>
      <w:bookmarkStart w:id="9666" w:name="_Toc477966733"/>
      <w:bookmarkStart w:id="9667" w:name="_Toc477966902"/>
      <w:bookmarkStart w:id="9668" w:name="_Toc477967242"/>
      <w:bookmarkStart w:id="9669" w:name="_Toc478121379"/>
      <w:bookmarkStart w:id="9670" w:name="_Toc478122292"/>
      <w:bookmarkStart w:id="9671" w:name="_Toc478132122"/>
      <w:bookmarkStart w:id="9672" w:name="_Toc478132266"/>
      <w:bookmarkStart w:id="9673" w:name="_Toc478133292"/>
      <w:bookmarkStart w:id="9674" w:name="_Toc478132429"/>
      <w:bookmarkStart w:id="9675" w:name="_Toc478134758"/>
      <w:bookmarkStart w:id="9676" w:name="_Toc478137460"/>
      <w:bookmarkStart w:id="9677" w:name="_Toc478138532"/>
      <w:bookmarkStart w:id="9678" w:name="_Toc478140102"/>
      <w:bookmarkStart w:id="9679" w:name="_Toc478140518"/>
      <w:bookmarkStart w:id="9680" w:name="_Toc478142724"/>
      <w:bookmarkStart w:id="9681" w:name="_Toc478566443"/>
      <w:bookmarkStart w:id="9682" w:name="_Toc478569610"/>
      <w:bookmarkStart w:id="9683" w:name="_Toc478569784"/>
      <w:bookmarkStart w:id="9684" w:name="_Toc478570858"/>
      <w:bookmarkStart w:id="9685" w:name="_Toc478633057"/>
      <w:bookmarkStart w:id="9686" w:name="_Toc478641467"/>
      <w:bookmarkStart w:id="9687" w:name="_Toc478654361"/>
      <w:bookmarkStart w:id="9688" w:name="_Toc478654535"/>
      <w:bookmarkStart w:id="9689" w:name="_Toc478657830"/>
      <w:bookmarkStart w:id="9690" w:name="_Toc478993251"/>
      <w:bookmarkStart w:id="9691" w:name="_Toc479000322"/>
      <w:bookmarkStart w:id="9692" w:name="_Toc479002256"/>
      <w:bookmarkStart w:id="9693" w:name="_Toc479002428"/>
      <w:bookmarkStart w:id="9694" w:name="_Toc479254402"/>
      <w:bookmarkStart w:id="9695" w:name="_Toc479258591"/>
      <w:bookmarkStart w:id="9696" w:name="_Toc479258907"/>
      <w:bookmarkStart w:id="9697" w:name="_Toc479259799"/>
      <w:bookmarkStart w:id="9698" w:name="_Toc479262222"/>
      <w:bookmarkStart w:id="9699" w:name="_Toc479262643"/>
      <w:bookmarkStart w:id="9700" w:name="_Toc479321344"/>
      <w:bookmarkStart w:id="9701" w:name="_Toc479326783"/>
      <w:bookmarkStart w:id="9702" w:name="_Toc479333044"/>
      <w:bookmarkStart w:id="9703" w:name="_Toc479333382"/>
      <w:bookmarkStart w:id="9704" w:name="_Toc479335079"/>
      <w:bookmarkStart w:id="9705" w:name="_Toc479341794"/>
      <w:bookmarkStart w:id="9706" w:name="_Toc479345210"/>
      <w:bookmarkStart w:id="9707" w:name="_Toc479345419"/>
      <w:bookmarkStart w:id="9708" w:name="_Toc479348400"/>
      <w:bookmarkStart w:id="9709" w:name="_Toc479675993"/>
      <w:bookmarkStart w:id="9710" w:name="_Toc479690960"/>
      <w:bookmarkStart w:id="9711" w:name="_Toc479693538"/>
      <w:bookmarkStart w:id="9712" w:name="_Toc479770707"/>
      <w:bookmarkStart w:id="9713" w:name="_Toc476577411"/>
      <w:bookmarkStart w:id="9714" w:name="_Toc476582400"/>
      <w:bookmarkStart w:id="9715" w:name="_Toc476583074"/>
      <w:bookmarkStart w:id="9716" w:name="_Toc476583791"/>
      <w:bookmarkStart w:id="9717" w:name="_Toc476584239"/>
      <w:bookmarkStart w:id="9718" w:name="_Toc476738146"/>
      <w:bookmarkStart w:id="9719" w:name="_Toc476747731"/>
      <w:bookmarkStart w:id="9720" w:name="_Toc476749141"/>
      <w:bookmarkStart w:id="9721" w:name="_Toc476754008"/>
      <w:bookmarkStart w:id="9722" w:name="_Toc476754503"/>
      <w:bookmarkStart w:id="9723" w:name="_Toc476754668"/>
      <w:bookmarkStart w:id="9724" w:name="_Toc476759907"/>
      <w:bookmarkStart w:id="9725" w:name="_Toc476761529"/>
      <w:bookmarkStart w:id="9726" w:name="_Toc476767167"/>
      <w:bookmarkStart w:id="9727" w:name="_Toc476827213"/>
      <w:bookmarkStart w:id="9728" w:name="_Toc476828906"/>
      <w:bookmarkStart w:id="9729" w:name="_Toc476833780"/>
      <w:bookmarkStart w:id="9730" w:name="_Toc476837253"/>
      <w:bookmarkStart w:id="9731" w:name="_Toc476841126"/>
      <w:bookmarkStart w:id="9732" w:name="_Toc476841331"/>
      <w:bookmarkStart w:id="9733" w:name="_Toc476842090"/>
      <w:bookmarkStart w:id="9734" w:name="_Toc476843034"/>
      <w:bookmarkStart w:id="9735" w:name="_Toc476843205"/>
      <w:bookmarkStart w:id="9736" w:name="_Toc476844703"/>
      <w:bookmarkStart w:id="9737" w:name="_Toc476845596"/>
      <w:bookmarkStart w:id="9738" w:name="_Toc476926990"/>
      <w:bookmarkStart w:id="9739" w:name="_Toc476927103"/>
      <w:bookmarkStart w:id="9740" w:name="_Toc476927277"/>
      <w:bookmarkStart w:id="9741" w:name="_Toc476928541"/>
      <w:bookmarkStart w:id="9742" w:name="_Toc476929584"/>
      <w:bookmarkStart w:id="9743" w:name="_Toc476929759"/>
      <w:bookmarkStart w:id="9744" w:name="_Toc476930802"/>
      <w:bookmarkStart w:id="9745" w:name="_Toc476931609"/>
      <w:r>
        <w:t>Appendix A</w:t>
      </w:r>
      <w:r w:rsidR="005D6F39">
        <w:t xml:space="preserve"> — </w:t>
      </w:r>
      <w:r w:rsidR="00257E1A">
        <w:t>Australia</w:t>
      </w:r>
      <w:r w:rsidR="005D6F39">
        <w:t>’</w:t>
      </w:r>
      <w:r w:rsidR="00257E1A">
        <w:t>s Major Oil and Gas Projects</w:t>
      </w:r>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p>
    <w:tbl>
      <w:tblPr>
        <w:tblW w:w="9099" w:type="dxa"/>
        <w:jc w:val="center"/>
        <w:tblInd w:w="1500" w:type="dxa"/>
        <w:tblLayout w:type="fixed"/>
        <w:tblLook w:val="01E0" w:firstRow="1" w:lastRow="1" w:firstColumn="1" w:lastColumn="1" w:noHBand="0" w:noVBand="0"/>
      </w:tblPr>
      <w:tblGrid>
        <w:gridCol w:w="1433"/>
        <w:gridCol w:w="2693"/>
        <w:gridCol w:w="1276"/>
        <w:gridCol w:w="1276"/>
        <w:gridCol w:w="1417"/>
        <w:gridCol w:w="1004"/>
      </w:tblGrid>
      <w:tr w:rsidR="00257E1A" w:rsidRPr="003610A0" w14:paraId="66ACDDD5" w14:textId="77777777" w:rsidTr="0089652B">
        <w:trPr>
          <w:tblHeader/>
          <w:jc w:val="center"/>
        </w:trPr>
        <w:tc>
          <w:tcPr>
            <w:tcW w:w="1433" w:type="dxa"/>
            <w:tcBorders>
              <w:top w:val="single" w:sz="12" w:space="0" w:color="auto"/>
              <w:bottom w:val="single" w:sz="4" w:space="0" w:color="auto"/>
            </w:tcBorders>
            <w:shd w:val="clear" w:color="auto" w:fill="auto"/>
            <w:tcMar>
              <w:left w:w="85" w:type="dxa"/>
              <w:right w:w="85" w:type="dxa"/>
            </w:tcMar>
            <w:vAlign w:val="center"/>
          </w:tcPr>
          <w:p w14:paraId="0271AB1A" w14:textId="77777777" w:rsidR="00257E1A" w:rsidRPr="003610A0" w:rsidRDefault="00257E1A" w:rsidP="0089652B">
            <w:pPr>
              <w:pStyle w:val="TableColumnHeadingCentred"/>
              <w:rPr>
                <w:rFonts w:eastAsia="Calibri"/>
                <w:lang w:eastAsia="en-US"/>
              </w:rPr>
            </w:pPr>
            <w:bookmarkStart w:id="9746" w:name="_Toc476577412"/>
            <w:bookmarkStart w:id="9747" w:name="_Toc476582401"/>
            <w:bookmarkStart w:id="9748" w:name="_Toc476583075"/>
            <w:bookmarkStart w:id="9749" w:name="_Toc476583792"/>
            <w:bookmarkStart w:id="9750" w:name="_Toc476584240"/>
            <w:bookmarkStart w:id="9751" w:name="_Toc476738147"/>
            <w:bookmarkStart w:id="9752" w:name="_Toc476747732"/>
            <w:bookmarkStart w:id="9753" w:name="_Toc476749142"/>
            <w:bookmarkStart w:id="9754" w:name="_Toc476754009"/>
            <w:bookmarkStart w:id="9755" w:name="_Toc476754504"/>
            <w:bookmarkStart w:id="9756" w:name="_Toc476754669"/>
            <w:bookmarkStart w:id="9757" w:name="_Toc476759908"/>
            <w:bookmarkStart w:id="9758" w:name="_Toc476761530"/>
            <w:bookmarkStart w:id="9759" w:name="_Toc476767168"/>
            <w:bookmarkStart w:id="9760" w:name="_Toc476827214"/>
            <w:bookmarkStart w:id="9761" w:name="_Toc476828907"/>
            <w:bookmarkStart w:id="9762" w:name="_Toc476833781"/>
            <w:bookmarkStart w:id="9763" w:name="_Toc476837254"/>
            <w:bookmarkStart w:id="9764" w:name="_Toc476841127"/>
            <w:bookmarkStart w:id="9765" w:name="_Toc476841332"/>
            <w:bookmarkStart w:id="9766" w:name="_Toc476842091"/>
            <w:bookmarkStart w:id="9767" w:name="_Toc476843035"/>
            <w:bookmarkStart w:id="9768" w:name="_Toc476843206"/>
            <w:bookmarkStart w:id="9769" w:name="_Toc476844704"/>
            <w:bookmarkStart w:id="9770" w:name="_Toc476845597"/>
            <w:bookmarkStart w:id="9771" w:name="_Toc476926991"/>
            <w:bookmarkStart w:id="9772" w:name="_Toc476927104"/>
            <w:bookmarkStart w:id="9773" w:name="_Toc476927278"/>
            <w:bookmarkStart w:id="9774" w:name="_Toc476928542"/>
            <w:bookmarkStart w:id="9775" w:name="_Toc476929585"/>
            <w:bookmarkStart w:id="9776" w:name="_Toc476929760"/>
            <w:bookmarkStart w:id="9777" w:name="_Toc476930803"/>
            <w:bookmarkStart w:id="9778" w:name="_Toc476931610"/>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r w:rsidRPr="003610A0">
              <w:rPr>
                <w:rFonts w:eastAsia="Calibri"/>
                <w:lang w:eastAsia="en-US"/>
              </w:rPr>
              <w:t>Name</w:t>
            </w:r>
            <w:r w:rsidRPr="003610A0">
              <w:rPr>
                <w:rFonts w:eastAsia="Calibri"/>
                <w:lang w:eastAsia="en-US"/>
              </w:rPr>
              <w:br/>
              <w:t>Type</w:t>
            </w:r>
          </w:p>
        </w:tc>
        <w:tc>
          <w:tcPr>
            <w:tcW w:w="2693" w:type="dxa"/>
            <w:tcBorders>
              <w:top w:val="single" w:sz="12" w:space="0" w:color="auto"/>
              <w:bottom w:val="single" w:sz="4" w:space="0" w:color="auto"/>
            </w:tcBorders>
            <w:shd w:val="clear" w:color="auto" w:fill="auto"/>
            <w:tcMar>
              <w:left w:w="85" w:type="dxa"/>
              <w:right w:w="85" w:type="dxa"/>
            </w:tcMar>
            <w:vAlign w:val="center"/>
          </w:tcPr>
          <w:p w14:paraId="5DBDC76E" w14:textId="77777777" w:rsidR="00257E1A" w:rsidRPr="003610A0" w:rsidRDefault="00257E1A" w:rsidP="0089652B">
            <w:pPr>
              <w:pStyle w:val="TableColumnHeadingCentred"/>
              <w:rPr>
                <w:rFonts w:eastAsia="Calibri"/>
                <w:lang w:eastAsia="en-US"/>
              </w:rPr>
            </w:pPr>
            <w:r>
              <w:rPr>
                <w:rFonts w:eastAsia="Calibri"/>
                <w:lang w:eastAsia="en-US"/>
              </w:rPr>
              <w:t>Proponents</w:t>
            </w:r>
          </w:p>
        </w:tc>
        <w:tc>
          <w:tcPr>
            <w:tcW w:w="1276" w:type="dxa"/>
            <w:tcBorders>
              <w:top w:val="single" w:sz="12" w:space="0" w:color="auto"/>
              <w:bottom w:val="single" w:sz="4" w:space="0" w:color="auto"/>
            </w:tcBorders>
            <w:shd w:val="clear" w:color="auto" w:fill="auto"/>
            <w:tcMar>
              <w:left w:w="85" w:type="dxa"/>
              <w:right w:w="85" w:type="dxa"/>
            </w:tcMar>
            <w:vAlign w:val="center"/>
          </w:tcPr>
          <w:p w14:paraId="5498AFA3" w14:textId="77777777" w:rsidR="00257E1A" w:rsidRPr="003610A0" w:rsidRDefault="00257E1A" w:rsidP="0089652B">
            <w:pPr>
              <w:pStyle w:val="TableColumnHeadingCentred"/>
              <w:rPr>
                <w:rFonts w:eastAsia="Calibri"/>
                <w:lang w:eastAsia="en-US"/>
              </w:rPr>
            </w:pPr>
            <w:r w:rsidRPr="003610A0">
              <w:rPr>
                <w:rFonts w:eastAsia="Calibri"/>
                <w:lang w:eastAsia="en-US"/>
              </w:rPr>
              <w:t>Location</w:t>
            </w:r>
            <w:r w:rsidRPr="003610A0">
              <w:rPr>
                <w:rFonts w:eastAsia="Calibri"/>
                <w:lang w:eastAsia="en-US"/>
              </w:rPr>
              <w:br/>
              <w:t>Basin</w:t>
            </w:r>
            <w:r w:rsidRPr="003610A0">
              <w:rPr>
                <w:rFonts w:eastAsia="Calibri"/>
                <w:lang w:eastAsia="en-US"/>
              </w:rPr>
              <w:br/>
              <w:t>Plant</w:t>
            </w:r>
          </w:p>
        </w:tc>
        <w:tc>
          <w:tcPr>
            <w:tcW w:w="1276" w:type="dxa"/>
            <w:tcBorders>
              <w:top w:val="single" w:sz="12" w:space="0" w:color="auto"/>
              <w:bottom w:val="single" w:sz="4" w:space="0" w:color="auto"/>
            </w:tcBorders>
            <w:shd w:val="clear" w:color="auto" w:fill="auto"/>
            <w:tcMar>
              <w:left w:w="85" w:type="dxa"/>
              <w:right w:w="85" w:type="dxa"/>
            </w:tcMar>
            <w:vAlign w:val="center"/>
          </w:tcPr>
          <w:p w14:paraId="0096E78C" w14:textId="77777777" w:rsidR="00257E1A" w:rsidRPr="003610A0" w:rsidRDefault="00257E1A" w:rsidP="0089652B">
            <w:pPr>
              <w:pStyle w:val="TableColumnHeadingCentred"/>
              <w:rPr>
                <w:rFonts w:eastAsia="Calibri"/>
                <w:lang w:eastAsia="en-US"/>
              </w:rPr>
            </w:pPr>
            <w:r w:rsidRPr="003610A0">
              <w:rPr>
                <w:rFonts w:eastAsia="Calibri"/>
                <w:lang w:eastAsia="en-US"/>
              </w:rPr>
              <w:t>FID (final investment decision) and FG (first gas)</w:t>
            </w:r>
          </w:p>
        </w:tc>
        <w:tc>
          <w:tcPr>
            <w:tcW w:w="1417" w:type="dxa"/>
            <w:tcBorders>
              <w:top w:val="single" w:sz="12" w:space="0" w:color="auto"/>
              <w:bottom w:val="single" w:sz="4" w:space="0" w:color="auto"/>
            </w:tcBorders>
            <w:shd w:val="clear" w:color="auto" w:fill="auto"/>
            <w:tcMar>
              <w:left w:w="85" w:type="dxa"/>
              <w:right w:w="85" w:type="dxa"/>
            </w:tcMar>
            <w:vAlign w:val="center"/>
          </w:tcPr>
          <w:p w14:paraId="383D857B" w14:textId="77777777" w:rsidR="00257E1A" w:rsidRPr="003610A0" w:rsidRDefault="00257E1A" w:rsidP="0089652B">
            <w:pPr>
              <w:pStyle w:val="TableColumnHeadingCentred"/>
              <w:rPr>
                <w:rFonts w:eastAsia="Calibri"/>
                <w:lang w:eastAsia="en-US"/>
              </w:rPr>
            </w:pPr>
            <w:r w:rsidRPr="003610A0">
              <w:rPr>
                <w:rFonts w:eastAsia="Calibri"/>
                <w:lang w:eastAsia="en-US"/>
              </w:rPr>
              <w:t>Size</w:t>
            </w:r>
          </w:p>
        </w:tc>
        <w:tc>
          <w:tcPr>
            <w:tcW w:w="1004" w:type="dxa"/>
            <w:tcBorders>
              <w:top w:val="single" w:sz="12" w:space="0" w:color="auto"/>
              <w:bottom w:val="single" w:sz="4" w:space="0" w:color="auto"/>
            </w:tcBorders>
            <w:shd w:val="clear" w:color="auto" w:fill="auto"/>
            <w:tcMar>
              <w:left w:w="85" w:type="dxa"/>
              <w:right w:w="85" w:type="dxa"/>
            </w:tcMar>
            <w:vAlign w:val="center"/>
          </w:tcPr>
          <w:p w14:paraId="2B368C30" w14:textId="77777777" w:rsidR="00257E1A" w:rsidRPr="003610A0" w:rsidRDefault="00257E1A" w:rsidP="0089652B">
            <w:pPr>
              <w:pStyle w:val="TableColumnHeadingCentred"/>
              <w:rPr>
                <w:rFonts w:eastAsia="Calibri"/>
                <w:lang w:eastAsia="en-US"/>
              </w:rPr>
            </w:pPr>
            <w:r w:rsidRPr="003610A0">
              <w:rPr>
                <w:rFonts w:eastAsia="Calibri"/>
                <w:lang w:eastAsia="en-US"/>
              </w:rPr>
              <w:t>Cost</w:t>
            </w:r>
          </w:p>
        </w:tc>
      </w:tr>
      <w:tr w:rsidR="00257E1A" w:rsidRPr="003610A0" w14:paraId="44A67065" w14:textId="77777777" w:rsidTr="0089652B">
        <w:trPr>
          <w:jc w:val="center"/>
        </w:trPr>
        <w:tc>
          <w:tcPr>
            <w:tcW w:w="9099" w:type="dxa"/>
            <w:gridSpan w:val="6"/>
            <w:tcBorders>
              <w:top w:val="single" w:sz="4" w:space="0" w:color="auto"/>
              <w:bottom w:val="single" w:sz="4" w:space="0" w:color="auto"/>
            </w:tcBorders>
            <w:shd w:val="clear" w:color="auto" w:fill="auto"/>
            <w:tcMar>
              <w:left w:w="85" w:type="dxa"/>
              <w:right w:w="85" w:type="dxa"/>
            </w:tcMar>
            <w:vAlign w:val="center"/>
          </w:tcPr>
          <w:p w14:paraId="10C730C3" w14:textId="77777777" w:rsidR="00257E1A" w:rsidRPr="003610A0" w:rsidRDefault="00257E1A" w:rsidP="0089652B">
            <w:pPr>
              <w:pStyle w:val="TableColumnHeadingLeft"/>
              <w:rPr>
                <w:rFonts w:eastAsia="Calibri"/>
                <w:lang w:eastAsia="en-US"/>
              </w:rPr>
            </w:pPr>
            <w:r w:rsidRPr="003610A0">
              <w:rPr>
                <w:rFonts w:eastAsia="Calibri"/>
                <w:lang w:eastAsia="en-US"/>
              </w:rPr>
              <w:t>In Operation</w:t>
            </w:r>
          </w:p>
        </w:tc>
      </w:tr>
      <w:tr w:rsidR="00257E1A" w:rsidRPr="003610A0" w14:paraId="64450D62"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4032BE70" w14:textId="77777777" w:rsidR="00257E1A" w:rsidRPr="003610A0" w:rsidRDefault="00257E1A" w:rsidP="0089652B">
            <w:pPr>
              <w:pStyle w:val="TableTextLeft"/>
              <w:rPr>
                <w:rFonts w:eastAsia="Calibri"/>
                <w:lang w:eastAsia="en-US"/>
              </w:rPr>
            </w:pPr>
            <w:r>
              <w:rPr>
                <w:rFonts w:eastAsia="Calibri"/>
                <w:lang w:eastAsia="en-US"/>
              </w:rPr>
              <w:t>Gippsland Basin Joint Venture</w:t>
            </w:r>
          </w:p>
        </w:tc>
        <w:tc>
          <w:tcPr>
            <w:tcW w:w="2693" w:type="dxa"/>
            <w:tcBorders>
              <w:top w:val="single" w:sz="4" w:space="0" w:color="auto"/>
              <w:bottom w:val="single" w:sz="4" w:space="0" w:color="auto"/>
            </w:tcBorders>
            <w:shd w:val="clear" w:color="auto" w:fill="auto"/>
            <w:tcMar>
              <w:left w:w="85" w:type="dxa"/>
              <w:right w:w="85" w:type="dxa"/>
            </w:tcMar>
            <w:vAlign w:val="center"/>
          </w:tcPr>
          <w:p w14:paraId="47E087F5" w14:textId="77777777" w:rsidR="00BB3512" w:rsidRDefault="00257E1A" w:rsidP="0089652B">
            <w:pPr>
              <w:pStyle w:val="TableTextLeft"/>
              <w:rPr>
                <w:rFonts w:eastAsia="Calibri"/>
                <w:lang w:eastAsia="en-US"/>
              </w:rPr>
            </w:pPr>
            <w:r>
              <w:rPr>
                <w:rFonts w:eastAsia="Calibri"/>
                <w:lang w:eastAsia="en-US"/>
              </w:rPr>
              <w:t>Esso (Operator, 50</w:t>
            </w:r>
            <w:r w:rsidR="00BB3512">
              <w:rPr>
                <w:rFonts w:eastAsia="Calibri"/>
                <w:lang w:eastAsia="en-US"/>
              </w:rPr>
              <w:t>%)</w:t>
            </w:r>
          </w:p>
          <w:p w14:paraId="75C0B02B" w14:textId="0BCC8BD0" w:rsidR="00257E1A" w:rsidRPr="003610A0" w:rsidRDefault="00257E1A" w:rsidP="0089652B">
            <w:pPr>
              <w:pStyle w:val="TableTextLeft"/>
              <w:rPr>
                <w:rFonts w:eastAsia="Calibri"/>
                <w:lang w:eastAsia="en-US"/>
              </w:rPr>
            </w:pPr>
            <w:r>
              <w:rPr>
                <w:rFonts w:eastAsia="Calibri"/>
                <w:lang w:eastAsia="en-US"/>
              </w:rPr>
              <w:t>BHP Billiton (50%)</w:t>
            </w:r>
          </w:p>
        </w:tc>
        <w:tc>
          <w:tcPr>
            <w:tcW w:w="1276" w:type="dxa"/>
            <w:tcBorders>
              <w:top w:val="single" w:sz="4" w:space="0" w:color="auto"/>
              <w:bottom w:val="single" w:sz="4" w:space="0" w:color="auto"/>
            </w:tcBorders>
            <w:shd w:val="clear" w:color="auto" w:fill="auto"/>
            <w:tcMar>
              <w:left w:w="85" w:type="dxa"/>
              <w:right w:w="85" w:type="dxa"/>
            </w:tcMar>
            <w:vAlign w:val="center"/>
          </w:tcPr>
          <w:p w14:paraId="7C334785" w14:textId="77777777" w:rsidR="00257E1A" w:rsidRDefault="00257E1A" w:rsidP="0089652B">
            <w:pPr>
              <w:pStyle w:val="TableTextLeft"/>
              <w:rPr>
                <w:rFonts w:eastAsia="Calibri"/>
                <w:lang w:eastAsia="en-US"/>
              </w:rPr>
            </w:pPr>
            <w:r>
              <w:rPr>
                <w:rFonts w:eastAsia="Calibri"/>
                <w:lang w:eastAsia="en-US"/>
              </w:rPr>
              <w:t>VIC</w:t>
            </w:r>
          </w:p>
          <w:p w14:paraId="564BBAB7" w14:textId="77777777" w:rsidR="00257E1A" w:rsidRPr="003610A0" w:rsidRDefault="00257E1A" w:rsidP="0089652B">
            <w:pPr>
              <w:pStyle w:val="TableTextLeft"/>
              <w:rPr>
                <w:rFonts w:eastAsia="Calibri"/>
                <w:lang w:eastAsia="en-US"/>
              </w:rPr>
            </w:pPr>
            <w:r>
              <w:rPr>
                <w:rFonts w:eastAsia="Calibri"/>
                <w:lang w:eastAsia="en-US"/>
              </w:rPr>
              <w:t>Gippsland Basin</w:t>
            </w:r>
          </w:p>
        </w:tc>
        <w:tc>
          <w:tcPr>
            <w:tcW w:w="1276" w:type="dxa"/>
            <w:tcBorders>
              <w:top w:val="single" w:sz="4" w:space="0" w:color="auto"/>
              <w:bottom w:val="single" w:sz="4" w:space="0" w:color="auto"/>
            </w:tcBorders>
            <w:shd w:val="clear" w:color="auto" w:fill="auto"/>
            <w:tcMar>
              <w:left w:w="85" w:type="dxa"/>
              <w:right w:w="85" w:type="dxa"/>
            </w:tcMar>
            <w:vAlign w:val="center"/>
          </w:tcPr>
          <w:p w14:paraId="3246F2FF" w14:textId="77777777" w:rsidR="00257E1A" w:rsidRDefault="00257E1A" w:rsidP="0089652B">
            <w:pPr>
              <w:pStyle w:val="TableTextLeft"/>
              <w:rPr>
                <w:rFonts w:eastAsia="Calibri"/>
                <w:lang w:eastAsia="en-US"/>
              </w:rPr>
            </w:pPr>
            <w:r>
              <w:rPr>
                <w:rFonts w:eastAsia="Calibri"/>
                <w:lang w:eastAsia="en-US"/>
              </w:rPr>
              <w:t>First production 1967</w:t>
            </w:r>
          </w:p>
        </w:tc>
        <w:tc>
          <w:tcPr>
            <w:tcW w:w="1417" w:type="dxa"/>
            <w:tcBorders>
              <w:top w:val="single" w:sz="4" w:space="0" w:color="auto"/>
              <w:bottom w:val="single" w:sz="4" w:space="0" w:color="auto"/>
            </w:tcBorders>
            <w:shd w:val="clear" w:color="auto" w:fill="auto"/>
            <w:tcMar>
              <w:left w:w="85" w:type="dxa"/>
              <w:right w:w="85" w:type="dxa"/>
            </w:tcMar>
            <w:vAlign w:val="center"/>
          </w:tcPr>
          <w:p w14:paraId="66E4E56B" w14:textId="77777777" w:rsidR="00257E1A" w:rsidRPr="003610A0" w:rsidRDefault="00257E1A" w:rsidP="0089652B">
            <w:pPr>
              <w:pStyle w:val="TableTextLeft"/>
              <w:rPr>
                <w:rFonts w:eastAsia="Calibri"/>
                <w:lang w:eastAsia="en-US"/>
              </w:rPr>
            </w:pPr>
            <w:r w:rsidRPr="00C92DEA">
              <w:rPr>
                <w:rFonts w:eastAsia="Calibri"/>
                <w:lang w:eastAsia="en-US"/>
              </w:rPr>
              <w:t>Produc</w:t>
            </w:r>
            <w:r>
              <w:rPr>
                <w:rFonts w:eastAsia="Calibri"/>
                <w:lang w:eastAsia="en-US"/>
              </w:rPr>
              <w:t xml:space="preserve">ed around </w:t>
            </w:r>
            <w:r w:rsidRPr="00C92DEA">
              <w:rPr>
                <w:rFonts w:eastAsia="Calibri"/>
                <w:lang w:eastAsia="en-US"/>
              </w:rPr>
              <w:t>4.7 billion barrels of oil and 8 t</w:t>
            </w:r>
            <w:r>
              <w:rPr>
                <w:rFonts w:eastAsia="Calibri"/>
                <w:lang w:eastAsia="en-US"/>
              </w:rPr>
              <w:t>cf</w:t>
            </w:r>
            <w:r w:rsidRPr="00C92DEA">
              <w:rPr>
                <w:rFonts w:eastAsia="Calibri"/>
                <w:lang w:eastAsia="en-US"/>
              </w:rPr>
              <w:t xml:space="preserve"> of gas</w:t>
            </w:r>
            <w:r>
              <w:rPr>
                <w:rFonts w:eastAsia="Calibri"/>
                <w:lang w:eastAsia="en-US"/>
              </w:rPr>
              <w:t xml:space="preserve"> since startup</w:t>
            </w:r>
          </w:p>
        </w:tc>
        <w:tc>
          <w:tcPr>
            <w:tcW w:w="1004" w:type="dxa"/>
            <w:tcBorders>
              <w:top w:val="single" w:sz="4" w:space="0" w:color="auto"/>
              <w:bottom w:val="single" w:sz="4" w:space="0" w:color="auto"/>
            </w:tcBorders>
            <w:shd w:val="clear" w:color="auto" w:fill="auto"/>
            <w:tcMar>
              <w:left w:w="85" w:type="dxa"/>
              <w:right w:w="85" w:type="dxa"/>
            </w:tcMar>
            <w:vAlign w:val="center"/>
          </w:tcPr>
          <w:p w14:paraId="76423054" w14:textId="69B3C27F" w:rsidR="00257E1A" w:rsidRPr="003610A0" w:rsidRDefault="00257E1A" w:rsidP="0089652B">
            <w:pPr>
              <w:pStyle w:val="TableTextLeft"/>
              <w:rPr>
                <w:rFonts w:eastAsia="Calibri"/>
                <w:lang w:eastAsia="en-US"/>
              </w:rPr>
            </w:pPr>
            <w:r>
              <w:rPr>
                <w:rFonts w:eastAsia="Calibri"/>
                <w:lang w:eastAsia="en-US"/>
              </w:rPr>
              <w:t>A$32b</w:t>
            </w:r>
          </w:p>
        </w:tc>
      </w:tr>
      <w:tr w:rsidR="00257E1A" w:rsidRPr="003610A0" w14:paraId="61FDA5BD"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481F6701" w14:textId="77777777" w:rsidR="00257E1A" w:rsidRPr="003610A0" w:rsidRDefault="00257E1A" w:rsidP="0089652B">
            <w:pPr>
              <w:pStyle w:val="TableTextLeft"/>
              <w:rPr>
                <w:rFonts w:eastAsia="Calibri"/>
                <w:lang w:eastAsia="en-US"/>
              </w:rPr>
            </w:pPr>
            <w:r w:rsidRPr="003610A0">
              <w:rPr>
                <w:rFonts w:eastAsia="Calibri"/>
                <w:lang w:eastAsia="en-US"/>
              </w:rPr>
              <w:t xml:space="preserve">North West Shelf </w:t>
            </w:r>
          </w:p>
        </w:tc>
        <w:tc>
          <w:tcPr>
            <w:tcW w:w="2693" w:type="dxa"/>
            <w:tcBorders>
              <w:top w:val="single" w:sz="4" w:space="0" w:color="auto"/>
              <w:bottom w:val="single" w:sz="4" w:space="0" w:color="auto"/>
            </w:tcBorders>
            <w:shd w:val="clear" w:color="auto" w:fill="auto"/>
            <w:tcMar>
              <w:left w:w="85" w:type="dxa"/>
              <w:right w:w="85" w:type="dxa"/>
            </w:tcMar>
            <w:vAlign w:val="center"/>
          </w:tcPr>
          <w:p w14:paraId="3C29FB6D" w14:textId="77777777" w:rsidR="00BB3512" w:rsidRDefault="00257E1A" w:rsidP="0089652B">
            <w:pPr>
              <w:pStyle w:val="TableTextLeft"/>
              <w:rPr>
                <w:rFonts w:eastAsia="Calibri"/>
                <w:lang w:eastAsia="en-US"/>
              </w:rPr>
            </w:pPr>
            <w:r w:rsidRPr="003610A0">
              <w:rPr>
                <w:rFonts w:eastAsia="Calibri"/>
                <w:lang w:eastAsia="en-US"/>
              </w:rPr>
              <w:t>Woodside (Op</w:t>
            </w:r>
            <w:r>
              <w:rPr>
                <w:rFonts w:eastAsia="Calibri"/>
                <w:lang w:eastAsia="en-US"/>
              </w:rPr>
              <w:t xml:space="preserve">erator, </w:t>
            </w:r>
            <w:r w:rsidRPr="003610A0">
              <w:rPr>
                <w:rFonts w:eastAsia="Calibri"/>
                <w:lang w:eastAsia="en-US"/>
              </w:rPr>
              <w:t>16.67%)</w:t>
            </w:r>
          </w:p>
          <w:p w14:paraId="3AB61095" w14:textId="77777777" w:rsidR="00BB3512" w:rsidRDefault="00257E1A" w:rsidP="0089652B">
            <w:pPr>
              <w:pStyle w:val="TableTextLeft"/>
              <w:rPr>
                <w:rFonts w:eastAsia="Calibri"/>
                <w:lang w:eastAsia="en-US"/>
              </w:rPr>
            </w:pPr>
            <w:r w:rsidRPr="003610A0">
              <w:rPr>
                <w:rFonts w:eastAsia="Calibri"/>
                <w:lang w:eastAsia="en-US"/>
              </w:rPr>
              <w:t>Shell (16.67%)</w:t>
            </w:r>
          </w:p>
          <w:p w14:paraId="07F5FF3E" w14:textId="77777777" w:rsidR="00257E1A" w:rsidRPr="003610A0" w:rsidRDefault="00257E1A" w:rsidP="0089652B">
            <w:pPr>
              <w:pStyle w:val="TableTextLeft"/>
              <w:rPr>
                <w:rFonts w:eastAsia="Calibri"/>
                <w:lang w:eastAsia="en-US"/>
              </w:rPr>
            </w:pPr>
            <w:r w:rsidRPr="003610A0">
              <w:rPr>
                <w:rFonts w:eastAsia="Calibri"/>
                <w:lang w:eastAsia="en-US"/>
              </w:rPr>
              <w:t>BP (16.67%)</w:t>
            </w:r>
          </w:p>
          <w:p w14:paraId="034DB2D6" w14:textId="77777777" w:rsidR="00257E1A" w:rsidRPr="003610A0" w:rsidRDefault="00257E1A" w:rsidP="0089652B">
            <w:pPr>
              <w:pStyle w:val="TableTextLeft"/>
              <w:rPr>
                <w:rFonts w:eastAsia="Calibri"/>
                <w:lang w:eastAsia="en-US"/>
              </w:rPr>
            </w:pPr>
            <w:r w:rsidRPr="003610A0">
              <w:rPr>
                <w:rFonts w:eastAsia="Calibri"/>
                <w:lang w:eastAsia="en-US"/>
              </w:rPr>
              <w:t>Chevron (16.67%)</w:t>
            </w:r>
          </w:p>
          <w:p w14:paraId="56D26FE4" w14:textId="77777777" w:rsidR="00257E1A" w:rsidRPr="003610A0" w:rsidRDefault="00257E1A" w:rsidP="0089652B">
            <w:pPr>
              <w:pStyle w:val="TableTextLeft"/>
              <w:rPr>
                <w:rFonts w:eastAsia="Calibri"/>
                <w:lang w:eastAsia="en-US"/>
              </w:rPr>
            </w:pPr>
            <w:r w:rsidRPr="003610A0">
              <w:rPr>
                <w:rFonts w:eastAsia="Calibri"/>
                <w:lang w:eastAsia="en-US"/>
              </w:rPr>
              <w:t>BHP Billiton (16.67%)</w:t>
            </w:r>
          </w:p>
          <w:p w14:paraId="5095C8EB" w14:textId="77777777" w:rsidR="00BB3512" w:rsidRDefault="00257E1A" w:rsidP="0089652B">
            <w:pPr>
              <w:pStyle w:val="TableTextLeft"/>
              <w:rPr>
                <w:rFonts w:eastAsia="Calibri"/>
                <w:lang w:eastAsia="en-US"/>
              </w:rPr>
            </w:pPr>
            <w:r w:rsidRPr="003610A0">
              <w:rPr>
                <w:rFonts w:eastAsia="Calibri"/>
                <w:lang w:eastAsia="en-US"/>
              </w:rPr>
              <w:t>MIMI (16.67%)</w:t>
            </w:r>
          </w:p>
          <w:p w14:paraId="621B67DA" w14:textId="77777777" w:rsidR="00257E1A" w:rsidRPr="003610A0" w:rsidRDefault="00257E1A" w:rsidP="0089652B">
            <w:pPr>
              <w:pStyle w:val="TableTextLeft"/>
              <w:rPr>
                <w:rFonts w:eastAsia="Calibri"/>
                <w:lang w:eastAsia="en-US"/>
              </w:rPr>
            </w:pPr>
            <w:r w:rsidRPr="003610A0">
              <w:rPr>
                <w:rFonts w:eastAsia="Calibri"/>
                <w:lang w:eastAsia="en-US"/>
              </w:rPr>
              <w:t>CNOOC (gas and associated liquids 5.3%)</w:t>
            </w:r>
          </w:p>
        </w:tc>
        <w:tc>
          <w:tcPr>
            <w:tcW w:w="1276" w:type="dxa"/>
            <w:tcBorders>
              <w:top w:val="single" w:sz="4" w:space="0" w:color="auto"/>
              <w:bottom w:val="single" w:sz="4" w:space="0" w:color="auto"/>
            </w:tcBorders>
            <w:shd w:val="clear" w:color="auto" w:fill="auto"/>
            <w:tcMar>
              <w:left w:w="85" w:type="dxa"/>
              <w:right w:w="85" w:type="dxa"/>
            </w:tcMar>
            <w:vAlign w:val="center"/>
          </w:tcPr>
          <w:p w14:paraId="506C07DC" w14:textId="77777777" w:rsidR="00257E1A" w:rsidRPr="003610A0" w:rsidRDefault="00257E1A" w:rsidP="0089652B">
            <w:pPr>
              <w:pStyle w:val="TableTextLeft"/>
              <w:rPr>
                <w:rFonts w:eastAsia="Calibri"/>
                <w:lang w:eastAsia="en-US"/>
              </w:rPr>
            </w:pPr>
            <w:r w:rsidRPr="003610A0">
              <w:rPr>
                <w:rFonts w:eastAsia="Calibri"/>
                <w:lang w:eastAsia="en-US"/>
              </w:rPr>
              <w:t>WA</w:t>
            </w:r>
          </w:p>
          <w:p w14:paraId="5B7671D0" w14:textId="77777777" w:rsidR="00257E1A" w:rsidRPr="003610A0" w:rsidRDefault="00257E1A" w:rsidP="0089652B">
            <w:pPr>
              <w:pStyle w:val="TableTextLeft"/>
              <w:rPr>
                <w:rFonts w:eastAsia="Calibri"/>
                <w:lang w:eastAsia="en-US"/>
              </w:rPr>
            </w:pPr>
            <w:r w:rsidRPr="003610A0">
              <w:rPr>
                <w:rFonts w:eastAsia="Calibri"/>
                <w:lang w:eastAsia="en-US"/>
              </w:rPr>
              <w:t>Carnarvon</w:t>
            </w:r>
            <w:r>
              <w:rPr>
                <w:rFonts w:eastAsia="Calibri"/>
                <w:lang w:eastAsia="en-US"/>
              </w:rPr>
              <w:t xml:space="preserve"> Basin</w:t>
            </w:r>
          </w:p>
          <w:p w14:paraId="69F9322B" w14:textId="77777777" w:rsidR="00257E1A" w:rsidRPr="003610A0" w:rsidRDefault="00257E1A" w:rsidP="0089652B">
            <w:pPr>
              <w:pStyle w:val="TableTextLeft"/>
              <w:rPr>
                <w:rFonts w:eastAsia="Calibri"/>
                <w:lang w:eastAsia="en-US"/>
              </w:rPr>
            </w:pPr>
            <w:r w:rsidRPr="003610A0">
              <w:rPr>
                <w:rFonts w:eastAsia="Calibri"/>
                <w:lang w:eastAsia="en-US"/>
              </w:rPr>
              <w:t>Karratha</w:t>
            </w:r>
          </w:p>
        </w:tc>
        <w:tc>
          <w:tcPr>
            <w:tcW w:w="1276" w:type="dxa"/>
            <w:tcBorders>
              <w:top w:val="single" w:sz="4" w:space="0" w:color="auto"/>
              <w:bottom w:val="single" w:sz="4" w:space="0" w:color="auto"/>
            </w:tcBorders>
            <w:shd w:val="clear" w:color="auto" w:fill="auto"/>
            <w:tcMar>
              <w:left w:w="85" w:type="dxa"/>
              <w:right w:w="85" w:type="dxa"/>
            </w:tcMar>
            <w:vAlign w:val="center"/>
          </w:tcPr>
          <w:p w14:paraId="18069442" w14:textId="4A5A20AE" w:rsidR="00257E1A" w:rsidRDefault="00257E1A" w:rsidP="0089652B">
            <w:pPr>
              <w:pStyle w:val="TableTextLeft"/>
              <w:rPr>
                <w:rFonts w:eastAsia="Calibri"/>
                <w:lang w:eastAsia="en-US"/>
              </w:rPr>
            </w:pPr>
            <w:r>
              <w:rPr>
                <w:rFonts w:eastAsia="Calibri"/>
                <w:lang w:eastAsia="en-US"/>
              </w:rPr>
              <w:t>FG (Domestic gas) 1984</w:t>
            </w:r>
            <w:r w:rsidR="00352E48">
              <w:rPr>
                <w:rFonts w:eastAsia="Calibri"/>
                <w:lang w:eastAsia="en-US"/>
              </w:rPr>
              <w:t>;</w:t>
            </w:r>
          </w:p>
          <w:p w14:paraId="4F726C63" w14:textId="77777777" w:rsidR="00257E1A" w:rsidRPr="003610A0" w:rsidRDefault="00257E1A" w:rsidP="0089652B">
            <w:pPr>
              <w:pStyle w:val="TableTextLeft"/>
              <w:rPr>
                <w:rFonts w:eastAsia="Calibri"/>
                <w:lang w:eastAsia="en-US"/>
              </w:rPr>
            </w:pPr>
            <w:r w:rsidRPr="003610A0">
              <w:rPr>
                <w:rFonts w:eastAsia="Calibri"/>
                <w:lang w:eastAsia="en-US"/>
              </w:rPr>
              <w:t xml:space="preserve">FG </w:t>
            </w:r>
            <w:r>
              <w:rPr>
                <w:rFonts w:eastAsia="Calibri"/>
                <w:lang w:eastAsia="en-US"/>
              </w:rPr>
              <w:t xml:space="preserve">(LNG) </w:t>
            </w:r>
            <w:r w:rsidRPr="003610A0">
              <w:rPr>
                <w:rFonts w:eastAsia="Calibri"/>
                <w:lang w:eastAsia="en-US"/>
              </w:rPr>
              <w:t>1989</w:t>
            </w:r>
          </w:p>
        </w:tc>
        <w:tc>
          <w:tcPr>
            <w:tcW w:w="1417" w:type="dxa"/>
            <w:tcBorders>
              <w:top w:val="single" w:sz="4" w:space="0" w:color="auto"/>
              <w:bottom w:val="single" w:sz="4" w:space="0" w:color="auto"/>
            </w:tcBorders>
            <w:shd w:val="clear" w:color="auto" w:fill="auto"/>
            <w:tcMar>
              <w:left w:w="85" w:type="dxa"/>
              <w:right w:w="85" w:type="dxa"/>
            </w:tcMar>
            <w:vAlign w:val="center"/>
          </w:tcPr>
          <w:p w14:paraId="73B4E595" w14:textId="77777777" w:rsidR="00257E1A" w:rsidRPr="003610A0" w:rsidRDefault="00257E1A" w:rsidP="0089652B">
            <w:pPr>
              <w:pStyle w:val="TableTextLeft"/>
              <w:rPr>
                <w:rFonts w:eastAsia="Calibri"/>
                <w:lang w:eastAsia="en-US"/>
              </w:rPr>
            </w:pPr>
            <w:r w:rsidRPr="003610A0">
              <w:rPr>
                <w:rFonts w:eastAsia="Calibri"/>
                <w:lang w:eastAsia="en-US"/>
              </w:rPr>
              <w:t xml:space="preserve">16.3Mtpa </w:t>
            </w:r>
          </w:p>
          <w:p w14:paraId="7DD87A3D" w14:textId="77777777" w:rsidR="00257E1A" w:rsidRPr="003610A0" w:rsidRDefault="00257E1A" w:rsidP="0089652B">
            <w:pPr>
              <w:pStyle w:val="TableTextLeft"/>
              <w:rPr>
                <w:rFonts w:eastAsia="Calibri"/>
                <w:lang w:eastAsia="en-US"/>
              </w:rPr>
            </w:pPr>
            <w:r w:rsidRPr="003610A0">
              <w:rPr>
                <w:rFonts w:eastAsia="Calibri"/>
                <w:lang w:eastAsia="en-US"/>
              </w:rPr>
              <w:t xml:space="preserve">5 trains </w:t>
            </w:r>
          </w:p>
        </w:tc>
        <w:tc>
          <w:tcPr>
            <w:tcW w:w="1004" w:type="dxa"/>
            <w:tcBorders>
              <w:top w:val="single" w:sz="4" w:space="0" w:color="auto"/>
              <w:bottom w:val="single" w:sz="4" w:space="0" w:color="auto"/>
            </w:tcBorders>
            <w:shd w:val="clear" w:color="auto" w:fill="auto"/>
            <w:tcMar>
              <w:left w:w="85" w:type="dxa"/>
              <w:right w:w="85" w:type="dxa"/>
            </w:tcMar>
            <w:vAlign w:val="center"/>
          </w:tcPr>
          <w:p w14:paraId="74D672C3" w14:textId="77777777" w:rsidR="00257E1A" w:rsidRPr="003610A0" w:rsidRDefault="00257E1A" w:rsidP="0089652B">
            <w:pPr>
              <w:pStyle w:val="TableTextLeft"/>
              <w:rPr>
                <w:rFonts w:eastAsia="Calibri"/>
                <w:lang w:eastAsia="en-US"/>
              </w:rPr>
            </w:pPr>
            <w:r w:rsidRPr="003610A0">
              <w:rPr>
                <w:rFonts w:eastAsia="Calibri"/>
                <w:lang w:eastAsia="en-US"/>
              </w:rPr>
              <w:t>A$34b</w:t>
            </w:r>
          </w:p>
        </w:tc>
      </w:tr>
      <w:tr w:rsidR="00257E1A" w:rsidRPr="003610A0" w14:paraId="4A56E64D"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5ACC2A16" w14:textId="77777777" w:rsidR="00257E1A" w:rsidRPr="003610A0" w:rsidRDefault="00257E1A" w:rsidP="0089652B">
            <w:pPr>
              <w:pStyle w:val="TableTextLeft"/>
              <w:rPr>
                <w:rFonts w:eastAsia="Calibri"/>
                <w:lang w:eastAsia="en-US"/>
              </w:rPr>
            </w:pPr>
            <w:r w:rsidRPr="003610A0">
              <w:rPr>
                <w:rFonts w:eastAsia="Calibri"/>
                <w:lang w:eastAsia="en-US"/>
              </w:rPr>
              <w:t xml:space="preserve">Darwin LNG </w:t>
            </w:r>
          </w:p>
        </w:tc>
        <w:tc>
          <w:tcPr>
            <w:tcW w:w="2693" w:type="dxa"/>
            <w:tcBorders>
              <w:top w:val="single" w:sz="4" w:space="0" w:color="auto"/>
              <w:bottom w:val="single" w:sz="4" w:space="0" w:color="auto"/>
            </w:tcBorders>
            <w:shd w:val="clear" w:color="auto" w:fill="auto"/>
            <w:tcMar>
              <w:left w:w="85" w:type="dxa"/>
              <w:right w:w="85" w:type="dxa"/>
            </w:tcMar>
            <w:vAlign w:val="center"/>
          </w:tcPr>
          <w:p w14:paraId="65777371" w14:textId="77777777" w:rsidR="00257E1A" w:rsidRPr="003610A0" w:rsidRDefault="00257E1A" w:rsidP="0089652B">
            <w:pPr>
              <w:pStyle w:val="TableTextLeft"/>
              <w:rPr>
                <w:rFonts w:eastAsia="Calibri"/>
                <w:lang w:val="es-ES" w:eastAsia="en-US"/>
              </w:rPr>
            </w:pPr>
            <w:r w:rsidRPr="003610A0">
              <w:rPr>
                <w:rFonts w:eastAsia="Calibri"/>
                <w:lang w:val="es-ES" w:eastAsia="en-US"/>
              </w:rPr>
              <w:t>ConocoPhillips (Op</w:t>
            </w:r>
            <w:r>
              <w:rPr>
                <w:rFonts w:eastAsia="Calibri"/>
                <w:lang w:val="es-ES" w:eastAsia="en-US"/>
              </w:rPr>
              <w:t>erator</w:t>
            </w:r>
            <w:r w:rsidRPr="003610A0">
              <w:rPr>
                <w:rFonts w:eastAsia="Calibri"/>
                <w:lang w:val="es-ES" w:eastAsia="en-US"/>
              </w:rPr>
              <w:t>, 57.15%)</w:t>
            </w:r>
          </w:p>
          <w:p w14:paraId="3294B402" w14:textId="77777777" w:rsidR="00257E1A" w:rsidRPr="003610A0" w:rsidRDefault="00257E1A" w:rsidP="0089652B">
            <w:pPr>
              <w:pStyle w:val="TableTextLeft"/>
              <w:rPr>
                <w:rFonts w:eastAsia="Calibri"/>
                <w:lang w:val="es-ES" w:eastAsia="en-US"/>
              </w:rPr>
            </w:pPr>
            <w:r w:rsidRPr="003610A0">
              <w:rPr>
                <w:rFonts w:eastAsia="Calibri"/>
                <w:lang w:val="es-ES" w:eastAsia="en-US"/>
              </w:rPr>
              <w:t>ENI Australia (10.99%)</w:t>
            </w:r>
          </w:p>
          <w:p w14:paraId="0DCA712B" w14:textId="77777777" w:rsidR="00257E1A" w:rsidRPr="003610A0" w:rsidRDefault="00257E1A" w:rsidP="0089652B">
            <w:pPr>
              <w:pStyle w:val="TableTextLeft"/>
              <w:rPr>
                <w:rFonts w:eastAsia="Calibri"/>
                <w:lang w:val="es-ES" w:eastAsia="en-US"/>
              </w:rPr>
            </w:pPr>
            <w:r w:rsidRPr="003610A0">
              <w:rPr>
                <w:rFonts w:eastAsia="Calibri"/>
                <w:lang w:val="es-ES" w:eastAsia="en-US"/>
              </w:rPr>
              <w:t>Santos (11.39%)</w:t>
            </w:r>
          </w:p>
          <w:p w14:paraId="2A643A31" w14:textId="77777777" w:rsidR="00257E1A" w:rsidRPr="003610A0" w:rsidRDefault="00257E1A" w:rsidP="0089652B">
            <w:pPr>
              <w:pStyle w:val="TableTextLeft"/>
              <w:rPr>
                <w:rFonts w:eastAsia="Calibri"/>
                <w:lang w:val="es-ES" w:eastAsia="en-US"/>
              </w:rPr>
            </w:pPr>
            <w:r w:rsidRPr="003610A0">
              <w:rPr>
                <w:rFonts w:eastAsia="Calibri"/>
                <w:lang w:val="es-ES" w:eastAsia="en-US"/>
              </w:rPr>
              <w:t>INPEX (11.27%)</w:t>
            </w:r>
          </w:p>
          <w:p w14:paraId="62192CC9" w14:textId="77777777" w:rsidR="00257E1A" w:rsidRPr="003610A0" w:rsidRDefault="00257E1A" w:rsidP="0089652B">
            <w:pPr>
              <w:pStyle w:val="TableTextLeft"/>
              <w:rPr>
                <w:rFonts w:eastAsia="Calibri"/>
                <w:lang w:eastAsia="en-US"/>
              </w:rPr>
            </w:pPr>
            <w:r w:rsidRPr="003610A0">
              <w:rPr>
                <w:rFonts w:eastAsia="Calibri"/>
                <w:lang w:eastAsia="en-US"/>
              </w:rPr>
              <w:t xml:space="preserve">TEPCO &amp; Tokyo Gas (aggregate 9.2%) </w:t>
            </w:r>
          </w:p>
        </w:tc>
        <w:tc>
          <w:tcPr>
            <w:tcW w:w="1276" w:type="dxa"/>
            <w:tcBorders>
              <w:top w:val="single" w:sz="4" w:space="0" w:color="auto"/>
              <w:bottom w:val="single" w:sz="4" w:space="0" w:color="auto"/>
            </w:tcBorders>
            <w:shd w:val="clear" w:color="auto" w:fill="auto"/>
            <w:tcMar>
              <w:left w:w="85" w:type="dxa"/>
              <w:right w:w="85" w:type="dxa"/>
            </w:tcMar>
            <w:vAlign w:val="center"/>
          </w:tcPr>
          <w:p w14:paraId="7AD803B1" w14:textId="77777777" w:rsidR="00257E1A" w:rsidRPr="003610A0" w:rsidRDefault="00257E1A" w:rsidP="0089652B">
            <w:pPr>
              <w:pStyle w:val="TableTextLeft"/>
              <w:rPr>
                <w:rFonts w:eastAsia="Calibri"/>
                <w:lang w:eastAsia="en-US"/>
              </w:rPr>
            </w:pPr>
            <w:r w:rsidRPr="003610A0">
              <w:rPr>
                <w:rFonts w:eastAsia="Calibri"/>
                <w:lang w:eastAsia="en-US"/>
              </w:rPr>
              <w:t>NT</w:t>
            </w:r>
          </w:p>
          <w:p w14:paraId="4C1293FD" w14:textId="77777777" w:rsidR="00257E1A" w:rsidRPr="003610A0" w:rsidRDefault="00257E1A" w:rsidP="0089652B">
            <w:pPr>
              <w:pStyle w:val="TableTextLeft"/>
              <w:rPr>
                <w:rFonts w:eastAsia="Calibri"/>
                <w:lang w:eastAsia="en-US"/>
              </w:rPr>
            </w:pPr>
            <w:r w:rsidRPr="003610A0">
              <w:rPr>
                <w:rFonts w:eastAsia="Calibri"/>
                <w:lang w:eastAsia="en-US"/>
              </w:rPr>
              <w:t>JPDA</w:t>
            </w:r>
          </w:p>
          <w:p w14:paraId="7FC41FF5" w14:textId="77777777" w:rsidR="00257E1A" w:rsidRPr="003610A0" w:rsidRDefault="00257E1A" w:rsidP="0089652B">
            <w:pPr>
              <w:pStyle w:val="TableTextLeft"/>
              <w:rPr>
                <w:rFonts w:eastAsia="Calibri"/>
                <w:lang w:eastAsia="en-US"/>
              </w:rPr>
            </w:pPr>
            <w:r w:rsidRPr="003610A0">
              <w:rPr>
                <w:rFonts w:eastAsia="Calibri"/>
                <w:lang w:eastAsia="en-US"/>
              </w:rPr>
              <w:t xml:space="preserve">Darwin </w:t>
            </w:r>
          </w:p>
        </w:tc>
        <w:tc>
          <w:tcPr>
            <w:tcW w:w="1276" w:type="dxa"/>
            <w:tcBorders>
              <w:top w:val="single" w:sz="4" w:space="0" w:color="auto"/>
              <w:bottom w:val="single" w:sz="4" w:space="0" w:color="auto"/>
            </w:tcBorders>
            <w:shd w:val="clear" w:color="auto" w:fill="auto"/>
            <w:tcMar>
              <w:left w:w="85" w:type="dxa"/>
              <w:right w:w="85" w:type="dxa"/>
            </w:tcMar>
            <w:vAlign w:val="center"/>
          </w:tcPr>
          <w:p w14:paraId="220AEC0C" w14:textId="77777777" w:rsidR="00257E1A" w:rsidRPr="003610A0" w:rsidRDefault="00257E1A" w:rsidP="0089652B">
            <w:pPr>
              <w:pStyle w:val="TableTextLeft"/>
              <w:rPr>
                <w:rFonts w:eastAsia="Calibri"/>
                <w:lang w:eastAsia="en-US"/>
              </w:rPr>
            </w:pPr>
            <w:r w:rsidRPr="003610A0">
              <w:rPr>
                <w:rFonts w:eastAsia="Calibri"/>
                <w:lang w:eastAsia="en-US"/>
              </w:rPr>
              <w:t xml:space="preserve">FG 2006 </w:t>
            </w:r>
          </w:p>
        </w:tc>
        <w:tc>
          <w:tcPr>
            <w:tcW w:w="1417" w:type="dxa"/>
            <w:tcBorders>
              <w:top w:val="single" w:sz="4" w:space="0" w:color="auto"/>
              <w:bottom w:val="single" w:sz="4" w:space="0" w:color="auto"/>
            </w:tcBorders>
            <w:shd w:val="clear" w:color="auto" w:fill="auto"/>
            <w:tcMar>
              <w:left w:w="85" w:type="dxa"/>
              <w:right w:w="85" w:type="dxa"/>
            </w:tcMar>
            <w:vAlign w:val="center"/>
          </w:tcPr>
          <w:p w14:paraId="180E4D5F" w14:textId="77777777" w:rsidR="00257E1A" w:rsidRPr="003610A0" w:rsidRDefault="00257E1A" w:rsidP="0089652B">
            <w:pPr>
              <w:pStyle w:val="TableTextLeft"/>
              <w:rPr>
                <w:rFonts w:eastAsia="Calibri"/>
                <w:lang w:eastAsia="en-US"/>
              </w:rPr>
            </w:pPr>
            <w:r w:rsidRPr="003610A0">
              <w:rPr>
                <w:rFonts w:eastAsia="Calibri"/>
                <w:lang w:eastAsia="en-US"/>
              </w:rPr>
              <w:t xml:space="preserve">3.6Mtpa </w:t>
            </w:r>
          </w:p>
          <w:p w14:paraId="77BAF426" w14:textId="77777777" w:rsidR="00257E1A" w:rsidRPr="003610A0" w:rsidRDefault="00257E1A" w:rsidP="0089652B">
            <w:pPr>
              <w:pStyle w:val="TableTextLeft"/>
              <w:rPr>
                <w:rFonts w:eastAsia="Calibri"/>
                <w:lang w:eastAsia="en-US"/>
              </w:rPr>
            </w:pPr>
            <w:r w:rsidRPr="003610A0">
              <w:rPr>
                <w:rFonts w:eastAsia="Calibri"/>
                <w:lang w:eastAsia="en-US"/>
              </w:rPr>
              <w:t xml:space="preserve">1 train </w:t>
            </w:r>
          </w:p>
        </w:tc>
        <w:tc>
          <w:tcPr>
            <w:tcW w:w="1004" w:type="dxa"/>
            <w:tcBorders>
              <w:top w:val="single" w:sz="4" w:space="0" w:color="auto"/>
              <w:bottom w:val="single" w:sz="4" w:space="0" w:color="auto"/>
            </w:tcBorders>
            <w:shd w:val="clear" w:color="auto" w:fill="auto"/>
            <w:tcMar>
              <w:left w:w="85" w:type="dxa"/>
              <w:right w:w="85" w:type="dxa"/>
            </w:tcMar>
            <w:vAlign w:val="center"/>
          </w:tcPr>
          <w:p w14:paraId="5A355050" w14:textId="1525366D" w:rsidR="00257E1A" w:rsidRPr="003610A0" w:rsidRDefault="005D6F39" w:rsidP="0089652B">
            <w:pPr>
              <w:pStyle w:val="TableTextLeft"/>
              <w:rPr>
                <w:rFonts w:eastAsia="Calibri"/>
                <w:lang w:eastAsia="en-US"/>
              </w:rPr>
            </w:pPr>
            <w:r>
              <w:rPr>
                <w:rFonts w:eastAsia="Calibri"/>
                <w:lang w:eastAsia="en-US"/>
              </w:rPr>
              <w:noBreakHyphen/>
            </w:r>
            <w:r w:rsidR="00257E1A" w:rsidRPr="003610A0">
              <w:rPr>
                <w:rFonts w:eastAsia="Calibri"/>
                <w:lang w:eastAsia="en-US"/>
              </w:rPr>
              <w:t xml:space="preserve"> </w:t>
            </w:r>
          </w:p>
        </w:tc>
      </w:tr>
      <w:tr w:rsidR="00257E1A" w:rsidRPr="003610A0" w14:paraId="3AF80027"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33AE141F" w14:textId="63675972" w:rsidR="00257E1A" w:rsidRPr="003610A0" w:rsidRDefault="00257E1A" w:rsidP="0089652B">
            <w:pPr>
              <w:pStyle w:val="TableTextLeft"/>
              <w:rPr>
                <w:rFonts w:eastAsia="Calibri"/>
                <w:lang w:eastAsia="en-US"/>
              </w:rPr>
            </w:pPr>
            <w:r w:rsidRPr="003610A0">
              <w:rPr>
                <w:rFonts w:eastAsia="Calibri"/>
                <w:lang w:eastAsia="en-US"/>
              </w:rPr>
              <w:t>Pluto LNG</w:t>
            </w:r>
          </w:p>
        </w:tc>
        <w:tc>
          <w:tcPr>
            <w:tcW w:w="2693" w:type="dxa"/>
            <w:tcBorders>
              <w:top w:val="single" w:sz="4" w:space="0" w:color="auto"/>
              <w:bottom w:val="single" w:sz="4" w:space="0" w:color="auto"/>
            </w:tcBorders>
            <w:shd w:val="clear" w:color="auto" w:fill="auto"/>
            <w:tcMar>
              <w:left w:w="85" w:type="dxa"/>
              <w:right w:w="85" w:type="dxa"/>
            </w:tcMar>
            <w:vAlign w:val="center"/>
          </w:tcPr>
          <w:p w14:paraId="3846B47E" w14:textId="77777777" w:rsidR="00257E1A" w:rsidRPr="003610A0" w:rsidRDefault="00257E1A" w:rsidP="0089652B">
            <w:pPr>
              <w:pStyle w:val="TableTextLeft"/>
              <w:rPr>
                <w:rFonts w:eastAsia="Calibri"/>
                <w:lang w:eastAsia="en-US"/>
              </w:rPr>
            </w:pPr>
            <w:r w:rsidRPr="003610A0">
              <w:rPr>
                <w:rFonts w:eastAsia="Calibri"/>
                <w:lang w:eastAsia="en-US"/>
              </w:rPr>
              <w:t>Woodside (Op</w:t>
            </w:r>
            <w:r>
              <w:rPr>
                <w:rFonts w:eastAsia="Calibri"/>
                <w:lang w:eastAsia="en-US"/>
              </w:rPr>
              <w:t>erator,</w:t>
            </w:r>
            <w:r w:rsidRPr="003610A0">
              <w:rPr>
                <w:rFonts w:eastAsia="Calibri"/>
                <w:lang w:eastAsia="en-US"/>
              </w:rPr>
              <w:t xml:space="preserve"> 90%)</w:t>
            </w:r>
          </w:p>
          <w:p w14:paraId="0B871E58" w14:textId="77777777" w:rsidR="00257E1A" w:rsidRPr="003610A0" w:rsidRDefault="00257E1A" w:rsidP="0089652B">
            <w:pPr>
              <w:pStyle w:val="TableTextLeft"/>
              <w:rPr>
                <w:rFonts w:eastAsia="Calibri"/>
                <w:lang w:eastAsia="en-US"/>
              </w:rPr>
            </w:pPr>
            <w:r w:rsidRPr="003610A0">
              <w:rPr>
                <w:rFonts w:eastAsia="Calibri"/>
                <w:lang w:eastAsia="en-US"/>
              </w:rPr>
              <w:t>Tokyo Gas (5%)</w:t>
            </w:r>
          </w:p>
          <w:p w14:paraId="59A3BDE7" w14:textId="77777777" w:rsidR="00257E1A" w:rsidRPr="003610A0" w:rsidRDefault="00257E1A" w:rsidP="0089652B">
            <w:pPr>
              <w:pStyle w:val="TableTextLeft"/>
              <w:rPr>
                <w:rFonts w:eastAsia="Calibri"/>
                <w:lang w:eastAsia="en-US"/>
              </w:rPr>
            </w:pPr>
            <w:r w:rsidRPr="003610A0">
              <w:rPr>
                <w:rFonts w:eastAsia="Calibri"/>
                <w:lang w:eastAsia="en-US"/>
              </w:rPr>
              <w:t>Kansai Electric (5%)</w:t>
            </w:r>
          </w:p>
        </w:tc>
        <w:tc>
          <w:tcPr>
            <w:tcW w:w="1276" w:type="dxa"/>
            <w:tcBorders>
              <w:top w:val="single" w:sz="4" w:space="0" w:color="auto"/>
              <w:bottom w:val="single" w:sz="4" w:space="0" w:color="auto"/>
            </w:tcBorders>
            <w:shd w:val="clear" w:color="auto" w:fill="auto"/>
            <w:tcMar>
              <w:left w:w="85" w:type="dxa"/>
              <w:right w:w="85" w:type="dxa"/>
            </w:tcMar>
            <w:vAlign w:val="center"/>
          </w:tcPr>
          <w:p w14:paraId="79B94000" w14:textId="77777777" w:rsidR="00257E1A" w:rsidRPr="003610A0" w:rsidRDefault="00257E1A" w:rsidP="0089652B">
            <w:pPr>
              <w:pStyle w:val="TableTextLeft"/>
              <w:rPr>
                <w:rFonts w:eastAsia="Calibri"/>
                <w:lang w:eastAsia="en-US"/>
              </w:rPr>
            </w:pPr>
            <w:r w:rsidRPr="003610A0">
              <w:rPr>
                <w:rFonts w:eastAsia="Calibri"/>
                <w:lang w:eastAsia="en-US"/>
              </w:rPr>
              <w:t>WA</w:t>
            </w:r>
          </w:p>
          <w:p w14:paraId="52D92E38" w14:textId="77777777" w:rsidR="00257E1A" w:rsidRPr="003610A0" w:rsidRDefault="00257E1A" w:rsidP="0089652B">
            <w:pPr>
              <w:pStyle w:val="TableTextLeft"/>
              <w:rPr>
                <w:rFonts w:eastAsia="Calibri"/>
                <w:lang w:eastAsia="en-US"/>
              </w:rPr>
            </w:pPr>
            <w:r w:rsidRPr="003610A0">
              <w:rPr>
                <w:rFonts w:eastAsia="Calibri"/>
                <w:lang w:eastAsia="en-US"/>
              </w:rPr>
              <w:t>Carnarvon</w:t>
            </w:r>
            <w:r>
              <w:rPr>
                <w:rFonts w:eastAsia="Calibri"/>
                <w:lang w:eastAsia="en-US"/>
              </w:rPr>
              <w:t xml:space="preserve"> Basin</w:t>
            </w:r>
            <w:r w:rsidRPr="003610A0">
              <w:rPr>
                <w:rFonts w:eastAsia="Calibri"/>
                <w:lang w:eastAsia="en-US"/>
              </w:rPr>
              <w:t xml:space="preserve"> Karratha</w:t>
            </w:r>
          </w:p>
        </w:tc>
        <w:tc>
          <w:tcPr>
            <w:tcW w:w="1276" w:type="dxa"/>
            <w:tcBorders>
              <w:top w:val="single" w:sz="4" w:space="0" w:color="auto"/>
              <w:bottom w:val="single" w:sz="4" w:space="0" w:color="auto"/>
            </w:tcBorders>
            <w:shd w:val="clear" w:color="auto" w:fill="auto"/>
            <w:tcMar>
              <w:left w:w="85" w:type="dxa"/>
              <w:right w:w="85" w:type="dxa"/>
            </w:tcMar>
            <w:vAlign w:val="center"/>
          </w:tcPr>
          <w:p w14:paraId="70CEFBAC" w14:textId="77777777" w:rsidR="00257E1A" w:rsidRPr="003610A0" w:rsidRDefault="00257E1A" w:rsidP="0089652B">
            <w:pPr>
              <w:pStyle w:val="TableTextLeft"/>
              <w:rPr>
                <w:rFonts w:eastAsia="Calibri"/>
                <w:lang w:eastAsia="en-US"/>
              </w:rPr>
            </w:pPr>
            <w:r w:rsidRPr="003610A0">
              <w:rPr>
                <w:rFonts w:eastAsia="Calibri"/>
                <w:lang w:eastAsia="en-US"/>
              </w:rPr>
              <w:t>FID 2007</w:t>
            </w:r>
          </w:p>
          <w:p w14:paraId="4F99F3D0" w14:textId="77777777" w:rsidR="00257E1A" w:rsidRPr="003610A0" w:rsidRDefault="00257E1A" w:rsidP="0089652B">
            <w:pPr>
              <w:pStyle w:val="TableTextLeft"/>
              <w:rPr>
                <w:rFonts w:eastAsia="Calibri"/>
                <w:lang w:eastAsia="en-US"/>
              </w:rPr>
            </w:pPr>
            <w:r w:rsidRPr="003610A0">
              <w:rPr>
                <w:rFonts w:eastAsia="Calibri"/>
                <w:lang w:eastAsia="en-US"/>
              </w:rPr>
              <w:t>FG  2012</w:t>
            </w:r>
          </w:p>
        </w:tc>
        <w:tc>
          <w:tcPr>
            <w:tcW w:w="1417" w:type="dxa"/>
            <w:tcBorders>
              <w:top w:val="single" w:sz="4" w:space="0" w:color="auto"/>
              <w:bottom w:val="single" w:sz="4" w:space="0" w:color="auto"/>
            </w:tcBorders>
            <w:shd w:val="clear" w:color="auto" w:fill="auto"/>
            <w:tcMar>
              <w:left w:w="85" w:type="dxa"/>
              <w:right w:w="85" w:type="dxa"/>
            </w:tcMar>
            <w:vAlign w:val="center"/>
          </w:tcPr>
          <w:p w14:paraId="602B55D7" w14:textId="77777777" w:rsidR="00257E1A" w:rsidRPr="003610A0" w:rsidRDefault="00257E1A" w:rsidP="0089652B">
            <w:pPr>
              <w:pStyle w:val="TableTextLeft"/>
              <w:rPr>
                <w:rFonts w:eastAsia="Calibri"/>
                <w:lang w:eastAsia="en-US"/>
              </w:rPr>
            </w:pPr>
            <w:r w:rsidRPr="003610A0">
              <w:rPr>
                <w:rFonts w:eastAsia="Calibri"/>
                <w:lang w:eastAsia="en-US"/>
              </w:rPr>
              <w:t>4.3Mtpa</w:t>
            </w:r>
          </w:p>
          <w:p w14:paraId="79890CCB" w14:textId="77777777" w:rsidR="00257E1A" w:rsidRPr="003610A0" w:rsidRDefault="00257E1A" w:rsidP="0089652B">
            <w:pPr>
              <w:pStyle w:val="TableTextLeft"/>
              <w:rPr>
                <w:rFonts w:eastAsia="Calibri"/>
                <w:lang w:eastAsia="en-US"/>
              </w:rPr>
            </w:pPr>
            <w:r w:rsidRPr="003610A0">
              <w:rPr>
                <w:rFonts w:eastAsia="Calibri"/>
                <w:lang w:eastAsia="en-US"/>
              </w:rPr>
              <w:t>1 train</w:t>
            </w:r>
          </w:p>
        </w:tc>
        <w:tc>
          <w:tcPr>
            <w:tcW w:w="1004" w:type="dxa"/>
            <w:tcBorders>
              <w:top w:val="single" w:sz="4" w:space="0" w:color="auto"/>
              <w:bottom w:val="single" w:sz="4" w:space="0" w:color="auto"/>
            </w:tcBorders>
            <w:shd w:val="clear" w:color="auto" w:fill="auto"/>
            <w:tcMar>
              <w:left w:w="85" w:type="dxa"/>
              <w:right w:w="85" w:type="dxa"/>
            </w:tcMar>
            <w:vAlign w:val="center"/>
          </w:tcPr>
          <w:p w14:paraId="19BCB2F9" w14:textId="77777777" w:rsidR="00257E1A" w:rsidRPr="003610A0" w:rsidRDefault="00257E1A" w:rsidP="0089652B">
            <w:pPr>
              <w:pStyle w:val="TableTextLeft"/>
              <w:rPr>
                <w:rFonts w:eastAsia="Calibri"/>
                <w:lang w:eastAsia="en-US"/>
              </w:rPr>
            </w:pPr>
            <w:r w:rsidRPr="003610A0">
              <w:rPr>
                <w:rFonts w:eastAsia="Calibri"/>
                <w:lang w:eastAsia="en-US"/>
              </w:rPr>
              <w:t>A$14.9b</w:t>
            </w:r>
          </w:p>
          <w:p w14:paraId="772AAB3B" w14:textId="77777777" w:rsidR="00257E1A" w:rsidRPr="003610A0" w:rsidRDefault="00257E1A" w:rsidP="0089652B">
            <w:pPr>
              <w:pStyle w:val="TableTextLeft"/>
              <w:rPr>
                <w:rFonts w:eastAsia="Calibri"/>
                <w:lang w:eastAsia="en-US"/>
              </w:rPr>
            </w:pPr>
            <w:r w:rsidRPr="003610A0">
              <w:rPr>
                <w:rFonts w:eastAsia="Calibri"/>
                <w:lang w:eastAsia="en-US"/>
              </w:rPr>
              <w:t>Woodside</w:t>
            </w:r>
          </w:p>
        </w:tc>
      </w:tr>
      <w:tr w:rsidR="00257E1A" w:rsidRPr="003610A0" w14:paraId="429E5CA6"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572AAC76" w14:textId="77777777" w:rsidR="00257E1A" w:rsidRPr="003610A0" w:rsidRDefault="00257E1A" w:rsidP="0089652B">
            <w:pPr>
              <w:pStyle w:val="TableTextLeft"/>
              <w:rPr>
                <w:rFonts w:eastAsia="Calibri"/>
                <w:lang w:eastAsia="en-US"/>
              </w:rPr>
            </w:pPr>
            <w:r w:rsidRPr="003610A0">
              <w:rPr>
                <w:rFonts w:eastAsia="Calibri"/>
                <w:lang w:eastAsia="en-US"/>
              </w:rPr>
              <w:t>Queensland Curtis LNG</w:t>
            </w:r>
          </w:p>
        </w:tc>
        <w:tc>
          <w:tcPr>
            <w:tcW w:w="2693" w:type="dxa"/>
            <w:tcBorders>
              <w:top w:val="single" w:sz="4" w:space="0" w:color="auto"/>
              <w:bottom w:val="single" w:sz="4" w:space="0" w:color="auto"/>
            </w:tcBorders>
            <w:shd w:val="clear" w:color="auto" w:fill="auto"/>
            <w:tcMar>
              <w:left w:w="85" w:type="dxa"/>
              <w:right w:w="85" w:type="dxa"/>
            </w:tcMar>
            <w:vAlign w:val="center"/>
          </w:tcPr>
          <w:p w14:paraId="1B2711F9" w14:textId="7908142D" w:rsidR="00257E1A" w:rsidRPr="003610A0" w:rsidRDefault="00257E1A" w:rsidP="0089652B">
            <w:pPr>
              <w:pStyle w:val="TableTextLeft"/>
              <w:rPr>
                <w:rFonts w:eastAsia="Calibri"/>
                <w:lang w:val="de-DE" w:eastAsia="en-US"/>
              </w:rPr>
            </w:pPr>
            <w:r w:rsidRPr="003610A0">
              <w:rPr>
                <w:rFonts w:eastAsia="Calibri"/>
                <w:lang w:val="de-DE" w:eastAsia="en-US"/>
              </w:rPr>
              <w:t>Shell (Op</w:t>
            </w:r>
            <w:r>
              <w:rPr>
                <w:rFonts w:eastAsia="Calibri"/>
                <w:lang w:val="de-DE" w:eastAsia="en-US"/>
              </w:rPr>
              <w:t>erator</w:t>
            </w:r>
            <w:r w:rsidRPr="003610A0">
              <w:rPr>
                <w:rFonts w:eastAsia="Calibri"/>
                <w:lang w:val="de-DE" w:eastAsia="en-US"/>
              </w:rPr>
              <w:t>, 50% T</w:t>
            </w:r>
            <w:r w:rsidR="00352E48">
              <w:rPr>
                <w:rFonts w:eastAsia="Calibri"/>
                <w:lang w:val="de-DE" w:eastAsia="en-US"/>
              </w:rPr>
              <w:t xml:space="preserve">rain </w:t>
            </w:r>
            <w:r w:rsidRPr="003610A0">
              <w:rPr>
                <w:rFonts w:eastAsia="Calibri"/>
                <w:lang w:val="de-DE" w:eastAsia="en-US"/>
              </w:rPr>
              <w:t>1, 97.5% T</w:t>
            </w:r>
            <w:r w:rsidR="00352E48">
              <w:rPr>
                <w:rFonts w:eastAsia="Calibri"/>
                <w:lang w:val="de-DE" w:eastAsia="en-US"/>
              </w:rPr>
              <w:t xml:space="preserve">rain </w:t>
            </w:r>
            <w:r w:rsidRPr="003610A0">
              <w:rPr>
                <w:rFonts w:eastAsia="Calibri"/>
                <w:lang w:val="de-DE" w:eastAsia="en-US"/>
              </w:rPr>
              <w:t>2)</w:t>
            </w:r>
          </w:p>
          <w:p w14:paraId="44E92E89" w14:textId="5B95EBD3" w:rsidR="00257E1A" w:rsidRPr="003610A0" w:rsidRDefault="00257E1A" w:rsidP="0089652B">
            <w:pPr>
              <w:pStyle w:val="TableTextLeft"/>
              <w:rPr>
                <w:rFonts w:eastAsia="Calibri"/>
                <w:lang w:val="de-DE" w:eastAsia="en-US"/>
              </w:rPr>
            </w:pPr>
            <w:r w:rsidRPr="003610A0">
              <w:rPr>
                <w:rFonts w:eastAsia="Calibri"/>
                <w:lang w:val="de-DE" w:eastAsia="en-US"/>
              </w:rPr>
              <w:t>CNOOC (50% in T</w:t>
            </w:r>
            <w:r w:rsidR="00352E48">
              <w:rPr>
                <w:rFonts w:eastAsia="Calibri"/>
                <w:lang w:val="de-DE" w:eastAsia="en-US"/>
              </w:rPr>
              <w:t xml:space="preserve">rain </w:t>
            </w:r>
            <w:r w:rsidRPr="003610A0">
              <w:rPr>
                <w:rFonts w:eastAsia="Calibri"/>
                <w:lang w:val="de-DE" w:eastAsia="en-US"/>
              </w:rPr>
              <w:t>1)</w:t>
            </w:r>
          </w:p>
          <w:p w14:paraId="40AB16A3" w14:textId="3BBCBFDD" w:rsidR="00257E1A" w:rsidRPr="003610A0" w:rsidRDefault="00257E1A" w:rsidP="0089652B">
            <w:pPr>
              <w:pStyle w:val="TableTextLeft"/>
              <w:rPr>
                <w:rFonts w:eastAsia="Calibri"/>
                <w:lang w:val="de-DE" w:eastAsia="en-US"/>
              </w:rPr>
            </w:pPr>
            <w:r w:rsidRPr="003610A0">
              <w:rPr>
                <w:rFonts w:eastAsia="Calibri"/>
                <w:lang w:val="de-DE" w:eastAsia="en-US"/>
              </w:rPr>
              <w:t>Tokyo Gas (2.5% in T</w:t>
            </w:r>
            <w:r w:rsidR="00352E48">
              <w:rPr>
                <w:rFonts w:eastAsia="Calibri"/>
                <w:lang w:val="de-DE" w:eastAsia="en-US"/>
              </w:rPr>
              <w:t xml:space="preserve">rain </w:t>
            </w:r>
            <w:r w:rsidRPr="003610A0">
              <w:rPr>
                <w:rFonts w:eastAsia="Calibri"/>
                <w:lang w:val="de-DE" w:eastAsia="en-US"/>
              </w:rPr>
              <w:t>2)</w:t>
            </w:r>
          </w:p>
        </w:tc>
        <w:tc>
          <w:tcPr>
            <w:tcW w:w="1276" w:type="dxa"/>
            <w:tcBorders>
              <w:top w:val="single" w:sz="4" w:space="0" w:color="auto"/>
              <w:bottom w:val="single" w:sz="4" w:space="0" w:color="auto"/>
            </w:tcBorders>
            <w:shd w:val="clear" w:color="auto" w:fill="auto"/>
            <w:tcMar>
              <w:left w:w="85" w:type="dxa"/>
              <w:right w:w="85" w:type="dxa"/>
            </w:tcMar>
            <w:vAlign w:val="center"/>
          </w:tcPr>
          <w:p w14:paraId="7E902F05" w14:textId="77777777" w:rsidR="00257E1A" w:rsidRPr="003610A0" w:rsidRDefault="00257E1A" w:rsidP="0089652B">
            <w:pPr>
              <w:pStyle w:val="TableTextLeft"/>
              <w:rPr>
                <w:rFonts w:eastAsia="Calibri"/>
                <w:lang w:eastAsia="en-US"/>
              </w:rPr>
            </w:pPr>
            <w:r w:rsidRPr="003610A0">
              <w:rPr>
                <w:rFonts w:eastAsia="Calibri"/>
                <w:lang w:eastAsia="en-US"/>
              </w:rPr>
              <w:t>QLD</w:t>
            </w:r>
          </w:p>
          <w:p w14:paraId="7C68E1C7" w14:textId="77777777" w:rsidR="00257E1A" w:rsidRPr="003610A0" w:rsidRDefault="00257E1A" w:rsidP="0089652B">
            <w:pPr>
              <w:pStyle w:val="TableTextLeft"/>
              <w:rPr>
                <w:rFonts w:eastAsia="Calibri"/>
                <w:lang w:eastAsia="en-US"/>
              </w:rPr>
            </w:pPr>
            <w:r w:rsidRPr="003610A0">
              <w:rPr>
                <w:rFonts w:eastAsia="Calibri"/>
                <w:lang w:eastAsia="en-US"/>
              </w:rPr>
              <w:t>Bowen and Surat</w:t>
            </w:r>
            <w:r>
              <w:rPr>
                <w:rFonts w:eastAsia="Calibri"/>
                <w:lang w:eastAsia="en-US"/>
              </w:rPr>
              <w:t xml:space="preserve"> Basin</w:t>
            </w:r>
          </w:p>
          <w:p w14:paraId="5EAA7F02" w14:textId="77777777" w:rsidR="00257E1A" w:rsidRPr="003610A0" w:rsidRDefault="00257E1A" w:rsidP="0089652B">
            <w:pPr>
              <w:pStyle w:val="TableTextLeft"/>
              <w:rPr>
                <w:rFonts w:eastAsia="Calibri"/>
                <w:lang w:eastAsia="en-US"/>
              </w:rPr>
            </w:pPr>
            <w:r w:rsidRPr="003610A0">
              <w:rPr>
                <w:rFonts w:eastAsia="Calibri"/>
                <w:lang w:eastAsia="en-US"/>
              </w:rPr>
              <w:t>Gladstone</w:t>
            </w:r>
          </w:p>
        </w:tc>
        <w:tc>
          <w:tcPr>
            <w:tcW w:w="1276" w:type="dxa"/>
            <w:tcBorders>
              <w:top w:val="single" w:sz="4" w:space="0" w:color="auto"/>
              <w:bottom w:val="single" w:sz="4" w:space="0" w:color="auto"/>
            </w:tcBorders>
            <w:shd w:val="clear" w:color="auto" w:fill="auto"/>
            <w:tcMar>
              <w:left w:w="85" w:type="dxa"/>
              <w:right w:w="85" w:type="dxa"/>
            </w:tcMar>
            <w:vAlign w:val="center"/>
          </w:tcPr>
          <w:p w14:paraId="4DD76956" w14:textId="77777777" w:rsidR="00257E1A" w:rsidRPr="003610A0" w:rsidRDefault="00257E1A" w:rsidP="0089652B">
            <w:pPr>
              <w:pStyle w:val="TableTextLeft"/>
              <w:rPr>
                <w:rFonts w:eastAsia="Calibri"/>
                <w:lang w:eastAsia="en-US"/>
              </w:rPr>
            </w:pPr>
            <w:r>
              <w:rPr>
                <w:rFonts w:eastAsia="Calibri"/>
                <w:lang w:eastAsia="en-US"/>
              </w:rPr>
              <w:t xml:space="preserve">FID </w:t>
            </w:r>
            <w:r w:rsidRPr="003610A0">
              <w:rPr>
                <w:rFonts w:eastAsia="Calibri"/>
                <w:lang w:eastAsia="en-US"/>
              </w:rPr>
              <w:t>2010</w:t>
            </w:r>
          </w:p>
          <w:p w14:paraId="5BF0DA83" w14:textId="77777777" w:rsidR="00257E1A" w:rsidRPr="003610A0" w:rsidRDefault="00257E1A" w:rsidP="0089652B">
            <w:pPr>
              <w:pStyle w:val="TableTextLeft"/>
              <w:rPr>
                <w:rFonts w:eastAsia="Calibri"/>
                <w:lang w:eastAsia="en-US"/>
              </w:rPr>
            </w:pPr>
            <w:r w:rsidRPr="003610A0">
              <w:rPr>
                <w:rFonts w:eastAsia="Calibri"/>
                <w:lang w:eastAsia="en-US"/>
              </w:rPr>
              <w:t>FG Jan 2015</w:t>
            </w:r>
          </w:p>
        </w:tc>
        <w:tc>
          <w:tcPr>
            <w:tcW w:w="1417" w:type="dxa"/>
            <w:tcBorders>
              <w:top w:val="single" w:sz="4" w:space="0" w:color="auto"/>
              <w:bottom w:val="single" w:sz="4" w:space="0" w:color="auto"/>
            </w:tcBorders>
            <w:shd w:val="clear" w:color="auto" w:fill="auto"/>
            <w:tcMar>
              <w:left w:w="85" w:type="dxa"/>
              <w:right w:w="85" w:type="dxa"/>
            </w:tcMar>
            <w:vAlign w:val="center"/>
          </w:tcPr>
          <w:p w14:paraId="41FBBE5D" w14:textId="77777777" w:rsidR="00257E1A" w:rsidRPr="003610A0" w:rsidRDefault="00257E1A" w:rsidP="0089652B">
            <w:pPr>
              <w:pStyle w:val="TableTextLeft"/>
              <w:rPr>
                <w:rFonts w:eastAsia="Calibri"/>
                <w:lang w:eastAsia="en-US"/>
              </w:rPr>
            </w:pPr>
            <w:r w:rsidRPr="003610A0">
              <w:rPr>
                <w:rFonts w:eastAsia="Calibri"/>
                <w:lang w:eastAsia="en-US"/>
              </w:rPr>
              <w:t>8.5Mtpa</w:t>
            </w:r>
          </w:p>
          <w:p w14:paraId="71C2C967" w14:textId="77777777" w:rsidR="00257E1A" w:rsidRPr="003610A0" w:rsidRDefault="00257E1A" w:rsidP="0089652B">
            <w:pPr>
              <w:pStyle w:val="TableTextLeft"/>
              <w:rPr>
                <w:rFonts w:eastAsia="Calibri"/>
                <w:lang w:eastAsia="en-US"/>
              </w:rPr>
            </w:pPr>
            <w:r w:rsidRPr="003610A0">
              <w:rPr>
                <w:rFonts w:eastAsia="Calibri"/>
                <w:lang w:eastAsia="en-US"/>
              </w:rPr>
              <w:t>2 trains</w:t>
            </w:r>
          </w:p>
        </w:tc>
        <w:tc>
          <w:tcPr>
            <w:tcW w:w="1004" w:type="dxa"/>
            <w:tcBorders>
              <w:top w:val="single" w:sz="4" w:space="0" w:color="auto"/>
              <w:bottom w:val="single" w:sz="4" w:space="0" w:color="auto"/>
            </w:tcBorders>
            <w:shd w:val="clear" w:color="auto" w:fill="auto"/>
            <w:tcMar>
              <w:left w:w="85" w:type="dxa"/>
              <w:right w:w="85" w:type="dxa"/>
            </w:tcMar>
            <w:vAlign w:val="center"/>
          </w:tcPr>
          <w:p w14:paraId="58B56988" w14:textId="77777777" w:rsidR="00257E1A" w:rsidRPr="006D28D4" w:rsidRDefault="00257E1A" w:rsidP="0089652B">
            <w:pPr>
              <w:pStyle w:val="TableTextLeft"/>
              <w:rPr>
                <w:rFonts w:eastAsia="Calibri"/>
                <w:lang w:eastAsia="en-US"/>
              </w:rPr>
            </w:pPr>
            <w:r w:rsidRPr="003610A0">
              <w:rPr>
                <w:rFonts w:eastAsia="Calibri"/>
                <w:lang w:eastAsia="en-US"/>
              </w:rPr>
              <w:t xml:space="preserve">US$20.4b Shell (formerly BG Group) </w:t>
            </w:r>
          </w:p>
        </w:tc>
      </w:tr>
      <w:tr w:rsidR="00257E1A" w:rsidRPr="003610A0" w14:paraId="77D8DC6A"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505528C4" w14:textId="77777777" w:rsidR="00257E1A" w:rsidRPr="003610A0" w:rsidRDefault="00257E1A" w:rsidP="0089652B">
            <w:pPr>
              <w:pStyle w:val="TableTextLeft"/>
              <w:rPr>
                <w:rFonts w:eastAsia="Calibri"/>
                <w:lang w:eastAsia="en-US"/>
              </w:rPr>
            </w:pPr>
            <w:r w:rsidRPr="003610A0">
              <w:rPr>
                <w:rFonts w:eastAsia="Calibri"/>
                <w:lang w:eastAsia="en-US"/>
              </w:rPr>
              <w:t>Gladstone LNG</w:t>
            </w:r>
          </w:p>
        </w:tc>
        <w:tc>
          <w:tcPr>
            <w:tcW w:w="2693" w:type="dxa"/>
            <w:tcBorders>
              <w:top w:val="single" w:sz="4" w:space="0" w:color="auto"/>
              <w:bottom w:val="single" w:sz="4" w:space="0" w:color="auto"/>
            </w:tcBorders>
            <w:shd w:val="clear" w:color="auto" w:fill="auto"/>
            <w:tcMar>
              <w:left w:w="85" w:type="dxa"/>
              <w:right w:w="85" w:type="dxa"/>
            </w:tcMar>
            <w:vAlign w:val="center"/>
          </w:tcPr>
          <w:p w14:paraId="658D0358" w14:textId="77777777" w:rsidR="00BB3512" w:rsidRDefault="00257E1A" w:rsidP="0089652B">
            <w:pPr>
              <w:pStyle w:val="TableTextLeft"/>
              <w:rPr>
                <w:rFonts w:eastAsia="Calibri"/>
                <w:lang w:val="de-DE" w:eastAsia="en-US"/>
              </w:rPr>
            </w:pPr>
            <w:r w:rsidRPr="003610A0">
              <w:rPr>
                <w:rFonts w:eastAsia="Calibri"/>
                <w:lang w:val="de-DE" w:eastAsia="en-US"/>
              </w:rPr>
              <w:t>Santos (Op</w:t>
            </w:r>
            <w:r>
              <w:rPr>
                <w:rFonts w:eastAsia="Calibri"/>
                <w:lang w:val="de-DE" w:eastAsia="en-US"/>
              </w:rPr>
              <w:t>erator</w:t>
            </w:r>
            <w:r w:rsidRPr="003610A0">
              <w:rPr>
                <w:rFonts w:eastAsia="Calibri"/>
                <w:lang w:val="de-DE" w:eastAsia="en-US"/>
              </w:rPr>
              <w:t>, 30</w:t>
            </w:r>
            <w:r w:rsidR="00BB3512">
              <w:rPr>
                <w:rFonts w:eastAsia="Calibri"/>
                <w:lang w:val="de-DE" w:eastAsia="en-US"/>
              </w:rPr>
              <w:t>%)</w:t>
            </w:r>
          </w:p>
          <w:p w14:paraId="6E09C696" w14:textId="6DC635B6" w:rsidR="00257E1A" w:rsidRPr="003610A0" w:rsidRDefault="00257E1A" w:rsidP="0089652B">
            <w:pPr>
              <w:pStyle w:val="TableTextLeft"/>
              <w:rPr>
                <w:rFonts w:eastAsia="Calibri"/>
                <w:lang w:val="de-DE" w:eastAsia="en-US"/>
              </w:rPr>
            </w:pPr>
            <w:r w:rsidRPr="003610A0">
              <w:rPr>
                <w:rFonts w:eastAsia="Calibri"/>
                <w:lang w:val="de-DE" w:eastAsia="en-US"/>
              </w:rPr>
              <w:t>Petronas (27.5%)</w:t>
            </w:r>
          </w:p>
          <w:p w14:paraId="08144B1A" w14:textId="77777777" w:rsidR="00257E1A" w:rsidRPr="003610A0" w:rsidRDefault="00257E1A" w:rsidP="0089652B">
            <w:pPr>
              <w:pStyle w:val="TableTextLeft"/>
              <w:rPr>
                <w:rFonts w:eastAsia="Calibri"/>
                <w:lang w:val="de-DE" w:eastAsia="en-US"/>
              </w:rPr>
            </w:pPr>
            <w:r w:rsidRPr="003610A0">
              <w:rPr>
                <w:rFonts w:eastAsia="Calibri"/>
                <w:lang w:val="de-DE" w:eastAsia="en-US"/>
              </w:rPr>
              <w:t>Total (27.5%)</w:t>
            </w:r>
          </w:p>
          <w:p w14:paraId="0D91D96C" w14:textId="77777777" w:rsidR="00257E1A" w:rsidRPr="003610A0" w:rsidRDefault="00257E1A" w:rsidP="0089652B">
            <w:pPr>
              <w:pStyle w:val="TableTextLeft"/>
              <w:rPr>
                <w:rFonts w:eastAsia="Calibri"/>
                <w:lang w:val="de-DE" w:eastAsia="en-US"/>
              </w:rPr>
            </w:pPr>
            <w:r w:rsidRPr="003610A0">
              <w:rPr>
                <w:rFonts w:eastAsia="Calibri"/>
                <w:lang w:val="de-DE" w:eastAsia="en-US"/>
              </w:rPr>
              <w:t>KOGAS (15%)</w:t>
            </w:r>
          </w:p>
        </w:tc>
        <w:tc>
          <w:tcPr>
            <w:tcW w:w="1276" w:type="dxa"/>
            <w:tcBorders>
              <w:top w:val="single" w:sz="4" w:space="0" w:color="auto"/>
              <w:bottom w:val="single" w:sz="4" w:space="0" w:color="auto"/>
            </w:tcBorders>
            <w:shd w:val="clear" w:color="auto" w:fill="auto"/>
            <w:tcMar>
              <w:left w:w="85" w:type="dxa"/>
              <w:right w:w="85" w:type="dxa"/>
            </w:tcMar>
            <w:vAlign w:val="center"/>
          </w:tcPr>
          <w:p w14:paraId="2F4EC7D2" w14:textId="77777777" w:rsidR="00257E1A" w:rsidRPr="003610A0" w:rsidRDefault="00257E1A" w:rsidP="0089652B">
            <w:pPr>
              <w:pStyle w:val="TableTextLeft"/>
              <w:rPr>
                <w:rFonts w:eastAsia="Calibri"/>
                <w:lang w:eastAsia="en-US"/>
              </w:rPr>
            </w:pPr>
            <w:r w:rsidRPr="003610A0">
              <w:rPr>
                <w:rFonts w:eastAsia="Calibri"/>
                <w:lang w:eastAsia="en-US"/>
              </w:rPr>
              <w:t>QLD</w:t>
            </w:r>
          </w:p>
          <w:p w14:paraId="7C5496FB" w14:textId="77777777" w:rsidR="00257E1A" w:rsidRPr="003610A0" w:rsidRDefault="00257E1A" w:rsidP="0089652B">
            <w:pPr>
              <w:pStyle w:val="TableTextLeft"/>
              <w:rPr>
                <w:rFonts w:eastAsia="Calibri"/>
                <w:lang w:eastAsia="en-US"/>
              </w:rPr>
            </w:pPr>
            <w:r w:rsidRPr="003610A0">
              <w:rPr>
                <w:rFonts w:eastAsia="Calibri"/>
                <w:lang w:eastAsia="en-US"/>
              </w:rPr>
              <w:t>Bowen and Surat</w:t>
            </w:r>
            <w:r>
              <w:rPr>
                <w:rFonts w:eastAsia="Calibri"/>
                <w:lang w:eastAsia="en-US"/>
              </w:rPr>
              <w:t xml:space="preserve"> Basin</w:t>
            </w:r>
          </w:p>
          <w:p w14:paraId="54311744" w14:textId="77777777" w:rsidR="00257E1A" w:rsidRPr="003610A0" w:rsidRDefault="00257E1A" w:rsidP="0089652B">
            <w:pPr>
              <w:pStyle w:val="TableTextLeft"/>
              <w:rPr>
                <w:rFonts w:eastAsia="Calibri"/>
                <w:lang w:eastAsia="en-US"/>
              </w:rPr>
            </w:pPr>
            <w:r w:rsidRPr="003610A0">
              <w:rPr>
                <w:rFonts w:eastAsia="Calibri"/>
                <w:lang w:eastAsia="en-US"/>
              </w:rPr>
              <w:t>Gladstone</w:t>
            </w:r>
          </w:p>
        </w:tc>
        <w:tc>
          <w:tcPr>
            <w:tcW w:w="1276" w:type="dxa"/>
            <w:tcBorders>
              <w:top w:val="single" w:sz="4" w:space="0" w:color="auto"/>
              <w:bottom w:val="single" w:sz="4" w:space="0" w:color="auto"/>
            </w:tcBorders>
            <w:shd w:val="clear" w:color="auto" w:fill="auto"/>
            <w:tcMar>
              <w:left w:w="85" w:type="dxa"/>
              <w:right w:w="85" w:type="dxa"/>
            </w:tcMar>
            <w:vAlign w:val="center"/>
          </w:tcPr>
          <w:p w14:paraId="7A565DBF" w14:textId="77777777" w:rsidR="00257E1A" w:rsidRPr="003610A0" w:rsidRDefault="00257E1A" w:rsidP="0089652B">
            <w:pPr>
              <w:pStyle w:val="TableTextLeft"/>
              <w:rPr>
                <w:rFonts w:eastAsia="Calibri"/>
                <w:lang w:eastAsia="en-US"/>
              </w:rPr>
            </w:pPr>
            <w:r w:rsidRPr="003610A0">
              <w:rPr>
                <w:rFonts w:eastAsia="Calibri"/>
                <w:lang w:eastAsia="en-US"/>
              </w:rPr>
              <w:t>FID 2011</w:t>
            </w:r>
          </w:p>
          <w:p w14:paraId="5E57649E" w14:textId="77777777" w:rsidR="00257E1A" w:rsidRPr="003610A0" w:rsidRDefault="00257E1A" w:rsidP="0089652B">
            <w:pPr>
              <w:pStyle w:val="TableTextLeft"/>
              <w:rPr>
                <w:rFonts w:eastAsia="Calibri"/>
                <w:lang w:eastAsia="en-US"/>
              </w:rPr>
            </w:pPr>
            <w:r w:rsidRPr="003610A0">
              <w:rPr>
                <w:rFonts w:eastAsia="Calibri"/>
                <w:lang w:eastAsia="en-US"/>
              </w:rPr>
              <w:t>FG Oct 2015</w:t>
            </w:r>
          </w:p>
        </w:tc>
        <w:tc>
          <w:tcPr>
            <w:tcW w:w="1417" w:type="dxa"/>
            <w:tcBorders>
              <w:top w:val="single" w:sz="4" w:space="0" w:color="auto"/>
              <w:bottom w:val="single" w:sz="4" w:space="0" w:color="auto"/>
            </w:tcBorders>
            <w:shd w:val="clear" w:color="auto" w:fill="auto"/>
            <w:tcMar>
              <w:left w:w="85" w:type="dxa"/>
              <w:right w:w="85" w:type="dxa"/>
            </w:tcMar>
            <w:vAlign w:val="center"/>
          </w:tcPr>
          <w:p w14:paraId="59BBE161" w14:textId="77777777" w:rsidR="00257E1A" w:rsidRPr="003610A0" w:rsidRDefault="00257E1A" w:rsidP="0089652B">
            <w:pPr>
              <w:pStyle w:val="TableTextLeft"/>
              <w:rPr>
                <w:rFonts w:eastAsia="Calibri"/>
                <w:lang w:eastAsia="en-US"/>
              </w:rPr>
            </w:pPr>
            <w:r w:rsidRPr="003610A0">
              <w:rPr>
                <w:rFonts w:eastAsia="Calibri"/>
                <w:lang w:eastAsia="en-US"/>
              </w:rPr>
              <w:t>7.8Mtpa</w:t>
            </w:r>
          </w:p>
          <w:p w14:paraId="17C23A3B" w14:textId="77777777" w:rsidR="00257E1A" w:rsidRPr="003610A0" w:rsidRDefault="00257E1A" w:rsidP="0089652B">
            <w:pPr>
              <w:pStyle w:val="TableTextLeft"/>
              <w:rPr>
                <w:rFonts w:eastAsia="Calibri"/>
                <w:lang w:eastAsia="en-US"/>
              </w:rPr>
            </w:pPr>
            <w:r w:rsidRPr="003610A0">
              <w:rPr>
                <w:rFonts w:eastAsia="Calibri"/>
                <w:lang w:eastAsia="en-US"/>
              </w:rPr>
              <w:t>2 trains</w:t>
            </w:r>
          </w:p>
        </w:tc>
        <w:tc>
          <w:tcPr>
            <w:tcW w:w="1004" w:type="dxa"/>
            <w:tcBorders>
              <w:top w:val="single" w:sz="4" w:space="0" w:color="auto"/>
              <w:bottom w:val="single" w:sz="4" w:space="0" w:color="auto"/>
            </w:tcBorders>
            <w:shd w:val="clear" w:color="auto" w:fill="auto"/>
            <w:tcMar>
              <w:left w:w="85" w:type="dxa"/>
              <w:right w:w="85" w:type="dxa"/>
            </w:tcMar>
            <w:vAlign w:val="center"/>
          </w:tcPr>
          <w:p w14:paraId="1140A3CE" w14:textId="77777777" w:rsidR="00257E1A" w:rsidRPr="003610A0" w:rsidRDefault="00257E1A" w:rsidP="0089652B">
            <w:pPr>
              <w:pStyle w:val="TableTextLeft"/>
              <w:rPr>
                <w:rFonts w:eastAsia="Calibri"/>
                <w:lang w:eastAsia="en-US"/>
              </w:rPr>
            </w:pPr>
            <w:r w:rsidRPr="003610A0">
              <w:rPr>
                <w:rFonts w:eastAsia="Calibri"/>
                <w:lang w:eastAsia="en-US"/>
              </w:rPr>
              <w:t xml:space="preserve">US$18.5b Santos  </w:t>
            </w:r>
          </w:p>
        </w:tc>
      </w:tr>
      <w:tr w:rsidR="00257E1A" w:rsidRPr="003610A0" w14:paraId="70E12EF4"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558CD2C1" w14:textId="1FA2E59D" w:rsidR="00257E1A" w:rsidRPr="003610A0" w:rsidRDefault="00257E1A" w:rsidP="0089652B">
            <w:pPr>
              <w:pStyle w:val="TableTextLeft"/>
              <w:rPr>
                <w:rFonts w:eastAsia="Calibri"/>
                <w:lang w:eastAsia="en-US"/>
              </w:rPr>
            </w:pPr>
            <w:r w:rsidRPr="003610A0">
              <w:rPr>
                <w:rFonts w:eastAsia="Calibri"/>
                <w:lang w:eastAsia="en-US"/>
              </w:rPr>
              <w:t>Australia</w:t>
            </w:r>
            <w:r w:rsidR="005D6F39">
              <w:rPr>
                <w:rFonts w:eastAsia="Calibri"/>
                <w:lang w:eastAsia="en-US"/>
              </w:rPr>
              <w:noBreakHyphen/>
            </w:r>
            <w:r w:rsidRPr="003610A0">
              <w:rPr>
                <w:rFonts w:eastAsia="Calibri"/>
                <w:lang w:eastAsia="en-US"/>
              </w:rPr>
              <w:t>Pacific LNG</w:t>
            </w:r>
          </w:p>
        </w:tc>
        <w:tc>
          <w:tcPr>
            <w:tcW w:w="2693" w:type="dxa"/>
            <w:tcBorders>
              <w:top w:val="single" w:sz="4" w:space="0" w:color="auto"/>
              <w:bottom w:val="single" w:sz="4" w:space="0" w:color="auto"/>
            </w:tcBorders>
            <w:shd w:val="clear" w:color="auto" w:fill="auto"/>
            <w:tcMar>
              <w:left w:w="85" w:type="dxa"/>
              <w:right w:w="85" w:type="dxa"/>
            </w:tcMar>
            <w:vAlign w:val="center"/>
          </w:tcPr>
          <w:p w14:paraId="16AC1F67" w14:textId="77777777" w:rsidR="00BB3512" w:rsidRDefault="00257E1A" w:rsidP="0089652B">
            <w:pPr>
              <w:pStyle w:val="TableTextLeft"/>
              <w:rPr>
                <w:rFonts w:eastAsia="Calibri"/>
                <w:lang w:val="de-DE" w:eastAsia="en-US"/>
              </w:rPr>
            </w:pPr>
            <w:r w:rsidRPr="003610A0">
              <w:rPr>
                <w:rFonts w:eastAsia="Calibri"/>
                <w:lang w:val="de-DE" w:eastAsia="en-US"/>
              </w:rPr>
              <w:t>Origin Energy (37.5</w:t>
            </w:r>
            <w:r w:rsidR="00BB3512">
              <w:rPr>
                <w:rFonts w:eastAsia="Calibri"/>
                <w:lang w:val="de-DE" w:eastAsia="en-US"/>
              </w:rPr>
              <w:t>%)</w:t>
            </w:r>
          </w:p>
          <w:p w14:paraId="167E26E2" w14:textId="643D697D" w:rsidR="00257E1A" w:rsidRPr="003610A0" w:rsidRDefault="00257E1A" w:rsidP="0089652B">
            <w:pPr>
              <w:pStyle w:val="TableTextLeft"/>
              <w:rPr>
                <w:rFonts w:eastAsia="Calibri"/>
                <w:lang w:val="de-DE" w:eastAsia="en-US"/>
              </w:rPr>
            </w:pPr>
            <w:r w:rsidRPr="003610A0">
              <w:rPr>
                <w:rFonts w:eastAsia="Calibri"/>
                <w:lang w:val="de-DE" w:eastAsia="en-US"/>
              </w:rPr>
              <w:t>ConocoPhillips (37.5%)</w:t>
            </w:r>
          </w:p>
          <w:p w14:paraId="00A66DBE" w14:textId="77777777" w:rsidR="00257E1A" w:rsidRPr="003610A0" w:rsidRDefault="00257E1A" w:rsidP="0089652B">
            <w:pPr>
              <w:pStyle w:val="TableTextLeft"/>
              <w:rPr>
                <w:rFonts w:eastAsia="Calibri"/>
                <w:lang w:val="de-DE" w:eastAsia="en-US"/>
              </w:rPr>
            </w:pPr>
            <w:r w:rsidRPr="003610A0">
              <w:rPr>
                <w:rFonts w:eastAsia="Calibri"/>
                <w:lang w:val="de-DE" w:eastAsia="en-US"/>
              </w:rPr>
              <w:t>Sinopec (25%)</w:t>
            </w:r>
          </w:p>
        </w:tc>
        <w:tc>
          <w:tcPr>
            <w:tcW w:w="1276" w:type="dxa"/>
            <w:tcBorders>
              <w:top w:val="single" w:sz="4" w:space="0" w:color="auto"/>
              <w:bottom w:val="single" w:sz="4" w:space="0" w:color="auto"/>
            </w:tcBorders>
            <w:shd w:val="clear" w:color="auto" w:fill="auto"/>
            <w:tcMar>
              <w:left w:w="85" w:type="dxa"/>
              <w:right w:w="85" w:type="dxa"/>
            </w:tcMar>
            <w:vAlign w:val="center"/>
          </w:tcPr>
          <w:p w14:paraId="0BCCCA00" w14:textId="77777777" w:rsidR="00257E1A" w:rsidRPr="003610A0" w:rsidRDefault="00257E1A" w:rsidP="0089652B">
            <w:pPr>
              <w:pStyle w:val="TableTextLeft"/>
              <w:rPr>
                <w:rFonts w:eastAsia="Calibri"/>
                <w:lang w:eastAsia="en-US"/>
              </w:rPr>
            </w:pPr>
            <w:r w:rsidRPr="003610A0">
              <w:rPr>
                <w:rFonts w:eastAsia="Calibri"/>
                <w:lang w:eastAsia="en-US"/>
              </w:rPr>
              <w:t>QLD Bowen and Surat</w:t>
            </w:r>
            <w:r>
              <w:rPr>
                <w:rFonts w:eastAsia="Calibri"/>
                <w:lang w:eastAsia="en-US"/>
              </w:rPr>
              <w:t xml:space="preserve"> Basin</w:t>
            </w:r>
          </w:p>
          <w:p w14:paraId="4A6E096A" w14:textId="77777777" w:rsidR="00257E1A" w:rsidRPr="003610A0" w:rsidRDefault="00257E1A" w:rsidP="0089652B">
            <w:pPr>
              <w:pStyle w:val="TableTextLeft"/>
              <w:rPr>
                <w:rFonts w:eastAsia="Calibri"/>
                <w:lang w:eastAsia="en-US"/>
              </w:rPr>
            </w:pPr>
            <w:r w:rsidRPr="003610A0">
              <w:rPr>
                <w:rFonts w:eastAsia="Calibri"/>
                <w:lang w:eastAsia="en-US"/>
              </w:rPr>
              <w:t>Gladstone</w:t>
            </w:r>
          </w:p>
        </w:tc>
        <w:tc>
          <w:tcPr>
            <w:tcW w:w="1276" w:type="dxa"/>
            <w:tcBorders>
              <w:top w:val="single" w:sz="4" w:space="0" w:color="auto"/>
              <w:bottom w:val="single" w:sz="4" w:space="0" w:color="auto"/>
            </w:tcBorders>
            <w:shd w:val="clear" w:color="auto" w:fill="auto"/>
            <w:tcMar>
              <w:left w:w="85" w:type="dxa"/>
              <w:right w:w="85" w:type="dxa"/>
            </w:tcMar>
            <w:vAlign w:val="center"/>
          </w:tcPr>
          <w:p w14:paraId="7A6BFB50" w14:textId="77777777" w:rsidR="00257E1A" w:rsidRPr="003610A0" w:rsidRDefault="00257E1A" w:rsidP="0089652B">
            <w:pPr>
              <w:pStyle w:val="TableTextLeft"/>
              <w:rPr>
                <w:rFonts w:eastAsia="Calibri"/>
                <w:lang w:eastAsia="en-US"/>
              </w:rPr>
            </w:pPr>
            <w:r w:rsidRPr="003610A0">
              <w:rPr>
                <w:rFonts w:eastAsia="Calibri"/>
                <w:lang w:eastAsia="en-US"/>
              </w:rPr>
              <w:t>FID</w:t>
            </w:r>
            <w:r>
              <w:rPr>
                <w:rFonts w:eastAsia="Calibri"/>
                <w:lang w:eastAsia="en-US"/>
              </w:rPr>
              <w:t xml:space="preserve">: </w:t>
            </w:r>
            <w:r w:rsidRPr="003610A0">
              <w:rPr>
                <w:rFonts w:eastAsia="Calibri"/>
                <w:lang w:eastAsia="en-US"/>
              </w:rPr>
              <w:t>(T</w:t>
            </w:r>
            <w:r>
              <w:rPr>
                <w:rFonts w:eastAsia="Calibri"/>
                <w:lang w:eastAsia="en-US"/>
              </w:rPr>
              <w:t xml:space="preserve">rain </w:t>
            </w:r>
            <w:r w:rsidRPr="003610A0">
              <w:rPr>
                <w:rFonts w:eastAsia="Calibri"/>
                <w:lang w:eastAsia="en-US"/>
              </w:rPr>
              <w:t>1) 2011; (T</w:t>
            </w:r>
            <w:r>
              <w:rPr>
                <w:rFonts w:eastAsia="Calibri"/>
                <w:lang w:eastAsia="en-US"/>
              </w:rPr>
              <w:t xml:space="preserve">rain </w:t>
            </w:r>
            <w:r w:rsidRPr="003610A0">
              <w:rPr>
                <w:rFonts w:eastAsia="Calibri"/>
                <w:lang w:eastAsia="en-US"/>
              </w:rPr>
              <w:t>2) 2012</w:t>
            </w:r>
          </w:p>
          <w:p w14:paraId="1B951F74" w14:textId="77777777" w:rsidR="00257E1A" w:rsidRPr="003610A0" w:rsidRDefault="00257E1A" w:rsidP="0089652B">
            <w:pPr>
              <w:pStyle w:val="TableTextLeft"/>
              <w:rPr>
                <w:rFonts w:eastAsia="Calibri"/>
                <w:lang w:eastAsia="en-US"/>
              </w:rPr>
            </w:pPr>
            <w:r w:rsidRPr="003610A0">
              <w:rPr>
                <w:rFonts w:eastAsia="Calibri"/>
                <w:lang w:eastAsia="en-US"/>
              </w:rPr>
              <w:t xml:space="preserve">FG Jan 2016 </w:t>
            </w:r>
          </w:p>
        </w:tc>
        <w:tc>
          <w:tcPr>
            <w:tcW w:w="1417" w:type="dxa"/>
            <w:tcBorders>
              <w:top w:val="single" w:sz="4" w:space="0" w:color="auto"/>
              <w:bottom w:val="single" w:sz="4" w:space="0" w:color="auto"/>
            </w:tcBorders>
            <w:shd w:val="clear" w:color="auto" w:fill="auto"/>
            <w:tcMar>
              <w:left w:w="85" w:type="dxa"/>
              <w:right w:w="85" w:type="dxa"/>
            </w:tcMar>
            <w:vAlign w:val="center"/>
          </w:tcPr>
          <w:p w14:paraId="42E4747D" w14:textId="77777777" w:rsidR="00257E1A" w:rsidRPr="003610A0" w:rsidRDefault="00257E1A" w:rsidP="0089652B">
            <w:pPr>
              <w:pStyle w:val="TableTextLeft"/>
              <w:rPr>
                <w:rFonts w:eastAsia="Calibri"/>
                <w:lang w:eastAsia="en-US"/>
              </w:rPr>
            </w:pPr>
            <w:r w:rsidRPr="003610A0">
              <w:rPr>
                <w:rFonts w:eastAsia="Calibri"/>
                <w:lang w:eastAsia="en-US"/>
              </w:rPr>
              <w:t xml:space="preserve">9Mtpa </w:t>
            </w:r>
          </w:p>
          <w:p w14:paraId="5155C6F6" w14:textId="77777777" w:rsidR="00257E1A" w:rsidRPr="003610A0" w:rsidRDefault="00257E1A" w:rsidP="0089652B">
            <w:pPr>
              <w:pStyle w:val="TableTextLeft"/>
              <w:rPr>
                <w:rFonts w:eastAsia="Calibri"/>
                <w:lang w:eastAsia="en-US"/>
              </w:rPr>
            </w:pPr>
            <w:r w:rsidRPr="003610A0">
              <w:rPr>
                <w:rFonts w:eastAsia="Calibri"/>
                <w:lang w:eastAsia="en-US"/>
              </w:rPr>
              <w:t>2 trains</w:t>
            </w:r>
          </w:p>
          <w:p w14:paraId="62BEA641" w14:textId="77777777" w:rsidR="00257E1A" w:rsidRPr="003610A0" w:rsidRDefault="00257E1A" w:rsidP="0089652B">
            <w:pPr>
              <w:pStyle w:val="TableTextLeft"/>
              <w:rPr>
                <w:rFonts w:eastAsia="Calibri"/>
                <w:lang w:eastAsia="en-US"/>
              </w:rPr>
            </w:pPr>
          </w:p>
        </w:tc>
        <w:tc>
          <w:tcPr>
            <w:tcW w:w="1004" w:type="dxa"/>
            <w:tcBorders>
              <w:top w:val="single" w:sz="4" w:space="0" w:color="auto"/>
              <w:bottom w:val="single" w:sz="4" w:space="0" w:color="auto"/>
            </w:tcBorders>
            <w:shd w:val="clear" w:color="auto" w:fill="auto"/>
            <w:tcMar>
              <w:left w:w="85" w:type="dxa"/>
              <w:right w:w="85" w:type="dxa"/>
            </w:tcMar>
            <w:vAlign w:val="center"/>
          </w:tcPr>
          <w:p w14:paraId="46FCF21D" w14:textId="77777777" w:rsidR="00257E1A" w:rsidRPr="003610A0" w:rsidRDefault="00257E1A" w:rsidP="0089652B">
            <w:pPr>
              <w:pStyle w:val="TableTextLeft"/>
              <w:rPr>
                <w:rFonts w:eastAsia="Calibri"/>
                <w:lang w:eastAsia="en-US"/>
              </w:rPr>
            </w:pPr>
            <w:r w:rsidRPr="003610A0">
              <w:rPr>
                <w:rFonts w:eastAsia="Calibri"/>
                <w:lang w:eastAsia="en-US"/>
              </w:rPr>
              <w:t xml:space="preserve">A$24.7b Origin </w:t>
            </w:r>
          </w:p>
        </w:tc>
      </w:tr>
      <w:tr w:rsidR="00257E1A" w:rsidRPr="003610A0" w14:paraId="3431BA15"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09D3407A" w14:textId="77777777" w:rsidR="00257E1A" w:rsidRPr="003610A0" w:rsidRDefault="00257E1A" w:rsidP="0089652B">
            <w:pPr>
              <w:pStyle w:val="TableTextLeft"/>
              <w:rPr>
                <w:rFonts w:eastAsia="Calibri"/>
                <w:lang w:eastAsia="en-US"/>
              </w:rPr>
            </w:pPr>
            <w:r w:rsidRPr="003610A0">
              <w:rPr>
                <w:rFonts w:eastAsia="Calibri"/>
                <w:lang w:eastAsia="en-US"/>
              </w:rPr>
              <w:t>Gorgon</w:t>
            </w:r>
          </w:p>
          <w:p w14:paraId="085D4923" w14:textId="77777777" w:rsidR="00257E1A" w:rsidRPr="003610A0" w:rsidRDefault="00257E1A" w:rsidP="0089652B">
            <w:pPr>
              <w:pStyle w:val="TableTextLeft"/>
              <w:rPr>
                <w:rFonts w:eastAsia="Calibri"/>
                <w:lang w:eastAsia="en-US"/>
              </w:rPr>
            </w:pPr>
            <w:r w:rsidRPr="003610A0">
              <w:rPr>
                <w:rFonts w:eastAsia="Calibri"/>
                <w:lang w:eastAsia="en-US"/>
              </w:rPr>
              <w:t>LNG</w:t>
            </w:r>
          </w:p>
          <w:p w14:paraId="7DCB7BC2" w14:textId="77777777" w:rsidR="00257E1A" w:rsidRPr="003610A0" w:rsidRDefault="00257E1A" w:rsidP="0089652B">
            <w:pPr>
              <w:pStyle w:val="TableTextLeft"/>
              <w:rPr>
                <w:rFonts w:eastAsia="Calibri"/>
                <w:lang w:eastAsia="en-US"/>
              </w:rPr>
            </w:pPr>
            <w:r w:rsidRPr="003610A0">
              <w:rPr>
                <w:rFonts w:eastAsia="Calibri"/>
                <w:lang w:eastAsia="en-US"/>
              </w:rPr>
              <w:t>DomGas</w:t>
            </w:r>
          </w:p>
        </w:tc>
        <w:tc>
          <w:tcPr>
            <w:tcW w:w="2693" w:type="dxa"/>
            <w:tcBorders>
              <w:top w:val="single" w:sz="4" w:space="0" w:color="auto"/>
              <w:bottom w:val="single" w:sz="4" w:space="0" w:color="auto"/>
            </w:tcBorders>
            <w:shd w:val="clear" w:color="auto" w:fill="auto"/>
            <w:tcMar>
              <w:left w:w="85" w:type="dxa"/>
              <w:right w:w="85" w:type="dxa"/>
            </w:tcMar>
            <w:vAlign w:val="center"/>
          </w:tcPr>
          <w:p w14:paraId="0257BC96" w14:textId="77777777" w:rsidR="00257E1A" w:rsidRPr="003610A0" w:rsidRDefault="00257E1A" w:rsidP="0089652B">
            <w:pPr>
              <w:pStyle w:val="TableTextLeft"/>
              <w:rPr>
                <w:rFonts w:eastAsia="Calibri"/>
                <w:lang w:val="de-DE" w:eastAsia="en-US"/>
              </w:rPr>
            </w:pPr>
            <w:r w:rsidRPr="003610A0">
              <w:rPr>
                <w:rFonts w:eastAsia="Calibri"/>
                <w:lang w:val="de-DE" w:eastAsia="en-US"/>
              </w:rPr>
              <w:t>Chevron (Op</w:t>
            </w:r>
            <w:r>
              <w:rPr>
                <w:rFonts w:eastAsia="Calibri"/>
                <w:lang w:val="de-DE" w:eastAsia="en-US"/>
              </w:rPr>
              <w:t>erator</w:t>
            </w:r>
            <w:r w:rsidRPr="003610A0">
              <w:rPr>
                <w:rFonts w:eastAsia="Calibri"/>
                <w:lang w:val="de-DE" w:eastAsia="en-US"/>
              </w:rPr>
              <w:t>, 47.333%)</w:t>
            </w:r>
          </w:p>
          <w:p w14:paraId="7AEA8AC0" w14:textId="77777777" w:rsidR="00257E1A" w:rsidRPr="003610A0" w:rsidRDefault="00257E1A" w:rsidP="0089652B">
            <w:pPr>
              <w:pStyle w:val="TableTextLeft"/>
              <w:rPr>
                <w:rFonts w:eastAsia="Calibri"/>
                <w:lang w:val="de-DE" w:eastAsia="en-US"/>
              </w:rPr>
            </w:pPr>
            <w:r w:rsidRPr="003610A0">
              <w:rPr>
                <w:rFonts w:eastAsia="Calibri"/>
                <w:lang w:val="de-DE" w:eastAsia="en-US"/>
              </w:rPr>
              <w:t xml:space="preserve">Exxon (25%) </w:t>
            </w:r>
          </w:p>
          <w:p w14:paraId="12D9D3CD" w14:textId="77777777" w:rsidR="00257E1A" w:rsidRPr="003610A0" w:rsidRDefault="00257E1A" w:rsidP="0089652B">
            <w:pPr>
              <w:pStyle w:val="TableTextLeft"/>
              <w:rPr>
                <w:rFonts w:eastAsia="Calibri"/>
                <w:lang w:val="de-DE" w:eastAsia="en-US"/>
              </w:rPr>
            </w:pPr>
            <w:r w:rsidRPr="003610A0">
              <w:rPr>
                <w:rFonts w:eastAsia="Calibri"/>
                <w:lang w:val="de-DE" w:eastAsia="en-US"/>
              </w:rPr>
              <w:t>Shell (25%)</w:t>
            </w:r>
          </w:p>
          <w:p w14:paraId="499F2707" w14:textId="77777777" w:rsidR="00257E1A" w:rsidRPr="003610A0" w:rsidRDefault="00257E1A" w:rsidP="0089652B">
            <w:pPr>
              <w:pStyle w:val="TableTextLeft"/>
              <w:rPr>
                <w:rFonts w:eastAsia="Calibri"/>
                <w:lang w:val="de-DE" w:eastAsia="en-US"/>
              </w:rPr>
            </w:pPr>
            <w:r w:rsidRPr="003610A0">
              <w:rPr>
                <w:rFonts w:eastAsia="Calibri"/>
                <w:lang w:val="de-DE" w:eastAsia="en-US"/>
              </w:rPr>
              <w:t>Osaka Gas (1.25%)</w:t>
            </w:r>
          </w:p>
          <w:p w14:paraId="79A92349" w14:textId="77777777" w:rsidR="00257E1A" w:rsidRPr="003610A0" w:rsidRDefault="00257E1A" w:rsidP="0089652B">
            <w:pPr>
              <w:pStyle w:val="TableTextLeft"/>
              <w:rPr>
                <w:rFonts w:eastAsia="Calibri"/>
                <w:lang w:val="de-DE" w:eastAsia="en-US"/>
              </w:rPr>
            </w:pPr>
            <w:r w:rsidRPr="003610A0">
              <w:rPr>
                <w:rFonts w:eastAsia="Calibri"/>
                <w:lang w:val="de-DE" w:eastAsia="en-US"/>
              </w:rPr>
              <w:t>Tokyo Gas (1%)</w:t>
            </w:r>
          </w:p>
          <w:p w14:paraId="68BBAF5D" w14:textId="77777777" w:rsidR="00257E1A" w:rsidRPr="003610A0" w:rsidRDefault="00257E1A" w:rsidP="0089652B">
            <w:pPr>
              <w:pStyle w:val="TableTextLeft"/>
              <w:rPr>
                <w:rFonts w:eastAsia="Calibri"/>
                <w:lang w:val="de-DE" w:eastAsia="en-US"/>
              </w:rPr>
            </w:pPr>
            <w:r w:rsidRPr="003610A0">
              <w:rPr>
                <w:rFonts w:eastAsia="Calibri"/>
                <w:lang w:val="de-DE" w:eastAsia="en-US"/>
              </w:rPr>
              <w:t>Chubu (0.417%)</w:t>
            </w:r>
          </w:p>
        </w:tc>
        <w:tc>
          <w:tcPr>
            <w:tcW w:w="1276" w:type="dxa"/>
            <w:tcBorders>
              <w:top w:val="single" w:sz="4" w:space="0" w:color="auto"/>
              <w:bottom w:val="single" w:sz="4" w:space="0" w:color="auto"/>
            </w:tcBorders>
            <w:shd w:val="clear" w:color="auto" w:fill="auto"/>
            <w:tcMar>
              <w:left w:w="85" w:type="dxa"/>
              <w:right w:w="85" w:type="dxa"/>
            </w:tcMar>
            <w:vAlign w:val="center"/>
          </w:tcPr>
          <w:p w14:paraId="034368C4" w14:textId="77777777" w:rsidR="00257E1A" w:rsidRPr="003610A0" w:rsidRDefault="00257E1A" w:rsidP="0089652B">
            <w:pPr>
              <w:pStyle w:val="TableTextLeft"/>
              <w:rPr>
                <w:rFonts w:eastAsia="Calibri"/>
                <w:lang w:eastAsia="en-US"/>
              </w:rPr>
            </w:pPr>
            <w:r w:rsidRPr="003610A0">
              <w:rPr>
                <w:rFonts w:eastAsia="Calibri"/>
                <w:lang w:eastAsia="en-US"/>
              </w:rPr>
              <w:t>WA</w:t>
            </w:r>
          </w:p>
          <w:p w14:paraId="4C16E2D8" w14:textId="77777777" w:rsidR="00257E1A" w:rsidRPr="003610A0" w:rsidRDefault="00257E1A" w:rsidP="0089652B">
            <w:pPr>
              <w:pStyle w:val="TableTextLeft"/>
              <w:rPr>
                <w:rFonts w:eastAsia="Calibri"/>
                <w:lang w:eastAsia="en-US"/>
              </w:rPr>
            </w:pPr>
            <w:r w:rsidRPr="003610A0">
              <w:rPr>
                <w:rFonts w:eastAsia="Calibri"/>
                <w:lang w:eastAsia="en-US"/>
              </w:rPr>
              <w:t>Carnarvon</w:t>
            </w:r>
            <w:r>
              <w:rPr>
                <w:rFonts w:eastAsia="Calibri"/>
                <w:lang w:eastAsia="en-US"/>
              </w:rPr>
              <w:t xml:space="preserve"> Basin</w:t>
            </w:r>
          </w:p>
          <w:p w14:paraId="250968CA" w14:textId="77777777" w:rsidR="00257E1A" w:rsidRPr="003610A0" w:rsidRDefault="00257E1A" w:rsidP="0089652B">
            <w:pPr>
              <w:pStyle w:val="TableTextLeft"/>
              <w:rPr>
                <w:rFonts w:eastAsia="Calibri"/>
                <w:lang w:eastAsia="en-US"/>
              </w:rPr>
            </w:pPr>
            <w:r w:rsidRPr="003610A0">
              <w:rPr>
                <w:rFonts w:eastAsia="Calibri"/>
                <w:lang w:eastAsia="en-US"/>
              </w:rPr>
              <w:t>Barrow Is.</w:t>
            </w:r>
          </w:p>
        </w:tc>
        <w:tc>
          <w:tcPr>
            <w:tcW w:w="1276" w:type="dxa"/>
            <w:tcBorders>
              <w:top w:val="single" w:sz="4" w:space="0" w:color="auto"/>
              <w:bottom w:val="single" w:sz="4" w:space="0" w:color="auto"/>
            </w:tcBorders>
            <w:shd w:val="clear" w:color="auto" w:fill="auto"/>
            <w:tcMar>
              <w:left w:w="85" w:type="dxa"/>
              <w:right w:w="85" w:type="dxa"/>
            </w:tcMar>
            <w:vAlign w:val="center"/>
          </w:tcPr>
          <w:p w14:paraId="7505E293" w14:textId="77777777" w:rsidR="00257E1A" w:rsidRPr="003610A0" w:rsidRDefault="00257E1A" w:rsidP="0089652B">
            <w:pPr>
              <w:pStyle w:val="TableTextLeft"/>
              <w:rPr>
                <w:rFonts w:eastAsia="Calibri"/>
                <w:lang w:eastAsia="en-US"/>
              </w:rPr>
            </w:pPr>
            <w:r w:rsidRPr="003610A0">
              <w:rPr>
                <w:rFonts w:eastAsia="Calibri"/>
                <w:lang w:eastAsia="en-US"/>
              </w:rPr>
              <w:t>FID 2009</w:t>
            </w:r>
          </w:p>
          <w:p w14:paraId="7DD20F65" w14:textId="77777777" w:rsidR="00257E1A" w:rsidRPr="003610A0" w:rsidRDefault="00257E1A" w:rsidP="0089652B">
            <w:pPr>
              <w:pStyle w:val="TableTextLeft"/>
              <w:rPr>
                <w:rFonts w:eastAsia="Calibri"/>
                <w:lang w:eastAsia="en-US"/>
              </w:rPr>
            </w:pPr>
            <w:r w:rsidRPr="003610A0">
              <w:rPr>
                <w:rFonts w:eastAsia="Calibri"/>
                <w:lang w:eastAsia="en-US"/>
              </w:rPr>
              <w:t>FG  Mar 2016</w:t>
            </w:r>
          </w:p>
        </w:tc>
        <w:tc>
          <w:tcPr>
            <w:tcW w:w="1417" w:type="dxa"/>
            <w:tcBorders>
              <w:top w:val="single" w:sz="4" w:space="0" w:color="auto"/>
              <w:bottom w:val="single" w:sz="4" w:space="0" w:color="auto"/>
            </w:tcBorders>
            <w:shd w:val="clear" w:color="auto" w:fill="auto"/>
            <w:tcMar>
              <w:left w:w="85" w:type="dxa"/>
              <w:right w:w="85" w:type="dxa"/>
            </w:tcMar>
            <w:vAlign w:val="center"/>
          </w:tcPr>
          <w:p w14:paraId="7EA58867" w14:textId="77777777" w:rsidR="00257E1A" w:rsidRPr="003610A0" w:rsidRDefault="00257E1A" w:rsidP="0089652B">
            <w:pPr>
              <w:pStyle w:val="TableTextLeft"/>
              <w:rPr>
                <w:rFonts w:eastAsia="Calibri"/>
                <w:lang w:eastAsia="en-US"/>
              </w:rPr>
            </w:pPr>
            <w:r w:rsidRPr="003610A0">
              <w:rPr>
                <w:rFonts w:eastAsia="Calibri"/>
                <w:lang w:eastAsia="en-US"/>
              </w:rPr>
              <w:t xml:space="preserve">LNG: </w:t>
            </w:r>
          </w:p>
          <w:p w14:paraId="2F6EDB38" w14:textId="77777777" w:rsidR="00257E1A" w:rsidRPr="003610A0" w:rsidRDefault="00257E1A" w:rsidP="0089652B">
            <w:pPr>
              <w:pStyle w:val="TableTextLeft"/>
              <w:rPr>
                <w:rFonts w:eastAsia="Calibri"/>
                <w:lang w:eastAsia="en-US"/>
              </w:rPr>
            </w:pPr>
            <w:r w:rsidRPr="003610A0">
              <w:rPr>
                <w:rFonts w:eastAsia="Calibri"/>
                <w:lang w:eastAsia="en-US"/>
              </w:rPr>
              <w:t xml:space="preserve">15.6Mtpa, </w:t>
            </w:r>
          </w:p>
          <w:p w14:paraId="4ADCBA4D" w14:textId="77777777" w:rsidR="00257E1A" w:rsidRPr="003610A0" w:rsidRDefault="00257E1A" w:rsidP="0089652B">
            <w:pPr>
              <w:pStyle w:val="TableTextLeft"/>
              <w:rPr>
                <w:rFonts w:eastAsia="Calibri"/>
                <w:lang w:eastAsia="en-US"/>
              </w:rPr>
            </w:pPr>
            <w:r w:rsidRPr="003610A0">
              <w:rPr>
                <w:rFonts w:eastAsia="Calibri"/>
                <w:lang w:eastAsia="en-US"/>
              </w:rPr>
              <w:t xml:space="preserve">3 trains </w:t>
            </w:r>
          </w:p>
          <w:p w14:paraId="10E3F657" w14:textId="77777777" w:rsidR="00257E1A" w:rsidRPr="003610A0" w:rsidRDefault="00257E1A" w:rsidP="0089652B">
            <w:pPr>
              <w:pStyle w:val="TableTextLeft"/>
              <w:rPr>
                <w:rFonts w:eastAsia="Calibri"/>
                <w:lang w:eastAsia="en-US"/>
              </w:rPr>
            </w:pPr>
            <w:r w:rsidRPr="003610A0">
              <w:rPr>
                <w:rFonts w:eastAsia="Calibri"/>
                <w:lang w:eastAsia="en-US"/>
              </w:rPr>
              <w:t xml:space="preserve">Dom gas: 150Tj/d to </w:t>
            </w:r>
            <w:r w:rsidRPr="003610A0">
              <w:rPr>
                <w:rFonts w:eastAsia="Calibri"/>
                <w:lang w:eastAsia="en-US"/>
              </w:rPr>
              <w:br/>
              <w:t>300 Tj/d</w:t>
            </w:r>
          </w:p>
        </w:tc>
        <w:tc>
          <w:tcPr>
            <w:tcW w:w="1004" w:type="dxa"/>
            <w:tcBorders>
              <w:top w:val="single" w:sz="4" w:space="0" w:color="auto"/>
              <w:bottom w:val="single" w:sz="4" w:space="0" w:color="auto"/>
            </w:tcBorders>
            <w:shd w:val="clear" w:color="auto" w:fill="auto"/>
            <w:tcMar>
              <w:left w:w="85" w:type="dxa"/>
              <w:right w:w="85" w:type="dxa"/>
            </w:tcMar>
            <w:vAlign w:val="center"/>
          </w:tcPr>
          <w:p w14:paraId="146E1D55" w14:textId="77777777" w:rsidR="00257E1A" w:rsidRPr="003610A0" w:rsidRDefault="00257E1A" w:rsidP="0089652B">
            <w:pPr>
              <w:pStyle w:val="TableTextLeft"/>
              <w:rPr>
                <w:rFonts w:eastAsia="Calibri"/>
                <w:lang w:eastAsia="en-US"/>
              </w:rPr>
            </w:pPr>
            <w:r w:rsidRPr="003610A0">
              <w:rPr>
                <w:rFonts w:eastAsia="Calibri"/>
                <w:lang w:eastAsia="en-US"/>
              </w:rPr>
              <w:t>US$54b</w:t>
            </w:r>
          </w:p>
          <w:p w14:paraId="5F68026B" w14:textId="77777777" w:rsidR="00257E1A" w:rsidRPr="003610A0" w:rsidRDefault="00257E1A" w:rsidP="0089652B">
            <w:pPr>
              <w:pStyle w:val="TableTextLeft"/>
              <w:rPr>
                <w:rFonts w:eastAsia="Calibri"/>
                <w:lang w:eastAsia="en-US"/>
              </w:rPr>
            </w:pPr>
            <w:r w:rsidRPr="003610A0">
              <w:rPr>
                <w:rFonts w:eastAsia="Calibri"/>
                <w:lang w:eastAsia="en-US"/>
              </w:rPr>
              <w:t xml:space="preserve">Chevron </w:t>
            </w:r>
          </w:p>
        </w:tc>
      </w:tr>
      <w:tr w:rsidR="00257E1A" w:rsidRPr="003610A0" w14:paraId="47171AEA" w14:textId="77777777" w:rsidTr="0089652B">
        <w:trPr>
          <w:jc w:val="center"/>
        </w:trPr>
        <w:tc>
          <w:tcPr>
            <w:tcW w:w="9099" w:type="dxa"/>
            <w:gridSpan w:val="6"/>
            <w:tcBorders>
              <w:top w:val="single" w:sz="4" w:space="0" w:color="auto"/>
              <w:bottom w:val="single" w:sz="4" w:space="0" w:color="auto"/>
            </w:tcBorders>
            <w:shd w:val="clear" w:color="auto" w:fill="auto"/>
            <w:tcMar>
              <w:left w:w="85" w:type="dxa"/>
              <w:right w:w="85" w:type="dxa"/>
            </w:tcMar>
            <w:vAlign w:val="center"/>
          </w:tcPr>
          <w:p w14:paraId="72BC9117" w14:textId="77777777" w:rsidR="00257E1A" w:rsidRPr="003610A0" w:rsidRDefault="00257E1A" w:rsidP="0089652B">
            <w:pPr>
              <w:pStyle w:val="TableColumnHeadingLeft"/>
              <w:rPr>
                <w:rFonts w:eastAsia="Calibri"/>
                <w:lang w:eastAsia="en-US"/>
              </w:rPr>
            </w:pPr>
            <w:r w:rsidRPr="003610A0">
              <w:rPr>
                <w:rFonts w:eastAsia="Calibri"/>
                <w:lang w:eastAsia="en-US"/>
              </w:rPr>
              <w:t>In Construction</w:t>
            </w:r>
          </w:p>
        </w:tc>
      </w:tr>
      <w:tr w:rsidR="00257E1A" w:rsidRPr="003610A0" w14:paraId="467FE376"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5C704AB6" w14:textId="77777777" w:rsidR="00257E1A" w:rsidRPr="003610A0" w:rsidRDefault="00257E1A" w:rsidP="0089652B">
            <w:pPr>
              <w:pStyle w:val="TableTextLeft"/>
              <w:rPr>
                <w:rFonts w:eastAsia="Calibri"/>
                <w:lang w:eastAsia="en-US"/>
              </w:rPr>
            </w:pPr>
            <w:r w:rsidRPr="003610A0">
              <w:rPr>
                <w:rFonts w:eastAsia="Calibri"/>
                <w:lang w:eastAsia="en-US"/>
              </w:rPr>
              <w:t>Wheatstone</w:t>
            </w:r>
          </w:p>
          <w:p w14:paraId="5AEF21CD" w14:textId="77777777" w:rsidR="00257E1A" w:rsidRPr="003610A0" w:rsidRDefault="00257E1A" w:rsidP="0089652B">
            <w:pPr>
              <w:pStyle w:val="TableTextLeft"/>
              <w:rPr>
                <w:rFonts w:eastAsia="Calibri"/>
                <w:lang w:eastAsia="en-US"/>
              </w:rPr>
            </w:pPr>
            <w:r w:rsidRPr="003610A0">
              <w:rPr>
                <w:rFonts w:eastAsia="Calibri"/>
                <w:lang w:eastAsia="en-US"/>
              </w:rPr>
              <w:t>LNG</w:t>
            </w:r>
          </w:p>
          <w:p w14:paraId="22F08EB7" w14:textId="77777777" w:rsidR="00257E1A" w:rsidRPr="003610A0" w:rsidRDefault="00257E1A" w:rsidP="0089652B">
            <w:pPr>
              <w:pStyle w:val="TableTextLeft"/>
              <w:rPr>
                <w:rFonts w:eastAsia="Calibri"/>
                <w:lang w:eastAsia="en-US"/>
              </w:rPr>
            </w:pPr>
            <w:r w:rsidRPr="003610A0">
              <w:rPr>
                <w:rFonts w:eastAsia="Calibri"/>
                <w:lang w:eastAsia="en-US"/>
              </w:rPr>
              <w:t>DomGas</w:t>
            </w:r>
          </w:p>
          <w:p w14:paraId="019FC2C6" w14:textId="77777777" w:rsidR="00257E1A" w:rsidRPr="003610A0" w:rsidRDefault="00257E1A" w:rsidP="0089652B">
            <w:pPr>
              <w:pStyle w:val="TableTextLeft"/>
              <w:rPr>
                <w:rFonts w:eastAsia="Calibri"/>
                <w:lang w:eastAsia="en-US"/>
              </w:rPr>
            </w:pPr>
          </w:p>
        </w:tc>
        <w:tc>
          <w:tcPr>
            <w:tcW w:w="2693" w:type="dxa"/>
            <w:tcBorders>
              <w:top w:val="single" w:sz="4" w:space="0" w:color="auto"/>
              <w:bottom w:val="single" w:sz="4" w:space="0" w:color="auto"/>
            </w:tcBorders>
            <w:shd w:val="clear" w:color="auto" w:fill="auto"/>
            <w:tcMar>
              <w:left w:w="85" w:type="dxa"/>
              <w:right w:w="85" w:type="dxa"/>
            </w:tcMar>
            <w:vAlign w:val="center"/>
          </w:tcPr>
          <w:p w14:paraId="68FFD38F" w14:textId="77777777" w:rsidR="00257E1A" w:rsidRPr="003610A0" w:rsidRDefault="00257E1A" w:rsidP="0089652B">
            <w:pPr>
              <w:pStyle w:val="TableTextLeft"/>
              <w:rPr>
                <w:rFonts w:eastAsia="Calibri"/>
                <w:lang w:eastAsia="en-US"/>
              </w:rPr>
            </w:pPr>
            <w:r w:rsidRPr="003610A0">
              <w:rPr>
                <w:rFonts w:eastAsia="Calibri"/>
                <w:lang w:eastAsia="en-US"/>
              </w:rPr>
              <w:t>Chevron (Op</w:t>
            </w:r>
            <w:r>
              <w:rPr>
                <w:rFonts w:eastAsia="Calibri"/>
                <w:lang w:eastAsia="en-US"/>
              </w:rPr>
              <w:t>erator</w:t>
            </w:r>
            <w:r w:rsidRPr="003610A0">
              <w:rPr>
                <w:rFonts w:eastAsia="Calibri"/>
                <w:lang w:eastAsia="en-US"/>
              </w:rPr>
              <w:t>, 64.14%)</w:t>
            </w:r>
          </w:p>
          <w:p w14:paraId="3964068B" w14:textId="77777777" w:rsidR="00257E1A" w:rsidRPr="003610A0" w:rsidRDefault="00257E1A" w:rsidP="0089652B">
            <w:pPr>
              <w:pStyle w:val="TableTextLeft"/>
              <w:rPr>
                <w:rFonts w:eastAsia="Calibri"/>
                <w:lang w:eastAsia="en-US"/>
              </w:rPr>
            </w:pPr>
            <w:r w:rsidRPr="003610A0">
              <w:rPr>
                <w:rFonts w:eastAsia="Calibri"/>
                <w:lang w:eastAsia="en-US"/>
              </w:rPr>
              <w:t>KUFPEC (13.4%)</w:t>
            </w:r>
          </w:p>
          <w:p w14:paraId="4D5BCF86" w14:textId="333E84C2" w:rsidR="00257E1A" w:rsidRPr="003610A0" w:rsidRDefault="00257E1A" w:rsidP="0089652B">
            <w:pPr>
              <w:pStyle w:val="TableTextLeft"/>
              <w:rPr>
                <w:rFonts w:eastAsia="Calibri"/>
                <w:lang w:eastAsia="en-US"/>
              </w:rPr>
            </w:pPr>
            <w:r w:rsidRPr="003610A0">
              <w:rPr>
                <w:rFonts w:eastAsia="Calibri"/>
                <w:lang w:eastAsia="en-US"/>
              </w:rPr>
              <w:t>Woodside</w:t>
            </w:r>
            <w:r w:rsidR="00FE267A">
              <w:rPr>
                <w:rFonts w:eastAsia="Calibri"/>
                <w:lang w:eastAsia="en-US"/>
              </w:rPr>
              <w:t xml:space="preserve"> </w:t>
            </w:r>
            <w:r w:rsidRPr="003610A0">
              <w:rPr>
                <w:rFonts w:eastAsia="Calibri"/>
                <w:lang w:eastAsia="en-US"/>
              </w:rPr>
              <w:t>(13%)</w:t>
            </w:r>
          </w:p>
          <w:p w14:paraId="56351707" w14:textId="77777777" w:rsidR="00257E1A" w:rsidRPr="003610A0" w:rsidRDefault="00257E1A" w:rsidP="0089652B">
            <w:pPr>
              <w:pStyle w:val="TableTextLeft"/>
              <w:rPr>
                <w:rFonts w:eastAsia="Calibri"/>
                <w:lang w:eastAsia="en-US"/>
              </w:rPr>
            </w:pPr>
            <w:r w:rsidRPr="003610A0">
              <w:rPr>
                <w:rFonts w:eastAsia="Calibri"/>
                <w:lang w:eastAsia="en-US"/>
              </w:rPr>
              <w:t>Kyushu Electric Power Company (1.46%)</w:t>
            </w:r>
          </w:p>
          <w:p w14:paraId="4DC14F18" w14:textId="77777777" w:rsidR="00257E1A" w:rsidRPr="003610A0" w:rsidRDefault="00257E1A" w:rsidP="0089652B">
            <w:pPr>
              <w:pStyle w:val="TableTextLeft"/>
              <w:rPr>
                <w:rFonts w:eastAsia="Calibri"/>
                <w:lang w:eastAsia="en-US"/>
              </w:rPr>
            </w:pPr>
            <w:r w:rsidRPr="003610A0">
              <w:rPr>
                <w:rFonts w:eastAsia="Calibri"/>
                <w:lang w:eastAsia="en-US"/>
              </w:rPr>
              <w:t>PE Wheatstone Pty Ltd, part owned by TEPCO (8%)</w:t>
            </w:r>
          </w:p>
        </w:tc>
        <w:tc>
          <w:tcPr>
            <w:tcW w:w="1276" w:type="dxa"/>
            <w:tcBorders>
              <w:top w:val="single" w:sz="4" w:space="0" w:color="auto"/>
              <w:bottom w:val="single" w:sz="4" w:space="0" w:color="auto"/>
            </w:tcBorders>
            <w:shd w:val="clear" w:color="auto" w:fill="auto"/>
            <w:tcMar>
              <w:left w:w="85" w:type="dxa"/>
              <w:right w:w="85" w:type="dxa"/>
            </w:tcMar>
            <w:vAlign w:val="center"/>
          </w:tcPr>
          <w:p w14:paraId="0C04269C" w14:textId="77777777" w:rsidR="00257E1A" w:rsidRPr="003610A0" w:rsidRDefault="00257E1A" w:rsidP="0089652B">
            <w:pPr>
              <w:pStyle w:val="TableTextLeft"/>
              <w:rPr>
                <w:rFonts w:eastAsia="Calibri"/>
                <w:lang w:eastAsia="en-US"/>
              </w:rPr>
            </w:pPr>
            <w:r w:rsidRPr="003610A0">
              <w:rPr>
                <w:rFonts w:eastAsia="Calibri"/>
                <w:lang w:eastAsia="en-US"/>
              </w:rPr>
              <w:t>WA</w:t>
            </w:r>
          </w:p>
          <w:p w14:paraId="1649EED0" w14:textId="77777777" w:rsidR="00257E1A" w:rsidRPr="003610A0" w:rsidRDefault="00257E1A" w:rsidP="0089652B">
            <w:pPr>
              <w:pStyle w:val="TableTextLeft"/>
              <w:rPr>
                <w:rFonts w:eastAsia="Calibri"/>
                <w:lang w:eastAsia="en-US"/>
              </w:rPr>
            </w:pPr>
            <w:r w:rsidRPr="003610A0">
              <w:rPr>
                <w:rFonts w:eastAsia="Calibri"/>
                <w:lang w:eastAsia="en-US"/>
              </w:rPr>
              <w:t>Carnarvon</w:t>
            </w:r>
            <w:r>
              <w:rPr>
                <w:rFonts w:eastAsia="Calibri"/>
                <w:lang w:eastAsia="en-US"/>
              </w:rPr>
              <w:t xml:space="preserve"> Basin</w:t>
            </w:r>
          </w:p>
          <w:p w14:paraId="2D5B679F" w14:textId="77777777" w:rsidR="00257E1A" w:rsidRPr="003610A0" w:rsidRDefault="00257E1A" w:rsidP="0089652B">
            <w:pPr>
              <w:pStyle w:val="TableTextLeft"/>
              <w:rPr>
                <w:rFonts w:eastAsia="Calibri"/>
                <w:lang w:eastAsia="en-US"/>
              </w:rPr>
            </w:pPr>
            <w:r w:rsidRPr="003610A0">
              <w:rPr>
                <w:rFonts w:eastAsia="Calibri"/>
                <w:lang w:eastAsia="en-US"/>
              </w:rPr>
              <w:t>Onslow</w:t>
            </w:r>
          </w:p>
        </w:tc>
        <w:tc>
          <w:tcPr>
            <w:tcW w:w="1276" w:type="dxa"/>
            <w:tcBorders>
              <w:top w:val="single" w:sz="4" w:space="0" w:color="auto"/>
              <w:bottom w:val="single" w:sz="4" w:space="0" w:color="auto"/>
            </w:tcBorders>
            <w:shd w:val="clear" w:color="auto" w:fill="auto"/>
            <w:tcMar>
              <w:left w:w="85" w:type="dxa"/>
              <w:right w:w="85" w:type="dxa"/>
            </w:tcMar>
            <w:vAlign w:val="center"/>
          </w:tcPr>
          <w:p w14:paraId="26A3123C" w14:textId="77777777" w:rsidR="00257E1A" w:rsidRPr="003610A0" w:rsidRDefault="00257E1A" w:rsidP="0089652B">
            <w:pPr>
              <w:pStyle w:val="TableTextLeft"/>
              <w:rPr>
                <w:rFonts w:eastAsia="Calibri"/>
                <w:lang w:eastAsia="en-US"/>
              </w:rPr>
            </w:pPr>
            <w:r w:rsidRPr="003610A0">
              <w:rPr>
                <w:rFonts w:eastAsia="Calibri"/>
                <w:lang w:eastAsia="en-US"/>
              </w:rPr>
              <w:t>FID Sept 2011</w:t>
            </w:r>
          </w:p>
          <w:p w14:paraId="58FF489C" w14:textId="77777777" w:rsidR="00257E1A" w:rsidRPr="003610A0" w:rsidRDefault="00257E1A" w:rsidP="0089652B">
            <w:pPr>
              <w:pStyle w:val="TableTextLeft"/>
              <w:rPr>
                <w:rFonts w:eastAsia="Calibri"/>
                <w:lang w:eastAsia="en-US"/>
              </w:rPr>
            </w:pPr>
            <w:r w:rsidRPr="003610A0">
              <w:rPr>
                <w:rFonts w:eastAsia="Calibri"/>
                <w:lang w:eastAsia="en-US"/>
              </w:rPr>
              <w:t>FG 2017</w:t>
            </w:r>
          </w:p>
        </w:tc>
        <w:tc>
          <w:tcPr>
            <w:tcW w:w="1417" w:type="dxa"/>
            <w:tcBorders>
              <w:top w:val="single" w:sz="4" w:space="0" w:color="auto"/>
              <w:bottom w:val="single" w:sz="4" w:space="0" w:color="auto"/>
            </w:tcBorders>
            <w:shd w:val="clear" w:color="auto" w:fill="auto"/>
            <w:tcMar>
              <w:left w:w="85" w:type="dxa"/>
              <w:right w:w="85" w:type="dxa"/>
            </w:tcMar>
            <w:vAlign w:val="center"/>
          </w:tcPr>
          <w:p w14:paraId="54916715" w14:textId="77777777" w:rsidR="00257E1A" w:rsidRPr="003610A0" w:rsidRDefault="00257E1A" w:rsidP="0089652B">
            <w:pPr>
              <w:pStyle w:val="TableTextLeft"/>
              <w:rPr>
                <w:rFonts w:eastAsia="Calibri"/>
                <w:lang w:eastAsia="en-US"/>
              </w:rPr>
            </w:pPr>
            <w:r w:rsidRPr="003610A0">
              <w:rPr>
                <w:rFonts w:eastAsia="Calibri"/>
                <w:lang w:eastAsia="en-US"/>
              </w:rPr>
              <w:t xml:space="preserve">LNG: </w:t>
            </w:r>
          </w:p>
          <w:p w14:paraId="692C655F" w14:textId="77777777" w:rsidR="00257E1A" w:rsidRPr="003610A0" w:rsidRDefault="00257E1A" w:rsidP="0089652B">
            <w:pPr>
              <w:pStyle w:val="TableTextLeft"/>
              <w:rPr>
                <w:rFonts w:eastAsia="Calibri"/>
                <w:lang w:eastAsia="en-US"/>
              </w:rPr>
            </w:pPr>
            <w:r w:rsidRPr="003610A0">
              <w:rPr>
                <w:rFonts w:eastAsia="Calibri"/>
                <w:lang w:eastAsia="en-US"/>
              </w:rPr>
              <w:t>8.9Mtpa</w:t>
            </w:r>
          </w:p>
          <w:p w14:paraId="6739D80F" w14:textId="77777777" w:rsidR="00257E1A" w:rsidRPr="003610A0" w:rsidRDefault="00257E1A" w:rsidP="0089652B">
            <w:pPr>
              <w:pStyle w:val="TableTextLeft"/>
              <w:rPr>
                <w:rFonts w:eastAsia="Calibri"/>
                <w:lang w:eastAsia="en-US"/>
              </w:rPr>
            </w:pPr>
            <w:r w:rsidRPr="003610A0">
              <w:rPr>
                <w:rFonts w:eastAsia="Calibri"/>
                <w:lang w:eastAsia="en-US"/>
              </w:rPr>
              <w:t>2 trains</w:t>
            </w:r>
          </w:p>
          <w:p w14:paraId="31229C87" w14:textId="77777777" w:rsidR="00257E1A" w:rsidRPr="003610A0" w:rsidRDefault="00257E1A" w:rsidP="0089652B">
            <w:pPr>
              <w:pStyle w:val="TableTextLeft"/>
              <w:rPr>
                <w:rFonts w:eastAsia="Calibri"/>
                <w:lang w:eastAsia="en-US"/>
              </w:rPr>
            </w:pPr>
            <w:r w:rsidRPr="003610A0">
              <w:rPr>
                <w:rFonts w:eastAsia="Calibri"/>
                <w:lang w:eastAsia="en-US"/>
              </w:rPr>
              <w:t>Dom gas: 200Tj/d</w:t>
            </w:r>
          </w:p>
          <w:p w14:paraId="17DBC229" w14:textId="77777777" w:rsidR="00257E1A" w:rsidRPr="003610A0" w:rsidRDefault="00257E1A" w:rsidP="0089652B">
            <w:pPr>
              <w:pStyle w:val="TableTextLeft"/>
              <w:rPr>
                <w:rFonts w:eastAsia="Calibri"/>
                <w:lang w:eastAsia="en-US"/>
              </w:rPr>
            </w:pPr>
          </w:p>
        </w:tc>
        <w:tc>
          <w:tcPr>
            <w:tcW w:w="1004" w:type="dxa"/>
            <w:tcBorders>
              <w:top w:val="single" w:sz="4" w:space="0" w:color="auto"/>
              <w:bottom w:val="single" w:sz="4" w:space="0" w:color="auto"/>
            </w:tcBorders>
            <w:shd w:val="clear" w:color="auto" w:fill="auto"/>
            <w:tcMar>
              <w:left w:w="85" w:type="dxa"/>
              <w:right w:w="85" w:type="dxa"/>
            </w:tcMar>
            <w:vAlign w:val="center"/>
          </w:tcPr>
          <w:p w14:paraId="64B44D93" w14:textId="77777777" w:rsidR="00257E1A" w:rsidRPr="003610A0" w:rsidRDefault="00257E1A" w:rsidP="0089652B">
            <w:pPr>
              <w:pStyle w:val="TableTextLeft"/>
              <w:rPr>
                <w:rFonts w:eastAsia="Calibri"/>
                <w:lang w:eastAsia="en-US"/>
              </w:rPr>
            </w:pPr>
            <w:r w:rsidRPr="003610A0">
              <w:rPr>
                <w:rFonts w:eastAsia="Calibri"/>
                <w:lang w:eastAsia="en-US"/>
              </w:rPr>
              <w:t>US$34b</w:t>
            </w:r>
          </w:p>
          <w:p w14:paraId="7410E075" w14:textId="77777777" w:rsidR="00257E1A" w:rsidRPr="003610A0" w:rsidRDefault="00257E1A" w:rsidP="0089652B">
            <w:pPr>
              <w:pStyle w:val="TableTextLeft"/>
              <w:rPr>
                <w:rFonts w:eastAsia="Calibri"/>
                <w:lang w:eastAsia="en-US"/>
              </w:rPr>
            </w:pPr>
            <w:r w:rsidRPr="003610A0">
              <w:rPr>
                <w:rFonts w:eastAsia="Calibri"/>
                <w:lang w:eastAsia="en-US"/>
              </w:rPr>
              <w:t xml:space="preserve">Chevron </w:t>
            </w:r>
          </w:p>
        </w:tc>
      </w:tr>
      <w:tr w:rsidR="00257E1A" w:rsidRPr="003610A0" w14:paraId="10709B5E" w14:textId="77777777" w:rsidTr="0089652B">
        <w:trPr>
          <w:cantSplit/>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3346028E" w14:textId="77777777" w:rsidR="00257E1A" w:rsidRPr="003610A0" w:rsidRDefault="00257E1A" w:rsidP="0089652B">
            <w:pPr>
              <w:pStyle w:val="TableTextLeft"/>
              <w:rPr>
                <w:rFonts w:eastAsia="Calibri"/>
                <w:lang w:eastAsia="en-US"/>
              </w:rPr>
            </w:pPr>
            <w:r w:rsidRPr="003610A0">
              <w:rPr>
                <w:rFonts w:eastAsia="Calibri"/>
                <w:lang w:eastAsia="en-US"/>
              </w:rPr>
              <w:t>Ichthys</w:t>
            </w:r>
          </w:p>
          <w:p w14:paraId="1FDCCF83" w14:textId="77777777" w:rsidR="00257E1A" w:rsidRPr="003610A0" w:rsidRDefault="00257E1A" w:rsidP="0089652B">
            <w:pPr>
              <w:pStyle w:val="TableTextLeft"/>
              <w:rPr>
                <w:rFonts w:eastAsia="Calibri"/>
                <w:lang w:eastAsia="en-US"/>
              </w:rPr>
            </w:pPr>
            <w:r w:rsidRPr="003610A0">
              <w:rPr>
                <w:rFonts w:eastAsia="Calibri"/>
                <w:lang w:eastAsia="en-US"/>
              </w:rPr>
              <w:t>LNG</w:t>
            </w:r>
          </w:p>
          <w:p w14:paraId="7511AAD4" w14:textId="77777777" w:rsidR="00257E1A" w:rsidRPr="003610A0" w:rsidRDefault="00257E1A" w:rsidP="0089652B">
            <w:pPr>
              <w:pStyle w:val="TableTextLeft"/>
              <w:rPr>
                <w:rFonts w:eastAsia="Calibri"/>
                <w:lang w:eastAsia="en-US"/>
              </w:rPr>
            </w:pPr>
            <w:r w:rsidRPr="003610A0">
              <w:rPr>
                <w:rFonts w:eastAsia="Calibri"/>
                <w:lang w:eastAsia="en-US"/>
              </w:rPr>
              <w:t>Condensate</w:t>
            </w:r>
          </w:p>
        </w:tc>
        <w:tc>
          <w:tcPr>
            <w:tcW w:w="2693" w:type="dxa"/>
            <w:tcBorders>
              <w:top w:val="single" w:sz="4" w:space="0" w:color="auto"/>
              <w:bottom w:val="single" w:sz="4" w:space="0" w:color="auto"/>
            </w:tcBorders>
            <w:shd w:val="clear" w:color="auto" w:fill="auto"/>
            <w:tcMar>
              <w:left w:w="85" w:type="dxa"/>
              <w:right w:w="85" w:type="dxa"/>
            </w:tcMar>
            <w:vAlign w:val="center"/>
          </w:tcPr>
          <w:p w14:paraId="41D389D7" w14:textId="77777777" w:rsidR="00257E1A" w:rsidRPr="003610A0" w:rsidRDefault="00257E1A" w:rsidP="0089652B">
            <w:pPr>
              <w:pStyle w:val="TableTextLeft"/>
              <w:rPr>
                <w:rFonts w:eastAsia="Calibri"/>
                <w:lang w:eastAsia="en-US"/>
              </w:rPr>
            </w:pPr>
            <w:r w:rsidRPr="003610A0">
              <w:rPr>
                <w:rFonts w:eastAsia="Calibri"/>
                <w:lang w:eastAsia="en-US"/>
              </w:rPr>
              <w:t>INPEX (Op</w:t>
            </w:r>
            <w:r>
              <w:rPr>
                <w:rFonts w:eastAsia="Calibri"/>
                <w:lang w:eastAsia="en-US"/>
              </w:rPr>
              <w:t>erator</w:t>
            </w:r>
            <w:r w:rsidRPr="003610A0">
              <w:rPr>
                <w:rFonts w:eastAsia="Calibri"/>
                <w:lang w:eastAsia="en-US"/>
              </w:rPr>
              <w:t>, 62.245%)</w:t>
            </w:r>
          </w:p>
          <w:p w14:paraId="6B5BDC7D" w14:textId="77777777" w:rsidR="00257E1A" w:rsidRPr="003610A0" w:rsidRDefault="00257E1A" w:rsidP="0089652B">
            <w:pPr>
              <w:pStyle w:val="TableTextLeft"/>
              <w:rPr>
                <w:rFonts w:eastAsia="Calibri"/>
                <w:lang w:eastAsia="en-US"/>
              </w:rPr>
            </w:pPr>
            <w:r w:rsidRPr="003610A0">
              <w:rPr>
                <w:rFonts w:eastAsia="Calibri"/>
                <w:lang w:eastAsia="en-US"/>
              </w:rPr>
              <w:t>Total (30%)</w:t>
            </w:r>
          </w:p>
          <w:p w14:paraId="3E268A04" w14:textId="77777777" w:rsidR="00257E1A" w:rsidRPr="003610A0" w:rsidRDefault="00257E1A" w:rsidP="0089652B">
            <w:pPr>
              <w:pStyle w:val="TableTextLeft"/>
              <w:rPr>
                <w:rFonts w:eastAsia="Calibri"/>
                <w:lang w:eastAsia="en-US"/>
              </w:rPr>
            </w:pPr>
            <w:r w:rsidRPr="003610A0">
              <w:rPr>
                <w:rFonts w:eastAsia="Calibri"/>
                <w:lang w:eastAsia="en-US"/>
              </w:rPr>
              <w:t>CPC Corporation Taiwan (2.625%)</w:t>
            </w:r>
          </w:p>
          <w:p w14:paraId="678996CA" w14:textId="77777777" w:rsidR="00257E1A" w:rsidRPr="003610A0" w:rsidRDefault="00257E1A" w:rsidP="0089652B">
            <w:pPr>
              <w:pStyle w:val="TableTextLeft"/>
              <w:rPr>
                <w:rFonts w:eastAsia="Calibri"/>
                <w:lang w:eastAsia="en-US"/>
              </w:rPr>
            </w:pPr>
            <w:r w:rsidRPr="003610A0">
              <w:rPr>
                <w:rFonts w:eastAsia="Calibri"/>
                <w:lang w:eastAsia="en-US"/>
              </w:rPr>
              <w:t>Tokyo Gas (1.575%)</w:t>
            </w:r>
          </w:p>
          <w:p w14:paraId="246AAD55" w14:textId="77777777" w:rsidR="00257E1A" w:rsidRPr="003610A0" w:rsidRDefault="00257E1A" w:rsidP="0089652B">
            <w:pPr>
              <w:pStyle w:val="TableTextLeft"/>
              <w:rPr>
                <w:rFonts w:eastAsia="Calibri"/>
                <w:lang w:eastAsia="en-US"/>
              </w:rPr>
            </w:pPr>
            <w:r w:rsidRPr="003610A0">
              <w:rPr>
                <w:rFonts w:eastAsia="Calibri"/>
                <w:lang w:eastAsia="en-US"/>
              </w:rPr>
              <w:t>Osaka Gas (1.2%)</w:t>
            </w:r>
          </w:p>
          <w:p w14:paraId="2B886993" w14:textId="77777777" w:rsidR="00257E1A" w:rsidRPr="003610A0" w:rsidRDefault="00257E1A" w:rsidP="0089652B">
            <w:pPr>
              <w:pStyle w:val="TableTextLeft"/>
              <w:rPr>
                <w:rFonts w:eastAsia="Calibri"/>
                <w:lang w:eastAsia="en-US"/>
              </w:rPr>
            </w:pPr>
            <w:r w:rsidRPr="003610A0">
              <w:rPr>
                <w:rFonts w:eastAsia="Calibri"/>
                <w:lang w:eastAsia="en-US"/>
              </w:rPr>
              <w:t>Kansai Electric Power (1.2%)</w:t>
            </w:r>
          </w:p>
          <w:p w14:paraId="2B47021F" w14:textId="77777777" w:rsidR="00257E1A" w:rsidRPr="003610A0" w:rsidRDefault="00257E1A" w:rsidP="0089652B">
            <w:pPr>
              <w:pStyle w:val="TableTextLeft"/>
              <w:rPr>
                <w:rFonts w:eastAsia="Calibri"/>
                <w:lang w:eastAsia="en-US"/>
              </w:rPr>
            </w:pPr>
            <w:r w:rsidRPr="003610A0">
              <w:rPr>
                <w:rFonts w:eastAsia="Calibri"/>
                <w:lang w:eastAsia="en-US"/>
              </w:rPr>
              <w:t>Chubu Electric (0.735%)</w:t>
            </w:r>
          </w:p>
          <w:p w14:paraId="5E29314F" w14:textId="77777777" w:rsidR="00257E1A" w:rsidRPr="003610A0" w:rsidRDefault="00257E1A" w:rsidP="0089652B">
            <w:pPr>
              <w:pStyle w:val="TableTextLeft"/>
              <w:rPr>
                <w:rFonts w:eastAsia="Calibri"/>
                <w:lang w:eastAsia="en-US"/>
              </w:rPr>
            </w:pPr>
            <w:r w:rsidRPr="003610A0">
              <w:rPr>
                <w:rFonts w:eastAsia="Calibri"/>
                <w:lang w:eastAsia="en-US"/>
              </w:rPr>
              <w:t>Toho Gas (0.42%)</w:t>
            </w:r>
          </w:p>
        </w:tc>
        <w:tc>
          <w:tcPr>
            <w:tcW w:w="1276" w:type="dxa"/>
            <w:tcBorders>
              <w:top w:val="single" w:sz="4" w:space="0" w:color="auto"/>
              <w:bottom w:val="single" w:sz="4" w:space="0" w:color="auto"/>
            </w:tcBorders>
            <w:shd w:val="clear" w:color="auto" w:fill="auto"/>
            <w:tcMar>
              <w:left w:w="85" w:type="dxa"/>
              <w:right w:w="85" w:type="dxa"/>
            </w:tcMar>
            <w:vAlign w:val="center"/>
          </w:tcPr>
          <w:p w14:paraId="6D557991" w14:textId="77777777" w:rsidR="00257E1A" w:rsidRPr="003610A0" w:rsidRDefault="00257E1A" w:rsidP="0089652B">
            <w:pPr>
              <w:pStyle w:val="TableTextLeft"/>
              <w:rPr>
                <w:rFonts w:eastAsia="Calibri"/>
                <w:lang w:eastAsia="en-US"/>
              </w:rPr>
            </w:pPr>
            <w:r w:rsidRPr="003610A0">
              <w:rPr>
                <w:rFonts w:eastAsia="Calibri"/>
                <w:lang w:eastAsia="en-US"/>
              </w:rPr>
              <w:t>WA</w:t>
            </w:r>
          </w:p>
          <w:p w14:paraId="03258FAA" w14:textId="77777777" w:rsidR="00257E1A" w:rsidRPr="003610A0" w:rsidRDefault="00257E1A" w:rsidP="0089652B">
            <w:pPr>
              <w:pStyle w:val="TableTextLeft"/>
              <w:rPr>
                <w:rFonts w:eastAsia="Calibri"/>
                <w:lang w:eastAsia="en-US"/>
              </w:rPr>
            </w:pPr>
            <w:r w:rsidRPr="003610A0">
              <w:rPr>
                <w:rFonts w:eastAsia="Calibri"/>
                <w:lang w:eastAsia="en-US"/>
              </w:rPr>
              <w:t>Browse</w:t>
            </w:r>
            <w:r>
              <w:rPr>
                <w:rFonts w:eastAsia="Calibri"/>
                <w:lang w:eastAsia="en-US"/>
              </w:rPr>
              <w:t xml:space="preserve"> Basin</w:t>
            </w:r>
          </w:p>
          <w:p w14:paraId="53051418" w14:textId="77777777" w:rsidR="00257E1A" w:rsidRPr="003610A0" w:rsidRDefault="00257E1A" w:rsidP="0089652B">
            <w:pPr>
              <w:pStyle w:val="TableTextLeft"/>
              <w:rPr>
                <w:rFonts w:eastAsia="Calibri"/>
                <w:lang w:eastAsia="en-US"/>
              </w:rPr>
            </w:pPr>
            <w:r w:rsidRPr="003610A0">
              <w:rPr>
                <w:rFonts w:eastAsia="Calibri"/>
                <w:lang w:eastAsia="en-US"/>
              </w:rPr>
              <w:t>Darwin</w:t>
            </w:r>
          </w:p>
        </w:tc>
        <w:tc>
          <w:tcPr>
            <w:tcW w:w="1276" w:type="dxa"/>
            <w:tcBorders>
              <w:top w:val="single" w:sz="4" w:space="0" w:color="auto"/>
              <w:bottom w:val="single" w:sz="4" w:space="0" w:color="auto"/>
            </w:tcBorders>
            <w:shd w:val="clear" w:color="auto" w:fill="auto"/>
            <w:tcMar>
              <w:left w:w="85" w:type="dxa"/>
              <w:right w:w="85" w:type="dxa"/>
            </w:tcMar>
            <w:vAlign w:val="center"/>
          </w:tcPr>
          <w:p w14:paraId="04E0C46D" w14:textId="77777777" w:rsidR="00257E1A" w:rsidRPr="003610A0" w:rsidRDefault="00257E1A" w:rsidP="0089652B">
            <w:pPr>
              <w:pStyle w:val="TableTextLeft"/>
              <w:rPr>
                <w:rFonts w:eastAsia="Calibri"/>
                <w:lang w:eastAsia="en-US"/>
              </w:rPr>
            </w:pPr>
            <w:r w:rsidRPr="003610A0">
              <w:rPr>
                <w:rFonts w:eastAsia="Calibri"/>
                <w:lang w:eastAsia="en-US"/>
              </w:rPr>
              <w:t>FID Jan 2012</w:t>
            </w:r>
          </w:p>
          <w:p w14:paraId="3DDC3CB3" w14:textId="77777777" w:rsidR="00257E1A" w:rsidRPr="003610A0" w:rsidRDefault="00257E1A" w:rsidP="0089652B">
            <w:pPr>
              <w:pStyle w:val="TableTextLeft"/>
              <w:rPr>
                <w:rFonts w:eastAsia="Calibri"/>
                <w:lang w:eastAsia="en-US"/>
              </w:rPr>
            </w:pPr>
            <w:r w:rsidRPr="003610A0">
              <w:rPr>
                <w:rFonts w:eastAsia="Calibri"/>
                <w:lang w:eastAsia="en-US"/>
              </w:rPr>
              <w:t>FG 2017</w:t>
            </w:r>
          </w:p>
        </w:tc>
        <w:tc>
          <w:tcPr>
            <w:tcW w:w="1417" w:type="dxa"/>
            <w:tcBorders>
              <w:top w:val="single" w:sz="4" w:space="0" w:color="auto"/>
              <w:bottom w:val="single" w:sz="4" w:space="0" w:color="auto"/>
            </w:tcBorders>
            <w:shd w:val="clear" w:color="auto" w:fill="auto"/>
            <w:tcMar>
              <w:left w:w="85" w:type="dxa"/>
              <w:right w:w="85" w:type="dxa"/>
            </w:tcMar>
            <w:vAlign w:val="center"/>
          </w:tcPr>
          <w:p w14:paraId="45117439" w14:textId="77777777" w:rsidR="00257E1A" w:rsidRPr="003610A0" w:rsidRDefault="00257E1A" w:rsidP="0089652B">
            <w:pPr>
              <w:pStyle w:val="TableTextLeft"/>
              <w:rPr>
                <w:rFonts w:eastAsia="Calibri"/>
                <w:lang w:eastAsia="en-US"/>
              </w:rPr>
            </w:pPr>
            <w:r w:rsidRPr="003610A0">
              <w:rPr>
                <w:rFonts w:eastAsia="Calibri"/>
                <w:lang w:eastAsia="en-US"/>
              </w:rPr>
              <w:t>8.9Mtpa</w:t>
            </w:r>
          </w:p>
          <w:p w14:paraId="49A47657" w14:textId="77777777" w:rsidR="00257E1A" w:rsidRPr="003610A0" w:rsidRDefault="00257E1A" w:rsidP="0089652B">
            <w:pPr>
              <w:pStyle w:val="TableTextLeft"/>
              <w:rPr>
                <w:rFonts w:eastAsia="Calibri"/>
                <w:lang w:eastAsia="en-US"/>
              </w:rPr>
            </w:pPr>
            <w:r w:rsidRPr="003610A0">
              <w:rPr>
                <w:rFonts w:eastAsia="Calibri"/>
                <w:lang w:eastAsia="en-US"/>
              </w:rPr>
              <w:t>2 trains</w:t>
            </w:r>
          </w:p>
        </w:tc>
        <w:tc>
          <w:tcPr>
            <w:tcW w:w="1004" w:type="dxa"/>
            <w:tcBorders>
              <w:top w:val="single" w:sz="4" w:space="0" w:color="auto"/>
              <w:bottom w:val="single" w:sz="4" w:space="0" w:color="auto"/>
            </w:tcBorders>
            <w:shd w:val="clear" w:color="auto" w:fill="auto"/>
            <w:tcMar>
              <w:left w:w="85" w:type="dxa"/>
              <w:right w:w="85" w:type="dxa"/>
            </w:tcMar>
            <w:vAlign w:val="center"/>
          </w:tcPr>
          <w:p w14:paraId="455CB3F5" w14:textId="77777777" w:rsidR="00257E1A" w:rsidRPr="003610A0" w:rsidRDefault="00257E1A" w:rsidP="0089652B">
            <w:pPr>
              <w:pStyle w:val="TableTextLeft"/>
              <w:rPr>
                <w:rFonts w:eastAsia="Calibri"/>
                <w:lang w:eastAsia="en-US"/>
              </w:rPr>
            </w:pPr>
            <w:r w:rsidRPr="003610A0">
              <w:rPr>
                <w:rFonts w:eastAsia="Calibri"/>
                <w:lang w:eastAsia="en-US"/>
              </w:rPr>
              <w:t>US$37.4b INPEX</w:t>
            </w:r>
          </w:p>
        </w:tc>
      </w:tr>
      <w:tr w:rsidR="00257E1A" w:rsidRPr="003610A0" w14:paraId="345917B6"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4B052510" w14:textId="77777777" w:rsidR="00257E1A" w:rsidRPr="003610A0" w:rsidRDefault="00257E1A" w:rsidP="0089652B">
            <w:pPr>
              <w:pStyle w:val="TableTextLeft"/>
              <w:rPr>
                <w:rFonts w:eastAsia="Calibri"/>
                <w:lang w:eastAsia="en-US"/>
              </w:rPr>
            </w:pPr>
            <w:r w:rsidRPr="003610A0">
              <w:rPr>
                <w:rFonts w:eastAsia="Calibri"/>
                <w:lang w:eastAsia="en-US"/>
              </w:rPr>
              <w:t>Prelude Floating LNG</w:t>
            </w:r>
          </w:p>
          <w:p w14:paraId="1F6BAE55" w14:textId="77777777" w:rsidR="00257E1A" w:rsidRPr="003610A0" w:rsidRDefault="00257E1A" w:rsidP="0089652B">
            <w:pPr>
              <w:pStyle w:val="TableTextLeft"/>
              <w:rPr>
                <w:rFonts w:eastAsia="Calibri"/>
                <w:lang w:eastAsia="en-US"/>
              </w:rPr>
            </w:pPr>
            <w:r w:rsidRPr="003610A0">
              <w:rPr>
                <w:rFonts w:eastAsia="Calibri"/>
                <w:lang w:eastAsia="en-US"/>
              </w:rPr>
              <w:t>Condensate</w:t>
            </w:r>
          </w:p>
        </w:tc>
        <w:tc>
          <w:tcPr>
            <w:tcW w:w="2693" w:type="dxa"/>
            <w:tcBorders>
              <w:top w:val="single" w:sz="4" w:space="0" w:color="auto"/>
              <w:bottom w:val="single" w:sz="4" w:space="0" w:color="auto"/>
            </w:tcBorders>
            <w:shd w:val="clear" w:color="auto" w:fill="auto"/>
            <w:tcMar>
              <w:left w:w="85" w:type="dxa"/>
              <w:right w:w="85" w:type="dxa"/>
            </w:tcMar>
            <w:vAlign w:val="center"/>
          </w:tcPr>
          <w:p w14:paraId="010BAC5A" w14:textId="77777777" w:rsidR="00257E1A" w:rsidRPr="003610A0" w:rsidRDefault="00257E1A" w:rsidP="0089652B">
            <w:pPr>
              <w:pStyle w:val="TableTextLeft"/>
              <w:rPr>
                <w:rFonts w:eastAsia="Calibri"/>
                <w:lang w:eastAsia="en-US"/>
              </w:rPr>
            </w:pPr>
            <w:r w:rsidRPr="003610A0">
              <w:rPr>
                <w:rFonts w:eastAsia="Calibri"/>
                <w:lang w:eastAsia="en-US"/>
              </w:rPr>
              <w:t>Shell (Op</w:t>
            </w:r>
            <w:r>
              <w:rPr>
                <w:rFonts w:eastAsia="Calibri"/>
                <w:lang w:eastAsia="en-US"/>
              </w:rPr>
              <w:t>erator</w:t>
            </w:r>
            <w:r w:rsidRPr="003610A0">
              <w:rPr>
                <w:rFonts w:eastAsia="Calibri"/>
                <w:lang w:eastAsia="en-US"/>
              </w:rPr>
              <w:t>, 67.5%)</w:t>
            </w:r>
          </w:p>
          <w:p w14:paraId="37DFB863" w14:textId="77777777" w:rsidR="00257E1A" w:rsidRPr="003610A0" w:rsidRDefault="00257E1A" w:rsidP="0089652B">
            <w:pPr>
              <w:pStyle w:val="TableTextLeft"/>
              <w:rPr>
                <w:rFonts w:eastAsia="Calibri"/>
                <w:lang w:eastAsia="en-US"/>
              </w:rPr>
            </w:pPr>
            <w:r w:rsidRPr="003610A0">
              <w:rPr>
                <w:rFonts w:eastAsia="Calibri"/>
                <w:lang w:eastAsia="en-US"/>
              </w:rPr>
              <w:t>INPEX (17.5%)</w:t>
            </w:r>
          </w:p>
          <w:p w14:paraId="1CB17094" w14:textId="77777777" w:rsidR="00257E1A" w:rsidRPr="003610A0" w:rsidRDefault="00257E1A" w:rsidP="0089652B">
            <w:pPr>
              <w:pStyle w:val="TableTextLeft"/>
              <w:rPr>
                <w:rFonts w:eastAsia="Calibri"/>
                <w:lang w:eastAsia="en-US"/>
              </w:rPr>
            </w:pPr>
            <w:r w:rsidRPr="003610A0">
              <w:rPr>
                <w:rFonts w:eastAsia="Calibri"/>
                <w:lang w:eastAsia="en-US"/>
              </w:rPr>
              <w:t>KOGAS (10%)</w:t>
            </w:r>
          </w:p>
          <w:p w14:paraId="5E38AF10" w14:textId="77777777" w:rsidR="00257E1A" w:rsidRPr="003610A0" w:rsidRDefault="00257E1A" w:rsidP="0089652B">
            <w:pPr>
              <w:pStyle w:val="TableTextLeft"/>
              <w:rPr>
                <w:rFonts w:eastAsia="Calibri"/>
                <w:lang w:eastAsia="en-US"/>
              </w:rPr>
            </w:pPr>
            <w:r w:rsidRPr="003610A0">
              <w:rPr>
                <w:rFonts w:eastAsia="Calibri"/>
                <w:lang w:eastAsia="en-US"/>
              </w:rPr>
              <w:t>OPIC (CPC Taiwan) (5%)</w:t>
            </w:r>
          </w:p>
        </w:tc>
        <w:tc>
          <w:tcPr>
            <w:tcW w:w="1276" w:type="dxa"/>
            <w:tcBorders>
              <w:top w:val="single" w:sz="4" w:space="0" w:color="auto"/>
              <w:bottom w:val="single" w:sz="4" w:space="0" w:color="auto"/>
            </w:tcBorders>
            <w:shd w:val="clear" w:color="auto" w:fill="auto"/>
            <w:tcMar>
              <w:left w:w="85" w:type="dxa"/>
              <w:right w:w="85" w:type="dxa"/>
            </w:tcMar>
            <w:vAlign w:val="center"/>
          </w:tcPr>
          <w:p w14:paraId="3FA0D5B9" w14:textId="77777777" w:rsidR="00257E1A" w:rsidRPr="003610A0" w:rsidRDefault="00257E1A" w:rsidP="0089652B">
            <w:pPr>
              <w:pStyle w:val="TableTextLeft"/>
              <w:rPr>
                <w:rFonts w:eastAsia="Calibri"/>
                <w:lang w:eastAsia="en-US"/>
              </w:rPr>
            </w:pPr>
            <w:r w:rsidRPr="003610A0">
              <w:rPr>
                <w:rFonts w:eastAsia="Calibri"/>
                <w:lang w:eastAsia="en-US"/>
              </w:rPr>
              <w:t>WA</w:t>
            </w:r>
          </w:p>
          <w:p w14:paraId="1833FD0A" w14:textId="77777777" w:rsidR="00257E1A" w:rsidRPr="003610A0" w:rsidRDefault="00257E1A" w:rsidP="0089652B">
            <w:pPr>
              <w:pStyle w:val="TableTextLeft"/>
              <w:rPr>
                <w:rFonts w:eastAsia="Calibri"/>
                <w:lang w:eastAsia="en-US"/>
              </w:rPr>
            </w:pPr>
            <w:r w:rsidRPr="003610A0">
              <w:rPr>
                <w:rFonts w:eastAsia="Calibri"/>
                <w:lang w:eastAsia="en-US"/>
              </w:rPr>
              <w:t>Browse</w:t>
            </w:r>
            <w:r>
              <w:rPr>
                <w:rFonts w:eastAsia="Calibri"/>
                <w:lang w:eastAsia="en-US"/>
              </w:rPr>
              <w:t xml:space="preserve"> Basin</w:t>
            </w:r>
          </w:p>
          <w:p w14:paraId="1D7F3284" w14:textId="77777777" w:rsidR="00257E1A" w:rsidRPr="003610A0" w:rsidRDefault="00257E1A" w:rsidP="0089652B">
            <w:pPr>
              <w:pStyle w:val="TableTextLeft"/>
              <w:rPr>
                <w:rFonts w:eastAsia="Calibri"/>
                <w:lang w:eastAsia="en-US"/>
              </w:rPr>
            </w:pPr>
            <w:r w:rsidRPr="003610A0">
              <w:rPr>
                <w:rFonts w:eastAsia="Calibri"/>
                <w:lang w:eastAsia="en-US"/>
              </w:rPr>
              <w:t>FLNG</w:t>
            </w:r>
          </w:p>
        </w:tc>
        <w:tc>
          <w:tcPr>
            <w:tcW w:w="1276" w:type="dxa"/>
            <w:tcBorders>
              <w:top w:val="single" w:sz="4" w:space="0" w:color="auto"/>
              <w:bottom w:val="single" w:sz="4" w:space="0" w:color="auto"/>
            </w:tcBorders>
            <w:shd w:val="clear" w:color="auto" w:fill="auto"/>
            <w:tcMar>
              <w:left w:w="85" w:type="dxa"/>
              <w:right w:w="85" w:type="dxa"/>
            </w:tcMar>
            <w:vAlign w:val="center"/>
          </w:tcPr>
          <w:p w14:paraId="33C1A92D" w14:textId="77777777" w:rsidR="00257E1A" w:rsidRPr="003610A0" w:rsidRDefault="00257E1A" w:rsidP="0089652B">
            <w:pPr>
              <w:pStyle w:val="TableTextLeft"/>
              <w:rPr>
                <w:rFonts w:eastAsia="Calibri"/>
                <w:lang w:eastAsia="en-US"/>
              </w:rPr>
            </w:pPr>
            <w:r w:rsidRPr="003610A0">
              <w:rPr>
                <w:rFonts w:eastAsia="Calibri"/>
                <w:lang w:eastAsia="en-US"/>
              </w:rPr>
              <w:t>FID May 2011</w:t>
            </w:r>
          </w:p>
          <w:p w14:paraId="2783F82B" w14:textId="77777777" w:rsidR="00257E1A" w:rsidRPr="003610A0" w:rsidRDefault="00257E1A" w:rsidP="0089652B">
            <w:pPr>
              <w:pStyle w:val="TableTextLeft"/>
              <w:rPr>
                <w:rFonts w:eastAsia="Calibri"/>
                <w:lang w:eastAsia="en-US"/>
              </w:rPr>
            </w:pPr>
            <w:r w:rsidRPr="003610A0">
              <w:rPr>
                <w:rFonts w:eastAsia="Calibri"/>
                <w:lang w:eastAsia="en-US"/>
              </w:rPr>
              <w:t>FG 2017</w:t>
            </w:r>
            <w:r>
              <w:rPr>
                <w:rFonts w:eastAsia="Calibri"/>
                <w:lang w:eastAsia="en-US"/>
              </w:rPr>
              <w:t>/18</w:t>
            </w:r>
          </w:p>
        </w:tc>
        <w:tc>
          <w:tcPr>
            <w:tcW w:w="1417" w:type="dxa"/>
            <w:tcBorders>
              <w:top w:val="single" w:sz="4" w:space="0" w:color="auto"/>
              <w:bottom w:val="single" w:sz="4" w:space="0" w:color="auto"/>
            </w:tcBorders>
            <w:shd w:val="clear" w:color="auto" w:fill="auto"/>
            <w:tcMar>
              <w:left w:w="85" w:type="dxa"/>
              <w:right w:w="85" w:type="dxa"/>
            </w:tcMar>
            <w:vAlign w:val="center"/>
          </w:tcPr>
          <w:p w14:paraId="0CD454C7" w14:textId="77777777" w:rsidR="00257E1A" w:rsidRPr="003610A0" w:rsidRDefault="00257E1A" w:rsidP="0089652B">
            <w:pPr>
              <w:pStyle w:val="TableTextLeft"/>
              <w:rPr>
                <w:rFonts w:eastAsia="Calibri"/>
                <w:lang w:eastAsia="en-US"/>
              </w:rPr>
            </w:pPr>
            <w:r w:rsidRPr="003610A0">
              <w:rPr>
                <w:rFonts w:eastAsia="Calibri"/>
                <w:lang w:eastAsia="en-US"/>
              </w:rPr>
              <w:t>3.6Mtpa</w:t>
            </w:r>
          </w:p>
          <w:p w14:paraId="48C510E3" w14:textId="77777777" w:rsidR="00257E1A" w:rsidRPr="003610A0" w:rsidRDefault="00257E1A" w:rsidP="0089652B">
            <w:pPr>
              <w:pStyle w:val="TableTextLeft"/>
              <w:rPr>
                <w:rFonts w:eastAsia="Calibri"/>
                <w:lang w:eastAsia="en-US"/>
              </w:rPr>
            </w:pPr>
            <w:r w:rsidRPr="003610A0">
              <w:rPr>
                <w:rFonts w:eastAsia="Calibri"/>
                <w:lang w:eastAsia="en-US"/>
              </w:rPr>
              <w:t>1 train</w:t>
            </w:r>
          </w:p>
          <w:p w14:paraId="4B25AFF4" w14:textId="77777777" w:rsidR="00257E1A" w:rsidRPr="003610A0" w:rsidRDefault="00257E1A" w:rsidP="0089652B">
            <w:pPr>
              <w:pStyle w:val="TableTextLeft"/>
              <w:rPr>
                <w:rFonts w:eastAsia="Calibri"/>
                <w:lang w:eastAsia="en-US"/>
              </w:rPr>
            </w:pPr>
            <w:r>
              <w:rPr>
                <w:rFonts w:eastAsia="Calibri"/>
                <w:lang w:eastAsia="en-US"/>
              </w:rPr>
              <w:t>F</w:t>
            </w:r>
            <w:r w:rsidRPr="003610A0">
              <w:rPr>
                <w:rFonts w:eastAsia="Calibri"/>
                <w:lang w:eastAsia="en-US"/>
              </w:rPr>
              <w:t xml:space="preserve">LNG </w:t>
            </w:r>
          </w:p>
        </w:tc>
        <w:tc>
          <w:tcPr>
            <w:tcW w:w="1004" w:type="dxa"/>
            <w:tcBorders>
              <w:top w:val="single" w:sz="4" w:space="0" w:color="auto"/>
              <w:bottom w:val="single" w:sz="4" w:space="0" w:color="auto"/>
            </w:tcBorders>
            <w:shd w:val="clear" w:color="auto" w:fill="auto"/>
            <w:tcMar>
              <w:left w:w="85" w:type="dxa"/>
              <w:right w:w="85" w:type="dxa"/>
            </w:tcMar>
            <w:vAlign w:val="center"/>
          </w:tcPr>
          <w:p w14:paraId="7FDBF529" w14:textId="77777777" w:rsidR="00257E1A" w:rsidRPr="003610A0" w:rsidRDefault="00257E1A" w:rsidP="0089652B">
            <w:pPr>
              <w:pStyle w:val="TableTextLeft"/>
              <w:rPr>
                <w:rFonts w:eastAsia="Calibri"/>
                <w:lang w:eastAsia="en-US"/>
              </w:rPr>
            </w:pPr>
            <w:r w:rsidRPr="003610A0">
              <w:rPr>
                <w:rFonts w:eastAsia="Calibri"/>
                <w:lang w:eastAsia="en-US"/>
              </w:rPr>
              <w:t>US$12.6b estimate</w:t>
            </w:r>
          </w:p>
        </w:tc>
      </w:tr>
      <w:tr w:rsidR="00257E1A" w:rsidRPr="003610A0" w14:paraId="75CE605D" w14:textId="77777777" w:rsidTr="0089652B">
        <w:trPr>
          <w:trHeight w:val="105"/>
          <w:jc w:val="center"/>
        </w:trPr>
        <w:tc>
          <w:tcPr>
            <w:tcW w:w="9099" w:type="dxa"/>
            <w:gridSpan w:val="6"/>
            <w:tcBorders>
              <w:top w:val="single" w:sz="4" w:space="0" w:color="auto"/>
              <w:bottom w:val="single" w:sz="4" w:space="0" w:color="auto"/>
            </w:tcBorders>
            <w:shd w:val="clear" w:color="auto" w:fill="auto"/>
            <w:tcMar>
              <w:left w:w="85" w:type="dxa"/>
              <w:right w:w="85" w:type="dxa"/>
            </w:tcMar>
            <w:vAlign w:val="center"/>
          </w:tcPr>
          <w:p w14:paraId="58EF77A8" w14:textId="77777777" w:rsidR="00257E1A" w:rsidRPr="003610A0" w:rsidRDefault="00257E1A" w:rsidP="0089652B">
            <w:pPr>
              <w:pStyle w:val="TableColumnHeadingLeft"/>
              <w:rPr>
                <w:rFonts w:eastAsia="Calibri"/>
                <w:lang w:eastAsia="en-US"/>
              </w:rPr>
            </w:pPr>
            <w:r w:rsidRPr="003610A0">
              <w:rPr>
                <w:rFonts w:eastAsia="Calibri"/>
                <w:lang w:eastAsia="en-US"/>
              </w:rPr>
              <w:t>In Planning</w:t>
            </w:r>
          </w:p>
        </w:tc>
      </w:tr>
      <w:tr w:rsidR="00257E1A" w:rsidRPr="003610A0" w14:paraId="69F3EDD3"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0953C50D" w14:textId="77777777" w:rsidR="00257E1A" w:rsidRPr="003610A0" w:rsidRDefault="00257E1A" w:rsidP="0089652B">
            <w:pPr>
              <w:pStyle w:val="TableTextLeft"/>
              <w:rPr>
                <w:rFonts w:eastAsia="Calibri"/>
                <w:lang w:eastAsia="en-US"/>
              </w:rPr>
            </w:pPr>
            <w:r w:rsidRPr="003610A0">
              <w:rPr>
                <w:rFonts w:eastAsia="Calibri"/>
                <w:lang w:eastAsia="en-US"/>
              </w:rPr>
              <w:t>Browse</w:t>
            </w:r>
          </w:p>
          <w:p w14:paraId="6DBB4189" w14:textId="77777777" w:rsidR="00257E1A" w:rsidRPr="003610A0" w:rsidRDefault="00257E1A" w:rsidP="0089652B">
            <w:pPr>
              <w:pStyle w:val="TableTextLeft"/>
              <w:rPr>
                <w:rFonts w:eastAsia="Calibri"/>
                <w:lang w:eastAsia="en-US"/>
              </w:rPr>
            </w:pPr>
            <w:r w:rsidRPr="003610A0">
              <w:rPr>
                <w:rFonts w:eastAsia="Calibri"/>
                <w:lang w:eastAsia="en-US"/>
              </w:rPr>
              <w:t>LNG</w:t>
            </w:r>
          </w:p>
          <w:p w14:paraId="43CE1F5A" w14:textId="77777777" w:rsidR="00257E1A" w:rsidRPr="003610A0" w:rsidRDefault="00257E1A" w:rsidP="0089652B">
            <w:pPr>
              <w:pStyle w:val="TableTextLeft"/>
              <w:rPr>
                <w:rFonts w:eastAsia="Calibri"/>
                <w:lang w:eastAsia="en-US"/>
              </w:rPr>
            </w:pPr>
            <w:r w:rsidRPr="003610A0">
              <w:rPr>
                <w:rFonts w:eastAsia="Calibri"/>
                <w:lang w:eastAsia="en-US"/>
              </w:rPr>
              <w:t>Condensate</w:t>
            </w:r>
          </w:p>
          <w:p w14:paraId="55959FD4" w14:textId="77777777" w:rsidR="00257E1A" w:rsidRPr="003610A0" w:rsidRDefault="00257E1A" w:rsidP="0089652B">
            <w:pPr>
              <w:pStyle w:val="TableTextLeft"/>
              <w:rPr>
                <w:rFonts w:eastAsia="Calibri"/>
                <w:lang w:eastAsia="en-US"/>
              </w:rPr>
            </w:pPr>
          </w:p>
        </w:tc>
        <w:tc>
          <w:tcPr>
            <w:tcW w:w="2693" w:type="dxa"/>
            <w:tcBorders>
              <w:top w:val="single" w:sz="4" w:space="0" w:color="auto"/>
              <w:bottom w:val="single" w:sz="4" w:space="0" w:color="auto"/>
            </w:tcBorders>
            <w:shd w:val="clear" w:color="auto" w:fill="auto"/>
            <w:tcMar>
              <w:left w:w="85" w:type="dxa"/>
              <w:right w:w="85" w:type="dxa"/>
            </w:tcMar>
            <w:vAlign w:val="center"/>
          </w:tcPr>
          <w:p w14:paraId="68216393" w14:textId="48F931A9" w:rsidR="00257E1A" w:rsidRPr="003610A0" w:rsidRDefault="00257E1A" w:rsidP="0089652B">
            <w:pPr>
              <w:pStyle w:val="TableTextLeft"/>
              <w:rPr>
                <w:rFonts w:eastAsia="Calibri"/>
                <w:lang w:eastAsia="en-US"/>
              </w:rPr>
            </w:pPr>
            <w:r w:rsidRPr="003610A0">
              <w:rPr>
                <w:rFonts w:eastAsia="Calibri"/>
                <w:lang w:eastAsia="en-US"/>
              </w:rPr>
              <w:t>Woodside (Op</w:t>
            </w:r>
            <w:r>
              <w:rPr>
                <w:rFonts w:eastAsia="Calibri"/>
                <w:lang w:eastAsia="en-US"/>
              </w:rPr>
              <w:t>erator</w:t>
            </w:r>
            <w:r w:rsidR="00807D31">
              <w:rPr>
                <w:rFonts w:eastAsia="Calibri"/>
                <w:lang w:eastAsia="en-US"/>
              </w:rPr>
              <w:t>,</w:t>
            </w:r>
            <w:r>
              <w:rPr>
                <w:rFonts w:eastAsia="Calibri"/>
                <w:lang w:eastAsia="en-US"/>
              </w:rPr>
              <w:t xml:space="preserve"> </w:t>
            </w:r>
            <w:r w:rsidRPr="003610A0">
              <w:rPr>
                <w:rFonts w:eastAsia="Calibri"/>
                <w:lang w:eastAsia="en-US"/>
              </w:rPr>
              <w:t>30</w:t>
            </w:r>
            <w:r w:rsidR="00352E48">
              <w:rPr>
                <w:rFonts w:eastAsia="Calibri"/>
                <w:lang w:eastAsia="en-US"/>
              </w:rPr>
              <w:t>.6</w:t>
            </w:r>
            <w:r w:rsidRPr="003610A0">
              <w:rPr>
                <w:rFonts w:eastAsia="Calibri"/>
                <w:lang w:eastAsia="en-US"/>
              </w:rPr>
              <w:t>%)</w:t>
            </w:r>
          </w:p>
          <w:p w14:paraId="63F5FD41" w14:textId="77777777" w:rsidR="00257E1A" w:rsidRPr="003610A0" w:rsidRDefault="00257E1A" w:rsidP="0089652B">
            <w:pPr>
              <w:pStyle w:val="TableTextLeft"/>
              <w:rPr>
                <w:rFonts w:eastAsia="Calibri"/>
                <w:lang w:eastAsia="en-US"/>
              </w:rPr>
            </w:pPr>
            <w:r w:rsidRPr="003610A0">
              <w:rPr>
                <w:rFonts w:eastAsia="Calibri"/>
                <w:lang w:eastAsia="en-US"/>
              </w:rPr>
              <w:t>Shell (27%)</w:t>
            </w:r>
          </w:p>
          <w:p w14:paraId="6F01944E" w14:textId="77777777" w:rsidR="00257E1A" w:rsidRPr="003610A0" w:rsidRDefault="00257E1A" w:rsidP="0089652B">
            <w:pPr>
              <w:pStyle w:val="TableTextLeft"/>
              <w:rPr>
                <w:rFonts w:eastAsia="Calibri"/>
                <w:lang w:eastAsia="en-US"/>
              </w:rPr>
            </w:pPr>
            <w:r w:rsidRPr="003610A0">
              <w:rPr>
                <w:rFonts w:eastAsia="Calibri"/>
                <w:lang w:eastAsia="en-US"/>
              </w:rPr>
              <w:t>BP (17.33%)</w:t>
            </w:r>
          </w:p>
          <w:p w14:paraId="2AA3718B" w14:textId="77777777" w:rsidR="00257E1A" w:rsidRPr="003610A0" w:rsidRDefault="00257E1A" w:rsidP="0089652B">
            <w:pPr>
              <w:pStyle w:val="TableTextLeft"/>
              <w:rPr>
                <w:rFonts w:eastAsia="Calibri"/>
                <w:lang w:eastAsia="en-US"/>
              </w:rPr>
            </w:pPr>
            <w:r w:rsidRPr="003610A0">
              <w:rPr>
                <w:rFonts w:eastAsia="Calibri"/>
                <w:lang w:eastAsia="en-US"/>
              </w:rPr>
              <w:t>MIMI (14.4%)</w:t>
            </w:r>
          </w:p>
          <w:p w14:paraId="5B47A90D" w14:textId="77777777" w:rsidR="00257E1A" w:rsidRPr="003610A0" w:rsidRDefault="00257E1A" w:rsidP="0089652B">
            <w:pPr>
              <w:pStyle w:val="TableTextLeft"/>
              <w:rPr>
                <w:rFonts w:eastAsia="Calibri"/>
                <w:lang w:eastAsia="en-US"/>
              </w:rPr>
            </w:pPr>
            <w:r w:rsidRPr="003610A0">
              <w:rPr>
                <w:rFonts w:eastAsia="Calibri"/>
                <w:lang w:eastAsia="en-US"/>
              </w:rPr>
              <w:t>PetroChina (10.67%)</w:t>
            </w:r>
          </w:p>
        </w:tc>
        <w:tc>
          <w:tcPr>
            <w:tcW w:w="1276" w:type="dxa"/>
            <w:tcBorders>
              <w:top w:val="single" w:sz="4" w:space="0" w:color="auto"/>
              <w:bottom w:val="single" w:sz="4" w:space="0" w:color="auto"/>
            </w:tcBorders>
            <w:shd w:val="clear" w:color="auto" w:fill="auto"/>
            <w:tcMar>
              <w:left w:w="85" w:type="dxa"/>
              <w:right w:w="85" w:type="dxa"/>
            </w:tcMar>
            <w:vAlign w:val="center"/>
          </w:tcPr>
          <w:p w14:paraId="672D4378" w14:textId="77777777" w:rsidR="00257E1A" w:rsidRPr="003610A0" w:rsidRDefault="00257E1A" w:rsidP="0089652B">
            <w:pPr>
              <w:pStyle w:val="TableTextLeft"/>
              <w:rPr>
                <w:rFonts w:eastAsia="Calibri"/>
                <w:lang w:eastAsia="en-US"/>
              </w:rPr>
            </w:pPr>
            <w:r w:rsidRPr="003610A0">
              <w:rPr>
                <w:rFonts w:eastAsia="Calibri"/>
                <w:lang w:eastAsia="en-US"/>
              </w:rPr>
              <w:t>WA</w:t>
            </w:r>
          </w:p>
          <w:p w14:paraId="4E823413" w14:textId="77777777" w:rsidR="00257E1A" w:rsidRPr="003610A0" w:rsidRDefault="00257E1A" w:rsidP="0089652B">
            <w:pPr>
              <w:pStyle w:val="TableTextLeft"/>
              <w:rPr>
                <w:rFonts w:eastAsia="Calibri"/>
                <w:lang w:eastAsia="en-US"/>
              </w:rPr>
            </w:pPr>
            <w:r w:rsidRPr="003610A0">
              <w:rPr>
                <w:rFonts w:eastAsia="Calibri"/>
                <w:lang w:eastAsia="en-US"/>
              </w:rPr>
              <w:t>Browse</w:t>
            </w:r>
            <w:r>
              <w:rPr>
                <w:rFonts w:eastAsia="Calibri"/>
                <w:lang w:eastAsia="en-US"/>
              </w:rPr>
              <w:t xml:space="preserve"> Basin</w:t>
            </w:r>
          </w:p>
        </w:tc>
        <w:tc>
          <w:tcPr>
            <w:tcW w:w="1276" w:type="dxa"/>
            <w:tcBorders>
              <w:top w:val="single" w:sz="4" w:space="0" w:color="auto"/>
              <w:bottom w:val="single" w:sz="4" w:space="0" w:color="auto"/>
            </w:tcBorders>
            <w:shd w:val="clear" w:color="auto" w:fill="auto"/>
            <w:tcMar>
              <w:left w:w="85" w:type="dxa"/>
              <w:right w:w="85" w:type="dxa"/>
            </w:tcMar>
            <w:vAlign w:val="center"/>
          </w:tcPr>
          <w:p w14:paraId="7414A2CD" w14:textId="4EA27DD4" w:rsidR="00257E1A" w:rsidRPr="003610A0" w:rsidRDefault="005D6F39" w:rsidP="0089652B">
            <w:pPr>
              <w:pStyle w:val="TableTextCentered"/>
              <w:rPr>
                <w:rFonts w:eastAsia="Calibri"/>
                <w:lang w:eastAsia="en-US"/>
              </w:rPr>
            </w:pPr>
            <w:r>
              <w:rPr>
                <w:rFonts w:eastAsia="Calibri"/>
                <w:lang w:eastAsia="en-US"/>
              </w:rPr>
              <w:noBreakHyphen/>
            </w:r>
          </w:p>
        </w:tc>
        <w:tc>
          <w:tcPr>
            <w:tcW w:w="1417" w:type="dxa"/>
            <w:tcBorders>
              <w:top w:val="single" w:sz="4" w:space="0" w:color="auto"/>
              <w:bottom w:val="single" w:sz="4" w:space="0" w:color="auto"/>
            </w:tcBorders>
            <w:shd w:val="clear" w:color="auto" w:fill="auto"/>
            <w:tcMar>
              <w:left w:w="85" w:type="dxa"/>
              <w:right w:w="85" w:type="dxa"/>
            </w:tcMar>
            <w:vAlign w:val="center"/>
          </w:tcPr>
          <w:p w14:paraId="56B693DF" w14:textId="10CB2D33" w:rsidR="00257E1A" w:rsidRPr="003610A0" w:rsidRDefault="005D6F39" w:rsidP="0089652B">
            <w:pPr>
              <w:pStyle w:val="TableTextCentered"/>
              <w:rPr>
                <w:rFonts w:eastAsia="Calibri"/>
                <w:lang w:eastAsia="en-US"/>
              </w:rPr>
            </w:pPr>
            <w:r>
              <w:rPr>
                <w:rFonts w:eastAsia="Calibri"/>
                <w:lang w:eastAsia="en-US"/>
              </w:rPr>
              <w:noBreakHyphen/>
            </w:r>
          </w:p>
        </w:tc>
        <w:tc>
          <w:tcPr>
            <w:tcW w:w="1004" w:type="dxa"/>
            <w:tcBorders>
              <w:top w:val="single" w:sz="4" w:space="0" w:color="auto"/>
              <w:bottom w:val="single" w:sz="4" w:space="0" w:color="auto"/>
            </w:tcBorders>
            <w:shd w:val="clear" w:color="auto" w:fill="auto"/>
            <w:tcMar>
              <w:left w:w="85" w:type="dxa"/>
              <w:right w:w="85" w:type="dxa"/>
            </w:tcMar>
            <w:vAlign w:val="center"/>
          </w:tcPr>
          <w:p w14:paraId="3553C687" w14:textId="39FDFC80" w:rsidR="00257E1A" w:rsidRPr="003610A0" w:rsidRDefault="005D6F39" w:rsidP="0089652B">
            <w:pPr>
              <w:pStyle w:val="TableTextCentered"/>
              <w:rPr>
                <w:rFonts w:eastAsia="Calibri"/>
                <w:lang w:eastAsia="en-US"/>
              </w:rPr>
            </w:pPr>
            <w:r>
              <w:rPr>
                <w:rFonts w:eastAsia="Calibri"/>
                <w:lang w:eastAsia="en-US"/>
              </w:rPr>
              <w:noBreakHyphen/>
            </w:r>
          </w:p>
        </w:tc>
      </w:tr>
      <w:tr w:rsidR="00257E1A" w:rsidRPr="003610A0" w14:paraId="1B322BC3"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4DF7AE1D" w14:textId="77777777" w:rsidR="00257E1A" w:rsidRPr="003610A0" w:rsidRDefault="00257E1A" w:rsidP="0089652B">
            <w:pPr>
              <w:pStyle w:val="TableTextLeft"/>
              <w:rPr>
                <w:rFonts w:eastAsia="Calibri"/>
                <w:lang w:eastAsia="en-US"/>
              </w:rPr>
            </w:pPr>
            <w:r w:rsidRPr="003610A0">
              <w:rPr>
                <w:rFonts w:eastAsia="Calibri"/>
                <w:lang w:eastAsia="en-US"/>
              </w:rPr>
              <w:t>Scarborough F</w:t>
            </w:r>
            <w:r>
              <w:rPr>
                <w:rFonts w:eastAsia="Calibri"/>
                <w:lang w:eastAsia="en-US"/>
              </w:rPr>
              <w:t xml:space="preserve">loating </w:t>
            </w:r>
            <w:r w:rsidRPr="003610A0">
              <w:rPr>
                <w:rFonts w:eastAsia="Calibri"/>
                <w:lang w:eastAsia="en-US"/>
              </w:rPr>
              <w:t>LNG</w:t>
            </w:r>
          </w:p>
        </w:tc>
        <w:tc>
          <w:tcPr>
            <w:tcW w:w="2693" w:type="dxa"/>
            <w:tcBorders>
              <w:top w:val="single" w:sz="4" w:space="0" w:color="auto"/>
              <w:bottom w:val="single" w:sz="4" w:space="0" w:color="auto"/>
            </w:tcBorders>
            <w:shd w:val="clear" w:color="auto" w:fill="auto"/>
            <w:tcMar>
              <w:left w:w="85" w:type="dxa"/>
              <w:right w:w="85" w:type="dxa"/>
            </w:tcMar>
            <w:vAlign w:val="center"/>
          </w:tcPr>
          <w:p w14:paraId="31DF6F0B" w14:textId="77777777" w:rsidR="00257E1A" w:rsidRPr="003610A0" w:rsidRDefault="00257E1A" w:rsidP="0089652B">
            <w:pPr>
              <w:pStyle w:val="TableTextLeft"/>
              <w:rPr>
                <w:rFonts w:eastAsia="Calibri"/>
                <w:lang w:eastAsia="en-US"/>
              </w:rPr>
            </w:pPr>
            <w:r>
              <w:rPr>
                <w:rFonts w:eastAsia="Calibri"/>
                <w:lang w:eastAsia="en-US"/>
              </w:rPr>
              <w:t>Esso (Operator, 50%)</w:t>
            </w:r>
          </w:p>
          <w:p w14:paraId="63B3D109" w14:textId="77777777" w:rsidR="00257E1A" w:rsidRPr="003610A0" w:rsidRDefault="00257E1A" w:rsidP="0089652B">
            <w:pPr>
              <w:pStyle w:val="TableTextLeft"/>
              <w:rPr>
                <w:rFonts w:eastAsia="Calibri"/>
                <w:lang w:eastAsia="en-US"/>
              </w:rPr>
            </w:pPr>
            <w:r w:rsidRPr="003610A0">
              <w:rPr>
                <w:rFonts w:eastAsia="Calibri"/>
                <w:lang w:eastAsia="en-US"/>
              </w:rPr>
              <w:t>BHP Billiton</w:t>
            </w:r>
            <w:r>
              <w:rPr>
                <w:rFonts w:eastAsia="Calibri"/>
                <w:lang w:eastAsia="en-US"/>
              </w:rPr>
              <w:t xml:space="preserve"> (25%)</w:t>
            </w:r>
          </w:p>
          <w:p w14:paraId="04673086" w14:textId="77777777" w:rsidR="00257E1A" w:rsidRPr="003610A0" w:rsidRDefault="00257E1A" w:rsidP="0089652B">
            <w:pPr>
              <w:pStyle w:val="TableTextLeft"/>
              <w:rPr>
                <w:rFonts w:eastAsia="Calibri"/>
                <w:lang w:eastAsia="en-US"/>
              </w:rPr>
            </w:pPr>
            <w:r>
              <w:rPr>
                <w:rFonts w:eastAsia="Calibri"/>
                <w:lang w:eastAsia="en-US"/>
              </w:rPr>
              <w:t>Woodside (25%)</w:t>
            </w:r>
          </w:p>
          <w:p w14:paraId="05BD2786" w14:textId="77777777" w:rsidR="00257E1A" w:rsidRPr="003610A0" w:rsidRDefault="00257E1A" w:rsidP="0089652B">
            <w:pPr>
              <w:pStyle w:val="TableTextLeft"/>
              <w:rPr>
                <w:rFonts w:eastAsia="Calibri"/>
                <w:lang w:eastAsia="en-US"/>
              </w:rPr>
            </w:pPr>
          </w:p>
        </w:tc>
        <w:tc>
          <w:tcPr>
            <w:tcW w:w="1276" w:type="dxa"/>
            <w:tcBorders>
              <w:top w:val="single" w:sz="4" w:space="0" w:color="auto"/>
              <w:bottom w:val="single" w:sz="4" w:space="0" w:color="auto"/>
            </w:tcBorders>
            <w:shd w:val="clear" w:color="auto" w:fill="auto"/>
            <w:tcMar>
              <w:left w:w="85" w:type="dxa"/>
              <w:right w:w="85" w:type="dxa"/>
            </w:tcMar>
            <w:vAlign w:val="center"/>
          </w:tcPr>
          <w:p w14:paraId="44A204EA" w14:textId="77777777" w:rsidR="00257E1A" w:rsidRPr="003610A0" w:rsidRDefault="00257E1A" w:rsidP="0089652B">
            <w:pPr>
              <w:pStyle w:val="TableTextLeft"/>
              <w:rPr>
                <w:rFonts w:eastAsia="Calibri"/>
                <w:lang w:eastAsia="en-US"/>
              </w:rPr>
            </w:pPr>
            <w:r w:rsidRPr="003610A0">
              <w:rPr>
                <w:rFonts w:eastAsia="Calibri"/>
                <w:lang w:eastAsia="en-US"/>
              </w:rPr>
              <w:t>WA</w:t>
            </w:r>
          </w:p>
          <w:p w14:paraId="16A3588E" w14:textId="77777777" w:rsidR="00257E1A" w:rsidRPr="003610A0" w:rsidRDefault="00257E1A" w:rsidP="0089652B">
            <w:pPr>
              <w:pStyle w:val="TableTextLeft"/>
              <w:rPr>
                <w:rFonts w:eastAsia="Calibri"/>
                <w:lang w:eastAsia="en-US"/>
              </w:rPr>
            </w:pPr>
            <w:r w:rsidRPr="003610A0">
              <w:rPr>
                <w:rFonts w:eastAsia="Calibri"/>
                <w:lang w:eastAsia="en-US"/>
              </w:rPr>
              <w:t>Carnarvon</w:t>
            </w:r>
            <w:r>
              <w:rPr>
                <w:rFonts w:eastAsia="Calibri"/>
                <w:lang w:eastAsia="en-US"/>
              </w:rPr>
              <w:t xml:space="preserve"> Basin</w:t>
            </w:r>
          </w:p>
          <w:p w14:paraId="1389075F" w14:textId="77777777" w:rsidR="00257E1A" w:rsidRPr="003610A0" w:rsidRDefault="00257E1A" w:rsidP="0089652B">
            <w:pPr>
              <w:pStyle w:val="TableTextLeft"/>
              <w:rPr>
                <w:rFonts w:eastAsia="Calibri"/>
                <w:lang w:eastAsia="en-US"/>
              </w:rPr>
            </w:pPr>
          </w:p>
        </w:tc>
        <w:tc>
          <w:tcPr>
            <w:tcW w:w="1276" w:type="dxa"/>
            <w:tcBorders>
              <w:top w:val="single" w:sz="4" w:space="0" w:color="auto"/>
              <w:bottom w:val="single" w:sz="4" w:space="0" w:color="auto"/>
            </w:tcBorders>
            <w:shd w:val="clear" w:color="auto" w:fill="auto"/>
            <w:tcMar>
              <w:left w:w="85" w:type="dxa"/>
              <w:right w:w="85" w:type="dxa"/>
            </w:tcMar>
            <w:vAlign w:val="center"/>
          </w:tcPr>
          <w:p w14:paraId="0AEC7B71" w14:textId="45CE2601" w:rsidR="00257E1A" w:rsidRPr="003610A0" w:rsidRDefault="005D6F39" w:rsidP="0089652B">
            <w:pPr>
              <w:pStyle w:val="TableTextCentered"/>
              <w:rPr>
                <w:rFonts w:eastAsia="Calibri"/>
                <w:lang w:eastAsia="en-US"/>
              </w:rPr>
            </w:pPr>
            <w:r>
              <w:rPr>
                <w:rFonts w:eastAsia="Calibri"/>
                <w:lang w:eastAsia="en-US"/>
              </w:rPr>
              <w:noBreakHyphen/>
            </w:r>
          </w:p>
        </w:tc>
        <w:tc>
          <w:tcPr>
            <w:tcW w:w="1417" w:type="dxa"/>
            <w:tcBorders>
              <w:top w:val="single" w:sz="4" w:space="0" w:color="auto"/>
              <w:bottom w:val="single" w:sz="4" w:space="0" w:color="auto"/>
            </w:tcBorders>
            <w:shd w:val="clear" w:color="auto" w:fill="auto"/>
            <w:tcMar>
              <w:left w:w="85" w:type="dxa"/>
              <w:right w:w="85" w:type="dxa"/>
            </w:tcMar>
            <w:vAlign w:val="center"/>
          </w:tcPr>
          <w:p w14:paraId="2D484CCF" w14:textId="3544CEC2" w:rsidR="00257E1A" w:rsidRPr="003610A0" w:rsidRDefault="005D6F39" w:rsidP="0089652B">
            <w:pPr>
              <w:pStyle w:val="TableTextCentered"/>
              <w:rPr>
                <w:rFonts w:eastAsia="Calibri"/>
                <w:lang w:eastAsia="en-US"/>
              </w:rPr>
            </w:pPr>
            <w:r>
              <w:rPr>
                <w:rFonts w:eastAsia="Calibri"/>
                <w:lang w:eastAsia="en-US"/>
              </w:rPr>
              <w:noBreakHyphen/>
            </w:r>
          </w:p>
        </w:tc>
        <w:tc>
          <w:tcPr>
            <w:tcW w:w="1004" w:type="dxa"/>
            <w:tcBorders>
              <w:top w:val="single" w:sz="4" w:space="0" w:color="auto"/>
              <w:bottom w:val="single" w:sz="4" w:space="0" w:color="auto"/>
            </w:tcBorders>
            <w:shd w:val="clear" w:color="auto" w:fill="auto"/>
            <w:tcMar>
              <w:left w:w="85" w:type="dxa"/>
              <w:right w:w="85" w:type="dxa"/>
            </w:tcMar>
            <w:vAlign w:val="center"/>
          </w:tcPr>
          <w:p w14:paraId="49B761DD" w14:textId="000D966B" w:rsidR="00257E1A" w:rsidRPr="003610A0" w:rsidRDefault="005D6F39" w:rsidP="0089652B">
            <w:pPr>
              <w:pStyle w:val="TableTextCentered"/>
              <w:rPr>
                <w:rFonts w:eastAsia="Calibri"/>
                <w:lang w:eastAsia="en-US"/>
              </w:rPr>
            </w:pPr>
            <w:r>
              <w:rPr>
                <w:rFonts w:eastAsia="Calibri"/>
                <w:lang w:eastAsia="en-US"/>
              </w:rPr>
              <w:noBreakHyphen/>
            </w:r>
          </w:p>
        </w:tc>
      </w:tr>
      <w:tr w:rsidR="00257E1A" w:rsidRPr="003610A0" w14:paraId="002468AE" w14:textId="77777777" w:rsidTr="0089652B">
        <w:trPr>
          <w:jc w:val="center"/>
        </w:trPr>
        <w:tc>
          <w:tcPr>
            <w:tcW w:w="1433" w:type="dxa"/>
            <w:tcBorders>
              <w:top w:val="single" w:sz="4" w:space="0" w:color="auto"/>
              <w:bottom w:val="single" w:sz="4" w:space="0" w:color="auto"/>
            </w:tcBorders>
            <w:shd w:val="clear" w:color="auto" w:fill="auto"/>
            <w:tcMar>
              <w:left w:w="85" w:type="dxa"/>
              <w:right w:w="85" w:type="dxa"/>
            </w:tcMar>
            <w:vAlign w:val="center"/>
          </w:tcPr>
          <w:p w14:paraId="6EC58E76" w14:textId="77777777" w:rsidR="00257E1A" w:rsidRPr="003610A0" w:rsidRDefault="00257E1A" w:rsidP="0089652B">
            <w:pPr>
              <w:pStyle w:val="TableTextLeft"/>
              <w:rPr>
                <w:rFonts w:eastAsia="Calibri"/>
                <w:lang w:eastAsia="en-US"/>
              </w:rPr>
            </w:pPr>
            <w:r w:rsidRPr="003610A0">
              <w:rPr>
                <w:rFonts w:eastAsia="Calibri"/>
                <w:lang w:eastAsia="en-US"/>
              </w:rPr>
              <w:t>Sunrise</w:t>
            </w:r>
          </w:p>
          <w:p w14:paraId="2BF72EAB" w14:textId="77777777" w:rsidR="00257E1A" w:rsidRPr="003610A0" w:rsidRDefault="00257E1A" w:rsidP="0089652B">
            <w:pPr>
              <w:pStyle w:val="TableTextLeft"/>
              <w:rPr>
                <w:rFonts w:eastAsia="Calibri"/>
                <w:lang w:eastAsia="en-US"/>
              </w:rPr>
            </w:pPr>
            <w:r w:rsidRPr="003610A0">
              <w:rPr>
                <w:rFonts w:eastAsia="Calibri"/>
                <w:lang w:eastAsia="en-US"/>
              </w:rPr>
              <w:t>LNG</w:t>
            </w:r>
          </w:p>
          <w:p w14:paraId="44C61BE1" w14:textId="77777777" w:rsidR="00257E1A" w:rsidRPr="003610A0" w:rsidRDefault="00257E1A" w:rsidP="0089652B">
            <w:pPr>
              <w:pStyle w:val="TableTextLeft"/>
              <w:rPr>
                <w:rFonts w:eastAsia="Calibri"/>
                <w:lang w:eastAsia="en-US"/>
              </w:rPr>
            </w:pPr>
            <w:r w:rsidRPr="003610A0">
              <w:rPr>
                <w:rFonts w:eastAsia="Calibri"/>
                <w:lang w:eastAsia="en-US"/>
              </w:rPr>
              <w:t>Condensate</w:t>
            </w:r>
          </w:p>
        </w:tc>
        <w:tc>
          <w:tcPr>
            <w:tcW w:w="2693" w:type="dxa"/>
            <w:tcBorders>
              <w:top w:val="single" w:sz="4" w:space="0" w:color="auto"/>
              <w:bottom w:val="single" w:sz="4" w:space="0" w:color="auto"/>
            </w:tcBorders>
            <w:shd w:val="clear" w:color="auto" w:fill="auto"/>
            <w:tcMar>
              <w:left w:w="85" w:type="dxa"/>
              <w:right w:w="85" w:type="dxa"/>
            </w:tcMar>
            <w:vAlign w:val="center"/>
          </w:tcPr>
          <w:p w14:paraId="7F2864B2" w14:textId="71A7AF33" w:rsidR="00257E1A" w:rsidRPr="003610A0" w:rsidRDefault="00257E1A" w:rsidP="0089652B">
            <w:pPr>
              <w:pStyle w:val="TableTextLeft"/>
              <w:rPr>
                <w:rFonts w:eastAsia="Calibri"/>
                <w:lang w:eastAsia="en-US"/>
              </w:rPr>
            </w:pPr>
            <w:r w:rsidRPr="003610A0">
              <w:rPr>
                <w:rFonts w:eastAsia="Calibri"/>
                <w:lang w:eastAsia="en-US"/>
              </w:rPr>
              <w:t>Woodside (Op</w:t>
            </w:r>
            <w:r w:rsidR="00807D31">
              <w:rPr>
                <w:rFonts w:eastAsia="Calibri"/>
                <w:lang w:eastAsia="en-US"/>
              </w:rPr>
              <w:t>erator,</w:t>
            </w:r>
            <w:r w:rsidRPr="003610A0">
              <w:rPr>
                <w:rFonts w:eastAsia="Calibri"/>
                <w:lang w:eastAsia="en-US"/>
              </w:rPr>
              <w:t xml:space="preserve"> 33%)</w:t>
            </w:r>
          </w:p>
          <w:p w14:paraId="4BABF853" w14:textId="77777777" w:rsidR="00257E1A" w:rsidRPr="003610A0" w:rsidRDefault="00257E1A" w:rsidP="0089652B">
            <w:pPr>
              <w:pStyle w:val="TableTextLeft"/>
              <w:rPr>
                <w:rFonts w:eastAsia="Calibri"/>
                <w:lang w:eastAsia="en-US"/>
              </w:rPr>
            </w:pPr>
            <w:r w:rsidRPr="003610A0">
              <w:rPr>
                <w:rFonts w:eastAsia="Calibri"/>
                <w:lang w:eastAsia="en-US"/>
              </w:rPr>
              <w:t>ConocoPhillips (30%)</w:t>
            </w:r>
          </w:p>
          <w:p w14:paraId="1F626524" w14:textId="77777777" w:rsidR="00257E1A" w:rsidRPr="003610A0" w:rsidRDefault="00257E1A" w:rsidP="0089652B">
            <w:pPr>
              <w:pStyle w:val="TableTextLeft"/>
              <w:rPr>
                <w:rFonts w:eastAsia="Calibri"/>
                <w:lang w:eastAsia="en-US"/>
              </w:rPr>
            </w:pPr>
            <w:r w:rsidRPr="003610A0">
              <w:rPr>
                <w:rFonts w:eastAsia="Calibri"/>
                <w:lang w:eastAsia="en-US"/>
              </w:rPr>
              <w:t>Shell (27%)</w:t>
            </w:r>
          </w:p>
          <w:p w14:paraId="1CCED984" w14:textId="77777777" w:rsidR="00257E1A" w:rsidRPr="003610A0" w:rsidRDefault="00257E1A" w:rsidP="0089652B">
            <w:pPr>
              <w:pStyle w:val="TableTextLeft"/>
              <w:rPr>
                <w:rFonts w:eastAsia="Calibri"/>
                <w:lang w:eastAsia="en-US"/>
              </w:rPr>
            </w:pPr>
            <w:r w:rsidRPr="003610A0">
              <w:rPr>
                <w:rFonts w:eastAsia="Calibri"/>
                <w:lang w:eastAsia="en-US"/>
              </w:rPr>
              <w:t>Osaka Gas (10%)</w:t>
            </w:r>
          </w:p>
        </w:tc>
        <w:tc>
          <w:tcPr>
            <w:tcW w:w="1276" w:type="dxa"/>
            <w:tcBorders>
              <w:top w:val="single" w:sz="4" w:space="0" w:color="auto"/>
              <w:bottom w:val="single" w:sz="4" w:space="0" w:color="auto"/>
            </w:tcBorders>
            <w:shd w:val="clear" w:color="auto" w:fill="auto"/>
            <w:tcMar>
              <w:left w:w="85" w:type="dxa"/>
              <w:right w:w="85" w:type="dxa"/>
            </w:tcMar>
            <w:vAlign w:val="center"/>
          </w:tcPr>
          <w:p w14:paraId="467B62B6" w14:textId="77777777" w:rsidR="00257E1A" w:rsidRPr="003610A0" w:rsidRDefault="00257E1A" w:rsidP="0089652B">
            <w:pPr>
              <w:pStyle w:val="TableTextLeft"/>
              <w:rPr>
                <w:rFonts w:eastAsia="Calibri"/>
                <w:lang w:eastAsia="en-US"/>
              </w:rPr>
            </w:pPr>
            <w:r w:rsidRPr="003610A0">
              <w:rPr>
                <w:rFonts w:eastAsia="Calibri"/>
                <w:lang w:eastAsia="en-US"/>
              </w:rPr>
              <w:t>NT/JPDA</w:t>
            </w:r>
          </w:p>
          <w:p w14:paraId="0686BE15" w14:textId="77777777" w:rsidR="00257E1A" w:rsidRPr="003610A0" w:rsidRDefault="00257E1A" w:rsidP="0089652B">
            <w:pPr>
              <w:pStyle w:val="TableTextLeft"/>
              <w:rPr>
                <w:rFonts w:eastAsia="Calibri"/>
                <w:lang w:eastAsia="en-US"/>
              </w:rPr>
            </w:pPr>
            <w:r w:rsidRPr="003610A0">
              <w:rPr>
                <w:rFonts w:eastAsia="Calibri"/>
                <w:lang w:eastAsia="en-US"/>
              </w:rPr>
              <w:t>Bonaparte</w:t>
            </w:r>
            <w:r>
              <w:rPr>
                <w:rFonts w:eastAsia="Calibri"/>
                <w:lang w:eastAsia="en-US"/>
              </w:rPr>
              <w:t xml:space="preserve"> Basin</w:t>
            </w:r>
          </w:p>
          <w:p w14:paraId="7A36D68F" w14:textId="77777777" w:rsidR="00257E1A" w:rsidRPr="003610A0" w:rsidRDefault="00257E1A" w:rsidP="0089652B">
            <w:pPr>
              <w:pStyle w:val="TableTextLeft"/>
              <w:rPr>
                <w:rFonts w:eastAsia="Calibri"/>
                <w:lang w:eastAsia="en-US"/>
              </w:rPr>
            </w:pPr>
          </w:p>
        </w:tc>
        <w:tc>
          <w:tcPr>
            <w:tcW w:w="1276" w:type="dxa"/>
            <w:tcBorders>
              <w:top w:val="single" w:sz="4" w:space="0" w:color="auto"/>
              <w:bottom w:val="single" w:sz="4" w:space="0" w:color="auto"/>
            </w:tcBorders>
            <w:shd w:val="clear" w:color="auto" w:fill="auto"/>
            <w:tcMar>
              <w:left w:w="85" w:type="dxa"/>
              <w:right w:w="85" w:type="dxa"/>
            </w:tcMar>
            <w:vAlign w:val="center"/>
          </w:tcPr>
          <w:p w14:paraId="24D22F3A" w14:textId="32D0118B" w:rsidR="00257E1A" w:rsidRPr="003610A0" w:rsidRDefault="005D6F39" w:rsidP="0089652B">
            <w:pPr>
              <w:pStyle w:val="TableTextCentered"/>
              <w:rPr>
                <w:rFonts w:eastAsia="Calibri"/>
                <w:lang w:eastAsia="en-US"/>
              </w:rPr>
            </w:pPr>
            <w:r>
              <w:rPr>
                <w:rFonts w:eastAsia="Calibri"/>
                <w:lang w:eastAsia="en-US"/>
              </w:rPr>
              <w:noBreakHyphen/>
            </w:r>
          </w:p>
        </w:tc>
        <w:tc>
          <w:tcPr>
            <w:tcW w:w="1417" w:type="dxa"/>
            <w:tcBorders>
              <w:top w:val="single" w:sz="4" w:space="0" w:color="auto"/>
              <w:bottom w:val="single" w:sz="4" w:space="0" w:color="auto"/>
            </w:tcBorders>
            <w:shd w:val="clear" w:color="auto" w:fill="auto"/>
            <w:tcMar>
              <w:left w:w="85" w:type="dxa"/>
              <w:right w:w="85" w:type="dxa"/>
            </w:tcMar>
            <w:vAlign w:val="center"/>
          </w:tcPr>
          <w:p w14:paraId="2E6A808A" w14:textId="26790AE6" w:rsidR="00257E1A" w:rsidRPr="003610A0" w:rsidRDefault="005D6F39" w:rsidP="0089652B">
            <w:pPr>
              <w:pStyle w:val="TableTextCentered"/>
              <w:rPr>
                <w:rFonts w:eastAsia="Calibri"/>
                <w:lang w:eastAsia="en-US"/>
              </w:rPr>
            </w:pPr>
            <w:r>
              <w:rPr>
                <w:rFonts w:eastAsia="Calibri"/>
                <w:lang w:eastAsia="en-US"/>
              </w:rPr>
              <w:noBreakHyphen/>
            </w:r>
          </w:p>
        </w:tc>
        <w:tc>
          <w:tcPr>
            <w:tcW w:w="1004" w:type="dxa"/>
            <w:tcBorders>
              <w:top w:val="single" w:sz="4" w:space="0" w:color="auto"/>
              <w:bottom w:val="single" w:sz="4" w:space="0" w:color="auto"/>
            </w:tcBorders>
            <w:shd w:val="clear" w:color="auto" w:fill="auto"/>
            <w:tcMar>
              <w:left w:w="85" w:type="dxa"/>
              <w:right w:w="85" w:type="dxa"/>
            </w:tcMar>
            <w:vAlign w:val="center"/>
          </w:tcPr>
          <w:p w14:paraId="46D1F803" w14:textId="0786C956" w:rsidR="00257E1A" w:rsidRPr="003610A0" w:rsidRDefault="005D6F39" w:rsidP="0089652B">
            <w:pPr>
              <w:pStyle w:val="TableTextCentered"/>
              <w:rPr>
                <w:rFonts w:eastAsia="Calibri"/>
                <w:lang w:eastAsia="en-US"/>
              </w:rPr>
            </w:pPr>
            <w:r>
              <w:rPr>
                <w:rFonts w:eastAsia="Calibri"/>
                <w:lang w:eastAsia="en-US"/>
              </w:rPr>
              <w:noBreakHyphen/>
            </w:r>
          </w:p>
        </w:tc>
      </w:tr>
    </w:tbl>
    <w:p w14:paraId="1E162EF8" w14:textId="7BD50DD2" w:rsidR="00257E1A" w:rsidRPr="003610A0" w:rsidRDefault="00257E1A" w:rsidP="00257E1A">
      <w:pPr>
        <w:pStyle w:val="Heading1"/>
      </w:pPr>
      <w:bookmarkStart w:id="9779" w:name="_Toc477869944"/>
      <w:bookmarkStart w:id="9780" w:name="_Toc477871183"/>
      <w:bookmarkStart w:id="9781" w:name="_Toc477873342"/>
      <w:bookmarkStart w:id="9782" w:name="_Toc477875336"/>
      <w:bookmarkStart w:id="9783" w:name="_Toc477880249"/>
      <w:bookmarkStart w:id="9784" w:name="_Toc477881509"/>
      <w:bookmarkStart w:id="9785" w:name="_Toc477955913"/>
      <w:bookmarkStart w:id="9786" w:name="_Toc477963158"/>
      <w:bookmarkStart w:id="9787" w:name="_Toc477963644"/>
      <w:bookmarkStart w:id="9788" w:name="_Toc477965230"/>
      <w:bookmarkStart w:id="9789" w:name="_Toc477966734"/>
      <w:bookmarkStart w:id="9790" w:name="_Toc477966903"/>
      <w:bookmarkStart w:id="9791" w:name="_Toc477967243"/>
      <w:bookmarkStart w:id="9792" w:name="_Toc478121380"/>
      <w:bookmarkStart w:id="9793" w:name="_Toc478122293"/>
      <w:r>
        <w:br w:type="page"/>
      </w:r>
      <w:bookmarkStart w:id="9794" w:name="_Toc478132123"/>
      <w:bookmarkStart w:id="9795" w:name="_Toc478132267"/>
      <w:bookmarkStart w:id="9796" w:name="_Toc478133293"/>
      <w:bookmarkStart w:id="9797" w:name="_Toc478132430"/>
      <w:bookmarkStart w:id="9798" w:name="_Toc478134759"/>
      <w:bookmarkStart w:id="9799" w:name="_Toc478137461"/>
      <w:bookmarkStart w:id="9800" w:name="_Toc478138533"/>
      <w:bookmarkStart w:id="9801" w:name="_Toc478140103"/>
      <w:bookmarkStart w:id="9802" w:name="_Toc478140519"/>
      <w:bookmarkStart w:id="9803" w:name="_Toc478142725"/>
      <w:bookmarkStart w:id="9804" w:name="_Toc478566444"/>
      <w:bookmarkStart w:id="9805" w:name="_Toc478569611"/>
      <w:bookmarkStart w:id="9806" w:name="_Toc478569785"/>
      <w:bookmarkStart w:id="9807" w:name="_Toc478570859"/>
      <w:bookmarkStart w:id="9808" w:name="_Toc478633058"/>
      <w:bookmarkStart w:id="9809" w:name="_Toc478641468"/>
      <w:bookmarkStart w:id="9810" w:name="_Toc478654362"/>
      <w:bookmarkStart w:id="9811" w:name="_Toc478654536"/>
      <w:bookmarkStart w:id="9812" w:name="_Toc478657831"/>
      <w:bookmarkStart w:id="9813" w:name="_Toc478993252"/>
      <w:bookmarkStart w:id="9814" w:name="_Toc479000323"/>
      <w:bookmarkStart w:id="9815" w:name="_Toc479002257"/>
      <w:bookmarkStart w:id="9816" w:name="_Toc479002429"/>
      <w:bookmarkStart w:id="9817" w:name="_Toc479254403"/>
      <w:bookmarkStart w:id="9818" w:name="_Toc479258592"/>
      <w:bookmarkStart w:id="9819" w:name="_Toc479258908"/>
      <w:bookmarkStart w:id="9820" w:name="_Toc479259800"/>
      <w:bookmarkStart w:id="9821" w:name="_Toc479262223"/>
      <w:bookmarkStart w:id="9822" w:name="_Toc479262644"/>
      <w:bookmarkStart w:id="9823" w:name="_Toc479321345"/>
      <w:bookmarkStart w:id="9824" w:name="_Toc479326784"/>
      <w:bookmarkStart w:id="9825" w:name="_Toc479333045"/>
      <w:bookmarkStart w:id="9826" w:name="_Toc479333383"/>
      <w:bookmarkStart w:id="9827" w:name="_Toc479335080"/>
      <w:bookmarkStart w:id="9828" w:name="_Toc479341795"/>
      <w:bookmarkStart w:id="9829" w:name="_Toc479345211"/>
      <w:bookmarkStart w:id="9830" w:name="_Toc479345420"/>
      <w:bookmarkStart w:id="9831" w:name="_Toc479348401"/>
      <w:bookmarkStart w:id="9832" w:name="_Toc479675994"/>
      <w:bookmarkStart w:id="9833" w:name="_Toc479690961"/>
      <w:bookmarkStart w:id="9834" w:name="_Toc479693539"/>
      <w:bookmarkStart w:id="9835" w:name="_Toc479770708"/>
      <w:r>
        <w:t>Appendix B</w:t>
      </w:r>
      <w:r w:rsidR="005D6F39">
        <w:t xml:space="preserve"> — </w:t>
      </w:r>
      <w:r>
        <w:t xml:space="preserve">Operation and Administration of </w:t>
      </w:r>
      <w:r w:rsidR="00A44D10">
        <w:t xml:space="preserve">the </w:t>
      </w:r>
      <w:r>
        <w:t>PRRT</w:t>
      </w:r>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p>
    <w:p w14:paraId="5414B031" w14:textId="3486B43D" w:rsidR="00257E1A" w:rsidRDefault="00257E1A" w:rsidP="00257E1A">
      <w:pPr>
        <w:pStyle w:val="Heading2"/>
      </w:pPr>
      <w:bookmarkStart w:id="9836" w:name="_Toc477869945"/>
      <w:bookmarkStart w:id="9837" w:name="_Toc477871184"/>
      <w:bookmarkStart w:id="9838" w:name="_Toc477873343"/>
      <w:bookmarkStart w:id="9839" w:name="_Toc477875337"/>
      <w:bookmarkStart w:id="9840" w:name="_Toc477880250"/>
      <w:bookmarkStart w:id="9841" w:name="_Toc477881510"/>
      <w:bookmarkStart w:id="9842" w:name="_Toc477955914"/>
      <w:bookmarkStart w:id="9843" w:name="_Toc477963159"/>
      <w:bookmarkStart w:id="9844" w:name="_Toc477963645"/>
      <w:bookmarkStart w:id="9845" w:name="_Toc477965231"/>
      <w:bookmarkStart w:id="9846" w:name="_Toc477966735"/>
      <w:bookmarkStart w:id="9847" w:name="_Toc477966904"/>
      <w:bookmarkStart w:id="9848" w:name="_Toc477967244"/>
      <w:bookmarkStart w:id="9849" w:name="_Toc478121381"/>
      <w:bookmarkStart w:id="9850" w:name="_Toc478122294"/>
      <w:bookmarkStart w:id="9851" w:name="_Toc478132124"/>
      <w:bookmarkStart w:id="9852" w:name="_Toc478132268"/>
      <w:bookmarkStart w:id="9853" w:name="_Toc478133294"/>
      <w:bookmarkStart w:id="9854" w:name="_Toc478132431"/>
      <w:bookmarkStart w:id="9855" w:name="_Toc478134760"/>
      <w:bookmarkStart w:id="9856" w:name="_Toc478137462"/>
      <w:bookmarkStart w:id="9857" w:name="_Toc478138534"/>
      <w:bookmarkStart w:id="9858" w:name="_Toc478140104"/>
      <w:bookmarkStart w:id="9859" w:name="_Toc478140520"/>
      <w:bookmarkStart w:id="9860" w:name="_Toc478142726"/>
      <w:bookmarkStart w:id="9861" w:name="_Toc478566445"/>
      <w:bookmarkStart w:id="9862" w:name="_Toc478569612"/>
      <w:bookmarkStart w:id="9863" w:name="_Toc478569786"/>
      <w:bookmarkStart w:id="9864" w:name="_Toc478570860"/>
      <w:bookmarkStart w:id="9865" w:name="_Toc478633059"/>
      <w:bookmarkStart w:id="9866" w:name="_Toc478641469"/>
      <w:bookmarkStart w:id="9867" w:name="_Toc478654363"/>
      <w:bookmarkStart w:id="9868" w:name="_Toc478654537"/>
      <w:bookmarkStart w:id="9869" w:name="_Toc478657832"/>
      <w:bookmarkStart w:id="9870" w:name="_Toc478993253"/>
      <w:bookmarkStart w:id="9871" w:name="_Toc479000324"/>
      <w:bookmarkStart w:id="9872" w:name="_Toc479002258"/>
      <w:bookmarkStart w:id="9873" w:name="_Toc479002430"/>
      <w:bookmarkStart w:id="9874" w:name="_Toc479254404"/>
      <w:bookmarkStart w:id="9875" w:name="_Toc479258593"/>
      <w:bookmarkStart w:id="9876" w:name="_Toc479258909"/>
      <w:bookmarkStart w:id="9877" w:name="_Toc479259801"/>
      <w:bookmarkStart w:id="9878" w:name="_Toc479262224"/>
      <w:bookmarkStart w:id="9879" w:name="_Toc479262645"/>
      <w:bookmarkStart w:id="9880" w:name="_Toc479321346"/>
      <w:bookmarkStart w:id="9881" w:name="_Toc479326785"/>
      <w:bookmarkStart w:id="9882" w:name="_Toc479333046"/>
      <w:bookmarkStart w:id="9883" w:name="_Toc479333384"/>
      <w:bookmarkStart w:id="9884" w:name="_Toc479335081"/>
      <w:bookmarkStart w:id="9885" w:name="_Toc479341796"/>
      <w:bookmarkStart w:id="9886" w:name="_Toc479345212"/>
      <w:bookmarkStart w:id="9887" w:name="_Toc479345421"/>
      <w:bookmarkStart w:id="9888" w:name="_Toc479348402"/>
      <w:bookmarkStart w:id="9889" w:name="_Toc479675995"/>
      <w:bookmarkStart w:id="9890" w:name="_Toc479690962"/>
      <w:bookmarkStart w:id="9891" w:name="_Toc479693540"/>
      <w:bookmarkStart w:id="9892" w:name="_Toc479770709"/>
      <w:r>
        <w:t>B.1</w:t>
      </w:r>
      <w:r>
        <w:tab/>
        <w:t xml:space="preserve">Operation of </w:t>
      </w:r>
      <w:r w:rsidR="00A44D10">
        <w:t>t</w:t>
      </w:r>
      <w:r>
        <w:t>he PRRT</w:t>
      </w:r>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p>
    <w:p w14:paraId="38B8284F" w14:textId="7007A3F0" w:rsidR="00257E1A" w:rsidRDefault="00257E1A" w:rsidP="00257E1A">
      <w:r>
        <w:t xml:space="preserve">The PRRT is applied to the taxable PRRT profit derived by an entity in a financial year from a petroleum project at a rate of 40 per cent. An entity has a taxable PRRT profit in a year of tax in relation to a petroleum project if their assessable PRRT receipts exceed their deductible expenditures. Each entity </w:t>
      </w:r>
      <w:r w:rsidR="00A44D10">
        <w:t>that</w:t>
      </w:r>
      <w:r>
        <w:t xml:space="preserve"> earns a taxable profit in relation to a petroleum project in a year of tax is liable to pay PRRT. That is, parties in a joint venture are assessed on an individual basis.</w:t>
      </w:r>
    </w:p>
    <w:p w14:paraId="0BEF36BE" w14:textId="3ACBC752" w:rsidR="00257E1A" w:rsidRDefault="00257E1A" w:rsidP="00257E1A">
      <w:r>
        <w:t>A petroleum project is taken to exist when there is a production licence in force. A single production licence can form the basis of a petroleum project, or two or more production licences (that are sufficiently related) can be combined to form a single project for PRRT purposes. In addition, what constitutes a petroleum project can include activities conducted in relation to the project but which physically take</w:t>
      </w:r>
      <w:r w:rsidR="00D0628C">
        <w:t>s</w:t>
      </w:r>
      <w:r>
        <w:t xml:space="preserve"> place outside the production licence area.</w:t>
      </w:r>
    </w:p>
    <w:p w14:paraId="7313DAE8" w14:textId="5C304F6E" w:rsidR="00257E1A" w:rsidRDefault="00336B9F" w:rsidP="00257E1A">
      <w:r>
        <w:rPr>
          <w:noProof/>
        </w:rPr>
        <w:drawing>
          <wp:anchor distT="0" distB="0" distL="114300" distR="114300" simplePos="0" relativeHeight="251658246" behindDoc="0" locked="0" layoutInCell="1" allowOverlap="1" wp14:anchorId="42ED19E6" wp14:editId="596E38CE">
            <wp:simplePos x="0" y="0"/>
            <wp:positionH relativeFrom="column">
              <wp:posOffset>2120265</wp:posOffset>
            </wp:positionH>
            <wp:positionV relativeFrom="paragraph">
              <wp:posOffset>1828165</wp:posOffset>
            </wp:positionV>
            <wp:extent cx="1533525" cy="2257425"/>
            <wp:effectExtent l="0" t="0" r="9525" b="9525"/>
            <wp:wrapTopAndBottom/>
            <wp:docPr id="3" name="Picture 3" descr="Figure B.1 explains how a PRRT liability is calculated: Assessable receipts minus deductible expenditure equals taxable profit, multiplied by the PRRT tax rate equals PRRT li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 Calculating PRRT Liability.png"/>
                    <pic:cNvPicPr/>
                  </pic:nvPicPr>
                  <pic:blipFill>
                    <a:blip r:embed="rId113">
                      <a:extLst>
                        <a:ext uri="{28A0092B-C50C-407E-A947-70E740481C1C}">
                          <a14:useLocalDpi xmlns:a14="http://schemas.microsoft.com/office/drawing/2010/main" val="0"/>
                        </a:ext>
                      </a:extLst>
                    </a:blip>
                    <a:stretch>
                      <a:fillRect/>
                    </a:stretch>
                  </pic:blipFill>
                  <pic:spPr>
                    <a:xfrm>
                      <a:off x="0" y="0"/>
                      <a:ext cx="1533525" cy="2257425"/>
                    </a:xfrm>
                    <a:prstGeom prst="rect">
                      <a:avLst/>
                    </a:prstGeom>
                  </pic:spPr>
                </pic:pic>
              </a:graphicData>
            </a:graphic>
            <wp14:sizeRelH relativeFrom="page">
              <wp14:pctWidth>0</wp14:pctWidth>
            </wp14:sizeRelH>
            <wp14:sizeRelV relativeFrom="page">
              <wp14:pctHeight>0</wp14:pctHeight>
            </wp14:sizeRelV>
          </wp:anchor>
        </w:drawing>
      </w:r>
      <w:r w:rsidR="00257E1A">
        <w:t xml:space="preserve">Taxable profit is calculated by deducting eligible project expenses from the assessable </w:t>
      </w:r>
      <w:r w:rsidR="00A44D10">
        <w:t>receipts</w:t>
      </w:r>
      <w:r w:rsidR="00257E1A">
        <w:t xml:space="preserve"> derived from the project. Assessable re</w:t>
      </w:r>
      <w:r w:rsidR="00A44D10">
        <w:t>ceipts</w:t>
      </w:r>
      <w:r w:rsidR="0010315C">
        <w:t xml:space="preserve"> </w:t>
      </w:r>
      <w:r w:rsidR="00257E1A">
        <w:t xml:space="preserve">primarily comprises </w:t>
      </w:r>
      <w:r w:rsidR="0010315C">
        <w:t xml:space="preserve">of </w:t>
      </w:r>
      <w:r w:rsidR="00257E1A">
        <w:t xml:space="preserve">the receipts received by an entity from the sale of petroleum, or marketable petroleum commodities produced from the petroleum, recovered from a project. Marketable petroleum commodities include stabilised crude oil, sales gas, condensate, LPG and ethane. Deductible expenditure broadly includes those expenditures, whether capital or revenue in nature, that are directly incurred by an entity in relation to the petroleum project. </w:t>
      </w:r>
      <w:r w:rsidR="00257E1A" w:rsidRPr="006D28D4">
        <w:t xml:space="preserve">Figure </w:t>
      </w:r>
      <w:r w:rsidR="005F23CB" w:rsidRPr="006D28D4">
        <w:t>B.1</w:t>
      </w:r>
      <w:r w:rsidR="005F23CB">
        <w:t xml:space="preserve"> </w:t>
      </w:r>
      <w:r w:rsidR="00257E1A">
        <w:t>illustrates the basic framework for calculating PRRT.</w:t>
      </w:r>
    </w:p>
    <w:p w14:paraId="5BC1E5D9" w14:textId="6ACF4E16" w:rsidR="00257E1A" w:rsidRDefault="00257E1A" w:rsidP="00257E1A">
      <w:pPr>
        <w:pStyle w:val="Heading4"/>
      </w:pPr>
      <w:r w:rsidRPr="006D28D4">
        <w:t xml:space="preserve">Figure </w:t>
      </w:r>
      <w:r w:rsidR="005F23CB" w:rsidRPr="006D28D4">
        <w:t>B.1</w:t>
      </w:r>
      <w:r w:rsidR="005F23CB">
        <w:t xml:space="preserve"> </w:t>
      </w:r>
      <w:r w:rsidR="0019517D" w:rsidRPr="00496C37">
        <w:t>—</w:t>
      </w:r>
      <w:r>
        <w:t xml:space="preserve"> Calculating PRRT </w:t>
      </w:r>
      <w:r w:rsidR="00274328">
        <w:t>l</w:t>
      </w:r>
      <w:r>
        <w:t>iability</w:t>
      </w:r>
    </w:p>
    <w:p w14:paraId="465D576D" w14:textId="77777777" w:rsidR="0089652B" w:rsidRDefault="0089652B" w:rsidP="0089652B">
      <w:pPr>
        <w:pStyle w:val="SingleParagraph"/>
      </w:pPr>
    </w:p>
    <w:p w14:paraId="458FAC60" w14:textId="05EFBC81" w:rsidR="00257E1A" w:rsidRDefault="00257E1A" w:rsidP="0089652B">
      <w:r>
        <w:t xml:space="preserve">Where an entity incurs deductible expenditure that exceeds their assessable </w:t>
      </w:r>
      <w:r w:rsidR="005F1FCC">
        <w:t>PRRT</w:t>
      </w:r>
      <w:r w:rsidR="00480CCC">
        <w:t xml:space="preserve"> </w:t>
      </w:r>
      <w:r w:rsidR="00D73BF2">
        <w:t>receipts</w:t>
      </w:r>
      <w:r w:rsidDel="00D73BF2">
        <w:t xml:space="preserve"> </w:t>
      </w:r>
      <w:r>
        <w:t>in a financial year, the excess expenditure is carried forward and uplifted to be deducted against assessable receipts derived by the entity in future years. As the PRRT is a project</w:t>
      </w:r>
      <w:r w:rsidR="005D6F39">
        <w:noBreakHyphen/>
      </w:r>
      <w:r>
        <w:t>based tax, excess undeducted expenditure may not generally be offset against income from other projects. The exception is exploration expenditure, which is transferable to other petroleum projects, subject to a number of conditions.</w:t>
      </w:r>
    </w:p>
    <w:p w14:paraId="33D4C8E6" w14:textId="73F048F2" w:rsidR="00257E1A" w:rsidRDefault="00257E1A" w:rsidP="00257E1A">
      <w:pPr>
        <w:pStyle w:val="Heading3"/>
      </w:pPr>
      <w:bookmarkStart w:id="9893" w:name="_Toc477869946"/>
      <w:bookmarkStart w:id="9894" w:name="_Toc477871185"/>
      <w:bookmarkStart w:id="9895" w:name="_Toc477873344"/>
      <w:bookmarkStart w:id="9896" w:name="_Toc477875338"/>
      <w:bookmarkStart w:id="9897" w:name="_Toc477880251"/>
      <w:bookmarkStart w:id="9898" w:name="_Toc477881511"/>
      <w:bookmarkStart w:id="9899" w:name="_Toc477955915"/>
      <w:bookmarkStart w:id="9900" w:name="_Toc477963160"/>
      <w:bookmarkStart w:id="9901" w:name="_Toc477963646"/>
      <w:bookmarkStart w:id="9902" w:name="_Toc477965232"/>
      <w:bookmarkStart w:id="9903" w:name="_Toc477966736"/>
      <w:bookmarkStart w:id="9904" w:name="_Toc477966905"/>
      <w:bookmarkStart w:id="9905" w:name="_Toc477967245"/>
      <w:bookmarkStart w:id="9906" w:name="_Toc478121382"/>
      <w:bookmarkStart w:id="9907" w:name="_Toc478122295"/>
      <w:bookmarkStart w:id="9908" w:name="_Toc478132125"/>
      <w:bookmarkStart w:id="9909" w:name="_Toc478132269"/>
      <w:bookmarkStart w:id="9910" w:name="_Toc478133295"/>
      <w:bookmarkStart w:id="9911" w:name="_Toc478132432"/>
      <w:bookmarkStart w:id="9912" w:name="_Toc478134761"/>
      <w:bookmarkStart w:id="9913" w:name="_Toc478137463"/>
      <w:bookmarkStart w:id="9914" w:name="_Toc478138535"/>
      <w:bookmarkStart w:id="9915" w:name="_Toc478140105"/>
      <w:bookmarkStart w:id="9916" w:name="_Toc478140521"/>
      <w:bookmarkStart w:id="9917" w:name="_Toc478142727"/>
      <w:bookmarkStart w:id="9918" w:name="_Toc478566446"/>
      <w:bookmarkStart w:id="9919" w:name="_Toc478569613"/>
      <w:bookmarkStart w:id="9920" w:name="_Toc478569787"/>
      <w:bookmarkStart w:id="9921" w:name="_Toc478570861"/>
      <w:bookmarkStart w:id="9922" w:name="_Toc478633060"/>
      <w:bookmarkStart w:id="9923" w:name="_Toc478641470"/>
      <w:bookmarkStart w:id="9924" w:name="_Toc478654364"/>
      <w:bookmarkStart w:id="9925" w:name="_Toc478654538"/>
      <w:bookmarkStart w:id="9926" w:name="_Toc478657833"/>
      <w:bookmarkStart w:id="9927" w:name="_Toc478993254"/>
      <w:bookmarkStart w:id="9928" w:name="_Toc479000325"/>
      <w:bookmarkStart w:id="9929" w:name="_Toc479002259"/>
      <w:bookmarkStart w:id="9930" w:name="_Toc479002431"/>
      <w:bookmarkStart w:id="9931" w:name="_Toc479254405"/>
      <w:bookmarkStart w:id="9932" w:name="_Toc479258594"/>
      <w:bookmarkStart w:id="9933" w:name="_Toc479258910"/>
      <w:bookmarkStart w:id="9934" w:name="_Toc479259802"/>
      <w:bookmarkStart w:id="9935" w:name="_Toc479262225"/>
      <w:bookmarkStart w:id="9936" w:name="_Toc479262646"/>
      <w:bookmarkStart w:id="9937" w:name="_Toc479321347"/>
      <w:bookmarkStart w:id="9938" w:name="_Toc479326786"/>
      <w:bookmarkStart w:id="9939" w:name="_Toc479333047"/>
      <w:bookmarkStart w:id="9940" w:name="_Toc479333385"/>
      <w:bookmarkStart w:id="9941" w:name="_Toc479335082"/>
      <w:bookmarkStart w:id="9942" w:name="_Toc479341797"/>
      <w:bookmarkStart w:id="9943" w:name="_Toc479345213"/>
      <w:bookmarkStart w:id="9944" w:name="_Toc479345422"/>
      <w:bookmarkStart w:id="9945" w:name="_Toc479348403"/>
      <w:bookmarkStart w:id="9946" w:name="_Toc479675996"/>
      <w:bookmarkStart w:id="9947" w:name="_Toc479690963"/>
      <w:bookmarkStart w:id="9948" w:name="_Toc479693541"/>
      <w:bookmarkStart w:id="9949" w:name="_Toc479770710"/>
      <w:r>
        <w:t>B.1.1</w:t>
      </w:r>
      <w:r>
        <w:tab/>
        <w:t xml:space="preserve">The PRRT </w:t>
      </w:r>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r w:rsidR="00274328">
        <w:t>r</w:t>
      </w:r>
      <w:r>
        <w:t>ate</w:t>
      </w:r>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p>
    <w:p w14:paraId="052BFA39" w14:textId="77777777" w:rsidR="00257E1A" w:rsidRDefault="00257E1A" w:rsidP="00257E1A">
      <w:r>
        <w:t xml:space="preserve">Since its inception, the PRRT tax rate has been set at 40 per cent of the taxable profit of a petroleum project. </w:t>
      </w:r>
    </w:p>
    <w:p w14:paraId="032B07F2" w14:textId="673D361A" w:rsidR="00257E1A" w:rsidRPr="006F0DFB" w:rsidRDefault="00257E1A" w:rsidP="00257E1A">
      <w:pPr>
        <w:ind w:left="567" w:right="565"/>
        <w:rPr>
          <w:color w:val="1F497D" w:themeColor="text2"/>
          <w:sz w:val="20"/>
        </w:rPr>
      </w:pPr>
      <w:r w:rsidRPr="006F0DFB">
        <w:rPr>
          <w:color w:val="1F497D" w:themeColor="text2"/>
          <w:sz w:val="20"/>
        </w:rPr>
        <w:t>This Bill will declare the rate of petroleum resource rent tax and formally impose the tax in respect of the taxable profit of a petroleum project determined in accordance with the accompanying Petroleum Resource Rent Tax Assessment Bill 198</w:t>
      </w:r>
      <w:r w:rsidR="0089652B">
        <w:rPr>
          <w:color w:val="1F497D" w:themeColor="text2"/>
          <w:sz w:val="20"/>
        </w:rPr>
        <w:t>7. The rate of tax is to be 40 per cent</w:t>
      </w:r>
      <w:r>
        <w:rPr>
          <w:color w:val="1F497D" w:themeColor="text2"/>
          <w:sz w:val="20"/>
        </w:rPr>
        <w:t xml:space="preserve"> </w:t>
      </w:r>
      <w:r w:rsidRPr="005F1FCC">
        <w:rPr>
          <w:color w:val="1F497D" w:themeColor="text2"/>
          <w:sz w:val="20"/>
        </w:rPr>
        <w:t xml:space="preserve">(Explanatory Memorandum, </w:t>
      </w:r>
      <w:r w:rsidRPr="005F1FCC">
        <w:rPr>
          <w:i/>
          <w:color w:val="1F497D" w:themeColor="text2"/>
          <w:sz w:val="20"/>
        </w:rPr>
        <w:t>Petroleum Resource Rent Tax Bill 1987</w:t>
      </w:r>
      <w:r w:rsidRPr="005F1FCC">
        <w:rPr>
          <w:color w:val="1F497D" w:themeColor="text2"/>
          <w:sz w:val="20"/>
        </w:rPr>
        <w:t xml:space="preserve"> (Cth), p. 1).</w:t>
      </w:r>
    </w:p>
    <w:p w14:paraId="24DC7AF9" w14:textId="00643B9E" w:rsidR="00257E1A" w:rsidRDefault="00257E1A" w:rsidP="00257E1A">
      <w:r>
        <w:t>The PRRT represents only part of the return to the community for the use of its resource</w:t>
      </w:r>
      <w:r w:rsidR="00274328">
        <w:t>s</w:t>
      </w:r>
      <w:r>
        <w:t>. The company income tax system also taxes resource rents (and normal returns) in petroleum projects. When the PRRT rate of 40 per cent is combined with the company tax rate of 30</w:t>
      </w:r>
      <w:r w:rsidR="00274328">
        <w:t> </w:t>
      </w:r>
      <w:r>
        <w:t>per</w:t>
      </w:r>
      <w:r w:rsidR="00274328">
        <w:t> </w:t>
      </w:r>
      <w:r>
        <w:t>cent, this produces a combined statutory rate of 58 per cent on taxable profits. However, care needs to be taken in interpreting this rate, as the PRRT tax base (cash flow, incorporating immediate write</w:t>
      </w:r>
      <w:r w:rsidR="005D6F39">
        <w:noBreakHyphen/>
      </w:r>
      <w:r>
        <w:t>off of all expenditure, excluding financing</w:t>
      </w:r>
      <w:r w:rsidR="00274328">
        <w:t xml:space="preserve"> costs</w:t>
      </w:r>
      <w:r>
        <w:t>) is considerably narrower than the company income tax base.</w:t>
      </w:r>
    </w:p>
    <w:p w14:paraId="396674CE" w14:textId="25BC9F55" w:rsidR="00257E1A" w:rsidRDefault="00257E1A" w:rsidP="00257E1A">
      <w:r>
        <w:t>The PRRT acts a secondary tax seeking to apply additional tax on projects with resource rents (</w:t>
      </w:r>
      <w:r w:rsidR="00274328" w:rsidRPr="006D28D4">
        <w:t>s</w:t>
      </w:r>
      <w:r w:rsidRPr="006D28D4">
        <w:t>ection 2.1</w:t>
      </w:r>
      <w:r w:rsidRPr="00120DC1">
        <w:t>)</w:t>
      </w:r>
      <w:r w:rsidR="00336B9F">
        <w:t>.</w:t>
      </w:r>
    </w:p>
    <w:p w14:paraId="2A9BE538" w14:textId="00556ACB" w:rsidR="00257E1A" w:rsidRDefault="00257E1A" w:rsidP="00257E1A">
      <w:pPr>
        <w:pStyle w:val="Heading3"/>
      </w:pPr>
      <w:bookmarkStart w:id="9950" w:name="_Toc477869947"/>
      <w:bookmarkStart w:id="9951" w:name="_Toc477871186"/>
      <w:bookmarkStart w:id="9952" w:name="_Toc477873345"/>
      <w:bookmarkStart w:id="9953" w:name="_Toc477875339"/>
      <w:bookmarkStart w:id="9954" w:name="_Toc477880252"/>
      <w:bookmarkStart w:id="9955" w:name="_Toc477881512"/>
      <w:bookmarkStart w:id="9956" w:name="_Toc477955916"/>
      <w:bookmarkStart w:id="9957" w:name="_Toc477963161"/>
      <w:bookmarkStart w:id="9958" w:name="_Toc477963647"/>
      <w:bookmarkStart w:id="9959" w:name="_Toc477965233"/>
      <w:bookmarkStart w:id="9960" w:name="_Toc477966737"/>
      <w:bookmarkStart w:id="9961" w:name="_Toc477966906"/>
      <w:bookmarkStart w:id="9962" w:name="_Toc477967246"/>
      <w:bookmarkStart w:id="9963" w:name="_Toc478121383"/>
      <w:bookmarkStart w:id="9964" w:name="_Toc478122296"/>
      <w:bookmarkStart w:id="9965" w:name="_Toc478132126"/>
      <w:bookmarkStart w:id="9966" w:name="_Toc478132270"/>
      <w:bookmarkStart w:id="9967" w:name="_Toc478133296"/>
      <w:bookmarkStart w:id="9968" w:name="_Toc478132433"/>
      <w:bookmarkStart w:id="9969" w:name="_Toc478134762"/>
      <w:bookmarkStart w:id="9970" w:name="_Toc478137464"/>
      <w:bookmarkStart w:id="9971" w:name="_Toc478138536"/>
      <w:bookmarkStart w:id="9972" w:name="_Toc478140106"/>
      <w:bookmarkStart w:id="9973" w:name="_Toc478140522"/>
      <w:bookmarkStart w:id="9974" w:name="_Toc478142728"/>
      <w:bookmarkStart w:id="9975" w:name="_Toc478566447"/>
      <w:bookmarkStart w:id="9976" w:name="_Toc478569614"/>
      <w:bookmarkStart w:id="9977" w:name="_Toc478569788"/>
      <w:bookmarkStart w:id="9978" w:name="_Toc478570862"/>
      <w:bookmarkStart w:id="9979" w:name="_Toc478633061"/>
      <w:bookmarkStart w:id="9980" w:name="_Toc478641471"/>
      <w:bookmarkStart w:id="9981" w:name="_Toc478654365"/>
      <w:bookmarkStart w:id="9982" w:name="_Toc478654539"/>
      <w:bookmarkStart w:id="9983" w:name="_Toc478657834"/>
      <w:bookmarkStart w:id="9984" w:name="_Toc478993255"/>
      <w:bookmarkStart w:id="9985" w:name="_Toc479000326"/>
      <w:bookmarkStart w:id="9986" w:name="_Toc479002260"/>
      <w:bookmarkStart w:id="9987" w:name="_Toc479002432"/>
      <w:bookmarkStart w:id="9988" w:name="_Toc479254406"/>
      <w:bookmarkStart w:id="9989" w:name="_Toc479258595"/>
      <w:bookmarkStart w:id="9990" w:name="_Toc479258911"/>
      <w:bookmarkStart w:id="9991" w:name="_Toc479259803"/>
      <w:bookmarkStart w:id="9992" w:name="_Toc479262226"/>
      <w:bookmarkStart w:id="9993" w:name="_Toc479262647"/>
      <w:bookmarkStart w:id="9994" w:name="_Toc479321348"/>
      <w:bookmarkStart w:id="9995" w:name="_Toc479326787"/>
      <w:bookmarkStart w:id="9996" w:name="_Toc479333048"/>
      <w:bookmarkStart w:id="9997" w:name="_Toc479333386"/>
      <w:bookmarkStart w:id="9998" w:name="_Toc479335083"/>
      <w:bookmarkStart w:id="9999" w:name="_Toc479341798"/>
      <w:bookmarkStart w:id="10000" w:name="_Toc479345214"/>
      <w:bookmarkStart w:id="10001" w:name="_Toc479345423"/>
      <w:bookmarkStart w:id="10002" w:name="_Toc479348404"/>
      <w:bookmarkStart w:id="10003" w:name="_Toc479675997"/>
      <w:bookmarkStart w:id="10004" w:name="_Toc479690964"/>
      <w:bookmarkStart w:id="10005" w:name="_Toc479693542"/>
      <w:bookmarkStart w:id="10006" w:name="_Toc479770711"/>
      <w:r>
        <w:t>B.1.2</w:t>
      </w:r>
      <w:r>
        <w:tab/>
        <w:t xml:space="preserve">Assessable </w:t>
      </w:r>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r w:rsidR="00274328">
        <w:t>p</w:t>
      </w:r>
      <w:r>
        <w:t xml:space="preserve">etroleum </w:t>
      </w:r>
      <w:r w:rsidR="00274328">
        <w:t>r</w:t>
      </w:r>
      <w:r>
        <w:t>eceipts</w:t>
      </w:r>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p>
    <w:p w14:paraId="39B55BC7" w14:textId="4F6EE601" w:rsidR="00257E1A" w:rsidRDefault="00257E1A" w:rsidP="00257E1A">
      <w:r>
        <w:t xml:space="preserve">Assessable petroleum receipts result from the sale of petroleum prior to a marketable petroleum commodity </w:t>
      </w:r>
      <w:r w:rsidR="007B1963">
        <w:t xml:space="preserve">(MPC) </w:t>
      </w:r>
      <w:r>
        <w:t xml:space="preserve">being produced, or from </w:t>
      </w:r>
      <w:r w:rsidR="007B1963">
        <w:t>an MPC</w:t>
      </w:r>
      <w:r>
        <w:t xml:space="preserve"> that become</w:t>
      </w:r>
      <w:r w:rsidR="006B35D3">
        <w:t>s</w:t>
      </w:r>
      <w:r>
        <w:t xml:space="preserve"> an </w:t>
      </w:r>
      <w:r w:rsidR="005D6F39">
        <w:t>‘</w:t>
      </w:r>
      <w:r>
        <w:t>excluded commodity</w:t>
      </w:r>
      <w:r w:rsidR="005D6F39">
        <w:t>’</w:t>
      </w:r>
      <w:r>
        <w:t xml:space="preserve"> via sale. Where a</w:t>
      </w:r>
      <w:r w:rsidR="007B1963">
        <w:t>n</w:t>
      </w:r>
      <w:r>
        <w:t xml:space="preserve"> </w:t>
      </w:r>
      <w:r w:rsidR="007B1963">
        <w:t>MPC</w:t>
      </w:r>
      <w:r>
        <w:t xml:space="preserve"> becomes an excluded commodity other than by sale (for instance, the commodity is moved away from its place of production other than to adjacent storage, or further processed), the market value of a</w:t>
      </w:r>
      <w:r w:rsidR="007B1963">
        <w:t>n MPC</w:t>
      </w:r>
      <w:r>
        <w:t xml:space="preserve"> immediately before it became an excluded commodity is treated as an assessable receipt for PRRT purposes. Special provisions apply to calculating the assessable receipts associated with sales gas produced in integrated </w:t>
      </w:r>
      <w:r w:rsidR="00F2694F">
        <w:t>GTL</w:t>
      </w:r>
      <w:r>
        <w:t xml:space="preserve"> projects such as LNG projects. These provisions are contained in the </w:t>
      </w:r>
      <w:r w:rsidRPr="00195E15">
        <w:rPr>
          <w:i/>
        </w:rPr>
        <w:t>Petroleum Resource Rent Tax Assessment Regulations 20</w:t>
      </w:r>
      <w:r w:rsidR="00203229">
        <w:rPr>
          <w:i/>
        </w:rPr>
        <w:t>1</w:t>
      </w:r>
      <w:r w:rsidRPr="00195E15">
        <w:rPr>
          <w:i/>
        </w:rPr>
        <w:t>5</w:t>
      </w:r>
      <w:r>
        <w:t>.</w:t>
      </w:r>
    </w:p>
    <w:p w14:paraId="7D8EB13D" w14:textId="35D6453E" w:rsidR="00257E1A" w:rsidRDefault="00257E1A" w:rsidP="00257E1A">
      <w:r>
        <w:t>Assessable receipts do not include amounts received as loans, or in respect of loans made, receipts of interest and capital repayments received from borrowers. They also do not include share capital received as shareholders</w:t>
      </w:r>
      <w:r w:rsidR="005D6F39">
        <w:t>’</w:t>
      </w:r>
      <w:r>
        <w:t xml:space="preserve"> funds, dividends or bonus shares received from associated companies or private royalty income.</w:t>
      </w:r>
    </w:p>
    <w:p w14:paraId="66326A18" w14:textId="4FEDFBF1" w:rsidR="00257E1A" w:rsidRDefault="00257E1A" w:rsidP="00257E1A">
      <w:pPr>
        <w:pStyle w:val="Heading3"/>
      </w:pPr>
      <w:bookmarkStart w:id="10007" w:name="_Toc477869948"/>
      <w:bookmarkStart w:id="10008" w:name="_Toc477871187"/>
      <w:bookmarkStart w:id="10009" w:name="_Toc477873346"/>
      <w:bookmarkStart w:id="10010" w:name="_Toc477875340"/>
      <w:bookmarkStart w:id="10011" w:name="_Toc477880253"/>
      <w:bookmarkStart w:id="10012" w:name="_Toc477881513"/>
      <w:bookmarkStart w:id="10013" w:name="_Toc477955917"/>
      <w:bookmarkStart w:id="10014" w:name="_Toc477963162"/>
      <w:bookmarkStart w:id="10015" w:name="_Toc477963648"/>
      <w:bookmarkStart w:id="10016" w:name="_Toc477965234"/>
      <w:bookmarkStart w:id="10017" w:name="_Toc477966738"/>
      <w:bookmarkStart w:id="10018" w:name="_Toc477966907"/>
      <w:bookmarkStart w:id="10019" w:name="_Toc477967247"/>
      <w:bookmarkStart w:id="10020" w:name="_Toc478121384"/>
      <w:bookmarkStart w:id="10021" w:name="_Toc478122297"/>
      <w:bookmarkStart w:id="10022" w:name="_Toc478132127"/>
      <w:bookmarkStart w:id="10023" w:name="_Toc478132271"/>
      <w:bookmarkStart w:id="10024" w:name="_Toc478133297"/>
      <w:bookmarkStart w:id="10025" w:name="_Toc478132434"/>
      <w:bookmarkStart w:id="10026" w:name="_Toc478134763"/>
      <w:bookmarkStart w:id="10027" w:name="_Toc478137465"/>
      <w:bookmarkStart w:id="10028" w:name="_Toc478138537"/>
      <w:bookmarkStart w:id="10029" w:name="_Toc478140107"/>
      <w:bookmarkStart w:id="10030" w:name="_Toc478140523"/>
      <w:bookmarkStart w:id="10031" w:name="_Toc478142729"/>
      <w:bookmarkStart w:id="10032" w:name="_Toc478566448"/>
      <w:bookmarkStart w:id="10033" w:name="_Toc478569615"/>
      <w:bookmarkStart w:id="10034" w:name="_Toc478569789"/>
      <w:bookmarkStart w:id="10035" w:name="_Toc478570863"/>
      <w:bookmarkStart w:id="10036" w:name="_Toc478633062"/>
      <w:bookmarkStart w:id="10037" w:name="_Toc478641472"/>
      <w:bookmarkStart w:id="10038" w:name="_Toc478654366"/>
      <w:bookmarkStart w:id="10039" w:name="_Toc478654540"/>
      <w:bookmarkStart w:id="10040" w:name="_Toc478657835"/>
      <w:bookmarkStart w:id="10041" w:name="_Toc478993256"/>
      <w:bookmarkStart w:id="10042" w:name="_Toc479000327"/>
      <w:bookmarkStart w:id="10043" w:name="_Toc479002261"/>
      <w:bookmarkStart w:id="10044" w:name="_Toc479002433"/>
      <w:bookmarkStart w:id="10045" w:name="_Toc479254407"/>
      <w:bookmarkStart w:id="10046" w:name="_Toc479258596"/>
      <w:bookmarkStart w:id="10047" w:name="_Toc479258912"/>
      <w:bookmarkStart w:id="10048" w:name="_Toc479259804"/>
      <w:bookmarkStart w:id="10049" w:name="_Toc479262227"/>
      <w:bookmarkStart w:id="10050" w:name="_Toc479262648"/>
      <w:bookmarkStart w:id="10051" w:name="_Toc479321349"/>
      <w:bookmarkStart w:id="10052" w:name="_Toc479326788"/>
      <w:bookmarkStart w:id="10053" w:name="_Toc479333049"/>
      <w:bookmarkStart w:id="10054" w:name="_Toc479333387"/>
      <w:bookmarkStart w:id="10055" w:name="_Toc479335084"/>
      <w:bookmarkStart w:id="10056" w:name="_Toc479341799"/>
      <w:bookmarkStart w:id="10057" w:name="_Toc479345215"/>
      <w:bookmarkStart w:id="10058" w:name="_Toc479345424"/>
      <w:bookmarkStart w:id="10059" w:name="_Toc479348405"/>
      <w:bookmarkStart w:id="10060" w:name="_Toc479675998"/>
      <w:bookmarkStart w:id="10061" w:name="_Toc479690965"/>
      <w:bookmarkStart w:id="10062" w:name="_Toc479693543"/>
      <w:bookmarkStart w:id="10063" w:name="_Toc479770712"/>
      <w:r>
        <w:t>B.1.3</w:t>
      </w:r>
      <w:r>
        <w:tab/>
        <w:t xml:space="preserve">Eligible </w:t>
      </w:r>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r w:rsidR="00274328">
        <w:t>r</w:t>
      </w:r>
      <w:r>
        <w:t xml:space="preserve">eal </w:t>
      </w:r>
      <w:r w:rsidR="00274328">
        <w:t>e</w:t>
      </w:r>
      <w:r>
        <w:t>xpenditure</w:t>
      </w:r>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p>
    <w:p w14:paraId="371CFB01" w14:textId="79C04314" w:rsidR="00257E1A" w:rsidRDefault="00257E1A" w:rsidP="00257E1A">
      <w:r>
        <w:t>Under the PRRT, expenditure of both a capital and revenue nature which is incurred by an entity in relation to the petroleum project (eligible real expenditure) is deductible in the year</w:t>
      </w:r>
      <w:r w:rsidR="00203229">
        <w:t xml:space="preserve"> </w:t>
      </w:r>
      <w:r>
        <w:t>it is incurred. Eligible real expenditure is categorised as general project expenditure, exploration expenditure or closing down expenditure, depending on its nature and purpose. Where capital expenditure is incurred in respect of assets or property that is to be used only partly in relation to a petroleum project, only that portion of the expenditure related to petroleum project use is deductible for PRRT purposes.</w:t>
      </w:r>
    </w:p>
    <w:p w14:paraId="6DD6187F" w14:textId="5C881E1F" w:rsidR="00257E1A" w:rsidRDefault="00257E1A" w:rsidP="00257E1A">
      <w:r w:rsidRPr="002B6B01">
        <w:rPr>
          <w:b/>
        </w:rPr>
        <w:t>Exploration expenditure</w:t>
      </w:r>
      <w:r>
        <w:t xml:space="preserve"> </w:t>
      </w:r>
      <w:r w:rsidDel="00BA233A">
        <w:t xml:space="preserve">comprises expenditure </w:t>
      </w:r>
      <w:r>
        <w:t>incurred in</w:t>
      </w:r>
      <w:r w:rsidR="00BA233A">
        <w:t xml:space="preserve">, or in connection with, exploration for petroleum in </w:t>
      </w:r>
      <w:r>
        <w:t xml:space="preserve">an eligible exploration or recovery area. The characterisation of </w:t>
      </w:r>
      <w:r w:rsidR="0062248B">
        <w:t xml:space="preserve">exploration </w:t>
      </w:r>
      <w:r>
        <w:t>expenditure is a question of fact and is not determined simply by the fact that an entity may hold an exploration permit (or a retention lease). Rather, the nature of the expenditure must be examined. Exploration expenditure is deductible against assessable PRRT receipts of the project but if there are insufficient receipts, exploration expenditure can be transferred to other projects if certain conditions are satisfied.</w:t>
      </w:r>
    </w:p>
    <w:p w14:paraId="4976B6BF" w14:textId="6AEB7DE2" w:rsidR="00257E1A" w:rsidRDefault="00257E1A" w:rsidP="00257E1A">
      <w:r w:rsidRPr="002B6B01">
        <w:rPr>
          <w:b/>
        </w:rPr>
        <w:t>General project expenditure</w:t>
      </w:r>
      <w:r>
        <w:t xml:space="preserve"> comprises expenditure (other than excluded expenditure, exploration expenditure or closing down expenditure) incurred in relation to carrying on or providing the operations, facilities and other things </w:t>
      </w:r>
      <w:r w:rsidR="0062248B">
        <w:t>comprising</w:t>
      </w:r>
      <w:r w:rsidDel="0062248B">
        <w:t xml:space="preserve"> </w:t>
      </w:r>
      <w:r>
        <w:t xml:space="preserve">a petroleum project. It includes expenditure related to the recovery of petroleum from the production licence area, processing to produce marketable petroleum commodities, as well as storage, services and employee amenities related to the project. Examples of general project expenditure include expenditure on production platforms, drilling plant and equipment, pipelines to transport petroleum from the wellhead to a reception point, payments to contractors, and the wage costs of project employees. </w:t>
      </w:r>
    </w:p>
    <w:p w14:paraId="6A4DABE7" w14:textId="77777777" w:rsidR="00257E1A" w:rsidRDefault="00257E1A" w:rsidP="00257E1A">
      <w:r w:rsidRPr="002B6B01">
        <w:rPr>
          <w:b/>
        </w:rPr>
        <w:t>Closing down expenditure</w:t>
      </w:r>
      <w:r>
        <w:t xml:space="preserve"> comprises all expenditure related to closing down a petroleum project, including expenditure on environmental restoration of the petroleum project area and the removal of drilling platforms (but not the cost of relocating them elsewhere). In cases where an entity derives insufficient assessable PRRT receipts for a year against which to deduct closing down expenditure incurred for the year, a tax credit of 40 per cent of the excess expenditure is provided subject to the tax credit not exceeding the cumulative PRRT previously paid. </w:t>
      </w:r>
    </w:p>
    <w:p w14:paraId="40C8BA0C" w14:textId="4B5EF23D" w:rsidR="00257E1A" w:rsidRDefault="00257E1A" w:rsidP="00257E1A">
      <w:r w:rsidRPr="002B6B01">
        <w:rPr>
          <w:b/>
        </w:rPr>
        <w:t>Excluded expenditure</w:t>
      </w:r>
      <w:r>
        <w:t xml:space="preserve"> comprises project financing costs (including interest payments, dividend payments, share issue costs and equity capital repayments), certain indirect payments and certain payments in respect of administration and accounting activities. These costs are specifically not taken into account in ascertaining amounts of exploration, general project and closing down expenditure in relation to a project. Excluded expenditure also includes payments to acquire an interest in an exploration permit, retention lease or production</w:t>
      </w:r>
      <w:r w:rsidR="00153A54">
        <w:t xml:space="preserve"> licence</w:t>
      </w:r>
      <w:r>
        <w:t>, private royalties, and payments of income tax and GST.</w:t>
      </w:r>
    </w:p>
    <w:p w14:paraId="6F96453C" w14:textId="4BA70424" w:rsidR="00257E1A" w:rsidRDefault="00257E1A" w:rsidP="00257E1A">
      <w:r>
        <w:t>There are two other categories of eligible real expenditure</w:t>
      </w:r>
      <w:r w:rsidR="005D6F39">
        <w:t xml:space="preserve"> — </w:t>
      </w:r>
      <w:r w:rsidRPr="0080329B">
        <w:rPr>
          <w:b/>
        </w:rPr>
        <w:t>resource tax expenditure</w:t>
      </w:r>
      <w:r>
        <w:t xml:space="preserve"> and </w:t>
      </w:r>
      <w:r w:rsidRPr="0080329B">
        <w:rPr>
          <w:b/>
        </w:rPr>
        <w:t>starting base expenditure</w:t>
      </w:r>
      <w:r>
        <w:t xml:space="preserve">. These categories are discussed separately </w:t>
      </w:r>
      <w:r w:rsidR="00153A54">
        <w:t>in sections B.1.4 and B.1.5</w:t>
      </w:r>
      <w:r>
        <w:t>.</w:t>
      </w:r>
    </w:p>
    <w:p w14:paraId="72EAF7B2" w14:textId="4950FBAE" w:rsidR="00257E1A" w:rsidRDefault="00257E1A" w:rsidP="00257E1A">
      <w:pPr>
        <w:pStyle w:val="Heading3"/>
      </w:pPr>
      <w:bookmarkStart w:id="10064" w:name="_Toc477869949"/>
      <w:bookmarkStart w:id="10065" w:name="_Toc477871188"/>
      <w:bookmarkStart w:id="10066" w:name="_Toc477873347"/>
      <w:bookmarkStart w:id="10067" w:name="_Toc477875341"/>
      <w:bookmarkStart w:id="10068" w:name="_Toc477880254"/>
      <w:bookmarkStart w:id="10069" w:name="_Toc477881514"/>
      <w:bookmarkStart w:id="10070" w:name="_Toc477955918"/>
      <w:bookmarkStart w:id="10071" w:name="_Toc477963163"/>
      <w:bookmarkStart w:id="10072" w:name="_Toc477963649"/>
      <w:bookmarkStart w:id="10073" w:name="_Toc477965235"/>
      <w:bookmarkStart w:id="10074" w:name="_Toc477966739"/>
      <w:bookmarkStart w:id="10075" w:name="_Toc477966908"/>
      <w:bookmarkStart w:id="10076" w:name="_Toc477967248"/>
      <w:bookmarkStart w:id="10077" w:name="_Toc478121385"/>
      <w:bookmarkStart w:id="10078" w:name="_Toc478122298"/>
      <w:bookmarkStart w:id="10079" w:name="_Toc478132128"/>
      <w:bookmarkStart w:id="10080" w:name="_Toc478132272"/>
      <w:bookmarkStart w:id="10081" w:name="_Toc478133298"/>
      <w:bookmarkStart w:id="10082" w:name="_Toc478132435"/>
      <w:bookmarkStart w:id="10083" w:name="_Toc478134764"/>
      <w:bookmarkStart w:id="10084" w:name="_Toc478137466"/>
      <w:bookmarkStart w:id="10085" w:name="_Toc478138538"/>
      <w:bookmarkStart w:id="10086" w:name="_Toc478140108"/>
      <w:bookmarkStart w:id="10087" w:name="_Toc478140524"/>
      <w:bookmarkStart w:id="10088" w:name="_Toc478142730"/>
      <w:bookmarkStart w:id="10089" w:name="_Toc478566449"/>
      <w:bookmarkStart w:id="10090" w:name="_Toc478569616"/>
      <w:bookmarkStart w:id="10091" w:name="_Toc478569790"/>
      <w:bookmarkStart w:id="10092" w:name="_Toc478570864"/>
      <w:bookmarkStart w:id="10093" w:name="_Toc478633063"/>
      <w:bookmarkStart w:id="10094" w:name="_Toc478641473"/>
      <w:bookmarkStart w:id="10095" w:name="_Toc478654367"/>
      <w:bookmarkStart w:id="10096" w:name="_Toc478654541"/>
      <w:bookmarkStart w:id="10097" w:name="_Toc478657836"/>
      <w:bookmarkStart w:id="10098" w:name="_Toc478993257"/>
      <w:bookmarkStart w:id="10099" w:name="_Toc479000328"/>
      <w:bookmarkStart w:id="10100" w:name="_Toc479002262"/>
      <w:bookmarkStart w:id="10101" w:name="_Toc479002434"/>
      <w:bookmarkStart w:id="10102" w:name="_Toc479254408"/>
      <w:bookmarkStart w:id="10103" w:name="_Toc479258597"/>
      <w:bookmarkStart w:id="10104" w:name="_Toc479258913"/>
      <w:bookmarkStart w:id="10105" w:name="_Toc479259805"/>
      <w:bookmarkStart w:id="10106" w:name="_Toc479262228"/>
      <w:bookmarkStart w:id="10107" w:name="_Toc479262649"/>
      <w:bookmarkStart w:id="10108" w:name="_Toc479321350"/>
      <w:bookmarkStart w:id="10109" w:name="_Toc479326789"/>
      <w:bookmarkStart w:id="10110" w:name="_Toc479333050"/>
      <w:bookmarkStart w:id="10111" w:name="_Toc479333388"/>
      <w:bookmarkStart w:id="10112" w:name="_Toc479335085"/>
      <w:bookmarkStart w:id="10113" w:name="_Toc479341800"/>
      <w:bookmarkStart w:id="10114" w:name="_Toc479345216"/>
      <w:bookmarkStart w:id="10115" w:name="_Toc479345425"/>
      <w:bookmarkStart w:id="10116" w:name="_Toc479348406"/>
      <w:bookmarkStart w:id="10117" w:name="_Toc479675999"/>
      <w:bookmarkStart w:id="10118" w:name="_Toc479690966"/>
      <w:bookmarkStart w:id="10119" w:name="_Toc479693544"/>
      <w:bookmarkStart w:id="10120" w:name="_Toc479770713"/>
      <w:r>
        <w:t>B.1.4</w:t>
      </w:r>
      <w:r>
        <w:tab/>
        <w:t xml:space="preserve">Resource </w:t>
      </w:r>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r w:rsidR="00153A54">
        <w:t>t</w:t>
      </w:r>
      <w:r>
        <w:t xml:space="preserve">ax </w:t>
      </w:r>
      <w:r w:rsidR="00153A54">
        <w:t>e</w:t>
      </w:r>
      <w:r>
        <w:t>xpenditure</w:t>
      </w:r>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p>
    <w:p w14:paraId="3B2D4CE5" w14:textId="4B0906B6" w:rsidR="00257E1A" w:rsidRDefault="00257E1A" w:rsidP="00257E1A">
      <w:r>
        <w:t xml:space="preserve">Commonwealth and </w:t>
      </w:r>
      <w:r w:rsidR="00153A54">
        <w:t>state</w:t>
      </w:r>
      <w:r>
        <w:t xml:space="preserve"> resource tax expenditures are credit</w:t>
      </w:r>
      <w:r w:rsidR="004977A7">
        <w:t xml:space="preserve">able </w:t>
      </w:r>
      <w:r w:rsidR="00281F6A">
        <w:t>against</w:t>
      </w:r>
      <w:r>
        <w:t xml:space="preserve"> </w:t>
      </w:r>
      <w:r w:rsidR="00E30A80">
        <w:t xml:space="preserve">the </w:t>
      </w:r>
      <w:r>
        <w:t xml:space="preserve">PRRT taxable profit </w:t>
      </w:r>
      <w:r w:rsidR="00E30A80">
        <w:t xml:space="preserve">of </w:t>
      </w:r>
      <w:r>
        <w:t xml:space="preserve">petroleum projects. </w:t>
      </w:r>
      <w:r w:rsidR="005D6F39">
        <w:t>‘</w:t>
      </w:r>
      <w:r>
        <w:t>Resource tax expenditures</w:t>
      </w:r>
      <w:r w:rsidR="005D6F39">
        <w:t>’</w:t>
      </w:r>
      <w:r>
        <w:t xml:space="preserve"> include Commonwealth and </w:t>
      </w:r>
      <w:r w:rsidR="00153A54">
        <w:t>state</w:t>
      </w:r>
      <w:r>
        <w:t xml:space="preserve"> royalties and crude oil excise. In order to be creditable, resource tax expenditure must be incurred in relation to petroleum recovered from the production licence areas </w:t>
      </w:r>
      <w:r w:rsidR="00E30A80">
        <w:t xml:space="preserve">comprising the </w:t>
      </w:r>
      <w:r>
        <w:t>petroleum project. This is consistent with the PRRT being a project</w:t>
      </w:r>
      <w:r w:rsidR="005D6F39">
        <w:noBreakHyphen/>
      </w:r>
      <w:r>
        <w:t>based tax.</w:t>
      </w:r>
    </w:p>
    <w:p w14:paraId="0B8E2EEB" w14:textId="1234C8D2" w:rsidR="00E905A9" w:rsidRDefault="00E905A9" w:rsidP="00E905A9">
      <w:r>
        <w:t>The crediting of payments of resource taxes is given effect by converting these payments to a deduction equivalent by dividing the value of the expenditure by the PRRT rate. For example, if a petroleum project pays a royalty of $2 million to a state government for petroleum recovered from a production licence area, the deduction is calculated by dividing the $2 million royalty payment by the PRRT tax rate ($2 million</w:t>
      </w:r>
      <w:r w:rsidR="00153A54">
        <w:t>/</w:t>
      </w:r>
      <w:r>
        <w:t>0.40 = $5 million). Thus, the grossed</w:t>
      </w:r>
      <w:r w:rsidR="005D6F39">
        <w:noBreakHyphen/>
      </w:r>
      <w:r>
        <w:t>up $5 million is immediately deductible against available assessable PRRT receipts and reduces the PRRT payable by the project by $2 million. Since this is equal to the $2</w:t>
      </w:r>
      <w:r w:rsidR="00153A54">
        <w:t> </w:t>
      </w:r>
      <w:r>
        <w:t>million paid in royalties it reduces the PRRT payable dollar for dollar. In these circumstances, the PRRT overrides the distortionary impact of the royalty. In addition, crediting the royalty has the practical effect of avoiding the potential for double taxation were the royalty only deductible for PRRT purposes</w:t>
      </w:r>
      <w:r w:rsidR="005D6F39">
        <w:t xml:space="preserve">. </w:t>
      </w:r>
    </w:p>
    <w:p w14:paraId="77CDF24E" w14:textId="7B94B9A7" w:rsidR="00E905A9" w:rsidRDefault="00E905A9" w:rsidP="00E905A9">
      <w:r>
        <w:t>In circumstances where these grossed</w:t>
      </w:r>
      <w:r w:rsidR="005D6F39">
        <w:noBreakHyphen/>
      </w:r>
      <w:r>
        <w:t>up resource taxes cannot be deducted against a petroleum project</w:t>
      </w:r>
      <w:r w:rsidR="005D6F39">
        <w:t>’</w:t>
      </w:r>
      <w:r>
        <w:t xml:space="preserve">s assessable PRRT receipts in a financial year, the excess is carried forward and uplifted at the rate of LTBR plus 5 percentage points (with </w:t>
      </w:r>
      <w:r w:rsidR="00824E59">
        <w:t xml:space="preserve">any </w:t>
      </w:r>
      <w:r>
        <w:t xml:space="preserve">undeducted amounts </w:t>
      </w:r>
      <w:r w:rsidR="00824E59">
        <w:t xml:space="preserve">being </w:t>
      </w:r>
      <w:r>
        <w:t>non</w:t>
      </w:r>
      <w:r w:rsidR="005D6F39">
        <w:noBreakHyphen/>
      </w:r>
      <w:r>
        <w:t>refundable and non</w:t>
      </w:r>
      <w:r w:rsidR="005D6F39">
        <w:noBreakHyphen/>
      </w:r>
      <w:r>
        <w:t xml:space="preserve">transferrable to other petroleum projects). </w:t>
      </w:r>
    </w:p>
    <w:p w14:paraId="32D5815D" w14:textId="193CBD6A" w:rsidR="00E905A9" w:rsidRDefault="00E905A9" w:rsidP="00E905A9">
      <w:r>
        <w:t>Where the grossed</w:t>
      </w:r>
      <w:r w:rsidR="005D6F39">
        <w:noBreakHyphen/>
      </w:r>
      <w:r>
        <w:t>up value is carried forward and uplifted and ultimately offset against future assessable PRRT receipts the PRRT overrides the effects of the royalties and excises</w:t>
      </w:r>
      <w:r w:rsidR="00153A54">
        <w:t>,</w:t>
      </w:r>
      <w:r>
        <w:t xml:space="preserve"> so long as the uplift rate used is consistent with the risk that these amounts may not be fully utilised because of insufficient PRRT receipts (</w:t>
      </w:r>
      <w:r w:rsidRPr="006D28D4">
        <w:t xml:space="preserve">see </w:t>
      </w:r>
      <w:r w:rsidR="00153A54" w:rsidRPr="006D28D4">
        <w:t>s</w:t>
      </w:r>
      <w:r w:rsidRPr="006D28D4">
        <w:t>ection 4.2</w:t>
      </w:r>
      <w:r>
        <w:t xml:space="preserve">). </w:t>
      </w:r>
    </w:p>
    <w:p w14:paraId="43D09D55" w14:textId="45A5B61E" w:rsidR="00E905A9" w:rsidRDefault="00E905A9" w:rsidP="00E905A9">
      <w:r>
        <w:t>However, the investment distortions caused by royalties and excises are not able to be fully overridden by the PRRT where there is insufficient assessable PRRT receipts to fully utilise the carried</w:t>
      </w:r>
      <w:r w:rsidR="005D6F39">
        <w:noBreakHyphen/>
      </w:r>
      <w:r>
        <w:t>forward grossed</w:t>
      </w:r>
      <w:r w:rsidR="005D6F39">
        <w:noBreakHyphen/>
      </w:r>
      <w:r>
        <w:t xml:space="preserve">up value of these other resource taxes. This is because taxpayers are effectively in </w:t>
      </w:r>
      <w:r w:rsidR="00824E59">
        <w:t xml:space="preserve">the </w:t>
      </w:r>
      <w:r>
        <w:t xml:space="preserve">position where they </w:t>
      </w:r>
      <w:r w:rsidR="00824E59">
        <w:t xml:space="preserve">are </w:t>
      </w:r>
      <w:r>
        <w:t xml:space="preserve">only paying these resources taxes, rather than the PRRT. </w:t>
      </w:r>
    </w:p>
    <w:p w14:paraId="21C0C875" w14:textId="07C1C76A" w:rsidR="00257E1A" w:rsidRDefault="00257E1A" w:rsidP="00257E1A">
      <w:pPr>
        <w:pStyle w:val="Heading3"/>
      </w:pPr>
      <w:bookmarkStart w:id="10121" w:name="_Toc479254409"/>
      <w:bookmarkStart w:id="10122" w:name="_Toc479258598"/>
      <w:bookmarkStart w:id="10123" w:name="_Toc479258914"/>
      <w:bookmarkStart w:id="10124" w:name="_Toc479259806"/>
      <w:bookmarkStart w:id="10125" w:name="_Toc479262229"/>
      <w:bookmarkStart w:id="10126" w:name="_Toc479262650"/>
      <w:bookmarkStart w:id="10127" w:name="_Toc479321351"/>
      <w:bookmarkStart w:id="10128" w:name="_Toc479326790"/>
      <w:bookmarkStart w:id="10129" w:name="_Toc479333051"/>
      <w:bookmarkStart w:id="10130" w:name="_Toc479333389"/>
      <w:bookmarkStart w:id="10131" w:name="_Toc479335086"/>
      <w:bookmarkStart w:id="10132" w:name="_Toc479341801"/>
      <w:bookmarkStart w:id="10133" w:name="_Toc479345217"/>
      <w:bookmarkStart w:id="10134" w:name="_Toc479345426"/>
      <w:bookmarkStart w:id="10135" w:name="_Toc479348407"/>
      <w:bookmarkStart w:id="10136" w:name="_Toc479676000"/>
      <w:bookmarkStart w:id="10137" w:name="_Toc479690967"/>
      <w:bookmarkStart w:id="10138" w:name="_Toc479693545"/>
      <w:bookmarkStart w:id="10139" w:name="_Toc479770714"/>
      <w:r>
        <w:t>B.1.5</w:t>
      </w:r>
      <w:r>
        <w:tab/>
        <w:t xml:space="preserve">Starting </w:t>
      </w:r>
      <w:r w:rsidR="00153A54">
        <w:t>b</w:t>
      </w:r>
      <w:r>
        <w:t xml:space="preserve">ase </w:t>
      </w:r>
      <w:r w:rsidR="00153A54">
        <w:t>e</w:t>
      </w:r>
      <w:r>
        <w:t>xpenditure</w:t>
      </w:r>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p>
    <w:p w14:paraId="7BD6ECBE" w14:textId="702140C3" w:rsidR="00257E1A" w:rsidRDefault="00257E1A" w:rsidP="00257E1A">
      <w:r>
        <w:t xml:space="preserve">In 2010, the PRRT was extended to existing onshore petroleum projects and the </w:t>
      </w:r>
      <w:r w:rsidR="00153A54">
        <w:t>NWS</w:t>
      </w:r>
      <w:r>
        <w:t xml:space="preserve"> project. Holders of interests in transitioning petroleum projects, exploration permits and retention leases that existed at 2 May 2010 were given an additional amount of deductible expenditure to </w:t>
      </w:r>
      <w:r w:rsidRPr="00C47105">
        <w:t>recognise their historical investments, past taxes paid under royalty and excise regimes, and in recognition that projects were undertaken in the expectation that PRRT would not apply.</w:t>
      </w:r>
      <w:r>
        <w:t xml:space="preserve"> This additional amount of deductible expenditure is called starting base expenditure. The provisions for determining starting base amounts are not a permanent feature of the PRRT, but a feature designed to transition certain projects into the PRRT.</w:t>
      </w:r>
    </w:p>
    <w:p w14:paraId="7F4536B9" w14:textId="26800C49" w:rsidR="00257E1A" w:rsidRDefault="00257E1A" w:rsidP="00257E1A">
      <w:r>
        <w:t xml:space="preserve">There are three different valuation methods </w:t>
      </w:r>
      <w:r w:rsidR="00F52BBB">
        <w:t xml:space="preserve">a taxpayer may choose </w:t>
      </w:r>
      <w:r>
        <w:t xml:space="preserve">to determine the amount of starting base expenditure that an interest may hold. They are the </w:t>
      </w:r>
      <w:r w:rsidRPr="002B6B01">
        <w:rPr>
          <w:b/>
        </w:rPr>
        <w:t>market value approach</w:t>
      </w:r>
      <w:r>
        <w:t xml:space="preserve">, the </w:t>
      </w:r>
      <w:r w:rsidRPr="002B6B01">
        <w:rPr>
          <w:b/>
        </w:rPr>
        <w:t>book value approach</w:t>
      </w:r>
      <w:r>
        <w:t xml:space="preserve"> and the </w:t>
      </w:r>
      <w:r w:rsidRPr="002B6B01">
        <w:rPr>
          <w:b/>
        </w:rPr>
        <w:t>look back approach</w:t>
      </w:r>
      <w:r>
        <w:t>.</w:t>
      </w:r>
      <w:r w:rsidR="00F52BBB">
        <w:t xml:space="preserve"> </w:t>
      </w:r>
    </w:p>
    <w:p w14:paraId="1D51413C" w14:textId="7A1F9607" w:rsidR="00257E1A" w:rsidRDefault="00257E1A" w:rsidP="00257E1A">
      <w:r>
        <w:t>If the market value approach is chosen, the starting base amount as at 1 July 2012 will comprise the sum of the market values of the starting base assets (including the rights to the resource) as at 2 May 2010. If the book value approach is chosen, the starting base amount as at 1 July 2012 will comprise the sum of the most recent audited accounting book values of starting base assets (not including the rights to the resource) available at the time. Starting base assets include most tangible and intangible assets that are related to a project</w:t>
      </w:r>
      <w:r w:rsidR="005D6F39">
        <w:t>’</w:t>
      </w:r>
      <w:r>
        <w:t xml:space="preserve">s interest. They can be property, or legal or equitable rights but they must be related to the project, </w:t>
      </w:r>
      <w:r w:rsidR="00F64198">
        <w:t xml:space="preserve">or to the </w:t>
      </w:r>
      <w:r>
        <w:t xml:space="preserve">retention lease or exploration permit from which a </w:t>
      </w:r>
      <w:r w:rsidR="00F64198">
        <w:t>production licen</w:t>
      </w:r>
      <w:r w:rsidR="00F52BBB">
        <w:t>c</w:t>
      </w:r>
      <w:r w:rsidR="00F64198">
        <w:t xml:space="preserve">e will potentially be derived and a </w:t>
      </w:r>
      <w:r>
        <w:t xml:space="preserve">petroleum project will </w:t>
      </w:r>
      <w:r w:rsidR="00F64198">
        <w:t>later arise</w:t>
      </w:r>
      <w:r>
        <w:t>. In addition to these market value and book value amounts, an entity can also include capital expenditure incurred in relation to the interest during the interim period between the time the starting base asset values were determined and 30 June 2012.</w:t>
      </w:r>
    </w:p>
    <w:p w14:paraId="51404F2C" w14:textId="55668286" w:rsidR="00257E1A" w:rsidRDefault="00257E1A" w:rsidP="00257E1A">
      <w:r>
        <w:t xml:space="preserve">Where the book value approach is chosen, both the value of starting base assets and interim expenditure amounts are uplifted on 1 July 2012 for the total interim period from 2 May 2010 during which the starting base assets were continuously held. The amount is uplifted by </w:t>
      </w:r>
      <w:r w:rsidR="00F52BBB">
        <w:t>LTBR</w:t>
      </w:r>
      <w:r>
        <w:t xml:space="preserve"> plus 5 percentage points over the relevant period. Market </w:t>
      </w:r>
      <w:r w:rsidR="001A2CC7">
        <w:t>value starting base amounts are</w:t>
      </w:r>
      <w:r>
        <w:t xml:space="preserve"> not uplifted over the interim period.</w:t>
      </w:r>
    </w:p>
    <w:p w14:paraId="2B2A238D" w14:textId="4C86C5FE" w:rsidR="00257E1A" w:rsidRDefault="00257E1A" w:rsidP="00257E1A">
      <w:r>
        <w:t xml:space="preserve">The look back approach is an alternative valuation method for determining the value of the starting base assets for a </w:t>
      </w:r>
      <w:r w:rsidR="00F76374">
        <w:t xml:space="preserve">petroleum </w:t>
      </w:r>
      <w:r>
        <w:t>project</w:t>
      </w:r>
      <w:r w:rsidR="00F76374">
        <w:t>.</w:t>
      </w:r>
      <w:r>
        <w:t xml:space="preserve"> Where the look back approach is chosen, there is no starting base amount. Instead, </w:t>
      </w:r>
      <w:r w:rsidR="002D74C1">
        <w:t xml:space="preserve">historical </w:t>
      </w:r>
      <w:r>
        <w:t xml:space="preserve">expenditure from 1 July 2002 will be taken into account in determining </w:t>
      </w:r>
      <w:r w:rsidR="00F76374">
        <w:t xml:space="preserve">the </w:t>
      </w:r>
      <w:r>
        <w:t>PRRT liability</w:t>
      </w:r>
      <w:r w:rsidR="00F76374">
        <w:t xml:space="preserve"> for a project</w:t>
      </w:r>
      <w:r>
        <w:t>, consistent with existing PRRT deductible expenditure provisions. In addition,</w:t>
      </w:r>
      <w:r w:rsidDel="002D74C1">
        <w:t xml:space="preserve"> </w:t>
      </w:r>
      <w:r>
        <w:t xml:space="preserve">where the project interest was directly acquired, or the company holding the interest was acquired during the period 1 July 2007 to 1 May 2010, the acquisition price may be taken into account via the look back approach to the extent it relates to the project interest. </w:t>
      </w:r>
      <w:r w:rsidR="002D74C1">
        <w:t>T</w:t>
      </w:r>
      <w:r>
        <w:t>he look back method also makes provision for acquired exploration expenditure</w:t>
      </w:r>
      <w:r w:rsidR="002D74C1">
        <w:t xml:space="preserve"> which is</w:t>
      </w:r>
      <w:r w:rsidDel="002D74C1">
        <w:t xml:space="preserve"> </w:t>
      </w:r>
      <w:r>
        <w:t xml:space="preserve">equal to the amount of the cost of acquiring the interest that has been allocated to the exploration and evaluation assets recognised in a financial report. Acquired exploration expenditure is a </w:t>
      </w:r>
      <w:r w:rsidR="002D74C1">
        <w:t xml:space="preserve">separate </w:t>
      </w:r>
      <w:r>
        <w:t>category in the PRRT deductions framework</w:t>
      </w:r>
      <w:r w:rsidR="002D74C1">
        <w:t xml:space="preserve"> and is </w:t>
      </w:r>
      <w:r>
        <w:t>uplift</w:t>
      </w:r>
      <w:r w:rsidR="002D74C1">
        <w:t xml:space="preserve">ed at </w:t>
      </w:r>
      <w:r w:rsidR="00F52BBB">
        <w:t>LTBR</w:t>
      </w:r>
      <w:r>
        <w:t xml:space="preserve"> plus 15 percentage points for </w:t>
      </w:r>
      <w:r w:rsidR="009B605A">
        <w:t xml:space="preserve">the </w:t>
      </w:r>
      <w:r w:rsidR="002D74C1">
        <w:t xml:space="preserve">first </w:t>
      </w:r>
      <w:r>
        <w:t>five</w:t>
      </w:r>
      <w:r w:rsidR="0089652B">
        <w:t> </w:t>
      </w:r>
      <w:r>
        <w:t xml:space="preserve">years </w:t>
      </w:r>
      <w:r w:rsidR="002D74C1">
        <w:t xml:space="preserve">after </w:t>
      </w:r>
      <w:r>
        <w:t xml:space="preserve">2 May 2010, and </w:t>
      </w:r>
      <w:r w:rsidR="002D74C1">
        <w:t xml:space="preserve">then </w:t>
      </w:r>
      <w:r w:rsidR="00F52BBB">
        <w:t>LTBR</w:t>
      </w:r>
      <w:r>
        <w:t xml:space="preserve"> plus 5 percentage points thereafter.</w:t>
      </w:r>
    </w:p>
    <w:p w14:paraId="0AA2A687" w14:textId="40B530B9" w:rsidR="00257E1A" w:rsidRDefault="00257E1A" w:rsidP="00257E1A">
      <w:r>
        <w:t>Starting base amounts are immediately deductible against assessable PRRT receipts following the extension of the PRRT where a production licence exists. This means that transitioning projects are able to immediately deduct starting base or look</w:t>
      </w:r>
      <w:r w:rsidR="00F52BBB">
        <w:t xml:space="preserve"> </w:t>
      </w:r>
      <w:r>
        <w:t xml:space="preserve">back amounts from 1 July 2012, with unused amounts uplifted by </w:t>
      </w:r>
      <w:r w:rsidR="00F52BBB">
        <w:t>LTBR</w:t>
      </w:r>
      <w:r>
        <w:t xml:space="preserve"> plus 5 percentage points each year.</w:t>
      </w:r>
    </w:p>
    <w:p w14:paraId="1CDB3567" w14:textId="765FB7CD" w:rsidR="00257E1A" w:rsidRDefault="00257E1A" w:rsidP="00257E1A">
      <w:r>
        <w:t xml:space="preserve">Starting base amounts are not transferable between </w:t>
      </w:r>
      <w:r w:rsidR="00F76374">
        <w:t xml:space="preserve">petroleum </w:t>
      </w:r>
      <w:r>
        <w:t xml:space="preserve">projects. </w:t>
      </w:r>
      <w:r w:rsidR="00F52BBB">
        <w:t>E</w:t>
      </w:r>
      <w:r>
        <w:t xml:space="preserve">xploration expenditure that is taken to be incurred by a project prior to 1 July 2012 under the look back approach is </w:t>
      </w:r>
      <w:r w:rsidR="002D74C1">
        <w:t xml:space="preserve">also </w:t>
      </w:r>
      <w:r>
        <w:t>not transferable.</w:t>
      </w:r>
    </w:p>
    <w:p w14:paraId="209C7847" w14:textId="7D92ECF9" w:rsidR="00257E1A" w:rsidRDefault="00257E1A" w:rsidP="00257E1A">
      <w:pPr>
        <w:pStyle w:val="Heading3"/>
      </w:pPr>
      <w:bookmarkStart w:id="10140" w:name="_Toc477869951"/>
      <w:bookmarkStart w:id="10141" w:name="_Toc477871190"/>
      <w:bookmarkStart w:id="10142" w:name="_Toc477873349"/>
      <w:bookmarkStart w:id="10143" w:name="_Toc477875343"/>
      <w:bookmarkStart w:id="10144" w:name="_Toc477880256"/>
      <w:bookmarkStart w:id="10145" w:name="_Toc477881516"/>
      <w:bookmarkStart w:id="10146" w:name="_Toc477955920"/>
      <w:bookmarkStart w:id="10147" w:name="_Toc477963165"/>
      <w:bookmarkStart w:id="10148" w:name="_Toc477963651"/>
      <w:bookmarkStart w:id="10149" w:name="_Toc477965237"/>
      <w:bookmarkStart w:id="10150" w:name="_Toc477966741"/>
      <w:bookmarkStart w:id="10151" w:name="_Toc477966910"/>
      <w:bookmarkStart w:id="10152" w:name="_Toc477967250"/>
      <w:bookmarkStart w:id="10153" w:name="_Toc478121387"/>
      <w:bookmarkStart w:id="10154" w:name="_Toc478122300"/>
      <w:bookmarkStart w:id="10155" w:name="_Toc478132130"/>
      <w:bookmarkStart w:id="10156" w:name="_Toc478132274"/>
      <w:bookmarkStart w:id="10157" w:name="_Toc478133300"/>
      <w:bookmarkStart w:id="10158" w:name="_Toc478132437"/>
      <w:bookmarkStart w:id="10159" w:name="_Toc478134766"/>
      <w:bookmarkStart w:id="10160" w:name="_Toc478137468"/>
      <w:bookmarkStart w:id="10161" w:name="_Toc478138540"/>
      <w:bookmarkStart w:id="10162" w:name="_Toc478140110"/>
      <w:bookmarkStart w:id="10163" w:name="_Toc478140526"/>
      <w:bookmarkStart w:id="10164" w:name="_Toc478142732"/>
      <w:bookmarkStart w:id="10165" w:name="_Toc478566451"/>
      <w:bookmarkStart w:id="10166" w:name="_Toc478569618"/>
      <w:bookmarkStart w:id="10167" w:name="_Toc478569792"/>
      <w:bookmarkStart w:id="10168" w:name="_Toc478570866"/>
      <w:bookmarkStart w:id="10169" w:name="_Toc478633065"/>
      <w:bookmarkStart w:id="10170" w:name="_Toc478641475"/>
      <w:bookmarkStart w:id="10171" w:name="_Toc478654369"/>
      <w:bookmarkStart w:id="10172" w:name="_Toc478654543"/>
      <w:bookmarkStart w:id="10173" w:name="_Toc478657838"/>
      <w:bookmarkStart w:id="10174" w:name="_Toc478993259"/>
      <w:bookmarkStart w:id="10175" w:name="_Toc479000330"/>
      <w:bookmarkStart w:id="10176" w:name="_Toc479002264"/>
      <w:bookmarkStart w:id="10177" w:name="_Toc479002436"/>
      <w:bookmarkStart w:id="10178" w:name="_Toc479254410"/>
      <w:bookmarkStart w:id="10179" w:name="_Toc479258599"/>
      <w:bookmarkStart w:id="10180" w:name="_Toc479258915"/>
      <w:bookmarkStart w:id="10181" w:name="_Toc479259807"/>
      <w:bookmarkStart w:id="10182" w:name="_Toc479262230"/>
      <w:bookmarkStart w:id="10183" w:name="_Toc479262651"/>
      <w:bookmarkStart w:id="10184" w:name="_Toc479321352"/>
      <w:bookmarkStart w:id="10185" w:name="_Toc479326791"/>
      <w:bookmarkStart w:id="10186" w:name="_Toc479333052"/>
      <w:bookmarkStart w:id="10187" w:name="_Toc479333390"/>
      <w:bookmarkStart w:id="10188" w:name="_Toc479335087"/>
      <w:bookmarkStart w:id="10189" w:name="_Toc479341802"/>
      <w:bookmarkStart w:id="10190" w:name="_Toc479345218"/>
      <w:bookmarkStart w:id="10191" w:name="_Toc479345427"/>
      <w:bookmarkStart w:id="10192" w:name="_Toc479348408"/>
      <w:bookmarkStart w:id="10193" w:name="_Toc479676001"/>
      <w:bookmarkStart w:id="10194" w:name="_Toc479690968"/>
      <w:bookmarkStart w:id="10195" w:name="_Toc479693546"/>
      <w:bookmarkStart w:id="10196" w:name="_Toc479770715"/>
      <w:r>
        <w:t>B.1.6</w:t>
      </w:r>
      <w:r>
        <w:tab/>
        <w:t xml:space="preserve">Deductible </w:t>
      </w:r>
      <w:r w:rsidR="00F52BBB">
        <w:t>e</w:t>
      </w:r>
      <w:r>
        <w:t xml:space="preserve">xpenditure and </w:t>
      </w:r>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r w:rsidR="00F52BBB">
        <w:t>d</w:t>
      </w:r>
      <w:r>
        <w:t xml:space="preserve">eduction </w:t>
      </w:r>
      <w:r w:rsidR="00F52BBB">
        <w:t>o</w:t>
      </w:r>
      <w:r>
        <w:t>rdering</w:t>
      </w:r>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p>
    <w:p w14:paraId="120A8EF0" w14:textId="6D4537C8" w:rsidR="00257E1A" w:rsidRDefault="00257E1A" w:rsidP="00257E1A">
      <w:r>
        <w:t xml:space="preserve">Where </w:t>
      </w:r>
      <w:r w:rsidR="00084D0C">
        <w:t xml:space="preserve">the deductible </w:t>
      </w:r>
      <w:r>
        <w:t xml:space="preserve">expenditure in relation to a petroleum project exceeds their assessable PRRT receipts in a year, the excess is carried forward and </w:t>
      </w:r>
      <w:r w:rsidR="00F52BBB">
        <w:t>uplifted</w:t>
      </w:r>
      <w:r>
        <w:t xml:space="preserve"> on a yearly basis until it can be absorbed against assessable PRRT receipts from the project, or transferred to another project. The</w:t>
      </w:r>
      <w:r w:rsidR="00EE3FBF">
        <w:t xml:space="preserve">re a number a categories of </w:t>
      </w:r>
      <w:r w:rsidR="00B43715">
        <w:t>deducti</w:t>
      </w:r>
      <w:r w:rsidR="00EE3FBF">
        <w:t xml:space="preserve">ble expenditure that determine the order </w:t>
      </w:r>
      <w:r w:rsidR="003D366F">
        <w:t xml:space="preserve">in which </w:t>
      </w:r>
      <w:r w:rsidR="00EE3FBF">
        <w:t>deduction</w:t>
      </w:r>
      <w:r w:rsidR="00880F7E">
        <w:t>s</w:t>
      </w:r>
      <w:r w:rsidR="00EE3FBF">
        <w:t xml:space="preserve"> are applied </w:t>
      </w:r>
      <w:r w:rsidR="00B43715">
        <w:t>against assessable receipts</w:t>
      </w:r>
      <w:r w:rsidR="00EE3FBF">
        <w:t xml:space="preserve">, and the uplift rate </w:t>
      </w:r>
      <w:r w:rsidR="00880F7E">
        <w:t xml:space="preserve">that is </w:t>
      </w:r>
      <w:r w:rsidR="00EE3FBF">
        <w:t>applied to any carried forward</w:t>
      </w:r>
      <w:r w:rsidR="00880F7E">
        <w:t xml:space="preserve"> </w:t>
      </w:r>
      <w:r w:rsidR="00EE3FBF">
        <w:t>expenditure</w:t>
      </w:r>
      <w:r w:rsidR="00B43715">
        <w:t xml:space="preserve">. </w:t>
      </w:r>
      <w:r w:rsidRPr="006D28D4">
        <w:t xml:space="preserve">Table </w:t>
      </w:r>
      <w:r w:rsidR="00B11876" w:rsidRPr="006D28D4">
        <w:t>B.</w:t>
      </w:r>
      <w:r w:rsidR="00F52BBB">
        <w:t>1</w:t>
      </w:r>
      <w:r w:rsidR="00B11876">
        <w:t xml:space="preserve"> </w:t>
      </w:r>
      <w:r>
        <w:t xml:space="preserve">outlines </w:t>
      </w:r>
      <w:r w:rsidR="00880F7E">
        <w:t xml:space="preserve">the order </w:t>
      </w:r>
      <w:r w:rsidR="00F52BBB">
        <w:t xml:space="preserve">in which </w:t>
      </w:r>
      <w:r w:rsidR="00880F7E">
        <w:t xml:space="preserve">these </w:t>
      </w:r>
      <w:r w:rsidR="00EE3FBF">
        <w:t xml:space="preserve">categories of </w:t>
      </w:r>
      <w:r w:rsidR="00880F7E">
        <w:t xml:space="preserve">expenditure are </w:t>
      </w:r>
      <w:r w:rsidR="00F52BBB">
        <w:t>deducted</w:t>
      </w:r>
      <w:r w:rsidR="00880F7E">
        <w:t xml:space="preserve"> against the assessable </w:t>
      </w:r>
      <w:r w:rsidR="003D366F">
        <w:t>PRRT</w:t>
      </w:r>
      <w:r w:rsidR="00880F7E">
        <w:t xml:space="preserve"> receipts of a project and the uplift rate which is applied</w:t>
      </w:r>
      <w:r w:rsidR="005D6F39">
        <w:t xml:space="preserve">. </w:t>
      </w:r>
      <w:r w:rsidR="00EE3FBF">
        <w:t xml:space="preserve"> </w:t>
      </w:r>
    </w:p>
    <w:p w14:paraId="1E37D406" w14:textId="551B426B" w:rsidR="00257E1A" w:rsidRPr="008A77F0" w:rsidRDefault="00257E1A" w:rsidP="00221C2A">
      <w:pPr>
        <w:pStyle w:val="TableMainHeading"/>
      </w:pPr>
      <w:r w:rsidRPr="006D28D4">
        <w:t xml:space="preserve">Table </w:t>
      </w:r>
      <w:r w:rsidR="00B11876" w:rsidRPr="006D28D4">
        <w:t>B.</w:t>
      </w:r>
      <w:r w:rsidR="005C5668">
        <w:t>1</w:t>
      </w:r>
      <w:r w:rsidR="00B11876" w:rsidRPr="008A77F0">
        <w:t xml:space="preserve"> </w:t>
      </w:r>
      <w:r w:rsidRPr="008A77F0">
        <w:t xml:space="preserve">— Order of </w:t>
      </w:r>
      <w:r w:rsidR="005C5668">
        <w:t>d</w:t>
      </w:r>
      <w:r w:rsidRPr="008A77F0">
        <w:t xml:space="preserve">eductible </w:t>
      </w:r>
      <w:r w:rsidR="005C5668">
        <w:t>e</w:t>
      </w:r>
      <w:r w:rsidRPr="008A77F0">
        <w:t>xpenditure in the PRRT</w:t>
      </w:r>
      <w:r w:rsidR="00525388">
        <w:rPr>
          <w:rStyle w:val="FootnoteReference"/>
        </w:rPr>
        <w:footnoteReference w:id="29"/>
      </w:r>
    </w:p>
    <w:tbl>
      <w:tblPr>
        <w:tblStyle w:val="TableGri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207"/>
        <w:gridCol w:w="4677"/>
        <w:gridCol w:w="1245"/>
      </w:tblGrid>
      <w:tr w:rsidR="00257E1A" w:rsidRPr="008442B8" w14:paraId="3CFFF874" w14:textId="77777777" w:rsidTr="0089652B">
        <w:trPr>
          <w:tblHeader/>
        </w:trPr>
        <w:tc>
          <w:tcPr>
            <w:tcW w:w="3207" w:type="dxa"/>
            <w:shd w:val="clear" w:color="auto" w:fill="auto"/>
          </w:tcPr>
          <w:p w14:paraId="5ECDB28F" w14:textId="77777777" w:rsidR="00257E1A" w:rsidRPr="008442B8" w:rsidRDefault="00257E1A" w:rsidP="0089652B">
            <w:pPr>
              <w:pStyle w:val="TableColumnHeadingLeft"/>
            </w:pPr>
            <w:r w:rsidRPr="008442B8">
              <w:t>Category of Deductible Expenditure</w:t>
            </w:r>
          </w:p>
        </w:tc>
        <w:tc>
          <w:tcPr>
            <w:tcW w:w="4677" w:type="dxa"/>
            <w:shd w:val="clear" w:color="auto" w:fill="auto"/>
          </w:tcPr>
          <w:p w14:paraId="144803A0" w14:textId="77777777" w:rsidR="00257E1A" w:rsidRPr="008442B8" w:rsidRDefault="00257E1A" w:rsidP="0089652B">
            <w:pPr>
              <w:pStyle w:val="TableColumnHeadingLeft"/>
            </w:pPr>
            <w:r w:rsidRPr="008442B8">
              <w:t>Description</w:t>
            </w:r>
          </w:p>
        </w:tc>
        <w:tc>
          <w:tcPr>
            <w:tcW w:w="1245" w:type="dxa"/>
            <w:shd w:val="clear" w:color="auto" w:fill="auto"/>
          </w:tcPr>
          <w:p w14:paraId="29BFC547" w14:textId="77777777" w:rsidR="00257E1A" w:rsidRPr="008442B8" w:rsidRDefault="00257E1A" w:rsidP="0089652B">
            <w:pPr>
              <w:pStyle w:val="TableColumnHeadingLeft"/>
            </w:pPr>
            <w:r w:rsidRPr="008442B8">
              <w:t>Uplift Rate</w:t>
            </w:r>
          </w:p>
        </w:tc>
      </w:tr>
      <w:tr w:rsidR="00257E1A" w:rsidRPr="008442B8" w14:paraId="1E8A69BC" w14:textId="77777777" w:rsidTr="00257E1A">
        <w:tc>
          <w:tcPr>
            <w:tcW w:w="3207" w:type="dxa"/>
            <w:shd w:val="clear" w:color="auto" w:fill="auto"/>
          </w:tcPr>
          <w:p w14:paraId="42EB54CE" w14:textId="77777777" w:rsidR="00257E1A" w:rsidRPr="008442B8" w:rsidRDefault="00257E1A" w:rsidP="0089652B">
            <w:pPr>
              <w:pStyle w:val="TableTextLeft"/>
            </w:pPr>
            <w:r w:rsidRPr="008442B8">
              <w:t>Class 1 ABR — general expenditure</w:t>
            </w:r>
          </w:p>
        </w:tc>
        <w:tc>
          <w:tcPr>
            <w:tcW w:w="4677" w:type="dxa"/>
            <w:shd w:val="clear" w:color="auto" w:fill="auto"/>
          </w:tcPr>
          <w:p w14:paraId="5921346E" w14:textId="77777777" w:rsidR="00257E1A" w:rsidRPr="008442B8" w:rsidRDefault="00257E1A" w:rsidP="0089652B">
            <w:pPr>
              <w:pStyle w:val="TableTextLeft"/>
            </w:pPr>
            <w:r w:rsidRPr="008442B8">
              <w:t>General expenditure before 1 July 1990, less than 5 years before production licence came into force.</w:t>
            </w:r>
          </w:p>
        </w:tc>
        <w:tc>
          <w:tcPr>
            <w:tcW w:w="1245" w:type="dxa"/>
            <w:shd w:val="clear" w:color="auto" w:fill="auto"/>
          </w:tcPr>
          <w:p w14:paraId="69E558BE" w14:textId="77777777" w:rsidR="00257E1A" w:rsidRPr="008442B8" w:rsidRDefault="00257E1A" w:rsidP="0089652B">
            <w:pPr>
              <w:pStyle w:val="TableTextLeft"/>
            </w:pPr>
            <w:r w:rsidRPr="008442B8">
              <w:t>LTBR+15%</w:t>
            </w:r>
          </w:p>
        </w:tc>
      </w:tr>
      <w:tr w:rsidR="00257E1A" w:rsidRPr="008442B8" w14:paraId="6054F426" w14:textId="77777777" w:rsidTr="00257E1A">
        <w:tc>
          <w:tcPr>
            <w:tcW w:w="3207" w:type="dxa"/>
            <w:shd w:val="clear" w:color="auto" w:fill="auto"/>
          </w:tcPr>
          <w:p w14:paraId="3F071CAD" w14:textId="77777777" w:rsidR="00257E1A" w:rsidRPr="008442B8" w:rsidRDefault="00257E1A" w:rsidP="0089652B">
            <w:pPr>
              <w:pStyle w:val="TableTextLeft"/>
            </w:pPr>
            <w:r w:rsidRPr="008442B8">
              <w:t>Class 1 ABR — exploration expenditure</w:t>
            </w:r>
          </w:p>
        </w:tc>
        <w:tc>
          <w:tcPr>
            <w:tcW w:w="4677" w:type="dxa"/>
            <w:shd w:val="clear" w:color="auto" w:fill="auto"/>
          </w:tcPr>
          <w:p w14:paraId="0EE3E85A" w14:textId="77777777" w:rsidR="00257E1A" w:rsidRPr="008442B8" w:rsidRDefault="00257E1A" w:rsidP="0089652B">
            <w:pPr>
              <w:pStyle w:val="TableTextLeft"/>
            </w:pPr>
            <w:r w:rsidRPr="008442B8">
              <w:t>Exploration expenditure before 1 July 1990, less than 5 years before production licence came into force.</w:t>
            </w:r>
          </w:p>
        </w:tc>
        <w:tc>
          <w:tcPr>
            <w:tcW w:w="1245" w:type="dxa"/>
            <w:shd w:val="clear" w:color="auto" w:fill="auto"/>
          </w:tcPr>
          <w:p w14:paraId="58556D75" w14:textId="77777777" w:rsidR="00257E1A" w:rsidRPr="008442B8" w:rsidRDefault="00257E1A" w:rsidP="0089652B">
            <w:pPr>
              <w:pStyle w:val="TableTextLeft"/>
            </w:pPr>
            <w:r w:rsidRPr="008442B8">
              <w:t>LTBR+15%</w:t>
            </w:r>
          </w:p>
        </w:tc>
      </w:tr>
      <w:tr w:rsidR="00257E1A" w:rsidRPr="008442B8" w14:paraId="5185261E" w14:textId="77777777" w:rsidTr="00257E1A">
        <w:tc>
          <w:tcPr>
            <w:tcW w:w="3207" w:type="dxa"/>
            <w:shd w:val="clear" w:color="auto" w:fill="auto"/>
          </w:tcPr>
          <w:p w14:paraId="36273D0F" w14:textId="77777777" w:rsidR="00257E1A" w:rsidRPr="008442B8" w:rsidRDefault="00257E1A" w:rsidP="0089652B">
            <w:pPr>
              <w:pStyle w:val="TableTextLeft"/>
            </w:pPr>
            <w:r w:rsidRPr="008442B8">
              <w:t>Class 2 ABR— general expenditure</w:t>
            </w:r>
          </w:p>
        </w:tc>
        <w:tc>
          <w:tcPr>
            <w:tcW w:w="4677" w:type="dxa"/>
            <w:shd w:val="clear" w:color="auto" w:fill="auto"/>
          </w:tcPr>
          <w:p w14:paraId="1A5E2777" w14:textId="77777777" w:rsidR="00257E1A" w:rsidRPr="008442B8" w:rsidRDefault="00257E1A" w:rsidP="0089652B">
            <w:pPr>
              <w:pStyle w:val="TableTextLeft"/>
            </w:pPr>
            <w:r w:rsidRPr="008442B8">
              <w:t>General expenditure after 1 July 1990, less than 5 years before production licence came into force.</w:t>
            </w:r>
          </w:p>
        </w:tc>
        <w:tc>
          <w:tcPr>
            <w:tcW w:w="1245" w:type="dxa"/>
            <w:shd w:val="clear" w:color="auto" w:fill="auto"/>
          </w:tcPr>
          <w:p w14:paraId="291CD0DB" w14:textId="77777777" w:rsidR="00257E1A" w:rsidRPr="008442B8" w:rsidRDefault="00257E1A" w:rsidP="0089652B">
            <w:pPr>
              <w:pStyle w:val="TableTextLeft"/>
            </w:pPr>
            <w:r w:rsidRPr="008442B8">
              <w:t>LTBR+5%</w:t>
            </w:r>
          </w:p>
        </w:tc>
      </w:tr>
      <w:tr w:rsidR="00257E1A" w:rsidRPr="008442B8" w14:paraId="1E53CA0D" w14:textId="77777777" w:rsidTr="00257E1A">
        <w:tc>
          <w:tcPr>
            <w:tcW w:w="3207" w:type="dxa"/>
            <w:shd w:val="clear" w:color="auto" w:fill="auto"/>
          </w:tcPr>
          <w:p w14:paraId="7C142E74" w14:textId="77777777" w:rsidR="00257E1A" w:rsidRPr="008442B8" w:rsidRDefault="00257E1A" w:rsidP="0089652B">
            <w:pPr>
              <w:pStyle w:val="TableTextLeft"/>
            </w:pPr>
            <w:r w:rsidRPr="008442B8">
              <w:t>Class 1 GDP factor expenditure</w:t>
            </w:r>
          </w:p>
        </w:tc>
        <w:tc>
          <w:tcPr>
            <w:tcW w:w="4677" w:type="dxa"/>
            <w:shd w:val="clear" w:color="auto" w:fill="auto"/>
          </w:tcPr>
          <w:p w14:paraId="2D470503" w14:textId="77777777" w:rsidR="00257E1A" w:rsidRPr="008442B8" w:rsidRDefault="00257E1A" w:rsidP="0089652B">
            <w:pPr>
              <w:pStyle w:val="TableTextLeft"/>
            </w:pPr>
            <w:r w:rsidRPr="008442B8">
              <w:t xml:space="preserve">General expenditure and exploration expenditure (before 1990) incurred more than 5 years before production licence came into effect. </w:t>
            </w:r>
          </w:p>
        </w:tc>
        <w:tc>
          <w:tcPr>
            <w:tcW w:w="1245" w:type="dxa"/>
            <w:shd w:val="clear" w:color="auto" w:fill="auto"/>
          </w:tcPr>
          <w:p w14:paraId="18981B16" w14:textId="77777777" w:rsidR="00257E1A" w:rsidRPr="008442B8" w:rsidRDefault="00257E1A" w:rsidP="0089652B">
            <w:pPr>
              <w:pStyle w:val="TableTextLeft"/>
            </w:pPr>
            <w:r w:rsidRPr="008442B8">
              <w:t>GDP deflator</w:t>
            </w:r>
          </w:p>
        </w:tc>
      </w:tr>
      <w:tr w:rsidR="00257E1A" w:rsidRPr="008442B8" w14:paraId="1A93AE91" w14:textId="77777777" w:rsidTr="00257E1A">
        <w:tc>
          <w:tcPr>
            <w:tcW w:w="3207" w:type="dxa"/>
            <w:shd w:val="clear" w:color="auto" w:fill="auto"/>
          </w:tcPr>
          <w:p w14:paraId="0F7B0AE6" w14:textId="77777777" w:rsidR="00257E1A" w:rsidRPr="008442B8" w:rsidRDefault="00257E1A" w:rsidP="0089652B">
            <w:pPr>
              <w:pStyle w:val="TableTextLeft"/>
            </w:pPr>
            <w:r w:rsidRPr="008442B8">
              <w:t>Class 2 ABR — exploration expenditure</w:t>
            </w:r>
          </w:p>
          <w:p w14:paraId="7E5DD98A" w14:textId="77777777" w:rsidR="00257E1A" w:rsidRPr="008442B8" w:rsidRDefault="00257E1A" w:rsidP="0089652B">
            <w:pPr>
              <w:pStyle w:val="TableTextLeft"/>
              <w:rPr>
                <w:b/>
              </w:rPr>
            </w:pPr>
            <w:r w:rsidRPr="008442B8">
              <w:rPr>
                <w:b/>
              </w:rPr>
              <w:t>TRANSFERABLE</w:t>
            </w:r>
          </w:p>
        </w:tc>
        <w:tc>
          <w:tcPr>
            <w:tcW w:w="4677" w:type="dxa"/>
            <w:shd w:val="clear" w:color="auto" w:fill="auto"/>
          </w:tcPr>
          <w:p w14:paraId="716F87FA" w14:textId="52F1CE7D" w:rsidR="00257E1A" w:rsidRPr="008442B8" w:rsidRDefault="001E6124" w:rsidP="0089652B">
            <w:pPr>
              <w:pStyle w:val="TableTextLeft"/>
            </w:pPr>
            <w:r>
              <w:t>Own</w:t>
            </w:r>
            <w:r w:rsidR="005D6F39">
              <w:noBreakHyphen/>
            </w:r>
            <w:r>
              <w:t>project</w:t>
            </w:r>
            <w:r w:rsidR="00EC6829">
              <w:t xml:space="preserve"> e</w:t>
            </w:r>
            <w:r w:rsidR="00257E1A" w:rsidRPr="008442B8">
              <w:t>xploration expenditure incurred after 1 July 1990, less than 5 years before production licence came into effect.</w:t>
            </w:r>
          </w:p>
        </w:tc>
        <w:tc>
          <w:tcPr>
            <w:tcW w:w="1245" w:type="dxa"/>
            <w:shd w:val="clear" w:color="auto" w:fill="auto"/>
          </w:tcPr>
          <w:p w14:paraId="5EC083F8" w14:textId="77777777" w:rsidR="00257E1A" w:rsidRPr="008442B8" w:rsidRDefault="00257E1A" w:rsidP="0089652B">
            <w:pPr>
              <w:pStyle w:val="TableTextLeft"/>
            </w:pPr>
            <w:r w:rsidRPr="008442B8">
              <w:t>LTBR+15%</w:t>
            </w:r>
          </w:p>
        </w:tc>
      </w:tr>
      <w:tr w:rsidR="00257E1A" w:rsidRPr="008442B8" w14:paraId="73E461D3" w14:textId="77777777" w:rsidTr="00257E1A">
        <w:tc>
          <w:tcPr>
            <w:tcW w:w="3207" w:type="dxa"/>
            <w:shd w:val="clear" w:color="auto" w:fill="auto"/>
          </w:tcPr>
          <w:p w14:paraId="2E9CB29D" w14:textId="77777777" w:rsidR="00257E1A" w:rsidRPr="008442B8" w:rsidRDefault="00257E1A" w:rsidP="0089652B">
            <w:pPr>
              <w:pStyle w:val="TableTextLeft"/>
            </w:pPr>
            <w:r w:rsidRPr="008442B8">
              <w:t>Class 2 GDP factor expenditure</w:t>
            </w:r>
          </w:p>
          <w:p w14:paraId="4C7D04E1" w14:textId="77777777" w:rsidR="00257E1A" w:rsidRPr="008442B8" w:rsidRDefault="00257E1A" w:rsidP="0089652B">
            <w:pPr>
              <w:pStyle w:val="TableTextLeft"/>
              <w:rPr>
                <w:b/>
              </w:rPr>
            </w:pPr>
            <w:r w:rsidRPr="008442B8">
              <w:rPr>
                <w:b/>
              </w:rPr>
              <w:t>TRANSFERABLE</w:t>
            </w:r>
          </w:p>
        </w:tc>
        <w:tc>
          <w:tcPr>
            <w:tcW w:w="4677" w:type="dxa"/>
            <w:shd w:val="clear" w:color="auto" w:fill="auto"/>
          </w:tcPr>
          <w:p w14:paraId="6E08EF44" w14:textId="77777777" w:rsidR="00257E1A" w:rsidRDefault="00EC6829" w:rsidP="0089652B">
            <w:pPr>
              <w:pStyle w:val="TableTextLeft"/>
            </w:pPr>
            <w:r>
              <w:t>Own</w:t>
            </w:r>
            <w:r w:rsidR="005D6F39">
              <w:noBreakHyphen/>
            </w:r>
            <w:r>
              <w:t>project e</w:t>
            </w:r>
            <w:r w:rsidR="00257E1A" w:rsidRPr="008442B8">
              <w:t>xploration expenditure incurred after 1 July 1990, more than 5 years before production licence came into effect.</w:t>
            </w:r>
          </w:p>
          <w:p w14:paraId="73310F64" w14:textId="7D1CCDB1" w:rsidR="00811F24" w:rsidRPr="008442B8" w:rsidRDefault="00811F24" w:rsidP="0089652B">
            <w:pPr>
              <w:pStyle w:val="TableTextLeft"/>
            </w:pPr>
          </w:p>
        </w:tc>
        <w:tc>
          <w:tcPr>
            <w:tcW w:w="1245" w:type="dxa"/>
            <w:shd w:val="clear" w:color="auto" w:fill="auto"/>
          </w:tcPr>
          <w:p w14:paraId="3C285F7F" w14:textId="77777777" w:rsidR="00257E1A" w:rsidRPr="008442B8" w:rsidRDefault="00257E1A" w:rsidP="0089652B">
            <w:pPr>
              <w:pStyle w:val="TableTextLeft"/>
            </w:pPr>
            <w:r w:rsidRPr="008442B8">
              <w:t>GDP deflator</w:t>
            </w:r>
          </w:p>
        </w:tc>
      </w:tr>
      <w:tr w:rsidR="00257E1A" w:rsidRPr="008442B8" w14:paraId="1847FF4E" w14:textId="77777777" w:rsidTr="00257E1A">
        <w:tc>
          <w:tcPr>
            <w:tcW w:w="3207" w:type="dxa"/>
            <w:shd w:val="clear" w:color="auto" w:fill="auto"/>
          </w:tcPr>
          <w:p w14:paraId="1B89E1ED" w14:textId="77777777" w:rsidR="00257E1A" w:rsidRPr="008442B8" w:rsidRDefault="00257E1A" w:rsidP="0089652B">
            <w:pPr>
              <w:pStyle w:val="TableTextLeft"/>
            </w:pPr>
            <w:r w:rsidRPr="008442B8">
              <w:t>Resource Tax expenditure</w:t>
            </w:r>
          </w:p>
        </w:tc>
        <w:tc>
          <w:tcPr>
            <w:tcW w:w="4677" w:type="dxa"/>
            <w:shd w:val="clear" w:color="auto" w:fill="auto"/>
          </w:tcPr>
          <w:p w14:paraId="13AD07C2" w14:textId="77777777" w:rsidR="00257E1A" w:rsidRPr="008442B8" w:rsidRDefault="00257E1A" w:rsidP="0089652B">
            <w:pPr>
              <w:pStyle w:val="TableTextLeft"/>
            </w:pPr>
            <w:r w:rsidRPr="008442B8">
              <w:t>Commonwealth, state and territory imposed resource taxes, divided by 40 per cent.</w:t>
            </w:r>
          </w:p>
        </w:tc>
        <w:tc>
          <w:tcPr>
            <w:tcW w:w="1245" w:type="dxa"/>
            <w:shd w:val="clear" w:color="auto" w:fill="auto"/>
          </w:tcPr>
          <w:p w14:paraId="700F5BF7" w14:textId="77777777" w:rsidR="00257E1A" w:rsidRPr="008442B8" w:rsidRDefault="00257E1A" w:rsidP="0089652B">
            <w:pPr>
              <w:pStyle w:val="TableTextLeft"/>
            </w:pPr>
            <w:r w:rsidRPr="008442B8">
              <w:t>LTBR + 5%</w:t>
            </w:r>
          </w:p>
        </w:tc>
      </w:tr>
      <w:tr w:rsidR="00257E1A" w:rsidRPr="008442B8" w14:paraId="6AD9D258" w14:textId="77777777" w:rsidTr="00257E1A">
        <w:tc>
          <w:tcPr>
            <w:tcW w:w="3207" w:type="dxa"/>
            <w:shd w:val="clear" w:color="auto" w:fill="auto"/>
          </w:tcPr>
          <w:p w14:paraId="1D1A0E75" w14:textId="77777777" w:rsidR="00257E1A" w:rsidRPr="008442B8" w:rsidRDefault="00257E1A" w:rsidP="0089652B">
            <w:pPr>
              <w:pStyle w:val="TableTextLeft"/>
            </w:pPr>
            <w:r w:rsidRPr="008442B8">
              <w:t>Acquired exploration expenditure</w:t>
            </w:r>
          </w:p>
        </w:tc>
        <w:tc>
          <w:tcPr>
            <w:tcW w:w="4677" w:type="dxa"/>
            <w:shd w:val="clear" w:color="auto" w:fill="auto"/>
          </w:tcPr>
          <w:p w14:paraId="0BA95E0C" w14:textId="45C0E61B" w:rsidR="00257E1A" w:rsidRPr="008442B8" w:rsidRDefault="00257E1A" w:rsidP="0089652B">
            <w:pPr>
              <w:pStyle w:val="TableTextLeft"/>
            </w:pPr>
            <w:r w:rsidRPr="008442B8">
              <w:t xml:space="preserve">The exploration component of the </w:t>
            </w:r>
            <w:r w:rsidR="005D6F39">
              <w:t>‘</w:t>
            </w:r>
            <w:r w:rsidRPr="008442B8">
              <w:t>look back</w:t>
            </w:r>
            <w:r w:rsidR="005D6F39">
              <w:t>’</w:t>
            </w:r>
            <w:r w:rsidRPr="008442B8">
              <w:t xml:space="preserve"> method of determining the starting base.</w:t>
            </w:r>
          </w:p>
        </w:tc>
        <w:tc>
          <w:tcPr>
            <w:tcW w:w="1245" w:type="dxa"/>
            <w:shd w:val="clear" w:color="auto" w:fill="auto"/>
          </w:tcPr>
          <w:p w14:paraId="7B89A708" w14:textId="77777777" w:rsidR="00257E1A" w:rsidRPr="008442B8" w:rsidRDefault="00257E1A" w:rsidP="0089652B">
            <w:pPr>
              <w:pStyle w:val="TableTextLeft"/>
            </w:pPr>
            <w:r w:rsidRPr="008442B8">
              <w:t>LTBR+15% for 5 years following May 2010, LTRB +5% thereafter</w:t>
            </w:r>
          </w:p>
        </w:tc>
      </w:tr>
      <w:tr w:rsidR="00257E1A" w:rsidRPr="008442B8" w14:paraId="53B23C84" w14:textId="77777777" w:rsidTr="00257E1A">
        <w:tc>
          <w:tcPr>
            <w:tcW w:w="3207" w:type="dxa"/>
            <w:shd w:val="clear" w:color="auto" w:fill="auto"/>
          </w:tcPr>
          <w:p w14:paraId="41675E26" w14:textId="77777777" w:rsidR="00257E1A" w:rsidRPr="008442B8" w:rsidRDefault="00257E1A" w:rsidP="0089652B">
            <w:pPr>
              <w:pStyle w:val="TableTextLeft"/>
            </w:pPr>
            <w:r w:rsidRPr="008442B8">
              <w:t>Starting base expenditure</w:t>
            </w:r>
          </w:p>
        </w:tc>
        <w:tc>
          <w:tcPr>
            <w:tcW w:w="4677" w:type="dxa"/>
            <w:shd w:val="clear" w:color="auto" w:fill="auto"/>
          </w:tcPr>
          <w:p w14:paraId="3593AC1A" w14:textId="77777777" w:rsidR="00257E1A" w:rsidRPr="008442B8" w:rsidRDefault="00257E1A" w:rsidP="0089652B">
            <w:pPr>
              <w:pStyle w:val="TableTextLeft"/>
            </w:pPr>
            <w:r w:rsidRPr="008442B8">
              <w:t>Recognising the value of projects brought into the PRRT regime in 2012.</w:t>
            </w:r>
          </w:p>
        </w:tc>
        <w:tc>
          <w:tcPr>
            <w:tcW w:w="1245" w:type="dxa"/>
            <w:shd w:val="clear" w:color="auto" w:fill="auto"/>
          </w:tcPr>
          <w:p w14:paraId="7D3E222E" w14:textId="77777777" w:rsidR="00257E1A" w:rsidRPr="008442B8" w:rsidRDefault="00257E1A" w:rsidP="0089652B">
            <w:pPr>
              <w:pStyle w:val="TableTextLeft"/>
            </w:pPr>
            <w:r w:rsidRPr="008442B8">
              <w:t>LTBR+5% in most cases</w:t>
            </w:r>
          </w:p>
        </w:tc>
      </w:tr>
      <w:tr w:rsidR="00C16DA2" w:rsidRPr="008442B8" w14:paraId="50264651" w14:textId="77777777" w:rsidTr="00257E1A">
        <w:tc>
          <w:tcPr>
            <w:tcW w:w="3207" w:type="dxa"/>
            <w:shd w:val="clear" w:color="auto" w:fill="auto"/>
          </w:tcPr>
          <w:p w14:paraId="2912F8E2" w14:textId="4356EC45" w:rsidR="00C16DA2" w:rsidRPr="008442B8" w:rsidRDefault="00C16DA2" w:rsidP="0089652B">
            <w:pPr>
              <w:pStyle w:val="TableTextLeft"/>
            </w:pPr>
            <w:r>
              <w:t>Transferred exploration expenditure</w:t>
            </w:r>
          </w:p>
        </w:tc>
        <w:tc>
          <w:tcPr>
            <w:tcW w:w="4677" w:type="dxa"/>
            <w:shd w:val="clear" w:color="auto" w:fill="auto"/>
          </w:tcPr>
          <w:p w14:paraId="57E2B87D" w14:textId="265F7ECD" w:rsidR="00C16DA2" w:rsidRPr="008442B8" w:rsidRDefault="00C16DA2" w:rsidP="0089652B">
            <w:pPr>
              <w:pStyle w:val="TableTextLeft"/>
            </w:pPr>
            <w:r>
              <w:t>Exploration expenditure transferred in from elsewhere</w:t>
            </w:r>
            <w:r w:rsidR="00F52BBB">
              <w:t>.</w:t>
            </w:r>
          </w:p>
        </w:tc>
        <w:tc>
          <w:tcPr>
            <w:tcW w:w="1245" w:type="dxa"/>
            <w:shd w:val="clear" w:color="auto" w:fill="auto"/>
          </w:tcPr>
          <w:p w14:paraId="2FCC6AB4" w14:textId="045C84C4" w:rsidR="00C16DA2" w:rsidRPr="008442B8" w:rsidRDefault="00C16DA2" w:rsidP="0089652B">
            <w:pPr>
              <w:pStyle w:val="TableTextLeft"/>
            </w:pPr>
            <w:r>
              <w:t>LTBR+15% or GDP deflator</w:t>
            </w:r>
          </w:p>
        </w:tc>
      </w:tr>
      <w:tr w:rsidR="00257E1A" w:rsidRPr="008442B8" w14:paraId="1D9B3622" w14:textId="77777777" w:rsidTr="00257E1A">
        <w:tc>
          <w:tcPr>
            <w:tcW w:w="3207" w:type="dxa"/>
            <w:shd w:val="clear" w:color="auto" w:fill="auto"/>
          </w:tcPr>
          <w:p w14:paraId="77C86CE4" w14:textId="77777777" w:rsidR="00257E1A" w:rsidRPr="008442B8" w:rsidRDefault="00257E1A" w:rsidP="0089652B">
            <w:pPr>
              <w:pStyle w:val="TableTextLeft"/>
            </w:pPr>
            <w:r w:rsidRPr="008442B8">
              <w:t>Closing down expenditure</w:t>
            </w:r>
          </w:p>
        </w:tc>
        <w:tc>
          <w:tcPr>
            <w:tcW w:w="4677" w:type="dxa"/>
            <w:shd w:val="clear" w:color="auto" w:fill="auto"/>
          </w:tcPr>
          <w:p w14:paraId="5F0657F8" w14:textId="77777777" w:rsidR="00257E1A" w:rsidRPr="008442B8" w:rsidRDefault="00257E1A" w:rsidP="0089652B">
            <w:pPr>
              <w:pStyle w:val="TableTextLeft"/>
            </w:pPr>
            <w:r w:rsidRPr="008442B8">
              <w:t>Eligible undeducted payments to close operations are credited.</w:t>
            </w:r>
          </w:p>
        </w:tc>
        <w:tc>
          <w:tcPr>
            <w:tcW w:w="1245" w:type="dxa"/>
            <w:shd w:val="clear" w:color="auto" w:fill="auto"/>
          </w:tcPr>
          <w:p w14:paraId="1169A993" w14:textId="48A3660B" w:rsidR="00257E1A" w:rsidRPr="008442B8" w:rsidRDefault="005D6F39" w:rsidP="0089652B">
            <w:pPr>
              <w:pStyle w:val="TableTextLeft"/>
            </w:pPr>
            <w:r>
              <w:noBreakHyphen/>
            </w:r>
          </w:p>
        </w:tc>
      </w:tr>
    </w:tbl>
    <w:p w14:paraId="3CAD630F" w14:textId="77777777" w:rsidR="0089652B" w:rsidRDefault="0089652B" w:rsidP="0089652B">
      <w:pPr>
        <w:pStyle w:val="SingleParagraph"/>
      </w:pPr>
      <w:bookmarkStart w:id="10197" w:name="_Toc477869952"/>
      <w:bookmarkStart w:id="10198" w:name="_Toc477871191"/>
      <w:bookmarkStart w:id="10199" w:name="_Toc477873350"/>
      <w:bookmarkStart w:id="10200" w:name="_Toc477875344"/>
      <w:bookmarkStart w:id="10201" w:name="_Toc477880257"/>
      <w:bookmarkStart w:id="10202" w:name="_Toc477881517"/>
      <w:bookmarkStart w:id="10203" w:name="_Toc477955921"/>
      <w:bookmarkStart w:id="10204" w:name="_Toc477963166"/>
      <w:bookmarkStart w:id="10205" w:name="_Toc477963652"/>
      <w:bookmarkStart w:id="10206" w:name="_Toc477965238"/>
      <w:bookmarkStart w:id="10207" w:name="_Toc477966742"/>
      <w:bookmarkStart w:id="10208" w:name="_Toc477966911"/>
      <w:bookmarkStart w:id="10209" w:name="_Toc477967251"/>
      <w:bookmarkStart w:id="10210" w:name="_Toc478121388"/>
      <w:bookmarkStart w:id="10211" w:name="_Toc478122301"/>
      <w:bookmarkStart w:id="10212" w:name="_Toc478132131"/>
      <w:bookmarkStart w:id="10213" w:name="_Toc478133301"/>
      <w:bookmarkStart w:id="10214" w:name="_Toc478132438"/>
      <w:bookmarkStart w:id="10215" w:name="_Toc478134767"/>
      <w:bookmarkStart w:id="10216" w:name="_Toc478137469"/>
      <w:bookmarkStart w:id="10217" w:name="_Toc478138541"/>
      <w:bookmarkStart w:id="10218" w:name="_Toc478140111"/>
      <w:bookmarkStart w:id="10219" w:name="_Toc478140527"/>
      <w:bookmarkStart w:id="10220" w:name="_Toc478142733"/>
      <w:bookmarkStart w:id="10221" w:name="_Toc478566452"/>
      <w:bookmarkStart w:id="10222" w:name="_Toc478569619"/>
      <w:bookmarkStart w:id="10223" w:name="_Toc478569793"/>
      <w:bookmarkStart w:id="10224" w:name="_Toc478570867"/>
      <w:bookmarkStart w:id="10225" w:name="_Toc478633066"/>
      <w:bookmarkStart w:id="10226" w:name="_Toc478641476"/>
      <w:bookmarkStart w:id="10227" w:name="_Toc478654370"/>
      <w:bookmarkStart w:id="10228" w:name="_Toc478654544"/>
      <w:bookmarkStart w:id="10229" w:name="_Toc478657839"/>
      <w:bookmarkStart w:id="10230" w:name="_Toc478993260"/>
      <w:bookmarkStart w:id="10231" w:name="_Toc479000331"/>
      <w:bookmarkStart w:id="10232" w:name="_Toc479002265"/>
      <w:bookmarkStart w:id="10233" w:name="_Toc479002437"/>
      <w:bookmarkStart w:id="10234" w:name="_Toc479254411"/>
      <w:bookmarkStart w:id="10235" w:name="_Toc479258600"/>
      <w:bookmarkStart w:id="10236" w:name="_Toc479258916"/>
      <w:bookmarkStart w:id="10237" w:name="_Toc479259808"/>
      <w:bookmarkStart w:id="10238" w:name="_Toc479262231"/>
      <w:bookmarkStart w:id="10239" w:name="_Toc479262652"/>
      <w:bookmarkStart w:id="10240" w:name="_Toc479321353"/>
      <w:bookmarkStart w:id="10241" w:name="_Toc479326792"/>
      <w:bookmarkStart w:id="10242" w:name="_Toc479333053"/>
      <w:bookmarkStart w:id="10243" w:name="_Toc479333391"/>
      <w:bookmarkStart w:id="10244" w:name="_Toc479335088"/>
      <w:bookmarkStart w:id="10245" w:name="_Toc479341803"/>
      <w:bookmarkStart w:id="10246" w:name="_Toc479345219"/>
      <w:bookmarkStart w:id="10247" w:name="_Toc479345428"/>
      <w:bookmarkStart w:id="10248" w:name="_Toc479348409"/>
      <w:bookmarkStart w:id="10249" w:name="_Toc479676002"/>
      <w:bookmarkStart w:id="10250" w:name="_Toc479690969"/>
      <w:bookmarkStart w:id="10251" w:name="_Toc479693547"/>
    </w:p>
    <w:p w14:paraId="7BF35384" w14:textId="49B201D0" w:rsidR="00257E1A" w:rsidRDefault="00257E1A" w:rsidP="00257E1A">
      <w:pPr>
        <w:pStyle w:val="Heading3"/>
      </w:pPr>
      <w:bookmarkStart w:id="10252" w:name="_Toc479770716"/>
      <w:r>
        <w:t>B.1.7</w:t>
      </w:r>
      <w:r w:rsidR="004E3CED">
        <w:tab/>
      </w:r>
      <w:r>
        <w:t>Transferability</w:t>
      </w:r>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p>
    <w:p w14:paraId="40D7E32B" w14:textId="47869B55" w:rsidR="00257E1A" w:rsidRDefault="00257E1A" w:rsidP="00257E1A">
      <w:r>
        <w:t>Exploration expenditure incurred</w:t>
      </w:r>
      <w:r w:rsidDel="00F80737">
        <w:t xml:space="preserve"> </w:t>
      </w:r>
      <w:r>
        <w:t xml:space="preserve">after 1 July 1990 is transferable </w:t>
      </w:r>
      <w:r w:rsidR="00F80737">
        <w:t xml:space="preserve">to other </w:t>
      </w:r>
      <w:r w:rsidR="00314447">
        <w:t xml:space="preserve">project interests that are held by </w:t>
      </w:r>
      <w:r w:rsidR="00F80737">
        <w:t xml:space="preserve">companies in a wholly owned group </w:t>
      </w:r>
      <w:r>
        <w:t>where certain conditions are met:</w:t>
      </w:r>
    </w:p>
    <w:p w14:paraId="3532B7F9" w14:textId="0417DD68" w:rsidR="00257E1A" w:rsidRDefault="006926CA" w:rsidP="00120DC1">
      <w:pPr>
        <w:pStyle w:val="Bullet"/>
      </w:pPr>
      <w:r>
        <w:t>t</w:t>
      </w:r>
      <w:r w:rsidR="00257E1A">
        <w:t>he receiving project</w:t>
      </w:r>
      <w:r w:rsidR="00314447">
        <w:t xml:space="preserve"> interest </w:t>
      </w:r>
      <w:r w:rsidR="00257E1A">
        <w:t xml:space="preserve">has </w:t>
      </w:r>
      <w:r w:rsidR="00262B76">
        <w:t xml:space="preserve">a </w:t>
      </w:r>
      <w:r w:rsidR="00257E1A">
        <w:t xml:space="preserve">PRRT </w:t>
      </w:r>
      <w:r w:rsidR="00262B76">
        <w:t xml:space="preserve">taxable </w:t>
      </w:r>
      <w:r w:rsidR="00257E1A">
        <w:t>profit</w:t>
      </w:r>
      <w:r>
        <w:t>;</w:t>
      </w:r>
      <w:r w:rsidR="00314447">
        <w:t xml:space="preserve"> </w:t>
      </w:r>
    </w:p>
    <w:p w14:paraId="75C88CA4" w14:textId="71CF0E3A" w:rsidR="00257E1A" w:rsidRDefault="006926CA" w:rsidP="00120DC1">
      <w:pPr>
        <w:pStyle w:val="Bullet"/>
      </w:pPr>
      <w:r>
        <w:t>t</w:t>
      </w:r>
      <w:r w:rsidR="00257E1A">
        <w:t>he amount of expenditure transferred is only so much as will reduce th</w:t>
      </w:r>
      <w:r w:rsidR="00314447">
        <w:t xml:space="preserve">e PRRT profit of the receiving project to </w:t>
      </w:r>
      <w:r w:rsidR="00257E1A">
        <w:t>zero</w:t>
      </w:r>
      <w:r>
        <w:t xml:space="preserve"> (t</w:t>
      </w:r>
      <w:r w:rsidR="00E84BD3">
        <w:t xml:space="preserve">his is referred to as a </w:t>
      </w:r>
      <w:r w:rsidR="005D6F39">
        <w:t>‘</w:t>
      </w:r>
      <w:r w:rsidR="00E84BD3">
        <w:t>notional profit</w:t>
      </w:r>
      <w:r w:rsidR="005D6F39">
        <w:t>’</w:t>
      </w:r>
      <w:r w:rsidR="00E84BD3">
        <w:t xml:space="preserve"> in the PRRT</w:t>
      </w:r>
      <w:r>
        <w:t>); and</w:t>
      </w:r>
    </w:p>
    <w:p w14:paraId="29C870D5" w14:textId="330EB572" w:rsidR="00257E1A" w:rsidRDefault="006926CA" w:rsidP="00120DC1">
      <w:pPr>
        <w:pStyle w:val="Bullet"/>
      </w:pPr>
      <w:r>
        <w:t>a</w:t>
      </w:r>
      <w:r w:rsidR="00257E1A">
        <w:t xml:space="preserve"> common ownership rule is met</w:t>
      </w:r>
      <w:r>
        <w:t>.</w:t>
      </w:r>
    </w:p>
    <w:p w14:paraId="099D5B99" w14:textId="7C4C28BD" w:rsidR="00257E1A" w:rsidRDefault="00257E1A" w:rsidP="00257E1A">
      <w:r>
        <w:t>Transfers are made in a specific order</w:t>
      </w:r>
      <w:r w:rsidR="006926CA">
        <w:t>:</w:t>
      </w:r>
    </w:p>
    <w:p w14:paraId="74CFA33E" w14:textId="77777777" w:rsidR="00257E1A" w:rsidRDefault="00257E1A" w:rsidP="00120DC1">
      <w:pPr>
        <w:pStyle w:val="Bullet"/>
      </w:pPr>
      <w:r>
        <w:t xml:space="preserve">Transfers are made first to other petroleum projects that the company owns. Transfers may also be made to other companies within a wholly owned group. </w:t>
      </w:r>
    </w:p>
    <w:p w14:paraId="5CB6773C" w14:textId="77777777" w:rsidR="00257E1A" w:rsidRDefault="00257E1A" w:rsidP="00120DC1">
      <w:pPr>
        <w:pStyle w:val="Bullet"/>
      </w:pPr>
      <w:r>
        <w:t>Transfers are made to the petroleum project with the most recent production licence first.</w:t>
      </w:r>
    </w:p>
    <w:p w14:paraId="5F09206C" w14:textId="36567D5B" w:rsidR="00257E1A" w:rsidRDefault="00257E1A" w:rsidP="00120DC1">
      <w:pPr>
        <w:pStyle w:val="Bullet"/>
      </w:pPr>
      <w:r>
        <w:t xml:space="preserve">Transfers of expenditure attracting LTBR plus 15 percentage points are transferred before expenditure attracting </w:t>
      </w:r>
      <w:r w:rsidR="00314447">
        <w:t xml:space="preserve">the </w:t>
      </w:r>
      <w:r>
        <w:t>GDP factor uplift (</w:t>
      </w:r>
      <w:r w:rsidRPr="00715C69">
        <w:t xml:space="preserve">see </w:t>
      </w:r>
      <w:r w:rsidR="006926CA" w:rsidRPr="006D28D4">
        <w:t>s</w:t>
      </w:r>
      <w:r w:rsidRPr="006D28D4">
        <w:t xml:space="preserve">ection </w:t>
      </w:r>
      <w:r w:rsidR="00314447" w:rsidRPr="006D28D4">
        <w:t>4.</w:t>
      </w:r>
      <w:r w:rsidRPr="006D28D4">
        <w:t>3</w:t>
      </w:r>
      <w:r>
        <w:t>). The uplift rate that is applied to the transferred expenditure is determined by reference to the receiving project.</w:t>
      </w:r>
    </w:p>
    <w:p w14:paraId="7C2DB116" w14:textId="77777777" w:rsidR="00257E1A" w:rsidRDefault="00257E1A" w:rsidP="00120DC1">
      <w:pPr>
        <w:pStyle w:val="Bullet"/>
      </w:pPr>
      <w:r>
        <w:t>The oldest eligible expenditures are transferred first.</w:t>
      </w:r>
    </w:p>
    <w:p w14:paraId="7FEFA1BC" w14:textId="04E0FC3C" w:rsidR="00257E1A" w:rsidRDefault="00257E1A" w:rsidP="00257E1A">
      <w:r>
        <w:t xml:space="preserve">The common ownership rule </w:t>
      </w:r>
      <w:r w:rsidR="00E97927">
        <w:t>requires a</w:t>
      </w:r>
      <w:r w:rsidDel="00314447">
        <w:t xml:space="preserve"> </w:t>
      </w:r>
      <w:r w:rsidR="00314447">
        <w:t xml:space="preserve">company </w:t>
      </w:r>
      <w:r w:rsidR="00E97927">
        <w:t xml:space="preserve">to have </w:t>
      </w:r>
      <w:r w:rsidR="006926CA">
        <w:t xml:space="preserve">an </w:t>
      </w:r>
      <w:r>
        <w:t xml:space="preserve">interest in both the transferring project and receiving project </w:t>
      </w:r>
      <w:r w:rsidR="006926CA">
        <w:t>from</w:t>
      </w:r>
      <w:r w:rsidR="00E97927">
        <w:t xml:space="preserve"> the time </w:t>
      </w:r>
      <w:r w:rsidRPr="00ED08AA" w:rsidDel="00314447">
        <w:t xml:space="preserve">the </w:t>
      </w:r>
      <w:r w:rsidRPr="00ED08AA">
        <w:t xml:space="preserve">expenditure </w:t>
      </w:r>
      <w:r w:rsidR="00314447">
        <w:t xml:space="preserve">is </w:t>
      </w:r>
      <w:r w:rsidRPr="00ED08AA">
        <w:t>incurred</w:t>
      </w:r>
      <w:r>
        <w:t xml:space="preserve"> until</w:t>
      </w:r>
      <w:r w:rsidRPr="00ED08AA">
        <w:t xml:space="preserve"> the </w:t>
      </w:r>
      <w:r w:rsidR="00314447">
        <w:t>expenditure is</w:t>
      </w:r>
      <w:r w:rsidRPr="00ED08AA" w:rsidDel="00314447">
        <w:t xml:space="preserve"> </w:t>
      </w:r>
      <w:r w:rsidRPr="00ED08AA">
        <w:t>transfer</w:t>
      </w:r>
      <w:r w:rsidR="00314447">
        <w:t>red</w:t>
      </w:r>
      <w:r>
        <w:t>.</w:t>
      </w:r>
      <w:r w:rsidRPr="00ED08AA">
        <w:t xml:space="preserve"> This </w:t>
      </w:r>
      <w:r>
        <w:t xml:space="preserve">rule </w:t>
      </w:r>
      <w:r w:rsidRPr="00ED08AA">
        <w:t>prevent</w:t>
      </w:r>
      <w:r>
        <w:t>s</w:t>
      </w:r>
      <w:r w:rsidRPr="00ED08AA">
        <w:t xml:space="preserve"> </w:t>
      </w:r>
      <w:r w:rsidR="007A0FE4">
        <w:t xml:space="preserve">the </w:t>
      </w:r>
      <w:r>
        <w:t>acquisition of projects in order to offset transferable expenditure against</w:t>
      </w:r>
      <w:r w:rsidRPr="00ED08AA">
        <w:t xml:space="preserve"> </w:t>
      </w:r>
      <w:r>
        <w:t xml:space="preserve">an </w:t>
      </w:r>
      <w:r w:rsidRPr="00ED08AA">
        <w:t>income stream</w:t>
      </w:r>
      <w:r>
        <w:t>.</w:t>
      </w:r>
    </w:p>
    <w:p w14:paraId="271C962B" w14:textId="30672F44" w:rsidR="00257E1A" w:rsidRDefault="00257E1A" w:rsidP="00257E1A">
      <w:r w:rsidRPr="00370506">
        <w:t xml:space="preserve">Exploration expenditure </w:t>
      </w:r>
      <w:r w:rsidR="00E84BD3">
        <w:t xml:space="preserve">that satisfies the transfer rules must be </w:t>
      </w:r>
      <w:r w:rsidRPr="00370506">
        <w:t>transferred</w:t>
      </w:r>
      <w:r>
        <w:t xml:space="preserve"> under the PRRT.</w:t>
      </w:r>
      <w:r w:rsidRPr="0030011E">
        <w:t xml:space="preserve"> </w:t>
      </w:r>
      <w:r>
        <w:t>In some cases, where a</w:t>
      </w:r>
      <w:r w:rsidR="00E84BD3">
        <w:t xml:space="preserve"> company </w:t>
      </w:r>
      <w:r w:rsidR="00DC060B">
        <w:t xml:space="preserve">already </w:t>
      </w:r>
      <w:r>
        <w:t>has a profitable PRRT project, any exploration expenditure is transferred immediately and offset against the notional PRRT profit</w:t>
      </w:r>
      <w:r w:rsidR="00E84BD3">
        <w:t xml:space="preserve"> of the receiving project</w:t>
      </w:r>
      <w:r>
        <w:t>. In this circumstance the exploration expenditure receives no uplift as it is transferred and deducted in the same year it is incurred.</w:t>
      </w:r>
    </w:p>
    <w:p w14:paraId="0EB9C69E" w14:textId="4F0801B4" w:rsidR="00257E1A" w:rsidRDefault="00257E1A" w:rsidP="00257E1A">
      <w:r>
        <w:t xml:space="preserve">In other cases the exploration expenditure is carried forward until a different petroleum project within the </w:t>
      </w:r>
      <w:r w:rsidR="006F1E80">
        <w:t xml:space="preserve">wholly owned </w:t>
      </w:r>
      <w:r>
        <w:t xml:space="preserve">group has a notional taxable profit. In this case the exploration expenditure that is transferred is treated as exploration expenditure of the receiving project and the uplift rates that apply are determined by </w:t>
      </w:r>
      <w:r w:rsidR="006926CA">
        <w:t>the</w:t>
      </w:r>
      <w:r>
        <w:t xml:space="preserve"> facts of the receiving project. </w:t>
      </w:r>
    </w:p>
    <w:p w14:paraId="08054A75" w14:textId="7445E738" w:rsidR="00257E1A" w:rsidRDefault="00257E1A" w:rsidP="00257E1A">
      <w:r>
        <w:t xml:space="preserve">The result is that exploration expenditure of several participants in the same project may receive different treatment. </w:t>
      </w:r>
      <w:r w:rsidR="006F1E80">
        <w:t>For example, a project participant</w:t>
      </w:r>
      <w:r>
        <w:t xml:space="preserve"> </w:t>
      </w:r>
      <w:r w:rsidR="006F1E80">
        <w:t>that</w:t>
      </w:r>
      <w:r w:rsidDel="006F1E80">
        <w:t xml:space="preserve"> </w:t>
      </w:r>
      <w:r>
        <w:t>has another profitable project will transfer the expenditure immediately. A</w:t>
      </w:r>
      <w:r w:rsidDel="006F1E80">
        <w:t xml:space="preserve"> </w:t>
      </w:r>
      <w:r>
        <w:t>second</w:t>
      </w:r>
      <w:r w:rsidR="006F1E80">
        <w:t xml:space="preserve"> participant may have another </w:t>
      </w:r>
      <w:r>
        <w:t xml:space="preserve">project that only becomes profitable a number of years after the expenditure has been incurred </w:t>
      </w:r>
      <w:r w:rsidR="006F1E80">
        <w:t xml:space="preserve">and </w:t>
      </w:r>
      <w:r>
        <w:t xml:space="preserve">will transfer </w:t>
      </w:r>
      <w:r w:rsidR="006F1E80">
        <w:t xml:space="preserve">and uplift </w:t>
      </w:r>
      <w:r>
        <w:t>the expenditure</w:t>
      </w:r>
      <w:r w:rsidR="006F1E80">
        <w:t xml:space="preserve"> </w:t>
      </w:r>
      <w:r>
        <w:t xml:space="preserve">based on the facts of the receiving project. </w:t>
      </w:r>
      <w:r w:rsidR="006926CA">
        <w:t>A</w:t>
      </w:r>
      <w:r w:rsidDel="006F1E80">
        <w:t xml:space="preserve"> </w:t>
      </w:r>
      <w:r>
        <w:t xml:space="preserve">third </w:t>
      </w:r>
      <w:r w:rsidR="006F1E80">
        <w:t xml:space="preserve">participant </w:t>
      </w:r>
      <w:r w:rsidR="00A564D3">
        <w:t xml:space="preserve">may not have another profitable project and will </w:t>
      </w:r>
      <w:r w:rsidR="008D5034">
        <w:t xml:space="preserve">therefore </w:t>
      </w:r>
      <w:r w:rsidR="00A564D3">
        <w:t xml:space="preserve">not be able to transfer the expenditure to </w:t>
      </w:r>
      <w:r w:rsidR="008D5034">
        <w:t xml:space="preserve">another </w:t>
      </w:r>
      <w:r w:rsidR="00A564D3">
        <w:t xml:space="preserve">project. In this case, the expenditure will be </w:t>
      </w:r>
      <w:r>
        <w:t xml:space="preserve">carried forward </w:t>
      </w:r>
      <w:r w:rsidR="00A564D3">
        <w:t xml:space="preserve">and </w:t>
      </w:r>
      <w:r>
        <w:t xml:space="preserve">deducted against the </w:t>
      </w:r>
      <w:r w:rsidR="00A564D3">
        <w:t xml:space="preserve">future assessable </w:t>
      </w:r>
      <w:r>
        <w:t xml:space="preserve">receipts </w:t>
      </w:r>
      <w:r w:rsidR="00A564D3">
        <w:t xml:space="preserve">of the </w:t>
      </w:r>
      <w:r>
        <w:t>project.</w:t>
      </w:r>
    </w:p>
    <w:p w14:paraId="63F04A03" w14:textId="536ECDE3" w:rsidR="00257E1A" w:rsidRPr="00DF33E9" w:rsidRDefault="00257E1A" w:rsidP="00D605E2">
      <w:r>
        <w:t>In some circumstances</w:t>
      </w:r>
      <w:r w:rsidR="00D605E2">
        <w:t>,</w:t>
      </w:r>
      <w:r>
        <w:t xml:space="preserve"> the different facts of the different projects within a company group may result in different treatment for exploration expenditure</w:t>
      </w:r>
      <w:r w:rsidR="00755941">
        <w:t xml:space="preserve">. </w:t>
      </w:r>
      <w:r w:rsidR="00D605E2">
        <w:t>T</w:t>
      </w:r>
      <w:r>
        <w:t xml:space="preserve">he </w:t>
      </w:r>
      <w:r w:rsidR="00A564D3">
        <w:t xml:space="preserve">transfer </w:t>
      </w:r>
      <w:r>
        <w:t xml:space="preserve">rules </w:t>
      </w:r>
      <w:r w:rsidR="00A564D3">
        <w:t xml:space="preserve">may </w:t>
      </w:r>
      <w:r w:rsidR="00D605E2">
        <w:t>mean that</w:t>
      </w:r>
      <w:r>
        <w:t xml:space="preserve"> </w:t>
      </w:r>
      <w:r w:rsidR="00D605E2">
        <w:t xml:space="preserve">exploration </w:t>
      </w:r>
      <w:r>
        <w:t xml:space="preserve">expenditure that would </w:t>
      </w:r>
      <w:r w:rsidR="00D605E2">
        <w:t xml:space="preserve">have </w:t>
      </w:r>
      <w:r>
        <w:t>be</w:t>
      </w:r>
      <w:r w:rsidR="00D605E2">
        <w:t>en</w:t>
      </w:r>
      <w:r>
        <w:t xml:space="preserve"> uplifted at GDP deflator </w:t>
      </w:r>
      <w:r w:rsidR="00C42D67">
        <w:t xml:space="preserve">if it was utilised by the project, </w:t>
      </w:r>
      <w:r w:rsidR="00D605E2">
        <w:t>is</w:t>
      </w:r>
      <w:r>
        <w:t xml:space="preserve"> uplifted at LTBR plus </w:t>
      </w:r>
      <w:r w:rsidR="002B2B3B">
        <w:t xml:space="preserve">15 </w:t>
      </w:r>
      <w:r>
        <w:t xml:space="preserve">percentage points when </w:t>
      </w:r>
      <w:r w:rsidR="008C41EE">
        <w:t xml:space="preserve">it is </w:t>
      </w:r>
      <w:r>
        <w:t xml:space="preserve">compulsorily transferred to </w:t>
      </w:r>
      <w:r w:rsidR="00A564D3">
        <w:t xml:space="preserve">a </w:t>
      </w:r>
      <w:r>
        <w:t>second project</w:t>
      </w:r>
      <w:r w:rsidR="00D605E2">
        <w:t xml:space="preserve"> or, alternatively, a project</w:t>
      </w:r>
      <w:r w:rsidR="005D6F39">
        <w:t>’</w:t>
      </w:r>
      <w:r w:rsidR="00D605E2">
        <w:t xml:space="preserve">s exploration expenditure </w:t>
      </w:r>
      <w:r w:rsidR="008C41EE">
        <w:t xml:space="preserve">that would have been </w:t>
      </w:r>
      <w:r w:rsidR="00D605E2">
        <w:t xml:space="preserve">uplifted at </w:t>
      </w:r>
      <w:r w:rsidR="008C41EE">
        <w:t xml:space="preserve">LTBR plus 15 percentage points, may only be uplifted at the GDP deflator </w:t>
      </w:r>
      <w:r w:rsidR="002B2B3B">
        <w:t xml:space="preserve">when </w:t>
      </w:r>
      <w:r w:rsidR="008C41EE">
        <w:t xml:space="preserve">its </w:t>
      </w:r>
      <w:r w:rsidR="002B2B3B">
        <w:t>transferred</w:t>
      </w:r>
      <w:r>
        <w:t>.</w:t>
      </w:r>
    </w:p>
    <w:p w14:paraId="145430CE" w14:textId="038D1973" w:rsidR="00257E1A" w:rsidRDefault="00257E1A" w:rsidP="00257E1A">
      <w:pPr>
        <w:pStyle w:val="Heading3"/>
      </w:pPr>
      <w:bookmarkStart w:id="10253" w:name="_Toc477869953"/>
      <w:bookmarkStart w:id="10254" w:name="_Toc477871192"/>
      <w:bookmarkStart w:id="10255" w:name="_Toc477873351"/>
      <w:bookmarkStart w:id="10256" w:name="_Toc477875345"/>
      <w:bookmarkStart w:id="10257" w:name="_Toc477880258"/>
      <w:bookmarkStart w:id="10258" w:name="_Toc477881518"/>
      <w:bookmarkStart w:id="10259" w:name="_Toc477955922"/>
      <w:bookmarkStart w:id="10260" w:name="_Toc477963167"/>
      <w:bookmarkStart w:id="10261" w:name="_Toc477963653"/>
      <w:bookmarkStart w:id="10262" w:name="_Toc477965239"/>
      <w:bookmarkStart w:id="10263" w:name="_Toc477966743"/>
      <w:bookmarkStart w:id="10264" w:name="_Toc477966912"/>
      <w:bookmarkStart w:id="10265" w:name="_Toc477967252"/>
      <w:bookmarkStart w:id="10266" w:name="_Toc478121389"/>
      <w:bookmarkStart w:id="10267" w:name="_Toc478122302"/>
      <w:bookmarkStart w:id="10268" w:name="_Toc478132132"/>
      <w:bookmarkStart w:id="10269" w:name="_Toc478133302"/>
      <w:bookmarkStart w:id="10270" w:name="_Toc478132439"/>
      <w:bookmarkStart w:id="10271" w:name="_Toc478134768"/>
      <w:bookmarkStart w:id="10272" w:name="_Toc478137470"/>
      <w:bookmarkStart w:id="10273" w:name="_Toc478138542"/>
      <w:bookmarkStart w:id="10274" w:name="_Toc478140112"/>
      <w:bookmarkStart w:id="10275" w:name="_Toc478140528"/>
      <w:bookmarkStart w:id="10276" w:name="_Toc478142734"/>
      <w:bookmarkStart w:id="10277" w:name="_Toc478566453"/>
      <w:bookmarkStart w:id="10278" w:name="_Toc478569620"/>
      <w:bookmarkStart w:id="10279" w:name="_Toc478569794"/>
      <w:bookmarkStart w:id="10280" w:name="_Toc478570868"/>
      <w:bookmarkStart w:id="10281" w:name="_Toc478633067"/>
      <w:bookmarkStart w:id="10282" w:name="_Toc478641477"/>
      <w:bookmarkStart w:id="10283" w:name="_Toc478654371"/>
      <w:bookmarkStart w:id="10284" w:name="_Toc478654545"/>
      <w:bookmarkStart w:id="10285" w:name="_Toc478657840"/>
      <w:bookmarkStart w:id="10286" w:name="_Toc478993261"/>
      <w:bookmarkStart w:id="10287" w:name="_Toc479000332"/>
      <w:bookmarkStart w:id="10288" w:name="_Toc479002266"/>
      <w:bookmarkStart w:id="10289" w:name="_Toc479002438"/>
      <w:bookmarkStart w:id="10290" w:name="_Toc479254412"/>
      <w:bookmarkStart w:id="10291" w:name="_Toc479258601"/>
      <w:bookmarkStart w:id="10292" w:name="_Toc479258917"/>
      <w:bookmarkStart w:id="10293" w:name="_Toc479259809"/>
      <w:bookmarkStart w:id="10294" w:name="_Toc479262232"/>
      <w:bookmarkStart w:id="10295" w:name="_Toc479262653"/>
      <w:bookmarkStart w:id="10296" w:name="_Toc479321354"/>
      <w:bookmarkStart w:id="10297" w:name="_Toc479326793"/>
      <w:bookmarkStart w:id="10298" w:name="_Toc479333054"/>
      <w:bookmarkStart w:id="10299" w:name="_Toc479333392"/>
      <w:bookmarkStart w:id="10300" w:name="_Toc479335089"/>
      <w:bookmarkStart w:id="10301" w:name="_Toc479341804"/>
      <w:bookmarkStart w:id="10302" w:name="_Toc479345220"/>
      <w:bookmarkStart w:id="10303" w:name="_Toc479345429"/>
      <w:bookmarkStart w:id="10304" w:name="_Toc479348410"/>
      <w:bookmarkStart w:id="10305" w:name="_Toc479676003"/>
      <w:bookmarkStart w:id="10306" w:name="_Toc479690970"/>
      <w:bookmarkStart w:id="10307" w:name="_Toc479693548"/>
      <w:bookmarkStart w:id="10308" w:name="_Toc479770717"/>
      <w:r>
        <w:t>B.1.8</w:t>
      </w:r>
      <w:r>
        <w:tab/>
        <w:t xml:space="preserve">Gas </w:t>
      </w:r>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r w:rsidR="006926CA">
        <w:t>t</w:t>
      </w:r>
      <w:r>
        <w:t xml:space="preserve">ransfer </w:t>
      </w:r>
      <w:r w:rsidR="006926CA">
        <w:t>p</w:t>
      </w:r>
      <w:r>
        <w:t>ricing</w:t>
      </w:r>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p>
    <w:p w14:paraId="7CE10EE5" w14:textId="34DAE0F2" w:rsidR="00257E1A" w:rsidRPr="00B46F60" w:rsidRDefault="00257E1A" w:rsidP="00257E1A">
      <w:r>
        <w:t xml:space="preserve">The PRRT is levied on profits from the processing of petroleum up to the point where it is first in its final form as </w:t>
      </w:r>
      <w:r w:rsidR="007B1963">
        <w:t>an MPC</w:t>
      </w:r>
      <w:r>
        <w:t>. It does not levy tax on any subsequent operations of an integrated project. T</w:t>
      </w:r>
      <w:r w:rsidRPr="00B46F60">
        <w:t xml:space="preserve">he </w:t>
      </w:r>
      <w:r w:rsidR="00EC704C">
        <w:t>GTP</w:t>
      </w:r>
      <w:r w:rsidRPr="00B46F60">
        <w:t xml:space="preserve"> methodology to calculate the </w:t>
      </w:r>
      <w:r>
        <w:t>arm</w:t>
      </w:r>
      <w:r w:rsidR="005D6F39">
        <w:t>’</w:t>
      </w:r>
      <w:r>
        <w:t xml:space="preserve">s length price </w:t>
      </w:r>
      <w:r w:rsidR="003134B3">
        <w:t xml:space="preserve">for </w:t>
      </w:r>
      <w:r>
        <w:t>sales gas</w:t>
      </w:r>
      <w:r w:rsidR="004D3540">
        <w:t xml:space="preserve"> </w:t>
      </w:r>
      <w:r w:rsidRPr="00B46F60">
        <w:t xml:space="preserve">(the </w:t>
      </w:r>
      <w:r w:rsidR="007B1963">
        <w:t>MPC</w:t>
      </w:r>
      <w:r w:rsidRPr="00B46F60">
        <w:t xml:space="preserve">) </w:t>
      </w:r>
      <w:r w:rsidR="004D3540">
        <w:t xml:space="preserve">which is </w:t>
      </w:r>
      <w:r>
        <w:t xml:space="preserve">used </w:t>
      </w:r>
      <w:r w:rsidR="004D3540">
        <w:t xml:space="preserve">as feedstock </w:t>
      </w:r>
      <w:r w:rsidR="009D6750">
        <w:t>gas in t</w:t>
      </w:r>
      <w:r w:rsidR="004D3540">
        <w:t>he</w:t>
      </w:r>
      <w:r w:rsidR="009D6750">
        <w:t xml:space="preserve"> integrated </w:t>
      </w:r>
      <w:r w:rsidRPr="00B46F60">
        <w:t xml:space="preserve">LNG </w:t>
      </w:r>
      <w:r w:rsidR="004D3540">
        <w:t>p</w:t>
      </w:r>
      <w:r w:rsidR="009D6750">
        <w:t>roject is contained in the PRRT regulations.</w:t>
      </w:r>
      <w:r w:rsidRPr="00B46F60">
        <w:t xml:space="preserve"> It is </w:t>
      </w:r>
      <w:r w:rsidR="009B5BD1">
        <w:t>important</w:t>
      </w:r>
      <w:r w:rsidRPr="00B46F60">
        <w:t xml:space="preserve"> to know the </w:t>
      </w:r>
      <w:r>
        <w:t xml:space="preserve">transfer </w:t>
      </w:r>
      <w:r w:rsidRPr="00B46F60">
        <w:t xml:space="preserve">price of the gas at the taxing point </w:t>
      </w:r>
      <w:r w:rsidR="003134B3">
        <w:t xml:space="preserve">in order to calculate the </w:t>
      </w:r>
      <w:r w:rsidRPr="00B46F60">
        <w:t xml:space="preserve">PRRT liability </w:t>
      </w:r>
      <w:r w:rsidR="003134B3">
        <w:t>for project</w:t>
      </w:r>
      <w:r w:rsidRPr="00B46F60">
        <w:t>.</w:t>
      </w:r>
    </w:p>
    <w:p w14:paraId="61057302" w14:textId="7440A3A6" w:rsidR="00257E1A" w:rsidRDefault="00257E1A" w:rsidP="00257E1A">
      <w:r>
        <w:t xml:space="preserve">The </w:t>
      </w:r>
      <w:r w:rsidR="00EC704C">
        <w:t>GTP</w:t>
      </w:r>
      <w:r>
        <w:t xml:space="preserve"> regulations </w:t>
      </w:r>
      <w:r w:rsidRPr="006B6710">
        <w:t xml:space="preserve">are contained in the </w:t>
      </w:r>
      <w:r w:rsidRPr="006B6710">
        <w:rPr>
          <w:i/>
          <w:color w:val="auto"/>
        </w:rPr>
        <w:t>Petroleum Resource Rent Tax Assessment Regulation 2015</w:t>
      </w:r>
      <w:r w:rsidRPr="006B6710">
        <w:rPr>
          <w:i/>
        </w:rPr>
        <w:t xml:space="preserve">, </w:t>
      </w:r>
      <w:r>
        <w:t>originally enacted as</w:t>
      </w:r>
      <w:r w:rsidRPr="006B6710">
        <w:rPr>
          <w:i/>
        </w:rPr>
        <w:t xml:space="preserve"> </w:t>
      </w:r>
      <w:r w:rsidRPr="006B6710">
        <w:t>the</w:t>
      </w:r>
      <w:r w:rsidRPr="006B6710">
        <w:rPr>
          <w:i/>
        </w:rPr>
        <w:t xml:space="preserve"> Petroleum Resource Rent Tax Assessment Regulations 2005.</w:t>
      </w:r>
      <w:r w:rsidRPr="006B6710">
        <w:t xml:space="preserve"> The </w:t>
      </w:r>
      <w:r w:rsidR="00EC704C">
        <w:t>GTP</w:t>
      </w:r>
      <w:r w:rsidRPr="006B6710">
        <w:t xml:space="preserve"> regulations</w:t>
      </w:r>
      <w:r>
        <w:t xml:space="preserve"> set out a framework </w:t>
      </w:r>
      <w:r w:rsidR="009B5BD1">
        <w:t>for</w:t>
      </w:r>
      <w:r>
        <w:t xml:space="preserve"> determin</w:t>
      </w:r>
      <w:r w:rsidR="009B5BD1">
        <w:t>ing</w:t>
      </w:r>
      <w:r>
        <w:t xml:space="preserve"> the price of sales gas at the taxing point for the purpose of calculating PRRT liability. </w:t>
      </w:r>
      <w:r w:rsidRPr="00B46F60">
        <w:t xml:space="preserve">Under the </w:t>
      </w:r>
      <w:r w:rsidR="00EC704C">
        <w:t>GTP</w:t>
      </w:r>
      <w:r w:rsidRPr="00B46F60">
        <w:t xml:space="preserve"> methodology, there are several methods for calculating a transfer price</w:t>
      </w:r>
      <w:r w:rsidR="006926CA">
        <w:t>:</w:t>
      </w:r>
    </w:p>
    <w:p w14:paraId="2919EB52" w14:textId="059348F3" w:rsidR="00257E1A" w:rsidRDefault="00257E1A" w:rsidP="00120DC1">
      <w:pPr>
        <w:pStyle w:val="Bullet"/>
      </w:pPr>
      <w:r>
        <w:t xml:space="preserve">an advance pricing arrangement (APA) that has been agreed between the taxpayer and the Commissioner of </w:t>
      </w:r>
      <w:r w:rsidR="003134B3">
        <w:t>t</w:t>
      </w:r>
      <w:r>
        <w:t>axation</w:t>
      </w:r>
      <w:r w:rsidR="006926CA">
        <w:t>;</w:t>
      </w:r>
    </w:p>
    <w:p w14:paraId="6265693A" w14:textId="57A12708" w:rsidR="00257E1A" w:rsidRDefault="00257E1A" w:rsidP="00120DC1">
      <w:pPr>
        <w:pStyle w:val="Bullet"/>
      </w:pPr>
      <w:r>
        <w:t>a comparable uncontrolled price (CUP)</w:t>
      </w:r>
      <w:r w:rsidR="006926CA">
        <w:t>; and</w:t>
      </w:r>
    </w:p>
    <w:p w14:paraId="6782B800" w14:textId="5C634887" w:rsidR="00257E1A" w:rsidRDefault="00257E1A" w:rsidP="00120DC1">
      <w:pPr>
        <w:pStyle w:val="Bullet"/>
      </w:pPr>
      <w:r>
        <w:t>the residual pricing method (RPM) contained in the regulations</w:t>
      </w:r>
      <w:r w:rsidR="006926CA">
        <w:t>.</w:t>
      </w:r>
    </w:p>
    <w:p w14:paraId="1CD9C15A" w14:textId="26FB9976" w:rsidR="00257E1A" w:rsidRDefault="0020313B" w:rsidP="00257E1A">
      <w:pPr>
        <w:pStyle w:val="Heading4"/>
      </w:pPr>
      <w:r>
        <w:t>Advance</w:t>
      </w:r>
      <w:r w:rsidR="00257E1A">
        <w:t xml:space="preserve"> </w:t>
      </w:r>
      <w:r w:rsidR="006926CA">
        <w:t>p</w:t>
      </w:r>
      <w:r w:rsidR="00257E1A">
        <w:t xml:space="preserve">ricing </w:t>
      </w:r>
      <w:r w:rsidR="006926CA">
        <w:t>a</w:t>
      </w:r>
      <w:r w:rsidR="00A87C43">
        <w:t>rrangements</w:t>
      </w:r>
    </w:p>
    <w:p w14:paraId="68DB5C01" w14:textId="6615C6E9" w:rsidR="00257E1A" w:rsidRDefault="00257E1A" w:rsidP="00257E1A">
      <w:r>
        <w:t xml:space="preserve">An APA is an agreement between the Commissioner of </w:t>
      </w:r>
      <w:r w:rsidR="003134B3">
        <w:t>t</w:t>
      </w:r>
      <w:r>
        <w:t>axation and a taxpayer on the future application of the arm</w:t>
      </w:r>
      <w:r w:rsidR="005D6F39">
        <w:t>’</w:t>
      </w:r>
      <w:r>
        <w:t>s length principle to the taxpayer</w:t>
      </w:r>
      <w:r w:rsidR="005D6F39">
        <w:t>’</w:t>
      </w:r>
      <w:r>
        <w:t>s dealings with international related parties.</w:t>
      </w:r>
    </w:p>
    <w:p w14:paraId="4265890D" w14:textId="0B55DCFE" w:rsidR="00257E1A" w:rsidRDefault="00257E1A" w:rsidP="00257E1A">
      <w:r>
        <w:t>An APA is not an agreed price but an agreed method of calculating an arm</w:t>
      </w:r>
      <w:r w:rsidR="005D6F39">
        <w:t>’</w:t>
      </w:r>
      <w:r>
        <w:t>s</w:t>
      </w:r>
      <w:r w:rsidR="006926CA">
        <w:t xml:space="preserve"> </w:t>
      </w:r>
      <w:r>
        <w:t xml:space="preserve">length price. APAs are typically used in cross border international dealings to manage transfer pricing risks for taxpayers and the Commissioner of </w:t>
      </w:r>
      <w:r w:rsidR="009B5BD1">
        <w:t>T</w:t>
      </w:r>
      <w:r>
        <w:t>axation. In the PRRT context the transfer pricing risk is not limited to or focused on cross border international dealings</w:t>
      </w:r>
      <w:r w:rsidR="009B5BD1">
        <w:t>. T</w:t>
      </w:r>
      <w:r>
        <w:t xml:space="preserve">he main aim of the APA is to find agreement on the appropriate methodology, assumptions and information to calculate the price </w:t>
      </w:r>
      <w:r w:rsidR="003D6556">
        <w:t>at the PRRT taxing point</w:t>
      </w:r>
      <w:r>
        <w:t>.</w:t>
      </w:r>
    </w:p>
    <w:p w14:paraId="4C4786C6" w14:textId="77777777" w:rsidR="00257E1A" w:rsidRDefault="00257E1A" w:rsidP="00257E1A">
      <w:r>
        <w:t>The ATO submission outlined the circumstances in which the ATO would enter into an APA:</w:t>
      </w:r>
    </w:p>
    <w:p w14:paraId="6F0A259B" w14:textId="4BF0CC74" w:rsidR="00257E1A" w:rsidRPr="003275AD" w:rsidRDefault="00257E1A" w:rsidP="00257E1A">
      <w:pPr>
        <w:ind w:left="567" w:right="565"/>
        <w:rPr>
          <w:color w:val="1F497D" w:themeColor="text2"/>
          <w:sz w:val="20"/>
        </w:rPr>
      </w:pPr>
      <w:r w:rsidRPr="003275AD">
        <w:rPr>
          <w:color w:val="1F497D" w:themeColor="text2"/>
          <w:sz w:val="20"/>
        </w:rPr>
        <w:t xml:space="preserve">The ATO may enter into APAs with operators and participants of petroleum projects in order to determine, in advance of controlled transactions, an appropriate set of criteria for the determination of the transfer pricing of those transactions over a fixed period of time. Parties enter into APAs for various reasons but primarily to mitigate risk. Once entered, an APA is reviewed by the ATO to ensure the conditions (described as </w:t>
      </w:r>
      <w:r w:rsidR="005D6F39">
        <w:rPr>
          <w:color w:val="1F497D" w:themeColor="text2"/>
          <w:sz w:val="20"/>
        </w:rPr>
        <w:t>‘</w:t>
      </w:r>
      <w:r w:rsidRPr="003275AD">
        <w:rPr>
          <w:color w:val="1F497D" w:themeColor="text2"/>
          <w:sz w:val="20"/>
        </w:rPr>
        <w:t>critical assumptions</w:t>
      </w:r>
      <w:r w:rsidR="005D6F39">
        <w:rPr>
          <w:color w:val="1F497D" w:themeColor="text2"/>
          <w:sz w:val="20"/>
        </w:rPr>
        <w:t>’</w:t>
      </w:r>
      <w:r w:rsidRPr="003275AD">
        <w:rPr>
          <w:color w:val="1F497D" w:themeColor="text2"/>
          <w:sz w:val="20"/>
        </w:rPr>
        <w:t>) listed in the APA have not been breached, and the terms of the APA have been met</w:t>
      </w:r>
      <w:r>
        <w:rPr>
          <w:color w:val="1F497D" w:themeColor="text2"/>
          <w:sz w:val="20"/>
        </w:rPr>
        <w:t xml:space="preserve"> </w:t>
      </w:r>
      <w:r w:rsidRPr="005F1FCC">
        <w:rPr>
          <w:color w:val="1F497D" w:themeColor="text2"/>
          <w:sz w:val="20"/>
        </w:rPr>
        <w:t>(</w:t>
      </w:r>
      <w:r w:rsidR="00CC112D">
        <w:rPr>
          <w:color w:val="1F497D" w:themeColor="text2"/>
          <w:sz w:val="20"/>
        </w:rPr>
        <w:t>ATO</w:t>
      </w:r>
      <w:r w:rsidRPr="005F1FCC">
        <w:rPr>
          <w:color w:val="1F497D" w:themeColor="text2"/>
          <w:sz w:val="20"/>
        </w:rPr>
        <w:t xml:space="preserve"> </w:t>
      </w:r>
      <w:r w:rsidR="009B5BD1">
        <w:rPr>
          <w:color w:val="1F497D" w:themeColor="text2"/>
          <w:sz w:val="20"/>
        </w:rPr>
        <w:t>s</w:t>
      </w:r>
      <w:r w:rsidRPr="005F1FCC">
        <w:rPr>
          <w:color w:val="1F497D" w:themeColor="text2"/>
          <w:sz w:val="20"/>
        </w:rPr>
        <w:t>ubmission, p. 15)</w:t>
      </w:r>
      <w:r w:rsidRPr="008B6C90">
        <w:rPr>
          <w:color w:val="1F497D" w:themeColor="text2"/>
          <w:sz w:val="20"/>
        </w:rPr>
        <w:t>.</w:t>
      </w:r>
    </w:p>
    <w:p w14:paraId="1C0E764B" w14:textId="1F1D58B8" w:rsidR="00257E1A" w:rsidRDefault="00257E1A" w:rsidP="00257E1A">
      <w:pPr>
        <w:pStyle w:val="Heading4"/>
      </w:pPr>
      <w:r>
        <w:t xml:space="preserve">Comparable </w:t>
      </w:r>
      <w:r w:rsidR="006926CA">
        <w:t>u</w:t>
      </w:r>
      <w:r>
        <w:t xml:space="preserve">ncontrolled </w:t>
      </w:r>
      <w:r w:rsidR="006926CA">
        <w:t>p</w:t>
      </w:r>
      <w:r>
        <w:t>rice</w:t>
      </w:r>
    </w:p>
    <w:p w14:paraId="71DCD011" w14:textId="0C03B0B7" w:rsidR="00257E1A" w:rsidRDefault="00257E1A" w:rsidP="00257E1A">
      <w:r>
        <w:t>A CUP is a common transfer pricing methodology used to find an arm</w:t>
      </w:r>
      <w:r w:rsidR="005D6F39">
        <w:t>’</w:t>
      </w:r>
      <w:r>
        <w:t xml:space="preserve">s length price that is supported by OECD </w:t>
      </w:r>
      <w:r w:rsidR="006344D1">
        <w:t>Transfer Pricing Guidelines for Multinational Enterprises and Tax Administrations</w:t>
      </w:r>
      <w:r>
        <w:t>.</w:t>
      </w:r>
    </w:p>
    <w:p w14:paraId="3F271E8D" w14:textId="3E64328A" w:rsidR="00257E1A" w:rsidRDefault="00257E1A" w:rsidP="00257E1A">
      <w:r>
        <w:t xml:space="preserve">The CUP method compares </w:t>
      </w:r>
      <w:r w:rsidR="005D6F39">
        <w:t>‘</w:t>
      </w:r>
      <w:r>
        <w:t xml:space="preserve">the price for property or services transferred in a controlled transaction to the price charged for property or services transferred in a comparable uncontrolled transaction in comparable </w:t>
      </w:r>
      <w:r w:rsidRPr="006344D1">
        <w:t>circumstances</w:t>
      </w:r>
      <w:r w:rsidR="005D6F39">
        <w:t>’</w:t>
      </w:r>
      <w:r>
        <w:t xml:space="preserve"> (</w:t>
      </w:r>
      <w:r w:rsidRPr="006344D1">
        <w:t>OECD</w:t>
      </w:r>
      <w:r w:rsidR="005F1FCC" w:rsidRPr="006344D1">
        <w:t>,</w:t>
      </w:r>
      <w:r w:rsidR="00322A3A" w:rsidRPr="006344D1">
        <w:t xml:space="preserve"> 2010, p</w:t>
      </w:r>
      <w:r w:rsidR="006926CA">
        <w:t>.</w:t>
      </w:r>
      <w:r w:rsidR="00322A3A" w:rsidRPr="006344D1">
        <w:t xml:space="preserve"> 24.</w:t>
      </w:r>
      <w:r w:rsidR="005F1FCC" w:rsidRPr="006344D1">
        <w:t>).</w:t>
      </w:r>
    </w:p>
    <w:p w14:paraId="5ACBE329" w14:textId="68263294" w:rsidR="00257E1A" w:rsidRDefault="00257E1A" w:rsidP="00257E1A">
      <w:r>
        <w:t xml:space="preserve">In the case of the PRRT, the </w:t>
      </w:r>
      <w:r w:rsidR="005D6F39">
        <w:t>‘</w:t>
      </w:r>
      <w:r>
        <w:t>controlled transaction</w:t>
      </w:r>
      <w:r w:rsidR="005D6F39">
        <w:t>’</w:t>
      </w:r>
      <w:r>
        <w:t xml:space="preserve"> is the transfer of the sales gas from the upstream PRRT ring fence to the downstream liquefaction process. Finding an </w:t>
      </w:r>
      <w:r w:rsidR="005D6F39">
        <w:t>‘</w:t>
      </w:r>
      <w:r>
        <w:t>uncontrolled</w:t>
      </w:r>
      <w:r w:rsidR="005D6F39">
        <w:t>’</w:t>
      </w:r>
      <w:r>
        <w:t xml:space="preserve"> comparable transaction is difficult, especially for offshore integrated projects. There is no </w:t>
      </w:r>
      <w:r w:rsidR="009B5BD1">
        <w:t xml:space="preserve">uncontrolled </w:t>
      </w:r>
      <w:r>
        <w:t xml:space="preserve">transfer of natural gas or sales gas into LNG projects in the North West Australia region to observe. Transferring natural gas or sales gas across </w:t>
      </w:r>
      <w:r w:rsidR="009B5BD1">
        <w:t xml:space="preserve">unrelated </w:t>
      </w:r>
      <w:r>
        <w:t xml:space="preserve">projects or </w:t>
      </w:r>
      <w:r w:rsidR="009B5BD1">
        <w:t>arm</w:t>
      </w:r>
      <w:r w:rsidR="005D6F39">
        <w:t>’</w:t>
      </w:r>
      <w:r w:rsidR="009B5BD1">
        <w:t xml:space="preserve">s length </w:t>
      </w:r>
      <w:r>
        <w:t xml:space="preserve">purchasing </w:t>
      </w:r>
      <w:r w:rsidR="009B5BD1">
        <w:t xml:space="preserve">of </w:t>
      </w:r>
      <w:r>
        <w:t xml:space="preserve">sales gas for feedstock </w:t>
      </w:r>
      <w:r w:rsidR="009B5BD1">
        <w:t xml:space="preserve">for LNG processing </w:t>
      </w:r>
      <w:r>
        <w:t xml:space="preserve">is much more common </w:t>
      </w:r>
      <w:r w:rsidR="009B5BD1">
        <w:t>with</w:t>
      </w:r>
      <w:r>
        <w:t xml:space="preserve"> onshore operations. However this does not </w:t>
      </w:r>
      <w:r w:rsidR="003428AC">
        <w:t xml:space="preserve">necessarily </w:t>
      </w:r>
      <w:r>
        <w:t>mean that dealings are comparable</w:t>
      </w:r>
      <w:r w:rsidR="009B5BD1">
        <w:t xml:space="preserve"> for transfer pricing purposes</w:t>
      </w:r>
      <w:r>
        <w:t>.</w:t>
      </w:r>
    </w:p>
    <w:p w14:paraId="5AD670DD" w14:textId="63D77EA1" w:rsidR="00257E1A" w:rsidRDefault="00257E1A" w:rsidP="00257E1A">
      <w:r>
        <w:t xml:space="preserve">For dealings to be comparable, none of the differences between the </w:t>
      </w:r>
      <w:r w:rsidR="009B5BD1">
        <w:t>transactions being compared</w:t>
      </w:r>
      <w:r>
        <w:t xml:space="preserve"> should be material, or reasonably accurate adjustments can be made to eliminate the effect of any such differences. The materiality of any differences depends on examining the facts and circumstances of each case and recognising there is likely to be some uncertainty in the judg</w:t>
      </w:r>
      <w:r w:rsidR="009B5BD1">
        <w:t>e</w:t>
      </w:r>
      <w:r>
        <w:t>ments that have to be made.</w:t>
      </w:r>
    </w:p>
    <w:p w14:paraId="6FB4A75F" w14:textId="77777777" w:rsidR="00257E1A" w:rsidRDefault="00257E1A" w:rsidP="00257E1A">
      <w:r>
        <w:t>The complexity of taking comparability factors into account is highlighted in ATO guidance:</w:t>
      </w:r>
    </w:p>
    <w:p w14:paraId="0085E698" w14:textId="6C0995C3" w:rsidR="00257E1A" w:rsidRPr="003275AD" w:rsidRDefault="00257E1A" w:rsidP="00257E1A">
      <w:pPr>
        <w:ind w:left="567" w:right="565"/>
        <w:rPr>
          <w:color w:val="1F497D" w:themeColor="text2"/>
          <w:sz w:val="20"/>
        </w:rPr>
      </w:pPr>
      <w:r w:rsidRPr="003275AD">
        <w:rPr>
          <w:color w:val="1F497D" w:themeColor="text2"/>
          <w:sz w:val="20"/>
        </w:rPr>
        <w:t>While all comparability factors need to be taken into consideration, the most important are similarity of product, contract terms and economic/market conditions. For example, the prices of internationally traded mineral commodities often differ because of geographic differences in the markets, the terms of the contractual arrangements (such as volumes, discounts, interest free periods, and exchange rate exposure), the particular time period of the contracts, or differences in the physical/chemical features of the commodity and the relative bargaining power and strategies of buyers and sellers. Business strategies like price competition and marketing intangibles like brand names can also impact on prices. If such differences are material, adjustment is needed; if such adjustments cannot be made, the reliabil</w:t>
      </w:r>
      <w:r>
        <w:rPr>
          <w:color w:val="1F497D" w:themeColor="text2"/>
          <w:sz w:val="20"/>
        </w:rPr>
        <w:t>ity of the method is affected.</w:t>
      </w:r>
      <w:r w:rsidR="004D3540">
        <w:rPr>
          <w:color w:val="1F497D" w:themeColor="text2"/>
          <w:sz w:val="20"/>
        </w:rPr>
        <w:t xml:space="preserve"> </w:t>
      </w:r>
      <w:r w:rsidR="004D3540" w:rsidRPr="004D3540">
        <w:rPr>
          <w:color w:val="1F497D" w:themeColor="text2"/>
          <w:sz w:val="20"/>
        </w:rPr>
        <w:t>(</w:t>
      </w:r>
      <w:r w:rsidR="004D3540" w:rsidRPr="006D28D4">
        <w:rPr>
          <w:color w:val="1F497D" w:themeColor="text2"/>
          <w:sz w:val="20"/>
        </w:rPr>
        <w:t xml:space="preserve">Taxation Ruling TR 97/20, paragraph 3.14) </w:t>
      </w:r>
      <w:r w:rsidR="004D3540" w:rsidRPr="009F2690">
        <w:t xml:space="preserve"> </w:t>
      </w:r>
    </w:p>
    <w:p w14:paraId="2BEC0B18" w14:textId="12DECDFC" w:rsidR="00257E1A" w:rsidRDefault="00257E1A" w:rsidP="00257E1A">
      <w:r>
        <w:t xml:space="preserve">Despite the greater likelihood that a CUP will be able to be established for the price of sales gas for onshore LNG projects than for offshore LNG projects, the </w:t>
      </w:r>
      <w:r w:rsidR="009B5BD1">
        <w:t>r</w:t>
      </w:r>
      <w:r>
        <w:t xml:space="preserve">egulations provide that a participant in an onshore integrated </w:t>
      </w:r>
      <w:r w:rsidR="00B06B7E">
        <w:t>LNG</w:t>
      </w:r>
      <w:r>
        <w:t xml:space="preserve"> operation can choose to use the RPM even where a CUP exists. This option is not available for offshore operations.</w:t>
      </w:r>
    </w:p>
    <w:p w14:paraId="19726234" w14:textId="0373F6FE" w:rsidR="00257E1A" w:rsidRDefault="00257E1A" w:rsidP="00257E1A">
      <w:r>
        <w:t>The result is that</w:t>
      </w:r>
      <w:r w:rsidR="009B5BD1">
        <w:t>,</w:t>
      </w:r>
      <w:r>
        <w:t xml:space="preserve"> although the regulations provide for the use of the widely accepted CUP methodology, in practice price will </w:t>
      </w:r>
      <w:r w:rsidR="009B5BD1">
        <w:t xml:space="preserve">invariably </w:t>
      </w:r>
      <w:r>
        <w:t xml:space="preserve">be ascertained </w:t>
      </w:r>
      <w:r w:rsidR="009B5BD1">
        <w:t>using</w:t>
      </w:r>
      <w:r>
        <w:t xml:space="preserve"> the RPM.</w:t>
      </w:r>
      <w:r w:rsidR="004D3540">
        <w:t xml:space="preserve"> </w:t>
      </w:r>
    </w:p>
    <w:p w14:paraId="542E12A2" w14:textId="3570C02B" w:rsidR="00257E1A" w:rsidRDefault="00257E1A" w:rsidP="00257E1A">
      <w:pPr>
        <w:pStyle w:val="Heading4"/>
      </w:pPr>
      <w:r>
        <w:t xml:space="preserve">The </w:t>
      </w:r>
      <w:r w:rsidR="00B06B7E">
        <w:t>residual p</w:t>
      </w:r>
      <w:r>
        <w:t xml:space="preserve">ricing </w:t>
      </w:r>
      <w:r w:rsidR="00B06B7E">
        <w:t>m</w:t>
      </w:r>
      <w:r>
        <w:t>ethod</w:t>
      </w:r>
    </w:p>
    <w:p w14:paraId="068DB9B8" w14:textId="4739A77D" w:rsidR="00257E1A" w:rsidRDefault="00257E1A" w:rsidP="00257E1A">
      <w:r>
        <w:t>The RPM applies two formulas (the cost</w:t>
      </w:r>
      <w:r w:rsidR="005D6F39">
        <w:noBreakHyphen/>
      </w:r>
      <w:r>
        <w:t>plus formula and the netback formula) to calculate the gas transfer price. In both cases, the calculations allow for a rate of return on capital costs</w:t>
      </w:r>
      <w:r w:rsidR="003428AC">
        <w:t xml:space="preserve"> </w:t>
      </w:r>
      <w:r w:rsidR="00417F81">
        <w:t>of</w:t>
      </w:r>
      <w:r w:rsidR="003428AC">
        <w:t xml:space="preserve"> the upstream and downstream operations</w:t>
      </w:r>
      <w:r>
        <w:t>.</w:t>
      </w:r>
    </w:p>
    <w:p w14:paraId="061A7016" w14:textId="6916766D" w:rsidR="00257E1A" w:rsidRDefault="00257E1A" w:rsidP="00257E1A">
      <w:r>
        <w:t xml:space="preserve">The RPM involves </w:t>
      </w:r>
      <w:r w:rsidR="00417F81">
        <w:t>the calculation of</w:t>
      </w:r>
      <w:r>
        <w:t xml:space="preserve"> three prices</w:t>
      </w:r>
      <w:r w:rsidR="006F2C2E">
        <w:t xml:space="preserve"> (</w:t>
      </w:r>
      <w:r w:rsidR="006F2C2E" w:rsidRPr="006D28D4">
        <w:t>Figure B.2</w:t>
      </w:r>
      <w:r w:rsidR="006F2C2E">
        <w:t>)</w:t>
      </w:r>
      <w:r w:rsidR="00417F81">
        <w:t>:</w:t>
      </w:r>
    </w:p>
    <w:p w14:paraId="3F4A9DDC" w14:textId="7DDE2D59" w:rsidR="00257E1A" w:rsidRDefault="00417F81" w:rsidP="009F2690">
      <w:pPr>
        <w:pStyle w:val="Bullet"/>
      </w:pPr>
      <w:r>
        <w:t>t</w:t>
      </w:r>
      <w:r w:rsidR="00257E1A">
        <w:t xml:space="preserve">he </w:t>
      </w:r>
      <w:r w:rsidR="00B06B7E">
        <w:t>c</w:t>
      </w:r>
      <w:r w:rsidR="00257E1A">
        <w:t>ost</w:t>
      </w:r>
      <w:r w:rsidR="005D6F39">
        <w:noBreakHyphen/>
      </w:r>
      <w:r w:rsidR="00B06B7E">
        <w:t>p</w:t>
      </w:r>
      <w:r w:rsidR="00257E1A">
        <w:t xml:space="preserve">lus </w:t>
      </w:r>
      <w:r w:rsidR="00B06B7E">
        <w:t>p</w:t>
      </w:r>
      <w:r w:rsidR="00257E1A">
        <w:t>rice</w:t>
      </w:r>
      <w:r w:rsidR="005D6F39">
        <w:t xml:space="preserve"> — </w:t>
      </w:r>
      <w:r>
        <w:t xml:space="preserve">the </w:t>
      </w:r>
      <w:r w:rsidR="00257E1A">
        <w:t xml:space="preserve">lowest </w:t>
      </w:r>
      <w:r w:rsidR="001A4BC3">
        <w:t xml:space="preserve">notional </w:t>
      </w:r>
      <w:r w:rsidR="00257E1A">
        <w:t xml:space="preserve">price the </w:t>
      </w:r>
      <w:r w:rsidR="005D6F39">
        <w:t>‘</w:t>
      </w:r>
      <w:r w:rsidR="003428AC">
        <w:t>upstream</w:t>
      </w:r>
      <w:r w:rsidR="005D6F39">
        <w:t>’</w:t>
      </w:r>
      <w:r w:rsidR="003428AC">
        <w:t xml:space="preserve"> operation </w:t>
      </w:r>
      <w:r w:rsidR="001A4BC3">
        <w:t>(</w:t>
      </w:r>
      <w:r w:rsidR="003428AC">
        <w:t xml:space="preserve">which includes the </w:t>
      </w:r>
      <w:r w:rsidR="00257E1A">
        <w:t>gas extraction</w:t>
      </w:r>
      <w:r w:rsidR="001A4BC3">
        <w:t>)</w:t>
      </w:r>
      <w:r w:rsidR="00257E1A">
        <w:t xml:space="preserve"> would sell </w:t>
      </w:r>
      <w:r w:rsidR="003428AC">
        <w:t xml:space="preserve">the sale gas/feedstock gas to the </w:t>
      </w:r>
      <w:r w:rsidR="005D6F39">
        <w:t>‘</w:t>
      </w:r>
      <w:r w:rsidR="003428AC">
        <w:t>downstream</w:t>
      </w:r>
      <w:r w:rsidR="005D6F39">
        <w:t>’</w:t>
      </w:r>
      <w:r w:rsidR="003428AC">
        <w:t xml:space="preserve"> operation</w:t>
      </w:r>
      <w:r w:rsidR="001A4BC3">
        <w:t>;</w:t>
      </w:r>
      <w:r w:rsidR="003428AC">
        <w:t xml:space="preserve"> </w:t>
      </w:r>
      <w:r w:rsidR="00257E1A">
        <w:t xml:space="preserve"> </w:t>
      </w:r>
    </w:p>
    <w:p w14:paraId="2C96DEA9" w14:textId="55CCF295" w:rsidR="00257E1A" w:rsidRDefault="001A4BC3" w:rsidP="009F2690">
      <w:pPr>
        <w:pStyle w:val="Bullet"/>
      </w:pPr>
      <w:r>
        <w:t>t</w:t>
      </w:r>
      <w:r w:rsidR="00257E1A">
        <w:t>he netback price</w:t>
      </w:r>
      <w:r w:rsidR="005D6F39">
        <w:t xml:space="preserve"> — </w:t>
      </w:r>
      <w:r>
        <w:t xml:space="preserve">the </w:t>
      </w:r>
      <w:r w:rsidR="00257E1A">
        <w:t xml:space="preserve">highest </w:t>
      </w:r>
      <w:r>
        <w:t>notional</w:t>
      </w:r>
      <w:r w:rsidR="00257E1A">
        <w:t xml:space="preserve"> price the </w:t>
      </w:r>
      <w:r w:rsidR="005D6F39">
        <w:t>‘</w:t>
      </w:r>
      <w:r w:rsidR="003428AC">
        <w:t>downstream</w:t>
      </w:r>
      <w:r w:rsidR="005D6F39">
        <w:t>’</w:t>
      </w:r>
      <w:r w:rsidR="003428AC">
        <w:t xml:space="preserve"> operation </w:t>
      </w:r>
      <w:r w:rsidR="00B06B7E">
        <w:t>(</w:t>
      </w:r>
      <w:r w:rsidR="003428AC">
        <w:t xml:space="preserve">which includes </w:t>
      </w:r>
      <w:r w:rsidR="00B06B7E">
        <w:t xml:space="preserve">the </w:t>
      </w:r>
      <w:r w:rsidR="00257E1A">
        <w:t xml:space="preserve">liquefaction, sales and marketing side of the </w:t>
      </w:r>
      <w:r w:rsidR="003428AC">
        <w:t>business</w:t>
      </w:r>
      <w:r w:rsidR="00B06B7E">
        <w:t>)</w:t>
      </w:r>
      <w:r w:rsidR="003428AC">
        <w:t xml:space="preserve"> </w:t>
      </w:r>
      <w:r w:rsidR="00257E1A">
        <w:t xml:space="preserve">would pay for </w:t>
      </w:r>
      <w:r w:rsidR="003428AC">
        <w:t xml:space="preserve">the </w:t>
      </w:r>
      <w:r w:rsidR="00257E1A">
        <w:t>gas</w:t>
      </w:r>
      <w:r>
        <w:t>; and</w:t>
      </w:r>
    </w:p>
    <w:p w14:paraId="32E8B5CA" w14:textId="4882C0F9" w:rsidR="00257E1A" w:rsidRDefault="001A4BC3" w:rsidP="001B7BBE">
      <w:pPr>
        <w:pStyle w:val="Bullet"/>
      </w:pPr>
      <w:r>
        <w:t>t</w:t>
      </w:r>
      <w:r w:rsidR="00257E1A">
        <w:t>he RPM price</w:t>
      </w:r>
      <w:r w:rsidR="005D6F39">
        <w:t xml:space="preserve"> — </w:t>
      </w:r>
      <w:r>
        <w:t xml:space="preserve">the </w:t>
      </w:r>
      <w:r w:rsidR="00257E1A">
        <w:t xml:space="preserve">average of the </w:t>
      </w:r>
      <w:r>
        <w:t>cost</w:t>
      </w:r>
      <w:r w:rsidR="005D6F39">
        <w:noBreakHyphen/>
      </w:r>
      <w:r>
        <w:t>plus and netback</w:t>
      </w:r>
      <w:r w:rsidR="00257E1A">
        <w:t xml:space="preserve"> prices</w:t>
      </w:r>
      <w:r>
        <w:t>, which</w:t>
      </w:r>
      <w:r w:rsidR="00257E1A">
        <w:t xml:space="preserve"> is the gas transfer (or RPM) price, unless the </w:t>
      </w:r>
      <w:r w:rsidR="009C5F8E">
        <w:t>cost</w:t>
      </w:r>
      <w:r w:rsidR="005D6F39">
        <w:noBreakHyphen/>
      </w:r>
      <w:r w:rsidR="009C5F8E">
        <w:t>plus</w:t>
      </w:r>
      <w:r w:rsidR="00257E1A">
        <w:t xml:space="preserve"> price exceeds the </w:t>
      </w:r>
      <w:r w:rsidR="00B06B7E">
        <w:t>n</w:t>
      </w:r>
      <w:r w:rsidR="00257E1A">
        <w:t>etback price in which case the netback price is the RPM price.</w:t>
      </w:r>
    </w:p>
    <w:p w14:paraId="1B80F74B" w14:textId="5B31E1FA" w:rsidR="0037566D" w:rsidRDefault="0089652B" w:rsidP="0037566D">
      <w:pPr>
        <w:pStyle w:val="Heading4"/>
      </w:pPr>
      <w:r>
        <w:rPr>
          <w:noProof/>
        </w:rPr>
        <w:drawing>
          <wp:anchor distT="0" distB="0" distL="114300" distR="114300" simplePos="0" relativeHeight="251658248" behindDoc="0" locked="0" layoutInCell="1" allowOverlap="1" wp14:anchorId="02C39EF1" wp14:editId="20107F68">
            <wp:simplePos x="0" y="0"/>
            <wp:positionH relativeFrom="margin">
              <wp:posOffset>1177290</wp:posOffset>
            </wp:positionH>
            <wp:positionV relativeFrom="margin">
              <wp:posOffset>4872990</wp:posOffset>
            </wp:positionV>
            <wp:extent cx="3872230" cy="3014345"/>
            <wp:effectExtent l="0" t="0" r="0" b="0"/>
            <wp:wrapTopAndBottom/>
            <wp:docPr id="9" name="Picture 9" descr="Figure B.2 is a stylised representation of the residual profit in a project that is split to determine the RPM price.&#10;The difference between the project sales gas price generated by the application of the netback formula compared to the cost-plus price is the residual profit element for a project (where the cost plus price is less than the netback price). This residual profit element is split equally between the upstream and downstream compon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M Methodology.png"/>
                    <pic:cNvPicPr/>
                  </pic:nvPicPr>
                  <pic:blipFill>
                    <a:blip r:embed="rId114">
                      <a:extLst>
                        <a:ext uri="{28A0092B-C50C-407E-A947-70E740481C1C}">
                          <a14:useLocalDpi xmlns:a14="http://schemas.microsoft.com/office/drawing/2010/main" val="0"/>
                        </a:ext>
                      </a:extLst>
                    </a:blip>
                    <a:stretch>
                      <a:fillRect/>
                    </a:stretch>
                  </pic:blipFill>
                  <pic:spPr>
                    <a:xfrm>
                      <a:off x="0" y="0"/>
                      <a:ext cx="3872230" cy="3014345"/>
                    </a:xfrm>
                    <a:prstGeom prst="rect">
                      <a:avLst/>
                    </a:prstGeom>
                  </pic:spPr>
                </pic:pic>
              </a:graphicData>
            </a:graphic>
            <wp14:sizeRelH relativeFrom="margin">
              <wp14:pctWidth>0</wp14:pctWidth>
            </wp14:sizeRelH>
            <wp14:sizeRelV relativeFrom="margin">
              <wp14:pctHeight>0</wp14:pctHeight>
            </wp14:sizeRelV>
          </wp:anchor>
        </w:drawing>
      </w:r>
      <w:r w:rsidR="0037566D" w:rsidRPr="006D28D4">
        <w:t xml:space="preserve">Figure B.2 — </w:t>
      </w:r>
      <w:r w:rsidR="0037566D">
        <w:t>the RPM model</w:t>
      </w:r>
    </w:p>
    <w:p w14:paraId="3E5FB1BB" w14:textId="77777777" w:rsidR="0037566D" w:rsidRDefault="0037566D" w:rsidP="0089652B">
      <w:pPr>
        <w:pStyle w:val="ChartorTableNote"/>
      </w:pPr>
      <w:r w:rsidRPr="006D28D4">
        <w:t xml:space="preserve">Source: </w:t>
      </w:r>
      <w:r w:rsidRPr="002A22D9">
        <w:t>Petroleum Resource Rent Tax Assessment Regulation 2015</w:t>
      </w:r>
      <w:r>
        <w:t>.</w:t>
      </w:r>
    </w:p>
    <w:p w14:paraId="4993F100" w14:textId="77777777" w:rsidR="0037566D" w:rsidRDefault="0037566D" w:rsidP="0089652B">
      <w:pPr>
        <w:pStyle w:val="SingleParagraph"/>
      </w:pPr>
    </w:p>
    <w:p w14:paraId="2492C94C" w14:textId="16A493BF" w:rsidR="00257E1A" w:rsidRDefault="00257E1A" w:rsidP="00257E1A">
      <w:r>
        <w:t xml:space="preserve">The netback method identifies all the relevant costs incurred in the downstream operation, including an allowance for </w:t>
      </w:r>
      <w:r w:rsidR="0037566D">
        <w:t xml:space="preserve">a return on </w:t>
      </w:r>
      <w:r>
        <w:t xml:space="preserve">capital expenditure, and then subtracts those costs from the total revenues realised from selling the liquefied product. This provides a notional maximum </w:t>
      </w:r>
      <w:r w:rsidR="005D6F39">
        <w:t>‘</w:t>
      </w:r>
      <w:r>
        <w:t>arm</w:t>
      </w:r>
      <w:r w:rsidR="005D6F39">
        <w:t>’</w:t>
      </w:r>
      <w:r>
        <w:t>s length</w:t>
      </w:r>
      <w:r w:rsidR="005D6F39">
        <w:t>’</w:t>
      </w:r>
      <w:r>
        <w:t xml:space="preserve"> price a downstream producer </w:t>
      </w:r>
      <w:r w:rsidR="0037566D">
        <w:t>would</w:t>
      </w:r>
      <w:r>
        <w:t xml:space="preserve"> pay for the </w:t>
      </w:r>
      <w:r w:rsidR="00392DB8">
        <w:t xml:space="preserve">feedstock </w:t>
      </w:r>
      <w:r>
        <w:t xml:space="preserve">gas in order to </w:t>
      </w:r>
      <w:r w:rsidR="0037566D">
        <w:t>achieve</w:t>
      </w:r>
      <w:r>
        <w:t xml:space="preserve"> the minimum return necessary to continue production.</w:t>
      </w:r>
    </w:p>
    <w:p w14:paraId="2E4123F4" w14:textId="47459790" w:rsidR="00257E1A" w:rsidRDefault="00257E1A" w:rsidP="00257E1A">
      <w:r>
        <w:t>The cost</w:t>
      </w:r>
      <w:r w:rsidR="005D6F39">
        <w:noBreakHyphen/>
      </w:r>
      <w:r>
        <w:t>plus price does not reference the final market LNG price</w:t>
      </w:r>
      <w:r w:rsidR="006F2C2E">
        <w:t>;</w:t>
      </w:r>
      <w:r>
        <w:t xml:space="preserve"> rather it is based on the total costs </w:t>
      </w:r>
      <w:r w:rsidR="00392DB8">
        <w:t xml:space="preserve">of the </w:t>
      </w:r>
      <w:r w:rsidR="00B06B7E">
        <w:t>upstream</w:t>
      </w:r>
      <w:r w:rsidR="00392DB8">
        <w:t xml:space="preserve"> operation to produce the feedstock gas</w:t>
      </w:r>
      <w:r>
        <w:t xml:space="preserve">, including an allowance for capital expenditure. This provides the notional minimum price the upstream </w:t>
      </w:r>
      <w:r w:rsidR="00392DB8">
        <w:t xml:space="preserve">operation </w:t>
      </w:r>
      <w:r>
        <w:t xml:space="preserve">requires to continue supplying </w:t>
      </w:r>
      <w:r w:rsidR="00392DB8">
        <w:t>the feed</w:t>
      </w:r>
      <w:r w:rsidR="00B06B7E">
        <w:t>stock</w:t>
      </w:r>
      <w:r w:rsidR="00392DB8">
        <w:t xml:space="preserve"> </w:t>
      </w:r>
      <w:r>
        <w:t>gas to the LNG plant.</w:t>
      </w:r>
    </w:p>
    <w:p w14:paraId="4E6925C1" w14:textId="2FCA5ACA" w:rsidR="0037566D" w:rsidRDefault="0037566D" w:rsidP="00257E1A">
      <w:bookmarkStart w:id="10309" w:name="_Toc477869954"/>
      <w:bookmarkStart w:id="10310" w:name="_Toc477871193"/>
      <w:bookmarkStart w:id="10311" w:name="_Toc477873352"/>
      <w:bookmarkStart w:id="10312" w:name="_Toc477875346"/>
      <w:bookmarkStart w:id="10313" w:name="_Toc477880259"/>
      <w:bookmarkStart w:id="10314" w:name="_Toc477881519"/>
      <w:bookmarkStart w:id="10315" w:name="_Toc477955923"/>
      <w:bookmarkStart w:id="10316" w:name="_Toc477963168"/>
      <w:bookmarkStart w:id="10317" w:name="_Toc477963654"/>
      <w:bookmarkStart w:id="10318" w:name="_Toc477965240"/>
      <w:bookmarkStart w:id="10319" w:name="_Toc477966744"/>
      <w:bookmarkStart w:id="10320" w:name="_Toc477966913"/>
      <w:bookmarkStart w:id="10321" w:name="_Toc477967253"/>
      <w:bookmarkStart w:id="10322" w:name="_Toc478121390"/>
      <w:bookmarkStart w:id="10323" w:name="_Toc478122303"/>
      <w:bookmarkStart w:id="10324" w:name="_Toc478132133"/>
      <w:bookmarkStart w:id="10325" w:name="_Toc478133303"/>
      <w:bookmarkStart w:id="10326" w:name="_Toc478132440"/>
      <w:bookmarkStart w:id="10327" w:name="_Toc478134769"/>
      <w:bookmarkStart w:id="10328" w:name="_Toc478137471"/>
      <w:bookmarkStart w:id="10329" w:name="_Toc478138543"/>
      <w:bookmarkStart w:id="10330" w:name="_Toc478140113"/>
      <w:bookmarkStart w:id="10331" w:name="_Toc478140529"/>
      <w:bookmarkStart w:id="10332" w:name="_Toc478142735"/>
      <w:bookmarkStart w:id="10333" w:name="_Toc478566454"/>
      <w:bookmarkStart w:id="10334" w:name="_Toc478569621"/>
      <w:bookmarkStart w:id="10335" w:name="_Toc478569795"/>
      <w:bookmarkStart w:id="10336" w:name="_Toc478570869"/>
      <w:bookmarkStart w:id="10337" w:name="_Toc478633068"/>
      <w:r w:rsidRPr="006D28D4">
        <w:t>Appendix D</w:t>
      </w:r>
      <w:r>
        <w:t xml:space="preserve"> provides more detail on why and how the GTP regulations were developed, as well as how the regulations operate. </w:t>
      </w:r>
    </w:p>
    <w:p w14:paraId="140D1C16" w14:textId="6EBCFB9E" w:rsidR="00257E1A" w:rsidRDefault="00257E1A" w:rsidP="00257E1A">
      <w:pPr>
        <w:pStyle w:val="Heading3"/>
      </w:pPr>
      <w:bookmarkStart w:id="10338" w:name="_Toc478641478"/>
      <w:bookmarkStart w:id="10339" w:name="_Toc478654372"/>
      <w:bookmarkStart w:id="10340" w:name="_Toc478654546"/>
      <w:bookmarkStart w:id="10341" w:name="_Toc478657841"/>
      <w:bookmarkStart w:id="10342" w:name="_Toc478993262"/>
      <w:bookmarkStart w:id="10343" w:name="_Toc479000333"/>
      <w:bookmarkStart w:id="10344" w:name="_Toc479002267"/>
      <w:bookmarkStart w:id="10345" w:name="_Toc479002439"/>
      <w:bookmarkStart w:id="10346" w:name="_Toc479254413"/>
      <w:bookmarkStart w:id="10347" w:name="_Toc479258602"/>
      <w:bookmarkStart w:id="10348" w:name="_Toc479258918"/>
      <w:bookmarkStart w:id="10349" w:name="_Toc479259810"/>
      <w:bookmarkStart w:id="10350" w:name="_Toc479262233"/>
      <w:bookmarkStart w:id="10351" w:name="_Toc479262654"/>
      <w:bookmarkStart w:id="10352" w:name="_Toc479321355"/>
      <w:bookmarkStart w:id="10353" w:name="_Toc479326794"/>
      <w:bookmarkStart w:id="10354" w:name="_Toc479333055"/>
      <w:bookmarkStart w:id="10355" w:name="_Toc479333393"/>
      <w:bookmarkStart w:id="10356" w:name="_Toc479335090"/>
      <w:bookmarkStart w:id="10357" w:name="_Toc479341805"/>
      <w:bookmarkStart w:id="10358" w:name="_Toc479345221"/>
      <w:bookmarkStart w:id="10359" w:name="_Toc479345430"/>
      <w:bookmarkStart w:id="10360" w:name="_Toc479348411"/>
      <w:bookmarkStart w:id="10361" w:name="_Toc479676004"/>
      <w:bookmarkStart w:id="10362" w:name="_Toc479690971"/>
      <w:bookmarkStart w:id="10363" w:name="_Toc479693549"/>
      <w:bookmarkStart w:id="10364" w:name="_Toc479770718"/>
      <w:r>
        <w:t>B.1.9</w:t>
      </w:r>
      <w:r>
        <w:tab/>
        <w:t xml:space="preserve">Consolidation for PRRT </w:t>
      </w:r>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r w:rsidR="00156BF7">
        <w:t>p</w:t>
      </w:r>
      <w:r>
        <w:t>urposes</w:t>
      </w:r>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p>
    <w:p w14:paraId="55FB46AA" w14:textId="0F0FBFFB" w:rsidR="00257E1A" w:rsidRDefault="00257E1A" w:rsidP="00257E1A">
      <w:r>
        <w:t xml:space="preserve">A group of Australian resident entities that is a consolidated group or a </w:t>
      </w:r>
      <w:r w:rsidR="00156BF7">
        <w:t xml:space="preserve">MEC </w:t>
      </w:r>
      <w:r>
        <w:t xml:space="preserve">group for income tax purposes can choose to consolidate for PRRT purposes. It must notify the Commissioner of </w:t>
      </w:r>
      <w:r w:rsidR="00156BF7">
        <w:t>t</w:t>
      </w:r>
      <w:r>
        <w:t xml:space="preserve">axation of its decision to do so. Consolidation under the PRRT </w:t>
      </w:r>
      <w:r w:rsidR="00853950">
        <w:t xml:space="preserve">only </w:t>
      </w:r>
      <w:r>
        <w:t>applies to onshore project interests. It does not apply to interests in offshore projects.</w:t>
      </w:r>
    </w:p>
    <w:p w14:paraId="23D2DD53" w14:textId="498369A5" w:rsidR="00257E1A" w:rsidRDefault="00257E1A" w:rsidP="00257E1A">
      <w:r>
        <w:t>A PRRT consolidated group is treated as a single entity, so that the group</w:t>
      </w:r>
      <w:r w:rsidR="005D6F39">
        <w:t>’</w:t>
      </w:r>
      <w:r>
        <w:t>s onshore project interests are treated as being those of the head company of the group. However, the members of the group will be jointly and severally liable for paying the head company</w:t>
      </w:r>
      <w:r w:rsidR="005D6F39">
        <w:t>’</w:t>
      </w:r>
      <w:r>
        <w:t>s PRRT liabilities if the head company does not pay them. An entity that joins a PRRT group (when the group forms or because it is acquired by the group) is treated as having transferred its project interests to the head company of the group. For PRRT purposes, when an entity leaves a consolidated group, the head company is treated as having transferred to it the interests (and parts of interests) the entity takes with it. Changes in a group</w:t>
      </w:r>
      <w:r w:rsidR="005D6F39">
        <w:t>’</w:t>
      </w:r>
      <w:r>
        <w:t xml:space="preserve">s head company, and certain conversions from a </w:t>
      </w:r>
      <w:r w:rsidR="00156BF7">
        <w:t>MEC</w:t>
      </w:r>
      <w:r>
        <w:t xml:space="preserve"> group to a consolidated group (and vice versa), lead to rollovers under which the PRRT treatment that applied to the old head company is inherited by the new head company, ensuring a continuity of treatment for the group.</w:t>
      </w:r>
    </w:p>
    <w:p w14:paraId="6B816C67" w14:textId="3F80EF52" w:rsidR="00257E1A" w:rsidRDefault="00257E1A" w:rsidP="00257E1A">
      <w:pPr>
        <w:pStyle w:val="Heading3"/>
      </w:pPr>
      <w:bookmarkStart w:id="10365" w:name="_Toc477869955"/>
      <w:bookmarkStart w:id="10366" w:name="_Toc477871194"/>
      <w:bookmarkStart w:id="10367" w:name="_Toc477873353"/>
      <w:bookmarkStart w:id="10368" w:name="_Toc477875347"/>
      <w:bookmarkStart w:id="10369" w:name="_Toc477880260"/>
      <w:bookmarkStart w:id="10370" w:name="_Toc477881520"/>
      <w:bookmarkStart w:id="10371" w:name="_Toc477955924"/>
      <w:bookmarkStart w:id="10372" w:name="_Toc477963169"/>
      <w:bookmarkStart w:id="10373" w:name="_Toc477963655"/>
      <w:bookmarkStart w:id="10374" w:name="_Toc477965241"/>
      <w:bookmarkStart w:id="10375" w:name="_Toc477966745"/>
      <w:bookmarkStart w:id="10376" w:name="_Toc477966914"/>
      <w:bookmarkStart w:id="10377" w:name="_Toc477967254"/>
      <w:bookmarkStart w:id="10378" w:name="_Toc478121391"/>
      <w:bookmarkStart w:id="10379" w:name="_Toc478122304"/>
      <w:bookmarkStart w:id="10380" w:name="_Toc478132134"/>
      <w:bookmarkStart w:id="10381" w:name="_Toc478133304"/>
      <w:bookmarkStart w:id="10382" w:name="_Toc478132441"/>
      <w:bookmarkStart w:id="10383" w:name="_Toc478134770"/>
      <w:bookmarkStart w:id="10384" w:name="_Toc478137472"/>
      <w:bookmarkStart w:id="10385" w:name="_Toc478138544"/>
      <w:bookmarkStart w:id="10386" w:name="_Toc478140114"/>
      <w:bookmarkStart w:id="10387" w:name="_Toc478140530"/>
      <w:bookmarkStart w:id="10388" w:name="_Toc478142736"/>
      <w:bookmarkStart w:id="10389" w:name="_Toc478566455"/>
      <w:bookmarkStart w:id="10390" w:name="_Toc478569622"/>
      <w:bookmarkStart w:id="10391" w:name="_Toc478569796"/>
      <w:bookmarkStart w:id="10392" w:name="_Toc478570870"/>
      <w:bookmarkStart w:id="10393" w:name="_Toc478633069"/>
      <w:bookmarkStart w:id="10394" w:name="_Toc478641479"/>
      <w:bookmarkStart w:id="10395" w:name="_Toc478654373"/>
      <w:bookmarkStart w:id="10396" w:name="_Toc478654547"/>
      <w:bookmarkStart w:id="10397" w:name="_Toc478657842"/>
      <w:bookmarkStart w:id="10398" w:name="_Toc478993263"/>
      <w:bookmarkStart w:id="10399" w:name="_Toc479000334"/>
      <w:bookmarkStart w:id="10400" w:name="_Toc479002268"/>
      <w:bookmarkStart w:id="10401" w:name="_Toc479002440"/>
      <w:bookmarkStart w:id="10402" w:name="_Toc479254414"/>
      <w:bookmarkStart w:id="10403" w:name="_Toc479258603"/>
      <w:bookmarkStart w:id="10404" w:name="_Toc479258919"/>
      <w:bookmarkStart w:id="10405" w:name="_Toc479259811"/>
      <w:bookmarkStart w:id="10406" w:name="_Toc479262234"/>
      <w:bookmarkStart w:id="10407" w:name="_Toc479262655"/>
      <w:bookmarkStart w:id="10408" w:name="_Toc479321356"/>
      <w:bookmarkStart w:id="10409" w:name="_Toc479326795"/>
      <w:bookmarkStart w:id="10410" w:name="_Toc479333056"/>
      <w:bookmarkStart w:id="10411" w:name="_Toc479333394"/>
      <w:bookmarkStart w:id="10412" w:name="_Toc479335091"/>
      <w:bookmarkStart w:id="10413" w:name="_Toc479341806"/>
      <w:bookmarkStart w:id="10414" w:name="_Toc479345222"/>
      <w:bookmarkStart w:id="10415" w:name="_Toc479345431"/>
      <w:bookmarkStart w:id="10416" w:name="_Toc479348412"/>
      <w:bookmarkStart w:id="10417" w:name="_Toc479676005"/>
      <w:bookmarkStart w:id="10418" w:name="_Toc479690972"/>
      <w:bookmarkStart w:id="10419" w:name="_Toc479693550"/>
      <w:bookmarkStart w:id="10420" w:name="_Toc479770719"/>
      <w:r>
        <w:t>B.1.10</w:t>
      </w:r>
      <w:r>
        <w:tab/>
        <w:t xml:space="preserve">Lodging, </w:t>
      </w:r>
      <w:r w:rsidR="006D6467">
        <w:t>reporting</w:t>
      </w:r>
      <w:r>
        <w:t xml:space="preserve"> and </w:t>
      </w:r>
      <w:r w:rsidR="006D6467">
        <w:t>p</w:t>
      </w:r>
      <w:r>
        <w:t>aying</w:t>
      </w:r>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p>
    <w:p w14:paraId="31F176B0" w14:textId="00E15F3B" w:rsidR="00257E1A" w:rsidRDefault="00257E1A" w:rsidP="00257E1A">
      <w:r>
        <w:t>A company with an interest in a petroleum project that is in commercial production needs to lodge a</w:t>
      </w:r>
      <w:r w:rsidR="00E47C27">
        <w:t xml:space="preserve">n annual </w:t>
      </w:r>
      <w:r>
        <w:t xml:space="preserve">PRRT return, even if its taxable profit is nil. As PRRT is assessed on a project basis, an entity needs to prepare and lodge separate PRRT returns for each interest it has in a petroleum project. A company needs to pay their </w:t>
      </w:r>
      <w:r w:rsidR="00E47C27">
        <w:t xml:space="preserve">annual </w:t>
      </w:r>
      <w:r>
        <w:t xml:space="preserve">PRRT liability in three cumulative quarterly instalments with a final payment when it lodges its PRRT return. </w:t>
      </w:r>
      <w:r w:rsidR="00E47C27">
        <w:t xml:space="preserve">All companies must lodge their annual returns on the basis of a 30 June year end, as the PRRT does not allow </w:t>
      </w:r>
      <w:r>
        <w:t xml:space="preserve">to </w:t>
      </w:r>
      <w:r w:rsidR="00E47C27">
        <w:t xml:space="preserve">companies to </w:t>
      </w:r>
      <w:r>
        <w:t>choose a substituted accounting period.</w:t>
      </w:r>
    </w:p>
    <w:p w14:paraId="17631203" w14:textId="22505242" w:rsidR="00257E1A" w:rsidRDefault="00421CA6" w:rsidP="00257E1A">
      <w:r>
        <w:t>Companies</w:t>
      </w:r>
      <w:r w:rsidR="00257E1A">
        <w:t xml:space="preserve"> also need to </w:t>
      </w:r>
      <w:r w:rsidR="00020AF3">
        <w:t xml:space="preserve">notify the ATO where there is a transfer of </w:t>
      </w:r>
      <w:r w:rsidR="00257E1A">
        <w:t xml:space="preserve">exploration expenditure </w:t>
      </w:r>
      <w:r w:rsidR="00020AF3">
        <w:t xml:space="preserve">or </w:t>
      </w:r>
      <w:r>
        <w:t xml:space="preserve">where there is </w:t>
      </w:r>
      <w:r w:rsidR="00020AF3">
        <w:t xml:space="preserve">a transfer of </w:t>
      </w:r>
      <w:r>
        <w:t xml:space="preserve">a project </w:t>
      </w:r>
      <w:r w:rsidR="00257E1A">
        <w:t>interest.</w:t>
      </w:r>
    </w:p>
    <w:p w14:paraId="507B498A" w14:textId="3172601E" w:rsidR="00257E1A" w:rsidRDefault="00257E1A" w:rsidP="00257E1A">
      <w:pPr>
        <w:pStyle w:val="Heading3"/>
      </w:pPr>
      <w:bookmarkStart w:id="10421" w:name="_Toc477869956"/>
      <w:bookmarkStart w:id="10422" w:name="_Toc477871195"/>
      <w:bookmarkStart w:id="10423" w:name="_Toc477873354"/>
      <w:bookmarkStart w:id="10424" w:name="_Toc477875348"/>
      <w:bookmarkStart w:id="10425" w:name="_Toc477880261"/>
      <w:bookmarkStart w:id="10426" w:name="_Toc477881521"/>
      <w:bookmarkStart w:id="10427" w:name="_Toc477955925"/>
      <w:bookmarkStart w:id="10428" w:name="_Toc477963170"/>
      <w:bookmarkStart w:id="10429" w:name="_Toc477963656"/>
      <w:bookmarkStart w:id="10430" w:name="_Toc477965242"/>
      <w:bookmarkStart w:id="10431" w:name="_Toc477966746"/>
      <w:bookmarkStart w:id="10432" w:name="_Toc477966915"/>
      <w:bookmarkStart w:id="10433" w:name="_Toc477967255"/>
      <w:bookmarkStart w:id="10434" w:name="_Toc478121392"/>
      <w:bookmarkStart w:id="10435" w:name="_Toc478122305"/>
      <w:bookmarkStart w:id="10436" w:name="_Toc478132135"/>
      <w:bookmarkStart w:id="10437" w:name="_Toc478133305"/>
      <w:bookmarkStart w:id="10438" w:name="_Toc478132442"/>
      <w:bookmarkStart w:id="10439" w:name="_Toc478134771"/>
      <w:bookmarkStart w:id="10440" w:name="_Toc478137473"/>
      <w:bookmarkStart w:id="10441" w:name="_Toc478138545"/>
      <w:bookmarkStart w:id="10442" w:name="_Toc478140115"/>
      <w:bookmarkStart w:id="10443" w:name="_Toc478140531"/>
      <w:bookmarkStart w:id="10444" w:name="_Toc478142737"/>
      <w:bookmarkStart w:id="10445" w:name="_Toc478566456"/>
      <w:bookmarkStart w:id="10446" w:name="_Toc478569623"/>
      <w:bookmarkStart w:id="10447" w:name="_Toc478569797"/>
      <w:bookmarkStart w:id="10448" w:name="_Toc478570871"/>
      <w:bookmarkStart w:id="10449" w:name="_Toc478633070"/>
      <w:bookmarkStart w:id="10450" w:name="_Toc478641480"/>
      <w:bookmarkStart w:id="10451" w:name="_Toc478654374"/>
      <w:bookmarkStart w:id="10452" w:name="_Toc478654548"/>
      <w:bookmarkStart w:id="10453" w:name="_Toc478657843"/>
      <w:bookmarkStart w:id="10454" w:name="_Toc478993264"/>
      <w:bookmarkStart w:id="10455" w:name="_Toc479000335"/>
      <w:bookmarkStart w:id="10456" w:name="_Toc479002269"/>
      <w:bookmarkStart w:id="10457" w:name="_Toc479002441"/>
      <w:bookmarkStart w:id="10458" w:name="_Toc479254415"/>
      <w:bookmarkStart w:id="10459" w:name="_Toc479258604"/>
      <w:bookmarkStart w:id="10460" w:name="_Toc479258920"/>
      <w:bookmarkStart w:id="10461" w:name="_Toc479259812"/>
      <w:bookmarkStart w:id="10462" w:name="_Toc479262235"/>
      <w:bookmarkStart w:id="10463" w:name="_Toc479262656"/>
      <w:bookmarkStart w:id="10464" w:name="_Toc479321357"/>
      <w:bookmarkStart w:id="10465" w:name="_Toc479326796"/>
      <w:bookmarkStart w:id="10466" w:name="_Toc479333057"/>
      <w:bookmarkStart w:id="10467" w:name="_Toc479333395"/>
      <w:bookmarkStart w:id="10468" w:name="_Toc479335092"/>
      <w:bookmarkStart w:id="10469" w:name="_Toc479341807"/>
      <w:bookmarkStart w:id="10470" w:name="_Toc479345223"/>
      <w:bookmarkStart w:id="10471" w:name="_Toc479345432"/>
      <w:bookmarkStart w:id="10472" w:name="_Toc479348413"/>
      <w:bookmarkStart w:id="10473" w:name="_Toc479676006"/>
      <w:bookmarkStart w:id="10474" w:name="_Toc479690973"/>
      <w:bookmarkStart w:id="10475" w:name="_Toc479693551"/>
      <w:bookmarkStart w:id="10476" w:name="_Toc479770720"/>
      <w:r>
        <w:t>B.1.11</w:t>
      </w:r>
      <w:r>
        <w:tab/>
        <w:t xml:space="preserve">Interaction </w:t>
      </w:r>
      <w:r w:rsidR="006D6467">
        <w:t>between petroleum t</w:t>
      </w:r>
      <w:r>
        <w:t>itles and PRRT</w:t>
      </w:r>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p>
    <w:p w14:paraId="24C10AE0" w14:textId="59D6C7A7" w:rsidR="00257E1A" w:rsidRDefault="00257E1A" w:rsidP="00257E1A">
      <w:r>
        <w:t xml:space="preserve">A titles system is commonly used across Australian jurisdictions to regulate petroleum exploration and development. </w:t>
      </w:r>
      <w:r w:rsidR="00156BF7">
        <w:t>State</w:t>
      </w:r>
      <w:r>
        <w:t xml:space="preserve"> governments are responsible for the allocation of petroleum rights onshore and in nearby coastal waters, while in offshore Commonwealth waters this responsibility lies with the Australian Government. </w:t>
      </w:r>
    </w:p>
    <w:p w14:paraId="1CCB01C1" w14:textId="77777777" w:rsidR="00257E1A" w:rsidRDefault="00257E1A" w:rsidP="00257E1A">
      <w:r>
        <w:t>There are various types of titles which reflect the different activities throughout the petroleum lifecycle. Focussing on the offshore regime, exploration permits are awarded following a competitive process by companies seeking exclusive rights to explore in certain areas. If a discovery is made, titleholders must declare a location over the resource. They may then apply for a production licence if the resource is considered commercial for development, or a retention lease if the resource is not yet commercially viable. The system is intended to encourage responsible and timely petroleum exploration and development.</w:t>
      </w:r>
    </w:p>
    <w:p w14:paraId="330EFC71" w14:textId="58803916" w:rsidR="00257E1A" w:rsidRDefault="00257E1A" w:rsidP="00257E1A">
      <w:r>
        <w:t xml:space="preserve">Decisions on offshore petroleum titles are made by the Joint Authority which comprises the relevant Australian Government Minister and state </w:t>
      </w:r>
      <w:r w:rsidR="00156BF7">
        <w:t>M</w:t>
      </w:r>
      <w:r>
        <w:t>inister or their delegates.</w:t>
      </w:r>
    </w:p>
    <w:p w14:paraId="60F73EC9" w14:textId="3E3864F9" w:rsidR="00257E1A" w:rsidRDefault="00257E1A" w:rsidP="00257E1A">
      <w:r>
        <w:t>For the purposes of the PRRT, a project commences with the issu</w:t>
      </w:r>
      <w:r w:rsidR="00156BF7">
        <w:t>e</w:t>
      </w:r>
      <w:r>
        <w:t xml:space="preserve"> of a production licence. Taxpayers can apply to combine several production licences into a single PRRT project where they meet certain criteria which demonstrate the licences are </w:t>
      </w:r>
      <w:r w:rsidR="005D6F39">
        <w:t>‘</w:t>
      </w:r>
      <w:r>
        <w:t>sufficiently related</w:t>
      </w:r>
      <w:r w:rsidR="005D6F39">
        <w:t>’</w:t>
      </w:r>
      <w:r>
        <w:t>.</w:t>
      </w:r>
    </w:p>
    <w:p w14:paraId="083086A8" w14:textId="06322096" w:rsidR="00257E1A" w:rsidRDefault="00156BF7" w:rsidP="00257E1A">
      <w:r>
        <w:t>The timing of</w:t>
      </w:r>
      <w:r w:rsidR="00257E1A">
        <w:t xml:space="preserve"> issuance of production licences hinges on the commerciality of the resource and is often linked to investment decisions to develop the resource. For instance, many of Australia</w:t>
      </w:r>
      <w:r w:rsidR="005D6F39">
        <w:t>’</w:t>
      </w:r>
      <w:r w:rsidR="00257E1A">
        <w:t xml:space="preserve">s new LNG projects required production licences </w:t>
      </w:r>
      <w:r w:rsidR="007D4361">
        <w:t xml:space="preserve">to be </w:t>
      </w:r>
      <w:r w:rsidR="00257E1A">
        <w:t xml:space="preserve">in place or in train to achieve a </w:t>
      </w:r>
      <w:r w:rsidR="000F33E2">
        <w:t>FID</w:t>
      </w:r>
      <w:r w:rsidR="00257E1A">
        <w:t xml:space="preserve"> for the project to proceed. Government policy on timely development also requires that titleholders progress to a production licence once the resource is deemed commercial.</w:t>
      </w:r>
    </w:p>
    <w:p w14:paraId="48AA8225" w14:textId="6392B39D" w:rsidR="00257E1A" w:rsidRDefault="00257E1A" w:rsidP="00257E1A">
      <w:r>
        <w:t xml:space="preserve">The timing of the issuance of production licences has implications for expenditure deductibility under the PRRT. </w:t>
      </w:r>
      <w:r w:rsidR="00CC73A8">
        <w:t>For example, exploration e</w:t>
      </w:r>
      <w:r>
        <w:t xml:space="preserve">xpenditure is uplifted by the GDP deflator where it is incurred more than five years prior to the </w:t>
      </w:r>
      <w:r w:rsidR="007D4361">
        <w:t>complete application for</w:t>
      </w:r>
      <w:r>
        <w:t xml:space="preserve"> a production licence (see </w:t>
      </w:r>
      <w:r w:rsidRPr="006D28D4">
        <w:t xml:space="preserve">Table </w:t>
      </w:r>
      <w:r w:rsidR="00C626E7">
        <w:t>B.2</w:t>
      </w:r>
      <w:r>
        <w:t xml:space="preserve">). </w:t>
      </w:r>
    </w:p>
    <w:p w14:paraId="504F983D" w14:textId="391E2ABD" w:rsidR="00257E1A" w:rsidRDefault="00257E1A" w:rsidP="00257E1A">
      <w:pPr>
        <w:pStyle w:val="Heading2"/>
      </w:pPr>
      <w:bookmarkStart w:id="10477" w:name="_Toc477869957"/>
      <w:bookmarkStart w:id="10478" w:name="_Toc477871196"/>
      <w:bookmarkStart w:id="10479" w:name="_Toc477873355"/>
      <w:bookmarkStart w:id="10480" w:name="_Toc477875349"/>
      <w:bookmarkStart w:id="10481" w:name="_Toc477880262"/>
      <w:bookmarkStart w:id="10482" w:name="_Toc477881522"/>
      <w:bookmarkStart w:id="10483" w:name="_Toc477955926"/>
      <w:bookmarkStart w:id="10484" w:name="_Toc477963171"/>
      <w:bookmarkStart w:id="10485" w:name="_Toc477963657"/>
      <w:bookmarkStart w:id="10486" w:name="_Toc477965243"/>
      <w:bookmarkStart w:id="10487" w:name="_Toc477966747"/>
      <w:bookmarkStart w:id="10488" w:name="_Toc477966916"/>
      <w:bookmarkStart w:id="10489" w:name="_Toc477967256"/>
      <w:bookmarkStart w:id="10490" w:name="_Toc478121393"/>
      <w:bookmarkStart w:id="10491" w:name="_Toc478122306"/>
      <w:bookmarkStart w:id="10492" w:name="_Toc478132136"/>
      <w:bookmarkStart w:id="10493" w:name="_Toc478133306"/>
      <w:bookmarkStart w:id="10494" w:name="_Toc478132443"/>
      <w:bookmarkStart w:id="10495" w:name="_Toc478134772"/>
      <w:bookmarkStart w:id="10496" w:name="_Toc478137474"/>
      <w:bookmarkStart w:id="10497" w:name="_Toc478138546"/>
      <w:bookmarkStart w:id="10498" w:name="_Toc478140116"/>
      <w:bookmarkStart w:id="10499" w:name="_Toc478140532"/>
      <w:bookmarkStart w:id="10500" w:name="_Toc478142738"/>
      <w:bookmarkStart w:id="10501" w:name="_Toc478566457"/>
      <w:bookmarkStart w:id="10502" w:name="_Toc478569624"/>
      <w:bookmarkStart w:id="10503" w:name="_Toc478569798"/>
      <w:bookmarkStart w:id="10504" w:name="_Toc478570872"/>
      <w:bookmarkStart w:id="10505" w:name="_Toc478633071"/>
      <w:bookmarkStart w:id="10506" w:name="_Toc478641481"/>
      <w:bookmarkStart w:id="10507" w:name="_Toc478654375"/>
      <w:bookmarkStart w:id="10508" w:name="_Toc478654549"/>
      <w:bookmarkStart w:id="10509" w:name="_Toc478657844"/>
      <w:bookmarkStart w:id="10510" w:name="_Toc478993265"/>
      <w:bookmarkStart w:id="10511" w:name="_Toc479000336"/>
      <w:bookmarkStart w:id="10512" w:name="_Toc479002270"/>
      <w:bookmarkStart w:id="10513" w:name="_Toc479002442"/>
      <w:bookmarkStart w:id="10514" w:name="_Toc479254416"/>
      <w:bookmarkStart w:id="10515" w:name="_Toc479258605"/>
      <w:bookmarkStart w:id="10516" w:name="_Toc479258921"/>
      <w:bookmarkStart w:id="10517" w:name="_Toc479259813"/>
      <w:bookmarkStart w:id="10518" w:name="_Toc479262236"/>
      <w:bookmarkStart w:id="10519" w:name="_Toc479262657"/>
      <w:bookmarkStart w:id="10520" w:name="_Toc479321358"/>
      <w:bookmarkStart w:id="10521" w:name="_Toc479326797"/>
      <w:bookmarkStart w:id="10522" w:name="_Toc479333058"/>
      <w:bookmarkStart w:id="10523" w:name="_Toc479333396"/>
      <w:bookmarkStart w:id="10524" w:name="_Toc479335093"/>
      <w:bookmarkStart w:id="10525" w:name="_Toc479341808"/>
      <w:bookmarkStart w:id="10526" w:name="_Toc479345224"/>
      <w:bookmarkStart w:id="10527" w:name="_Toc479345433"/>
      <w:bookmarkStart w:id="10528" w:name="_Toc479348414"/>
      <w:bookmarkStart w:id="10529" w:name="_Toc479676007"/>
      <w:bookmarkStart w:id="10530" w:name="_Toc479690974"/>
      <w:bookmarkStart w:id="10531" w:name="_Toc479693552"/>
      <w:bookmarkStart w:id="10532" w:name="_Toc479770721"/>
      <w:r>
        <w:t>B.2</w:t>
      </w:r>
      <w:r>
        <w:tab/>
        <w:t>Administration of the PRRT</w:t>
      </w:r>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p>
    <w:p w14:paraId="18902AFD" w14:textId="34412425" w:rsidR="00257E1A" w:rsidRDefault="00257E1A" w:rsidP="00257E1A">
      <w:r>
        <w:t xml:space="preserve">Responsibility for administering the PRRT is shared by the Department of the </w:t>
      </w:r>
      <w:r w:rsidR="00C44582">
        <w:t>T</w:t>
      </w:r>
      <w:r>
        <w:t xml:space="preserve">reasury, the </w:t>
      </w:r>
      <w:r w:rsidR="00841BCD">
        <w:t>DIIS</w:t>
      </w:r>
      <w:r>
        <w:t xml:space="preserve"> and the Commissioner of Taxation. In brief:</w:t>
      </w:r>
    </w:p>
    <w:p w14:paraId="6DCDE2AE" w14:textId="54266F1F" w:rsidR="00257E1A" w:rsidRPr="00C76D6C" w:rsidRDefault="00257E1A" w:rsidP="006344D1">
      <w:pPr>
        <w:pStyle w:val="Bullet"/>
      </w:pPr>
      <w:r w:rsidRPr="00C76D6C">
        <w:t xml:space="preserve">The </w:t>
      </w:r>
      <w:r>
        <w:t>Department of the</w:t>
      </w:r>
      <w:r w:rsidRPr="00C76D6C">
        <w:t xml:space="preserve"> Treasury and </w:t>
      </w:r>
      <w:r w:rsidR="00841BCD">
        <w:t>DIIS</w:t>
      </w:r>
      <w:r w:rsidRPr="00C76D6C">
        <w:t xml:space="preserve"> are jointly responsible for PRRT policy and legislation. </w:t>
      </w:r>
    </w:p>
    <w:p w14:paraId="0E7E24F3" w14:textId="6964D23D" w:rsidR="00257E1A" w:rsidRPr="00C76D6C" w:rsidRDefault="00257E1A" w:rsidP="006344D1">
      <w:pPr>
        <w:pStyle w:val="Bullet"/>
      </w:pPr>
      <w:r w:rsidRPr="00C76D6C">
        <w:t xml:space="preserve">The Commissioner of </w:t>
      </w:r>
      <w:r w:rsidR="007D4361">
        <w:t>t</w:t>
      </w:r>
      <w:r w:rsidRPr="00C76D6C">
        <w:t xml:space="preserve">axation is responsible for the administration of the PRRT and the collection of PRRT liabilities. </w:t>
      </w:r>
    </w:p>
    <w:p w14:paraId="185C3BCC" w14:textId="1F7716D6" w:rsidR="00257E1A" w:rsidRPr="00C76D6C" w:rsidRDefault="00257E1A" w:rsidP="006344D1">
      <w:pPr>
        <w:pStyle w:val="Bullet"/>
      </w:pPr>
      <w:r w:rsidRPr="00C76D6C">
        <w:t xml:space="preserve">The </w:t>
      </w:r>
      <w:r>
        <w:t>R</w:t>
      </w:r>
      <w:r w:rsidRPr="00C76D6C">
        <w:t xml:space="preserve">esources Minister is </w:t>
      </w:r>
      <w:r>
        <w:t>responsible for issuing</w:t>
      </w:r>
      <w:r w:rsidRPr="00C76D6C" w:rsidDel="00ED32F5">
        <w:t xml:space="preserve"> </w:t>
      </w:r>
      <w:r w:rsidRPr="00C76D6C">
        <w:t>combination certificates.</w:t>
      </w:r>
    </w:p>
    <w:p w14:paraId="256EB975" w14:textId="70E43AC5" w:rsidR="00257E1A" w:rsidRDefault="00257E1A" w:rsidP="00257E1A">
      <w:r>
        <w:t xml:space="preserve">The ATO, as the </w:t>
      </w:r>
      <w:r w:rsidR="007D4361">
        <w:t>G</w:t>
      </w:r>
      <w:r>
        <w:t>overnment</w:t>
      </w:r>
      <w:r w:rsidR="005D6F39">
        <w:t>’</w:t>
      </w:r>
      <w:r>
        <w:t>s principle revenue collection agency, administers the PRRT. The functions the ATO is responsible for include compliance, engagement and assurance, risk and intelligence, legal interpretation and advice, reporting, registration, debt collection and management.</w:t>
      </w:r>
    </w:p>
    <w:p w14:paraId="23CD87C3" w14:textId="2881C797" w:rsidR="00257E1A" w:rsidRDefault="00257E1A" w:rsidP="00257E1A">
      <w:r>
        <w:t>The PRRT, like other Commonwealth taxes works on a system of self</w:t>
      </w:r>
      <w:r w:rsidR="005D6F39">
        <w:noBreakHyphen/>
      </w:r>
      <w:r>
        <w:t>assessment. Self</w:t>
      </w:r>
      <w:r w:rsidR="005D6F39">
        <w:noBreakHyphen/>
      </w:r>
      <w:r>
        <w:t>assessment was introduced into the PRRT administration in 2006 along with other modernising reforms. These changes meant that the self</w:t>
      </w:r>
      <w:r w:rsidR="005D6F39">
        <w:noBreakHyphen/>
      </w:r>
      <w:r>
        <w:t>assessment regime would apply to PRRT taxpayers in the same way that their obligations work for income tax. Important features of the self</w:t>
      </w:r>
      <w:r w:rsidR="005D6F39">
        <w:noBreakHyphen/>
      </w:r>
      <w:r>
        <w:t>assessment regime include</w:t>
      </w:r>
      <w:r w:rsidR="007D4361">
        <w:t>:</w:t>
      </w:r>
      <w:r>
        <w:t xml:space="preserve"> the obligation for PRRT taxpayers to fully self</w:t>
      </w:r>
      <w:r w:rsidR="005D6F39">
        <w:noBreakHyphen/>
      </w:r>
      <w:r>
        <w:t>assess their own PRRT liability</w:t>
      </w:r>
      <w:r w:rsidR="007D4361">
        <w:t>;</w:t>
      </w:r>
      <w:r>
        <w:t xml:space="preserve"> amendment periods under the PRRT </w:t>
      </w:r>
      <w:r w:rsidR="007D4361">
        <w:t xml:space="preserve">that </w:t>
      </w:r>
      <w:r>
        <w:t>are aligned to those in place for income tax</w:t>
      </w:r>
      <w:r w:rsidR="007D4361">
        <w:t>;</w:t>
      </w:r>
      <w:r>
        <w:t xml:space="preserve"> and the </w:t>
      </w:r>
      <w:r w:rsidR="007D4361">
        <w:t>ability of the</w:t>
      </w:r>
      <w:r>
        <w:t xml:space="preserve"> Commissioner of </w:t>
      </w:r>
      <w:r w:rsidR="007D4361">
        <w:t>t</w:t>
      </w:r>
      <w:r>
        <w:t xml:space="preserve">axation </w:t>
      </w:r>
      <w:r w:rsidR="007D4361">
        <w:t>to</w:t>
      </w:r>
      <w:r>
        <w:t xml:space="preserve"> issue binding rulings on the application of the PRRT. </w:t>
      </w:r>
    </w:p>
    <w:p w14:paraId="1EDDF78B" w14:textId="2DE5FA34" w:rsidR="00257E1A" w:rsidRDefault="00257E1A" w:rsidP="00257E1A">
      <w:r w:rsidRPr="0024338B">
        <w:t>To ensure compliance within the self</w:t>
      </w:r>
      <w:r w:rsidR="005D6F39">
        <w:noBreakHyphen/>
      </w:r>
      <w:r w:rsidRPr="0024338B">
        <w:t xml:space="preserve">assessment system, the ATO uses a risk based approach across all taxes and tailors those approaches to particular taxes and types of taxpayers. The ATO uses data and analytics to target monitoring and has an enforcement focus for taxpayers with whom the ATO has more significant concerns. The ATO Submission </w:t>
      </w:r>
      <w:r w:rsidR="00C626E7">
        <w:t xml:space="preserve">to the review </w:t>
      </w:r>
      <w:r w:rsidRPr="0024338B">
        <w:t>outlines how the ATO</w:t>
      </w:r>
      <w:r w:rsidR="005D6F39">
        <w:t>’</w:t>
      </w:r>
      <w:r w:rsidRPr="0024338B">
        <w:t>s risk based approach is tailored to PRRT compliance including how the ATO leverages the natural business systems of taxpayers including joint venture arrangements to manage risk.</w:t>
      </w:r>
    </w:p>
    <w:p w14:paraId="446E4FB6" w14:textId="77777777" w:rsidR="00257E1A" w:rsidRDefault="00257E1A" w:rsidP="00257E1A">
      <w:r>
        <w:t>The ATO submission gives the following outline of the teams responsible for the different functions used to administer the PRRT:</w:t>
      </w:r>
    </w:p>
    <w:p w14:paraId="56F4C624" w14:textId="77777777" w:rsidR="00257E1A" w:rsidRPr="00C76D6C" w:rsidRDefault="00257E1A" w:rsidP="00257E1A">
      <w:pPr>
        <w:ind w:left="567" w:right="565"/>
        <w:rPr>
          <w:color w:val="1F497D" w:themeColor="text2"/>
          <w:sz w:val="20"/>
        </w:rPr>
      </w:pPr>
      <w:r w:rsidRPr="00C76D6C">
        <w:rPr>
          <w:color w:val="1F497D" w:themeColor="text2"/>
          <w:sz w:val="20"/>
        </w:rPr>
        <w:t>The PRRT compliance work program is predominantly managed by an operations team in the Public Groups and International (PG&amp;I) Business Line located in Perth. The operations team is supported by a risk and intelligence function performed in Melbourne. Broadly, the PG&amp;I Business Line has responsibility for all publicly listed and international entities. The PG&amp;I Advice and Guidance area manages the provision of advice relating to PRRT matters. The operations and advice area are technically supported by the Tax Counsel Network, which identifies and manages high risk interpretive issues, and includes several tax counsel who specialise in tax issues relating to the extractive industries, including PRRT. Other aspects relating to the administration of the PRRT such as reporting, registration and debt are managed</w:t>
      </w:r>
      <w:r>
        <w:rPr>
          <w:color w:val="1F497D" w:themeColor="text2"/>
          <w:sz w:val="20"/>
        </w:rPr>
        <w:t xml:space="preserve"> by the Service Delivery </w:t>
      </w:r>
      <w:r w:rsidRPr="000A6931">
        <w:rPr>
          <w:color w:val="1F497D" w:themeColor="text2"/>
          <w:sz w:val="20"/>
        </w:rPr>
        <w:t xml:space="preserve">Group </w:t>
      </w:r>
      <w:r w:rsidRPr="006344D1">
        <w:rPr>
          <w:color w:val="1F497D" w:themeColor="text2"/>
          <w:sz w:val="20"/>
        </w:rPr>
        <w:t>(ATO Submission, p. 13)</w:t>
      </w:r>
      <w:r w:rsidRPr="000A6931">
        <w:rPr>
          <w:color w:val="1F497D" w:themeColor="text2"/>
          <w:sz w:val="20"/>
        </w:rPr>
        <w:t>.</w:t>
      </w:r>
    </w:p>
    <w:p w14:paraId="076248CB" w14:textId="6623B07E" w:rsidR="00257E1A" w:rsidRDefault="00257E1A" w:rsidP="00257E1A">
      <w:r>
        <w:t>The ATO</w:t>
      </w:r>
      <w:r w:rsidR="005D6F39">
        <w:t>’</w:t>
      </w:r>
      <w:r>
        <w:t>s administration of the PRRT was subject to a review by the ANAO in 2009. The ANAO report assessed the effectiveness of the ATO</w:t>
      </w:r>
      <w:r w:rsidR="005D6F39">
        <w:t>’</w:t>
      </w:r>
      <w:r>
        <w:t>s administration across the four key areas of general administration, compliance, promoting certainty in administering the PRRT and governance arrangements. The ANAO concluded that:</w:t>
      </w:r>
    </w:p>
    <w:p w14:paraId="608F54EF" w14:textId="0C27F53D" w:rsidR="00257E1A" w:rsidRPr="00C76D6C" w:rsidRDefault="00257E1A" w:rsidP="00257E1A">
      <w:pPr>
        <w:ind w:left="567" w:right="565"/>
        <w:rPr>
          <w:color w:val="1F497D" w:themeColor="text2"/>
          <w:sz w:val="20"/>
        </w:rPr>
      </w:pPr>
      <w:r w:rsidRPr="00C76D6C">
        <w:rPr>
          <w:color w:val="1F497D" w:themeColor="text2"/>
          <w:sz w:val="20"/>
        </w:rPr>
        <w:t>Overall, the Tax Office has administered the PRRT in a generally effective manner, which has supported voluntary compliance by taxpayers. The vast majority of PRRT taxes are paid promptly in accordance with administrative arrangements that underpin the self</w:t>
      </w:r>
      <w:r w:rsidR="005D6F39">
        <w:rPr>
          <w:color w:val="1F497D" w:themeColor="text2"/>
          <w:sz w:val="20"/>
        </w:rPr>
        <w:noBreakHyphen/>
      </w:r>
      <w:r w:rsidRPr="00C76D6C">
        <w:rPr>
          <w:color w:val="1F497D" w:themeColor="text2"/>
          <w:sz w:val="20"/>
        </w:rPr>
        <w:t>assessment system. Compliance activities are being undertaken according to the Tax Office</w:t>
      </w:r>
      <w:r w:rsidR="005D6F39">
        <w:rPr>
          <w:color w:val="1F497D" w:themeColor="text2"/>
          <w:sz w:val="20"/>
        </w:rPr>
        <w:t>’</w:t>
      </w:r>
      <w:r w:rsidRPr="00C76D6C">
        <w:rPr>
          <w:color w:val="1F497D" w:themeColor="text2"/>
          <w:sz w:val="20"/>
        </w:rPr>
        <w:t>s risk</w:t>
      </w:r>
      <w:r w:rsidR="005D6F39">
        <w:rPr>
          <w:color w:val="1F497D" w:themeColor="text2"/>
          <w:sz w:val="20"/>
        </w:rPr>
        <w:noBreakHyphen/>
      </w:r>
      <w:r w:rsidRPr="00C76D6C">
        <w:rPr>
          <w:color w:val="1F497D" w:themeColor="text2"/>
          <w:sz w:val="20"/>
        </w:rPr>
        <w:t xml:space="preserve">based strategy following the recent increase in coverage, general administration of the PRRT is sound, and governance arrangements are suitable </w:t>
      </w:r>
      <w:r w:rsidRPr="006344D1">
        <w:rPr>
          <w:color w:val="1F497D" w:themeColor="text2"/>
          <w:sz w:val="20"/>
        </w:rPr>
        <w:t>(ANAO, 2009, p. 14)</w:t>
      </w:r>
      <w:r w:rsidRPr="00C76D6C">
        <w:rPr>
          <w:color w:val="1F497D" w:themeColor="text2"/>
          <w:sz w:val="20"/>
        </w:rPr>
        <w:t>.</w:t>
      </w:r>
    </w:p>
    <w:p w14:paraId="75BA2FB6" w14:textId="1B880EF2" w:rsidR="00257E1A" w:rsidRDefault="00257E1A" w:rsidP="00257E1A">
      <w:r>
        <w:t xml:space="preserve">The administration of the PRRT is concentrated on the small group of taxpayers involved in the petroleum extraction industry. </w:t>
      </w:r>
      <w:r w:rsidRPr="00617BFF">
        <w:t>Returns are only required to be lodged once a project starts receiving assessable receipts</w:t>
      </w:r>
      <w:r>
        <w:t>.</w:t>
      </w:r>
      <w:r w:rsidRPr="00617BFF">
        <w:t xml:space="preserve"> </w:t>
      </w:r>
      <w:r>
        <w:t>In its submission the ATO provided information on 2015</w:t>
      </w:r>
      <w:r w:rsidR="005D6F39">
        <w:noBreakHyphen/>
      </w:r>
      <w:r>
        <w:t>16 lodgements. The PRRT population consists of 54 economic groups and 145</w:t>
      </w:r>
      <w:r w:rsidR="0089652B">
        <w:t> </w:t>
      </w:r>
      <w:r>
        <w:t>taxpayers, lodging returns in relation to 62 projects.</w:t>
      </w:r>
    </w:p>
    <w:p w14:paraId="02C53FA0" w14:textId="0148E3CA" w:rsidR="00257E1A" w:rsidRPr="00257E1A" w:rsidRDefault="00715C69" w:rsidP="00221C2A">
      <w:pPr>
        <w:pStyle w:val="TableMainHeading"/>
      </w:pPr>
      <w:r w:rsidRPr="006D28D4">
        <w:t xml:space="preserve">Table </w:t>
      </w:r>
      <w:r w:rsidR="00DC3554" w:rsidRPr="006D28D4">
        <w:t>B.</w:t>
      </w:r>
      <w:r w:rsidR="005C5668">
        <w:t>2</w:t>
      </w:r>
      <w:r w:rsidR="00DC3554" w:rsidRPr="006344D1">
        <w:t xml:space="preserve"> </w:t>
      </w:r>
      <w:r w:rsidRPr="006344D1">
        <w:t xml:space="preserve">— </w:t>
      </w:r>
      <w:r w:rsidR="00DC3554">
        <w:t>Companies lodging PRRT returns</w:t>
      </w:r>
    </w:p>
    <w:tbl>
      <w:tblPr>
        <w:tblW w:w="8980" w:type="dxa"/>
        <w:jc w:val="center"/>
        <w:tblInd w:w="-1267" w:type="dxa"/>
        <w:tblLook w:val="04A0" w:firstRow="1" w:lastRow="0" w:firstColumn="1" w:lastColumn="0" w:noHBand="0" w:noVBand="1"/>
      </w:tblPr>
      <w:tblGrid>
        <w:gridCol w:w="4040"/>
        <w:gridCol w:w="960"/>
        <w:gridCol w:w="960"/>
        <w:gridCol w:w="3020"/>
      </w:tblGrid>
      <w:tr w:rsidR="00257E1A" w:rsidRPr="00D83E9A" w14:paraId="20D13572" w14:textId="77777777" w:rsidTr="0089652B">
        <w:trPr>
          <w:trHeight w:val="225"/>
          <w:jc w:val="center"/>
        </w:trPr>
        <w:tc>
          <w:tcPr>
            <w:tcW w:w="4040" w:type="dxa"/>
            <w:tcBorders>
              <w:top w:val="nil"/>
              <w:left w:val="nil"/>
              <w:bottom w:val="nil"/>
              <w:right w:val="nil"/>
            </w:tcBorders>
            <w:shd w:val="clear" w:color="000000" w:fill="E6E6E6"/>
            <w:noWrap/>
            <w:vAlign w:val="bottom"/>
            <w:hideMark/>
          </w:tcPr>
          <w:p w14:paraId="64267CD1" w14:textId="77777777" w:rsidR="00257E1A" w:rsidRPr="00D83E9A" w:rsidRDefault="00257E1A" w:rsidP="00257E1A">
            <w:pPr>
              <w:rPr>
                <w:rFonts w:ascii="Calibri" w:hAnsi="Calibri" w:cs="Arial"/>
                <w:sz w:val="20"/>
              </w:rPr>
            </w:pPr>
            <w:r w:rsidRPr="00D83E9A">
              <w:rPr>
                <w:rFonts w:ascii="Calibri" w:hAnsi="Calibri" w:cs="Arial"/>
                <w:sz w:val="20"/>
              </w:rPr>
              <w:t> </w:t>
            </w:r>
          </w:p>
        </w:tc>
        <w:tc>
          <w:tcPr>
            <w:tcW w:w="960" w:type="dxa"/>
            <w:tcBorders>
              <w:top w:val="nil"/>
              <w:left w:val="nil"/>
              <w:bottom w:val="nil"/>
              <w:right w:val="nil"/>
            </w:tcBorders>
            <w:shd w:val="clear" w:color="000000" w:fill="E6E6E6"/>
            <w:noWrap/>
            <w:vAlign w:val="bottom"/>
            <w:hideMark/>
          </w:tcPr>
          <w:p w14:paraId="338F57C3" w14:textId="706C6869"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2013</w:t>
            </w:r>
            <w:r w:rsidR="005D6F39">
              <w:rPr>
                <w:rFonts w:ascii="Calibri" w:hAnsi="Calibri" w:cs="Arial"/>
                <w:sz w:val="20"/>
              </w:rPr>
              <w:noBreakHyphen/>
            </w:r>
            <w:r w:rsidRPr="00D83E9A">
              <w:rPr>
                <w:rFonts w:ascii="Calibri" w:hAnsi="Calibri" w:cs="Arial"/>
                <w:sz w:val="20"/>
              </w:rPr>
              <w:t xml:space="preserve">14 </w:t>
            </w:r>
          </w:p>
        </w:tc>
        <w:tc>
          <w:tcPr>
            <w:tcW w:w="960" w:type="dxa"/>
            <w:tcBorders>
              <w:top w:val="nil"/>
              <w:left w:val="nil"/>
              <w:bottom w:val="nil"/>
              <w:right w:val="nil"/>
            </w:tcBorders>
            <w:shd w:val="clear" w:color="000000" w:fill="E6E6E6"/>
            <w:noWrap/>
            <w:vAlign w:val="bottom"/>
            <w:hideMark/>
          </w:tcPr>
          <w:p w14:paraId="1D26ABA9" w14:textId="1A13CD3A"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2014</w:t>
            </w:r>
            <w:r w:rsidR="005D6F39">
              <w:rPr>
                <w:rFonts w:ascii="Calibri" w:hAnsi="Calibri" w:cs="Arial"/>
                <w:sz w:val="20"/>
              </w:rPr>
              <w:noBreakHyphen/>
            </w:r>
            <w:r w:rsidRPr="00D83E9A">
              <w:rPr>
                <w:rFonts w:ascii="Calibri" w:hAnsi="Calibri" w:cs="Arial"/>
                <w:sz w:val="20"/>
              </w:rPr>
              <w:t xml:space="preserve">15 </w:t>
            </w:r>
          </w:p>
        </w:tc>
        <w:tc>
          <w:tcPr>
            <w:tcW w:w="3020" w:type="dxa"/>
            <w:tcBorders>
              <w:top w:val="nil"/>
              <w:left w:val="nil"/>
              <w:bottom w:val="nil"/>
              <w:right w:val="nil"/>
            </w:tcBorders>
            <w:shd w:val="clear" w:color="000000" w:fill="E6E6E6"/>
            <w:noWrap/>
            <w:vAlign w:val="bottom"/>
            <w:hideMark/>
          </w:tcPr>
          <w:p w14:paraId="6F94215F" w14:textId="2995B62E"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2015</w:t>
            </w:r>
            <w:r w:rsidR="005D6F39">
              <w:rPr>
                <w:rFonts w:ascii="Calibri" w:hAnsi="Calibri" w:cs="Arial"/>
                <w:sz w:val="20"/>
              </w:rPr>
              <w:noBreakHyphen/>
            </w:r>
            <w:r w:rsidRPr="00D83E9A">
              <w:rPr>
                <w:rFonts w:ascii="Calibri" w:hAnsi="Calibri" w:cs="Arial"/>
                <w:sz w:val="20"/>
              </w:rPr>
              <w:t>16</w:t>
            </w:r>
          </w:p>
        </w:tc>
      </w:tr>
      <w:tr w:rsidR="00257E1A" w:rsidRPr="00D83E9A" w14:paraId="780DE1C1" w14:textId="77777777" w:rsidTr="0089652B">
        <w:trPr>
          <w:trHeight w:val="225"/>
          <w:jc w:val="center"/>
        </w:trPr>
        <w:tc>
          <w:tcPr>
            <w:tcW w:w="4040" w:type="dxa"/>
            <w:tcBorders>
              <w:top w:val="single" w:sz="4" w:space="0" w:color="000000"/>
              <w:left w:val="nil"/>
              <w:bottom w:val="nil"/>
              <w:right w:val="nil"/>
            </w:tcBorders>
            <w:shd w:val="clear" w:color="auto" w:fill="auto"/>
            <w:noWrap/>
            <w:vAlign w:val="bottom"/>
            <w:hideMark/>
          </w:tcPr>
          <w:p w14:paraId="14FC1A87" w14:textId="77777777" w:rsidR="00257E1A" w:rsidRPr="00D83E9A" w:rsidRDefault="00257E1A" w:rsidP="00257E1A">
            <w:pPr>
              <w:spacing w:after="0" w:line="240" w:lineRule="auto"/>
              <w:jc w:val="left"/>
              <w:rPr>
                <w:rFonts w:ascii="Calibri" w:hAnsi="Calibri" w:cs="Arial"/>
                <w:sz w:val="20"/>
              </w:rPr>
            </w:pPr>
            <w:r w:rsidRPr="00D83E9A">
              <w:rPr>
                <w:rFonts w:ascii="Calibri" w:hAnsi="Calibri" w:cs="Arial"/>
                <w:sz w:val="20"/>
              </w:rPr>
              <w:t>PRRT returns</w:t>
            </w:r>
          </w:p>
        </w:tc>
        <w:tc>
          <w:tcPr>
            <w:tcW w:w="960" w:type="dxa"/>
            <w:tcBorders>
              <w:top w:val="single" w:sz="4" w:space="0" w:color="000000"/>
              <w:left w:val="nil"/>
              <w:bottom w:val="nil"/>
              <w:right w:val="nil"/>
            </w:tcBorders>
            <w:shd w:val="clear" w:color="auto" w:fill="auto"/>
            <w:noWrap/>
            <w:vAlign w:val="bottom"/>
            <w:hideMark/>
          </w:tcPr>
          <w:p w14:paraId="269264CB"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148</w:t>
            </w:r>
          </w:p>
        </w:tc>
        <w:tc>
          <w:tcPr>
            <w:tcW w:w="960" w:type="dxa"/>
            <w:tcBorders>
              <w:top w:val="single" w:sz="4" w:space="0" w:color="000000"/>
              <w:left w:val="nil"/>
              <w:bottom w:val="nil"/>
              <w:right w:val="nil"/>
            </w:tcBorders>
            <w:shd w:val="clear" w:color="auto" w:fill="auto"/>
            <w:noWrap/>
            <w:vAlign w:val="bottom"/>
            <w:hideMark/>
          </w:tcPr>
          <w:p w14:paraId="5931789E"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149</w:t>
            </w:r>
          </w:p>
        </w:tc>
        <w:tc>
          <w:tcPr>
            <w:tcW w:w="3020" w:type="dxa"/>
            <w:tcBorders>
              <w:top w:val="single" w:sz="4" w:space="0" w:color="000000"/>
              <w:left w:val="nil"/>
              <w:bottom w:val="nil"/>
              <w:right w:val="nil"/>
            </w:tcBorders>
            <w:shd w:val="clear" w:color="auto" w:fill="auto"/>
            <w:noWrap/>
            <w:vAlign w:val="bottom"/>
            <w:hideMark/>
          </w:tcPr>
          <w:p w14:paraId="59ED1A11"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148</w:t>
            </w:r>
          </w:p>
        </w:tc>
      </w:tr>
      <w:tr w:rsidR="00257E1A" w:rsidRPr="00D83E9A" w14:paraId="4775DA8C" w14:textId="77777777" w:rsidTr="0089652B">
        <w:trPr>
          <w:trHeight w:val="225"/>
          <w:jc w:val="center"/>
        </w:trPr>
        <w:tc>
          <w:tcPr>
            <w:tcW w:w="4040" w:type="dxa"/>
            <w:tcBorders>
              <w:top w:val="nil"/>
              <w:left w:val="nil"/>
              <w:bottom w:val="nil"/>
              <w:right w:val="nil"/>
            </w:tcBorders>
            <w:shd w:val="clear" w:color="auto" w:fill="auto"/>
            <w:noWrap/>
            <w:vAlign w:val="bottom"/>
            <w:hideMark/>
          </w:tcPr>
          <w:p w14:paraId="479A9250" w14:textId="77777777" w:rsidR="00257E1A" w:rsidRPr="00D83E9A" w:rsidRDefault="00257E1A" w:rsidP="00257E1A">
            <w:pPr>
              <w:spacing w:after="0" w:line="240" w:lineRule="auto"/>
              <w:jc w:val="left"/>
              <w:rPr>
                <w:rFonts w:ascii="Calibri" w:hAnsi="Calibri" w:cs="Arial"/>
                <w:sz w:val="20"/>
              </w:rPr>
            </w:pPr>
            <w:r w:rsidRPr="00D83E9A">
              <w:rPr>
                <w:rFonts w:ascii="Calibri" w:hAnsi="Calibri" w:cs="Arial"/>
                <w:sz w:val="20"/>
              </w:rPr>
              <w:t xml:space="preserve">Lodging projects </w:t>
            </w:r>
          </w:p>
        </w:tc>
        <w:tc>
          <w:tcPr>
            <w:tcW w:w="960" w:type="dxa"/>
            <w:tcBorders>
              <w:top w:val="nil"/>
              <w:left w:val="nil"/>
              <w:bottom w:val="nil"/>
              <w:right w:val="nil"/>
            </w:tcBorders>
            <w:shd w:val="clear" w:color="auto" w:fill="auto"/>
            <w:noWrap/>
            <w:vAlign w:val="bottom"/>
            <w:hideMark/>
          </w:tcPr>
          <w:p w14:paraId="0FEBE1CE"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60</w:t>
            </w:r>
          </w:p>
        </w:tc>
        <w:tc>
          <w:tcPr>
            <w:tcW w:w="960" w:type="dxa"/>
            <w:tcBorders>
              <w:top w:val="nil"/>
              <w:left w:val="nil"/>
              <w:bottom w:val="nil"/>
              <w:right w:val="nil"/>
            </w:tcBorders>
            <w:shd w:val="clear" w:color="auto" w:fill="auto"/>
            <w:noWrap/>
            <w:vAlign w:val="bottom"/>
            <w:hideMark/>
          </w:tcPr>
          <w:p w14:paraId="67424E09"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62</w:t>
            </w:r>
          </w:p>
        </w:tc>
        <w:tc>
          <w:tcPr>
            <w:tcW w:w="3020" w:type="dxa"/>
            <w:tcBorders>
              <w:top w:val="nil"/>
              <w:left w:val="nil"/>
              <w:bottom w:val="nil"/>
              <w:right w:val="nil"/>
            </w:tcBorders>
            <w:shd w:val="clear" w:color="auto" w:fill="auto"/>
            <w:noWrap/>
            <w:vAlign w:val="bottom"/>
            <w:hideMark/>
          </w:tcPr>
          <w:p w14:paraId="75B8A3EE"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62</w:t>
            </w:r>
          </w:p>
        </w:tc>
      </w:tr>
      <w:tr w:rsidR="00257E1A" w:rsidRPr="00D83E9A" w14:paraId="44CFE347" w14:textId="77777777" w:rsidTr="0089652B">
        <w:trPr>
          <w:trHeight w:val="225"/>
          <w:jc w:val="center"/>
        </w:trPr>
        <w:tc>
          <w:tcPr>
            <w:tcW w:w="4040" w:type="dxa"/>
            <w:tcBorders>
              <w:top w:val="nil"/>
              <w:left w:val="nil"/>
              <w:bottom w:val="nil"/>
              <w:right w:val="nil"/>
            </w:tcBorders>
            <w:shd w:val="clear" w:color="auto" w:fill="auto"/>
            <w:noWrap/>
            <w:vAlign w:val="bottom"/>
            <w:hideMark/>
          </w:tcPr>
          <w:p w14:paraId="0F4DF4B8" w14:textId="77777777" w:rsidR="00257E1A" w:rsidRPr="00D83E9A" w:rsidRDefault="00257E1A" w:rsidP="00257E1A">
            <w:pPr>
              <w:spacing w:after="0" w:line="240" w:lineRule="auto"/>
              <w:jc w:val="left"/>
              <w:rPr>
                <w:rFonts w:ascii="Calibri" w:hAnsi="Calibri" w:cs="Arial"/>
                <w:sz w:val="20"/>
              </w:rPr>
            </w:pPr>
            <w:r w:rsidRPr="00D83E9A">
              <w:rPr>
                <w:rFonts w:ascii="Calibri" w:hAnsi="Calibri" w:cs="Arial"/>
                <w:sz w:val="20"/>
              </w:rPr>
              <w:t xml:space="preserve">Lodging economic groups </w:t>
            </w:r>
          </w:p>
        </w:tc>
        <w:tc>
          <w:tcPr>
            <w:tcW w:w="960" w:type="dxa"/>
            <w:tcBorders>
              <w:top w:val="nil"/>
              <w:left w:val="nil"/>
              <w:bottom w:val="nil"/>
              <w:right w:val="nil"/>
            </w:tcBorders>
            <w:shd w:val="clear" w:color="auto" w:fill="auto"/>
            <w:noWrap/>
            <w:vAlign w:val="bottom"/>
            <w:hideMark/>
          </w:tcPr>
          <w:p w14:paraId="3CB1F1BD"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54</w:t>
            </w:r>
          </w:p>
        </w:tc>
        <w:tc>
          <w:tcPr>
            <w:tcW w:w="960" w:type="dxa"/>
            <w:tcBorders>
              <w:top w:val="nil"/>
              <w:left w:val="nil"/>
              <w:bottom w:val="nil"/>
              <w:right w:val="nil"/>
            </w:tcBorders>
            <w:shd w:val="clear" w:color="auto" w:fill="auto"/>
            <w:noWrap/>
            <w:vAlign w:val="bottom"/>
            <w:hideMark/>
          </w:tcPr>
          <w:p w14:paraId="1193B0A9"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52</w:t>
            </w:r>
          </w:p>
        </w:tc>
        <w:tc>
          <w:tcPr>
            <w:tcW w:w="3020" w:type="dxa"/>
            <w:tcBorders>
              <w:top w:val="nil"/>
              <w:left w:val="nil"/>
              <w:bottom w:val="nil"/>
              <w:right w:val="nil"/>
            </w:tcBorders>
            <w:shd w:val="clear" w:color="auto" w:fill="auto"/>
            <w:noWrap/>
            <w:vAlign w:val="bottom"/>
            <w:hideMark/>
          </w:tcPr>
          <w:p w14:paraId="69ED046E"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54</w:t>
            </w:r>
          </w:p>
        </w:tc>
      </w:tr>
      <w:tr w:rsidR="00257E1A" w:rsidRPr="00D83E9A" w14:paraId="765999DE" w14:textId="77777777" w:rsidTr="0089652B">
        <w:trPr>
          <w:trHeight w:val="225"/>
          <w:jc w:val="center"/>
        </w:trPr>
        <w:tc>
          <w:tcPr>
            <w:tcW w:w="4040" w:type="dxa"/>
            <w:tcBorders>
              <w:top w:val="nil"/>
              <w:left w:val="nil"/>
              <w:bottom w:val="nil"/>
              <w:right w:val="nil"/>
            </w:tcBorders>
            <w:shd w:val="clear" w:color="auto" w:fill="auto"/>
            <w:noWrap/>
            <w:vAlign w:val="bottom"/>
            <w:hideMark/>
          </w:tcPr>
          <w:p w14:paraId="764EE32C" w14:textId="77777777" w:rsidR="00257E1A" w:rsidRPr="00D83E9A" w:rsidRDefault="00257E1A" w:rsidP="00257E1A">
            <w:pPr>
              <w:spacing w:after="0" w:line="240" w:lineRule="auto"/>
              <w:jc w:val="left"/>
              <w:rPr>
                <w:rFonts w:ascii="Calibri" w:hAnsi="Calibri" w:cs="Arial"/>
                <w:sz w:val="20"/>
              </w:rPr>
            </w:pPr>
            <w:r w:rsidRPr="00D83E9A">
              <w:rPr>
                <w:rFonts w:ascii="Calibri" w:hAnsi="Calibri" w:cs="Arial"/>
                <w:sz w:val="20"/>
              </w:rPr>
              <w:t>Entities with a PRRT liability</w:t>
            </w:r>
          </w:p>
        </w:tc>
        <w:tc>
          <w:tcPr>
            <w:tcW w:w="960" w:type="dxa"/>
            <w:tcBorders>
              <w:top w:val="nil"/>
              <w:left w:val="nil"/>
              <w:bottom w:val="nil"/>
              <w:right w:val="nil"/>
            </w:tcBorders>
            <w:shd w:val="clear" w:color="auto" w:fill="auto"/>
            <w:noWrap/>
            <w:vAlign w:val="bottom"/>
            <w:hideMark/>
          </w:tcPr>
          <w:p w14:paraId="4B6DFAA8"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12</w:t>
            </w:r>
          </w:p>
        </w:tc>
        <w:tc>
          <w:tcPr>
            <w:tcW w:w="960" w:type="dxa"/>
            <w:tcBorders>
              <w:top w:val="nil"/>
              <w:left w:val="nil"/>
              <w:bottom w:val="nil"/>
              <w:right w:val="nil"/>
            </w:tcBorders>
            <w:shd w:val="clear" w:color="auto" w:fill="auto"/>
            <w:noWrap/>
            <w:vAlign w:val="bottom"/>
            <w:hideMark/>
          </w:tcPr>
          <w:p w14:paraId="5535D99E"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12</w:t>
            </w:r>
          </w:p>
        </w:tc>
        <w:tc>
          <w:tcPr>
            <w:tcW w:w="3020" w:type="dxa"/>
            <w:tcBorders>
              <w:top w:val="nil"/>
              <w:left w:val="nil"/>
              <w:bottom w:val="nil"/>
              <w:right w:val="nil"/>
            </w:tcBorders>
            <w:shd w:val="clear" w:color="auto" w:fill="auto"/>
            <w:noWrap/>
            <w:vAlign w:val="bottom"/>
            <w:hideMark/>
          </w:tcPr>
          <w:p w14:paraId="0DEA7365"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Not yet published</w:t>
            </w:r>
          </w:p>
        </w:tc>
      </w:tr>
      <w:tr w:rsidR="00257E1A" w:rsidRPr="00D83E9A" w14:paraId="0A6489EF" w14:textId="77777777" w:rsidTr="0089652B">
        <w:trPr>
          <w:trHeight w:val="225"/>
          <w:jc w:val="center"/>
        </w:trPr>
        <w:tc>
          <w:tcPr>
            <w:tcW w:w="4040" w:type="dxa"/>
            <w:tcBorders>
              <w:top w:val="nil"/>
              <w:left w:val="nil"/>
              <w:bottom w:val="single" w:sz="4" w:space="0" w:color="000000"/>
              <w:right w:val="nil"/>
            </w:tcBorders>
            <w:shd w:val="clear" w:color="auto" w:fill="auto"/>
            <w:noWrap/>
            <w:vAlign w:val="bottom"/>
            <w:hideMark/>
          </w:tcPr>
          <w:p w14:paraId="6670D1FB" w14:textId="77777777" w:rsidR="00257E1A" w:rsidRPr="00D83E9A" w:rsidRDefault="00257E1A" w:rsidP="00257E1A">
            <w:pPr>
              <w:spacing w:after="0" w:line="240" w:lineRule="auto"/>
              <w:jc w:val="left"/>
              <w:rPr>
                <w:rFonts w:ascii="Calibri" w:hAnsi="Calibri" w:cs="Arial"/>
                <w:sz w:val="20"/>
              </w:rPr>
            </w:pPr>
            <w:r w:rsidRPr="00D83E9A">
              <w:rPr>
                <w:rFonts w:ascii="Calibri" w:hAnsi="Calibri" w:cs="Arial"/>
                <w:sz w:val="20"/>
              </w:rPr>
              <w:t>Projects with a PRRT liability</w:t>
            </w:r>
          </w:p>
        </w:tc>
        <w:tc>
          <w:tcPr>
            <w:tcW w:w="960" w:type="dxa"/>
            <w:tcBorders>
              <w:top w:val="nil"/>
              <w:left w:val="nil"/>
              <w:bottom w:val="single" w:sz="4" w:space="0" w:color="000000"/>
              <w:right w:val="nil"/>
            </w:tcBorders>
            <w:shd w:val="clear" w:color="auto" w:fill="auto"/>
            <w:noWrap/>
            <w:vAlign w:val="bottom"/>
            <w:hideMark/>
          </w:tcPr>
          <w:p w14:paraId="11347F73"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9</w:t>
            </w:r>
          </w:p>
        </w:tc>
        <w:tc>
          <w:tcPr>
            <w:tcW w:w="960" w:type="dxa"/>
            <w:tcBorders>
              <w:top w:val="nil"/>
              <w:left w:val="nil"/>
              <w:bottom w:val="single" w:sz="4" w:space="0" w:color="000000"/>
              <w:right w:val="nil"/>
            </w:tcBorders>
            <w:shd w:val="clear" w:color="auto" w:fill="auto"/>
            <w:noWrap/>
            <w:vAlign w:val="bottom"/>
            <w:hideMark/>
          </w:tcPr>
          <w:p w14:paraId="260A1C85"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8</w:t>
            </w:r>
          </w:p>
        </w:tc>
        <w:tc>
          <w:tcPr>
            <w:tcW w:w="3020" w:type="dxa"/>
            <w:tcBorders>
              <w:top w:val="nil"/>
              <w:left w:val="nil"/>
              <w:bottom w:val="single" w:sz="4" w:space="0" w:color="000000"/>
              <w:right w:val="nil"/>
            </w:tcBorders>
            <w:shd w:val="clear" w:color="auto" w:fill="auto"/>
            <w:noWrap/>
            <w:vAlign w:val="bottom"/>
            <w:hideMark/>
          </w:tcPr>
          <w:p w14:paraId="6CF4E791" w14:textId="77777777" w:rsidR="00257E1A" w:rsidRPr="00D83E9A" w:rsidRDefault="00257E1A" w:rsidP="00257E1A">
            <w:pPr>
              <w:spacing w:after="0" w:line="240" w:lineRule="auto"/>
              <w:jc w:val="center"/>
              <w:rPr>
                <w:rFonts w:ascii="Calibri" w:hAnsi="Calibri" w:cs="Arial"/>
                <w:sz w:val="20"/>
              </w:rPr>
            </w:pPr>
            <w:r w:rsidRPr="00D83E9A">
              <w:rPr>
                <w:rFonts w:ascii="Calibri" w:hAnsi="Calibri" w:cs="Arial"/>
                <w:sz w:val="20"/>
              </w:rPr>
              <w:t>6</w:t>
            </w:r>
          </w:p>
        </w:tc>
      </w:tr>
    </w:tbl>
    <w:p w14:paraId="512B5707" w14:textId="57E57981" w:rsidR="00715C69" w:rsidRDefault="00257E1A" w:rsidP="0089652B">
      <w:pPr>
        <w:pStyle w:val="ChartorTableNote"/>
      </w:pPr>
      <w:r w:rsidRPr="006D28D4">
        <w:t>Source</w:t>
      </w:r>
      <w:r w:rsidR="006344D1" w:rsidRPr="006D28D4">
        <w:t>:</w:t>
      </w:r>
      <w:r w:rsidRPr="006D28D4">
        <w:t xml:space="preserve"> ATO </w:t>
      </w:r>
      <w:r w:rsidR="006344D1" w:rsidRPr="006D28D4">
        <w:t>S</w:t>
      </w:r>
      <w:r w:rsidRPr="006D28D4">
        <w:t>ubmission</w:t>
      </w:r>
      <w:r w:rsidR="006344D1" w:rsidRPr="006D28D4">
        <w:t>,</w:t>
      </w:r>
      <w:r w:rsidRPr="006D28D4">
        <w:t xml:space="preserve"> p</w:t>
      </w:r>
      <w:r w:rsidR="006344D1" w:rsidRPr="006D28D4">
        <w:t>.</w:t>
      </w:r>
      <w:r w:rsidRPr="006D28D4">
        <w:t xml:space="preserve"> 10</w:t>
      </w:r>
      <w:r w:rsidR="006344D1" w:rsidRPr="006D28D4">
        <w:t>.</w:t>
      </w:r>
    </w:p>
    <w:p w14:paraId="7909CCC5" w14:textId="77777777" w:rsidR="0089652B" w:rsidRPr="0089652B" w:rsidRDefault="0089652B" w:rsidP="0089652B">
      <w:pPr>
        <w:pStyle w:val="SingleParagraph"/>
      </w:pPr>
    </w:p>
    <w:p w14:paraId="4E0C4AA6" w14:textId="04F15CE3" w:rsidR="00257E1A" w:rsidRDefault="00257E1A" w:rsidP="00257E1A">
      <w:r>
        <w:t>Transparency data from the 2013</w:t>
      </w:r>
      <w:r w:rsidR="005D6F39">
        <w:noBreakHyphen/>
      </w:r>
      <w:r w:rsidR="007D4361">
        <w:t>14 and 2014</w:t>
      </w:r>
      <w:r w:rsidR="005D6F39">
        <w:noBreakHyphen/>
      </w:r>
      <w:r>
        <w:t>15 PRRT years published on data.gov.au as part of the ATO</w:t>
      </w:r>
      <w:r w:rsidR="005D6F39">
        <w:t>’</w:t>
      </w:r>
      <w:r>
        <w:t xml:space="preserve">s annual </w:t>
      </w:r>
      <w:r w:rsidRPr="00714332">
        <w:rPr>
          <w:i/>
        </w:rPr>
        <w:t>Report on entity tax information</w:t>
      </w:r>
      <w:r>
        <w:t xml:space="preserve"> shows the names of the 12 entities who paid in each year and the amounts they paid.</w:t>
      </w:r>
    </w:p>
    <w:p w14:paraId="48989E51" w14:textId="544531C9" w:rsidR="00257E1A" w:rsidRDefault="00715C69" w:rsidP="00221C2A">
      <w:pPr>
        <w:pStyle w:val="TableMainHeading"/>
      </w:pPr>
      <w:r w:rsidRPr="00070503">
        <w:t xml:space="preserve">Table </w:t>
      </w:r>
      <w:r w:rsidR="00DC3554" w:rsidRPr="00070503">
        <w:t>B.</w:t>
      </w:r>
      <w:r w:rsidR="005C5668">
        <w:t>3</w:t>
      </w:r>
      <w:r w:rsidR="00DC3554" w:rsidRPr="00070503">
        <w:t xml:space="preserve"> </w:t>
      </w:r>
      <w:r w:rsidRPr="00070503">
        <w:t>—</w:t>
      </w:r>
      <w:r w:rsidR="00DC3554">
        <w:t xml:space="preserve">Companies </w:t>
      </w:r>
      <w:r w:rsidR="006D6467">
        <w:t>p</w:t>
      </w:r>
      <w:r w:rsidR="00DC3554" w:rsidRPr="00070503">
        <w:t>aying</w:t>
      </w:r>
      <w:r w:rsidR="00DC3554">
        <w:t xml:space="preserve"> PRRT </w:t>
      </w:r>
    </w:p>
    <w:tbl>
      <w:tblPr>
        <w:tblW w:w="9087" w:type="dxa"/>
        <w:tblInd w:w="93" w:type="dxa"/>
        <w:tblLook w:val="04A0" w:firstRow="1" w:lastRow="0" w:firstColumn="1" w:lastColumn="0" w:noHBand="0" w:noVBand="1"/>
      </w:tblPr>
      <w:tblGrid>
        <w:gridCol w:w="4420"/>
        <w:gridCol w:w="1549"/>
        <w:gridCol w:w="1559"/>
        <w:gridCol w:w="1559"/>
      </w:tblGrid>
      <w:tr w:rsidR="00257E1A" w:rsidRPr="00952652" w14:paraId="1B17119C" w14:textId="77777777" w:rsidTr="0089652B">
        <w:trPr>
          <w:trHeight w:val="225"/>
        </w:trPr>
        <w:tc>
          <w:tcPr>
            <w:tcW w:w="4420" w:type="dxa"/>
            <w:tcBorders>
              <w:top w:val="single" w:sz="4" w:space="0" w:color="000000"/>
              <w:left w:val="nil"/>
              <w:bottom w:val="nil"/>
              <w:right w:val="nil"/>
            </w:tcBorders>
            <w:shd w:val="clear" w:color="000000" w:fill="E6E6E6"/>
            <w:noWrap/>
            <w:vAlign w:val="bottom"/>
            <w:hideMark/>
          </w:tcPr>
          <w:p w14:paraId="21FE655D" w14:textId="77777777" w:rsidR="00257E1A" w:rsidRPr="00952652" w:rsidRDefault="00257E1A" w:rsidP="00257E1A">
            <w:pPr>
              <w:spacing w:after="0" w:line="240" w:lineRule="auto"/>
              <w:jc w:val="center"/>
              <w:rPr>
                <w:rFonts w:ascii="Calibri" w:hAnsi="Calibri" w:cs="Arial"/>
                <w:sz w:val="20"/>
              </w:rPr>
            </w:pPr>
            <w:r w:rsidRPr="00952652">
              <w:rPr>
                <w:rFonts w:ascii="Calibri" w:hAnsi="Calibri" w:cs="Arial"/>
                <w:sz w:val="20"/>
              </w:rPr>
              <w:t>Name</w:t>
            </w:r>
          </w:p>
        </w:tc>
        <w:tc>
          <w:tcPr>
            <w:tcW w:w="1549" w:type="dxa"/>
            <w:tcBorders>
              <w:top w:val="single" w:sz="4" w:space="0" w:color="000000"/>
              <w:left w:val="nil"/>
              <w:bottom w:val="nil"/>
              <w:right w:val="nil"/>
            </w:tcBorders>
            <w:shd w:val="clear" w:color="000000" w:fill="E6E6E6"/>
            <w:noWrap/>
            <w:vAlign w:val="bottom"/>
            <w:hideMark/>
          </w:tcPr>
          <w:p w14:paraId="378375C1" w14:textId="77777777" w:rsidR="00257E1A" w:rsidRPr="00952652" w:rsidRDefault="00257E1A" w:rsidP="00257E1A">
            <w:pPr>
              <w:spacing w:after="0" w:line="240" w:lineRule="auto"/>
              <w:jc w:val="center"/>
              <w:rPr>
                <w:rFonts w:ascii="Calibri" w:hAnsi="Calibri" w:cs="Arial"/>
                <w:sz w:val="20"/>
              </w:rPr>
            </w:pPr>
            <w:r w:rsidRPr="00952652">
              <w:rPr>
                <w:rFonts w:ascii="Calibri" w:hAnsi="Calibri" w:cs="Arial"/>
                <w:sz w:val="20"/>
              </w:rPr>
              <w:t>ABN</w:t>
            </w:r>
          </w:p>
        </w:tc>
        <w:tc>
          <w:tcPr>
            <w:tcW w:w="3118" w:type="dxa"/>
            <w:gridSpan w:val="2"/>
            <w:tcBorders>
              <w:top w:val="single" w:sz="4" w:space="0" w:color="000000"/>
              <w:left w:val="nil"/>
              <w:bottom w:val="nil"/>
              <w:right w:val="nil"/>
            </w:tcBorders>
            <w:shd w:val="clear" w:color="000000" w:fill="E6E6E6"/>
            <w:noWrap/>
            <w:vAlign w:val="bottom"/>
            <w:hideMark/>
          </w:tcPr>
          <w:p w14:paraId="49494634" w14:textId="77777777" w:rsidR="00257E1A" w:rsidRPr="00952652" w:rsidRDefault="00257E1A" w:rsidP="00257E1A">
            <w:pPr>
              <w:spacing w:after="0" w:line="240" w:lineRule="auto"/>
              <w:jc w:val="center"/>
              <w:rPr>
                <w:rFonts w:ascii="Calibri" w:hAnsi="Calibri" w:cs="Arial"/>
                <w:sz w:val="20"/>
              </w:rPr>
            </w:pPr>
            <w:r w:rsidRPr="00952652">
              <w:rPr>
                <w:rFonts w:ascii="Calibri" w:hAnsi="Calibri" w:cs="Arial"/>
                <w:sz w:val="20"/>
              </w:rPr>
              <w:t>PRRT Payable</w:t>
            </w:r>
          </w:p>
        </w:tc>
      </w:tr>
      <w:tr w:rsidR="00257E1A" w:rsidRPr="00952652" w14:paraId="5B95B487" w14:textId="77777777" w:rsidTr="0089652B">
        <w:trPr>
          <w:trHeight w:val="225"/>
        </w:trPr>
        <w:tc>
          <w:tcPr>
            <w:tcW w:w="4420" w:type="dxa"/>
            <w:tcBorders>
              <w:top w:val="nil"/>
              <w:left w:val="nil"/>
              <w:bottom w:val="nil"/>
              <w:right w:val="nil"/>
            </w:tcBorders>
            <w:shd w:val="clear" w:color="000000" w:fill="E6E6E6"/>
            <w:noWrap/>
            <w:vAlign w:val="bottom"/>
            <w:hideMark/>
          </w:tcPr>
          <w:p w14:paraId="5F0B438B"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 </w:t>
            </w:r>
          </w:p>
        </w:tc>
        <w:tc>
          <w:tcPr>
            <w:tcW w:w="1549" w:type="dxa"/>
            <w:tcBorders>
              <w:top w:val="nil"/>
              <w:left w:val="nil"/>
              <w:bottom w:val="nil"/>
              <w:right w:val="nil"/>
            </w:tcBorders>
            <w:shd w:val="clear" w:color="000000" w:fill="E6E6E6"/>
            <w:noWrap/>
            <w:vAlign w:val="bottom"/>
            <w:hideMark/>
          </w:tcPr>
          <w:p w14:paraId="4E2B1C56"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 </w:t>
            </w:r>
          </w:p>
        </w:tc>
        <w:tc>
          <w:tcPr>
            <w:tcW w:w="1559" w:type="dxa"/>
            <w:tcBorders>
              <w:top w:val="nil"/>
              <w:left w:val="nil"/>
              <w:bottom w:val="nil"/>
              <w:right w:val="nil"/>
            </w:tcBorders>
            <w:shd w:val="clear" w:color="000000" w:fill="E6E6E6"/>
            <w:noWrap/>
            <w:vAlign w:val="bottom"/>
            <w:hideMark/>
          </w:tcPr>
          <w:p w14:paraId="66EAFE35" w14:textId="4B227D7A"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2013</w:t>
            </w:r>
            <w:r w:rsidR="005D6F39">
              <w:rPr>
                <w:rFonts w:ascii="Calibri" w:hAnsi="Calibri" w:cs="Arial"/>
                <w:sz w:val="20"/>
              </w:rPr>
              <w:noBreakHyphen/>
            </w:r>
            <w:r w:rsidRPr="00952652">
              <w:rPr>
                <w:rFonts w:ascii="Calibri" w:hAnsi="Calibri" w:cs="Arial"/>
                <w:sz w:val="20"/>
              </w:rPr>
              <w:t>14 $</w:t>
            </w:r>
          </w:p>
        </w:tc>
        <w:tc>
          <w:tcPr>
            <w:tcW w:w="1559" w:type="dxa"/>
            <w:tcBorders>
              <w:top w:val="nil"/>
              <w:left w:val="nil"/>
              <w:bottom w:val="nil"/>
              <w:right w:val="nil"/>
            </w:tcBorders>
            <w:shd w:val="clear" w:color="000000" w:fill="E6E6E6"/>
            <w:noWrap/>
            <w:vAlign w:val="bottom"/>
            <w:hideMark/>
          </w:tcPr>
          <w:p w14:paraId="602737D4" w14:textId="4D18E690"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2014</w:t>
            </w:r>
            <w:r w:rsidR="005D6F39">
              <w:rPr>
                <w:rFonts w:ascii="Calibri" w:hAnsi="Calibri" w:cs="Arial"/>
                <w:sz w:val="20"/>
              </w:rPr>
              <w:noBreakHyphen/>
            </w:r>
            <w:r w:rsidRPr="00952652">
              <w:rPr>
                <w:rFonts w:ascii="Calibri" w:hAnsi="Calibri" w:cs="Arial"/>
                <w:sz w:val="20"/>
              </w:rPr>
              <w:t>15 $</w:t>
            </w:r>
          </w:p>
        </w:tc>
      </w:tr>
      <w:tr w:rsidR="00257E1A" w:rsidRPr="00952652" w14:paraId="5FE74371" w14:textId="77777777" w:rsidTr="0089652B">
        <w:trPr>
          <w:trHeight w:val="225"/>
        </w:trPr>
        <w:tc>
          <w:tcPr>
            <w:tcW w:w="4420" w:type="dxa"/>
            <w:tcBorders>
              <w:top w:val="nil"/>
              <w:left w:val="nil"/>
              <w:bottom w:val="nil"/>
              <w:right w:val="nil"/>
            </w:tcBorders>
            <w:shd w:val="clear" w:color="auto" w:fill="auto"/>
            <w:noWrap/>
            <w:vAlign w:val="bottom"/>
            <w:hideMark/>
          </w:tcPr>
          <w:p w14:paraId="193B8A31"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AWE (OFFSHORE PB) PTY LTD</w:t>
            </w:r>
          </w:p>
        </w:tc>
        <w:tc>
          <w:tcPr>
            <w:tcW w:w="1549" w:type="dxa"/>
            <w:tcBorders>
              <w:top w:val="nil"/>
              <w:left w:val="nil"/>
              <w:bottom w:val="nil"/>
              <w:right w:val="nil"/>
            </w:tcBorders>
            <w:shd w:val="clear" w:color="auto" w:fill="auto"/>
            <w:noWrap/>
            <w:vAlign w:val="bottom"/>
            <w:hideMark/>
          </w:tcPr>
          <w:p w14:paraId="1C3149E7"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29008988930</w:t>
            </w:r>
          </w:p>
        </w:tc>
        <w:tc>
          <w:tcPr>
            <w:tcW w:w="1559" w:type="dxa"/>
            <w:tcBorders>
              <w:top w:val="nil"/>
              <w:left w:val="nil"/>
              <w:bottom w:val="nil"/>
              <w:right w:val="nil"/>
            </w:tcBorders>
            <w:shd w:val="clear" w:color="auto" w:fill="auto"/>
            <w:noWrap/>
            <w:vAlign w:val="bottom"/>
            <w:hideMark/>
          </w:tcPr>
          <w:p w14:paraId="29ECDD10"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5,315,502</w:t>
            </w:r>
          </w:p>
        </w:tc>
        <w:tc>
          <w:tcPr>
            <w:tcW w:w="1559" w:type="dxa"/>
            <w:tcBorders>
              <w:top w:val="nil"/>
              <w:left w:val="nil"/>
              <w:bottom w:val="nil"/>
              <w:right w:val="nil"/>
            </w:tcBorders>
            <w:shd w:val="clear" w:color="auto" w:fill="auto"/>
            <w:noWrap/>
            <w:vAlign w:val="bottom"/>
            <w:hideMark/>
          </w:tcPr>
          <w:p w14:paraId="7EE986DA"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1,290,297</w:t>
            </w:r>
          </w:p>
        </w:tc>
      </w:tr>
      <w:tr w:rsidR="00257E1A" w:rsidRPr="00952652" w14:paraId="587A0CD9" w14:textId="77777777" w:rsidTr="0089652B">
        <w:trPr>
          <w:trHeight w:val="225"/>
        </w:trPr>
        <w:tc>
          <w:tcPr>
            <w:tcW w:w="4420" w:type="dxa"/>
            <w:tcBorders>
              <w:top w:val="nil"/>
              <w:left w:val="nil"/>
              <w:bottom w:val="nil"/>
              <w:right w:val="nil"/>
            </w:tcBorders>
            <w:shd w:val="clear" w:color="auto" w:fill="auto"/>
            <w:noWrap/>
            <w:vAlign w:val="bottom"/>
            <w:hideMark/>
          </w:tcPr>
          <w:p w14:paraId="4613359E"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AWE OIL (WESTERN AUSTRALIA) PTY LTD</w:t>
            </w:r>
          </w:p>
        </w:tc>
        <w:tc>
          <w:tcPr>
            <w:tcW w:w="1549" w:type="dxa"/>
            <w:tcBorders>
              <w:top w:val="nil"/>
              <w:left w:val="nil"/>
              <w:bottom w:val="nil"/>
              <w:right w:val="nil"/>
            </w:tcBorders>
            <w:shd w:val="clear" w:color="auto" w:fill="auto"/>
            <w:noWrap/>
            <w:vAlign w:val="bottom"/>
            <w:hideMark/>
          </w:tcPr>
          <w:p w14:paraId="69FCD9FE"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32008939080</w:t>
            </w:r>
          </w:p>
        </w:tc>
        <w:tc>
          <w:tcPr>
            <w:tcW w:w="1559" w:type="dxa"/>
            <w:tcBorders>
              <w:top w:val="nil"/>
              <w:left w:val="nil"/>
              <w:bottom w:val="nil"/>
              <w:right w:val="nil"/>
            </w:tcBorders>
            <w:shd w:val="clear" w:color="auto" w:fill="auto"/>
            <w:noWrap/>
            <w:vAlign w:val="bottom"/>
            <w:hideMark/>
          </w:tcPr>
          <w:p w14:paraId="2443DF2F"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5,358,875</w:t>
            </w:r>
          </w:p>
        </w:tc>
        <w:tc>
          <w:tcPr>
            <w:tcW w:w="1559" w:type="dxa"/>
            <w:tcBorders>
              <w:top w:val="nil"/>
              <w:left w:val="nil"/>
              <w:bottom w:val="nil"/>
              <w:right w:val="nil"/>
            </w:tcBorders>
            <w:shd w:val="clear" w:color="auto" w:fill="auto"/>
            <w:noWrap/>
            <w:vAlign w:val="bottom"/>
            <w:hideMark/>
          </w:tcPr>
          <w:p w14:paraId="5AD5D5DB" w14:textId="77777777" w:rsidR="00257E1A" w:rsidRPr="00952652" w:rsidRDefault="00257E1A" w:rsidP="00257E1A">
            <w:pPr>
              <w:spacing w:after="0" w:line="240" w:lineRule="auto"/>
              <w:jc w:val="left"/>
              <w:rPr>
                <w:rFonts w:ascii="Calibri" w:hAnsi="Calibri" w:cs="Arial"/>
                <w:sz w:val="20"/>
              </w:rPr>
            </w:pPr>
          </w:p>
        </w:tc>
      </w:tr>
      <w:tr w:rsidR="00257E1A" w:rsidRPr="00952652" w14:paraId="6D2DE8F2" w14:textId="77777777" w:rsidTr="0089652B">
        <w:trPr>
          <w:trHeight w:val="225"/>
        </w:trPr>
        <w:tc>
          <w:tcPr>
            <w:tcW w:w="4420" w:type="dxa"/>
            <w:tcBorders>
              <w:top w:val="nil"/>
              <w:left w:val="nil"/>
              <w:bottom w:val="nil"/>
              <w:right w:val="nil"/>
            </w:tcBorders>
            <w:shd w:val="clear" w:color="auto" w:fill="auto"/>
            <w:noWrap/>
            <w:vAlign w:val="bottom"/>
            <w:hideMark/>
          </w:tcPr>
          <w:p w14:paraId="5D4BB5F3"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BHP BILLITON PETROLEUM (AUSTRALIA) PTY. LTD.</w:t>
            </w:r>
          </w:p>
        </w:tc>
        <w:tc>
          <w:tcPr>
            <w:tcW w:w="1549" w:type="dxa"/>
            <w:tcBorders>
              <w:top w:val="nil"/>
              <w:left w:val="nil"/>
              <w:bottom w:val="nil"/>
              <w:right w:val="nil"/>
            </w:tcBorders>
            <w:shd w:val="clear" w:color="auto" w:fill="auto"/>
            <w:noWrap/>
            <w:vAlign w:val="bottom"/>
            <w:hideMark/>
          </w:tcPr>
          <w:p w14:paraId="3C90124E"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39006923879</w:t>
            </w:r>
          </w:p>
        </w:tc>
        <w:tc>
          <w:tcPr>
            <w:tcW w:w="1559" w:type="dxa"/>
            <w:tcBorders>
              <w:top w:val="nil"/>
              <w:left w:val="nil"/>
              <w:bottom w:val="nil"/>
              <w:right w:val="nil"/>
            </w:tcBorders>
            <w:shd w:val="clear" w:color="auto" w:fill="auto"/>
            <w:noWrap/>
            <w:vAlign w:val="bottom"/>
            <w:hideMark/>
          </w:tcPr>
          <w:p w14:paraId="7E1B0ACE"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381,369,378</w:t>
            </w:r>
          </w:p>
        </w:tc>
        <w:tc>
          <w:tcPr>
            <w:tcW w:w="1559" w:type="dxa"/>
            <w:tcBorders>
              <w:top w:val="nil"/>
              <w:left w:val="nil"/>
              <w:bottom w:val="nil"/>
              <w:right w:val="nil"/>
            </w:tcBorders>
            <w:shd w:val="clear" w:color="auto" w:fill="auto"/>
            <w:noWrap/>
            <w:vAlign w:val="bottom"/>
            <w:hideMark/>
          </w:tcPr>
          <w:p w14:paraId="6E7A842F"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340,737,757</w:t>
            </w:r>
          </w:p>
        </w:tc>
      </w:tr>
      <w:tr w:rsidR="00257E1A" w:rsidRPr="00952652" w14:paraId="048EB331" w14:textId="77777777" w:rsidTr="0089652B">
        <w:trPr>
          <w:trHeight w:val="225"/>
        </w:trPr>
        <w:tc>
          <w:tcPr>
            <w:tcW w:w="4420" w:type="dxa"/>
            <w:tcBorders>
              <w:top w:val="nil"/>
              <w:left w:val="nil"/>
              <w:bottom w:val="nil"/>
              <w:right w:val="nil"/>
            </w:tcBorders>
            <w:shd w:val="clear" w:color="auto" w:fill="auto"/>
            <w:noWrap/>
            <w:vAlign w:val="bottom"/>
            <w:hideMark/>
          </w:tcPr>
          <w:p w14:paraId="154E7F15"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BHP BILLITON PETROLEUM (BASS STRAIT) PTY. LTD.</w:t>
            </w:r>
          </w:p>
        </w:tc>
        <w:tc>
          <w:tcPr>
            <w:tcW w:w="1549" w:type="dxa"/>
            <w:tcBorders>
              <w:top w:val="nil"/>
              <w:left w:val="nil"/>
              <w:bottom w:val="nil"/>
              <w:right w:val="nil"/>
            </w:tcBorders>
            <w:shd w:val="clear" w:color="auto" w:fill="auto"/>
            <w:noWrap/>
            <w:vAlign w:val="bottom"/>
            <w:hideMark/>
          </w:tcPr>
          <w:p w14:paraId="7F6E0325"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29004228004</w:t>
            </w:r>
          </w:p>
        </w:tc>
        <w:tc>
          <w:tcPr>
            <w:tcW w:w="1559" w:type="dxa"/>
            <w:tcBorders>
              <w:top w:val="nil"/>
              <w:left w:val="nil"/>
              <w:bottom w:val="nil"/>
              <w:right w:val="nil"/>
            </w:tcBorders>
            <w:shd w:val="clear" w:color="auto" w:fill="auto"/>
            <w:noWrap/>
            <w:vAlign w:val="bottom"/>
            <w:hideMark/>
          </w:tcPr>
          <w:p w14:paraId="3A7B9D53"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559,866,686</w:t>
            </w:r>
          </w:p>
        </w:tc>
        <w:tc>
          <w:tcPr>
            <w:tcW w:w="1559" w:type="dxa"/>
            <w:tcBorders>
              <w:top w:val="nil"/>
              <w:left w:val="nil"/>
              <w:bottom w:val="nil"/>
              <w:right w:val="nil"/>
            </w:tcBorders>
            <w:shd w:val="clear" w:color="auto" w:fill="auto"/>
            <w:noWrap/>
            <w:vAlign w:val="bottom"/>
            <w:hideMark/>
          </w:tcPr>
          <w:p w14:paraId="334F4ECC"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293,921,172</w:t>
            </w:r>
          </w:p>
        </w:tc>
      </w:tr>
      <w:tr w:rsidR="00257E1A" w:rsidRPr="00952652" w14:paraId="3B6C7A67" w14:textId="77777777" w:rsidTr="0089652B">
        <w:trPr>
          <w:trHeight w:val="225"/>
        </w:trPr>
        <w:tc>
          <w:tcPr>
            <w:tcW w:w="4420" w:type="dxa"/>
            <w:tcBorders>
              <w:top w:val="nil"/>
              <w:left w:val="nil"/>
              <w:bottom w:val="nil"/>
              <w:right w:val="nil"/>
            </w:tcBorders>
            <w:shd w:val="clear" w:color="auto" w:fill="auto"/>
            <w:noWrap/>
            <w:vAlign w:val="bottom"/>
            <w:hideMark/>
          </w:tcPr>
          <w:p w14:paraId="717D126C"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BHP BILLITON PETROLEUM (VICTORIA) PTY. LTD.</w:t>
            </w:r>
          </w:p>
        </w:tc>
        <w:tc>
          <w:tcPr>
            <w:tcW w:w="1549" w:type="dxa"/>
            <w:tcBorders>
              <w:top w:val="nil"/>
              <w:left w:val="nil"/>
              <w:bottom w:val="nil"/>
              <w:right w:val="nil"/>
            </w:tcBorders>
            <w:shd w:val="clear" w:color="auto" w:fill="auto"/>
            <w:noWrap/>
            <w:vAlign w:val="bottom"/>
            <w:hideMark/>
          </w:tcPr>
          <w:p w14:paraId="6638BF34"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12006466486</w:t>
            </w:r>
          </w:p>
        </w:tc>
        <w:tc>
          <w:tcPr>
            <w:tcW w:w="1559" w:type="dxa"/>
            <w:tcBorders>
              <w:top w:val="nil"/>
              <w:left w:val="nil"/>
              <w:bottom w:val="nil"/>
              <w:right w:val="nil"/>
            </w:tcBorders>
            <w:shd w:val="clear" w:color="auto" w:fill="auto"/>
            <w:noWrap/>
            <w:vAlign w:val="bottom"/>
            <w:hideMark/>
          </w:tcPr>
          <w:p w14:paraId="2A0C2567"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26,555,124</w:t>
            </w:r>
          </w:p>
        </w:tc>
        <w:tc>
          <w:tcPr>
            <w:tcW w:w="1559" w:type="dxa"/>
            <w:tcBorders>
              <w:top w:val="nil"/>
              <w:left w:val="nil"/>
              <w:bottom w:val="nil"/>
              <w:right w:val="nil"/>
            </w:tcBorders>
            <w:shd w:val="clear" w:color="auto" w:fill="auto"/>
            <w:noWrap/>
            <w:vAlign w:val="bottom"/>
            <w:hideMark/>
          </w:tcPr>
          <w:p w14:paraId="2F03AF65"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28,110,468</w:t>
            </w:r>
          </w:p>
        </w:tc>
      </w:tr>
      <w:tr w:rsidR="00257E1A" w:rsidRPr="00952652" w14:paraId="700F024B" w14:textId="77777777" w:rsidTr="0089652B">
        <w:trPr>
          <w:trHeight w:val="225"/>
        </w:trPr>
        <w:tc>
          <w:tcPr>
            <w:tcW w:w="4420" w:type="dxa"/>
            <w:tcBorders>
              <w:top w:val="nil"/>
              <w:left w:val="nil"/>
              <w:bottom w:val="nil"/>
              <w:right w:val="nil"/>
            </w:tcBorders>
            <w:shd w:val="clear" w:color="auto" w:fill="auto"/>
            <w:noWrap/>
            <w:vAlign w:val="bottom"/>
            <w:hideMark/>
          </w:tcPr>
          <w:p w14:paraId="4BA08A8C"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ESSO AUSTRALIA RESOURCES PTY LTD</w:t>
            </w:r>
          </w:p>
        </w:tc>
        <w:tc>
          <w:tcPr>
            <w:tcW w:w="1549" w:type="dxa"/>
            <w:tcBorders>
              <w:top w:val="nil"/>
              <w:left w:val="nil"/>
              <w:bottom w:val="nil"/>
              <w:right w:val="nil"/>
            </w:tcBorders>
            <w:shd w:val="clear" w:color="auto" w:fill="auto"/>
            <w:noWrap/>
            <w:vAlign w:val="bottom"/>
            <w:hideMark/>
          </w:tcPr>
          <w:p w14:paraId="68F0017C"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62091829819</w:t>
            </w:r>
          </w:p>
        </w:tc>
        <w:tc>
          <w:tcPr>
            <w:tcW w:w="1559" w:type="dxa"/>
            <w:tcBorders>
              <w:top w:val="nil"/>
              <w:left w:val="nil"/>
              <w:bottom w:val="nil"/>
              <w:right w:val="nil"/>
            </w:tcBorders>
            <w:shd w:val="clear" w:color="auto" w:fill="auto"/>
            <w:noWrap/>
            <w:vAlign w:val="bottom"/>
            <w:hideMark/>
          </w:tcPr>
          <w:p w14:paraId="5A75F013"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538,485,033</w:t>
            </w:r>
          </w:p>
        </w:tc>
        <w:tc>
          <w:tcPr>
            <w:tcW w:w="1559" w:type="dxa"/>
            <w:tcBorders>
              <w:top w:val="nil"/>
              <w:left w:val="nil"/>
              <w:bottom w:val="nil"/>
              <w:right w:val="nil"/>
            </w:tcBorders>
            <w:shd w:val="clear" w:color="auto" w:fill="auto"/>
            <w:noWrap/>
            <w:vAlign w:val="bottom"/>
            <w:hideMark/>
          </w:tcPr>
          <w:p w14:paraId="7987F6AB"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265,070,131</w:t>
            </w:r>
          </w:p>
        </w:tc>
      </w:tr>
      <w:tr w:rsidR="00257E1A" w:rsidRPr="00952652" w14:paraId="0DE4862B" w14:textId="77777777" w:rsidTr="0089652B">
        <w:trPr>
          <w:trHeight w:val="225"/>
        </w:trPr>
        <w:tc>
          <w:tcPr>
            <w:tcW w:w="4420" w:type="dxa"/>
            <w:tcBorders>
              <w:top w:val="nil"/>
              <w:left w:val="nil"/>
              <w:bottom w:val="nil"/>
              <w:right w:val="nil"/>
            </w:tcBorders>
            <w:shd w:val="clear" w:color="auto" w:fill="auto"/>
            <w:noWrap/>
            <w:vAlign w:val="bottom"/>
            <w:hideMark/>
          </w:tcPr>
          <w:p w14:paraId="0AD7E0F9"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MITSUI E&amp;P AUSTRALIA PTY LTD</w:t>
            </w:r>
          </w:p>
        </w:tc>
        <w:tc>
          <w:tcPr>
            <w:tcW w:w="1549" w:type="dxa"/>
            <w:tcBorders>
              <w:top w:val="nil"/>
              <w:left w:val="nil"/>
              <w:bottom w:val="nil"/>
              <w:right w:val="nil"/>
            </w:tcBorders>
            <w:shd w:val="clear" w:color="auto" w:fill="auto"/>
            <w:noWrap/>
            <w:vAlign w:val="bottom"/>
            <w:hideMark/>
          </w:tcPr>
          <w:p w14:paraId="16DE6F53"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45108437529</w:t>
            </w:r>
          </w:p>
        </w:tc>
        <w:tc>
          <w:tcPr>
            <w:tcW w:w="1559" w:type="dxa"/>
            <w:tcBorders>
              <w:top w:val="nil"/>
              <w:left w:val="nil"/>
              <w:bottom w:val="nil"/>
              <w:right w:val="nil"/>
            </w:tcBorders>
            <w:shd w:val="clear" w:color="auto" w:fill="auto"/>
            <w:noWrap/>
            <w:vAlign w:val="bottom"/>
            <w:hideMark/>
          </w:tcPr>
          <w:p w14:paraId="6E6185D6"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63,010,702</w:t>
            </w:r>
          </w:p>
        </w:tc>
        <w:tc>
          <w:tcPr>
            <w:tcW w:w="1559" w:type="dxa"/>
            <w:tcBorders>
              <w:top w:val="nil"/>
              <w:left w:val="nil"/>
              <w:bottom w:val="nil"/>
              <w:right w:val="nil"/>
            </w:tcBorders>
            <w:shd w:val="clear" w:color="auto" w:fill="auto"/>
            <w:noWrap/>
            <w:vAlign w:val="bottom"/>
            <w:hideMark/>
          </w:tcPr>
          <w:p w14:paraId="2E5855E9"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82,422,986</w:t>
            </w:r>
          </w:p>
        </w:tc>
      </w:tr>
      <w:tr w:rsidR="00257E1A" w:rsidRPr="00952652" w14:paraId="62DEF9E8" w14:textId="77777777" w:rsidTr="0089652B">
        <w:trPr>
          <w:trHeight w:val="225"/>
        </w:trPr>
        <w:tc>
          <w:tcPr>
            <w:tcW w:w="4420" w:type="dxa"/>
            <w:tcBorders>
              <w:top w:val="nil"/>
              <w:left w:val="nil"/>
              <w:bottom w:val="nil"/>
              <w:right w:val="nil"/>
            </w:tcBorders>
            <w:shd w:val="clear" w:color="auto" w:fill="auto"/>
            <w:noWrap/>
            <w:vAlign w:val="bottom"/>
            <w:hideMark/>
          </w:tcPr>
          <w:p w14:paraId="12FBCDC8"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PEEDAMULLAH PETROLEUM PTY LTD</w:t>
            </w:r>
          </w:p>
        </w:tc>
        <w:tc>
          <w:tcPr>
            <w:tcW w:w="1549" w:type="dxa"/>
            <w:tcBorders>
              <w:top w:val="nil"/>
              <w:left w:val="nil"/>
              <w:bottom w:val="nil"/>
              <w:right w:val="nil"/>
            </w:tcBorders>
            <w:shd w:val="clear" w:color="auto" w:fill="auto"/>
            <w:noWrap/>
            <w:vAlign w:val="bottom"/>
            <w:hideMark/>
          </w:tcPr>
          <w:p w14:paraId="611220EF"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17009363820</w:t>
            </w:r>
          </w:p>
        </w:tc>
        <w:tc>
          <w:tcPr>
            <w:tcW w:w="1559" w:type="dxa"/>
            <w:tcBorders>
              <w:top w:val="nil"/>
              <w:left w:val="nil"/>
              <w:bottom w:val="nil"/>
              <w:right w:val="nil"/>
            </w:tcBorders>
            <w:shd w:val="clear" w:color="auto" w:fill="auto"/>
            <w:noWrap/>
            <w:vAlign w:val="bottom"/>
            <w:hideMark/>
          </w:tcPr>
          <w:p w14:paraId="0F866245"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5,508,558</w:t>
            </w:r>
          </w:p>
        </w:tc>
        <w:tc>
          <w:tcPr>
            <w:tcW w:w="1559" w:type="dxa"/>
            <w:tcBorders>
              <w:top w:val="nil"/>
              <w:left w:val="nil"/>
              <w:bottom w:val="nil"/>
              <w:right w:val="nil"/>
            </w:tcBorders>
            <w:shd w:val="clear" w:color="auto" w:fill="auto"/>
            <w:noWrap/>
            <w:vAlign w:val="bottom"/>
            <w:hideMark/>
          </w:tcPr>
          <w:p w14:paraId="3174A4B1"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211,763</w:t>
            </w:r>
          </w:p>
        </w:tc>
      </w:tr>
      <w:tr w:rsidR="00257E1A" w:rsidRPr="00952652" w14:paraId="7C488A20" w14:textId="77777777" w:rsidTr="0089652B">
        <w:trPr>
          <w:trHeight w:val="225"/>
        </w:trPr>
        <w:tc>
          <w:tcPr>
            <w:tcW w:w="4420" w:type="dxa"/>
            <w:tcBorders>
              <w:top w:val="nil"/>
              <w:left w:val="nil"/>
              <w:bottom w:val="nil"/>
              <w:right w:val="nil"/>
            </w:tcBorders>
            <w:shd w:val="clear" w:color="auto" w:fill="auto"/>
            <w:noWrap/>
            <w:vAlign w:val="bottom"/>
            <w:hideMark/>
          </w:tcPr>
          <w:p w14:paraId="1F2630CB"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QUADRANT PVG PTY LTD</w:t>
            </w:r>
          </w:p>
        </w:tc>
        <w:tc>
          <w:tcPr>
            <w:tcW w:w="1549" w:type="dxa"/>
            <w:tcBorders>
              <w:top w:val="nil"/>
              <w:left w:val="nil"/>
              <w:bottom w:val="nil"/>
              <w:right w:val="nil"/>
            </w:tcBorders>
            <w:shd w:val="clear" w:color="auto" w:fill="auto"/>
            <w:noWrap/>
            <w:vAlign w:val="bottom"/>
            <w:hideMark/>
          </w:tcPr>
          <w:p w14:paraId="172AAAB9"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51129604860</w:t>
            </w:r>
          </w:p>
        </w:tc>
        <w:tc>
          <w:tcPr>
            <w:tcW w:w="1559" w:type="dxa"/>
            <w:tcBorders>
              <w:top w:val="nil"/>
              <w:left w:val="nil"/>
              <w:bottom w:val="nil"/>
              <w:right w:val="nil"/>
            </w:tcBorders>
            <w:shd w:val="clear" w:color="auto" w:fill="auto"/>
            <w:noWrap/>
            <w:vAlign w:val="bottom"/>
            <w:hideMark/>
          </w:tcPr>
          <w:p w14:paraId="5AE43FEA" w14:textId="77777777" w:rsidR="00257E1A" w:rsidRPr="00952652" w:rsidRDefault="00257E1A" w:rsidP="00257E1A">
            <w:pPr>
              <w:spacing w:after="0" w:line="240" w:lineRule="auto"/>
              <w:jc w:val="left"/>
              <w:rPr>
                <w:rFonts w:ascii="Calibri" w:hAnsi="Calibri" w:cs="Arial"/>
                <w:sz w:val="20"/>
              </w:rPr>
            </w:pPr>
          </w:p>
        </w:tc>
        <w:tc>
          <w:tcPr>
            <w:tcW w:w="1559" w:type="dxa"/>
            <w:tcBorders>
              <w:top w:val="nil"/>
              <w:left w:val="nil"/>
              <w:bottom w:val="nil"/>
              <w:right w:val="nil"/>
            </w:tcBorders>
            <w:shd w:val="clear" w:color="auto" w:fill="auto"/>
            <w:noWrap/>
            <w:vAlign w:val="bottom"/>
            <w:hideMark/>
          </w:tcPr>
          <w:p w14:paraId="0174E381"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114,654,288</w:t>
            </w:r>
          </w:p>
        </w:tc>
      </w:tr>
      <w:tr w:rsidR="00257E1A" w:rsidRPr="00952652" w14:paraId="038D9E4E" w14:textId="77777777" w:rsidTr="0089652B">
        <w:trPr>
          <w:trHeight w:val="225"/>
        </w:trPr>
        <w:tc>
          <w:tcPr>
            <w:tcW w:w="4420" w:type="dxa"/>
            <w:tcBorders>
              <w:top w:val="nil"/>
              <w:left w:val="nil"/>
              <w:bottom w:val="nil"/>
              <w:right w:val="nil"/>
            </w:tcBorders>
            <w:shd w:val="clear" w:color="auto" w:fill="auto"/>
            <w:noWrap/>
            <w:vAlign w:val="bottom"/>
            <w:hideMark/>
          </w:tcPr>
          <w:p w14:paraId="05E7EBA9"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ROC OIL (WA) PTY LIMITED</w:t>
            </w:r>
          </w:p>
        </w:tc>
        <w:tc>
          <w:tcPr>
            <w:tcW w:w="1549" w:type="dxa"/>
            <w:tcBorders>
              <w:top w:val="nil"/>
              <w:left w:val="nil"/>
              <w:bottom w:val="nil"/>
              <w:right w:val="nil"/>
            </w:tcBorders>
            <w:shd w:val="clear" w:color="auto" w:fill="auto"/>
            <w:noWrap/>
            <w:vAlign w:val="bottom"/>
            <w:hideMark/>
          </w:tcPr>
          <w:p w14:paraId="2D485EFA"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83083143382</w:t>
            </w:r>
          </w:p>
        </w:tc>
        <w:tc>
          <w:tcPr>
            <w:tcW w:w="1559" w:type="dxa"/>
            <w:tcBorders>
              <w:top w:val="nil"/>
              <w:left w:val="nil"/>
              <w:bottom w:val="nil"/>
              <w:right w:val="nil"/>
            </w:tcBorders>
            <w:shd w:val="clear" w:color="auto" w:fill="auto"/>
            <w:noWrap/>
            <w:vAlign w:val="bottom"/>
            <w:hideMark/>
          </w:tcPr>
          <w:p w14:paraId="4C707995"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10,493,858</w:t>
            </w:r>
          </w:p>
        </w:tc>
        <w:tc>
          <w:tcPr>
            <w:tcW w:w="1559" w:type="dxa"/>
            <w:tcBorders>
              <w:top w:val="nil"/>
              <w:left w:val="nil"/>
              <w:bottom w:val="nil"/>
              <w:right w:val="nil"/>
            </w:tcBorders>
            <w:shd w:val="clear" w:color="auto" w:fill="auto"/>
            <w:noWrap/>
            <w:vAlign w:val="bottom"/>
            <w:hideMark/>
          </w:tcPr>
          <w:p w14:paraId="11F51E07"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3,727,953</w:t>
            </w:r>
          </w:p>
        </w:tc>
      </w:tr>
      <w:tr w:rsidR="00257E1A" w:rsidRPr="00952652" w14:paraId="28AB6846" w14:textId="77777777" w:rsidTr="0089652B">
        <w:trPr>
          <w:trHeight w:val="225"/>
        </w:trPr>
        <w:tc>
          <w:tcPr>
            <w:tcW w:w="4420" w:type="dxa"/>
            <w:tcBorders>
              <w:top w:val="nil"/>
              <w:left w:val="nil"/>
              <w:bottom w:val="nil"/>
              <w:right w:val="nil"/>
            </w:tcBorders>
            <w:shd w:val="clear" w:color="auto" w:fill="auto"/>
            <w:noWrap/>
            <w:vAlign w:val="bottom"/>
            <w:hideMark/>
          </w:tcPr>
          <w:p w14:paraId="6AFECCCE"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TALISMAN OIL &amp; GAS (AUSTRALIA) PTY LIMITED</w:t>
            </w:r>
          </w:p>
        </w:tc>
        <w:tc>
          <w:tcPr>
            <w:tcW w:w="1549" w:type="dxa"/>
            <w:tcBorders>
              <w:top w:val="nil"/>
              <w:left w:val="nil"/>
              <w:bottom w:val="nil"/>
              <w:right w:val="nil"/>
            </w:tcBorders>
            <w:shd w:val="clear" w:color="auto" w:fill="auto"/>
            <w:noWrap/>
            <w:vAlign w:val="bottom"/>
            <w:hideMark/>
          </w:tcPr>
          <w:p w14:paraId="4C03FD10"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77111708868</w:t>
            </w:r>
          </w:p>
        </w:tc>
        <w:tc>
          <w:tcPr>
            <w:tcW w:w="1559" w:type="dxa"/>
            <w:tcBorders>
              <w:top w:val="nil"/>
              <w:left w:val="nil"/>
              <w:bottom w:val="nil"/>
              <w:right w:val="nil"/>
            </w:tcBorders>
            <w:shd w:val="clear" w:color="auto" w:fill="auto"/>
            <w:noWrap/>
            <w:vAlign w:val="bottom"/>
            <w:hideMark/>
          </w:tcPr>
          <w:p w14:paraId="50101CD0"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9,099,656</w:t>
            </w:r>
          </w:p>
        </w:tc>
        <w:tc>
          <w:tcPr>
            <w:tcW w:w="1559" w:type="dxa"/>
            <w:tcBorders>
              <w:top w:val="nil"/>
              <w:left w:val="nil"/>
              <w:bottom w:val="nil"/>
              <w:right w:val="nil"/>
            </w:tcBorders>
            <w:shd w:val="clear" w:color="auto" w:fill="auto"/>
            <w:noWrap/>
            <w:vAlign w:val="bottom"/>
            <w:hideMark/>
          </w:tcPr>
          <w:p w14:paraId="152E34C7"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3,471,458</w:t>
            </w:r>
          </w:p>
        </w:tc>
      </w:tr>
      <w:tr w:rsidR="00257E1A" w:rsidRPr="00952652" w14:paraId="26A25242" w14:textId="77777777" w:rsidTr="0089652B">
        <w:trPr>
          <w:trHeight w:val="225"/>
        </w:trPr>
        <w:tc>
          <w:tcPr>
            <w:tcW w:w="4420" w:type="dxa"/>
            <w:tcBorders>
              <w:top w:val="nil"/>
              <w:left w:val="nil"/>
              <w:bottom w:val="nil"/>
              <w:right w:val="nil"/>
            </w:tcBorders>
            <w:shd w:val="clear" w:color="auto" w:fill="auto"/>
            <w:noWrap/>
            <w:vAlign w:val="bottom"/>
            <w:hideMark/>
          </w:tcPr>
          <w:p w14:paraId="52CBFED3"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VERMILION OIL &amp; GAS AUSTRALIA PTY LTD</w:t>
            </w:r>
          </w:p>
        </w:tc>
        <w:tc>
          <w:tcPr>
            <w:tcW w:w="1549" w:type="dxa"/>
            <w:tcBorders>
              <w:top w:val="nil"/>
              <w:left w:val="nil"/>
              <w:bottom w:val="nil"/>
              <w:right w:val="nil"/>
            </w:tcBorders>
            <w:shd w:val="clear" w:color="auto" w:fill="auto"/>
            <w:noWrap/>
            <w:vAlign w:val="bottom"/>
            <w:hideMark/>
          </w:tcPr>
          <w:p w14:paraId="76FBC3BC"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29113023591</w:t>
            </w:r>
          </w:p>
        </w:tc>
        <w:tc>
          <w:tcPr>
            <w:tcW w:w="1559" w:type="dxa"/>
            <w:tcBorders>
              <w:top w:val="nil"/>
              <w:left w:val="nil"/>
              <w:bottom w:val="nil"/>
              <w:right w:val="nil"/>
            </w:tcBorders>
            <w:shd w:val="clear" w:color="auto" w:fill="auto"/>
            <w:noWrap/>
            <w:vAlign w:val="bottom"/>
            <w:hideMark/>
          </w:tcPr>
          <w:p w14:paraId="3390F065"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75,117,597</w:t>
            </w:r>
          </w:p>
        </w:tc>
        <w:tc>
          <w:tcPr>
            <w:tcW w:w="1559" w:type="dxa"/>
            <w:tcBorders>
              <w:top w:val="nil"/>
              <w:left w:val="nil"/>
              <w:bottom w:val="nil"/>
              <w:right w:val="nil"/>
            </w:tcBorders>
            <w:shd w:val="clear" w:color="auto" w:fill="auto"/>
            <w:noWrap/>
            <w:vAlign w:val="bottom"/>
            <w:hideMark/>
          </w:tcPr>
          <w:p w14:paraId="5A631826"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36,801,589</w:t>
            </w:r>
          </w:p>
        </w:tc>
      </w:tr>
      <w:tr w:rsidR="00257E1A" w:rsidRPr="00952652" w14:paraId="504CB784" w14:textId="77777777" w:rsidTr="0089652B">
        <w:trPr>
          <w:trHeight w:val="225"/>
        </w:trPr>
        <w:tc>
          <w:tcPr>
            <w:tcW w:w="4420" w:type="dxa"/>
            <w:tcBorders>
              <w:top w:val="nil"/>
              <w:left w:val="nil"/>
              <w:bottom w:val="single" w:sz="4" w:space="0" w:color="000000"/>
              <w:right w:val="nil"/>
            </w:tcBorders>
            <w:shd w:val="clear" w:color="auto" w:fill="auto"/>
            <w:noWrap/>
            <w:vAlign w:val="bottom"/>
            <w:hideMark/>
          </w:tcPr>
          <w:p w14:paraId="3C3A6965" w14:textId="77777777" w:rsidR="00257E1A" w:rsidRPr="00952652" w:rsidRDefault="00257E1A" w:rsidP="00257E1A">
            <w:pPr>
              <w:spacing w:after="0" w:line="240" w:lineRule="auto"/>
              <w:jc w:val="left"/>
              <w:rPr>
                <w:rFonts w:ascii="Calibri" w:hAnsi="Calibri" w:cs="Arial"/>
                <w:sz w:val="20"/>
              </w:rPr>
            </w:pPr>
            <w:r w:rsidRPr="00952652">
              <w:rPr>
                <w:rFonts w:ascii="Calibri" w:hAnsi="Calibri" w:cs="Arial"/>
                <w:sz w:val="20"/>
              </w:rPr>
              <w:t>WOODSIDE ENERGY LTD.</w:t>
            </w:r>
          </w:p>
        </w:tc>
        <w:tc>
          <w:tcPr>
            <w:tcW w:w="1549" w:type="dxa"/>
            <w:tcBorders>
              <w:top w:val="nil"/>
              <w:left w:val="nil"/>
              <w:bottom w:val="single" w:sz="4" w:space="0" w:color="000000"/>
              <w:right w:val="nil"/>
            </w:tcBorders>
            <w:shd w:val="clear" w:color="auto" w:fill="auto"/>
            <w:noWrap/>
            <w:vAlign w:val="bottom"/>
            <w:hideMark/>
          </w:tcPr>
          <w:p w14:paraId="27EA231B"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63005482986</w:t>
            </w:r>
          </w:p>
        </w:tc>
        <w:tc>
          <w:tcPr>
            <w:tcW w:w="1559" w:type="dxa"/>
            <w:tcBorders>
              <w:top w:val="nil"/>
              <w:left w:val="nil"/>
              <w:bottom w:val="single" w:sz="4" w:space="0" w:color="000000"/>
              <w:right w:val="nil"/>
            </w:tcBorders>
            <w:shd w:val="clear" w:color="auto" w:fill="auto"/>
            <w:noWrap/>
            <w:vAlign w:val="bottom"/>
            <w:hideMark/>
          </w:tcPr>
          <w:p w14:paraId="5C518D5C"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85,795,767</w:t>
            </w:r>
          </w:p>
        </w:tc>
        <w:tc>
          <w:tcPr>
            <w:tcW w:w="1559" w:type="dxa"/>
            <w:tcBorders>
              <w:top w:val="nil"/>
              <w:left w:val="nil"/>
              <w:bottom w:val="single" w:sz="4" w:space="0" w:color="000000"/>
              <w:right w:val="nil"/>
            </w:tcBorders>
            <w:shd w:val="clear" w:color="auto" w:fill="auto"/>
            <w:noWrap/>
            <w:vAlign w:val="bottom"/>
            <w:hideMark/>
          </w:tcPr>
          <w:p w14:paraId="3FA8F85C" w14:textId="77777777" w:rsidR="00257E1A" w:rsidRPr="00952652" w:rsidRDefault="00257E1A" w:rsidP="00257E1A">
            <w:pPr>
              <w:spacing w:after="0" w:line="240" w:lineRule="auto"/>
              <w:jc w:val="right"/>
              <w:rPr>
                <w:rFonts w:ascii="Calibri" w:hAnsi="Calibri" w:cs="Arial"/>
                <w:sz w:val="20"/>
              </w:rPr>
            </w:pPr>
            <w:r w:rsidRPr="00952652">
              <w:rPr>
                <w:rFonts w:ascii="Calibri" w:hAnsi="Calibri" w:cs="Arial"/>
                <w:sz w:val="20"/>
              </w:rPr>
              <w:t>31,087,035</w:t>
            </w:r>
          </w:p>
        </w:tc>
      </w:tr>
    </w:tbl>
    <w:p w14:paraId="2A29117B" w14:textId="527D24AF" w:rsidR="00257E1A" w:rsidRDefault="00257E1A" w:rsidP="0089652B">
      <w:pPr>
        <w:pStyle w:val="ChartorTableNote"/>
      </w:pPr>
      <w:r w:rsidRPr="00070503">
        <w:t>Source</w:t>
      </w:r>
      <w:r w:rsidR="006344D1" w:rsidRPr="00070503">
        <w:t>:</w:t>
      </w:r>
      <w:r w:rsidRPr="00070503">
        <w:t xml:space="preserve"> data.gov.au, corporate tax transparency</w:t>
      </w:r>
      <w:r w:rsidR="00617077">
        <w:t>.</w:t>
      </w:r>
    </w:p>
    <w:p w14:paraId="171FBAC5" w14:textId="77777777" w:rsidR="0089652B" w:rsidRPr="0089652B" w:rsidRDefault="0089652B" w:rsidP="0089652B">
      <w:pPr>
        <w:pStyle w:val="SingleParagraph"/>
      </w:pPr>
    </w:p>
    <w:p w14:paraId="04905CF3" w14:textId="09AFA84D" w:rsidR="00257E1A" w:rsidRDefault="00257E1A" w:rsidP="00257E1A">
      <w:r>
        <w:t xml:space="preserve">Although there were 13 separate entities </w:t>
      </w:r>
      <w:r w:rsidR="007D4361">
        <w:t>that</w:t>
      </w:r>
      <w:r>
        <w:t xml:space="preserve"> paid PRRT, these entities are concentrated in </w:t>
      </w:r>
      <w:r w:rsidR="007D4361">
        <w:t>nine</w:t>
      </w:r>
      <w:r>
        <w:t xml:space="preserve"> economic groups across </w:t>
      </w:r>
      <w:r w:rsidR="007D4361">
        <w:t>six</w:t>
      </w:r>
      <w:r>
        <w:t xml:space="preserve"> projects. Two economic groups paid the majority of the PRRT across those two years. Of the 24 payments made across the </w:t>
      </w:r>
      <w:r w:rsidR="007D4361">
        <w:t>two</w:t>
      </w:r>
      <w:r>
        <w:t xml:space="preserve"> year period eight</w:t>
      </w:r>
      <w:r w:rsidR="007D4361">
        <w:t>,</w:t>
      </w:r>
      <w:r>
        <w:t xml:space="preserve"> or one third</w:t>
      </w:r>
      <w:r w:rsidR="007D4361">
        <w:t>,</w:t>
      </w:r>
      <w:r>
        <w:t xml:space="preserve"> were under $10 million.</w:t>
      </w:r>
    </w:p>
    <w:p w14:paraId="314A91C6" w14:textId="3478C440" w:rsidR="00257E1A" w:rsidRDefault="007D4361" w:rsidP="00257E1A">
      <w:r>
        <w:t xml:space="preserve">BHP Billiton state in their submission </w:t>
      </w:r>
      <w:r w:rsidR="005D6F39">
        <w:t>‘</w:t>
      </w:r>
      <w:r w:rsidR="00257E1A" w:rsidRPr="0024338B">
        <w:t xml:space="preserve">The Bass </w:t>
      </w:r>
      <w:r w:rsidR="00A71E80">
        <w:t>Strait</w:t>
      </w:r>
      <w:r w:rsidR="00257E1A" w:rsidRPr="0024338B">
        <w:t xml:space="preserve"> operation is the largest payer of PRRT in Australia and </w:t>
      </w:r>
      <w:r w:rsidR="00257E1A">
        <w:t>h</w:t>
      </w:r>
      <w:r w:rsidR="00715C69">
        <w:t>as been paying PRRT since 1990</w:t>
      </w:r>
      <w:r w:rsidR="00257E1A">
        <w:t xml:space="preserve"> </w:t>
      </w:r>
      <w:r w:rsidR="00257E1A" w:rsidRPr="00715C69">
        <w:t>(</w:t>
      </w:r>
      <w:r w:rsidR="00257E1A" w:rsidRPr="006344D1">
        <w:t xml:space="preserve">BHP </w:t>
      </w:r>
      <w:r w:rsidR="00715C69" w:rsidRPr="006344D1">
        <w:t xml:space="preserve">Billiton </w:t>
      </w:r>
      <w:r w:rsidR="00257E1A" w:rsidRPr="006344D1">
        <w:t>Submission, p.11</w:t>
      </w:r>
      <w:r w:rsidR="00257E1A" w:rsidRPr="00715C69">
        <w:t>)</w:t>
      </w:r>
      <w:r w:rsidR="005D6F39">
        <w:t>’</w:t>
      </w:r>
      <w:r w:rsidR="00257E1A" w:rsidRPr="00715C69">
        <w:t>.</w:t>
      </w:r>
      <w:r w:rsidR="00257E1A">
        <w:t xml:space="preserve"> If this claim is accurate it would serve to further highlight the concentrated nature of the PRRT risk.</w:t>
      </w:r>
    </w:p>
    <w:p w14:paraId="14C714F3" w14:textId="7DF93C34" w:rsidR="00257E1A" w:rsidRDefault="00257E1A" w:rsidP="00257E1A">
      <w:r>
        <w:t xml:space="preserve">In summary, compared to other taxes that the ATO administers, there are a relatively small number of economic groups with assessable </w:t>
      </w:r>
      <w:r w:rsidR="007D4361">
        <w:t>PRRT</w:t>
      </w:r>
      <w:r>
        <w:t xml:space="preserve"> receipts, spread across a small number of projects. There are an even smaller number of PRRT projects close to or in a profitable phase at any point in time. As a result, the compliance risks for the ATO are concentrated in a relatively small number of taxpayers.</w:t>
      </w:r>
    </w:p>
    <w:p w14:paraId="347B74B6" w14:textId="3EB20067" w:rsidR="00257E1A" w:rsidRDefault="00257E1A" w:rsidP="00257E1A">
      <w:r>
        <w:t xml:space="preserve">A feature of the way the oil and gas industry operates in Australia is that projects are often shared between industry participants </w:t>
      </w:r>
      <w:r w:rsidR="00BA13A0">
        <w:t xml:space="preserve">that </w:t>
      </w:r>
      <w:r>
        <w:t>operate through joint venture arrangements with one of the project participants taking on the role of project operator. The operator directly or through a service entity incurs the majority of the operating costs of the project, with each project participant paying their share of the costs. As a result, although there may be multiple participants in the project, the majority of the ATO</w:t>
      </w:r>
      <w:r w:rsidR="005D6F39">
        <w:t>’</w:t>
      </w:r>
      <w:r>
        <w:t xml:space="preserve">s assurance and compliance activity can be done with the project operator. </w:t>
      </w:r>
      <w:r w:rsidR="00BA13A0">
        <w:t xml:space="preserve">Since </w:t>
      </w:r>
      <w:r>
        <w:t xml:space="preserve">the </w:t>
      </w:r>
      <w:r w:rsidR="00BA13A0">
        <w:t xml:space="preserve">expenditure </w:t>
      </w:r>
      <w:r>
        <w:t xml:space="preserve">incurred </w:t>
      </w:r>
      <w:r w:rsidR="00BA13A0">
        <w:t>by the operator</w:t>
      </w:r>
      <w:r w:rsidR="00BA13A0" w:rsidDel="00BA13A0">
        <w:t xml:space="preserve"> </w:t>
      </w:r>
      <w:r>
        <w:t>will often represent the bulk of the project expenditure, the ATO is able to use the work done in relation to the project operator to compare claims and assure expenditure in the other joint venturers</w:t>
      </w:r>
      <w:r w:rsidR="005D6F39">
        <w:t>’</w:t>
      </w:r>
      <w:r>
        <w:t xml:space="preserve"> returns. </w:t>
      </w:r>
    </w:p>
    <w:p w14:paraId="7F393A10" w14:textId="4CDDE4AA" w:rsidR="00257E1A" w:rsidRDefault="00257E1A" w:rsidP="00257E1A">
      <w:r>
        <w:t>The ATO</w:t>
      </w:r>
      <w:r w:rsidR="005D6F39">
        <w:t>’</w:t>
      </w:r>
      <w:r>
        <w:t>s approach to providing the community with an assurance that oil and gas projects are paying the right amount of PRRT on their activities in Australia is a risk based approach. As outlined earlier, the number of taxpayers that are involved in profitable or close to profitable projects is relatively small and the ATO is able to risk assess each one.</w:t>
      </w:r>
    </w:p>
    <w:p w14:paraId="517570BF" w14:textId="035BEA18" w:rsidR="00257E1A" w:rsidRDefault="00257E1A" w:rsidP="00257E1A">
      <w:r>
        <w:t xml:space="preserve">The way that the ATO conducts this risk assessment is through the use of a </w:t>
      </w:r>
      <w:r w:rsidR="005D6F39">
        <w:t>‘</w:t>
      </w:r>
      <w:r>
        <w:t>risk</w:t>
      </w:r>
      <w:r w:rsidR="005D6F39">
        <w:noBreakHyphen/>
      </w:r>
      <w:r>
        <w:t>differentiation framework</w:t>
      </w:r>
      <w:r w:rsidR="005D6F39">
        <w:t>’</w:t>
      </w:r>
      <w:r>
        <w:t xml:space="preserve"> (RDF) which the ATO uses to classify taxpayers based on the economic consequence of non</w:t>
      </w:r>
      <w:r w:rsidR="005D6F39">
        <w:noBreakHyphen/>
      </w:r>
      <w:r>
        <w:t>compliance and the likelihood of non</w:t>
      </w:r>
      <w:r w:rsidR="005D6F39">
        <w:noBreakHyphen/>
      </w:r>
      <w:r>
        <w:t xml:space="preserve">compliance. The application of the RDF to the PRRT population has resulted in seven economic groups being classified as </w:t>
      </w:r>
      <w:r w:rsidR="005D6F39">
        <w:t>‘</w:t>
      </w:r>
      <w:r>
        <w:t>key taxpayers</w:t>
      </w:r>
      <w:r w:rsidR="005D6F39">
        <w:t>’</w:t>
      </w:r>
      <w:r>
        <w:t xml:space="preserve"> for PRRT purposes in 2015</w:t>
      </w:r>
      <w:r w:rsidR="005D6F39">
        <w:noBreakHyphen/>
      </w:r>
      <w:r>
        <w:t>16</w:t>
      </w:r>
      <w:r w:rsidR="00755941">
        <w:t xml:space="preserve">. </w:t>
      </w:r>
      <w:r>
        <w:t>Key taxpayers are those who have a higher economic consequence of non</w:t>
      </w:r>
      <w:r w:rsidR="005D6F39">
        <w:noBreakHyphen/>
      </w:r>
      <w:r>
        <w:t>compliance and a lower likelihood of non</w:t>
      </w:r>
      <w:r w:rsidR="005D6F39">
        <w:noBreakHyphen/>
      </w:r>
      <w:r>
        <w:t>compliance.</w:t>
      </w:r>
    </w:p>
    <w:p w14:paraId="21732FAC" w14:textId="721A6FFA" w:rsidR="00257E1A" w:rsidRDefault="00257E1A" w:rsidP="00257E1A">
      <w:r>
        <w:t>The ATO has a higher level of ongoing engagement with key taxpayers</w:t>
      </w:r>
      <w:r w:rsidR="005371FD">
        <w:t xml:space="preserve"> and </w:t>
      </w:r>
      <w:r>
        <w:t>takes a closer interest in their risk management and governance frameworks</w:t>
      </w:r>
      <w:r w:rsidR="005371FD">
        <w:t xml:space="preserve">. The ATO also </w:t>
      </w:r>
      <w:r>
        <w:t xml:space="preserve">expects </w:t>
      </w:r>
      <w:r w:rsidR="005371FD">
        <w:t xml:space="preserve">key taxpayers </w:t>
      </w:r>
      <w:r>
        <w:t>to fully disclose potentially contestable matters as they arise. In addition, the ATO</w:t>
      </w:r>
      <w:r w:rsidR="005D6F39">
        <w:t>’</w:t>
      </w:r>
      <w:r>
        <w:t>s compliance strategy with key taxpayers encourages early engagement on matters prior to lodgement</w:t>
      </w:r>
      <w:r w:rsidR="005371FD">
        <w:t>. T</w:t>
      </w:r>
      <w:r>
        <w:t xml:space="preserve">wo examples of more formal arrangements for early engagement are the </w:t>
      </w:r>
      <w:r w:rsidR="009C4D16">
        <w:t>a</w:t>
      </w:r>
      <w:r>
        <w:t xml:space="preserve">nnual </w:t>
      </w:r>
      <w:r w:rsidR="009C4D16">
        <w:t>c</w:t>
      </w:r>
      <w:r>
        <w:t xml:space="preserve">ompliance </w:t>
      </w:r>
      <w:r w:rsidR="009C4D16">
        <w:t>a</w:t>
      </w:r>
      <w:r>
        <w:t>rrangements (ACA) and APAs</w:t>
      </w:r>
      <w:r w:rsidR="009C4D16">
        <w:t>.</w:t>
      </w:r>
      <w:r>
        <w:t xml:space="preserve"> </w:t>
      </w:r>
    </w:p>
    <w:p w14:paraId="5AF89C9E" w14:textId="3B95BB83" w:rsidR="00257E1A" w:rsidRDefault="005371FD" w:rsidP="00257E1A">
      <w:r>
        <w:t xml:space="preserve">The </w:t>
      </w:r>
      <w:r w:rsidR="00257E1A">
        <w:t>Woodside submission outline</w:t>
      </w:r>
      <w:r>
        <w:t xml:space="preserve">d </w:t>
      </w:r>
      <w:r w:rsidR="00257E1A">
        <w:t xml:space="preserve">the </w:t>
      </w:r>
      <w:r>
        <w:t xml:space="preserve">following </w:t>
      </w:r>
      <w:r w:rsidR="00257E1A">
        <w:t>benefits of entering an ACA:</w:t>
      </w:r>
    </w:p>
    <w:p w14:paraId="0E9D5003" w14:textId="77777777" w:rsidR="00257E1A" w:rsidRPr="0043658E" w:rsidRDefault="00257E1A" w:rsidP="00257E1A">
      <w:pPr>
        <w:ind w:left="567" w:right="565"/>
        <w:rPr>
          <w:color w:val="1F497D" w:themeColor="text2"/>
          <w:sz w:val="20"/>
        </w:rPr>
      </w:pPr>
      <w:r w:rsidRPr="0043658E">
        <w:rPr>
          <w:color w:val="1F497D" w:themeColor="text2"/>
          <w:sz w:val="20"/>
        </w:rPr>
        <w:t>In 2013, Woodside voluntarily entered into an Annual Compliance Arrangement (ACA) with the ATO, covering both income tax and PRRT. Through the ACA framework the ATO and Woodside can discuss tax matters in an open and transparent manner (</w:t>
      </w:r>
      <w:r w:rsidRPr="006344D1">
        <w:rPr>
          <w:color w:val="1F497D" w:themeColor="text2"/>
          <w:sz w:val="20"/>
        </w:rPr>
        <w:t>Woodside Submission, p. 5</w:t>
      </w:r>
      <w:r w:rsidRPr="0043658E">
        <w:rPr>
          <w:color w:val="1F497D" w:themeColor="text2"/>
          <w:sz w:val="20"/>
        </w:rPr>
        <w:t>).</w:t>
      </w:r>
    </w:p>
    <w:p w14:paraId="44134B2C" w14:textId="64CFA4CA" w:rsidR="00257E1A" w:rsidRDefault="00257E1A" w:rsidP="00257E1A">
      <w:r>
        <w:t>The ATO also uses a range of post</w:t>
      </w:r>
      <w:r w:rsidR="005D6F39">
        <w:noBreakHyphen/>
      </w:r>
      <w:r>
        <w:t>lodgement compliance activities to assess whether tax risks arise from a taxpayer</w:t>
      </w:r>
      <w:r w:rsidR="005D6F39">
        <w:t>’</w:t>
      </w:r>
      <w:r>
        <w:t>s self</w:t>
      </w:r>
      <w:r w:rsidR="005D6F39">
        <w:noBreakHyphen/>
      </w:r>
      <w:r>
        <w:t>assessment including reviews and audits. These approaches along with data analysis on returns and taxpayer statements are used across the PRRT population.</w:t>
      </w:r>
    </w:p>
    <w:p w14:paraId="3337A6C9" w14:textId="03911E26" w:rsidR="00257E1A" w:rsidRDefault="00257E1A" w:rsidP="00257E1A">
      <w:r>
        <w:t xml:space="preserve">A key role of the ATO is providing guidance </w:t>
      </w:r>
      <w:r w:rsidR="009C4D16">
        <w:t>to provide</w:t>
      </w:r>
      <w:r>
        <w:t xml:space="preserve"> certainty to taxpayers about how the PRRT operates. Taxpayers can then make informed decisions about how the PRRT applies to their particular circumstances and </w:t>
      </w:r>
      <w:r w:rsidR="00715C69">
        <w:t>better manage their PRRT risks.</w:t>
      </w:r>
    </w:p>
    <w:p w14:paraId="790631A7" w14:textId="70D51516" w:rsidR="00257E1A" w:rsidRDefault="00257E1A" w:rsidP="00257E1A">
      <w:r>
        <w:t xml:space="preserve">An important way the ATO provides guidance to taxpayers is by publishing public rulings and practical compliance guidelines on the ATO legal database. Public rulings are binding on the ATO and provide certainty to taxpayers by providing the ATO view on interpretative issues. While practical compliance guidelines outline how the ATO will administer a certain area of the law and how the ATO will assess the tax compliance risks for particular types of activities or arrangements. They may also set out a practical compliance solution where tax laws create a heavy administrative or compliance burden, or where a tax might be uncertain in its application. The ATO also maintains guidance material on its website which is designed to address key topics </w:t>
      </w:r>
      <w:r w:rsidR="009C4D16">
        <w:t xml:space="preserve">that </w:t>
      </w:r>
      <w:r>
        <w:t>existing and potential PRRT taxpayers need to know</w:t>
      </w:r>
      <w:r w:rsidR="00A71E80">
        <w:t>.</w:t>
      </w:r>
    </w:p>
    <w:p w14:paraId="7DABBC31" w14:textId="4841D82B" w:rsidR="00257E1A" w:rsidRPr="009C4D16" w:rsidRDefault="00257E1A" w:rsidP="00257E1A">
      <w:pPr>
        <w:rPr>
          <w:color w:val="auto"/>
        </w:rPr>
      </w:pPr>
      <w:r w:rsidRPr="009C4D16">
        <w:rPr>
          <w:color w:val="auto"/>
        </w:rPr>
        <w:t xml:space="preserve">Litigation is also used by the ATO to provide certainty to the industry on contentious interpretative issues. In recent years there have been a number of court cases which have provided certainty on </w:t>
      </w:r>
      <w:r w:rsidR="00E07ECA" w:rsidRPr="009C4D16">
        <w:rPr>
          <w:color w:val="auto"/>
        </w:rPr>
        <w:t xml:space="preserve">a </w:t>
      </w:r>
      <w:r w:rsidRPr="009C4D16">
        <w:rPr>
          <w:color w:val="auto"/>
        </w:rPr>
        <w:t>number of longstanding PRRT interpretative issues. For example, historically there has been considerable uncertainty whether the meaning of exploration for PRRT is similar to the meaning of exploration used for income tax purposes</w:t>
      </w:r>
      <w:r w:rsidR="009C4D16" w:rsidRPr="009C4D16">
        <w:rPr>
          <w:color w:val="auto"/>
        </w:rPr>
        <w:t>,</w:t>
      </w:r>
      <w:r w:rsidRPr="009C4D16">
        <w:rPr>
          <w:color w:val="auto"/>
        </w:rPr>
        <w:t xml:space="preserve"> which relies on a statutory definition </w:t>
      </w:r>
      <w:r w:rsidR="009C4D16" w:rsidRPr="009C4D16">
        <w:rPr>
          <w:color w:val="auto"/>
        </w:rPr>
        <w:t>that</w:t>
      </w:r>
      <w:r w:rsidRPr="009C4D16">
        <w:rPr>
          <w:color w:val="auto"/>
        </w:rPr>
        <w:t xml:space="preserve"> specifically includes feasibility studies. This uncertainty was resolved by </w:t>
      </w:r>
      <w:r w:rsidRPr="009C4D16">
        <w:rPr>
          <w:i/>
          <w:color w:val="auto"/>
        </w:rPr>
        <w:t>ZZGN v Commissioner of Taxation</w:t>
      </w:r>
      <w:r w:rsidRPr="009C4D16">
        <w:rPr>
          <w:color w:val="auto"/>
        </w:rPr>
        <w:t xml:space="preserve"> [2013] AATA 351 which held </w:t>
      </w:r>
      <w:r w:rsidR="009C4D16" w:rsidRPr="009C4D16">
        <w:rPr>
          <w:color w:val="auto"/>
        </w:rPr>
        <w:t>that</w:t>
      </w:r>
      <w:r w:rsidRPr="009C4D16">
        <w:rPr>
          <w:color w:val="auto"/>
        </w:rPr>
        <w:t xml:space="preserve"> the PRRT meaning of exploration is the ordinary meaning of exploration</w:t>
      </w:r>
      <w:r w:rsidR="009C4D16" w:rsidRPr="009C4D16">
        <w:rPr>
          <w:color w:val="auto"/>
        </w:rPr>
        <w:t>. The ordinary meaning of exploration is</w:t>
      </w:r>
      <w:r w:rsidRPr="009C4D16">
        <w:rPr>
          <w:color w:val="auto"/>
        </w:rPr>
        <w:t xml:space="preserve"> limited to the discovery and identification of the existence, extent and nature of hydrocarbons or petroleum pools and includes searching in order to discover the resource, as well as the process of ascertaining the size of the discovery and appraising its physical characteristics. Importantly, it held the PRRT meaning of exploration does not include economic feasibility studies to determine whether it is commercially viable to develop a petroleum field.</w:t>
      </w:r>
    </w:p>
    <w:p w14:paraId="405F8CA0" w14:textId="3A6B30BF" w:rsidR="00257E1A" w:rsidRDefault="00257E1A" w:rsidP="00257E1A">
      <w:r>
        <w:t xml:space="preserve">Following the ZZGN decision, the ATO published Taxation Ruling </w:t>
      </w:r>
      <w:r w:rsidRPr="00C76D6C">
        <w:rPr>
          <w:i/>
        </w:rPr>
        <w:t>TR 2014/9</w:t>
      </w:r>
      <w:r>
        <w:t xml:space="preserve"> which clarified the ATO view on the meaning of exploration which is consistent with the ZZGN decision. Since the ATO had an approach contrary to the views in TR 2014/9 of accepting that a wider range of feasibility expenditure fell within the PRRT meaning of exploration</w:t>
      </w:r>
      <w:r w:rsidR="009C4D16">
        <w:t>,</w:t>
      </w:r>
      <w:r>
        <w:t xml:space="preserve"> the ATO did not seek to disturb exploration claims for expenditure incurred on or before 21 August 2013 where taxpayers have self</w:t>
      </w:r>
      <w:r w:rsidR="005D6F39">
        <w:noBreakHyphen/>
      </w:r>
      <w:r>
        <w:t>assessed on the basis that exploration for petroleum includes expenditure which is directed at making a full assessment or evaluation of the commercial or economic viability of an entire project to develop a petroleum pool, including how best to develop the pool as part of that assessment or evaluation.</w:t>
      </w:r>
    </w:p>
    <w:p w14:paraId="2CA2B476" w14:textId="18B497FE" w:rsidR="00257E1A" w:rsidRDefault="00257E1A" w:rsidP="00257E1A">
      <w:r>
        <w:t xml:space="preserve">In </w:t>
      </w:r>
      <w:r w:rsidRPr="00C76D6C">
        <w:rPr>
          <w:i/>
        </w:rPr>
        <w:t>Esso Australia Resources Pty Ltd v Commissioner of Taxation</w:t>
      </w:r>
      <w:r>
        <w:t xml:space="preserve"> [2012] FCAFC 5, the Full Federal Court made the important observation that the PRRT is significantly different to income tax. It said it was a deliberate design feature of the PRRT that only expenditure that has a close or direct connection to the project will be deductible, as opposed to the </w:t>
      </w:r>
      <w:r w:rsidR="005D6F39">
        <w:t>‘</w:t>
      </w:r>
      <w:r>
        <w:t>necessarily incurred</w:t>
      </w:r>
      <w:r w:rsidR="005D6F39">
        <w:t>’</w:t>
      </w:r>
      <w:r>
        <w:t xml:space="preserve"> test used for income tax purposes which is a wider test for deductibility.</w:t>
      </w:r>
    </w:p>
    <w:p w14:paraId="78F1E0A4" w14:textId="0FB20465" w:rsidR="00257E1A" w:rsidRDefault="00257E1A" w:rsidP="00257E1A">
      <w:r>
        <w:t>Technical amendments were made to the PRRT after the Esso Decision to clarify that PRRT taxpayers are required to apply a look</w:t>
      </w:r>
      <w:r w:rsidR="005D6F39">
        <w:noBreakHyphen/>
      </w:r>
      <w:r>
        <w:t xml:space="preserve">through approach for payments to related contractors to procure project services. This was seen as an important integrity measure to ensure that </w:t>
      </w:r>
      <w:r w:rsidR="005D6F39">
        <w:t>‘</w:t>
      </w:r>
      <w:r>
        <w:t>excluded costs</w:t>
      </w:r>
      <w:r w:rsidR="005D6F39">
        <w:t>’</w:t>
      </w:r>
      <w:r>
        <w:t xml:space="preserve"> and related party profit margins are not taken into account in working out the deduction available to the PRRT taxpayer.</w:t>
      </w:r>
    </w:p>
    <w:p w14:paraId="7243E23F" w14:textId="2D785CF0" w:rsidR="00257E1A" w:rsidRDefault="00257E1A" w:rsidP="00257E1A">
      <w:r>
        <w:t>After the Esso decision the ATO published two practical compliance guidelines (PCG 2016/12 &amp; PCG 20</w:t>
      </w:r>
      <w:r w:rsidR="0084313F">
        <w:t>1</w:t>
      </w:r>
      <w:r>
        <w:t xml:space="preserve">6/13) that are designed to assist taxpayers </w:t>
      </w:r>
      <w:r w:rsidR="00853B19">
        <w:t xml:space="preserve">to </w:t>
      </w:r>
      <w:r>
        <w:t xml:space="preserve">comply with the deductible expenditure provisions and the excluded expenditure provisions in the PRRT. They broadly outline the types of expenditure the ATO considers to be low risk </w:t>
      </w:r>
      <w:r w:rsidR="00853B19">
        <w:t>(so</w:t>
      </w:r>
      <w:r>
        <w:t xml:space="preserve"> will not generally devote compliance resources to review</w:t>
      </w:r>
      <w:r w:rsidR="00853B19">
        <w:t>)</w:t>
      </w:r>
      <w:r>
        <w:t xml:space="preserve"> as well as those types of expenditure the ATO considers to be high risk and is more likely to review.</w:t>
      </w:r>
    </w:p>
    <w:p w14:paraId="314B6FAB" w14:textId="47FA26B9" w:rsidR="00257E1A" w:rsidRDefault="00853B19" w:rsidP="00257E1A">
      <w:r>
        <w:t>The</w:t>
      </w:r>
      <w:r w:rsidR="00257E1A">
        <w:t xml:space="preserve"> Full Federal Court in </w:t>
      </w:r>
      <w:r w:rsidR="00257E1A" w:rsidRPr="00C76D6C">
        <w:rPr>
          <w:i/>
        </w:rPr>
        <w:t>Esso v Commissioner of Taxation</w:t>
      </w:r>
      <w:r w:rsidR="00257E1A">
        <w:t xml:space="preserve"> [2011] FCA 154 clarified the </w:t>
      </w:r>
      <w:r w:rsidR="005D6F39">
        <w:t>‘</w:t>
      </w:r>
      <w:r w:rsidR="00257E1A">
        <w:t>taxing point</w:t>
      </w:r>
      <w:r w:rsidR="005D6F39">
        <w:t>’</w:t>
      </w:r>
      <w:r w:rsidR="00257E1A">
        <w:t xml:space="preserve"> for PRRT is the point at which a </w:t>
      </w:r>
      <w:r>
        <w:t>MPC</w:t>
      </w:r>
      <w:r w:rsidR="00257E1A">
        <w:t xml:space="preserve"> is separated from the process of production and is capable of being sold or moved or stored as a finished product. In reaching this conclusion the Court rejected the PRRT taxpayer</w:t>
      </w:r>
      <w:r w:rsidR="005D6F39">
        <w:t>’</w:t>
      </w:r>
      <w:r w:rsidR="00257E1A">
        <w:t xml:space="preserve">s argument </w:t>
      </w:r>
      <w:r>
        <w:t xml:space="preserve">that </w:t>
      </w:r>
      <w:r w:rsidR="00257E1A">
        <w:t>the taxing point should be taken at the point at which the substance extracted first meets the specified chemical composition of a</w:t>
      </w:r>
      <w:r w:rsidR="007B1963">
        <w:t>n MPC</w:t>
      </w:r>
      <w:r w:rsidR="00257E1A">
        <w:t xml:space="preserve"> (for example sales gas), rather than the point at which processing is complete and the product is in its intended final form.</w:t>
      </w:r>
    </w:p>
    <w:p w14:paraId="3607B270" w14:textId="62F83078" w:rsidR="00257E1A" w:rsidRDefault="00257E1A" w:rsidP="00257E1A">
      <w:r>
        <w:t>Private Rulings are another mechanism that can be used by PRRT taxpayers to get certainty on their individual taxation arrangements. According to the ATO submission only four</w:t>
      </w:r>
      <w:r w:rsidR="0089652B">
        <w:t> </w:t>
      </w:r>
      <w:r>
        <w:t xml:space="preserve">taxpayers have requested a private ruling application in respect of their PRRT issues over the last two years </w:t>
      </w:r>
      <w:r w:rsidRPr="005F6A77">
        <w:t>(ATO Submission, p. 17)</w:t>
      </w:r>
      <w:r w:rsidR="00715C69">
        <w:t>.</w:t>
      </w:r>
    </w:p>
    <w:p w14:paraId="4071AABA" w14:textId="5E55D7AF" w:rsidR="00257E1A" w:rsidRDefault="00257E1A" w:rsidP="00257E1A">
      <w:r>
        <w:t xml:space="preserve">The ATO actively engages with </w:t>
      </w:r>
      <w:r w:rsidR="00853B19">
        <w:t>i</w:t>
      </w:r>
      <w:r>
        <w:t xml:space="preserve">ndustry and the tax profession on existing and emerging PRRT issues. The peak body for industry engagement is the Energy &amp; Resources Working Group which is chaired by </w:t>
      </w:r>
      <w:r w:rsidR="00853B19">
        <w:t>the</w:t>
      </w:r>
      <w:r>
        <w:t xml:space="preserve"> Deputy Commissioner PG&amp;I</w:t>
      </w:r>
      <w:r w:rsidR="005D6F39">
        <w:t xml:space="preserve"> — </w:t>
      </w:r>
      <w:r>
        <w:t>Public Groups. The Working Group comprises of members from industry</w:t>
      </w:r>
      <w:r w:rsidR="00A00D6C">
        <w:t>,</w:t>
      </w:r>
      <w:r>
        <w:t xml:space="preserve"> resource associations and the tax profession. The group was established to assist the ATO </w:t>
      </w:r>
      <w:r w:rsidR="00853B19">
        <w:t xml:space="preserve">to </w:t>
      </w:r>
      <w:r>
        <w:t>identify and address administrative and technical issues affecting the mining industry. The ATO also engages with APPEA on a quarterly basis to identify and resolve significant technical and administrative issues affecting the petroleum industry.</w:t>
      </w:r>
    </w:p>
    <w:p w14:paraId="63AF84A0" w14:textId="0988A945" w:rsidR="00257E1A" w:rsidRDefault="00257E1A" w:rsidP="00257E1A">
      <w:r>
        <w:t xml:space="preserve">The ATO is currently consulting with </w:t>
      </w:r>
      <w:r w:rsidR="00A00D6C">
        <w:t>the ind</w:t>
      </w:r>
      <w:r>
        <w:t>ustry to develop guidance to provide certainty on the following emerging issues:</w:t>
      </w:r>
    </w:p>
    <w:p w14:paraId="5F7FCCE8" w14:textId="47E99CB0" w:rsidR="00257E1A" w:rsidRDefault="00853B19" w:rsidP="006344D1">
      <w:pPr>
        <w:pStyle w:val="Bullet"/>
      </w:pPr>
      <w:r>
        <w:t>t</w:t>
      </w:r>
      <w:r w:rsidR="00257E1A">
        <w:t>he scope of the closing down provisions in the PRRT</w:t>
      </w:r>
      <w:r>
        <w:t>;</w:t>
      </w:r>
      <w:r w:rsidR="00257E1A">
        <w:t xml:space="preserve"> </w:t>
      </w:r>
    </w:p>
    <w:p w14:paraId="44E4D7DE" w14:textId="07ACB6B6" w:rsidR="00257E1A" w:rsidRDefault="00853B19" w:rsidP="006344D1">
      <w:pPr>
        <w:pStyle w:val="Bullet"/>
      </w:pPr>
      <w:r>
        <w:t>w</w:t>
      </w:r>
      <w:r w:rsidR="00257E1A">
        <w:t>hether payments for social infrastructure costs, such as roads and hospitals, which are part of the project</w:t>
      </w:r>
      <w:r w:rsidR="005D6F39">
        <w:t>’</w:t>
      </w:r>
      <w:r w:rsidR="00257E1A">
        <w:t>s social licen</w:t>
      </w:r>
      <w:r w:rsidR="000A33FC">
        <w:t>c</w:t>
      </w:r>
      <w:r w:rsidR="00257E1A">
        <w:t>e to operate, are deductible under the PRRT</w:t>
      </w:r>
      <w:r>
        <w:t xml:space="preserve">; and </w:t>
      </w:r>
    </w:p>
    <w:p w14:paraId="1A3A3598" w14:textId="6877B949" w:rsidR="00257E1A" w:rsidRDefault="00853B19" w:rsidP="006344D1">
      <w:pPr>
        <w:pStyle w:val="Bullet"/>
      </w:pPr>
      <w:r>
        <w:t>t</w:t>
      </w:r>
      <w:r w:rsidR="00257E1A">
        <w:t xml:space="preserve">he application of the PRRT to </w:t>
      </w:r>
      <w:r>
        <w:t>F</w:t>
      </w:r>
      <w:r w:rsidR="00257E1A">
        <w:t>LNG as this new technology places a greater emphasis on the apportionment principles in the PRRT as both upstream and downstream activities are performed on the vessel.</w:t>
      </w:r>
    </w:p>
    <w:p w14:paraId="213BEAA6" w14:textId="2229E8B0" w:rsidR="00257E1A" w:rsidRDefault="00257E1A" w:rsidP="00257E1A">
      <w:pPr>
        <w:pStyle w:val="Heading1"/>
      </w:pPr>
      <w:r>
        <w:br w:type="page"/>
      </w:r>
      <w:bookmarkStart w:id="10533" w:name="_Toc477869958"/>
      <w:bookmarkStart w:id="10534" w:name="_Toc477871197"/>
      <w:bookmarkStart w:id="10535" w:name="_Toc477873356"/>
      <w:bookmarkStart w:id="10536" w:name="_Toc477875350"/>
      <w:bookmarkStart w:id="10537" w:name="_Toc477880263"/>
      <w:bookmarkStart w:id="10538" w:name="_Toc477881523"/>
      <w:bookmarkStart w:id="10539" w:name="_Toc477955927"/>
      <w:bookmarkStart w:id="10540" w:name="_Toc477963172"/>
      <w:bookmarkStart w:id="10541" w:name="_Toc477963658"/>
      <w:bookmarkStart w:id="10542" w:name="_Toc477965244"/>
      <w:bookmarkStart w:id="10543" w:name="_Toc477966748"/>
      <w:bookmarkStart w:id="10544" w:name="_Toc477966917"/>
      <w:bookmarkStart w:id="10545" w:name="_Toc477967257"/>
      <w:bookmarkStart w:id="10546" w:name="_Toc478121394"/>
      <w:bookmarkStart w:id="10547" w:name="_Toc478122307"/>
      <w:bookmarkStart w:id="10548" w:name="_Toc478132137"/>
      <w:bookmarkStart w:id="10549" w:name="_Toc478133307"/>
      <w:bookmarkStart w:id="10550" w:name="_Toc478132444"/>
      <w:bookmarkStart w:id="10551" w:name="_Toc478134773"/>
      <w:bookmarkStart w:id="10552" w:name="_Toc478137475"/>
      <w:bookmarkStart w:id="10553" w:name="_Toc478138547"/>
      <w:bookmarkStart w:id="10554" w:name="_Toc478140117"/>
      <w:bookmarkStart w:id="10555" w:name="_Toc478140533"/>
      <w:bookmarkStart w:id="10556" w:name="_Toc478142739"/>
      <w:bookmarkStart w:id="10557" w:name="_Toc478566458"/>
      <w:bookmarkStart w:id="10558" w:name="_Toc478569625"/>
      <w:bookmarkStart w:id="10559" w:name="_Toc478569799"/>
      <w:bookmarkStart w:id="10560" w:name="_Toc478570873"/>
      <w:bookmarkStart w:id="10561" w:name="_Toc478633072"/>
      <w:bookmarkStart w:id="10562" w:name="_Toc478641482"/>
      <w:bookmarkStart w:id="10563" w:name="_Toc478654376"/>
      <w:bookmarkStart w:id="10564" w:name="_Toc478654550"/>
      <w:bookmarkStart w:id="10565" w:name="_Toc478657845"/>
      <w:bookmarkStart w:id="10566" w:name="_Toc478993266"/>
      <w:bookmarkStart w:id="10567" w:name="_Toc479000337"/>
      <w:bookmarkStart w:id="10568" w:name="_Toc479002271"/>
      <w:bookmarkStart w:id="10569" w:name="_Toc479002443"/>
      <w:bookmarkStart w:id="10570" w:name="_Toc479254417"/>
      <w:bookmarkStart w:id="10571" w:name="_Toc479258606"/>
      <w:bookmarkStart w:id="10572" w:name="_Toc479258922"/>
      <w:bookmarkStart w:id="10573" w:name="_Toc479259814"/>
      <w:bookmarkStart w:id="10574" w:name="_Toc479262237"/>
      <w:bookmarkStart w:id="10575" w:name="_Toc479262658"/>
      <w:bookmarkStart w:id="10576" w:name="_Toc479321359"/>
      <w:bookmarkStart w:id="10577" w:name="_Toc479326798"/>
      <w:bookmarkStart w:id="10578" w:name="_Toc479333059"/>
      <w:bookmarkStart w:id="10579" w:name="_Toc479333397"/>
      <w:bookmarkStart w:id="10580" w:name="_Toc479335094"/>
      <w:bookmarkStart w:id="10581" w:name="_Toc479341809"/>
      <w:bookmarkStart w:id="10582" w:name="_Toc479345225"/>
      <w:bookmarkStart w:id="10583" w:name="_Toc479345434"/>
      <w:bookmarkStart w:id="10584" w:name="_Toc479348415"/>
      <w:bookmarkStart w:id="10585" w:name="_Toc479676008"/>
      <w:bookmarkStart w:id="10586" w:name="_Toc479690975"/>
      <w:bookmarkStart w:id="10587" w:name="_Toc479693553"/>
      <w:bookmarkStart w:id="10588" w:name="_Toc479770722"/>
      <w:r>
        <w:t>Appendix C</w:t>
      </w:r>
      <w:r w:rsidR="005D6F39">
        <w:t xml:space="preserve"> — </w:t>
      </w:r>
      <w:r>
        <w:t xml:space="preserve">Timeline of PRRT </w:t>
      </w:r>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r w:rsidR="000932A1">
        <w:t>Amendments</w:t>
      </w:r>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p>
    <w:tbl>
      <w:tblPr>
        <w:tblW w:w="4822" w:type="pct"/>
        <w:tblInd w:w="168" w:type="dxa"/>
        <w:tblBorders>
          <w:top w:val="single" w:sz="6" w:space="0" w:color="999999"/>
          <w:left w:val="single" w:sz="6" w:space="0" w:color="999999"/>
          <w:bottom w:val="single" w:sz="6" w:space="0" w:color="999999"/>
          <w:right w:val="single" w:sz="6" w:space="0" w:color="999999"/>
        </w:tblBorders>
        <w:tblCellMar>
          <w:top w:w="45" w:type="dxa"/>
          <w:left w:w="45" w:type="dxa"/>
          <w:bottom w:w="45" w:type="dxa"/>
          <w:right w:w="45" w:type="dxa"/>
        </w:tblCellMar>
        <w:tblLook w:val="04A0" w:firstRow="1" w:lastRow="0" w:firstColumn="1" w:lastColumn="0" w:noHBand="0" w:noVBand="1"/>
        <w:tblDescription w:val="This table outlines the amendments made to the PRRT legislation and what year they took place."/>
      </w:tblPr>
      <w:tblGrid>
        <w:gridCol w:w="971"/>
        <w:gridCol w:w="8100"/>
      </w:tblGrid>
      <w:tr w:rsidR="00257E1A" w:rsidRPr="00F00E62" w14:paraId="4F2F8A27" w14:textId="77777777" w:rsidTr="0089652B">
        <w:trPr>
          <w:tblHeader/>
        </w:trPr>
        <w:tc>
          <w:tcPr>
            <w:tcW w:w="535" w:type="pct"/>
            <w:tcBorders>
              <w:top w:val="outset" w:sz="6" w:space="0" w:color="999999"/>
              <w:left w:val="single" w:sz="6" w:space="0" w:color="AAAAAA"/>
              <w:bottom w:val="single" w:sz="6" w:space="0" w:color="999999"/>
              <w:right w:val="outset" w:sz="6" w:space="0" w:color="999999"/>
            </w:tcBorders>
            <w:shd w:val="clear" w:color="auto" w:fill="E2E2E2"/>
            <w:tcMar>
              <w:top w:w="72" w:type="dxa"/>
              <w:left w:w="168" w:type="dxa"/>
              <w:bottom w:w="72" w:type="dxa"/>
              <w:right w:w="168" w:type="dxa"/>
            </w:tcMar>
            <w:hideMark/>
          </w:tcPr>
          <w:p w14:paraId="12A5B315" w14:textId="77777777" w:rsidR="00257E1A" w:rsidRPr="006344D1" w:rsidRDefault="00257E1A" w:rsidP="006344D1">
            <w:pPr>
              <w:pStyle w:val="Heading4"/>
            </w:pPr>
            <w:r w:rsidRPr="006344D1">
              <w:t>Year</w:t>
            </w:r>
          </w:p>
        </w:tc>
        <w:tc>
          <w:tcPr>
            <w:tcW w:w="4465" w:type="pct"/>
            <w:tcBorders>
              <w:top w:val="outset" w:sz="6" w:space="0" w:color="999999"/>
              <w:left w:val="single" w:sz="6" w:space="0" w:color="AAAAAA"/>
              <w:bottom w:val="single" w:sz="6" w:space="0" w:color="999999"/>
              <w:right w:val="outset" w:sz="6" w:space="0" w:color="999999"/>
            </w:tcBorders>
            <w:shd w:val="clear" w:color="auto" w:fill="E2E2E2"/>
            <w:tcMar>
              <w:top w:w="72" w:type="dxa"/>
              <w:left w:w="168" w:type="dxa"/>
              <w:bottom w:w="72" w:type="dxa"/>
              <w:right w:w="168" w:type="dxa"/>
            </w:tcMar>
            <w:hideMark/>
          </w:tcPr>
          <w:p w14:paraId="79D3D8C2" w14:textId="77777777" w:rsidR="00257E1A" w:rsidRPr="006344D1" w:rsidRDefault="00257E1A" w:rsidP="006344D1">
            <w:pPr>
              <w:pStyle w:val="Heading4"/>
            </w:pPr>
            <w:r w:rsidRPr="006344D1">
              <w:t>Amendment</w:t>
            </w:r>
          </w:p>
        </w:tc>
      </w:tr>
      <w:tr w:rsidR="00257E1A" w:rsidRPr="00F00E62" w14:paraId="354AA53F" w14:textId="77777777" w:rsidTr="0089652B">
        <w:tc>
          <w:tcPr>
            <w:tcW w:w="535"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6DD3E7C9" w14:textId="77777777" w:rsidR="00257E1A" w:rsidRPr="006344D1" w:rsidRDefault="00257E1A" w:rsidP="006344D1">
            <w:pPr>
              <w:pStyle w:val="Heading4"/>
            </w:pPr>
            <w:r w:rsidRPr="006344D1">
              <w:t>1991</w:t>
            </w:r>
          </w:p>
        </w:tc>
        <w:tc>
          <w:tcPr>
            <w:tcW w:w="4465"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75700041" w14:textId="35744B48" w:rsidR="00257E1A" w:rsidRPr="006344D1" w:rsidRDefault="00257E1A" w:rsidP="006344D1">
            <w:pPr>
              <w:spacing w:before="120" w:after="120" w:line="240" w:lineRule="auto"/>
            </w:pPr>
            <w:r w:rsidRPr="006344D1">
              <w:t xml:space="preserve">In 1991 exploration </w:t>
            </w:r>
            <w:r w:rsidR="00E9697F">
              <w:t xml:space="preserve">expenditure </w:t>
            </w:r>
            <w:r w:rsidRPr="006344D1">
              <w:t>deductibility was widened from a project to a company wide basis.</w:t>
            </w:r>
          </w:p>
          <w:p w14:paraId="64C6AF94" w14:textId="7547D2B7" w:rsidR="00257E1A" w:rsidRPr="006344D1" w:rsidRDefault="00257E1A" w:rsidP="006344D1">
            <w:pPr>
              <w:spacing w:before="120" w:after="120" w:line="240" w:lineRule="auto"/>
            </w:pPr>
            <w:r w:rsidRPr="006344D1">
              <w:t xml:space="preserve">This enables undeducted exploration expenditure incurred after 1 July 1990 to be transferred to other projects with a taxable profit held by the same entity. In the case of a company in a </w:t>
            </w:r>
            <w:r w:rsidR="00E9697F">
              <w:t xml:space="preserve">wholly owned </w:t>
            </w:r>
            <w:r w:rsidRPr="006344D1">
              <w:t>company group, the expenditure is also transferable to other PRRT</w:t>
            </w:r>
            <w:r w:rsidR="00E9697F">
              <w:t xml:space="preserve"> </w:t>
            </w:r>
            <w:r w:rsidRPr="006344D1">
              <w:t>liable projects held in the group.</w:t>
            </w:r>
          </w:p>
        </w:tc>
      </w:tr>
      <w:tr w:rsidR="00257E1A" w:rsidRPr="00F00E62" w14:paraId="7C885AA3" w14:textId="77777777" w:rsidTr="0089652B">
        <w:tc>
          <w:tcPr>
            <w:tcW w:w="535"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0BB22B9F" w14:textId="77777777" w:rsidR="00257E1A" w:rsidRPr="006344D1" w:rsidRDefault="00257E1A" w:rsidP="006344D1">
            <w:pPr>
              <w:pStyle w:val="Heading4"/>
            </w:pPr>
            <w:r w:rsidRPr="006344D1">
              <w:t>2001</w:t>
            </w:r>
          </w:p>
        </w:tc>
        <w:tc>
          <w:tcPr>
            <w:tcW w:w="4465"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4D401C0C" w14:textId="3A757571" w:rsidR="00257E1A" w:rsidRPr="006344D1" w:rsidRDefault="00257E1A" w:rsidP="006344D1">
            <w:pPr>
              <w:spacing w:before="120" w:after="120" w:line="240" w:lineRule="auto"/>
            </w:pPr>
            <w:r w:rsidRPr="006344D1">
              <w:t xml:space="preserve">In October 2001 legislative amendments allowed the </w:t>
            </w:r>
            <w:r w:rsidR="0073209F">
              <w:t xml:space="preserve">Commissioner of </w:t>
            </w:r>
            <w:r w:rsidRPr="006344D1">
              <w:t>Tax</w:t>
            </w:r>
            <w:r w:rsidR="00AF79E9">
              <w:t>ation</w:t>
            </w:r>
            <w:r w:rsidRPr="006344D1">
              <w:t xml:space="preserve"> to apply a gas transfer price formula in the absence of an arm</w:t>
            </w:r>
            <w:r w:rsidR="005D6F39">
              <w:t>’</w:t>
            </w:r>
            <w:r w:rsidRPr="006344D1">
              <w:t>s</w:t>
            </w:r>
            <w:r w:rsidR="002A2596">
              <w:t xml:space="preserve"> </w:t>
            </w:r>
            <w:r w:rsidRPr="006344D1">
              <w:t xml:space="preserve">length </w:t>
            </w:r>
            <w:r w:rsidR="0073209F">
              <w:t xml:space="preserve">price for sales gas used as feedstock </w:t>
            </w:r>
            <w:r w:rsidRPr="006344D1">
              <w:t xml:space="preserve">in an integrated </w:t>
            </w:r>
            <w:r w:rsidR="0059338E">
              <w:t>LNG</w:t>
            </w:r>
            <w:r w:rsidRPr="006344D1">
              <w:t xml:space="preserve"> project.</w:t>
            </w:r>
          </w:p>
          <w:p w14:paraId="2F80D56C" w14:textId="68A88430" w:rsidR="00257E1A" w:rsidRPr="006344D1" w:rsidRDefault="00257E1A" w:rsidP="006344D1">
            <w:pPr>
              <w:spacing w:before="120" w:after="120" w:line="240" w:lineRule="auto"/>
            </w:pPr>
            <w:r w:rsidRPr="006344D1">
              <w:t xml:space="preserve">The reference date for the five year rule applying to expenditure uplifts was changed to refer to the date nominated in a </w:t>
            </w:r>
            <w:r w:rsidR="005D6F39">
              <w:t>‘</w:t>
            </w:r>
            <w:r w:rsidRPr="006344D1">
              <w:t xml:space="preserve">Statement of </w:t>
            </w:r>
            <w:r w:rsidR="00336EEE">
              <w:t>R</w:t>
            </w:r>
            <w:r w:rsidRPr="006344D1">
              <w:t>eceipt</w:t>
            </w:r>
            <w:r w:rsidR="005D6F39">
              <w:t>’</w:t>
            </w:r>
            <w:r w:rsidRPr="006344D1">
              <w:t xml:space="preserve"> issued when all information pertinent to the application for a production licence is supplied to the </w:t>
            </w:r>
            <w:r w:rsidR="005D6F39">
              <w:t>‘</w:t>
            </w:r>
            <w:r w:rsidRPr="006344D1">
              <w:t>Designated Authority</w:t>
            </w:r>
            <w:r w:rsidR="005D6F39">
              <w:t>’</w:t>
            </w:r>
            <w:r w:rsidRPr="006344D1">
              <w:t xml:space="preserve">. </w:t>
            </w:r>
          </w:p>
        </w:tc>
      </w:tr>
      <w:tr w:rsidR="00257E1A" w:rsidRPr="00F00E62" w14:paraId="6CD33F32" w14:textId="77777777" w:rsidTr="0089652B">
        <w:tc>
          <w:tcPr>
            <w:tcW w:w="535"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160A0738" w14:textId="77777777" w:rsidR="00257E1A" w:rsidRPr="006344D1" w:rsidRDefault="00257E1A" w:rsidP="006344D1">
            <w:pPr>
              <w:pStyle w:val="Heading4"/>
            </w:pPr>
            <w:r w:rsidRPr="006344D1">
              <w:t>2003</w:t>
            </w:r>
          </w:p>
        </w:tc>
        <w:tc>
          <w:tcPr>
            <w:tcW w:w="4465"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19C3A751" w14:textId="67967A1D" w:rsidR="00257E1A" w:rsidRPr="006344D1" w:rsidRDefault="00257E1A" w:rsidP="006344D1">
            <w:pPr>
              <w:spacing w:before="120" w:after="120" w:line="240" w:lineRule="auto"/>
            </w:pPr>
            <w:r w:rsidRPr="006344D1">
              <w:t>In October 2003 legislative amendments removed an inconsistency in relation to tolling fees.</w:t>
            </w:r>
          </w:p>
          <w:p w14:paraId="01F69C35" w14:textId="77777777" w:rsidR="00257E1A" w:rsidRPr="006344D1" w:rsidRDefault="00257E1A" w:rsidP="006344D1">
            <w:pPr>
              <w:spacing w:before="120" w:after="120" w:line="240" w:lineRule="auto"/>
            </w:pPr>
            <w:r w:rsidRPr="006344D1">
              <w:t>In a tolling situation, the property of one project, such as the platform or processing facilities, may be partially used to produce its own petroleum and partially used to process petroleum sourced from third party projects. The amendments ensure that all partial usage situations are treated the same way and do not impact on efficient commercial arrangements. The amendments also ensure that double taxation, black hole expenditures or understatement of net assessable receipts do not affect government or industry.</w:t>
            </w:r>
          </w:p>
        </w:tc>
      </w:tr>
      <w:tr w:rsidR="00257E1A" w:rsidRPr="00F00E62" w14:paraId="3C5D0A6F" w14:textId="77777777" w:rsidTr="0089652B">
        <w:tc>
          <w:tcPr>
            <w:tcW w:w="535"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7F2C45DE" w14:textId="77777777" w:rsidR="00257E1A" w:rsidRPr="006344D1" w:rsidRDefault="00257E1A" w:rsidP="006344D1">
            <w:pPr>
              <w:pStyle w:val="Heading4"/>
            </w:pPr>
            <w:r w:rsidRPr="006344D1">
              <w:t>2004</w:t>
            </w:r>
          </w:p>
        </w:tc>
        <w:tc>
          <w:tcPr>
            <w:tcW w:w="4465"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60814B36" w14:textId="203C1C92" w:rsidR="00257E1A" w:rsidRPr="006344D1" w:rsidRDefault="00257E1A" w:rsidP="006344D1">
            <w:pPr>
              <w:spacing w:before="120" w:after="120" w:line="240" w:lineRule="auto"/>
            </w:pPr>
            <w:r w:rsidRPr="006344D1">
              <w:t xml:space="preserve">In May 2004 the </w:t>
            </w:r>
            <w:r w:rsidR="00491FFB">
              <w:t>G</w:t>
            </w:r>
            <w:r w:rsidRPr="006344D1">
              <w:t xml:space="preserve">overnment introduced a measure to encourage petroleum exploration in remote offshore areas. </w:t>
            </w:r>
          </w:p>
          <w:p w14:paraId="5B2F304E" w14:textId="0A5A4654" w:rsidR="00257E1A" w:rsidRPr="006344D1" w:rsidRDefault="00257E1A" w:rsidP="006344D1">
            <w:pPr>
              <w:spacing w:before="120" w:after="120" w:line="240" w:lineRule="auto"/>
            </w:pPr>
            <w:r w:rsidRPr="006344D1">
              <w:t>This involves an uplift of 150 per cent on PRRT deductions for exploration expenditure incurred in designated offshore frontier areas. The measure applies to pre</w:t>
            </w:r>
            <w:r w:rsidR="005D6F39">
              <w:noBreakHyphen/>
            </w:r>
            <w:r w:rsidRPr="006344D1">
              <w:t>appraisal exploration expenditure in the initial term of the exploration permit granted for a designated area. This measure applies up to 30 June 2008.</w:t>
            </w:r>
          </w:p>
        </w:tc>
      </w:tr>
    </w:tbl>
    <w:p w14:paraId="782448AA" w14:textId="77777777" w:rsidR="006344D1" w:rsidRDefault="006344D1">
      <w:r>
        <w:rPr>
          <w:b/>
          <w:bCs/>
        </w:rPr>
        <w:br w:type="page"/>
      </w:r>
    </w:p>
    <w:tbl>
      <w:tblPr>
        <w:tblW w:w="4822" w:type="pct"/>
        <w:tblInd w:w="168" w:type="dxa"/>
        <w:tblBorders>
          <w:top w:val="single" w:sz="6" w:space="0" w:color="999999"/>
          <w:left w:val="single" w:sz="6" w:space="0" w:color="999999"/>
          <w:bottom w:val="single" w:sz="6" w:space="0" w:color="999999"/>
          <w:right w:val="single" w:sz="6" w:space="0" w:color="999999"/>
        </w:tblBorders>
        <w:tblCellMar>
          <w:top w:w="45" w:type="dxa"/>
          <w:left w:w="45" w:type="dxa"/>
          <w:bottom w:w="45" w:type="dxa"/>
          <w:right w:w="45" w:type="dxa"/>
        </w:tblCellMar>
        <w:tblLook w:val="04A0" w:firstRow="1" w:lastRow="0" w:firstColumn="1" w:lastColumn="0" w:noHBand="0" w:noVBand="1"/>
        <w:tblDescription w:val="This table outlines the amendments made to the PRRT legislation and what year they took place."/>
      </w:tblPr>
      <w:tblGrid>
        <w:gridCol w:w="992"/>
        <w:gridCol w:w="8079"/>
      </w:tblGrid>
      <w:tr w:rsidR="0089652B" w:rsidRPr="00F00E62" w14:paraId="0735DCAC" w14:textId="77777777" w:rsidTr="0089652B">
        <w:trPr>
          <w:tblHeader/>
        </w:trPr>
        <w:tc>
          <w:tcPr>
            <w:tcW w:w="547" w:type="pct"/>
            <w:tcBorders>
              <w:top w:val="outset" w:sz="6" w:space="0" w:color="999999"/>
              <w:left w:val="single" w:sz="6" w:space="0" w:color="AAAAAA"/>
              <w:bottom w:val="single" w:sz="6" w:space="0" w:color="999999"/>
              <w:right w:val="outset" w:sz="6" w:space="0" w:color="999999"/>
            </w:tcBorders>
            <w:shd w:val="clear" w:color="auto" w:fill="E2E2E2"/>
            <w:tcMar>
              <w:top w:w="72" w:type="dxa"/>
              <w:left w:w="168" w:type="dxa"/>
              <w:bottom w:w="72" w:type="dxa"/>
              <w:right w:w="168" w:type="dxa"/>
            </w:tcMar>
            <w:hideMark/>
          </w:tcPr>
          <w:p w14:paraId="64006543" w14:textId="77777777" w:rsidR="0089652B" w:rsidRPr="006344D1" w:rsidRDefault="0089652B" w:rsidP="00220BAE">
            <w:pPr>
              <w:pStyle w:val="Heading4"/>
            </w:pPr>
            <w:r w:rsidRPr="006344D1">
              <w:t>Year</w:t>
            </w:r>
          </w:p>
        </w:tc>
        <w:tc>
          <w:tcPr>
            <w:tcW w:w="4453" w:type="pct"/>
            <w:tcBorders>
              <w:top w:val="outset" w:sz="6" w:space="0" w:color="999999"/>
              <w:left w:val="single" w:sz="6" w:space="0" w:color="AAAAAA"/>
              <w:bottom w:val="single" w:sz="6" w:space="0" w:color="999999"/>
              <w:right w:val="outset" w:sz="6" w:space="0" w:color="999999"/>
            </w:tcBorders>
            <w:shd w:val="clear" w:color="auto" w:fill="E2E2E2"/>
            <w:tcMar>
              <w:top w:w="72" w:type="dxa"/>
              <w:left w:w="168" w:type="dxa"/>
              <w:bottom w:w="72" w:type="dxa"/>
              <w:right w:w="168" w:type="dxa"/>
            </w:tcMar>
            <w:hideMark/>
          </w:tcPr>
          <w:p w14:paraId="7E39B731" w14:textId="77777777" w:rsidR="0089652B" w:rsidRPr="006344D1" w:rsidRDefault="0089652B" w:rsidP="00220BAE">
            <w:pPr>
              <w:pStyle w:val="Heading4"/>
            </w:pPr>
            <w:r w:rsidRPr="006344D1">
              <w:t>Amendment</w:t>
            </w:r>
          </w:p>
        </w:tc>
      </w:tr>
      <w:tr w:rsidR="00257E1A" w:rsidRPr="00F00E62" w14:paraId="5D6D535C" w14:textId="77777777" w:rsidTr="0089652B">
        <w:tc>
          <w:tcPr>
            <w:tcW w:w="547"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586625F4" w14:textId="77777777" w:rsidR="00257E1A" w:rsidRPr="006344D1" w:rsidRDefault="00257E1A" w:rsidP="006344D1">
            <w:pPr>
              <w:pStyle w:val="Heading4"/>
            </w:pPr>
            <w:r w:rsidRPr="006344D1">
              <w:t>2005</w:t>
            </w:r>
          </w:p>
        </w:tc>
        <w:tc>
          <w:tcPr>
            <w:tcW w:w="4453"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61CAF57A" w14:textId="613FB59E" w:rsidR="00257E1A" w:rsidRPr="006344D1" w:rsidRDefault="00257E1A" w:rsidP="006344D1">
            <w:pPr>
              <w:spacing w:before="120" w:after="120" w:line="240" w:lineRule="auto"/>
            </w:pPr>
            <w:r w:rsidRPr="006344D1">
              <w:t xml:space="preserve">In 2005 the </w:t>
            </w:r>
            <w:r w:rsidR="00491FFB">
              <w:t>G</w:t>
            </w:r>
            <w:r w:rsidRPr="006344D1">
              <w:t>overnment introduced the</w:t>
            </w:r>
            <w:r w:rsidRPr="006344D1">
              <w:rPr>
                <w:i/>
              </w:rPr>
              <w:t xml:space="preserve"> </w:t>
            </w:r>
            <w:r w:rsidRPr="002A2596">
              <w:t xml:space="preserve">Gas Transfer </w:t>
            </w:r>
            <w:r w:rsidR="002A2596">
              <w:t xml:space="preserve">Pricing </w:t>
            </w:r>
            <w:r w:rsidR="00336EEE">
              <w:t>r</w:t>
            </w:r>
            <w:r w:rsidRPr="002A2596">
              <w:t xml:space="preserve">egulations. </w:t>
            </w:r>
          </w:p>
          <w:p w14:paraId="035B3783" w14:textId="7FE43482" w:rsidR="00257E1A" w:rsidRPr="006344D1" w:rsidRDefault="00257E1A" w:rsidP="002A2596">
            <w:pPr>
              <w:spacing w:before="120" w:after="120" w:line="240" w:lineRule="auto"/>
            </w:pPr>
            <w:r w:rsidRPr="006344D1">
              <w:t xml:space="preserve">The objective of the </w:t>
            </w:r>
            <w:r w:rsidR="00AF79E9">
              <w:t>r</w:t>
            </w:r>
            <w:r w:rsidRPr="006344D1">
              <w:t xml:space="preserve">egulations is to provide a framework to determine the price for gas in the case of an integrated </w:t>
            </w:r>
            <w:r w:rsidR="0059338E">
              <w:t>LNG</w:t>
            </w:r>
            <w:r w:rsidR="00491FFB">
              <w:t xml:space="preserve"> </w:t>
            </w:r>
            <w:r w:rsidRPr="006344D1">
              <w:t xml:space="preserve">project. The framework enables a PRRT liability to be calculated in the upstream component of an integrated </w:t>
            </w:r>
            <w:r w:rsidR="0059338E">
              <w:t>LNG</w:t>
            </w:r>
            <w:r w:rsidRPr="006344D1">
              <w:t xml:space="preserve"> project where there is no arm</w:t>
            </w:r>
            <w:r w:rsidR="005D6F39">
              <w:t>’</w:t>
            </w:r>
            <w:r w:rsidRPr="006344D1">
              <w:t xml:space="preserve">s length price or comparable uncontrolled price. These </w:t>
            </w:r>
            <w:r w:rsidR="00AF79E9">
              <w:t>r</w:t>
            </w:r>
            <w:r w:rsidRPr="006344D1">
              <w:t xml:space="preserve">egulations allow for a gas transfer price to be determined by the Commissioner of Taxation either by an advanced pricing arrangement agreed with the PRRT taxpayer, a comparable </w:t>
            </w:r>
            <w:r w:rsidR="0059338E">
              <w:t>uncontrolled</w:t>
            </w:r>
            <w:r w:rsidRPr="006344D1">
              <w:t xml:space="preserve"> price, or by a Residual Pricing Mechanism. The </w:t>
            </w:r>
            <w:r w:rsidR="00336EEE">
              <w:t>r</w:t>
            </w:r>
            <w:r w:rsidRPr="006344D1">
              <w:t>egulations took effect from 20</w:t>
            </w:r>
            <w:r w:rsidR="00336EEE">
              <w:t> </w:t>
            </w:r>
            <w:r w:rsidRPr="006344D1">
              <w:t>December</w:t>
            </w:r>
            <w:r w:rsidR="00336EEE">
              <w:t> </w:t>
            </w:r>
            <w:r w:rsidRPr="006344D1">
              <w:t>2005.</w:t>
            </w:r>
          </w:p>
        </w:tc>
      </w:tr>
      <w:tr w:rsidR="00257E1A" w:rsidRPr="00F00E62" w14:paraId="2AEB8144" w14:textId="77777777" w:rsidTr="0089652B">
        <w:tc>
          <w:tcPr>
            <w:tcW w:w="547"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4623E828" w14:textId="77777777" w:rsidR="00257E1A" w:rsidRPr="006344D1" w:rsidRDefault="00257E1A" w:rsidP="006344D1">
            <w:pPr>
              <w:pStyle w:val="Heading4"/>
            </w:pPr>
            <w:r w:rsidRPr="006344D1">
              <w:t>2005</w:t>
            </w:r>
          </w:p>
        </w:tc>
        <w:tc>
          <w:tcPr>
            <w:tcW w:w="4453"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6A8E2A69" w14:textId="2F6CD22D" w:rsidR="00257E1A" w:rsidRPr="006344D1" w:rsidRDefault="00257E1A" w:rsidP="00E9697F">
            <w:r w:rsidRPr="006344D1">
              <w:t>In May 2005</w:t>
            </w:r>
            <w:r w:rsidR="00336EEE">
              <w:t>,</w:t>
            </w:r>
            <w:r w:rsidRPr="006344D1">
              <w:t xml:space="preserve"> the </w:t>
            </w:r>
            <w:r w:rsidR="00491FFB">
              <w:t>G</w:t>
            </w:r>
            <w:r w:rsidRPr="006344D1">
              <w:t>overnment announced further policy changes to the PRRT designed to reduce compliance costs, improve administration and remove inconsistencies in the PRRT regime. These changes, which became effective from 1 July 2006, included:</w:t>
            </w:r>
          </w:p>
          <w:p w14:paraId="6AFDDCDA" w14:textId="37C43416" w:rsidR="00257E1A" w:rsidRPr="006344D1" w:rsidRDefault="00257E1A" w:rsidP="00E9697F">
            <w:pPr>
              <w:pStyle w:val="Bullet"/>
            </w:pPr>
            <w:r w:rsidRPr="006344D1">
              <w:t>allowing deduction of transferable exploration expenditure when calculating quarterly instalments and of fringe benefits tax for PRRT purposes</w:t>
            </w:r>
            <w:r w:rsidR="00AF79E9">
              <w:t>;</w:t>
            </w:r>
          </w:p>
          <w:p w14:paraId="280E87D0" w14:textId="49007389" w:rsidR="00257E1A" w:rsidRPr="006344D1" w:rsidRDefault="00257E1A" w:rsidP="00E9697F">
            <w:pPr>
              <w:pStyle w:val="Bullet"/>
            </w:pPr>
            <w:r w:rsidRPr="006344D1">
              <w:t>allowing deduction of closing</w:t>
            </w:r>
            <w:r w:rsidR="00FA2E30">
              <w:t xml:space="preserve"> </w:t>
            </w:r>
            <w:r w:rsidRPr="006344D1">
              <w:t>down costs when moving from a production to an infrastructure licen</w:t>
            </w:r>
            <w:r w:rsidR="000A33FC">
              <w:t>c</w:t>
            </w:r>
            <w:r w:rsidRPr="006344D1">
              <w:t>e</w:t>
            </w:r>
            <w:r w:rsidR="00AF79E9">
              <w:t>;</w:t>
            </w:r>
          </w:p>
          <w:p w14:paraId="507D10B3" w14:textId="32FE5182" w:rsidR="00257E1A" w:rsidRPr="006344D1" w:rsidRDefault="00257E1A" w:rsidP="00E9697F">
            <w:pPr>
              <w:pStyle w:val="Bullet"/>
            </w:pPr>
            <w:r w:rsidRPr="006344D1">
              <w:t>the PRRT in the self</w:t>
            </w:r>
            <w:r w:rsidR="005D6F39">
              <w:noBreakHyphen/>
            </w:r>
            <w:r w:rsidRPr="006344D1">
              <w:t>assessment regime</w:t>
            </w:r>
            <w:r w:rsidR="00AF79E9">
              <w:t>;</w:t>
            </w:r>
            <w:r w:rsidRPr="006344D1">
              <w:t xml:space="preserve"> </w:t>
            </w:r>
          </w:p>
          <w:p w14:paraId="68F69092" w14:textId="7D4B7351" w:rsidR="00257E1A" w:rsidRPr="006344D1" w:rsidRDefault="00257E1A" w:rsidP="00E9697F">
            <w:pPr>
              <w:pStyle w:val="Bullet"/>
            </w:pPr>
            <w:r w:rsidRPr="006344D1">
              <w:t>providing roll</w:t>
            </w:r>
            <w:r w:rsidR="005D6F39">
              <w:noBreakHyphen/>
            </w:r>
            <w:r w:rsidRPr="006344D1">
              <w:t>over relief for internal corporate restructuring</w:t>
            </w:r>
            <w:r w:rsidR="00AF79E9">
              <w:t>;</w:t>
            </w:r>
            <w:r w:rsidRPr="006344D1">
              <w:t xml:space="preserve"> </w:t>
            </w:r>
          </w:p>
          <w:p w14:paraId="5615204E" w14:textId="04696F2C" w:rsidR="00257E1A" w:rsidRPr="006344D1" w:rsidRDefault="00257E1A" w:rsidP="00E9697F">
            <w:pPr>
              <w:pStyle w:val="Bullet"/>
            </w:pPr>
            <w:r w:rsidRPr="006344D1">
              <w:t>introducing a transfer notice requirement for vendors disposing of an interest in a petroleum project</w:t>
            </w:r>
            <w:r w:rsidR="00AF79E9">
              <w:t>; and</w:t>
            </w:r>
            <w:r w:rsidRPr="006344D1">
              <w:t xml:space="preserve"> </w:t>
            </w:r>
          </w:p>
          <w:p w14:paraId="0385466D" w14:textId="274F6925" w:rsidR="00257E1A" w:rsidRPr="006344D1" w:rsidRDefault="00257E1A" w:rsidP="00E9697F">
            <w:pPr>
              <w:pStyle w:val="Bullet"/>
            </w:pPr>
            <w:r w:rsidRPr="006344D1">
              <w:t>extending the lodgement period for PRRT annual returns from 42 to 60</w:t>
            </w:r>
            <w:r w:rsidR="00AF79E9">
              <w:t> </w:t>
            </w:r>
            <w:r w:rsidRPr="006344D1">
              <w:t>days.</w:t>
            </w:r>
          </w:p>
        </w:tc>
      </w:tr>
      <w:tr w:rsidR="00257E1A" w:rsidRPr="00F00E62" w14:paraId="11790DFB" w14:textId="77777777" w:rsidTr="0089652B">
        <w:trPr>
          <w:cantSplit/>
        </w:trPr>
        <w:tc>
          <w:tcPr>
            <w:tcW w:w="547"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27CAD3FD" w14:textId="0E0788F6" w:rsidR="00257E1A" w:rsidRPr="006344D1" w:rsidRDefault="00257E1A" w:rsidP="006344D1">
            <w:pPr>
              <w:pStyle w:val="Heading4"/>
            </w:pPr>
            <w:r w:rsidRPr="006344D1">
              <w:t>2007</w:t>
            </w:r>
          </w:p>
        </w:tc>
        <w:tc>
          <w:tcPr>
            <w:tcW w:w="4453"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2B3352EC" w14:textId="5E7CFFB6" w:rsidR="00257E1A" w:rsidRPr="006344D1" w:rsidRDefault="00257E1A" w:rsidP="0018241E">
            <w:r w:rsidRPr="006344D1">
              <w:t xml:space="preserve">The </w:t>
            </w:r>
            <w:r w:rsidR="00491FFB">
              <w:t>G</w:t>
            </w:r>
            <w:r w:rsidRPr="006344D1">
              <w:t>overnment announced in the 2007–08 Budget on 8 May 2007 three policy changes to the PRRT that aim to lower compliance costs and remove inconsistencies. These measures, which are planned to commence from 1</w:t>
            </w:r>
            <w:r w:rsidR="00433B27">
              <w:t> </w:t>
            </w:r>
            <w:r w:rsidRPr="006344D1">
              <w:t>July</w:t>
            </w:r>
            <w:r w:rsidR="00433B27">
              <w:t> </w:t>
            </w:r>
            <w:r w:rsidRPr="006344D1">
              <w:t>2008, will include:</w:t>
            </w:r>
          </w:p>
          <w:p w14:paraId="6B01028C" w14:textId="4E7BD72F" w:rsidR="00257E1A" w:rsidRPr="006344D1" w:rsidRDefault="00257E1A" w:rsidP="0018241E">
            <w:pPr>
              <w:pStyle w:val="Bullet"/>
            </w:pPr>
            <w:r w:rsidRPr="006344D1">
              <w:t>a functional currency rule built into the PRRT, similar to that under income tax, which will allow oil and gas producers to elect to work out their PRRT position in a foreign currency</w:t>
            </w:r>
            <w:r w:rsidR="00AF79E9">
              <w:t>;</w:t>
            </w:r>
            <w:r w:rsidRPr="006344D1">
              <w:t xml:space="preserve"> </w:t>
            </w:r>
          </w:p>
          <w:p w14:paraId="20CB9465" w14:textId="1D7F5F90" w:rsidR="00257E1A" w:rsidRPr="006344D1" w:rsidRDefault="00257E1A" w:rsidP="0018241E">
            <w:pPr>
              <w:pStyle w:val="Bullet"/>
            </w:pPr>
            <w:r w:rsidRPr="006344D1">
              <w:t xml:space="preserve">the introduction of a </w:t>
            </w:r>
            <w:r w:rsidR="005D6F39">
              <w:t>‘</w:t>
            </w:r>
            <w:r w:rsidRPr="006344D1">
              <w:t>look back</w:t>
            </w:r>
            <w:r w:rsidR="005D6F39">
              <w:t>’</w:t>
            </w:r>
            <w:r w:rsidRPr="006344D1">
              <w:t xml:space="preserve"> rule for exploration expenditure, ensuring that all exploration expenditure is deductible for PRRT purposes where a production licence is derived from a retention lease on or after 1</w:t>
            </w:r>
            <w:r w:rsidR="00433B27">
              <w:t> </w:t>
            </w:r>
            <w:r w:rsidRPr="006344D1">
              <w:t>July</w:t>
            </w:r>
            <w:r w:rsidR="00433B27">
              <w:t> </w:t>
            </w:r>
            <w:r w:rsidRPr="006344D1">
              <w:t>2008</w:t>
            </w:r>
            <w:r w:rsidR="00AF79E9">
              <w:t>;</w:t>
            </w:r>
            <w:r w:rsidRPr="006344D1">
              <w:t xml:space="preserve"> </w:t>
            </w:r>
            <w:r w:rsidR="00433B27">
              <w:t>and</w:t>
            </w:r>
          </w:p>
          <w:p w14:paraId="3D08B0F2" w14:textId="77777777" w:rsidR="00257E1A" w:rsidRPr="006344D1" w:rsidRDefault="00257E1A" w:rsidP="0018241E">
            <w:pPr>
              <w:pStyle w:val="Bullet"/>
            </w:pPr>
            <w:r w:rsidRPr="006344D1">
              <w:t xml:space="preserve">addressing overlap between two petroleum projects—so that where a petroleum project processes petroleum sourced from another petroleum project for a tolling fee, the tolling fee received will be treated as a PRRT receipt, and the expenses incurred will be treated as a PRRT deduction. </w:t>
            </w:r>
          </w:p>
        </w:tc>
      </w:tr>
      <w:tr w:rsidR="00257E1A" w:rsidRPr="00F00E62" w14:paraId="2C4138FB" w14:textId="77777777" w:rsidTr="0089652B">
        <w:tc>
          <w:tcPr>
            <w:tcW w:w="547"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6C1A1665" w14:textId="77777777" w:rsidR="00257E1A" w:rsidRPr="006344D1" w:rsidRDefault="00257E1A" w:rsidP="006344D1">
            <w:pPr>
              <w:pStyle w:val="Heading4"/>
            </w:pPr>
            <w:r w:rsidRPr="006344D1">
              <w:t>2010</w:t>
            </w:r>
          </w:p>
        </w:tc>
        <w:tc>
          <w:tcPr>
            <w:tcW w:w="4453"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3FDA1415" w14:textId="225C9B54" w:rsidR="00257E1A" w:rsidRPr="006344D1" w:rsidRDefault="00257E1A" w:rsidP="006344D1">
            <w:pPr>
              <w:spacing w:before="120" w:after="120" w:line="240" w:lineRule="auto"/>
            </w:pPr>
            <w:r w:rsidRPr="006344D1">
              <w:t xml:space="preserve">On 2 July 2010, the </w:t>
            </w:r>
            <w:r w:rsidR="00491FFB">
              <w:t>G</w:t>
            </w:r>
            <w:r w:rsidRPr="006344D1">
              <w:t>overnment announced that from 1 July 2012, the PRRT would be extended to include all onshore and offshore oil and gas projects, including the North West Shelf</w:t>
            </w:r>
            <w:r w:rsidR="00930545">
              <w:t xml:space="preserve"> (NWS)</w:t>
            </w:r>
            <w:r w:rsidRPr="006344D1">
              <w:t>, oil shale projects and coal seam gas projects.</w:t>
            </w:r>
          </w:p>
        </w:tc>
      </w:tr>
      <w:tr w:rsidR="00257E1A" w:rsidRPr="00F00E62" w14:paraId="1E55708F" w14:textId="77777777" w:rsidTr="0089652B">
        <w:tc>
          <w:tcPr>
            <w:tcW w:w="547"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hideMark/>
          </w:tcPr>
          <w:p w14:paraId="5D33B65F" w14:textId="77777777" w:rsidR="00257E1A" w:rsidRPr="006344D1" w:rsidRDefault="00257E1A" w:rsidP="006344D1">
            <w:pPr>
              <w:pStyle w:val="Heading4"/>
            </w:pPr>
            <w:r w:rsidRPr="006344D1">
              <w:t>2012</w:t>
            </w:r>
          </w:p>
        </w:tc>
        <w:tc>
          <w:tcPr>
            <w:tcW w:w="4453"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hideMark/>
          </w:tcPr>
          <w:p w14:paraId="23E83567" w14:textId="28FA019E" w:rsidR="00257E1A" w:rsidRPr="006344D1" w:rsidRDefault="00257E1A" w:rsidP="006344D1">
            <w:pPr>
              <w:spacing w:before="120" w:after="120" w:line="240" w:lineRule="auto"/>
            </w:pPr>
            <w:r w:rsidRPr="006344D1">
              <w:t xml:space="preserve">On 1 July 2012, the PRRT extension to onshore oil and gas projects, including the </w:t>
            </w:r>
            <w:r w:rsidR="00930545">
              <w:t>NWS</w:t>
            </w:r>
            <w:r w:rsidRPr="006344D1">
              <w:t>, oil shale projects and coal seam gas projects, came into effect.</w:t>
            </w:r>
          </w:p>
        </w:tc>
      </w:tr>
      <w:tr w:rsidR="00E9697F" w:rsidRPr="00F00E62" w14:paraId="76FA8369" w14:textId="77777777" w:rsidTr="0089652B">
        <w:tc>
          <w:tcPr>
            <w:tcW w:w="547" w:type="pct"/>
            <w:tcBorders>
              <w:top w:val="outset" w:sz="6" w:space="0" w:color="999999"/>
              <w:left w:val="outset" w:sz="6" w:space="0" w:color="999999"/>
              <w:bottom w:val="outset" w:sz="6" w:space="0" w:color="999999"/>
              <w:right w:val="outset" w:sz="6" w:space="0" w:color="999999"/>
            </w:tcBorders>
            <w:shd w:val="clear" w:color="auto" w:fill="FFFFFF"/>
            <w:tcMar>
              <w:top w:w="120" w:type="dxa"/>
              <w:left w:w="168" w:type="dxa"/>
              <w:bottom w:w="120" w:type="dxa"/>
              <w:right w:w="168" w:type="dxa"/>
            </w:tcMar>
            <w:vAlign w:val="center"/>
          </w:tcPr>
          <w:p w14:paraId="55E75315" w14:textId="0CBDCF19" w:rsidR="00E9697F" w:rsidRPr="006344D1" w:rsidRDefault="00E9697F" w:rsidP="006344D1">
            <w:pPr>
              <w:pStyle w:val="Heading4"/>
            </w:pPr>
            <w:r>
              <w:t>2015</w:t>
            </w:r>
          </w:p>
        </w:tc>
        <w:tc>
          <w:tcPr>
            <w:tcW w:w="4453" w:type="pct"/>
            <w:tcBorders>
              <w:top w:val="outset" w:sz="6" w:space="0" w:color="999999"/>
              <w:left w:val="single" w:sz="6" w:space="0" w:color="AAAAAA"/>
              <w:bottom w:val="outset" w:sz="6" w:space="0" w:color="999999"/>
              <w:right w:val="outset" w:sz="6" w:space="0" w:color="999999"/>
            </w:tcBorders>
            <w:shd w:val="clear" w:color="auto" w:fill="FFFFFF"/>
            <w:tcMar>
              <w:top w:w="120" w:type="dxa"/>
              <w:left w:w="168" w:type="dxa"/>
              <w:bottom w:w="120" w:type="dxa"/>
              <w:right w:w="168" w:type="dxa"/>
            </w:tcMar>
          </w:tcPr>
          <w:p w14:paraId="266B21C0" w14:textId="2C39588A" w:rsidR="00E9697F" w:rsidRPr="006344D1" w:rsidRDefault="00293884" w:rsidP="00336EEE">
            <w:pPr>
              <w:autoSpaceDE w:val="0"/>
              <w:autoSpaceDN w:val="0"/>
              <w:adjustRightInd w:val="0"/>
              <w:spacing w:after="0" w:line="240" w:lineRule="auto"/>
            </w:pPr>
            <w:r>
              <w:t xml:space="preserve">The Gas </w:t>
            </w:r>
            <w:r w:rsidR="00336EEE">
              <w:t>T</w:t>
            </w:r>
            <w:r>
              <w:t xml:space="preserve">ransfer </w:t>
            </w:r>
            <w:r w:rsidR="00336EEE">
              <w:t>P</w:t>
            </w:r>
            <w:r>
              <w:t>ricing regulations were remade in 2015</w:t>
            </w:r>
            <w:r w:rsidR="00742757">
              <w:t xml:space="preserve">, </w:t>
            </w:r>
            <w:r>
              <w:t xml:space="preserve">with some minor changes to modernise the drafting style, reduce compliance costs for industry and </w:t>
            </w:r>
            <w:r w:rsidR="00742757">
              <w:t>to ensure that the r</w:t>
            </w:r>
            <w:r>
              <w:t>egulation</w:t>
            </w:r>
            <w:r w:rsidR="00742757">
              <w:t>s</w:t>
            </w:r>
            <w:r>
              <w:t xml:space="preserve"> </w:t>
            </w:r>
            <w:r w:rsidR="00742757">
              <w:t xml:space="preserve">are </w:t>
            </w:r>
            <w:r>
              <w:t>fit</w:t>
            </w:r>
            <w:r w:rsidR="00742757">
              <w:t xml:space="preserve"> </w:t>
            </w:r>
            <w:r>
              <w:t>for</w:t>
            </w:r>
            <w:r w:rsidR="00742757">
              <w:t xml:space="preserve"> </w:t>
            </w:r>
            <w:r>
              <w:t xml:space="preserve">purpose. </w:t>
            </w:r>
          </w:p>
        </w:tc>
      </w:tr>
    </w:tbl>
    <w:p w14:paraId="18EDCC06" w14:textId="3C8F94D4" w:rsidR="00C13BA8" w:rsidRDefault="00257E1A" w:rsidP="0089652B">
      <w:pPr>
        <w:pStyle w:val="ChartorTableNote"/>
      </w:pPr>
      <w:r w:rsidRPr="00336EEE">
        <w:t>Source: Department of Industry, Innovation and Science</w:t>
      </w:r>
      <w:r w:rsidR="00C13BA8" w:rsidRPr="00336EEE">
        <w:t xml:space="preserve"> </w:t>
      </w:r>
      <w:r w:rsidR="00543740" w:rsidRPr="00336EEE">
        <w:t>and Petroleum Resource Rent Tax Review Secretariat</w:t>
      </w:r>
      <w:r w:rsidR="00617077">
        <w:t>.</w:t>
      </w:r>
    </w:p>
    <w:p w14:paraId="314FFAB7" w14:textId="21441830" w:rsidR="00331C8A" w:rsidRPr="00331C8A" w:rsidRDefault="00C13BA8" w:rsidP="00E90C1E">
      <w:pPr>
        <w:pStyle w:val="Heading1"/>
      </w:pPr>
      <w:r>
        <w:br w:type="page"/>
      </w:r>
      <w:bookmarkStart w:id="10589" w:name="_Toc477869959"/>
      <w:bookmarkStart w:id="10590" w:name="_Toc477871198"/>
      <w:bookmarkStart w:id="10591" w:name="_Toc477873357"/>
      <w:bookmarkStart w:id="10592" w:name="_Toc477875351"/>
      <w:bookmarkStart w:id="10593" w:name="_Toc477880264"/>
      <w:bookmarkStart w:id="10594" w:name="_Toc477881524"/>
      <w:bookmarkStart w:id="10595" w:name="_Toc477955928"/>
      <w:bookmarkStart w:id="10596" w:name="_Toc477963173"/>
      <w:bookmarkStart w:id="10597" w:name="_Toc477963659"/>
      <w:bookmarkStart w:id="10598" w:name="_Toc477965245"/>
      <w:bookmarkStart w:id="10599" w:name="_Toc477966749"/>
      <w:bookmarkStart w:id="10600" w:name="_Toc477966918"/>
      <w:bookmarkStart w:id="10601" w:name="_Toc477967258"/>
      <w:bookmarkStart w:id="10602" w:name="_Toc478121395"/>
      <w:bookmarkStart w:id="10603" w:name="_Toc478122308"/>
      <w:bookmarkStart w:id="10604" w:name="_Toc478132138"/>
      <w:bookmarkStart w:id="10605" w:name="_Toc478133308"/>
      <w:bookmarkStart w:id="10606" w:name="_Toc478132445"/>
      <w:bookmarkStart w:id="10607" w:name="_Toc478134774"/>
      <w:bookmarkStart w:id="10608" w:name="_Toc478137476"/>
      <w:bookmarkStart w:id="10609" w:name="_Toc478138548"/>
      <w:bookmarkStart w:id="10610" w:name="_Toc478140118"/>
      <w:bookmarkStart w:id="10611" w:name="_Toc478140534"/>
      <w:bookmarkStart w:id="10612" w:name="_Toc478142740"/>
      <w:bookmarkStart w:id="10613" w:name="_Toc478566459"/>
      <w:bookmarkStart w:id="10614" w:name="_Toc478569626"/>
      <w:bookmarkStart w:id="10615" w:name="_Toc478569800"/>
      <w:bookmarkStart w:id="10616" w:name="_Toc478570874"/>
      <w:bookmarkStart w:id="10617" w:name="_Toc478633073"/>
      <w:bookmarkStart w:id="10618" w:name="_Toc478641483"/>
      <w:bookmarkStart w:id="10619" w:name="_Toc478654377"/>
      <w:bookmarkStart w:id="10620" w:name="_Toc478654551"/>
      <w:bookmarkStart w:id="10621" w:name="_Toc478657846"/>
      <w:bookmarkStart w:id="10622" w:name="_Toc478992514"/>
      <w:bookmarkStart w:id="10623" w:name="_Toc478992686"/>
      <w:bookmarkStart w:id="10624" w:name="_Toc479254418"/>
      <w:bookmarkStart w:id="10625" w:name="_Toc479258607"/>
      <w:bookmarkStart w:id="10626" w:name="_Toc479258923"/>
      <w:bookmarkStart w:id="10627" w:name="_Toc479259815"/>
      <w:bookmarkStart w:id="10628" w:name="_Toc479262238"/>
      <w:bookmarkStart w:id="10629" w:name="_Toc479262659"/>
      <w:bookmarkStart w:id="10630" w:name="_Toc479321360"/>
      <w:bookmarkStart w:id="10631" w:name="_Toc479326799"/>
      <w:bookmarkStart w:id="10632" w:name="_Toc479333060"/>
      <w:bookmarkStart w:id="10633" w:name="_Toc479333398"/>
      <w:bookmarkStart w:id="10634" w:name="_Toc479335095"/>
      <w:bookmarkStart w:id="10635" w:name="_Toc479341810"/>
      <w:bookmarkStart w:id="10636" w:name="_Toc479345226"/>
      <w:bookmarkStart w:id="10637" w:name="_Toc479345435"/>
      <w:bookmarkStart w:id="10638" w:name="_Toc479348416"/>
      <w:bookmarkStart w:id="10639" w:name="_Toc479676009"/>
      <w:bookmarkStart w:id="10640" w:name="_Toc479690976"/>
      <w:bookmarkStart w:id="10641" w:name="_Toc479693554"/>
      <w:bookmarkStart w:id="10642" w:name="_Toc479770723"/>
      <w:r w:rsidR="00257E1A" w:rsidRPr="00C13BA8">
        <w:t>Appendix D</w:t>
      </w:r>
      <w:r w:rsidR="005D6F39">
        <w:t xml:space="preserve"> — </w:t>
      </w:r>
      <w:r w:rsidR="00257E1A" w:rsidRPr="00C13BA8">
        <w:t>Gas Transfer Pricing</w:t>
      </w:r>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p>
    <w:p w14:paraId="6452013D" w14:textId="25246151" w:rsidR="00331C8A" w:rsidRPr="00331C8A" w:rsidRDefault="008B2B40" w:rsidP="00811F24">
      <w:r w:rsidRPr="006D28D4">
        <w:t>Appendix B.1.8</w:t>
      </w:r>
      <w:r>
        <w:t xml:space="preserve"> provides background on the GTP regulations for determining an arm</w:t>
      </w:r>
      <w:r w:rsidR="005D6F39">
        <w:t>’</w:t>
      </w:r>
      <w:r>
        <w:t xml:space="preserve">s length price for PRRT purposes of sales gas used in integrated LNG processing. </w:t>
      </w:r>
      <w:r w:rsidR="001F3464">
        <w:t>Analysis</w:t>
      </w:r>
      <w:r w:rsidR="00331C8A" w:rsidRPr="00331C8A">
        <w:t xml:space="preserve"> of the </w:t>
      </w:r>
      <w:r>
        <w:t>GTP</w:t>
      </w:r>
      <w:r w:rsidR="00331C8A" w:rsidRPr="00331C8A">
        <w:t xml:space="preserve"> regulations </w:t>
      </w:r>
      <w:r w:rsidR="001F3464">
        <w:t xml:space="preserve">first </w:t>
      </w:r>
      <w:r w:rsidR="00331C8A" w:rsidRPr="00331C8A">
        <w:t>requires an understanding of why and how they were developed</w:t>
      </w:r>
      <w:r w:rsidR="00331C8A" w:rsidRPr="00331C8A" w:rsidDel="001952E9">
        <w:t>.</w:t>
      </w:r>
    </w:p>
    <w:p w14:paraId="39067B4B" w14:textId="77777777" w:rsidR="00331C8A" w:rsidRPr="00C13BA8" w:rsidRDefault="00913F3E" w:rsidP="006F4D5A">
      <w:pPr>
        <w:pStyle w:val="Heading2"/>
      </w:pPr>
      <w:bookmarkStart w:id="10643" w:name="_Toc476566683"/>
      <w:bookmarkStart w:id="10644" w:name="_Toc476577370"/>
      <w:bookmarkStart w:id="10645" w:name="_Toc476582359"/>
      <w:bookmarkStart w:id="10646" w:name="_Toc476583033"/>
      <w:bookmarkStart w:id="10647" w:name="_Toc476583750"/>
      <w:bookmarkStart w:id="10648" w:name="_Toc476584198"/>
      <w:bookmarkStart w:id="10649" w:name="_Toc476738106"/>
      <w:bookmarkStart w:id="10650" w:name="_Toc476747691"/>
      <w:bookmarkStart w:id="10651" w:name="_Toc476749101"/>
      <w:bookmarkStart w:id="10652" w:name="_Toc476753968"/>
      <w:bookmarkStart w:id="10653" w:name="_Toc476754463"/>
      <w:bookmarkStart w:id="10654" w:name="_Toc476754628"/>
      <w:bookmarkStart w:id="10655" w:name="_Toc476759867"/>
      <w:bookmarkStart w:id="10656" w:name="_Toc476761489"/>
      <w:bookmarkStart w:id="10657" w:name="_Toc476767127"/>
      <w:bookmarkStart w:id="10658" w:name="_Toc476827173"/>
      <w:bookmarkStart w:id="10659" w:name="_Toc476828866"/>
      <w:bookmarkStart w:id="10660" w:name="_Toc476833740"/>
      <w:bookmarkStart w:id="10661" w:name="_Toc476837213"/>
      <w:bookmarkStart w:id="10662" w:name="_Toc476841086"/>
      <w:bookmarkStart w:id="10663" w:name="_Toc476841291"/>
      <w:bookmarkStart w:id="10664" w:name="_Toc476842050"/>
      <w:bookmarkStart w:id="10665" w:name="_Toc476842994"/>
      <w:bookmarkStart w:id="10666" w:name="_Toc476843165"/>
      <w:bookmarkStart w:id="10667" w:name="_Toc476844663"/>
      <w:bookmarkStart w:id="10668" w:name="_Toc476845556"/>
      <w:bookmarkStart w:id="10669" w:name="_Toc476926949"/>
      <w:bookmarkStart w:id="10670" w:name="_Toc476927062"/>
      <w:bookmarkStart w:id="10671" w:name="_Toc476927236"/>
      <w:bookmarkStart w:id="10672" w:name="_Toc476928500"/>
      <w:bookmarkStart w:id="10673" w:name="_Toc476929543"/>
      <w:bookmarkStart w:id="10674" w:name="_Toc476929718"/>
      <w:bookmarkStart w:id="10675" w:name="_Toc476930761"/>
      <w:bookmarkStart w:id="10676" w:name="_Toc476931568"/>
      <w:bookmarkStart w:id="10677" w:name="_Toc477869960"/>
      <w:bookmarkStart w:id="10678" w:name="_Toc477871199"/>
      <w:bookmarkStart w:id="10679" w:name="_Toc477873358"/>
      <w:bookmarkStart w:id="10680" w:name="_Toc477875352"/>
      <w:bookmarkStart w:id="10681" w:name="_Toc477880265"/>
      <w:bookmarkStart w:id="10682" w:name="_Toc477881525"/>
      <w:bookmarkStart w:id="10683" w:name="_Toc477955929"/>
      <w:bookmarkStart w:id="10684" w:name="_Toc477963174"/>
      <w:bookmarkStart w:id="10685" w:name="_Toc477963660"/>
      <w:bookmarkStart w:id="10686" w:name="_Toc477965246"/>
      <w:bookmarkStart w:id="10687" w:name="_Toc477966750"/>
      <w:bookmarkStart w:id="10688" w:name="_Toc477966919"/>
      <w:bookmarkStart w:id="10689" w:name="_Toc477967259"/>
      <w:bookmarkStart w:id="10690" w:name="_Toc478121396"/>
      <w:bookmarkStart w:id="10691" w:name="_Toc478122309"/>
      <w:bookmarkStart w:id="10692" w:name="_Toc478132139"/>
      <w:bookmarkStart w:id="10693" w:name="_Toc478133309"/>
      <w:bookmarkStart w:id="10694" w:name="_Toc478132446"/>
      <w:bookmarkStart w:id="10695" w:name="_Toc478134775"/>
      <w:bookmarkStart w:id="10696" w:name="_Toc478137477"/>
      <w:bookmarkStart w:id="10697" w:name="_Toc478138549"/>
      <w:bookmarkStart w:id="10698" w:name="_Toc478140119"/>
      <w:bookmarkStart w:id="10699" w:name="_Toc478140535"/>
      <w:bookmarkStart w:id="10700" w:name="_Toc478142741"/>
      <w:bookmarkStart w:id="10701" w:name="_Toc478566460"/>
      <w:bookmarkStart w:id="10702" w:name="_Toc478569627"/>
      <w:bookmarkStart w:id="10703" w:name="_Toc478569801"/>
      <w:bookmarkStart w:id="10704" w:name="_Toc478570875"/>
      <w:bookmarkStart w:id="10705" w:name="_Toc478633074"/>
      <w:bookmarkStart w:id="10706" w:name="_Toc478641484"/>
      <w:bookmarkStart w:id="10707" w:name="_Toc478654378"/>
      <w:bookmarkStart w:id="10708" w:name="_Toc478654552"/>
      <w:bookmarkStart w:id="10709" w:name="_Toc478657847"/>
      <w:bookmarkStart w:id="10710" w:name="_Toc478992515"/>
      <w:bookmarkStart w:id="10711" w:name="_Toc478992687"/>
      <w:bookmarkStart w:id="10712" w:name="_Toc479254419"/>
      <w:bookmarkStart w:id="10713" w:name="_Toc479258608"/>
      <w:bookmarkStart w:id="10714" w:name="_Toc479258924"/>
      <w:bookmarkStart w:id="10715" w:name="_Toc479259816"/>
      <w:bookmarkStart w:id="10716" w:name="_Toc479262239"/>
      <w:bookmarkStart w:id="10717" w:name="_Toc479262660"/>
      <w:bookmarkStart w:id="10718" w:name="_Toc479321361"/>
      <w:bookmarkStart w:id="10719" w:name="_Toc479326800"/>
      <w:bookmarkStart w:id="10720" w:name="_Toc479333061"/>
      <w:bookmarkStart w:id="10721" w:name="_Toc479333399"/>
      <w:bookmarkStart w:id="10722" w:name="_Toc479335096"/>
      <w:bookmarkStart w:id="10723" w:name="_Toc479341811"/>
      <w:bookmarkStart w:id="10724" w:name="_Toc479345227"/>
      <w:bookmarkStart w:id="10725" w:name="_Toc479345436"/>
      <w:bookmarkStart w:id="10726" w:name="_Toc479348417"/>
      <w:bookmarkStart w:id="10727" w:name="_Toc479676010"/>
      <w:bookmarkStart w:id="10728" w:name="_Toc479690977"/>
      <w:bookmarkStart w:id="10729" w:name="_Toc479693555"/>
      <w:bookmarkStart w:id="10730" w:name="_Toc479770724"/>
      <w:r>
        <w:t>D</w:t>
      </w:r>
      <w:r w:rsidR="00331C8A" w:rsidRPr="00C13BA8">
        <w:t>.1</w:t>
      </w:r>
      <w:r w:rsidR="00331C8A" w:rsidRPr="00C13BA8">
        <w:tab/>
      </w:r>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r w:rsidR="00331C8A" w:rsidRPr="00C13BA8">
        <w:t>Development of the Gas Transfer Pricing Regulations</w:t>
      </w:r>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p>
    <w:p w14:paraId="48B4C8EF" w14:textId="04ECD504" w:rsidR="00331C8A" w:rsidRPr="00331C8A" w:rsidRDefault="00331C8A" w:rsidP="00331C8A">
      <w:r w:rsidRPr="00331C8A">
        <w:t xml:space="preserve">After the discovery of significant gas fields in Commonwealth waters in North West Australia, oil and gas companies commenced planning integrated gas liquefaction projects using </w:t>
      </w:r>
      <w:r w:rsidR="001F3464" w:rsidRPr="00331C8A">
        <w:t xml:space="preserve">natural gas as feedstock. These new projects would be subject to the PRRT, unlike the </w:t>
      </w:r>
      <w:r w:rsidR="001F3464">
        <w:t>NWS</w:t>
      </w:r>
      <w:r w:rsidR="001F3464" w:rsidRPr="00331C8A">
        <w:t xml:space="preserve"> project which has been exporting LNG since 1989. Uncertainty arose for </w:t>
      </w:r>
      <w:r w:rsidR="001F3464">
        <w:t xml:space="preserve">the </w:t>
      </w:r>
      <w:r w:rsidR="001F3464" w:rsidRPr="00331C8A">
        <w:t xml:space="preserve">industry and the Government as to how the PRRT would apply to these projects because the </w:t>
      </w:r>
      <w:r w:rsidR="001F3464">
        <w:t xml:space="preserve">coverage of the </w:t>
      </w:r>
      <w:r w:rsidR="001F3464" w:rsidRPr="00331C8A">
        <w:t>PRRT includes the production of natural gas but does not include the conversion of natural gas to other products</w:t>
      </w:r>
      <w:r w:rsidR="001F3464">
        <w:t xml:space="preserve"> like</w:t>
      </w:r>
      <w:r w:rsidR="001F3464" w:rsidRPr="00331C8A">
        <w:t xml:space="preserve"> electricity or LNG. </w:t>
      </w:r>
      <w:r w:rsidR="00D77ED1">
        <w:t xml:space="preserve">This </w:t>
      </w:r>
      <w:r w:rsidR="00FE111A" w:rsidRPr="00FE111A">
        <w:t xml:space="preserve">uncertainty </w:t>
      </w:r>
      <w:r w:rsidR="00D77ED1">
        <w:t>arose in part</w:t>
      </w:r>
      <w:r w:rsidR="00FE111A" w:rsidRPr="00FE111A">
        <w:t xml:space="preserve"> because the gas fields under development consideration were a long way from any commercial market. The gas fields were considered uneconomical to exploit without the liquefaction process allowing transportation and access to markets</w:t>
      </w:r>
      <w:r w:rsidR="00D77ED1">
        <w:t xml:space="preserve"> and t</w:t>
      </w:r>
      <w:r w:rsidR="001F3464" w:rsidRPr="00331C8A">
        <w:t xml:space="preserve">he PRRT taxing point </w:t>
      </w:r>
      <w:r w:rsidR="001F3464">
        <w:t>(the point at which a taxable product first becomes marketable) occurs part way through</w:t>
      </w:r>
      <w:r w:rsidR="001F3464" w:rsidRPr="00331C8A">
        <w:t xml:space="preserve"> the integrated project. This results in difficulty establishing the value of the gas at the PRRT taxing point, leading to the issue of how to establish a price for the gas</w:t>
      </w:r>
      <w:r w:rsidR="001F3464">
        <w:t xml:space="preserve"> at that point</w:t>
      </w:r>
      <w:r w:rsidRPr="00331C8A">
        <w:t>.</w:t>
      </w:r>
    </w:p>
    <w:p w14:paraId="5A8D46C0" w14:textId="1A28D537" w:rsidR="001F3464" w:rsidRPr="00331C8A" w:rsidRDefault="001F3464" w:rsidP="001F3464">
      <w:r>
        <w:t xml:space="preserve">The </w:t>
      </w:r>
      <w:r w:rsidR="005D29C9">
        <w:t xml:space="preserve">value of </w:t>
      </w:r>
      <w:r w:rsidR="004C4565">
        <w:t>the</w:t>
      </w:r>
      <w:r w:rsidR="005D29C9">
        <w:t xml:space="preserve"> gas</w:t>
      </w:r>
      <w:r>
        <w:t xml:space="preserve"> at the taxing point determines how much economic rent associated with the integrated project is attributed to the </w:t>
      </w:r>
      <w:r w:rsidR="005D6F39">
        <w:t>‘</w:t>
      </w:r>
      <w:r>
        <w:t>upstream</w:t>
      </w:r>
      <w:r w:rsidR="005D6F39">
        <w:t>’</w:t>
      </w:r>
      <w:r>
        <w:t xml:space="preserve"> gas resource and subject to PRRT and how much is attributed to the </w:t>
      </w:r>
      <w:r w:rsidR="005D6F39">
        <w:t>‘</w:t>
      </w:r>
      <w:r>
        <w:t>downstream</w:t>
      </w:r>
      <w:r w:rsidR="005D6F39">
        <w:t>’</w:t>
      </w:r>
      <w:r>
        <w:t xml:space="preserve"> LNG processing. </w:t>
      </w:r>
      <w:r w:rsidRPr="00331C8A">
        <w:t xml:space="preserve">In the late 1990s the Government consulted with the industry on how to equitably apportion the rents between the PRRT </w:t>
      </w:r>
      <w:r>
        <w:t xml:space="preserve">ring </w:t>
      </w:r>
      <w:r w:rsidRPr="00331C8A">
        <w:t xml:space="preserve">fence and the liquefaction processing phase. The price that would be established </w:t>
      </w:r>
      <w:r>
        <w:t>at</w:t>
      </w:r>
      <w:r w:rsidRPr="00331C8A">
        <w:t xml:space="preserve"> the PRRT </w:t>
      </w:r>
      <w:r>
        <w:t>taxing point</w:t>
      </w:r>
      <w:r w:rsidRPr="00331C8A">
        <w:t xml:space="preserve"> was to be known as the </w:t>
      </w:r>
      <w:r>
        <w:t xml:space="preserve">gas </w:t>
      </w:r>
      <w:r w:rsidRPr="00331C8A">
        <w:t>transfer price</w:t>
      </w:r>
      <w:r w:rsidR="005D29C9">
        <w:t>.</w:t>
      </w:r>
      <w:r>
        <w:t xml:space="preserve"> </w:t>
      </w:r>
      <w:r w:rsidRPr="00331C8A">
        <w:t>The aim of the transfer price was to reflect a price that would be arrived at in arm</w:t>
      </w:r>
      <w:r w:rsidR="005D6F39">
        <w:t>’</w:t>
      </w:r>
      <w:r w:rsidRPr="00331C8A">
        <w:t>s length commercial negotiations.</w:t>
      </w:r>
    </w:p>
    <w:p w14:paraId="78E009FD" w14:textId="12C87138" w:rsidR="001F3464" w:rsidRPr="00331C8A" w:rsidRDefault="001F3464" w:rsidP="001F3464">
      <w:r w:rsidRPr="00331C8A">
        <w:t xml:space="preserve">On 23 December 1998 the then Treasurer and Minister for Industry, Science and Resources announced that a </w:t>
      </w:r>
      <w:r w:rsidR="005D6F39">
        <w:t>‘</w:t>
      </w:r>
      <w:r w:rsidRPr="00331C8A">
        <w:t xml:space="preserve">residual price </w:t>
      </w:r>
      <w:r>
        <w:t>method</w:t>
      </w:r>
      <w:r w:rsidR="005D6F39">
        <w:t>’</w:t>
      </w:r>
      <w:r w:rsidRPr="00331C8A">
        <w:t xml:space="preserve"> </w:t>
      </w:r>
      <w:r w:rsidR="004C4565">
        <w:t xml:space="preserve">or </w:t>
      </w:r>
      <w:r w:rsidRPr="00331C8A">
        <w:t>RPM would form the basis of the transfer price. This method was only to apply where no comparable commercially negotiated arm</w:t>
      </w:r>
      <w:r w:rsidR="005D6F39">
        <w:t>’</w:t>
      </w:r>
      <w:r w:rsidRPr="00331C8A">
        <w:t>s</w:t>
      </w:r>
      <w:r>
        <w:t xml:space="preserve"> </w:t>
      </w:r>
      <w:r w:rsidRPr="00331C8A">
        <w:t xml:space="preserve">length price was available. The </w:t>
      </w:r>
      <w:r w:rsidRPr="00331C8A">
        <w:rPr>
          <w:i/>
        </w:rPr>
        <w:t>Taxation Laws Amendment Act (No. 6) 2001</w:t>
      </w:r>
      <w:r w:rsidRPr="00331C8A">
        <w:t xml:space="preserve"> amended the PRRT legislation to enable a framework or methodology to establish the gas transfer price </w:t>
      </w:r>
      <w:r>
        <w:t>to</w:t>
      </w:r>
      <w:r w:rsidRPr="00331C8A">
        <w:t xml:space="preserve"> be incorporated in regulations.</w:t>
      </w:r>
    </w:p>
    <w:p w14:paraId="45EC31BC" w14:textId="77777777" w:rsidR="00331C8A" w:rsidRPr="00331C8A" w:rsidRDefault="00331C8A" w:rsidP="00331C8A">
      <w:r w:rsidRPr="00331C8A">
        <w:t>A set of principles were developed in consultation between the Government and the industry to provide a framework for developing the regulations. The principles included:</w:t>
      </w:r>
    </w:p>
    <w:p w14:paraId="113CD8AF" w14:textId="77777777" w:rsidR="00331C8A" w:rsidRPr="00331C8A" w:rsidRDefault="00331C8A" w:rsidP="00C13BA8">
      <w:pPr>
        <w:pStyle w:val="Bullet"/>
      </w:pPr>
      <w:r w:rsidRPr="00331C8A">
        <w:t>only upstream activities are liable for PRRT;</w:t>
      </w:r>
    </w:p>
    <w:p w14:paraId="66516DD1" w14:textId="77777777" w:rsidR="00331C8A" w:rsidRPr="00331C8A" w:rsidRDefault="00331C8A" w:rsidP="00C13BA8">
      <w:pPr>
        <w:pStyle w:val="Bullet"/>
      </w:pPr>
      <w:r w:rsidRPr="00331C8A">
        <w:t>outcomes should be assessed against economic efficiency criteria;</w:t>
      </w:r>
    </w:p>
    <w:p w14:paraId="5CEEC643" w14:textId="39F56F6D" w:rsidR="00331C8A" w:rsidRPr="00331C8A" w:rsidRDefault="00331C8A" w:rsidP="00C13BA8">
      <w:pPr>
        <w:pStyle w:val="Bullet"/>
      </w:pPr>
      <w:r w:rsidRPr="00331C8A">
        <w:t xml:space="preserve">GTP methodology to apply to all integrated </w:t>
      </w:r>
      <w:r w:rsidR="00F2694F">
        <w:t>GTL</w:t>
      </w:r>
      <w:r w:rsidRPr="00331C8A">
        <w:t xml:space="preserve"> projects;</w:t>
      </w:r>
    </w:p>
    <w:p w14:paraId="4F38E24A" w14:textId="77777777" w:rsidR="00331C8A" w:rsidRPr="00331C8A" w:rsidRDefault="00331C8A" w:rsidP="00C13BA8">
      <w:pPr>
        <w:pStyle w:val="Bullet"/>
      </w:pPr>
      <w:r w:rsidRPr="00331C8A">
        <w:t>project risks equitably reflected on all cost centres;</w:t>
      </w:r>
    </w:p>
    <w:p w14:paraId="544E0494" w14:textId="77777777" w:rsidR="00331C8A" w:rsidRPr="00331C8A" w:rsidRDefault="00331C8A" w:rsidP="00C13BA8">
      <w:pPr>
        <w:pStyle w:val="Bullet"/>
      </w:pPr>
      <w:r w:rsidRPr="00331C8A">
        <w:t>the transfer price references the first commercial third party price for derivative products; and</w:t>
      </w:r>
    </w:p>
    <w:p w14:paraId="5012777C" w14:textId="77777777" w:rsidR="00331C8A" w:rsidRPr="00331C8A" w:rsidRDefault="001F3464" w:rsidP="00C13BA8">
      <w:pPr>
        <w:pStyle w:val="Bullet"/>
      </w:pPr>
      <w:r w:rsidRPr="00331C8A">
        <w:t xml:space="preserve">the transfer price is </w:t>
      </w:r>
      <w:r>
        <w:t>to be</w:t>
      </w:r>
      <w:r w:rsidR="00331C8A" w:rsidRPr="00331C8A">
        <w:t xml:space="preserve"> transparent, equitable, auditable and simple to administer.</w:t>
      </w:r>
    </w:p>
    <w:p w14:paraId="6F7EA217" w14:textId="77777777" w:rsidR="00331C8A" w:rsidRPr="00331C8A" w:rsidRDefault="00331C8A" w:rsidP="00331C8A">
      <w:r w:rsidRPr="00331C8A">
        <w:t xml:space="preserve">The </w:t>
      </w:r>
      <w:r w:rsidR="009B6321">
        <w:t>GTP</w:t>
      </w:r>
      <w:r w:rsidRPr="00331C8A">
        <w:t xml:space="preserve"> regulations were enacted in 2005. The explanatory material accompanying the regulations set out the intent of the regulations:</w:t>
      </w:r>
    </w:p>
    <w:p w14:paraId="681D4896" w14:textId="72F24077" w:rsidR="00331C8A" w:rsidRPr="00331C8A" w:rsidRDefault="00331C8A" w:rsidP="00331C8A">
      <w:pPr>
        <w:ind w:left="567" w:right="565"/>
        <w:rPr>
          <w:color w:val="1F497D" w:themeColor="text2"/>
          <w:sz w:val="20"/>
        </w:rPr>
      </w:pPr>
      <w:r w:rsidRPr="00331C8A">
        <w:rPr>
          <w:color w:val="1F497D" w:themeColor="text2"/>
          <w:sz w:val="20"/>
        </w:rPr>
        <w:t>The RPM incorporates netback and cost</w:t>
      </w:r>
      <w:r w:rsidR="005D6F39">
        <w:rPr>
          <w:color w:val="1F497D" w:themeColor="text2"/>
          <w:sz w:val="20"/>
        </w:rPr>
        <w:noBreakHyphen/>
      </w:r>
      <w:r w:rsidRPr="00331C8A">
        <w:rPr>
          <w:color w:val="1F497D" w:themeColor="text2"/>
          <w:sz w:val="20"/>
        </w:rPr>
        <w:t>plus calculations to value the gas as defined by the Regulations. The cost</w:t>
      </w:r>
      <w:r w:rsidR="005D6F39">
        <w:rPr>
          <w:color w:val="1F497D" w:themeColor="text2"/>
          <w:sz w:val="20"/>
        </w:rPr>
        <w:noBreakHyphen/>
      </w:r>
      <w:r w:rsidRPr="00331C8A">
        <w:rPr>
          <w:color w:val="1F497D" w:themeColor="text2"/>
          <w:sz w:val="20"/>
        </w:rPr>
        <w:t xml:space="preserve">plus price is the price the upstream stage of an integrated GTL operation would sell its sales gas for in order to cover its upstream costs. The netback price is the price paid for sales gas that allows the downstream stage of the integrated GTL operation to cover its costs, given the price obtained for its project liquid. In both cases, the calculations allow for a rate of return on capital costs incurred </w:t>
      </w:r>
      <w:r w:rsidR="00046B3B">
        <w:rPr>
          <w:color w:val="1F497D" w:themeColor="text2"/>
          <w:sz w:val="20"/>
        </w:rPr>
        <w:t>(</w:t>
      </w:r>
      <w:r w:rsidRPr="00FD6B9D">
        <w:rPr>
          <w:color w:val="1F497D" w:themeColor="text2"/>
          <w:sz w:val="20"/>
        </w:rPr>
        <w:t xml:space="preserve">Explanatory Statement, </w:t>
      </w:r>
      <w:r w:rsidRPr="00FD6B9D">
        <w:rPr>
          <w:i/>
          <w:color w:val="1F497D" w:themeColor="text2"/>
          <w:sz w:val="20"/>
        </w:rPr>
        <w:t xml:space="preserve">Select Legislative Instrument 2005 No </w:t>
      </w:r>
      <w:r w:rsidR="007D2857" w:rsidRPr="00FD6B9D">
        <w:rPr>
          <w:i/>
          <w:color w:val="1F497D" w:themeColor="text2"/>
          <w:sz w:val="20"/>
        </w:rPr>
        <w:t>32</w:t>
      </w:r>
      <w:r w:rsidRPr="00FD6B9D">
        <w:rPr>
          <w:i/>
          <w:color w:val="1F497D" w:themeColor="text2"/>
          <w:sz w:val="20"/>
        </w:rPr>
        <w:t>9</w:t>
      </w:r>
      <w:r w:rsidRPr="00FD6B9D">
        <w:rPr>
          <w:color w:val="1F497D" w:themeColor="text2"/>
          <w:sz w:val="20"/>
        </w:rPr>
        <w:t>, p</w:t>
      </w:r>
      <w:r w:rsidR="00046B3B" w:rsidRPr="00FD6B9D">
        <w:rPr>
          <w:color w:val="1F497D" w:themeColor="text2"/>
          <w:sz w:val="20"/>
        </w:rPr>
        <w:t>.</w:t>
      </w:r>
      <w:r w:rsidRPr="00FD6B9D">
        <w:rPr>
          <w:color w:val="1F497D" w:themeColor="text2"/>
          <w:sz w:val="20"/>
        </w:rPr>
        <w:t xml:space="preserve"> ii.</w:t>
      </w:r>
      <w:r w:rsidR="00046B3B" w:rsidRPr="00FD6B9D">
        <w:rPr>
          <w:color w:val="1F497D" w:themeColor="text2"/>
          <w:sz w:val="20"/>
        </w:rPr>
        <w:t>)</w:t>
      </w:r>
      <w:r w:rsidR="00FD6B9D" w:rsidRPr="00FD6B9D">
        <w:rPr>
          <w:color w:val="1F497D" w:themeColor="text2"/>
          <w:sz w:val="20"/>
        </w:rPr>
        <w:t>.</w:t>
      </w:r>
    </w:p>
    <w:p w14:paraId="4676827A" w14:textId="1C9DEAB3" w:rsidR="00331C8A" w:rsidRPr="00331C8A" w:rsidRDefault="002C06A0" w:rsidP="00331C8A">
      <w:r w:rsidRPr="002C06A0">
        <w:t xml:space="preserve">The </w:t>
      </w:r>
      <w:r w:rsidR="00331C8A" w:rsidRPr="002C06A0">
        <w:t xml:space="preserve">regulations </w:t>
      </w:r>
      <w:r w:rsidRPr="002C06A0">
        <w:t xml:space="preserve">were remade </w:t>
      </w:r>
      <w:r w:rsidR="00331C8A" w:rsidRPr="002C06A0">
        <w:t>in 2015</w:t>
      </w:r>
      <w:r w:rsidRPr="002C06A0">
        <w:t xml:space="preserve"> as they were </w:t>
      </w:r>
      <w:r w:rsidR="00D77ED1">
        <w:t xml:space="preserve">subject to </w:t>
      </w:r>
      <w:r w:rsidRPr="002C06A0">
        <w:t>sunset</w:t>
      </w:r>
      <w:r w:rsidR="00D77ED1">
        <w:t xml:space="preserve"> provisions</w:t>
      </w:r>
      <w:r w:rsidRPr="002C06A0">
        <w:t>. C</w:t>
      </w:r>
      <w:r w:rsidR="00331C8A" w:rsidRPr="002C06A0">
        <w:t>hanges were made to the drafting style and to fit in with current industry practices.</w:t>
      </w:r>
    </w:p>
    <w:p w14:paraId="4B784FF2" w14:textId="77777777" w:rsidR="00331C8A" w:rsidRPr="00331C8A" w:rsidRDefault="00331C8A" w:rsidP="00331C8A">
      <w:r w:rsidRPr="00331C8A">
        <w:t xml:space="preserve">The decision to implement the </w:t>
      </w:r>
      <w:r w:rsidR="00EC704C">
        <w:t>GTP</w:t>
      </w:r>
      <w:r w:rsidRPr="00331C8A">
        <w:t xml:space="preserve"> regulations and adopt the RPM reflects deliberate policy decisions to:</w:t>
      </w:r>
    </w:p>
    <w:p w14:paraId="619FD7A5" w14:textId="52E7570C" w:rsidR="00331C8A" w:rsidRPr="00331C8A" w:rsidRDefault="00F421B8" w:rsidP="00C13BA8">
      <w:pPr>
        <w:pStyle w:val="Bullet"/>
      </w:pPr>
      <w:r>
        <w:t>m</w:t>
      </w:r>
      <w:r w:rsidR="00331C8A" w:rsidRPr="00331C8A">
        <w:t xml:space="preserve">aintain the approach of taxing sales gas as the </w:t>
      </w:r>
      <w:r w:rsidR="007B1963">
        <w:t>MPC</w:t>
      </w:r>
      <w:r w:rsidR="00331C8A" w:rsidRPr="00331C8A">
        <w:t xml:space="preserve"> rather than apply the PRRT to the whole LNG project</w:t>
      </w:r>
      <w:r w:rsidR="00C049B4">
        <w:t>;</w:t>
      </w:r>
    </w:p>
    <w:p w14:paraId="4C20C1E3" w14:textId="77777777" w:rsidR="00331C8A" w:rsidRPr="00331C8A" w:rsidRDefault="00F421B8" w:rsidP="00C13BA8">
      <w:pPr>
        <w:pStyle w:val="Bullet"/>
      </w:pPr>
      <w:r>
        <w:t>u</w:t>
      </w:r>
      <w:r w:rsidR="00331C8A" w:rsidRPr="00331C8A">
        <w:t>se transfer pricing principles rather than market valuation principles to establish the price of the sales gas at the taxing point inside an integrated operation</w:t>
      </w:r>
      <w:r w:rsidR="00C049B4">
        <w:t>;</w:t>
      </w:r>
    </w:p>
    <w:p w14:paraId="1FBAFF5A" w14:textId="77777777" w:rsidR="00331C8A" w:rsidRPr="002C06A0" w:rsidRDefault="00F421B8" w:rsidP="00C13BA8">
      <w:pPr>
        <w:pStyle w:val="Bullet"/>
      </w:pPr>
      <w:r w:rsidRPr="002C06A0">
        <w:t>a</w:t>
      </w:r>
      <w:r w:rsidR="00331C8A" w:rsidRPr="002C06A0">
        <w:t>dopt a profit split methodology as the most appropriate way to value the relative contributions of the upstream and downstream components of the project</w:t>
      </w:r>
      <w:r w:rsidR="00C049B4" w:rsidRPr="002C06A0">
        <w:t>; and</w:t>
      </w:r>
    </w:p>
    <w:p w14:paraId="63E2EA06" w14:textId="77777777" w:rsidR="00331C8A" w:rsidRPr="002C06A0" w:rsidRDefault="00F421B8" w:rsidP="00C13BA8">
      <w:pPr>
        <w:pStyle w:val="Bullet"/>
      </w:pPr>
      <w:r w:rsidRPr="002C06A0">
        <w:t>s</w:t>
      </w:r>
      <w:r w:rsidR="00331C8A" w:rsidRPr="002C06A0">
        <w:t>plit the residual profits of the integrated operation equally between the upstream and downstream components.</w:t>
      </w:r>
    </w:p>
    <w:p w14:paraId="1338C937" w14:textId="77777777" w:rsidR="00331C8A" w:rsidRPr="00C13BA8" w:rsidRDefault="00913F3E" w:rsidP="006F4D5A">
      <w:pPr>
        <w:pStyle w:val="Heading2"/>
      </w:pPr>
      <w:bookmarkStart w:id="10731" w:name="_Toc476566685"/>
      <w:bookmarkStart w:id="10732" w:name="_Toc476577372"/>
      <w:bookmarkStart w:id="10733" w:name="_Toc476582361"/>
      <w:bookmarkStart w:id="10734" w:name="_Toc476583035"/>
      <w:bookmarkStart w:id="10735" w:name="_Toc476583752"/>
      <w:bookmarkStart w:id="10736" w:name="_Toc476584200"/>
      <w:bookmarkStart w:id="10737" w:name="_Toc476738108"/>
      <w:bookmarkStart w:id="10738" w:name="_Toc476747693"/>
      <w:bookmarkStart w:id="10739" w:name="_Toc476749103"/>
      <w:bookmarkStart w:id="10740" w:name="_Toc476753970"/>
      <w:bookmarkStart w:id="10741" w:name="_Toc476754465"/>
      <w:bookmarkStart w:id="10742" w:name="_Toc476754630"/>
      <w:bookmarkStart w:id="10743" w:name="_Toc476759869"/>
      <w:bookmarkStart w:id="10744" w:name="_Toc476761491"/>
      <w:bookmarkStart w:id="10745" w:name="_Toc476767129"/>
      <w:bookmarkStart w:id="10746" w:name="_Toc476827175"/>
      <w:bookmarkStart w:id="10747" w:name="_Toc476828868"/>
      <w:bookmarkStart w:id="10748" w:name="_Toc476833742"/>
      <w:bookmarkStart w:id="10749" w:name="_Toc476837215"/>
      <w:bookmarkStart w:id="10750" w:name="_Toc476841088"/>
      <w:bookmarkStart w:id="10751" w:name="_Toc476841293"/>
      <w:bookmarkStart w:id="10752" w:name="_Toc476842052"/>
      <w:bookmarkStart w:id="10753" w:name="_Toc476842996"/>
      <w:bookmarkStart w:id="10754" w:name="_Toc476843167"/>
      <w:bookmarkStart w:id="10755" w:name="_Toc476844665"/>
      <w:bookmarkStart w:id="10756" w:name="_Toc476845558"/>
      <w:bookmarkStart w:id="10757" w:name="_Toc476926951"/>
      <w:bookmarkStart w:id="10758" w:name="_Toc476927064"/>
      <w:bookmarkStart w:id="10759" w:name="_Toc476927238"/>
      <w:bookmarkStart w:id="10760" w:name="_Toc476928502"/>
      <w:bookmarkStart w:id="10761" w:name="_Toc476929545"/>
      <w:bookmarkStart w:id="10762" w:name="_Toc476929720"/>
      <w:bookmarkStart w:id="10763" w:name="_Toc476930763"/>
      <w:bookmarkStart w:id="10764" w:name="_Toc476931570"/>
      <w:bookmarkStart w:id="10765" w:name="_Toc477869961"/>
      <w:bookmarkStart w:id="10766" w:name="_Toc477871200"/>
      <w:bookmarkStart w:id="10767" w:name="_Toc477873359"/>
      <w:bookmarkStart w:id="10768" w:name="_Toc477875353"/>
      <w:bookmarkStart w:id="10769" w:name="_Toc477880266"/>
      <w:bookmarkStart w:id="10770" w:name="_Toc477881526"/>
      <w:bookmarkStart w:id="10771" w:name="_Toc477955930"/>
      <w:bookmarkStart w:id="10772" w:name="_Toc477963175"/>
      <w:bookmarkStart w:id="10773" w:name="_Toc477963661"/>
      <w:bookmarkStart w:id="10774" w:name="_Toc477965247"/>
      <w:bookmarkStart w:id="10775" w:name="_Toc477966751"/>
      <w:bookmarkStart w:id="10776" w:name="_Toc477966920"/>
      <w:bookmarkStart w:id="10777" w:name="_Toc477967260"/>
      <w:bookmarkStart w:id="10778" w:name="_Toc478121397"/>
      <w:bookmarkStart w:id="10779" w:name="_Toc478122310"/>
      <w:bookmarkStart w:id="10780" w:name="_Toc478132140"/>
      <w:bookmarkStart w:id="10781" w:name="_Toc478133310"/>
      <w:bookmarkStart w:id="10782" w:name="_Toc478132447"/>
      <w:bookmarkStart w:id="10783" w:name="_Toc478134776"/>
      <w:bookmarkStart w:id="10784" w:name="_Toc478137478"/>
      <w:bookmarkStart w:id="10785" w:name="_Toc478138550"/>
      <w:bookmarkStart w:id="10786" w:name="_Toc478140120"/>
      <w:bookmarkStart w:id="10787" w:name="_Toc478140536"/>
      <w:bookmarkStart w:id="10788" w:name="_Toc478142742"/>
      <w:bookmarkStart w:id="10789" w:name="_Toc478566461"/>
      <w:bookmarkStart w:id="10790" w:name="_Toc478569628"/>
      <w:bookmarkStart w:id="10791" w:name="_Toc478569802"/>
      <w:bookmarkStart w:id="10792" w:name="_Toc478570876"/>
      <w:bookmarkStart w:id="10793" w:name="_Toc478633075"/>
      <w:bookmarkStart w:id="10794" w:name="_Toc478641485"/>
      <w:bookmarkStart w:id="10795" w:name="_Toc478654379"/>
      <w:bookmarkStart w:id="10796" w:name="_Toc478654553"/>
      <w:bookmarkStart w:id="10797" w:name="_Toc478657848"/>
      <w:bookmarkStart w:id="10798" w:name="_Toc478992516"/>
      <w:bookmarkStart w:id="10799" w:name="_Toc478992688"/>
      <w:bookmarkStart w:id="10800" w:name="_Toc479254420"/>
      <w:bookmarkStart w:id="10801" w:name="_Toc479258609"/>
      <w:bookmarkStart w:id="10802" w:name="_Toc479258925"/>
      <w:bookmarkStart w:id="10803" w:name="_Toc479259817"/>
      <w:bookmarkStart w:id="10804" w:name="_Toc479262240"/>
      <w:bookmarkStart w:id="10805" w:name="_Toc479262661"/>
      <w:bookmarkStart w:id="10806" w:name="_Toc479321362"/>
      <w:bookmarkStart w:id="10807" w:name="_Toc479326801"/>
      <w:bookmarkStart w:id="10808" w:name="_Toc479333062"/>
      <w:bookmarkStart w:id="10809" w:name="_Toc479333400"/>
      <w:bookmarkStart w:id="10810" w:name="_Toc479335097"/>
      <w:bookmarkStart w:id="10811" w:name="_Toc479341812"/>
      <w:bookmarkStart w:id="10812" w:name="_Toc479345228"/>
      <w:bookmarkStart w:id="10813" w:name="_Toc479345437"/>
      <w:bookmarkStart w:id="10814" w:name="_Toc479348418"/>
      <w:bookmarkStart w:id="10815" w:name="_Toc479676011"/>
      <w:bookmarkStart w:id="10816" w:name="_Toc479690978"/>
      <w:bookmarkStart w:id="10817" w:name="_Toc479693556"/>
      <w:bookmarkStart w:id="10818" w:name="_Toc479770725"/>
      <w:r>
        <w:t>D</w:t>
      </w:r>
      <w:r w:rsidR="00BB4A2A" w:rsidRPr="00C13BA8">
        <w:t>.2</w:t>
      </w:r>
      <w:r w:rsidR="00331C8A" w:rsidRPr="00C13BA8">
        <w:tab/>
        <w:t>Use of the Gas Transfer Pricing Regulations</w:t>
      </w:r>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p>
    <w:p w14:paraId="048BFF14" w14:textId="71255325" w:rsidR="00331C8A" w:rsidRPr="00331C8A" w:rsidRDefault="00331C8A" w:rsidP="00331C8A">
      <w:r w:rsidRPr="00331C8A">
        <w:t xml:space="preserve">The </w:t>
      </w:r>
      <w:r w:rsidR="00EC704C">
        <w:t>GTP</w:t>
      </w:r>
      <w:r w:rsidRPr="00331C8A">
        <w:t xml:space="preserve"> regulations only apply to PRRT projects using gas in </w:t>
      </w:r>
      <w:r w:rsidR="001F3464" w:rsidRPr="00331C8A">
        <w:t xml:space="preserve">integrated </w:t>
      </w:r>
      <w:r w:rsidR="000A33FC">
        <w:t>LNG</w:t>
      </w:r>
      <w:r w:rsidR="001F3464">
        <w:t xml:space="preserve"> projects</w:t>
      </w:r>
      <w:r w:rsidR="00A94258">
        <w:t>,</w:t>
      </w:r>
      <w:r w:rsidR="00D3782C">
        <w:t xml:space="preserve"> </w:t>
      </w:r>
      <w:r w:rsidR="00216111">
        <w:t>also known as</w:t>
      </w:r>
      <w:r w:rsidR="00D3782C">
        <w:t xml:space="preserve"> </w:t>
      </w:r>
      <w:r w:rsidR="00F2694F">
        <w:t>GTL</w:t>
      </w:r>
      <w:r w:rsidR="001F3464">
        <w:t xml:space="preserve"> projects,</w:t>
      </w:r>
      <w:r w:rsidRPr="00331C8A">
        <w:t xml:space="preserve"> or gas to electricity projects where an arm</w:t>
      </w:r>
      <w:r w:rsidR="005D6F39">
        <w:t>’</w:t>
      </w:r>
      <w:r w:rsidRPr="00331C8A">
        <w:t xml:space="preserve">s length price needs to be established for the sales gas at the </w:t>
      </w:r>
      <w:r w:rsidR="001F3464">
        <w:t xml:space="preserve">PRRT </w:t>
      </w:r>
      <w:r w:rsidR="001F3464" w:rsidRPr="00331C8A">
        <w:t>taxing point.</w:t>
      </w:r>
      <w:r w:rsidRPr="00331C8A">
        <w:t xml:space="preserve"> Several submissions expressed concerns regarding the application of the </w:t>
      </w:r>
      <w:r w:rsidR="00EC704C">
        <w:t>GTP</w:t>
      </w:r>
      <w:r w:rsidRPr="00331C8A">
        <w:t xml:space="preserve"> methodology to Australia</w:t>
      </w:r>
      <w:r w:rsidR="005D6F39">
        <w:t>’</w:t>
      </w:r>
      <w:r w:rsidRPr="00331C8A">
        <w:t>s expanding LNG production.</w:t>
      </w:r>
    </w:p>
    <w:p w14:paraId="09C5494F" w14:textId="77777777" w:rsidR="00331C8A" w:rsidRPr="00331C8A" w:rsidRDefault="00331C8A" w:rsidP="00331C8A">
      <w:r w:rsidRPr="00331C8A">
        <w:t xml:space="preserve">One submission drew a link between the decline in PRRT revenue and the introduction of the </w:t>
      </w:r>
      <w:r w:rsidR="00EC704C">
        <w:t>GTP</w:t>
      </w:r>
      <w:r w:rsidRPr="00331C8A">
        <w:t xml:space="preserve"> </w:t>
      </w:r>
      <w:r w:rsidR="00D94032">
        <w:t>r</w:t>
      </w:r>
      <w:r w:rsidRPr="00331C8A">
        <w:t>egulations:</w:t>
      </w:r>
    </w:p>
    <w:p w14:paraId="709A0129" w14:textId="03F96B9B" w:rsidR="00331C8A" w:rsidRPr="00331C8A" w:rsidRDefault="00331C8A" w:rsidP="00331C8A">
      <w:pPr>
        <w:ind w:left="567" w:right="565"/>
        <w:rPr>
          <w:color w:val="1F497D" w:themeColor="text2"/>
          <w:sz w:val="20"/>
        </w:rPr>
      </w:pPr>
      <w:r w:rsidRPr="00331C8A">
        <w:rPr>
          <w:color w:val="1F497D" w:themeColor="text2"/>
          <w:sz w:val="20"/>
        </w:rPr>
        <w:t>… as Australia</w:t>
      </w:r>
      <w:r w:rsidR="005D6F39">
        <w:rPr>
          <w:color w:val="1F497D" w:themeColor="text2"/>
          <w:sz w:val="20"/>
        </w:rPr>
        <w:t>’</w:t>
      </w:r>
      <w:r w:rsidRPr="00331C8A">
        <w:rPr>
          <w:color w:val="1F497D" w:themeColor="text2"/>
          <w:sz w:val="20"/>
        </w:rPr>
        <w:t>s hydrocarbon output has become more weighted towards gas, PRRT revenue has fallen. This may reflect the working of the prevailing gas price methodology used to calculate the taxing point on gas used for LNG projects</w:t>
      </w:r>
      <w:r w:rsidRPr="00C13BA8">
        <w:rPr>
          <w:color w:val="1F497D" w:themeColor="text2"/>
          <w:sz w:val="20"/>
        </w:rPr>
        <w:t xml:space="preserve"> </w:t>
      </w:r>
      <w:r w:rsidR="00046B3B" w:rsidRPr="00C13BA8">
        <w:rPr>
          <w:color w:val="1F497D" w:themeColor="text2"/>
          <w:sz w:val="20"/>
        </w:rPr>
        <w:t>(</w:t>
      </w:r>
      <w:r w:rsidRPr="00C13BA8">
        <w:rPr>
          <w:color w:val="1F497D" w:themeColor="text2"/>
          <w:sz w:val="20"/>
        </w:rPr>
        <w:t xml:space="preserve">Institute for Sustainable Futures </w:t>
      </w:r>
      <w:r w:rsidR="00A06512">
        <w:rPr>
          <w:color w:val="1F497D" w:themeColor="text2"/>
          <w:sz w:val="20"/>
        </w:rPr>
        <w:t>S</w:t>
      </w:r>
      <w:r w:rsidR="001F3464" w:rsidRPr="00C13BA8">
        <w:rPr>
          <w:color w:val="1F497D" w:themeColor="text2"/>
          <w:sz w:val="20"/>
        </w:rPr>
        <w:t>ubmission, p.</w:t>
      </w:r>
      <w:r w:rsidRPr="00C13BA8">
        <w:rPr>
          <w:color w:val="1F497D" w:themeColor="text2"/>
          <w:sz w:val="20"/>
        </w:rPr>
        <w:t xml:space="preserve"> 1</w:t>
      </w:r>
      <w:r w:rsidR="00046B3B" w:rsidRPr="00C13BA8">
        <w:rPr>
          <w:color w:val="1F497D" w:themeColor="text2"/>
          <w:sz w:val="20"/>
        </w:rPr>
        <w:t>)</w:t>
      </w:r>
      <w:r w:rsidR="00C13BA8" w:rsidRPr="00C13BA8">
        <w:rPr>
          <w:color w:val="1F497D" w:themeColor="text2"/>
          <w:sz w:val="20"/>
        </w:rPr>
        <w:t>.</w:t>
      </w:r>
    </w:p>
    <w:p w14:paraId="5F2B7B34" w14:textId="63067A87" w:rsidR="001F3464" w:rsidRPr="00331C8A" w:rsidRDefault="001F3464" w:rsidP="001F3464">
      <w:r>
        <w:t>W</w:t>
      </w:r>
      <w:r w:rsidRPr="00331C8A">
        <w:t xml:space="preserve">hen the </w:t>
      </w:r>
      <w:r>
        <w:t>GTP</w:t>
      </w:r>
      <w:r w:rsidRPr="00331C8A">
        <w:t xml:space="preserve"> regulations were introduced, there were no LNG projects subject to the PRRT regime. For many years the only Australian LNG project was the </w:t>
      </w:r>
      <w:r w:rsidR="005047B3">
        <w:t>NWS</w:t>
      </w:r>
      <w:r w:rsidRPr="00331C8A">
        <w:t xml:space="preserve"> project which was</w:t>
      </w:r>
      <w:r>
        <w:t xml:space="preserve"> initially</w:t>
      </w:r>
      <w:r w:rsidRPr="00331C8A">
        <w:t xml:space="preserve"> outside the PRRT regime and subject to separate taxation arrangements. In 2006 Australia</w:t>
      </w:r>
      <w:r w:rsidR="005D6F39">
        <w:t>’</w:t>
      </w:r>
      <w:r w:rsidRPr="00331C8A">
        <w:t>s second LNG project, Darwin LNG, commenced operations using gas from the Bayu</w:t>
      </w:r>
      <w:r w:rsidR="005D6F39">
        <w:noBreakHyphen/>
      </w:r>
      <w:r w:rsidRPr="00331C8A">
        <w:t xml:space="preserve">Undan field in the JPDA. The </w:t>
      </w:r>
      <w:r w:rsidR="0027617D">
        <w:t>JPD</w:t>
      </w:r>
      <w:r w:rsidRPr="00331C8A">
        <w:t>A is subject to other taxation arrangements and is not subject to the PRRT.</w:t>
      </w:r>
    </w:p>
    <w:p w14:paraId="222256BB" w14:textId="0B210085" w:rsidR="00331C8A" w:rsidRPr="00331C8A" w:rsidRDefault="00331C8A" w:rsidP="00331C8A">
      <w:r w:rsidRPr="00331C8A">
        <w:t>The first LNG project subject to the PRRT regime</w:t>
      </w:r>
      <w:r w:rsidR="005419DF">
        <w:t>,</w:t>
      </w:r>
      <w:r w:rsidRPr="00331C8A">
        <w:t xml:space="preserve"> and potentially subject to the </w:t>
      </w:r>
      <w:r w:rsidR="00EC704C">
        <w:t>GTP</w:t>
      </w:r>
      <w:r w:rsidRPr="00331C8A">
        <w:t xml:space="preserve"> regulations</w:t>
      </w:r>
      <w:r w:rsidR="005419DF">
        <w:t>,</w:t>
      </w:r>
      <w:r w:rsidRPr="00331C8A">
        <w:t xml:space="preserve"> was the Pluto </w:t>
      </w:r>
      <w:r w:rsidR="00973DF4">
        <w:t>p</w:t>
      </w:r>
      <w:r w:rsidRPr="00331C8A">
        <w:t xml:space="preserve">roject which commenced operations in April 2012. </w:t>
      </w:r>
      <w:r w:rsidR="001F3464" w:rsidRPr="00331C8A">
        <w:t xml:space="preserve">The </w:t>
      </w:r>
      <w:r w:rsidR="001F3464">
        <w:t xml:space="preserve">NWS </w:t>
      </w:r>
      <w:r w:rsidR="001F3464" w:rsidRPr="00331C8A">
        <w:t>project bec</w:t>
      </w:r>
      <w:r w:rsidR="001F3464">
        <w:t>a</w:t>
      </w:r>
      <w:r w:rsidR="001F3464" w:rsidRPr="00331C8A">
        <w:t>me</w:t>
      </w:r>
      <w:r w:rsidRPr="00331C8A">
        <w:t xml:space="preserve"> subject to the PRRT regime on 1 July 2012. The LNG projects using onshore gas came online and made their first shipments in</w:t>
      </w:r>
      <w:r w:rsidR="00A94258">
        <w:t xml:space="preserve"> January 2015 (</w:t>
      </w:r>
      <w:r w:rsidRPr="00331C8A">
        <w:t>QCLNG), October 2015 (GLNG</w:t>
      </w:r>
      <w:r w:rsidR="00A94258">
        <w:t>) and</w:t>
      </w:r>
      <w:r w:rsidRPr="00331C8A">
        <w:t xml:space="preserve"> January 2016 (Australia Pacific LNG). </w:t>
      </w:r>
      <w:r w:rsidR="001F3464" w:rsidRPr="00331C8A">
        <w:t xml:space="preserve">The Gorgon </w:t>
      </w:r>
      <w:r w:rsidR="00A06512">
        <w:t>p</w:t>
      </w:r>
      <w:r w:rsidR="001F3464" w:rsidRPr="00331C8A">
        <w:t>roject</w:t>
      </w:r>
      <w:r w:rsidRPr="00331C8A">
        <w:t xml:space="preserve"> commenced shipping LNG in March 2016.</w:t>
      </w:r>
      <w:r w:rsidR="003B428B">
        <w:t xml:space="preserve"> A table of </w:t>
      </w:r>
      <w:r w:rsidR="00A94258">
        <w:t xml:space="preserve">new Australian </w:t>
      </w:r>
      <w:r w:rsidR="003B428B">
        <w:t xml:space="preserve">LNG projects </w:t>
      </w:r>
      <w:r w:rsidR="00A94258">
        <w:t>with actual and estimated</w:t>
      </w:r>
      <w:r w:rsidR="003B428B">
        <w:t xml:space="preserve"> first production dates is set out in </w:t>
      </w:r>
      <w:r w:rsidR="003B428B" w:rsidRPr="006D28D4">
        <w:t>section 1.3.2</w:t>
      </w:r>
      <w:r w:rsidR="003B428B">
        <w:t>.</w:t>
      </w:r>
    </w:p>
    <w:p w14:paraId="551EE553" w14:textId="77777777" w:rsidR="001F3464" w:rsidRDefault="00331C8A" w:rsidP="001F3464">
      <w:r w:rsidRPr="00331C8A">
        <w:t xml:space="preserve">Gas being sold to the domestic market does not use a gas transfer price. The onshore and </w:t>
      </w:r>
      <w:r w:rsidR="00DA5537">
        <w:t>NWS</w:t>
      </w:r>
      <w:r w:rsidRPr="00331C8A">
        <w:t xml:space="preserve"> gas projects pay royalties </w:t>
      </w:r>
      <w:r w:rsidR="001F3464" w:rsidRPr="00331C8A">
        <w:t xml:space="preserve">and/or excise </w:t>
      </w:r>
      <w:r w:rsidRPr="00331C8A">
        <w:t>on gas production and</w:t>
      </w:r>
      <w:r w:rsidR="001F3464">
        <w:t>,</w:t>
      </w:r>
      <w:r w:rsidRPr="00331C8A">
        <w:t xml:space="preserve"> though they use the </w:t>
      </w:r>
      <w:r w:rsidR="00EC704C">
        <w:t>GTP</w:t>
      </w:r>
      <w:r w:rsidRPr="00331C8A">
        <w:t xml:space="preserve"> </w:t>
      </w:r>
      <w:r w:rsidR="00A94258">
        <w:t>regulations where they are using their own or related party gas for LNG production</w:t>
      </w:r>
      <w:r w:rsidRPr="00331C8A">
        <w:t xml:space="preserve">, the PRRT remains secondary to their existing royalty and/or excise based resource taxation arrangements. The </w:t>
      </w:r>
      <w:r w:rsidR="00EC704C">
        <w:t>GTP</w:t>
      </w:r>
      <w:r w:rsidRPr="00331C8A">
        <w:t xml:space="preserve"> </w:t>
      </w:r>
      <w:r w:rsidR="00A94258">
        <w:t>regulations</w:t>
      </w:r>
      <w:r w:rsidRPr="00331C8A">
        <w:t xml:space="preserve"> have only applied to two projects </w:t>
      </w:r>
      <w:r w:rsidR="00A94258">
        <w:t xml:space="preserve">within the PRRT regime </w:t>
      </w:r>
      <w:r w:rsidRPr="00331C8A">
        <w:t xml:space="preserve">that </w:t>
      </w:r>
      <w:r w:rsidR="001F3464">
        <w:t>are not subject to</w:t>
      </w:r>
      <w:r w:rsidRPr="00331C8A">
        <w:t xml:space="preserve"> other resource tax arrangements</w:t>
      </w:r>
      <w:r w:rsidR="001F3464">
        <w:t>:</w:t>
      </w:r>
      <w:r w:rsidRPr="00331C8A">
        <w:t xml:space="preserve"> Pluto (since 2012) and Gorgon (since 2016). </w:t>
      </w:r>
    </w:p>
    <w:p w14:paraId="1D507E5E" w14:textId="442BE8DE" w:rsidR="00331C8A" w:rsidRPr="00331C8A" w:rsidRDefault="001F3464" w:rsidP="00331C8A">
      <w:r>
        <w:t>Against these considerations, n</w:t>
      </w:r>
      <w:r w:rsidRPr="00331C8A">
        <w:t>o</w:t>
      </w:r>
      <w:r w:rsidR="00331C8A" w:rsidRPr="00331C8A">
        <w:t xml:space="preserve"> link can be made between the </w:t>
      </w:r>
      <w:r w:rsidR="00EC704C">
        <w:t>GTP</w:t>
      </w:r>
      <w:r w:rsidR="00331C8A" w:rsidRPr="00331C8A">
        <w:t xml:space="preserve"> regulations and the decline in PRRT revenue. </w:t>
      </w:r>
      <w:r>
        <w:t>The reasons for decline in PRRT</w:t>
      </w:r>
      <w:r w:rsidR="00965206">
        <w:t xml:space="preserve"> revenue are discussed in </w:t>
      </w:r>
      <w:r w:rsidR="00E1514A" w:rsidRPr="006D28D4">
        <w:t>section</w:t>
      </w:r>
      <w:r w:rsidR="0089652B">
        <w:t> </w:t>
      </w:r>
      <w:r w:rsidR="00E1514A" w:rsidRPr="006D28D4">
        <w:t>2.3.1</w:t>
      </w:r>
      <w:r w:rsidR="008438DB">
        <w:t>.</w:t>
      </w:r>
    </w:p>
    <w:p w14:paraId="340C8E20" w14:textId="77777777" w:rsidR="00331C8A" w:rsidRPr="00331C8A" w:rsidRDefault="00331C8A" w:rsidP="00331C8A">
      <w:r w:rsidRPr="00331C8A">
        <w:t xml:space="preserve">Other offshore LNG projects that will be subject to the PRRT that are yet to come online include Ichthys, Wheatstone and Prelude. The </w:t>
      </w:r>
      <w:r w:rsidR="00EC704C">
        <w:t>GTP</w:t>
      </w:r>
      <w:r w:rsidRPr="00331C8A">
        <w:t xml:space="preserve"> regulations will apply to all of these projects, and the planning for each of these projects has been based on the </w:t>
      </w:r>
      <w:r w:rsidR="00EC704C">
        <w:t>GTP</w:t>
      </w:r>
      <w:r w:rsidRPr="00331C8A">
        <w:t xml:space="preserve"> regulations as they are currently designed.</w:t>
      </w:r>
    </w:p>
    <w:p w14:paraId="60B54162" w14:textId="77777777" w:rsidR="00331C8A" w:rsidRPr="00C13BA8" w:rsidRDefault="00913F3E" w:rsidP="006F4D5A">
      <w:pPr>
        <w:pStyle w:val="Heading2"/>
      </w:pPr>
      <w:bookmarkStart w:id="10819" w:name="_Toc476566686"/>
      <w:bookmarkStart w:id="10820" w:name="_Toc476577373"/>
      <w:bookmarkStart w:id="10821" w:name="_Toc476582362"/>
      <w:bookmarkStart w:id="10822" w:name="_Toc476583036"/>
      <w:bookmarkStart w:id="10823" w:name="_Toc476583753"/>
      <w:bookmarkStart w:id="10824" w:name="_Toc476584201"/>
      <w:bookmarkStart w:id="10825" w:name="_Toc476738109"/>
      <w:bookmarkStart w:id="10826" w:name="_Toc476747694"/>
      <w:bookmarkStart w:id="10827" w:name="_Toc476749104"/>
      <w:bookmarkStart w:id="10828" w:name="_Toc476753971"/>
      <w:bookmarkStart w:id="10829" w:name="_Toc476754466"/>
      <w:bookmarkStart w:id="10830" w:name="_Toc476754631"/>
      <w:bookmarkStart w:id="10831" w:name="_Toc476759870"/>
      <w:bookmarkStart w:id="10832" w:name="_Toc476761492"/>
      <w:bookmarkStart w:id="10833" w:name="_Toc476767130"/>
      <w:bookmarkStart w:id="10834" w:name="_Toc476827176"/>
      <w:bookmarkStart w:id="10835" w:name="_Toc476828869"/>
      <w:bookmarkStart w:id="10836" w:name="_Toc476829449"/>
      <w:bookmarkStart w:id="10837" w:name="_Toc476833743"/>
      <w:bookmarkStart w:id="10838" w:name="_Toc476837216"/>
      <w:bookmarkStart w:id="10839" w:name="_Toc476841089"/>
      <w:bookmarkStart w:id="10840" w:name="_Toc476841294"/>
      <w:bookmarkStart w:id="10841" w:name="_Toc476842053"/>
      <w:bookmarkStart w:id="10842" w:name="_Toc476842997"/>
      <w:bookmarkStart w:id="10843" w:name="_Toc476843168"/>
      <w:bookmarkStart w:id="10844" w:name="_Toc476844666"/>
      <w:bookmarkStart w:id="10845" w:name="_Toc476845559"/>
      <w:bookmarkStart w:id="10846" w:name="_Toc476926952"/>
      <w:bookmarkStart w:id="10847" w:name="_Toc476927065"/>
      <w:bookmarkStart w:id="10848" w:name="_Toc476927239"/>
      <w:bookmarkStart w:id="10849" w:name="_Toc476928503"/>
      <w:bookmarkStart w:id="10850" w:name="_Toc476929546"/>
      <w:bookmarkStart w:id="10851" w:name="_Toc476929721"/>
      <w:bookmarkStart w:id="10852" w:name="_Toc476930764"/>
      <w:bookmarkStart w:id="10853" w:name="_Toc476931571"/>
      <w:bookmarkStart w:id="10854" w:name="_Toc477869962"/>
      <w:bookmarkStart w:id="10855" w:name="_Toc477871201"/>
      <w:bookmarkStart w:id="10856" w:name="_Toc477873360"/>
      <w:bookmarkStart w:id="10857" w:name="_Toc477875354"/>
      <w:bookmarkStart w:id="10858" w:name="_Toc477880267"/>
      <w:bookmarkStart w:id="10859" w:name="_Toc477881527"/>
      <w:bookmarkStart w:id="10860" w:name="_Toc477955931"/>
      <w:bookmarkStart w:id="10861" w:name="_Toc477963176"/>
      <w:bookmarkStart w:id="10862" w:name="_Toc477963662"/>
      <w:bookmarkStart w:id="10863" w:name="_Toc477965248"/>
      <w:bookmarkStart w:id="10864" w:name="_Toc477966752"/>
      <w:bookmarkStart w:id="10865" w:name="_Toc477966921"/>
      <w:bookmarkStart w:id="10866" w:name="_Toc477967261"/>
      <w:bookmarkStart w:id="10867" w:name="_Toc478121398"/>
      <w:bookmarkStart w:id="10868" w:name="_Toc478122311"/>
      <w:bookmarkStart w:id="10869" w:name="_Toc478132141"/>
      <w:bookmarkStart w:id="10870" w:name="_Toc478133311"/>
      <w:bookmarkStart w:id="10871" w:name="_Toc478132448"/>
      <w:bookmarkStart w:id="10872" w:name="_Toc478134777"/>
      <w:bookmarkStart w:id="10873" w:name="_Toc478137479"/>
      <w:bookmarkStart w:id="10874" w:name="_Toc478138551"/>
      <w:bookmarkStart w:id="10875" w:name="_Toc478140121"/>
      <w:bookmarkStart w:id="10876" w:name="_Toc478140537"/>
      <w:bookmarkStart w:id="10877" w:name="_Toc478142743"/>
      <w:bookmarkStart w:id="10878" w:name="_Toc478566462"/>
      <w:bookmarkStart w:id="10879" w:name="_Toc478569629"/>
      <w:bookmarkStart w:id="10880" w:name="_Toc478569803"/>
      <w:bookmarkStart w:id="10881" w:name="_Toc478570877"/>
      <w:bookmarkStart w:id="10882" w:name="_Toc478633076"/>
      <w:bookmarkStart w:id="10883" w:name="_Toc478641486"/>
      <w:bookmarkStart w:id="10884" w:name="_Toc478654380"/>
      <w:bookmarkStart w:id="10885" w:name="_Toc478654554"/>
      <w:bookmarkStart w:id="10886" w:name="_Toc478657849"/>
      <w:bookmarkStart w:id="10887" w:name="_Toc478992517"/>
      <w:bookmarkStart w:id="10888" w:name="_Toc478992689"/>
      <w:bookmarkStart w:id="10889" w:name="_Toc479254421"/>
      <w:bookmarkStart w:id="10890" w:name="_Toc479258610"/>
      <w:bookmarkStart w:id="10891" w:name="_Toc479258926"/>
      <w:bookmarkStart w:id="10892" w:name="_Toc479259818"/>
      <w:bookmarkStart w:id="10893" w:name="_Toc479262241"/>
      <w:bookmarkStart w:id="10894" w:name="_Toc479262662"/>
      <w:bookmarkStart w:id="10895" w:name="_Toc479321363"/>
      <w:bookmarkStart w:id="10896" w:name="_Toc479326802"/>
      <w:bookmarkStart w:id="10897" w:name="_Toc479333063"/>
      <w:bookmarkStart w:id="10898" w:name="_Toc479333401"/>
      <w:bookmarkStart w:id="10899" w:name="_Toc479335098"/>
      <w:bookmarkStart w:id="10900" w:name="_Toc479341813"/>
      <w:bookmarkStart w:id="10901" w:name="_Toc479345229"/>
      <w:bookmarkStart w:id="10902" w:name="_Toc479345438"/>
      <w:bookmarkStart w:id="10903" w:name="_Toc479348419"/>
      <w:bookmarkStart w:id="10904" w:name="_Toc479676012"/>
      <w:bookmarkStart w:id="10905" w:name="_Toc479690979"/>
      <w:bookmarkStart w:id="10906" w:name="_Toc479693557"/>
      <w:bookmarkStart w:id="10907" w:name="_Toc479770726"/>
      <w:r>
        <w:t>D</w:t>
      </w:r>
      <w:r w:rsidR="00BB4A2A" w:rsidRPr="00C13BA8">
        <w:t>.3</w:t>
      </w:r>
      <w:r w:rsidR="00331C8A" w:rsidRPr="00C13BA8">
        <w:tab/>
        <w:t>Extending the PRRT to Secondary Activities</w:t>
      </w:r>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p>
    <w:p w14:paraId="249A2BB0" w14:textId="1EB6DDB6" w:rsidR="001F3464" w:rsidRPr="00331C8A" w:rsidRDefault="001F3464" w:rsidP="001F3464">
      <w:r w:rsidRPr="00331C8A">
        <w:t xml:space="preserve">The existing </w:t>
      </w:r>
      <w:r>
        <w:t xml:space="preserve">PRRT </w:t>
      </w:r>
      <w:r w:rsidRPr="00331C8A">
        <w:t xml:space="preserve">design </w:t>
      </w:r>
      <w:r>
        <w:t>is for</w:t>
      </w:r>
      <w:r w:rsidRPr="00331C8A">
        <w:t xml:space="preserve"> a project</w:t>
      </w:r>
      <w:r w:rsidR="005D6F39">
        <w:noBreakHyphen/>
      </w:r>
      <w:r w:rsidRPr="00331C8A">
        <w:t xml:space="preserve">based tax </w:t>
      </w:r>
      <w:r>
        <w:t>with a</w:t>
      </w:r>
      <w:r w:rsidRPr="00331C8A">
        <w:t xml:space="preserve"> taxing point at the point that petroleum </w:t>
      </w:r>
      <w:r>
        <w:t>resources are</w:t>
      </w:r>
      <w:r w:rsidRPr="00331C8A">
        <w:t xml:space="preserve"> </w:t>
      </w:r>
      <w:r>
        <w:t xml:space="preserve">first </w:t>
      </w:r>
      <w:r w:rsidRPr="00331C8A">
        <w:t xml:space="preserve">processed into </w:t>
      </w:r>
      <w:r>
        <w:t>a</w:t>
      </w:r>
      <w:r w:rsidRPr="00331C8A">
        <w:t xml:space="preserve"> form which can be sold</w:t>
      </w:r>
      <w:r w:rsidR="005419DF">
        <w:t xml:space="preserve"> (MPC)</w:t>
      </w:r>
      <w:r w:rsidRPr="00331C8A">
        <w:t>. It separates treatment processes that are integral to production and initial o</w:t>
      </w:r>
      <w:r w:rsidR="005047B3">
        <w:t xml:space="preserve">nsite storage from those where </w:t>
      </w:r>
      <w:r w:rsidRPr="00331C8A">
        <w:t>the commun</w:t>
      </w:r>
      <w:r w:rsidR="005047B3">
        <w:t>ity has no proprietary interest</w:t>
      </w:r>
      <w:r>
        <w:t>.</w:t>
      </w:r>
      <w:r w:rsidRPr="00331C8A">
        <w:t xml:space="preserve"> The </w:t>
      </w:r>
      <w:r w:rsidR="00A06512">
        <w:t>second r</w:t>
      </w:r>
      <w:r w:rsidRPr="00331C8A">
        <w:t xml:space="preserve">eading speech introducing the PRRT </w:t>
      </w:r>
      <w:r w:rsidR="002B54FD">
        <w:t>explained</w:t>
      </w:r>
      <w:r w:rsidRPr="00331C8A">
        <w:t xml:space="preserve"> that:</w:t>
      </w:r>
    </w:p>
    <w:p w14:paraId="498AC5AB" w14:textId="4A8E1CD7" w:rsidR="00331C8A" w:rsidRPr="00331C8A" w:rsidRDefault="0089652B" w:rsidP="00331C8A">
      <w:pPr>
        <w:ind w:left="567" w:right="565"/>
        <w:rPr>
          <w:color w:val="1F497D" w:themeColor="text2"/>
          <w:sz w:val="20"/>
        </w:rPr>
      </w:pPr>
      <w:r>
        <w:rPr>
          <w:color w:val="1F497D" w:themeColor="text2"/>
          <w:sz w:val="20"/>
        </w:rPr>
        <w:t>‘</w:t>
      </w:r>
      <w:r w:rsidR="00331C8A" w:rsidRPr="002B54FD">
        <w:rPr>
          <w:color w:val="1F497D" w:themeColor="text2"/>
          <w:sz w:val="20"/>
        </w:rPr>
        <w:t>In broad terms, a petroleum project incorporates the production licence area, and such treatment and other facilities and operations outside that area as are integral to the production of marketable petroleum commodities such as stabilised crude oil, condensate and liquefied petroleum gas</w:t>
      </w:r>
      <w:r>
        <w:rPr>
          <w:color w:val="1F497D" w:themeColor="text2"/>
          <w:sz w:val="20"/>
        </w:rPr>
        <w:t>’</w:t>
      </w:r>
      <w:r w:rsidR="002B54FD" w:rsidRPr="002B54FD">
        <w:rPr>
          <w:color w:val="1F497D" w:themeColor="text2"/>
          <w:sz w:val="20"/>
        </w:rPr>
        <w:t xml:space="preserve"> The Hon Chris Hurford MP</w:t>
      </w:r>
      <w:r w:rsidR="00FD6B9D" w:rsidRPr="002B54FD">
        <w:rPr>
          <w:color w:val="1F497D" w:themeColor="text2"/>
          <w:sz w:val="20"/>
        </w:rPr>
        <w:t xml:space="preserve"> (</w:t>
      </w:r>
      <w:r w:rsidR="00331C8A" w:rsidRPr="002B54FD">
        <w:rPr>
          <w:color w:val="1F497D" w:themeColor="text2"/>
          <w:sz w:val="20"/>
        </w:rPr>
        <w:t>Parliament of Australia</w:t>
      </w:r>
      <w:r w:rsidR="00FD6B9D" w:rsidRPr="002B54FD">
        <w:rPr>
          <w:color w:val="1F497D" w:themeColor="text2"/>
          <w:sz w:val="20"/>
        </w:rPr>
        <w:t>,</w:t>
      </w:r>
      <w:r w:rsidR="00331C8A" w:rsidRPr="002B54FD">
        <w:rPr>
          <w:color w:val="1F497D" w:themeColor="text2"/>
          <w:sz w:val="20"/>
        </w:rPr>
        <w:t xml:space="preserve"> 1986</w:t>
      </w:r>
      <w:r w:rsidR="00FD6B9D" w:rsidRPr="002B54FD">
        <w:rPr>
          <w:color w:val="1F497D" w:themeColor="text2"/>
          <w:sz w:val="20"/>
        </w:rPr>
        <w:t>, p.</w:t>
      </w:r>
      <w:r w:rsidR="00331C8A" w:rsidRPr="002B54FD">
        <w:rPr>
          <w:color w:val="1F497D" w:themeColor="text2"/>
          <w:sz w:val="20"/>
        </w:rPr>
        <w:t xml:space="preserve"> 3942</w:t>
      </w:r>
      <w:r w:rsidR="00FD6B9D" w:rsidRPr="002B54FD">
        <w:rPr>
          <w:color w:val="1F497D" w:themeColor="text2"/>
          <w:sz w:val="20"/>
        </w:rPr>
        <w:t>)</w:t>
      </w:r>
      <w:r w:rsidR="00331C8A" w:rsidRPr="002B54FD">
        <w:rPr>
          <w:color w:val="1F497D" w:themeColor="text2"/>
          <w:sz w:val="20"/>
        </w:rPr>
        <w:t>.</w:t>
      </w:r>
    </w:p>
    <w:p w14:paraId="6BCE1CF1" w14:textId="6B4FAB6C" w:rsidR="001F3464" w:rsidRPr="00331C8A" w:rsidRDefault="001F3464" w:rsidP="001F3464">
      <w:pPr>
        <w:rPr>
          <w:color w:val="1F497D" w:themeColor="text2"/>
          <w:sz w:val="20"/>
        </w:rPr>
      </w:pPr>
      <w:r>
        <w:t>I</w:t>
      </w:r>
      <w:r w:rsidRPr="00331C8A">
        <w:t xml:space="preserve">dentified marketable commodities are contrasted with those that result from refining or other activities that augment the physical or chemical makeup of the sales gas in an integrated operation. Sales </w:t>
      </w:r>
      <w:r>
        <w:t>g</w:t>
      </w:r>
      <w:r w:rsidRPr="00331C8A">
        <w:t xml:space="preserve">as was one of the products identified as </w:t>
      </w:r>
      <w:r w:rsidR="007B1963">
        <w:t>an MPC</w:t>
      </w:r>
      <w:r w:rsidRPr="00331C8A">
        <w:t xml:space="preserve"> at the beginning of the PRRT regime. The definition of </w:t>
      </w:r>
      <w:r w:rsidR="007B1963">
        <w:t>MPC</w:t>
      </w:r>
      <w:r w:rsidRPr="00331C8A">
        <w:t xml:space="preserve"> also excluded any product produced from a</w:t>
      </w:r>
      <w:r w:rsidR="007B1963">
        <w:t>n MPC</w:t>
      </w:r>
      <w:r w:rsidRPr="00331C8A">
        <w:t>. From the outset</w:t>
      </w:r>
      <w:r>
        <w:t>,</w:t>
      </w:r>
      <w:r w:rsidRPr="00331C8A">
        <w:t xml:space="preserve"> </w:t>
      </w:r>
      <w:r>
        <w:t>PRRT</w:t>
      </w:r>
      <w:r w:rsidRPr="00331C8A">
        <w:t xml:space="preserve"> sales gas </w:t>
      </w:r>
      <w:r>
        <w:t>was identified as taxable but</w:t>
      </w:r>
      <w:r w:rsidRPr="00331C8A">
        <w:t xml:space="preserve"> other product</w:t>
      </w:r>
      <w:r w:rsidR="00FE111A">
        <w:t>s</w:t>
      </w:r>
      <w:r w:rsidRPr="00331C8A">
        <w:t xml:space="preserve"> produced </w:t>
      </w:r>
      <w:r>
        <w:t>by</w:t>
      </w:r>
      <w:r w:rsidRPr="00331C8A">
        <w:t xml:space="preserve"> the process</w:t>
      </w:r>
      <w:r w:rsidR="00FE111A">
        <w:t>ing of sales gas were</w:t>
      </w:r>
      <w:r>
        <w:t xml:space="preserve"> not</w:t>
      </w:r>
      <w:r w:rsidRPr="00331C8A">
        <w:t>.</w:t>
      </w:r>
    </w:p>
    <w:p w14:paraId="5D393200" w14:textId="79B688F1" w:rsidR="00331C8A" w:rsidRPr="00331C8A" w:rsidRDefault="00331C8A" w:rsidP="00331C8A">
      <w:r w:rsidRPr="00331C8A">
        <w:t xml:space="preserve">It is consistent with the original design of the PRRT for the taxing point to be at the point where the petroleum is processed to </w:t>
      </w:r>
      <w:r w:rsidR="001F3464" w:rsidRPr="00331C8A">
        <w:t xml:space="preserve">sales gas rather than </w:t>
      </w:r>
      <w:r w:rsidR="001F3464">
        <w:t>at the end of</w:t>
      </w:r>
      <w:r w:rsidR="001F3464" w:rsidRPr="00331C8A">
        <w:t xml:space="preserve"> the whole LNG operation.</w:t>
      </w:r>
      <w:r w:rsidR="00C50AAD">
        <w:t xml:space="preserve"> </w:t>
      </w:r>
      <w:r w:rsidRPr="00331C8A">
        <w:t>Nevertheless, some submissions supported a fundamental change to the PRRT where the PPRT ring</w:t>
      </w:r>
      <w:r w:rsidR="00973DF4">
        <w:t xml:space="preserve"> </w:t>
      </w:r>
      <w:r w:rsidRPr="00331C8A">
        <w:t>fence would be extended to a point of sale or export:</w:t>
      </w:r>
    </w:p>
    <w:p w14:paraId="76400BC7" w14:textId="48F52F1C" w:rsidR="00331C8A" w:rsidRPr="00331C8A" w:rsidRDefault="00331C8A" w:rsidP="00331C8A">
      <w:pPr>
        <w:ind w:left="567" w:right="565"/>
        <w:rPr>
          <w:color w:val="1F497D" w:themeColor="text2"/>
          <w:sz w:val="20"/>
        </w:rPr>
      </w:pPr>
      <w:r w:rsidRPr="00331C8A">
        <w:rPr>
          <w:color w:val="1F497D" w:themeColor="text2"/>
          <w:sz w:val="20"/>
        </w:rPr>
        <w:t>…</w:t>
      </w:r>
      <w:r w:rsidR="0089652B">
        <w:rPr>
          <w:color w:val="1F497D" w:themeColor="text2"/>
          <w:sz w:val="20"/>
        </w:rPr>
        <w:t xml:space="preserve"> </w:t>
      </w:r>
      <w:r w:rsidRPr="00331C8A">
        <w:rPr>
          <w:color w:val="1F497D" w:themeColor="text2"/>
          <w:sz w:val="20"/>
        </w:rPr>
        <w:t>it may be debateable why the conversion of gas into liquid form so that it can be transported (it being uneconomic to build pipelines to Australia</w:t>
      </w:r>
      <w:r w:rsidR="005D6F39">
        <w:rPr>
          <w:color w:val="1F497D" w:themeColor="text2"/>
          <w:sz w:val="20"/>
        </w:rPr>
        <w:t>’</w:t>
      </w:r>
      <w:r w:rsidRPr="00331C8A">
        <w:rPr>
          <w:color w:val="1F497D" w:themeColor="text2"/>
          <w:sz w:val="20"/>
        </w:rPr>
        <w:t>s major markets) renders it an excluded commodity (</w:t>
      </w:r>
      <w:r w:rsidR="00B20D87">
        <w:rPr>
          <w:color w:val="1F497D" w:themeColor="text2"/>
          <w:sz w:val="20"/>
        </w:rPr>
        <w:t xml:space="preserve">Professor </w:t>
      </w:r>
      <w:r w:rsidRPr="00FD6B9D">
        <w:rPr>
          <w:color w:val="1F497D" w:themeColor="text2"/>
          <w:sz w:val="20"/>
        </w:rPr>
        <w:t xml:space="preserve">John Chandler </w:t>
      </w:r>
      <w:r w:rsidR="0001490E">
        <w:rPr>
          <w:color w:val="1F497D" w:themeColor="text2"/>
          <w:sz w:val="20"/>
        </w:rPr>
        <w:t>s</w:t>
      </w:r>
      <w:r w:rsidR="001F3464" w:rsidRPr="00FD6B9D">
        <w:rPr>
          <w:color w:val="1F497D" w:themeColor="text2"/>
          <w:sz w:val="20"/>
        </w:rPr>
        <w:t>ubmission, p.</w:t>
      </w:r>
      <w:r w:rsidR="00C50AAD" w:rsidRPr="00FD6B9D">
        <w:rPr>
          <w:color w:val="1F497D" w:themeColor="text2"/>
          <w:sz w:val="20"/>
        </w:rPr>
        <w:t xml:space="preserve"> 6</w:t>
      </w:r>
      <w:r w:rsidRPr="00FD6B9D">
        <w:rPr>
          <w:color w:val="1F497D" w:themeColor="text2"/>
          <w:sz w:val="20"/>
        </w:rPr>
        <w:t>)</w:t>
      </w:r>
      <w:r w:rsidR="00FD6B9D" w:rsidRPr="00FD6B9D">
        <w:rPr>
          <w:color w:val="1F497D" w:themeColor="text2"/>
          <w:sz w:val="20"/>
        </w:rPr>
        <w:t>.</w:t>
      </w:r>
    </w:p>
    <w:p w14:paraId="1210D312" w14:textId="77777777" w:rsidR="00331C8A" w:rsidRPr="00331C8A" w:rsidRDefault="00331C8A" w:rsidP="00331C8A">
      <w:r w:rsidRPr="00331C8A">
        <w:t>The Prosper Australia submission noted that the preferred way to apply PRRT to LNG projects would be to:</w:t>
      </w:r>
    </w:p>
    <w:p w14:paraId="2A7E2418" w14:textId="011D1832" w:rsidR="00331C8A" w:rsidRPr="00331C8A" w:rsidRDefault="00331C8A" w:rsidP="00331C8A">
      <w:pPr>
        <w:ind w:left="567" w:right="565"/>
        <w:rPr>
          <w:color w:val="1F497D" w:themeColor="text2"/>
          <w:sz w:val="20"/>
        </w:rPr>
      </w:pPr>
      <w:r w:rsidRPr="00331C8A">
        <w:rPr>
          <w:color w:val="1F497D" w:themeColor="text2"/>
          <w:sz w:val="20"/>
        </w:rPr>
        <w:t>…</w:t>
      </w:r>
      <w:r w:rsidR="0089652B">
        <w:rPr>
          <w:color w:val="1F497D" w:themeColor="text2"/>
          <w:sz w:val="20"/>
        </w:rPr>
        <w:t xml:space="preserve"> </w:t>
      </w:r>
      <w:r w:rsidRPr="00331C8A">
        <w:rPr>
          <w:color w:val="1F497D" w:themeColor="text2"/>
          <w:sz w:val="20"/>
        </w:rPr>
        <w:t>include LNG as a marketable petroleum commodity (MPC) under the PRRT, which would then apply to the integrated project. This would avoid any splitting of economic rents between the resource extraction and the downstream processing, which can (and does) happen in the calculation of the shadow price of the MPC. This is a first</w:t>
      </w:r>
      <w:r w:rsidR="005D6F39">
        <w:rPr>
          <w:color w:val="1F497D" w:themeColor="text2"/>
          <w:sz w:val="20"/>
        </w:rPr>
        <w:noBreakHyphen/>
      </w:r>
      <w:r w:rsidRPr="00331C8A">
        <w:rPr>
          <w:color w:val="1F497D" w:themeColor="text2"/>
          <w:sz w:val="20"/>
        </w:rPr>
        <w:t xml:space="preserve">best option and captures the full resource rent as the tax base in these cases </w:t>
      </w:r>
      <w:r w:rsidRPr="00382E91">
        <w:rPr>
          <w:color w:val="1F497D" w:themeColor="text2"/>
          <w:sz w:val="20"/>
        </w:rPr>
        <w:t xml:space="preserve">(Prosper Australia </w:t>
      </w:r>
      <w:r w:rsidR="0001490E">
        <w:rPr>
          <w:color w:val="1F497D" w:themeColor="text2"/>
          <w:sz w:val="20"/>
        </w:rPr>
        <w:t>s</w:t>
      </w:r>
      <w:r w:rsidR="001F3464" w:rsidRPr="00382E91">
        <w:rPr>
          <w:color w:val="1F497D" w:themeColor="text2"/>
          <w:sz w:val="20"/>
        </w:rPr>
        <w:t xml:space="preserve">ubmission, p. </w:t>
      </w:r>
      <w:r w:rsidRPr="00382E91">
        <w:rPr>
          <w:color w:val="1F497D" w:themeColor="text2"/>
          <w:sz w:val="20"/>
        </w:rPr>
        <w:t>12)</w:t>
      </w:r>
      <w:r w:rsidRPr="00331C8A">
        <w:rPr>
          <w:color w:val="1F497D" w:themeColor="text2"/>
          <w:sz w:val="20"/>
        </w:rPr>
        <w:t>.</w:t>
      </w:r>
    </w:p>
    <w:p w14:paraId="443B7C4B" w14:textId="666A3018" w:rsidR="001F3464" w:rsidRDefault="001F3464" w:rsidP="001F3464">
      <w:r w:rsidRPr="00331C8A">
        <w:t>Moving the taxing point to the end of the liquefaction process would</w:t>
      </w:r>
      <w:r>
        <w:t xml:space="preserve"> lessen the complexity of </w:t>
      </w:r>
      <w:r w:rsidRPr="00331C8A">
        <w:t>the PRRT regime by removing the need for the arm</w:t>
      </w:r>
      <w:r w:rsidR="005D6F39">
        <w:t>’</w:t>
      </w:r>
      <w:r w:rsidRPr="00331C8A">
        <w:t>s length price and the accompany</w:t>
      </w:r>
      <w:r>
        <w:t>ing</w:t>
      </w:r>
      <w:r w:rsidRPr="00331C8A">
        <w:t xml:space="preserve"> complex </w:t>
      </w:r>
      <w:r>
        <w:t>GTP</w:t>
      </w:r>
      <w:r w:rsidRPr="00331C8A">
        <w:t xml:space="preserve"> regulations. This would make determining the assessable PRRT receipts in the project simpler but could introduce </w:t>
      </w:r>
      <w:r>
        <w:t>extra demands regarding the</w:t>
      </w:r>
      <w:r w:rsidRPr="00331C8A">
        <w:t xml:space="preserve"> determination of what constitutes deductible expenditure</w:t>
      </w:r>
      <w:r>
        <w:t xml:space="preserve"> as</w:t>
      </w:r>
      <w:r w:rsidRPr="00331C8A">
        <w:t xml:space="preserve"> extra downstream costs </w:t>
      </w:r>
      <w:r w:rsidR="00FE111A">
        <w:t>are</w:t>
      </w:r>
      <w:r w:rsidRPr="00331C8A">
        <w:t xml:space="preserve"> included in the </w:t>
      </w:r>
      <w:r>
        <w:t xml:space="preserve">PRRT </w:t>
      </w:r>
      <w:r w:rsidRPr="00331C8A">
        <w:t>ring fence</w:t>
      </w:r>
      <w:r>
        <w:t xml:space="preserve">. </w:t>
      </w:r>
    </w:p>
    <w:p w14:paraId="391C1F57" w14:textId="350A9EF6" w:rsidR="001F3464" w:rsidRPr="00331C8A" w:rsidRDefault="001F3464" w:rsidP="001F3464">
      <w:r>
        <w:t>E</w:t>
      </w:r>
      <w:r w:rsidRPr="00331C8A">
        <w:t xml:space="preserve">xtra assessable PRRT receipts </w:t>
      </w:r>
      <w:r>
        <w:t xml:space="preserve">would also flow </w:t>
      </w:r>
      <w:r w:rsidRPr="00331C8A">
        <w:t>from the inclusion of the LNG price</w:t>
      </w:r>
      <w:r>
        <w:t xml:space="preserve"> in the PRRT </w:t>
      </w:r>
      <w:r w:rsidR="00B20D87">
        <w:t>ring fence</w:t>
      </w:r>
      <w:r w:rsidRPr="00331C8A">
        <w:t>.</w:t>
      </w:r>
      <w:r>
        <w:t xml:space="preserve"> </w:t>
      </w:r>
      <w:r w:rsidRPr="00331C8A">
        <w:t>Moving the entire LNG plant inside the PRRT ring</w:t>
      </w:r>
      <w:r>
        <w:t xml:space="preserve"> </w:t>
      </w:r>
      <w:r w:rsidRPr="00331C8A">
        <w:t xml:space="preserve">fence would increase the exposure of any </w:t>
      </w:r>
      <w:r w:rsidR="005D6F39">
        <w:t>‘</w:t>
      </w:r>
      <w:r w:rsidRPr="00331C8A">
        <w:t>firm</w:t>
      </w:r>
      <w:r w:rsidR="005D6F39">
        <w:noBreakHyphen/>
      </w:r>
      <w:r w:rsidRPr="00331C8A">
        <w:t>specific rents</w:t>
      </w:r>
      <w:r w:rsidR="005D6F39">
        <w:t>’</w:t>
      </w:r>
      <w:r w:rsidRPr="00331C8A">
        <w:t xml:space="preserve"> to be taxed by the PRRT and would </w:t>
      </w:r>
      <w:r>
        <w:t>extend the scope</w:t>
      </w:r>
      <w:r w:rsidRPr="00331C8A">
        <w:t xml:space="preserve"> of the PRRT. </w:t>
      </w:r>
      <w:r w:rsidRPr="002C06A0">
        <w:t xml:space="preserve">Such a change would mean that the secondary tax on petroleum was being extended from a tax on the </w:t>
      </w:r>
      <w:r w:rsidR="002C06A0" w:rsidRPr="002C06A0">
        <w:t xml:space="preserve">resource </w:t>
      </w:r>
      <w:r>
        <w:t>rents</w:t>
      </w:r>
      <w:r w:rsidRPr="002C06A0">
        <w:t xml:space="preserve"> to a tax on the rents of the entire integrated operation.</w:t>
      </w:r>
    </w:p>
    <w:p w14:paraId="06EB1B22" w14:textId="380B914D" w:rsidR="001F3464" w:rsidRPr="00331C8A" w:rsidRDefault="001F3464" w:rsidP="001F3464">
      <w:r w:rsidRPr="00331C8A">
        <w:t>The Business Council of Australia</w:t>
      </w:r>
      <w:r w:rsidR="005D6F39">
        <w:t>’</w:t>
      </w:r>
      <w:r>
        <w:t>s submission</w:t>
      </w:r>
      <w:r w:rsidRPr="00331C8A">
        <w:t xml:space="preserve"> highlight</w:t>
      </w:r>
      <w:r>
        <w:t>s</w:t>
      </w:r>
      <w:r w:rsidRPr="00331C8A">
        <w:t xml:space="preserve"> </w:t>
      </w:r>
      <w:r>
        <w:t>these points</w:t>
      </w:r>
      <w:r w:rsidRPr="00331C8A">
        <w:t xml:space="preserve"> and in particular argued that:</w:t>
      </w:r>
    </w:p>
    <w:p w14:paraId="047CA89E" w14:textId="02830246" w:rsidR="001F3464" w:rsidRPr="00EC4745" w:rsidRDefault="001F3464" w:rsidP="001F3464">
      <w:pPr>
        <w:ind w:left="567" w:right="565"/>
        <w:rPr>
          <w:color w:val="1F497D" w:themeColor="text2"/>
          <w:sz w:val="20"/>
        </w:rPr>
      </w:pPr>
      <w:r w:rsidRPr="00331C8A">
        <w:rPr>
          <w:color w:val="1F497D" w:themeColor="text2"/>
          <w:sz w:val="20"/>
        </w:rPr>
        <w:t>The design of the PRRT may also capture firm</w:t>
      </w:r>
      <w:r w:rsidR="005D6F39">
        <w:rPr>
          <w:color w:val="1F497D" w:themeColor="text2"/>
          <w:sz w:val="20"/>
        </w:rPr>
        <w:noBreakHyphen/>
      </w:r>
      <w:r w:rsidRPr="00331C8A">
        <w:rPr>
          <w:color w:val="1F497D" w:themeColor="text2"/>
          <w:sz w:val="20"/>
        </w:rPr>
        <w:t>specific rents, such as returns to know</w:t>
      </w:r>
      <w:r w:rsidR="005D6F39">
        <w:rPr>
          <w:color w:val="1F497D" w:themeColor="text2"/>
          <w:sz w:val="20"/>
        </w:rPr>
        <w:noBreakHyphen/>
      </w:r>
      <w:r w:rsidRPr="00331C8A">
        <w:rPr>
          <w:color w:val="1F497D" w:themeColor="text2"/>
          <w:sz w:val="20"/>
        </w:rPr>
        <w:t xml:space="preserve">how and expertise, which is not the intention of the tax </w:t>
      </w:r>
      <w:r w:rsidRPr="00382E91">
        <w:rPr>
          <w:color w:val="1F497D" w:themeColor="text2"/>
          <w:sz w:val="20"/>
        </w:rPr>
        <w:t xml:space="preserve">(Business Council of Australia </w:t>
      </w:r>
      <w:r w:rsidR="0001490E">
        <w:rPr>
          <w:color w:val="1F497D" w:themeColor="text2"/>
          <w:sz w:val="20"/>
        </w:rPr>
        <w:t>s</w:t>
      </w:r>
      <w:r w:rsidRPr="00382E91">
        <w:rPr>
          <w:color w:val="1F497D" w:themeColor="text2"/>
          <w:sz w:val="20"/>
        </w:rPr>
        <w:t>ubmission, p. 9)</w:t>
      </w:r>
      <w:r w:rsidRPr="00331C8A">
        <w:rPr>
          <w:color w:val="1F497D" w:themeColor="text2"/>
          <w:sz w:val="20"/>
        </w:rPr>
        <w:t>.</w:t>
      </w:r>
    </w:p>
    <w:p w14:paraId="3D5D70E4" w14:textId="45153411" w:rsidR="001F3464" w:rsidRPr="00382E91" w:rsidRDefault="001F3464" w:rsidP="001F3464">
      <w:pPr>
        <w:pStyle w:val="Heading2"/>
      </w:pPr>
      <w:bookmarkStart w:id="10908" w:name="_Toc478992518"/>
      <w:bookmarkStart w:id="10909" w:name="_Toc478992690"/>
      <w:bookmarkStart w:id="10910" w:name="_Toc479254422"/>
      <w:bookmarkStart w:id="10911" w:name="_Toc479258611"/>
      <w:bookmarkStart w:id="10912" w:name="_Toc479258927"/>
      <w:bookmarkStart w:id="10913" w:name="_Toc479259819"/>
      <w:bookmarkStart w:id="10914" w:name="_Toc479262242"/>
      <w:bookmarkStart w:id="10915" w:name="_Toc479262663"/>
      <w:bookmarkStart w:id="10916" w:name="_Toc479321364"/>
      <w:bookmarkStart w:id="10917" w:name="_Toc479326803"/>
      <w:bookmarkStart w:id="10918" w:name="_Toc479333064"/>
      <w:bookmarkStart w:id="10919" w:name="_Toc479333402"/>
      <w:bookmarkStart w:id="10920" w:name="_Toc479335099"/>
      <w:bookmarkStart w:id="10921" w:name="_Toc479341814"/>
      <w:bookmarkStart w:id="10922" w:name="_Toc479345230"/>
      <w:bookmarkStart w:id="10923" w:name="_Toc479345439"/>
      <w:bookmarkStart w:id="10924" w:name="_Toc479348420"/>
      <w:bookmarkStart w:id="10925" w:name="_Toc479676013"/>
      <w:bookmarkStart w:id="10926" w:name="_Toc479690980"/>
      <w:bookmarkStart w:id="10927" w:name="_Toc479693558"/>
      <w:bookmarkStart w:id="10928" w:name="_Toc479770727"/>
      <w:r>
        <w:t>D</w:t>
      </w:r>
      <w:r w:rsidRPr="00382E91">
        <w:t>.4</w:t>
      </w:r>
      <w:r w:rsidRPr="00382E91">
        <w:tab/>
        <w:t xml:space="preserve">Determining the </w:t>
      </w:r>
      <w:r w:rsidR="0006458A">
        <w:t>V</w:t>
      </w:r>
      <w:r w:rsidRPr="00382E91">
        <w:t xml:space="preserve">alue of </w:t>
      </w:r>
      <w:r w:rsidR="0006458A">
        <w:t>S</w:t>
      </w:r>
      <w:r w:rsidRPr="00382E91">
        <w:t xml:space="preserve">ales </w:t>
      </w:r>
      <w:r w:rsidR="0006458A">
        <w:t>G</w:t>
      </w:r>
      <w:r w:rsidRPr="00382E91">
        <w:t>as</w:t>
      </w:r>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p>
    <w:p w14:paraId="44C0BD36" w14:textId="77777777" w:rsidR="00331C8A" w:rsidRPr="00331C8A" w:rsidRDefault="00331C8A" w:rsidP="00331C8A">
      <w:r w:rsidRPr="00331C8A">
        <w:t>The Tax Justice Network Australia submission raises issues with the use of transfer pricing approaches to determine the price at the taxing point:</w:t>
      </w:r>
    </w:p>
    <w:p w14:paraId="3127870D" w14:textId="142C4B49" w:rsidR="00331C8A" w:rsidRPr="00331C8A" w:rsidRDefault="00331C8A" w:rsidP="00331C8A">
      <w:pPr>
        <w:ind w:left="567" w:right="565"/>
        <w:rPr>
          <w:color w:val="1F497D" w:themeColor="text2"/>
          <w:sz w:val="20"/>
        </w:rPr>
      </w:pPr>
      <w:r w:rsidRPr="00331C8A">
        <w:rPr>
          <w:color w:val="1F497D" w:themeColor="text2"/>
          <w:sz w:val="20"/>
        </w:rPr>
        <w:t xml:space="preserve">Given that these projects are vertically integrated and taxed at a point when the value is transferred from one related party to another, there are huge potential problems with transfer pricing and undervaluation of the taxable gas. It is very likely that </w:t>
      </w:r>
      <w:r w:rsidRPr="00331C8A">
        <w:rPr>
          <w:b/>
          <w:i/>
          <w:color w:val="1F497D" w:themeColor="text2"/>
          <w:sz w:val="20"/>
        </w:rPr>
        <w:t>the current means of pricing at the wellhead are inadequate and need to be reformed</w:t>
      </w:r>
      <w:r w:rsidRPr="00331C8A">
        <w:rPr>
          <w:color w:val="1F497D" w:themeColor="text2"/>
          <w:sz w:val="20"/>
        </w:rPr>
        <w:t xml:space="preserve">. The gas pricing is a highly technical and complex issue and we encourage the PRRT Review Team to look at this critical issue and explore best practices both in Australia and globally </w:t>
      </w:r>
      <w:r w:rsidRPr="00382E91">
        <w:rPr>
          <w:color w:val="1F497D" w:themeColor="text2"/>
          <w:sz w:val="20"/>
        </w:rPr>
        <w:t xml:space="preserve">(Tax Justice Network Australia </w:t>
      </w:r>
      <w:r w:rsidR="0001490E">
        <w:rPr>
          <w:color w:val="1F497D" w:themeColor="text2"/>
          <w:sz w:val="20"/>
        </w:rPr>
        <w:t>s</w:t>
      </w:r>
      <w:r w:rsidRPr="00382E91">
        <w:rPr>
          <w:color w:val="1F497D" w:themeColor="text2"/>
          <w:sz w:val="20"/>
        </w:rPr>
        <w:t>ubmission, p. 3</w:t>
      </w:r>
      <w:r w:rsidR="005D6F39">
        <w:rPr>
          <w:color w:val="1F497D" w:themeColor="text2"/>
          <w:sz w:val="20"/>
        </w:rPr>
        <w:noBreakHyphen/>
      </w:r>
      <w:r w:rsidRPr="00382E91">
        <w:rPr>
          <w:color w:val="1F497D" w:themeColor="text2"/>
          <w:sz w:val="20"/>
        </w:rPr>
        <w:t>4)</w:t>
      </w:r>
      <w:r w:rsidRPr="00331C8A">
        <w:rPr>
          <w:color w:val="1F497D" w:themeColor="text2"/>
          <w:sz w:val="20"/>
        </w:rPr>
        <w:t>.</w:t>
      </w:r>
    </w:p>
    <w:p w14:paraId="5474CDAC" w14:textId="3437B350" w:rsidR="00331C8A" w:rsidRPr="00331C8A" w:rsidRDefault="00331C8A" w:rsidP="00331C8A">
      <w:r w:rsidRPr="00331C8A">
        <w:t xml:space="preserve">If the taxing point is </w:t>
      </w:r>
      <w:r w:rsidR="0001490E">
        <w:t>positioned</w:t>
      </w:r>
      <w:r w:rsidRPr="00331C8A">
        <w:t xml:space="preserve"> part way through the vertically integrated project then a value for the gas needs to be determined at that point. </w:t>
      </w:r>
      <w:r w:rsidR="001F3464" w:rsidRPr="00331C8A">
        <w:t xml:space="preserve">In general, if the approach to resource taxation uses a valuation of the resource at a different point (for example </w:t>
      </w:r>
      <w:r w:rsidR="005D6F39">
        <w:t>‘</w:t>
      </w:r>
      <w:r w:rsidR="001F3464" w:rsidRPr="00331C8A">
        <w:t>at the wellhead</w:t>
      </w:r>
      <w:r w:rsidR="005D6F39">
        <w:t>’</w:t>
      </w:r>
      <w:r w:rsidR="001F3464" w:rsidRPr="00331C8A">
        <w:t>) than the point of sale</w:t>
      </w:r>
      <w:r w:rsidR="00CA4619">
        <w:t>,</w:t>
      </w:r>
      <w:r w:rsidR="001F3464" w:rsidRPr="00331C8A">
        <w:t xml:space="preserve"> then it has to use a mechanism to calculate that price. This applies regardless of whether the resource taxation method is a royalty or a rent tax. Prior to 2001, the PRRT relied on the concept of market value to decide the price at the taxing point. The concept of market valuation has caused many difficulties in tax administration</w:t>
      </w:r>
      <w:r w:rsidR="001F3464" w:rsidRPr="00331C8A">
        <w:rPr>
          <w:vertAlign w:val="superscript"/>
        </w:rPr>
        <w:footnoteReference w:id="30"/>
      </w:r>
      <w:r w:rsidR="001F3464" w:rsidRPr="00331C8A">
        <w:t xml:space="preserve"> and causes particular difficulties where there is no observable market for the transaction that is being valued. In market valuation, like in transfer pricing approaches generally, there are a range of different valuation methods available, many </w:t>
      </w:r>
      <w:r w:rsidR="001F3464">
        <w:t>of which</w:t>
      </w:r>
      <w:r w:rsidR="001F3464" w:rsidRPr="00331C8A">
        <w:t xml:space="preserve"> rely on a series of assumptions and forecasts</w:t>
      </w:r>
      <w:r w:rsidRPr="00331C8A">
        <w:t>.</w:t>
      </w:r>
    </w:p>
    <w:p w14:paraId="2003120F" w14:textId="0375E717" w:rsidR="00331C8A" w:rsidRPr="00331C8A" w:rsidRDefault="001F3464" w:rsidP="00331C8A">
      <w:r w:rsidRPr="00331C8A">
        <w:t xml:space="preserve">The decision </w:t>
      </w:r>
      <w:r>
        <w:t>in 2001</w:t>
      </w:r>
      <w:r w:rsidR="00331C8A" w:rsidRPr="00331C8A">
        <w:t xml:space="preserve"> to rely on the arm</w:t>
      </w:r>
      <w:r w:rsidR="005D6F39">
        <w:t>’</w:t>
      </w:r>
      <w:r w:rsidR="00331C8A" w:rsidRPr="00331C8A">
        <w:t>s length principle that is used primarily for international dealings between related parties where there is no observable market was taken to increase certainty and provide clear guidance on the appropriate way to calculate the price of the sales gas. This is confirmed by the explanatory materials accompanying the introduction of the arm</w:t>
      </w:r>
      <w:r w:rsidR="005D6F39">
        <w:t>’</w:t>
      </w:r>
      <w:r w:rsidR="00331C8A" w:rsidRPr="00331C8A">
        <w:t>s length principle for LNG processing:</w:t>
      </w:r>
    </w:p>
    <w:p w14:paraId="30D8835F" w14:textId="74775E6D" w:rsidR="00331C8A" w:rsidRPr="00331C8A" w:rsidRDefault="00331C8A" w:rsidP="00331C8A">
      <w:pPr>
        <w:ind w:left="567" w:right="565"/>
        <w:rPr>
          <w:color w:val="1F497D" w:themeColor="text2"/>
          <w:sz w:val="20"/>
        </w:rPr>
      </w:pPr>
      <w:r w:rsidRPr="00331C8A">
        <w:rPr>
          <w:color w:val="1F497D" w:themeColor="text2"/>
          <w:sz w:val="20"/>
        </w:rPr>
        <w:t>The current (pre</w:t>
      </w:r>
      <w:r w:rsidR="005D6F39">
        <w:rPr>
          <w:color w:val="1F497D" w:themeColor="text2"/>
          <w:sz w:val="20"/>
        </w:rPr>
        <w:noBreakHyphen/>
      </w:r>
      <w:r w:rsidRPr="00331C8A">
        <w:rPr>
          <w:color w:val="1F497D" w:themeColor="text2"/>
          <w:sz w:val="20"/>
        </w:rPr>
        <w:t>GTP) regime (through disputations and court actions), may produce a taxable value for the gas not dissimilar to a GTP calculated using a methodology. However, the proposed regime provides certainty on the manner in which a taxing value is to be determined</w:t>
      </w:r>
      <w:r w:rsidR="00BC395B">
        <w:rPr>
          <w:color w:val="1F497D" w:themeColor="text2"/>
          <w:sz w:val="20"/>
        </w:rPr>
        <w:t xml:space="preserve"> (Explanatory Memorandum, </w:t>
      </w:r>
      <w:r w:rsidR="00BC395B" w:rsidRPr="00175B49">
        <w:rPr>
          <w:i/>
          <w:color w:val="1F497D" w:themeColor="text2"/>
          <w:sz w:val="20"/>
        </w:rPr>
        <w:t>Tax</w:t>
      </w:r>
      <w:r w:rsidRPr="00175B49">
        <w:rPr>
          <w:i/>
          <w:color w:val="1F497D" w:themeColor="text2"/>
          <w:sz w:val="20"/>
        </w:rPr>
        <w:t xml:space="preserve"> Laws Amendment Bill No</w:t>
      </w:r>
      <w:r w:rsidR="00BC395B" w:rsidRPr="00175B49">
        <w:rPr>
          <w:i/>
          <w:color w:val="1F497D" w:themeColor="text2"/>
          <w:sz w:val="20"/>
        </w:rPr>
        <w:t>.</w:t>
      </w:r>
      <w:r w:rsidRPr="00175B49">
        <w:rPr>
          <w:i/>
          <w:color w:val="1F497D" w:themeColor="text2"/>
          <w:sz w:val="20"/>
        </w:rPr>
        <w:t xml:space="preserve"> 6</w:t>
      </w:r>
      <w:r>
        <w:rPr>
          <w:color w:val="1F497D" w:themeColor="text2"/>
          <w:sz w:val="20"/>
        </w:rPr>
        <w:t xml:space="preserve"> </w:t>
      </w:r>
      <w:r w:rsidR="00382E91" w:rsidRPr="00C57F74">
        <w:rPr>
          <w:i/>
          <w:color w:val="1F497D" w:themeColor="text2"/>
          <w:sz w:val="20"/>
        </w:rPr>
        <w:t>2001</w:t>
      </w:r>
      <w:r w:rsidR="00BC395B" w:rsidRPr="00C57F74">
        <w:rPr>
          <w:i/>
          <w:color w:val="1F497D" w:themeColor="text2"/>
          <w:sz w:val="20"/>
        </w:rPr>
        <w:t xml:space="preserve"> </w:t>
      </w:r>
      <w:r w:rsidR="00BC395B">
        <w:rPr>
          <w:color w:val="1F497D" w:themeColor="text2"/>
          <w:sz w:val="20"/>
        </w:rPr>
        <w:t xml:space="preserve">(Cth), p. </w:t>
      </w:r>
      <w:r w:rsidRPr="00382E91">
        <w:rPr>
          <w:color w:val="1F497D" w:themeColor="text2"/>
          <w:sz w:val="20"/>
        </w:rPr>
        <w:t>19)</w:t>
      </w:r>
      <w:r w:rsidR="003D01CE">
        <w:rPr>
          <w:color w:val="1F497D" w:themeColor="text2"/>
          <w:sz w:val="20"/>
        </w:rPr>
        <w:t>.</w:t>
      </w:r>
    </w:p>
    <w:p w14:paraId="7D3496A5" w14:textId="3DEDEB63" w:rsidR="00331C8A" w:rsidRPr="00331C8A" w:rsidRDefault="001F3464" w:rsidP="00331C8A">
      <w:r w:rsidRPr="00331C8A">
        <w:t xml:space="preserve">The ExxonMobil </w:t>
      </w:r>
      <w:r w:rsidR="00A22A9F">
        <w:t>Australia</w:t>
      </w:r>
      <w:r w:rsidRPr="00331C8A">
        <w:t xml:space="preserve"> submission highlights the value to </w:t>
      </w:r>
      <w:r>
        <w:t>the</w:t>
      </w:r>
      <w:r w:rsidR="00331C8A" w:rsidRPr="00331C8A">
        <w:t xml:space="preserve"> industry of clear guidelines for calculating the price:</w:t>
      </w:r>
    </w:p>
    <w:p w14:paraId="65842E8D" w14:textId="365E75E8" w:rsidR="00331C8A" w:rsidRPr="00331C8A" w:rsidRDefault="00331C8A" w:rsidP="00331C8A">
      <w:pPr>
        <w:ind w:left="567" w:right="565"/>
        <w:rPr>
          <w:color w:val="1F497D" w:themeColor="text2"/>
          <w:sz w:val="20"/>
        </w:rPr>
      </w:pPr>
      <w:r w:rsidRPr="00331C8A">
        <w:rPr>
          <w:color w:val="1F497D" w:themeColor="text2"/>
          <w:sz w:val="20"/>
        </w:rPr>
        <w:t>Absent these rules, the parties would fall back to the general PRRT provisions that require a taxpayer to return the market value of a Marketable Petroleum Commodity that becomes an excluded commodity without being sold at the point immediately before it becomes an excluded commodity. There would be no increased transparency from this</w:t>
      </w:r>
      <w:r w:rsidR="005D6F39">
        <w:rPr>
          <w:color w:val="1F497D" w:themeColor="text2"/>
          <w:sz w:val="20"/>
        </w:rPr>
        <w:t xml:space="preserve"> — </w:t>
      </w:r>
      <w:r w:rsidRPr="00331C8A">
        <w:rPr>
          <w:color w:val="1F497D" w:themeColor="text2"/>
          <w:sz w:val="20"/>
        </w:rPr>
        <w:t xml:space="preserve">but likely, increased disputation and increased risk for project proponents for new LNG projects, with little, if any additional tax being paid </w:t>
      </w:r>
      <w:r w:rsidRPr="00382E91">
        <w:rPr>
          <w:color w:val="1F497D" w:themeColor="text2"/>
          <w:sz w:val="20"/>
        </w:rPr>
        <w:t xml:space="preserve">(ExxonMobil </w:t>
      </w:r>
      <w:r w:rsidR="00A22A9F">
        <w:rPr>
          <w:color w:val="1F497D" w:themeColor="text2"/>
          <w:sz w:val="20"/>
        </w:rPr>
        <w:t xml:space="preserve">Australia </w:t>
      </w:r>
      <w:r w:rsidR="0001490E">
        <w:rPr>
          <w:color w:val="1F497D" w:themeColor="text2"/>
          <w:sz w:val="20"/>
        </w:rPr>
        <w:t>s</w:t>
      </w:r>
      <w:r w:rsidR="00B20D87">
        <w:rPr>
          <w:color w:val="1F497D" w:themeColor="text2"/>
          <w:sz w:val="20"/>
        </w:rPr>
        <w:t>ubmission</w:t>
      </w:r>
      <w:r w:rsidR="001F3464" w:rsidRPr="00382E91">
        <w:rPr>
          <w:color w:val="1F497D" w:themeColor="text2"/>
          <w:sz w:val="20"/>
        </w:rPr>
        <w:t>, p.</w:t>
      </w:r>
      <w:r w:rsidR="00B20D87">
        <w:rPr>
          <w:color w:val="1F497D" w:themeColor="text2"/>
          <w:sz w:val="20"/>
        </w:rPr>
        <w:t> </w:t>
      </w:r>
      <w:r w:rsidRPr="00382E91">
        <w:rPr>
          <w:color w:val="1F497D" w:themeColor="text2"/>
          <w:sz w:val="20"/>
        </w:rPr>
        <w:t>5</w:t>
      </w:r>
      <w:r w:rsidR="005D6F39">
        <w:rPr>
          <w:color w:val="1F497D" w:themeColor="text2"/>
          <w:sz w:val="20"/>
        </w:rPr>
        <w:noBreakHyphen/>
      </w:r>
      <w:r w:rsidRPr="00382E91">
        <w:rPr>
          <w:color w:val="1F497D" w:themeColor="text2"/>
          <w:sz w:val="20"/>
        </w:rPr>
        <w:t>6)</w:t>
      </w:r>
      <w:r w:rsidRPr="00331C8A">
        <w:rPr>
          <w:color w:val="1F497D" w:themeColor="text2"/>
          <w:sz w:val="20"/>
        </w:rPr>
        <w:t>.</w:t>
      </w:r>
    </w:p>
    <w:p w14:paraId="1AFAC5BF" w14:textId="523DE933" w:rsidR="00331C8A" w:rsidRPr="00331C8A" w:rsidRDefault="00331C8A" w:rsidP="00331C8A">
      <w:r w:rsidRPr="00331C8A">
        <w:t>The use of the arm</w:t>
      </w:r>
      <w:r w:rsidR="005D6F39">
        <w:t>’</w:t>
      </w:r>
      <w:r w:rsidRPr="00331C8A">
        <w:t>s length test and transfer pricing principles is consistent with the underlying design of the PRRT and is an appropriate way to determine the value of the sales gas at the taxing point. The use of the arm</w:t>
      </w:r>
      <w:r w:rsidR="005D6F39">
        <w:t>’</w:t>
      </w:r>
      <w:r w:rsidRPr="00331C8A">
        <w:t xml:space="preserve">s length test and the transfer pricing principles </w:t>
      </w:r>
      <w:r w:rsidR="001F3464">
        <w:t>has clear advantages over</w:t>
      </w:r>
      <w:r w:rsidRPr="00331C8A">
        <w:t xml:space="preserve"> a market value test.</w:t>
      </w:r>
    </w:p>
    <w:p w14:paraId="2180E0CB" w14:textId="1DBF6617" w:rsidR="00331C8A" w:rsidRPr="00BC395B" w:rsidRDefault="00913F3E" w:rsidP="006F4D5A">
      <w:pPr>
        <w:pStyle w:val="Heading2"/>
      </w:pPr>
      <w:bookmarkStart w:id="10929" w:name="_Toc476566688"/>
      <w:bookmarkStart w:id="10930" w:name="_Toc476577375"/>
      <w:bookmarkStart w:id="10931" w:name="_Toc476582364"/>
      <w:bookmarkStart w:id="10932" w:name="_Toc476583038"/>
      <w:bookmarkStart w:id="10933" w:name="_Toc476583755"/>
      <w:bookmarkStart w:id="10934" w:name="_Toc476584203"/>
      <w:bookmarkStart w:id="10935" w:name="_Toc476738111"/>
      <w:bookmarkStart w:id="10936" w:name="_Toc476747696"/>
      <w:bookmarkStart w:id="10937" w:name="_Toc476749106"/>
      <w:bookmarkStart w:id="10938" w:name="_Toc476753973"/>
      <w:bookmarkStart w:id="10939" w:name="_Toc476754468"/>
      <w:bookmarkStart w:id="10940" w:name="_Toc476754633"/>
      <w:bookmarkStart w:id="10941" w:name="_Toc476759872"/>
      <w:bookmarkStart w:id="10942" w:name="_Toc476761494"/>
      <w:bookmarkStart w:id="10943" w:name="_Toc476767132"/>
      <w:bookmarkStart w:id="10944" w:name="_Toc476827178"/>
      <w:bookmarkStart w:id="10945" w:name="_Toc476828871"/>
      <w:bookmarkStart w:id="10946" w:name="_Toc476833745"/>
      <w:bookmarkStart w:id="10947" w:name="_Toc476837218"/>
      <w:bookmarkStart w:id="10948" w:name="_Toc476841091"/>
      <w:bookmarkStart w:id="10949" w:name="_Toc476841296"/>
      <w:bookmarkStart w:id="10950" w:name="_Toc476842055"/>
      <w:bookmarkStart w:id="10951" w:name="_Toc476842999"/>
      <w:bookmarkStart w:id="10952" w:name="_Toc476843170"/>
      <w:bookmarkStart w:id="10953" w:name="_Toc476844668"/>
      <w:bookmarkStart w:id="10954" w:name="_Toc476845561"/>
      <w:bookmarkStart w:id="10955" w:name="_Toc476926954"/>
      <w:bookmarkStart w:id="10956" w:name="_Toc476927067"/>
      <w:bookmarkStart w:id="10957" w:name="_Toc476927241"/>
      <w:bookmarkStart w:id="10958" w:name="_Toc476928505"/>
      <w:bookmarkStart w:id="10959" w:name="_Toc476929548"/>
      <w:bookmarkStart w:id="10960" w:name="_Toc476929723"/>
      <w:bookmarkStart w:id="10961" w:name="_Toc476930766"/>
      <w:bookmarkStart w:id="10962" w:name="_Toc476931573"/>
      <w:bookmarkStart w:id="10963" w:name="_Toc477869964"/>
      <w:bookmarkStart w:id="10964" w:name="_Toc477871203"/>
      <w:bookmarkStart w:id="10965" w:name="_Toc477873362"/>
      <w:bookmarkStart w:id="10966" w:name="_Toc477875356"/>
      <w:bookmarkStart w:id="10967" w:name="_Toc477880269"/>
      <w:bookmarkStart w:id="10968" w:name="_Toc477881529"/>
      <w:bookmarkStart w:id="10969" w:name="_Toc477955933"/>
      <w:bookmarkStart w:id="10970" w:name="_Toc477963178"/>
      <w:bookmarkStart w:id="10971" w:name="_Toc477963664"/>
      <w:bookmarkStart w:id="10972" w:name="_Toc477965250"/>
      <w:bookmarkStart w:id="10973" w:name="_Toc477966754"/>
      <w:bookmarkStart w:id="10974" w:name="_Toc477966923"/>
      <w:bookmarkStart w:id="10975" w:name="_Toc477967263"/>
      <w:bookmarkStart w:id="10976" w:name="_Toc478121400"/>
      <w:bookmarkStart w:id="10977" w:name="_Toc478122313"/>
      <w:bookmarkStart w:id="10978" w:name="_Toc478132143"/>
      <w:bookmarkStart w:id="10979" w:name="_Toc478133313"/>
      <w:bookmarkStart w:id="10980" w:name="_Toc478132450"/>
      <w:bookmarkStart w:id="10981" w:name="_Toc478134779"/>
      <w:bookmarkStart w:id="10982" w:name="_Toc478137481"/>
      <w:bookmarkStart w:id="10983" w:name="_Toc478138553"/>
      <w:bookmarkStart w:id="10984" w:name="_Toc478140123"/>
      <w:bookmarkStart w:id="10985" w:name="_Toc478140539"/>
      <w:bookmarkStart w:id="10986" w:name="_Toc478142745"/>
      <w:bookmarkStart w:id="10987" w:name="_Toc478566464"/>
      <w:bookmarkStart w:id="10988" w:name="_Toc478569631"/>
      <w:bookmarkStart w:id="10989" w:name="_Toc478569805"/>
      <w:bookmarkStart w:id="10990" w:name="_Toc478570879"/>
      <w:bookmarkStart w:id="10991" w:name="_Toc478633078"/>
      <w:bookmarkStart w:id="10992" w:name="_Toc478641488"/>
      <w:bookmarkStart w:id="10993" w:name="_Toc478654382"/>
      <w:bookmarkStart w:id="10994" w:name="_Toc478654556"/>
      <w:bookmarkStart w:id="10995" w:name="_Toc478657851"/>
      <w:bookmarkStart w:id="10996" w:name="_Toc478992519"/>
      <w:bookmarkStart w:id="10997" w:name="_Toc478992691"/>
      <w:bookmarkStart w:id="10998" w:name="_Toc479254423"/>
      <w:bookmarkStart w:id="10999" w:name="_Toc479258612"/>
      <w:bookmarkStart w:id="11000" w:name="_Toc479258928"/>
      <w:bookmarkStart w:id="11001" w:name="_Toc479259820"/>
      <w:bookmarkStart w:id="11002" w:name="_Toc479262243"/>
      <w:bookmarkStart w:id="11003" w:name="_Toc479262664"/>
      <w:bookmarkStart w:id="11004" w:name="_Toc479321365"/>
      <w:bookmarkStart w:id="11005" w:name="_Toc479326804"/>
      <w:bookmarkStart w:id="11006" w:name="_Toc479333065"/>
      <w:bookmarkStart w:id="11007" w:name="_Toc479333403"/>
      <w:bookmarkStart w:id="11008" w:name="_Toc479335100"/>
      <w:bookmarkStart w:id="11009" w:name="_Toc479341815"/>
      <w:bookmarkStart w:id="11010" w:name="_Toc479345231"/>
      <w:bookmarkStart w:id="11011" w:name="_Toc479345440"/>
      <w:bookmarkStart w:id="11012" w:name="_Toc479348421"/>
      <w:bookmarkStart w:id="11013" w:name="_Toc479676014"/>
      <w:bookmarkStart w:id="11014" w:name="_Toc479690981"/>
      <w:bookmarkStart w:id="11015" w:name="_Toc479693559"/>
      <w:bookmarkStart w:id="11016" w:name="_Toc479770728"/>
      <w:r>
        <w:t>D</w:t>
      </w:r>
      <w:r w:rsidR="00BB4A2A" w:rsidRPr="00BC395B">
        <w:t>.</w:t>
      </w:r>
      <w:r w:rsidR="00331C8A" w:rsidRPr="00BC395B">
        <w:t>5</w:t>
      </w:r>
      <w:r w:rsidR="00331C8A" w:rsidRPr="00BC395B">
        <w:tab/>
        <w:t>Transparency</w:t>
      </w:r>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r w:rsidR="00331C8A" w:rsidRPr="00BC395B">
        <w:t xml:space="preserve"> of Gas Transfer Pricing</w:t>
      </w:r>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p>
    <w:p w14:paraId="683C8C42" w14:textId="77777777" w:rsidR="00331C8A" w:rsidRPr="00331C8A" w:rsidRDefault="00331C8A" w:rsidP="00331C8A">
      <w:r w:rsidRPr="00331C8A">
        <w:t xml:space="preserve">Some submissions </w:t>
      </w:r>
      <w:r w:rsidR="00AE074C">
        <w:t>and public commentary have</w:t>
      </w:r>
      <w:r w:rsidRPr="00331C8A">
        <w:t xml:space="preserve"> called for greater transparency in relation to how the gas transfer price is calculated.</w:t>
      </w:r>
    </w:p>
    <w:p w14:paraId="75DDA8E0" w14:textId="194A7F99" w:rsidR="00331C8A" w:rsidRPr="00331C8A" w:rsidRDefault="00331C8A" w:rsidP="00331C8A">
      <w:pPr>
        <w:ind w:left="567" w:right="565"/>
        <w:rPr>
          <w:color w:val="1F497D" w:themeColor="text2"/>
          <w:sz w:val="20"/>
        </w:rPr>
      </w:pPr>
      <w:r w:rsidRPr="00331C8A">
        <w:rPr>
          <w:color w:val="1F497D" w:themeColor="text2"/>
          <w:sz w:val="20"/>
        </w:rPr>
        <w:t>To further increase the transparency of the PRRT, the value and calculation method of wellhead gas should also be made public, and should be re</w:t>
      </w:r>
      <w:r w:rsidR="005D6F39">
        <w:rPr>
          <w:color w:val="1F497D" w:themeColor="text2"/>
          <w:sz w:val="20"/>
        </w:rPr>
        <w:noBreakHyphen/>
      </w:r>
      <w:r w:rsidRPr="00331C8A">
        <w:rPr>
          <w:color w:val="1F497D" w:themeColor="text2"/>
          <w:sz w:val="20"/>
        </w:rPr>
        <w:t>evaluated to ensure the Australian people are paid a fair price for their natural resources. These prices are calculated behind closed</w:t>
      </w:r>
      <w:r w:rsidR="005D6F39">
        <w:rPr>
          <w:color w:val="1F497D" w:themeColor="text2"/>
          <w:sz w:val="20"/>
        </w:rPr>
        <w:noBreakHyphen/>
      </w:r>
      <w:r w:rsidRPr="00331C8A">
        <w:rPr>
          <w:color w:val="1F497D" w:themeColor="text2"/>
          <w:sz w:val="20"/>
        </w:rPr>
        <w:t xml:space="preserve">doors and there is no market to which to compare these </w:t>
      </w:r>
      <w:r w:rsidRPr="00382E91">
        <w:rPr>
          <w:color w:val="1F497D" w:themeColor="text2"/>
          <w:sz w:val="20"/>
        </w:rPr>
        <w:t xml:space="preserve">(Australian Council of Trade Unions </w:t>
      </w:r>
      <w:r w:rsidR="0001490E">
        <w:rPr>
          <w:color w:val="1F497D" w:themeColor="text2"/>
          <w:sz w:val="20"/>
        </w:rPr>
        <w:t>s</w:t>
      </w:r>
      <w:r w:rsidR="001F3464" w:rsidRPr="00382E91">
        <w:rPr>
          <w:color w:val="1F497D" w:themeColor="text2"/>
          <w:sz w:val="20"/>
        </w:rPr>
        <w:t>ubmission, p.</w:t>
      </w:r>
      <w:r w:rsidRPr="00382E91">
        <w:rPr>
          <w:color w:val="1F497D" w:themeColor="text2"/>
          <w:sz w:val="20"/>
        </w:rPr>
        <w:t xml:space="preserve"> 2)</w:t>
      </w:r>
      <w:r w:rsidRPr="00331C8A">
        <w:rPr>
          <w:color w:val="1F497D" w:themeColor="text2"/>
          <w:sz w:val="20"/>
        </w:rPr>
        <w:t>.</w:t>
      </w:r>
    </w:p>
    <w:p w14:paraId="53A47E9A" w14:textId="2309C4F0" w:rsidR="00331C8A" w:rsidRPr="00331C8A" w:rsidRDefault="00331C8A" w:rsidP="00331C8A">
      <w:pPr>
        <w:ind w:left="567" w:right="565"/>
        <w:rPr>
          <w:color w:val="1F497D" w:themeColor="text2"/>
          <w:sz w:val="20"/>
        </w:rPr>
      </w:pPr>
      <w:r w:rsidRPr="00331C8A">
        <w:rPr>
          <w:color w:val="1F497D" w:themeColor="text2"/>
          <w:sz w:val="20"/>
        </w:rPr>
        <w:t xml:space="preserve">Advance Pricing Arrangements should be made transparent to the public, much like the Australian Tax Office </w:t>
      </w:r>
      <w:r w:rsidR="005D6F39">
        <w:rPr>
          <w:color w:val="1F497D" w:themeColor="text2"/>
          <w:sz w:val="20"/>
        </w:rPr>
        <w:t>‘</w:t>
      </w:r>
      <w:r w:rsidRPr="00331C8A">
        <w:rPr>
          <w:color w:val="1F497D" w:themeColor="text2"/>
          <w:sz w:val="20"/>
        </w:rPr>
        <w:t>sanitised</w:t>
      </w:r>
      <w:r w:rsidR="005D6F39">
        <w:rPr>
          <w:color w:val="1F497D" w:themeColor="text2"/>
          <w:sz w:val="20"/>
        </w:rPr>
        <w:t>’</w:t>
      </w:r>
      <w:r w:rsidRPr="00331C8A">
        <w:rPr>
          <w:color w:val="1F497D" w:themeColor="text2"/>
          <w:sz w:val="20"/>
        </w:rPr>
        <w:t xml:space="preserve"> private rulings or interpretive decisions (</w:t>
      </w:r>
      <w:r w:rsidRPr="00382E91">
        <w:rPr>
          <w:color w:val="1F497D" w:themeColor="text2"/>
          <w:sz w:val="20"/>
        </w:rPr>
        <w:t xml:space="preserve">Dr Diane Kraal </w:t>
      </w:r>
      <w:r w:rsidR="0001490E">
        <w:rPr>
          <w:color w:val="1F497D" w:themeColor="text2"/>
          <w:sz w:val="20"/>
        </w:rPr>
        <w:t>s</w:t>
      </w:r>
      <w:r w:rsidR="001F3464" w:rsidRPr="00382E91">
        <w:rPr>
          <w:color w:val="1F497D" w:themeColor="text2"/>
          <w:sz w:val="20"/>
        </w:rPr>
        <w:t>ubmission</w:t>
      </w:r>
      <w:r w:rsidR="001F3464">
        <w:rPr>
          <w:color w:val="1F497D" w:themeColor="text2"/>
          <w:sz w:val="20"/>
        </w:rPr>
        <w:t>, p.</w:t>
      </w:r>
      <w:r w:rsidR="00AE074C">
        <w:rPr>
          <w:color w:val="1F497D" w:themeColor="text2"/>
          <w:sz w:val="20"/>
        </w:rPr>
        <w:t xml:space="preserve"> 2</w:t>
      </w:r>
      <w:r w:rsidRPr="00331C8A">
        <w:rPr>
          <w:color w:val="1F497D" w:themeColor="text2"/>
          <w:sz w:val="20"/>
        </w:rPr>
        <w:t>)</w:t>
      </w:r>
      <w:r w:rsidR="00AE074C">
        <w:rPr>
          <w:color w:val="1F497D" w:themeColor="text2"/>
          <w:sz w:val="20"/>
        </w:rPr>
        <w:t>.</w:t>
      </w:r>
    </w:p>
    <w:p w14:paraId="6899C311" w14:textId="299CEF5D" w:rsidR="00331C8A" w:rsidRPr="00331C8A" w:rsidRDefault="00331C8A" w:rsidP="00331C8A">
      <w:pPr>
        <w:ind w:left="567" w:right="565"/>
        <w:rPr>
          <w:color w:val="1F497D" w:themeColor="text2"/>
          <w:sz w:val="20"/>
        </w:rPr>
      </w:pPr>
      <w:r w:rsidRPr="00331C8A">
        <w:rPr>
          <w:color w:val="1F497D" w:themeColor="text2"/>
          <w:sz w:val="20"/>
        </w:rPr>
        <w:t>The large accounting firms interpret the [gas transfer price methodology] for their clients</w:t>
      </w:r>
      <w:r w:rsidR="005D6F39">
        <w:rPr>
          <w:color w:val="1F497D" w:themeColor="text2"/>
          <w:sz w:val="20"/>
        </w:rPr>
        <w:t>’</w:t>
      </w:r>
      <w:r w:rsidRPr="00331C8A">
        <w:rPr>
          <w:color w:val="1F497D" w:themeColor="text2"/>
          <w:sz w:val="20"/>
        </w:rPr>
        <w:t xml:space="preserve"> integrated gas to liquids projects, but the workings are not available for community scrutiny </w:t>
      </w:r>
      <w:r w:rsidR="00AE074C">
        <w:rPr>
          <w:color w:val="1F497D" w:themeColor="text2"/>
          <w:sz w:val="20"/>
        </w:rPr>
        <w:t>(</w:t>
      </w:r>
      <w:r w:rsidRPr="00382E91">
        <w:rPr>
          <w:color w:val="1F497D" w:themeColor="text2"/>
          <w:sz w:val="20"/>
        </w:rPr>
        <w:t>Kraal, 2016).</w:t>
      </w:r>
    </w:p>
    <w:p w14:paraId="6DDD5D4E" w14:textId="69CAF3DB" w:rsidR="00331C8A" w:rsidRPr="00331C8A" w:rsidRDefault="00331C8A" w:rsidP="00221ACF">
      <w:pPr>
        <w:tabs>
          <w:tab w:val="center" w:pos="4535"/>
        </w:tabs>
      </w:pPr>
      <w:r w:rsidRPr="00331C8A">
        <w:t>In its submission</w:t>
      </w:r>
      <w:r w:rsidR="0001490E">
        <w:t>,</w:t>
      </w:r>
      <w:r w:rsidRPr="00331C8A">
        <w:t xml:space="preserve"> the ATO states that:</w:t>
      </w:r>
      <w:r w:rsidR="001F3464" w:rsidRPr="00331C8A">
        <w:t xml:space="preserve"> </w:t>
      </w:r>
    </w:p>
    <w:p w14:paraId="60517C62" w14:textId="322C5523" w:rsidR="00331C8A" w:rsidRPr="00331C8A" w:rsidRDefault="00331C8A" w:rsidP="00331C8A">
      <w:pPr>
        <w:ind w:left="567" w:right="565"/>
        <w:rPr>
          <w:color w:val="1F497D" w:themeColor="text2"/>
          <w:sz w:val="20"/>
        </w:rPr>
      </w:pPr>
      <w:r w:rsidRPr="00331C8A">
        <w:rPr>
          <w:color w:val="1F497D" w:themeColor="text2"/>
          <w:sz w:val="20"/>
        </w:rPr>
        <w:t xml:space="preserve">The details of how each taxpayer may have applied the Regulation to their particular circumstances are not publicly disclosed by the ATO due to the secrecy and privacy provisions contained in the </w:t>
      </w:r>
      <w:r w:rsidRPr="00331C8A">
        <w:rPr>
          <w:i/>
          <w:color w:val="1F497D" w:themeColor="text2"/>
          <w:sz w:val="20"/>
        </w:rPr>
        <w:t>Taxation Administration Act 1953</w:t>
      </w:r>
      <w:r w:rsidRPr="00331C8A">
        <w:rPr>
          <w:color w:val="1F497D" w:themeColor="text2"/>
          <w:sz w:val="20"/>
        </w:rPr>
        <w:t xml:space="preserve">, which makes it an offence for taxation officers to disclose such information except in specified circumstances. However, the ATO has adopted a mix of strategies including risk reviews, audits, ACAs, APAs and guidance to assist and monitor taxpayer compliance with the requirements of the Regulation </w:t>
      </w:r>
      <w:r w:rsidRPr="00382E91">
        <w:rPr>
          <w:color w:val="1F497D" w:themeColor="text2"/>
          <w:sz w:val="20"/>
        </w:rPr>
        <w:t xml:space="preserve">(ATO </w:t>
      </w:r>
      <w:r w:rsidR="0001490E">
        <w:rPr>
          <w:color w:val="1F497D" w:themeColor="text2"/>
          <w:sz w:val="20"/>
        </w:rPr>
        <w:t>s</w:t>
      </w:r>
      <w:r w:rsidR="001F3464" w:rsidRPr="00382E91">
        <w:rPr>
          <w:color w:val="1F497D" w:themeColor="text2"/>
          <w:sz w:val="20"/>
        </w:rPr>
        <w:t>ubmission, p.</w:t>
      </w:r>
      <w:r w:rsidRPr="00382E91">
        <w:rPr>
          <w:color w:val="1F497D" w:themeColor="text2"/>
          <w:sz w:val="20"/>
        </w:rPr>
        <w:t xml:space="preserve"> 20)</w:t>
      </w:r>
      <w:r w:rsidRPr="00331C8A">
        <w:rPr>
          <w:color w:val="1F497D" w:themeColor="text2"/>
          <w:sz w:val="20"/>
        </w:rPr>
        <w:t>.</w:t>
      </w:r>
    </w:p>
    <w:p w14:paraId="311DAFF7" w14:textId="25E31EE4" w:rsidR="00331C8A" w:rsidRPr="00331C8A" w:rsidRDefault="00331C8A" w:rsidP="00331C8A">
      <w:r w:rsidRPr="00331C8A">
        <w:t xml:space="preserve">Existing transparency provisions in relation the PRRT do not extend to information about how the gas transfer price is calculated. The information used to calculate an RPM price uses information about contractual arrangements and internal costs that would usually be </w:t>
      </w:r>
      <w:r w:rsidR="005D6F39">
        <w:t>‘</w:t>
      </w:r>
      <w:r w:rsidRPr="00331C8A">
        <w:t>commercial in confidence</w:t>
      </w:r>
      <w:r w:rsidR="005D6F39">
        <w:t>’</w:t>
      </w:r>
      <w:r w:rsidRPr="00331C8A">
        <w:t xml:space="preserve"> information.</w:t>
      </w:r>
    </w:p>
    <w:p w14:paraId="5AF473F1" w14:textId="3B6C0BA0" w:rsidR="001F3464" w:rsidRPr="00331C8A" w:rsidDel="00E07632" w:rsidRDefault="001F3464" w:rsidP="001F3464">
      <w:r w:rsidRPr="00331C8A">
        <w:t>Transparency around gas transfer price calculations or publishing APA arrangements</w:t>
      </w:r>
      <w:r>
        <w:t xml:space="preserve"> (see </w:t>
      </w:r>
      <w:r w:rsidR="00F25741" w:rsidRPr="006D28D4">
        <w:t>Appendix B.1.8</w:t>
      </w:r>
      <w:r>
        <w:t>)</w:t>
      </w:r>
      <w:r w:rsidRPr="00331C8A">
        <w:t xml:space="preserve"> would result in commercially sensitive information being made public. Such information could potentially be damaging to the commercial interests of the entities and could </w:t>
      </w:r>
      <w:r>
        <w:t>affect</w:t>
      </w:r>
      <w:r w:rsidRPr="00331C8A">
        <w:t xml:space="preserve"> market negotiations because of access to the information. This could result in outcomes that do</w:t>
      </w:r>
      <w:r>
        <w:t xml:space="preserve"> not</w:t>
      </w:r>
      <w:r w:rsidRPr="00331C8A">
        <w:t xml:space="preserve"> reflect market </w:t>
      </w:r>
      <w:r>
        <w:t>realities</w:t>
      </w:r>
      <w:r w:rsidRPr="00331C8A">
        <w:t xml:space="preserve"> and potentially impact the amount of assessable PRRT receipts </w:t>
      </w:r>
      <w:r>
        <w:t>within the PRRT ring fence</w:t>
      </w:r>
      <w:r w:rsidRPr="00331C8A">
        <w:t>.</w:t>
      </w:r>
    </w:p>
    <w:p w14:paraId="6F10BCE4" w14:textId="77777777" w:rsidR="00331C8A" w:rsidRPr="00331C8A" w:rsidRDefault="00331C8A" w:rsidP="00331C8A">
      <w:r w:rsidRPr="00331C8A">
        <w:t xml:space="preserve">When the </w:t>
      </w:r>
      <w:r w:rsidR="00EC704C">
        <w:t>GTP</w:t>
      </w:r>
      <w:r w:rsidRPr="00331C8A">
        <w:t xml:space="preserve"> regulations were adopted one of the justifications was that the resulting methodology and assumptions would be more transparent and provide a consistent approach for these calculations across industry:</w:t>
      </w:r>
    </w:p>
    <w:p w14:paraId="702B5695" w14:textId="77777777" w:rsidR="00382E91" w:rsidRPr="00331C8A" w:rsidRDefault="00331C8A" w:rsidP="00331C8A">
      <w:pPr>
        <w:ind w:left="567" w:right="565"/>
        <w:rPr>
          <w:color w:val="1F497D" w:themeColor="text2"/>
          <w:sz w:val="20"/>
        </w:rPr>
      </w:pPr>
      <w:bookmarkStart w:id="11017" w:name="_Toc476926955"/>
      <w:bookmarkStart w:id="11018" w:name="_Toc476927068"/>
      <w:bookmarkStart w:id="11019" w:name="_Toc476927242"/>
      <w:bookmarkStart w:id="11020" w:name="_Toc476928506"/>
      <w:bookmarkStart w:id="11021" w:name="_Toc476929549"/>
      <w:bookmarkStart w:id="11022" w:name="_Toc476929724"/>
      <w:bookmarkStart w:id="11023" w:name="_Toc476930767"/>
      <w:bookmarkStart w:id="11024" w:name="_Toc476931574"/>
      <w:bookmarkStart w:id="11025" w:name="_Toc477869965"/>
      <w:bookmarkStart w:id="11026" w:name="_Toc477871204"/>
      <w:bookmarkStart w:id="11027" w:name="_Toc477873363"/>
      <w:bookmarkStart w:id="11028" w:name="_Toc477875357"/>
      <w:bookmarkStart w:id="11029" w:name="_Toc477880270"/>
      <w:bookmarkStart w:id="11030" w:name="_Toc477881530"/>
      <w:bookmarkStart w:id="11031" w:name="_Toc477955934"/>
      <w:bookmarkStart w:id="11032" w:name="_Toc477963179"/>
      <w:bookmarkStart w:id="11033" w:name="_Toc477963665"/>
      <w:bookmarkStart w:id="11034" w:name="_Toc477965251"/>
      <w:bookmarkStart w:id="11035" w:name="_Toc477966755"/>
      <w:bookmarkStart w:id="11036" w:name="_Toc477966924"/>
      <w:bookmarkStart w:id="11037" w:name="_Toc477967264"/>
      <w:bookmarkStart w:id="11038" w:name="_Toc476566689"/>
      <w:bookmarkStart w:id="11039" w:name="_Toc476577376"/>
      <w:bookmarkStart w:id="11040" w:name="_Toc476582365"/>
      <w:bookmarkStart w:id="11041" w:name="_Toc476583039"/>
      <w:bookmarkStart w:id="11042" w:name="_Toc476583756"/>
      <w:bookmarkStart w:id="11043" w:name="_Toc476584204"/>
      <w:bookmarkStart w:id="11044" w:name="_Toc476738112"/>
      <w:bookmarkStart w:id="11045" w:name="_Toc476747697"/>
      <w:bookmarkStart w:id="11046" w:name="_Toc476749107"/>
      <w:bookmarkStart w:id="11047" w:name="_Toc476753974"/>
      <w:bookmarkStart w:id="11048" w:name="_Toc476754469"/>
      <w:bookmarkStart w:id="11049" w:name="_Toc476754634"/>
      <w:bookmarkStart w:id="11050" w:name="_Toc476759873"/>
      <w:bookmarkStart w:id="11051" w:name="_Toc476761495"/>
      <w:bookmarkStart w:id="11052" w:name="_Toc476767133"/>
      <w:bookmarkStart w:id="11053" w:name="_Toc476827179"/>
      <w:bookmarkStart w:id="11054" w:name="_Toc476828872"/>
      <w:bookmarkStart w:id="11055" w:name="_Toc476833746"/>
      <w:bookmarkStart w:id="11056" w:name="_Toc476837219"/>
      <w:bookmarkStart w:id="11057" w:name="_Toc476841092"/>
      <w:bookmarkStart w:id="11058" w:name="_Toc476841297"/>
      <w:bookmarkStart w:id="11059" w:name="_Toc476842056"/>
      <w:bookmarkStart w:id="11060" w:name="_Toc476843000"/>
      <w:bookmarkStart w:id="11061" w:name="_Toc476843171"/>
      <w:bookmarkStart w:id="11062" w:name="_Toc476844669"/>
      <w:bookmarkStart w:id="11063" w:name="_Toc476845562"/>
      <w:r w:rsidRPr="00331C8A">
        <w:rPr>
          <w:color w:val="1F497D" w:themeColor="text2"/>
          <w:sz w:val="20"/>
        </w:rPr>
        <w:t>The introduction of a clearly defined mechanism for the determination of a GTP will provide increased regulatory transparency for industry involved, or planning on being involved, in GTL operations in Australia. The implementation of a mechanism will provide industry with greater certainty with regard to GTL projects, assisting them in assessing the viability of proposed projects</w:t>
      </w:r>
      <w:r w:rsidR="00382E91">
        <w:rPr>
          <w:color w:val="1F497D" w:themeColor="text2"/>
          <w:sz w:val="20"/>
        </w:rPr>
        <w:t xml:space="preserve"> (Explanatory Memorandum, </w:t>
      </w:r>
      <w:r w:rsidR="00382E91" w:rsidRPr="00175B49">
        <w:rPr>
          <w:i/>
          <w:color w:val="1F497D" w:themeColor="text2"/>
          <w:sz w:val="20"/>
        </w:rPr>
        <w:t>Tax Laws Amendment Bill No. 6</w:t>
      </w:r>
      <w:r w:rsidR="00382E91" w:rsidRPr="00C57F74">
        <w:rPr>
          <w:i/>
          <w:color w:val="1F497D" w:themeColor="text2"/>
          <w:sz w:val="20"/>
        </w:rPr>
        <w:t xml:space="preserve"> 2001 (</w:t>
      </w:r>
      <w:r w:rsidR="00382E91">
        <w:rPr>
          <w:color w:val="1F497D" w:themeColor="text2"/>
          <w:sz w:val="20"/>
        </w:rPr>
        <w:t>Cth), p. 18).</w:t>
      </w:r>
    </w:p>
    <w:p w14:paraId="49A59793" w14:textId="77777777" w:rsidR="004A6DA3" w:rsidRDefault="004A6DA3" w:rsidP="00331C8A">
      <w:r>
        <w:t xml:space="preserve">The GTP regulations were considered more transparent than </w:t>
      </w:r>
      <w:r w:rsidR="001F3464">
        <w:t>alternative options.</w:t>
      </w:r>
    </w:p>
    <w:p w14:paraId="70B4CF92" w14:textId="6EABA6CC" w:rsidR="00331C8A" w:rsidRPr="00382E91" w:rsidRDefault="00913F3E" w:rsidP="006F4D5A">
      <w:pPr>
        <w:pStyle w:val="Heading2"/>
      </w:pPr>
      <w:bookmarkStart w:id="11064" w:name="_Toc478121401"/>
      <w:bookmarkStart w:id="11065" w:name="_Toc478122314"/>
      <w:bookmarkStart w:id="11066" w:name="_Toc478132144"/>
      <w:bookmarkStart w:id="11067" w:name="_Toc478133314"/>
      <w:bookmarkStart w:id="11068" w:name="_Toc478132451"/>
      <w:bookmarkStart w:id="11069" w:name="_Toc478134780"/>
      <w:bookmarkStart w:id="11070" w:name="_Toc478137482"/>
      <w:bookmarkStart w:id="11071" w:name="_Toc478138554"/>
      <w:bookmarkStart w:id="11072" w:name="_Toc478140124"/>
      <w:bookmarkStart w:id="11073" w:name="_Toc478140540"/>
      <w:bookmarkStart w:id="11074" w:name="_Toc478142746"/>
      <w:bookmarkStart w:id="11075" w:name="_Toc478566465"/>
      <w:bookmarkStart w:id="11076" w:name="_Toc478569632"/>
      <w:bookmarkStart w:id="11077" w:name="_Toc478569806"/>
      <w:bookmarkStart w:id="11078" w:name="_Toc478570880"/>
      <w:bookmarkStart w:id="11079" w:name="_Toc478633079"/>
      <w:bookmarkStart w:id="11080" w:name="_Toc478641489"/>
      <w:bookmarkStart w:id="11081" w:name="_Toc478654383"/>
      <w:bookmarkStart w:id="11082" w:name="_Toc478654557"/>
      <w:bookmarkStart w:id="11083" w:name="_Toc478657852"/>
      <w:bookmarkStart w:id="11084" w:name="_Toc478992520"/>
      <w:bookmarkStart w:id="11085" w:name="_Toc478992692"/>
      <w:bookmarkStart w:id="11086" w:name="_Toc479254424"/>
      <w:bookmarkStart w:id="11087" w:name="_Toc479258613"/>
      <w:bookmarkStart w:id="11088" w:name="_Toc479258929"/>
      <w:bookmarkStart w:id="11089" w:name="_Toc479259821"/>
      <w:bookmarkStart w:id="11090" w:name="_Toc479262244"/>
      <w:bookmarkStart w:id="11091" w:name="_Toc479262665"/>
      <w:bookmarkStart w:id="11092" w:name="_Toc479321366"/>
      <w:bookmarkStart w:id="11093" w:name="_Toc479326805"/>
      <w:bookmarkStart w:id="11094" w:name="_Toc479333066"/>
      <w:bookmarkStart w:id="11095" w:name="_Toc479333404"/>
      <w:bookmarkStart w:id="11096" w:name="_Toc479335101"/>
      <w:bookmarkStart w:id="11097" w:name="_Toc479341816"/>
      <w:bookmarkStart w:id="11098" w:name="_Toc479345232"/>
      <w:bookmarkStart w:id="11099" w:name="_Toc479345441"/>
      <w:bookmarkStart w:id="11100" w:name="_Toc479348422"/>
      <w:bookmarkStart w:id="11101" w:name="_Toc479676015"/>
      <w:bookmarkStart w:id="11102" w:name="_Toc479690982"/>
      <w:bookmarkStart w:id="11103" w:name="_Toc479693560"/>
      <w:bookmarkStart w:id="11104" w:name="_Toc479770729"/>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r>
        <w:t>D</w:t>
      </w:r>
      <w:r w:rsidR="00070503" w:rsidRPr="00382E91">
        <w:t>.6</w:t>
      </w:r>
      <w:r w:rsidR="00070503" w:rsidRPr="00382E91">
        <w:tab/>
      </w:r>
      <w:r w:rsidR="00331C8A" w:rsidRPr="00382E91">
        <w:t xml:space="preserve">The </w:t>
      </w:r>
      <w:r w:rsidR="0006458A">
        <w:t>O</w:t>
      </w:r>
      <w:r w:rsidR="001F3464" w:rsidRPr="00382E91">
        <w:t>ptions</w:t>
      </w:r>
      <w:r w:rsidR="00070503">
        <w:t xml:space="preserve"> </w:t>
      </w:r>
      <w:r w:rsidR="0006458A">
        <w:t>f</w:t>
      </w:r>
      <w:r w:rsidR="00070503" w:rsidRPr="00382E91">
        <w:t xml:space="preserve">or </w:t>
      </w:r>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r w:rsidR="0006458A">
        <w:t>D</w:t>
      </w:r>
      <w:r w:rsidR="001F3464" w:rsidRPr="00382E91">
        <w:t xml:space="preserve">etermining the </w:t>
      </w:r>
      <w:r w:rsidR="0006458A">
        <w:t>T</w:t>
      </w:r>
      <w:r w:rsidR="001F3464" w:rsidRPr="00382E91">
        <w:t xml:space="preserve">ransfer </w:t>
      </w:r>
      <w:r w:rsidR="0006458A">
        <w:t>P</w:t>
      </w:r>
      <w:r w:rsidR="001F3464" w:rsidRPr="00382E91">
        <w:t>rice</w:t>
      </w:r>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r w:rsidR="00070503" w:rsidRPr="00382E91">
        <w:t xml:space="preserve"> </w:t>
      </w:r>
    </w:p>
    <w:p w14:paraId="638C06D4" w14:textId="4417B61F" w:rsidR="00331C8A" w:rsidRPr="00331C8A" w:rsidRDefault="00331C8A" w:rsidP="00331C8A">
      <w:r w:rsidRPr="00331C8A">
        <w:t>Once it was established that the preferred method to calculate the price of the sales gas in an integrated operation was using the arm</w:t>
      </w:r>
      <w:r w:rsidR="005D6F39">
        <w:t>’</w:t>
      </w:r>
      <w:r w:rsidRPr="00331C8A">
        <w:t>s length test, a decision had to be made about the transfer pricing approaches that would be appropriate for measuring the value contributed by different parts of an integrated operation</w:t>
      </w:r>
      <w:r w:rsidR="005D6F39">
        <w:t xml:space="preserve">. </w:t>
      </w:r>
    </w:p>
    <w:p w14:paraId="0DEED759" w14:textId="77777777" w:rsidR="00331C8A" w:rsidRPr="00331C8A" w:rsidRDefault="00331C8A" w:rsidP="00331C8A">
      <w:r w:rsidRPr="00331C8A">
        <w:t>The explanatory materials accompany</w:t>
      </w:r>
      <w:r w:rsidR="004A6DA3">
        <w:t>ing</w:t>
      </w:r>
      <w:r w:rsidRPr="00331C8A">
        <w:t xml:space="preserve"> both the legislation and the </w:t>
      </w:r>
      <w:r w:rsidR="001F3464" w:rsidRPr="00331C8A">
        <w:t xml:space="preserve">regulations </w:t>
      </w:r>
      <w:r w:rsidR="001F3464">
        <w:t>introducing the GTP</w:t>
      </w:r>
      <w:r w:rsidR="004A6DA3">
        <w:t xml:space="preserve"> </w:t>
      </w:r>
      <w:r w:rsidRPr="00331C8A">
        <w:t xml:space="preserve">referred to a process involving extensive consultations with industry, the involvement of an expert consultant and a public consultation process prior to the existing </w:t>
      </w:r>
      <w:r w:rsidR="00EC704C">
        <w:t>GTP</w:t>
      </w:r>
      <w:r w:rsidRPr="00331C8A">
        <w:t xml:space="preserve"> arrangements being enacted.</w:t>
      </w:r>
    </w:p>
    <w:p w14:paraId="1EC82D21" w14:textId="18F0BC8E" w:rsidR="00331C8A" w:rsidRPr="00331C8A" w:rsidRDefault="00331C8A" w:rsidP="00331C8A">
      <w:r w:rsidRPr="00331C8A">
        <w:t xml:space="preserve">Key to the development of the methodology was the need to balance the respective contributions of the upstream and downstream parts of the integrated project. </w:t>
      </w:r>
      <w:r w:rsidR="001F3464" w:rsidRPr="00331C8A">
        <w:t xml:space="preserve">Once the principles for establishing </w:t>
      </w:r>
      <w:r w:rsidR="001F3464">
        <w:t>GTP</w:t>
      </w:r>
      <w:r w:rsidR="001F3464" w:rsidRPr="00331C8A">
        <w:t xml:space="preserve"> were designed and agreed (</w:t>
      </w:r>
      <w:r w:rsidR="001F3464" w:rsidRPr="006D28D4">
        <w:t>section D.1</w:t>
      </w:r>
      <w:r w:rsidR="001F3464" w:rsidRPr="00331C8A">
        <w:t>),</w:t>
      </w:r>
      <w:r w:rsidRPr="00331C8A">
        <w:t xml:space="preserve"> the process then involved examining the various transfer pricing methodologies commonly used in international transfer pricing and in calculating </w:t>
      </w:r>
      <w:r w:rsidR="007B1963">
        <w:t>well</w:t>
      </w:r>
      <w:r w:rsidR="00C57F74">
        <w:t>head</w:t>
      </w:r>
      <w:r w:rsidRPr="00331C8A">
        <w:t xml:space="preserve"> value in resource taxation.</w:t>
      </w:r>
    </w:p>
    <w:p w14:paraId="0077FC85" w14:textId="4ACEC54A" w:rsidR="001F3464" w:rsidRPr="00331C8A" w:rsidRDefault="001F3464" w:rsidP="001F3464">
      <w:r>
        <w:t>It is generally considered that t</w:t>
      </w:r>
      <w:r w:rsidRPr="00331C8A">
        <w:t>he best proxy for an arm</w:t>
      </w:r>
      <w:r w:rsidR="005D6F39">
        <w:t>’</w:t>
      </w:r>
      <w:r w:rsidRPr="00331C8A">
        <w:t xml:space="preserve">s length price is using a </w:t>
      </w:r>
      <w:r>
        <w:t xml:space="preserve">CUP </w:t>
      </w:r>
      <w:r w:rsidRPr="00331C8A">
        <w:t xml:space="preserve">but </w:t>
      </w:r>
      <w:r>
        <w:t xml:space="preserve">it is often difficult in practice to </w:t>
      </w:r>
      <w:r w:rsidRPr="00331C8A">
        <w:t xml:space="preserve">find an uncontrolled price </w:t>
      </w:r>
      <w:r>
        <w:t>suitable for</w:t>
      </w:r>
      <w:r w:rsidRPr="00331C8A">
        <w:t xml:space="preserve"> comparison </w:t>
      </w:r>
      <w:r>
        <w:t xml:space="preserve">either directly </w:t>
      </w:r>
      <w:r w:rsidRPr="00331C8A">
        <w:t xml:space="preserve">or </w:t>
      </w:r>
      <w:r>
        <w:t>with</w:t>
      </w:r>
      <w:r w:rsidRPr="00331C8A">
        <w:t xml:space="preserve"> reasonable adjustments. At the time of the development of the regulations there was no competitive market in Australia for the LNG feedstock gas which meant that a CUP was not likely to be </w:t>
      </w:r>
      <w:r w:rsidR="00C57F74" w:rsidRPr="00C57F74">
        <w:t>available</w:t>
      </w:r>
      <w:r w:rsidRPr="00C57F74">
        <w:t>.</w:t>
      </w:r>
      <w:r w:rsidRPr="00331C8A">
        <w:t xml:space="preserve"> Despite this, reflecting </w:t>
      </w:r>
      <w:r>
        <w:t>the advantages of establishing a suitable</w:t>
      </w:r>
      <w:r w:rsidRPr="00331C8A">
        <w:t xml:space="preserve"> CUP, the option of determining a CUP was included in the regulations and the power to determine whether a CUP exists was given to the Commissioner of </w:t>
      </w:r>
      <w:r>
        <w:t>T</w:t>
      </w:r>
      <w:r w:rsidRPr="00331C8A">
        <w:t>axation.</w:t>
      </w:r>
    </w:p>
    <w:p w14:paraId="161F3045" w14:textId="60E814FF" w:rsidR="001F3464" w:rsidRPr="00331C8A" w:rsidRDefault="001F3464" w:rsidP="001F3464">
      <w:r w:rsidRPr="00331C8A" w:rsidDel="005F73F8">
        <w:t>In transfer pricing practice it is commonly the most appropriate method for the particular circumstances that is used to determine the arm</w:t>
      </w:r>
      <w:r w:rsidR="005D6F39">
        <w:t>’</w:t>
      </w:r>
      <w:r w:rsidRPr="00331C8A" w:rsidDel="005F73F8">
        <w:t xml:space="preserve">s length price. </w:t>
      </w:r>
      <w:r>
        <w:t>While the GTP regulations specify the RPM as the default mechanism for determining the transfer price, t</w:t>
      </w:r>
      <w:r w:rsidRPr="00331C8A">
        <w:t xml:space="preserve">he </w:t>
      </w:r>
      <w:r>
        <w:t>regulations</w:t>
      </w:r>
      <w:r w:rsidRPr="00331C8A">
        <w:t xml:space="preserve"> allow the taxpayer and the Commissioner to agree on the most appropriate methodology for calculating the price for a particular LNG project. </w:t>
      </w:r>
      <w:r>
        <w:t xml:space="preserve">These methodologies include </w:t>
      </w:r>
      <w:r w:rsidRPr="00331C8A">
        <w:t>APA</w:t>
      </w:r>
      <w:r>
        <w:t>s</w:t>
      </w:r>
      <w:r w:rsidRPr="00331C8A">
        <w:t xml:space="preserve"> </w:t>
      </w:r>
      <w:r>
        <w:t>which are</w:t>
      </w:r>
      <w:r w:rsidRPr="00331C8A">
        <w:t xml:space="preserve"> reviewed annually</w:t>
      </w:r>
      <w:r>
        <w:t xml:space="preserve"> and</w:t>
      </w:r>
      <w:r w:rsidRPr="00331C8A">
        <w:t xml:space="preserve"> involve significant upfront negotiations and costs </w:t>
      </w:r>
      <w:r>
        <w:t>but</w:t>
      </w:r>
      <w:r w:rsidRPr="00331C8A">
        <w:t xml:space="preserve"> provide a greater level of certainty to the taxpayer.</w:t>
      </w:r>
    </w:p>
    <w:p w14:paraId="458B7227" w14:textId="77777777" w:rsidR="00331C8A" w:rsidRPr="00331C8A" w:rsidRDefault="00331C8A" w:rsidP="00331C8A">
      <w:r w:rsidRPr="00331C8A">
        <w:t>The ATO submission outlined the circumstances in which the ATO would enter into an APA:</w:t>
      </w:r>
    </w:p>
    <w:p w14:paraId="11A71228" w14:textId="0F9F11B1" w:rsidR="00331C8A" w:rsidRPr="00331C8A" w:rsidRDefault="00331C8A" w:rsidP="00331C8A">
      <w:pPr>
        <w:ind w:left="567" w:right="565"/>
        <w:rPr>
          <w:color w:val="1F497D" w:themeColor="text2"/>
          <w:sz w:val="20"/>
        </w:rPr>
      </w:pPr>
      <w:r w:rsidRPr="00331C8A">
        <w:rPr>
          <w:color w:val="1F497D" w:themeColor="text2"/>
          <w:sz w:val="20"/>
        </w:rPr>
        <w:t xml:space="preserve">The ATO may enter into APAs with operators and participants of petroleum projects in order to determine, in advance of controlled transactions, an appropriate set of criteria for the determination of the transfer pricing of those transactions over a fixed period of time. Parties enter into APAs for various reasons but primarily to mitigate risk. Once entered, an APA is reviewed by the ATO to ensure the conditions (described as </w:t>
      </w:r>
      <w:r w:rsidR="005D6F39">
        <w:rPr>
          <w:color w:val="1F497D" w:themeColor="text2"/>
          <w:sz w:val="20"/>
        </w:rPr>
        <w:t>‘</w:t>
      </w:r>
      <w:r w:rsidRPr="00331C8A">
        <w:rPr>
          <w:color w:val="1F497D" w:themeColor="text2"/>
          <w:sz w:val="20"/>
        </w:rPr>
        <w:t>critical assumptions</w:t>
      </w:r>
      <w:r w:rsidR="005D6F39">
        <w:rPr>
          <w:color w:val="1F497D" w:themeColor="text2"/>
          <w:sz w:val="20"/>
        </w:rPr>
        <w:t>’</w:t>
      </w:r>
      <w:r w:rsidRPr="00331C8A">
        <w:rPr>
          <w:color w:val="1F497D" w:themeColor="text2"/>
          <w:sz w:val="20"/>
        </w:rPr>
        <w:t xml:space="preserve">) listed in the APA have not been breached, and the terms of the APA have been met </w:t>
      </w:r>
      <w:r w:rsidRPr="00382E91">
        <w:rPr>
          <w:color w:val="1F497D" w:themeColor="text2"/>
          <w:sz w:val="20"/>
        </w:rPr>
        <w:t xml:space="preserve">(ATO </w:t>
      </w:r>
      <w:r w:rsidR="0001490E">
        <w:rPr>
          <w:color w:val="1F497D" w:themeColor="text2"/>
          <w:sz w:val="20"/>
        </w:rPr>
        <w:t>s</w:t>
      </w:r>
      <w:r w:rsidRPr="00382E91">
        <w:rPr>
          <w:color w:val="1F497D" w:themeColor="text2"/>
          <w:sz w:val="20"/>
        </w:rPr>
        <w:t>ubmission, p. 15)</w:t>
      </w:r>
      <w:r w:rsidRPr="00331C8A">
        <w:rPr>
          <w:color w:val="1F497D" w:themeColor="text2"/>
          <w:sz w:val="20"/>
        </w:rPr>
        <w:t>.</w:t>
      </w:r>
    </w:p>
    <w:p w14:paraId="51704B71" w14:textId="72F0913A" w:rsidR="00331C8A" w:rsidRPr="00331C8A" w:rsidRDefault="00331C8A" w:rsidP="00331C8A">
      <w:r w:rsidRPr="00331C8A">
        <w:t xml:space="preserve">In practice it </w:t>
      </w:r>
      <w:r w:rsidR="004A6DA3">
        <w:t>seems</w:t>
      </w:r>
      <w:r w:rsidRPr="00331C8A">
        <w:t xml:space="preserve"> likely that taxpayers would seek an APA if they are unhappy with the transfer price outcome of the default RPM or their circumstances made the RPM difficult to apply</w:t>
      </w:r>
      <w:r w:rsidR="004A6DA3">
        <w:t>, or if they valued the additional certainty of an APA.</w:t>
      </w:r>
      <w:r w:rsidRPr="00331C8A">
        <w:t xml:space="preserve"> </w:t>
      </w:r>
      <w:r w:rsidR="001F3464" w:rsidRPr="00331C8A">
        <w:t xml:space="preserve">One </w:t>
      </w:r>
      <w:r w:rsidR="001F3464">
        <w:t xml:space="preserve">way that </w:t>
      </w:r>
      <w:r w:rsidR="001F3464" w:rsidRPr="00331C8A">
        <w:t xml:space="preserve">an APA </w:t>
      </w:r>
      <w:r w:rsidR="001F3464">
        <w:t>c</w:t>
      </w:r>
      <w:r w:rsidR="001F3464" w:rsidRPr="00331C8A">
        <w:t xml:space="preserve">ould </w:t>
      </w:r>
      <w:r w:rsidR="001F3464">
        <w:t>operate in practice</w:t>
      </w:r>
      <w:r w:rsidRPr="00331C8A">
        <w:t xml:space="preserve"> </w:t>
      </w:r>
      <w:r w:rsidR="00351AF5">
        <w:t xml:space="preserve">could </w:t>
      </w:r>
      <w:r w:rsidRPr="00331C8A">
        <w:t>be to modify the RPM to make it work in the practical circumstances of the PRRT projects covered by the APA.</w:t>
      </w:r>
    </w:p>
    <w:p w14:paraId="5C0B0FC2" w14:textId="77777777" w:rsidR="001F3464" w:rsidRPr="00331C8A" w:rsidRDefault="001F3464" w:rsidP="001F3464">
      <w:r w:rsidRPr="00331C8A">
        <w:t xml:space="preserve">Dr Diane Kraal has raised concerns with the </w:t>
      </w:r>
      <w:r>
        <w:t>GTP</w:t>
      </w:r>
      <w:r w:rsidRPr="00331C8A">
        <w:t xml:space="preserve"> </w:t>
      </w:r>
      <w:r>
        <w:t>regulations</w:t>
      </w:r>
      <w:r w:rsidRPr="00331C8A">
        <w:t>, particularly with the RPM:</w:t>
      </w:r>
    </w:p>
    <w:p w14:paraId="2F6859EC" w14:textId="5D6B9732" w:rsidR="00331C8A" w:rsidRPr="00331C8A" w:rsidRDefault="00331C8A" w:rsidP="00331C8A">
      <w:pPr>
        <w:ind w:left="567" w:right="565"/>
        <w:rPr>
          <w:color w:val="1F497D" w:themeColor="text2"/>
          <w:sz w:val="20"/>
        </w:rPr>
      </w:pPr>
      <w:r w:rsidRPr="00331C8A">
        <w:rPr>
          <w:color w:val="1F497D" w:themeColor="text2"/>
          <w:sz w:val="20"/>
        </w:rPr>
        <w:t xml:space="preserve">The Gas Transfer Price method is flawed, as shown by case study modelling. There are alternatives, such as the use of the </w:t>
      </w:r>
      <w:r w:rsidR="005D6F39">
        <w:rPr>
          <w:color w:val="1F497D" w:themeColor="text2"/>
          <w:sz w:val="20"/>
        </w:rPr>
        <w:t>‘</w:t>
      </w:r>
      <w:r w:rsidRPr="00331C8A">
        <w:rPr>
          <w:color w:val="1F497D" w:themeColor="text2"/>
          <w:sz w:val="20"/>
        </w:rPr>
        <w:t>mid</w:t>
      </w:r>
      <w:r w:rsidR="005D6F39">
        <w:rPr>
          <w:color w:val="1F497D" w:themeColor="text2"/>
          <w:sz w:val="20"/>
        </w:rPr>
        <w:noBreakHyphen/>
      </w:r>
      <w:r w:rsidRPr="00331C8A">
        <w:rPr>
          <w:color w:val="1F497D" w:themeColor="text2"/>
          <w:sz w:val="20"/>
        </w:rPr>
        <w:t>stream breakeven price</w:t>
      </w:r>
      <w:r w:rsidR="005D6F39">
        <w:rPr>
          <w:color w:val="1F497D" w:themeColor="text2"/>
          <w:sz w:val="20"/>
        </w:rPr>
        <w:t>’</w:t>
      </w:r>
      <w:r w:rsidRPr="00331C8A">
        <w:rPr>
          <w:color w:val="1F497D" w:themeColor="text2"/>
          <w:sz w:val="20"/>
        </w:rPr>
        <w:t xml:space="preserve"> method, or the </w:t>
      </w:r>
      <w:r w:rsidR="005D6F39">
        <w:rPr>
          <w:color w:val="1F497D" w:themeColor="text2"/>
          <w:sz w:val="20"/>
        </w:rPr>
        <w:t>‘</w:t>
      </w:r>
      <w:r w:rsidRPr="00331C8A">
        <w:rPr>
          <w:color w:val="1F497D" w:themeColor="text2"/>
          <w:sz w:val="20"/>
        </w:rPr>
        <w:t>Net Back</w:t>
      </w:r>
      <w:r w:rsidR="005D6F39">
        <w:rPr>
          <w:color w:val="1F497D" w:themeColor="text2"/>
          <w:sz w:val="20"/>
        </w:rPr>
        <w:t>’</w:t>
      </w:r>
      <w:r w:rsidRPr="00331C8A">
        <w:rPr>
          <w:color w:val="1F497D" w:themeColor="text2"/>
          <w:sz w:val="20"/>
        </w:rPr>
        <w:t xml:space="preserve"> method alone, either of which would derive a fairer price</w:t>
      </w:r>
      <w:r w:rsidRPr="00382E91">
        <w:rPr>
          <w:color w:val="1F497D" w:themeColor="text2"/>
          <w:sz w:val="20"/>
        </w:rPr>
        <w:t xml:space="preserve"> </w:t>
      </w:r>
      <w:r w:rsidR="002A5709" w:rsidRPr="00382E91">
        <w:rPr>
          <w:color w:val="1F497D" w:themeColor="text2"/>
          <w:sz w:val="20"/>
        </w:rPr>
        <w:t>(</w:t>
      </w:r>
      <w:r w:rsidR="00351AF5">
        <w:rPr>
          <w:color w:val="1F497D" w:themeColor="text2"/>
          <w:sz w:val="20"/>
        </w:rPr>
        <w:t xml:space="preserve">Dr </w:t>
      </w:r>
      <w:r w:rsidRPr="00382E91">
        <w:rPr>
          <w:color w:val="1F497D" w:themeColor="text2"/>
          <w:sz w:val="20"/>
        </w:rPr>
        <w:t xml:space="preserve">Diane Kraal </w:t>
      </w:r>
      <w:r w:rsidR="0001490E">
        <w:rPr>
          <w:color w:val="1F497D" w:themeColor="text2"/>
          <w:sz w:val="20"/>
        </w:rPr>
        <w:t>s</w:t>
      </w:r>
      <w:r w:rsidR="001F3464" w:rsidRPr="00382E91">
        <w:rPr>
          <w:color w:val="1F497D" w:themeColor="text2"/>
          <w:sz w:val="20"/>
        </w:rPr>
        <w:t>ubmission, p.</w:t>
      </w:r>
      <w:r w:rsidR="002A5709" w:rsidRPr="00382E91">
        <w:rPr>
          <w:color w:val="1F497D" w:themeColor="text2"/>
          <w:sz w:val="20"/>
        </w:rPr>
        <w:t xml:space="preserve"> </w:t>
      </w:r>
      <w:r w:rsidRPr="00382E91">
        <w:rPr>
          <w:color w:val="1F497D" w:themeColor="text2"/>
          <w:sz w:val="20"/>
        </w:rPr>
        <w:t>2</w:t>
      </w:r>
      <w:r w:rsidR="002A5709" w:rsidRPr="00382E91">
        <w:rPr>
          <w:color w:val="1F497D" w:themeColor="text2"/>
          <w:sz w:val="20"/>
        </w:rPr>
        <w:t>)</w:t>
      </w:r>
      <w:r w:rsidR="00382E91" w:rsidRPr="00382E91">
        <w:rPr>
          <w:color w:val="1F497D" w:themeColor="text2"/>
          <w:sz w:val="20"/>
        </w:rPr>
        <w:t>.</w:t>
      </w:r>
    </w:p>
    <w:p w14:paraId="0412A6FB" w14:textId="714699CB" w:rsidR="00C72A97" w:rsidRDefault="00331C8A" w:rsidP="00331C8A">
      <w:r w:rsidRPr="00331C8A">
        <w:t>Common approaches for determining a gas transfer price around the world where a CUP is not available include a cost</w:t>
      </w:r>
      <w:r w:rsidR="005D6F39">
        <w:noBreakHyphen/>
      </w:r>
      <w:r w:rsidR="001F3464" w:rsidRPr="00331C8A">
        <w:t xml:space="preserve">plus approach, and a </w:t>
      </w:r>
      <w:r w:rsidR="00351AF5">
        <w:t>netback</w:t>
      </w:r>
      <w:r w:rsidR="001F3464" w:rsidRPr="00331C8A">
        <w:t xml:space="preserve"> approach. </w:t>
      </w:r>
      <w:r w:rsidR="00C72A97" w:rsidRPr="00331C8A">
        <w:t>The cost</w:t>
      </w:r>
      <w:r w:rsidR="005D6F39">
        <w:noBreakHyphen/>
      </w:r>
      <w:r w:rsidR="00C72A97" w:rsidRPr="00331C8A">
        <w:t>plus looks at</w:t>
      </w:r>
      <w:r w:rsidR="001F3464" w:rsidRPr="00331C8A">
        <w:t xml:space="preserve"> the cost of upstream operations</w:t>
      </w:r>
      <w:r w:rsidR="00C72A97" w:rsidRPr="00331C8A">
        <w:t xml:space="preserve">, a </w:t>
      </w:r>
      <w:r w:rsidR="001F3464" w:rsidRPr="00331C8A">
        <w:t xml:space="preserve">netback </w:t>
      </w:r>
      <w:r w:rsidR="00C72A97" w:rsidRPr="00331C8A">
        <w:t>looks at</w:t>
      </w:r>
      <w:r w:rsidR="001F3464" w:rsidRPr="00331C8A">
        <w:t xml:space="preserve"> the costs of the downstream operations</w:t>
      </w:r>
      <w:r w:rsidR="00C72A97" w:rsidRPr="00331C8A">
        <w:t>. Each of these methods commonly allows a return to the side of the operation it is measuring but allocates profits of the project in excess of the allocated return to the other side of the operation. A cost</w:t>
      </w:r>
      <w:r w:rsidR="005D6F39">
        <w:noBreakHyphen/>
      </w:r>
      <w:r w:rsidR="00C72A97" w:rsidRPr="00331C8A">
        <w:t xml:space="preserve">plus method would allocate project rents in excess of the mandated return to the downstream, while a netback allocates project rents in excess of the mandated return to the upstream. It is only by measuring the contribution of each side of the operation that the </w:t>
      </w:r>
      <w:r w:rsidR="00C72A97">
        <w:t>profits</w:t>
      </w:r>
      <w:r w:rsidR="00C72A97" w:rsidRPr="00331C8A">
        <w:t xml:space="preserve"> can be determined and split.</w:t>
      </w:r>
      <w:r w:rsidR="001F3464">
        <w:t xml:space="preserve"> </w:t>
      </w:r>
    </w:p>
    <w:p w14:paraId="514E8169" w14:textId="4C0031C6" w:rsidR="002A5709" w:rsidRPr="00331C8A" w:rsidRDefault="001F3464" w:rsidP="00331C8A">
      <w:r w:rsidRPr="00331C8A">
        <w:t xml:space="preserve">The </w:t>
      </w:r>
      <w:r w:rsidR="005D6F39">
        <w:t>‘</w:t>
      </w:r>
      <w:r w:rsidRPr="00331C8A">
        <w:t>mid</w:t>
      </w:r>
      <w:r w:rsidR="005D6F39">
        <w:noBreakHyphen/>
      </w:r>
      <w:r w:rsidRPr="00331C8A">
        <w:t>stream breakeven price</w:t>
      </w:r>
      <w:r w:rsidR="005D6F39">
        <w:t>’</w:t>
      </w:r>
      <w:r>
        <w:rPr>
          <w:rStyle w:val="FootnoteReference"/>
        </w:rPr>
        <w:footnoteReference w:id="31"/>
      </w:r>
      <w:r w:rsidRPr="00331C8A">
        <w:t xml:space="preserve"> refers to the minimum cost required to operate the LNG plant and </w:t>
      </w:r>
      <w:r>
        <w:t>may also include costs of LNG transport, storage, marketing and selling</w:t>
      </w:r>
      <w:r w:rsidRPr="00331C8A">
        <w:t xml:space="preserve"> and is commonly also calculated using a netback</w:t>
      </w:r>
      <w:r w:rsidR="005D6F39">
        <w:noBreakHyphen/>
      </w:r>
      <w:r w:rsidRPr="00331C8A">
        <w:t>style approach</w:t>
      </w:r>
      <w:r w:rsidR="005D6F39">
        <w:t xml:space="preserve">. </w:t>
      </w:r>
    </w:p>
    <w:p w14:paraId="212ACD83" w14:textId="4F71834F" w:rsidR="00C72A97" w:rsidRDefault="00C72A97" w:rsidP="00331C8A">
      <w:r w:rsidRPr="00C72A97">
        <w:t xml:space="preserve">An issue with all transfer pricing methodologies, including netback approaches, is that the underlying assumptions and the particular way </w:t>
      </w:r>
      <w:r w:rsidR="00E17555">
        <w:t>they are</w:t>
      </w:r>
      <w:r w:rsidRPr="00C72A97">
        <w:t xml:space="preserve"> designed govern how the price is determined. </w:t>
      </w:r>
      <w:r w:rsidR="00E17555">
        <w:t>N</w:t>
      </w:r>
      <w:r w:rsidRPr="00C72A97">
        <w:t>o one netback is necessarily the same as any other</w:t>
      </w:r>
      <w:r w:rsidR="00E17555">
        <w:t xml:space="preserve"> and the </w:t>
      </w:r>
      <w:r w:rsidRPr="00C72A97">
        <w:t xml:space="preserve">underlying assumptions in </w:t>
      </w:r>
      <w:r>
        <w:t>a</w:t>
      </w:r>
      <w:r w:rsidRPr="00C72A97">
        <w:t xml:space="preserve"> netback methodology can impact the outcome</w:t>
      </w:r>
      <w:r w:rsidR="00E17555">
        <w:t>.</w:t>
      </w:r>
      <w:r w:rsidRPr="00C72A97">
        <w:t xml:space="preserve"> </w:t>
      </w:r>
      <w:r w:rsidR="00E17555">
        <w:t>E</w:t>
      </w:r>
      <w:r w:rsidRPr="00C72A97">
        <w:t>xamples include how the project risks borne by the different components of the downstream operation are taken into account</w:t>
      </w:r>
      <w:r w:rsidR="00E17555">
        <w:t>;</w:t>
      </w:r>
      <w:r w:rsidRPr="00C72A97">
        <w:t xml:space="preserve"> the way that a return on capital is calculated on assets used</w:t>
      </w:r>
      <w:r w:rsidR="00E17555">
        <w:t>;</w:t>
      </w:r>
      <w:r w:rsidRPr="00C72A97">
        <w:t xml:space="preserve"> and the value of the functions undertaken and the method for attributing profits. Methodologies focused solely on one side of an integrated operation can also lead to distortions because increased profits from technological and process improvements that reduce capital and operating costs are at risk of being allocated to the other side of the operation.</w:t>
      </w:r>
      <w:r w:rsidR="001F3464" w:rsidRPr="00331C8A">
        <w:t xml:space="preserve"> </w:t>
      </w:r>
    </w:p>
    <w:p w14:paraId="3BFAD195" w14:textId="6AD7F2DD" w:rsidR="00331C8A" w:rsidRPr="00331C8A" w:rsidRDefault="00C72A97" w:rsidP="00331C8A">
      <w:r w:rsidRPr="00C72A97">
        <w:t xml:space="preserve">Transfer pricing methodologies designed to capture the rents of the whole project rather than sharing them between the upstream and downstream operations would be a departure from the </w:t>
      </w:r>
      <w:r>
        <w:t>rationale</w:t>
      </w:r>
      <w:r w:rsidRPr="00C72A97">
        <w:t xml:space="preserve"> of the PRRT </w:t>
      </w:r>
      <w:r>
        <w:t>to only capture</w:t>
      </w:r>
      <w:r w:rsidRPr="00C72A97">
        <w:t xml:space="preserve"> upstream rents.</w:t>
      </w:r>
      <w:r>
        <w:t xml:space="preserve"> </w:t>
      </w:r>
      <w:r w:rsidR="00331C8A" w:rsidRPr="00331C8A">
        <w:t xml:space="preserve">The RPM was developed as an approach that balanced the need for a transparent </w:t>
      </w:r>
      <w:r w:rsidR="005D6F39">
        <w:t>‘</w:t>
      </w:r>
      <w:r w:rsidR="00331C8A" w:rsidRPr="00331C8A">
        <w:t>one size fits all</w:t>
      </w:r>
      <w:r w:rsidR="005D6F39">
        <w:t>’</w:t>
      </w:r>
      <w:r w:rsidR="00331C8A" w:rsidRPr="00331C8A">
        <w:t xml:space="preserve"> approach that fulfilled the principle </w:t>
      </w:r>
      <w:r w:rsidR="001F3464">
        <w:t>that only upstream activities are liable for PRRT</w:t>
      </w:r>
      <w:r w:rsidR="001F3464" w:rsidRPr="00331C8A">
        <w:t>.</w:t>
      </w:r>
      <w:r w:rsidR="00331C8A" w:rsidRPr="00331C8A">
        <w:t xml:space="preserve"> The RPM is a bespoke transfer pricing methodology, based on </w:t>
      </w:r>
      <w:r w:rsidR="002A5709">
        <w:t>a</w:t>
      </w:r>
      <w:r w:rsidR="00331C8A" w:rsidRPr="00331C8A">
        <w:t xml:space="preserve"> residual</w:t>
      </w:r>
      <w:r w:rsidR="002A5709">
        <w:t xml:space="preserve"> </w:t>
      </w:r>
      <w:r w:rsidR="00FB3FC6">
        <w:t>analysis</w:t>
      </w:r>
      <w:r w:rsidR="001F3464" w:rsidRPr="00331C8A">
        <w:t>,</w:t>
      </w:r>
      <w:r w:rsidR="00331C8A" w:rsidRPr="00331C8A">
        <w:t xml:space="preserve"> designed to find a balance between the various principles set out to guide the development of the transfer pricing approach.</w:t>
      </w:r>
    </w:p>
    <w:p w14:paraId="20472443" w14:textId="77777777" w:rsidR="002A5709" w:rsidRDefault="002A5709" w:rsidP="00331C8A">
      <w:r>
        <w:t>The OECD defines a residual</w:t>
      </w:r>
      <w:r w:rsidR="00FB3FC6">
        <w:t xml:space="preserve"> analysis as:</w:t>
      </w:r>
    </w:p>
    <w:p w14:paraId="6446DDBA" w14:textId="77777777" w:rsidR="00FB3FC6" w:rsidRPr="00FB3FC6" w:rsidRDefault="00FB3FC6" w:rsidP="00FB3FC6">
      <w:pPr>
        <w:ind w:left="720"/>
        <w:rPr>
          <w:color w:val="1F497D" w:themeColor="text2"/>
          <w:sz w:val="20"/>
        </w:rPr>
      </w:pPr>
      <w:r w:rsidRPr="00FB3FC6">
        <w:rPr>
          <w:color w:val="1F497D" w:themeColor="text2"/>
          <w:sz w:val="20"/>
        </w:rPr>
        <w:t>An analysis used in the profit split method which divides the combined profit from the controlled transactions under examination in two stages. In the first stage, each participant is allocated sufficient profit to provide it with a basic return appropriate for the type of transactions in which it is engaged. Ordinarily this basic return would be determined by reference to the market returns achieved for similar types of transactions by independent enterprises. Thus, the basic return would generally not account for the return that would be generated by any unique and valuable assets possessed by the participants. In the second stage, any residual profit (or loss) remaining after the first stage division would be allocated among the parties based on an analysis of the facts and circumstances that might indicate how this residual would have been divided between independent enterprises</w:t>
      </w:r>
      <w:r>
        <w:rPr>
          <w:color w:val="1F497D" w:themeColor="text2"/>
          <w:sz w:val="20"/>
        </w:rPr>
        <w:t xml:space="preserve"> </w:t>
      </w:r>
      <w:r w:rsidRPr="00382E91">
        <w:rPr>
          <w:color w:val="1F497D" w:themeColor="text2"/>
          <w:sz w:val="20"/>
        </w:rPr>
        <w:t>(OECD</w:t>
      </w:r>
      <w:r w:rsidR="00382E91" w:rsidRPr="00382E91">
        <w:rPr>
          <w:color w:val="1F497D" w:themeColor="text2"/>
          <w:sz w:val="20"/>
        </w:rPr>
        <w:t>,</w:t>
      </w:r>
      <w:r w:rsidRPr="00382E91">
        <w:rPr>
          <w:color w:val="1F497D" w:themeColor="text2"/>
          <w:sz w:val="20"/>
        </w:rPr>
        <w:t xml:space="preserve"> 2010, p. 29).</w:t>
      </w:r>
    </w:p>
    <w:p w14:paraId="0DB51C0A" w14:textId="2F1C5CE6" w:rsidR="001F3464" w:rsidRPr="00E639A2" w:rsidRDefault="001F3464" w:rsidP="001F3464">
      <w:pPr>
        <w:rPr>
          <w:color w:val="auto"/>
          <w:szCs w:val="22"/>
        </w:rPr>
      </w:pPr>
      <w:bookmarkStart w:id="11105" w:name="_Toc478121402"/>
      <w:bookmarkStart w:id="11106" w:name="_Toc478122315"/>
      <w:bookmarkStart w:id="11107" w:name="_Toc478132145"/>
      <w:bookmarkStart w:id="11108" w:name="_Toc478133315"/>
      <w:bookmarkStart w:id="11109" w:name="_Toc478132452"/>
      <w:bookmarkStart w:id="11110" w:name="_Toc478134781"/>
      <w:bookmarkStart w:id="11111" w:name="_Toc478137483"/>
      <w:bookmarkStart w:id="11112" w:name="_Toc478138555"/>
      <w:bookmarkStart w:id="11113" w:name="_Toc478140125"/>
      <w:bookmarkStart w:id="11114" w:name="_Toc478140541"/>
      <w:bookmarkStart w:id="11115" w:name="_Toc478142747"/>
      <w:bookmarkStart w:id="11116" w:name="_Toc478566466"/>
      <w:bookmarkStart w:id="11117" w:name="_Toc478569633"/>
      <w:bookmarkStart w:id="11118" w:name="_Toc478569807"/>
      <w:bookmarkStart w:id="11119" w:name="_Toc478570881"/>
      <w:bookmarkStart w:id="11120" w:name="_Toc478633080"/>
      <w:bookmarkStart w:id="11121" w:name="_Toc478641490"/>
      <w:bookmarkStart w:id="11122" w:name="_Toc478654384"/>
      <w:bookmarkStart w:id="11123" w:name="_Toc478654558"/>
      <w:bookmarkStart w:id="11124" w:name="_Toc478657853"/>
      <w:r w:rsidRPr="00E639A2">
        <w:rPr>
          <w:color w:val="auto"/>
          <w:szCs w:val="22"/>
        </w:rPr>
        <w:t>In broad terms,</w:t>
      </w:r>
      <w:r>
        <w:rPr>
          <w:color w:val="auto"/>
          <w:szCs w:val="22"/>
        </w:rPr>
        <w:t xml:space="preserve"> in the </w:t>
      </w:r>
      <w:r w:rsidR="00C72A97">
        <w:rPr>
          <w:color w:val="auto"/>
          <w:szCs w:val="22"/>
        </w:rPr>
        <w:t>PRRT</w:t>
      </w:r>
      <w:r>
        <w:rPr>
          <w:color w:val="auto"/>
          <w:szCs w:val="22"/>
        </w:rPr>
        <w:t xml:space="preserve"> context, residual profit determined by </w:t>
      </w:r>
      <w:r w:rsidR="00B123C8">
        <w:rPr>
          <w:color w:val="auto"/>
          <w:szCs w:val="22"/>
        </w:rPr>
        <w:t>the RPM</w:t>
      </w:r>
      <w:r>
        <w:rPr>
          <w:color w:val="auto"/>
          <w:szCs w:val="22"/>
        </w:rPr>
        <w:t xml:space="preserve"> is the excess profit above the </w:t>
      </w:r>
      <w:r w:rsidR="005D6F39">
        <w:rPr>
          <w:color w:val="auto"/>
          <w:szCs w:val="22"/>
        </w:rPr>
        <w:t>‘</w:t>
      </w:r>
      <w:r>
        <w:rPr>
          <w:color w:val="auto"/>
          <w:szCs w:val="22"/>
        </w:rPr>
        <w:t>basic</w:t>
      </w:r>
      <w:r w:rsidR="005D6F39">
        <w:rPr>
          <w:color w:val="auto"/>
          <w:szCs w:val="22"/>
        </w:rPr>
        <w:t>’</w:t>
      </w:r>
      <w:r>
        <w:rPr>
          <w:color w:val="auto"/>
          <w:szCs w:val="22"/>
        </w:rPr>
        <w:t xml:space="preserve"> (or mandated) return on costs employed, which </w:t>
      </w:r>
      <w:r w:rsidR="00B123C8">
        <w:rPr>
          <w:color w:val="auto"/>
          <w:szCs w:val="22"/>
        </w:rPr>
        <w:t>excludes</w:t>
      </w:r>
      <w:r>
        <w:rPr>
          <w:color w:val="auto"/>
          <w:szCs w:val="22"/>
        </w:rPr>
        <w:t xml:space="preserve"> the intrinsic value of </w:t>
      </w:r>
      <w:r w:rsidR="00B123C8">
        <w:rPr>
          <w:color w:val="auto"/>
          <w:szCs w:val="22"/>
        </w:rPr>
        <w:t xml:space="preserve">the </w:t>
      </w:r>
      <w:r>
        <w:rPr>
          <w:color w:val="auto"/>
          <w:szCs w:val="22"/>
        </w:rPr>
        <w:t xml:space="preserve">petroleum </w:t>
      </w:r>
      <w:r w:rsidR="00B123C8">
        <w:rPr>
          <w:color w:val="auto"/>
          <w:szCs w:val="22"/>
        </w:rPr>
        <w:t>resource</w:t>
      </w:r>
      <w:r>
        <w:rPr>
          <w:color w:val="auto"/>
          <w:szCs w:val="22"/>
        </w:rPr>
        <w:t>.</w:t>
      </w:r>
    </w:p>
    <w:p w14:paraId="78015B95" w14:textId="77777777" w:rsidR="00331C8A" w:rsidRPr="00382E91" w:rsidRDefault="00913F3E" w:rsidP="006F4D5A">
      <w:pPr>
        <w:pStyle w:val="Heading2"/>
      </w:pPr>
      <w:bookmarkStart w:id="11125" w:name="_Toc478992521"/>
      <w:bookmarkStart w:id="11126" w:name="_Toc478992693"/>
      <w:bookmarkStart w:id="11127" w:name="_Toc479254425"/>
      <w:bookmarkStart w:id="11128" w:name="_Toc479258614"/>
      <w:bookmarkStart w:id="11129" w:name="_Toc479258930"/>
      <w:bookmarkStart w:id="11130" w:name="_Toc479259822"/>
      <w:bookmarkStart w:id="11131" w:name="_Toc479262245"/>
      <w:bookmarkStart w:id="11132" w:name="_Toc479262666"/>
      <w:bookmarkStart w:id="11133" w:name="_Toc479321367"/>
      <w:bookmarkStart w:id="11134" w:name="_Toc479326806"/>
      <w:bookmarkStart w:id="11135" w:name="_Toc479333067"/>
      <w:bookmarkStart w:id="11136" w:name="_Toc479333405"/>
      <w:bookmarkStart w:id="11137" w:name="_Toc479335102"/>
      <w:bookmarkStart w:id="11138" w:name="_Toc479341817"/>
      <w:bookmarkStart w:id="11139" w:name="_Toc479345233"/>
      <w:bookmarkStart w:id="11140" w:name="_Toc479345442"/>
      <w:bookmarkStart w:id="11141" w:name="_Toc479348423"/>
      <w:bookmarkStart w:id="11142" w:name="_Toc479676016"/>
      <w:bookmarkStart w:id="11143" w:name="_Toc479690983"/>
      <w:bookmarkStart w:id="11144" w:name="_Toc479693561"/>
      <w:bookmarkStart w:id="11145" w:name="_Toc479770730"/>
      <w:r>
        <w:t>D</w:t>
      </w:r>
      <w:r w:rsidR="00FB3FC6" w:rsidRPr="00382E91">
        <w:t>.7</w:t>
      </w:r>
      <w:r w:rsidR="00331C8A" w:rsidRPr="00382E91">
        <w:tab/>
        <w:t>The RPM</w:t>
      </w:r>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p w14:paraId="67236CEC" w14:textId="77777777" w:rsidR="001F3464" w:rsidRPr="00F72D71" w:rsidRDefault="001F3464" w:rsidP="001F3464">
      <w:pPr>
        <w:pStyle w:val="Heading4"/>
      </w:pPr>
      <w:r>
        <w:t xml:space="preserve">Operation of the RPM </w:t>
      </w:r>
    </w:p>
    <w:p w14:paraId="55167512" w14:textId="794F0C1F" w:rsidR="001F3464" w:rsidRPr="00331C8A" w:rsidRDefault="001F3464" w:rsidP="001F3464">
      <w:r w:rsidRPr="00331C8A">
        <w:t xml:space="preserve">Recognising that there are contributions to the residual profit from both the upstream and downstream </w:t>
      </w:r>
      <w:r>
        <w:t xml:space="preserve">petroleum </w:t>
      </w:r>
      <w:r w:rsidRPr="00331C8A">
        <w:t xml:space="preserve">operations, the </w:t>
      </w:r>
      <w:r>
        <w:t>RPM</w:t>
      </w:r>
      <w:r w:rsidRPr="00331C8A">
        <w:t xml:space="preserve"> split</w:t>
      </w:r>
      <w:r>
        <w:t>s</w:t>
      </w:r>
      <w:r w:rsidRPr="00331C8A">
        <w:t xml:space="preserve"> the residual profit </w:t>
      </w:r>
      <w:r>
        <w:t xml:space="preserve">(or rent) </w:t>
      </w:r>
      <w:r w:rsidRPr="00331C8A">
        <w:t xml:space="preserve">equally between </w:t>
      </w:r>
      <w:r>
        <w:t>that determined by the cost</w:t>
      </w:r>
      <w:r w:rsidR="005D6F39">
        <w:noBreakHyphen/>
      </w:r>
      <w:r>
        <w:t>plus and netback measures</w:t>
      </w:r>
      <w:r w:rsidRPr="00331C8A">
        <w:t xml:space="preserve">. The result is that the RPM </w:t>
      </w:r>
      <w:r>
        <w:t xml:space="preserve">price </w:t>
      </w:r>
      <w:r w:rsidRPr="00331C8A">
        <w:t>is the average of the netback and cost</w:t>
      </w:r>
      <w:r w:rsidR="005D6F39">
        <w:noBreakHyphen/>
      </w:r>
      <w:r w:rsidRPr="00331C8A">
        <w:t xml:space="preserve">plus prices in cases where there is a residual profit. The justification for the equal split is that: </w:t>
      </w:r>
    </w:p>
    <w:p w14:paraId="59961D7D" w14:textId="126B9E67" w:rsidR="001F3464" w:rsidRPr="00331C8A" w:rsidRDefault="001F3464" w:rsidP="001F3464">
      <w:pPr>
        <w:ind w:left="567" w:right="565"/>
        <w:rPr>
          <w:color w:val="1F497D" w:themeColor="text2"/>
          <w:sz w:val="20"/>
        </w:rPr>
      </w:pPr>
      <w:r w:rsidRPr="00331C8A">
        <w:rPr>
          <w:color w:val="1F497D" w:themeColor="text2"/>
          <w:sz w:val="20"/>
        </w:rPr>
        <w:t>Although the application of the netback and cost</w:t>
      </w:r>
      <w:r w:rsidR="005D6F39">
        <w:rPr>
          <w:color w:val="1F497D" w:themeColor="text2"/>
          <w:sz w:val="20"/>
        </w:rPr>
        <w:noBreakHyphen/>
      </w:r>
      <w:r w:rsidRPr="00331C8A">
        <w:rPr>
          <w:color w:val="1F497D" w:themeColor="text2"/>
          <w:sz w:val="20"/>
        </w:rPr>
        <w:t>plus formula define the residual profit in a project, no theoretical basis exists for determining how the residual profit should be split between the netback and cost</w:t>
      </w:r>
      <w:r w:rsidRPr="00331C8A">
        <w:rPr>
          <w:rFonts w:ascii="MS Mincho" w:eastAsia="MS Mincho" w:hAnsi="MS Mincho" w:cs="MS Mincho" w:hint="eastAsia"/>
          <w:color w:val="1F497D" w:themeColor="text2"/>
          <w:sz w:val="20"/>
        </w:rPr>
        <w:t>‑</w:t>
      </w:r>
      <w:r w:rsidRPr="00331C8A">
        <w:rPr>
          <w:color w:val="1F497D" w:themeColor="text2"/>
          <w:sz w:val="20"/>
        </w:rPr>
        <w:t>plus prices to arrive at a single price. Consequently, the RPM splits this differential equally. This split reflects the integrated and interdependent nature of an integrated GTL operation. It is also the most appropriate and equitable solution to split the difference between the netback price and the cost</w:t>
      </w:r>
      <w:r w:rsidR="005D6F39">
        <w:rPr>
          <w:color w:val="1F497D" w:themeColor="text2"/>
          <w:sz w:val="20"/>
        </w:rPr>
        <w:noBreakHyphen/>
      </w:r>
      <w:r w:rsidRPr="00331C8A">
        <w:rPr>
          <w:color w:val="1F497D" w:themeColor="text2"/>
          <w:sz w:val="20"/>
        </w:rPr>
        <w:t xml:space="preserve">plus price to arrive at the </w:t>
      </w:r>
      <w:r w:rsidR="00E17555">
        <w:rPr>
          <w:color w:val="1F497D" w:themeColor="text2"/>
          <w:sz w:val="20"/>
        </w:rPr>
        <w:t>project</w:t>
      </w:r>
      <w:r w:rsidR="005D6F39">
        <w:rPr>
          <w:color w:val="1F497D" w:themeColor="text2"/>
          <w:sz w:val="20"/>
        </w:rPr>
        <w:t>’</w:t>
      </w:r>
      <w:r w:rsidRPr="00331C8A">
        <w:rPr>
          <w:color w:val="1F497D" w:themeColor="text2"/>
          <w:sz w:val="20"/>
        </w:rPr>
        <w:t xml:space="preserve">s gas transfer price </w:t>
      </w:r>
      <w:r>
        <w:rPr>
          <w:color w:val="1F497D" w:themeColor="text2"/>
          <w:sz w:val="20"/>
        </w:rPr>
        <w:t>(</w:t>
      </w:r>
      <w:r w:rsidRPr="00FD6B9D">
        <w:rPr>
          <w:color w:val="1F497D" w:themeColor="text2"/>
          <w:sz w:val="20"/>
        </w:rPr>
        <w:t xml:space="preserve">Explanatory Statement, </w:t>
      </w:r>
      <w:r w:rsidRPr="00FD6B9D">
        <w:rPr>
          <w:i/>
          <w:color w:val="1F497D" w:themeColor="text2"/>
          <w:sz w:val="20"/>
        </w:rPr>
        <w:t>Select Legislative Instrument 2005 No 329</w:t>
      </w:r>
      <w:r w:rsidRPr="00FD6B9D">
        <w:rPr>
          <w:color w:val="1F497D" w:themeColor="text2"/>
          <w:sz w:val="20"/>
        </w:rPr>
        <w:t>, p. ii</w:t>
      </w:r>
      <w:r>
        <w:rPr>
          <w:color w:val="1F497D" w:themeColor="text2"/>
          <w:sz w:val="20"/>
        </w:rPr>
        <w:t>i</w:t>
      </w:r>
      <w:r w:rsidRPr="00FD6B9D">
        <w:rPr>
          <w:color w:val="1F497D" w:themeColor="text2"/>
          <w:sz w:val="20"/>
        </w:rPr>
        <w:t>.)</w:t>
      </w:r>
    </w:p>
    <w:p w14:paraId="6EF6181A" w14:textId="6CE96054" w:rsidR="001F3464" w:rsidRDefault="001F3464" w:rsidP="001F3464">
      <w:r w:rsidRPr="00331C8A">
        <w:t>The RPM model measure</w:t>
      </w:r>
      <w:r>
        <w:t>s</w:t>
      </w:r>
      <w:r w:rsidRPr="00331C8A">
        <w:t xml:space="preserve"> the residual profits of the integrated operation</w:t>
      </w:r>
      <w:r>
        <w:t xml:space="preserve"> as</w:t>
      </w:r>
      <w:r w:rsidRPr="00331C8A">
        <w:t xml:space="preserve"> the amount of profit in the operation that results from </w:t>
      </w:r>
      <w:r>
        <w:t>a price set as the average of</w:t>
      </w:r>
      <w:r w:rsidRPr="00331C8A">
        <w:t xml:space="preserve"> the cost</w:t>
      </w:r>
      <w:r w:rsidR="005D6F39">
        <w:noBreakHyphen/>
      </w:r>
      <w:r w:rsidRPr="00331C8A">
        <w:t xml:space="preserve">plus and netback prices. </w:t>
      </w:r>
      <w:r>
        <w:t>The netback price allocates upstream</w:t>
      </w:r>
      <w:r w:rsidR="00E17555">
        <w:t>,</w:t>
      </w:r>
      <w:r>
        <w:t xml:space="preserve"> all profit above a mandated or </w:t>
      </w:r>
      <w:r w:rsidR="005D6F39">
        <w:t>‘</w:t>
      </w:r>
      <w:r>
        <w:t>basic</w:t>
      </w:r>
      <w:r w:rsidR="005D6F39">
        <w:t>’</w:t>
      </w:r>
      <w:r>
        <w:t xml:space="preserve"> return on downstream costs</w:t>
      </w:r>
      <w:r w:rsidR="00E17555">
        <w:t>. The</w:t>
      </w:r>
      <w:r>
        <w:t xml:space="preserve"> cost</w:t>
      </w:r>
      <w:r w:rsidR="005D6F39">
        <w:noBreakHyphen/>
      </w:r>
      <w:r>
        <w:t xml:space="preserve">plus price allocates upstream </w:t>
      </w:r>
      <w:r w:rsidR="00E17555">
        <w:t>no</w:t>
      </w:r>
      <w:r>
        <w:t xml:space="preserve"> profit that is above the same mandated return on upstream costs. This means the RPM measures overall residual profit, cuts it in half and allocates half upstream.</w:t>
      </w:r>
    </w:p>
    <w:p w14:paraId="72079986" w14:textId="38B38B22" w:rsidR="00331C8A" w:rsidRPr="00331C8A" w:rsidRDefault="00F43CD0" w:rsidP="00331C8A">
      <w:r>
        <w:t>AFTS</w:t>
      </w:r>
      <w:r w:rsidR="00331C8A" w:rsidRPr="00331C8A">
        <w:t xml:space="preserve"> made the following observation on the </w:t>
      </w:r>
      <w:r w:rsidR="00FB3FC6">
        <w:t>RPM</w:t>
      </w:r>
      <w:r w:rsidR="00331C8A" w:rsidRPr="00331C8A">
        <w:t>:</w:t>
      </w:r>
    </w:p>
    <w:p w14:paraId="2899A217" w14:textId="2EB1C425" w:rsidR="00331C8A" w:rsidRDefault="00331C8A" w:rsidP="00F2694F">
      <w:pPr>
        <w:ind w:left="720" w:right="565"/>
      </w:pPr>
      <w:r w:rsidRPr="00331C8A">
        <w:rPr>
          <w:color w:val="1F497D" w:themeColor="text2"/>
          <w:sz w:val="20"/>
        </w:rPr>
        <w:t>The PRRT may also fail to collect the appropriate share of rents when the gas transfer pricing regulations are applied. The regulations provide a framework for determining the price for gas in the case of an integrated gas to liquids project and include a residual pricing method. Essentially, the residual pricing method applies an arbitrary cost of capital allowance uplift (long term bond rate plus 7 percentage points) and splits in half the rents associated with the integrated process between the upstream and downstream processes (Australia</w:t>
      </w:r>
      <w:r w:rsidR="005D6F39">
        <w:rPr>
          <w:color w:val="1F497D" w:themeColor="text2"/>
          <w:sz w:val="20"/>
        </w:rPr>
        <w:t>’</w:t>
      </w:r>
      <w:r w:rsidRPr="00331C8A">
        <w:rPr>
          <w:color w:val="1F497D" w:themeColor="text2"/>
          <w:sz w:val="20"/>
        </w:rPr>
        <w:t>s Future Tax System Review, 2010, p. 227)</w:t>
      </w:r>
      <w:r w:rsidR="005D6F39">
        <w:rPr>
          <w:color w:val="1F497D" w:themeColor="text2"/>
          <w:sz w:val="20"/>
        </w:rPr>
        <w:t xml:space="preserve">. </w:t>
      </w:r>
    </w:p>
    <w:p w14:paraId="28EC224D" w14:textId="3D365F4F" w:rsidR="00331C8A" w:rsidRPr="00331C8A" w:rsidRDefault="001F3464" w:rsidP="00331C8A">
      <w:r w:rsidRPr="00331C8A">
        <w:t>The residual profits represent</w:t>
      </w:r>
      <w:r>
        <w:t>ing</w:t>
      </w:r>
      <w:r w:rsidRPr="00331C8A">
        <w:t xml:space="preserve"> the return </w:t>
      </w:r>
      <w:r>
        <w:t>in excess of the fixed return to capital in the RPM</w:t>
      </w:r>
      <w:r w:rsidRPr="00331C8A">
        <w:t xml:space="preserve"> </w:t>
      </w:r>
      <w:r w:rsidR="000B58E8">
        <w:t xml:space="preserve">would be attributable to any </w:t>
      </w:r>
      <w:r w:rsidR="00331C8A" w:rsidRPr="00331C8A">
        <w:t xml:space="preserve">assets </w:t>
      </w:r>
      <w:r w:rsidR="000B58E8">
        <w:t>not recognised in the RPM, particularly</w:t>
      </w:r>
      <w:r w:rsidR="00331C8A" w:rsidRPr="00331C8A">
        <w:t xml:space="preserve"> the return on the inherent value of the petroleum resource. </w:t>
      </w:r>
      <w:r w:rsidR="00A202EA">
        <w:t>The explanatory s</w:t>
      </w:r>
      <w:r w:rsidRPr="00331C8A">
        <w:t>tateme</w:t>
      </w:r>
      <w:r w:rsidR="00A202EA">
        <w:t>nt</w:t>
      </w:r>
      <w:r w:rsidR="00331C8A" w:rsidRPr="00331C8A">
        <w:t xml:space="preserve"> for the 2005 version of the </w:t>
      </w:r>
      <w:r w:rsidR="00A202EA">
        <w:t>r</w:t>
      </w:r>
      <w:r w:rsidRPr="00331C8A">
        <w:t>egulations</w:t>
      </w:r>
      <w:r w:rsidR="00331C8A" w:rsidRPr="00331C8A">
        <w:t xml:space="preserve"> recognises that other factors may also contribute to the residual profit:</w:t>
      </w:r>
    </w:p>
    <w:p w14:paraId="05ECA491" w14:textId="69F32586" w:rsidR="00382E91" w:rsidRPr="00331C8A" w:rsidRDefault="00331C8A" w:rsidP="00331C8A">
      <w:pPr>
        <w:ind w:left="567" w:right="565"/>
        <w:rPr>
          <w:color w:val="1F497D" w:themeColor="text2"/>
          <w:sz w:val="20"/>
        </w:rPr>
      </w:pPr>
      <w:r w:rsidRPr="00331C8A">
        <w:rPr>
          <w:color w:val="1F497D" w:themeColor="text2"/>
          <w:sz w:val="20"/>
        </w:rPr>
        <w:t>Factors contributing to the residual profit for a project include intellectual property and know how related to gas production, process and marketing</w:t>
      </w:r>
      <w:r w:rsidR="00382E91">
        <w:rPr>
          <w:color w:val="1F497D" w:themeColor="text2"/>
          <w:sz w:val="20"/>
        </w:rPr>
        <w:t xml:space="preserve"> </w:t>
      </w:r>
      <w:r w:rsidR="00382E91" w:rsidRPr="00FD6B9D">
        <w:rPr>
          <w:color w:val="1F497D" w:themeColor="text2"/>
          <w:sz w:val="20"/>
        </w:rPr>
        <w:t xml:space="preserve">(Explanatory Statement, </w:t>
      </w:r>
      <w:r w:rsidR="00382E91" w:rsidRPr="00FD6B9D">
        <w:rPr>
          <w:i/>
          <w:color w:val="1F497D" w:themeColor="text2"/>
          <w:sz w:val="20"/>
        </w:rPr>
        <w:t>Select Legislative Instrument 2005 No 329</w:t>
      </w:r>
      <w:r w:rsidR="00382E91" w:rsidRPr="00FD6B9D">
        <w:rPr>
          <w:color w:val="1F497D" w:themeColor="text2"/>
          <w:sz w:val="20"/>
        </w:rPr>
        <w:t xml:space="preserve">, p. </w:t>
      </w:r>
      <w:r w:rsidR="00382E91">
        <w:rPr>
          <w:color w:val="1F497D" w:themeColor="text2"/>
          <w:sz w:val="20"/>
        </w:rPr>
        <w:t>i</w:t>
      </w:r>
      <w:r w:rsidR="00382E91" w:rsidRPr="00FD6B9D">
        <w:rPr>
          <w:color w:val="1F497D" w:themeColor="text2"/>
          <w:sz w:val="20"/>
        </w:rPr>
        <w:t>ii.)</w:t>
      </w:r>
    </w:p>
    <w:p w14:paraId="6271F1D1" w14:textId="2A6E91B6" w:rsidR="001F3464" w:rsidRDefault="001F3464" w:rsidP="001F3464">
      <w:r>
        <w:t xml:space="preserve">The justification that the residual profit split should be equally apportioned is on the ground that it is a reasonable approximation of how independent parties would split the profit. The 2010 OECD Transfer Pricing Guidelines discuss the use of </w:t>
      </w:r>
      <w:r w:rsidR="005D6F39">
        <w:t>‘</w:t>
      </w:r>
      <w:r>
        <w:t>allocation keys</w:t>
      </w:r>
      <w:r w:rsidR="005D6F39">
        <w:t>’</w:t>
      </w:r>
      <w:r>
        <w:t xml:space="preserve"> to divide profits and further guidance is being considered by the OECD as part of revisions to the Transfer Pricing Guidelines. Given such developments, it would be timely to review the way in which the profits are split under RPM to determine whether it aligns with international best practice.</w:t>
      </w:r>
    </w:p>
    <w:p w14:paraId="4856C008" w14:textId="30F4F3EB" w:rsidR="001F3464" w:rsidRDefault="001F3464" w:rsidP="001F3464">
      <w:r>
        <w:t>In practice, a</w:t>
      </w:r>
      <w:r w:rsidRPr="00331C8A">
        <w:t xml:space="preserve"> netback price </w:t>
      </w:r>
      <w:r>
        <w:t>(</w:t>
      </w:r>
      <w:r w:rsidRPr="00774771">
        <w:t xml:space="preserve">the price underlying </w:t>
      </w:r>
      <w:r w:rsidR="00E63755" w:rsidRPr="00774771">
        <w:t xml:space="preserve">overall </w:t>
      </w:r>
      <w:r w:rsidRPr="00774771">
        <w:t xml:space="preserve">return </w:t>
      </w:r>
      <w:r w:rsidR="00E63755" w:rsidRPr="00774771">
        <w:t>of the integrated operation</w:t>
      </w:r>
      <w:r w:rsidRPr="00774771">
        <w:t xml:space="preserve"> above mandated return on downstream costs) that is higher than the cost</w:t>
      </w:r>
      <w:r w:rsidR="005D6F39">
        <w:noBreakHyphen/>
      </w:r>
      <w:r w:rsidRPr="00774771">
        <w:t>plus price (the price underlying mandated return on upstream costs)</w:t>
      </w:r>
      <w:r>
        <w:t xml:space="preserve"> </w:t>
      </w:r>
      <w:r w:rsidRPr="00331C8A">
        <w:t xml:space="preserve">implies that there are profits in the operation beyond those required to cover </w:t>
      </w:r>
      <w:r w:rsidR="00E63755">
        <w:t xml:space="preserve">overall </w:t>
      </w:r>
      <w:r w:rsidRPr="00331C8A">
        <w:t>operating costs and repay capital. Where the cost</w:t>
      </w:r>
      <w:r w:rsidR="005D6F39">
        <w:noBreakHyphen/>
      </w:r>
      <w:r w:rsidRPr="00331C8A">
        <w:t>plus price exceeds the netback price it implies that the operation is not covering its costs and is not profitable. In these circumstances there is no residual profit or rents in the project.</w:t>
      </w:r>
    </w:p>
    <w:p w14:paraId="4311DC55" w14:textId="77777777" w:rsidR="001F3464" w:rsidRPr="00F72D71" w:rsidRDefault="001F3464" w:rsidP="001F3464">
      <w:pPr>
        <w:pStyle w:val="Heading4"/>
      </w:pPr>
      <w:r>
        <w:t>Asymmetries in the RPM</w:t>
      </w:r>
    </w:p>
    <w:p w14:paraId="1F3E7229" w14:textId="4ADD5F91" w:rsidR="001F3464" w:rsidRPr="00331C8A" w:rsidRDefault="001F3464" w:rsidP="001F3464">
      <w:r w:rsidRPr="00331C8A">
        <w:t>In situations where the cost</w:t>
      </w:r>
      <w:r w:rsidR="005D6F39">
        <w:noBreakHyphen/>
      </w:r>
      <w:r w:rsidRPr="00331C8A">
        <w:t>plus price is greater than the netback price and the RPM shows a loss rather than a residual profit</w:t>
      </w:r>
      <w:r>
        <w:t>,</w:t>
      </w:r>
      <w:r w:rsidRPr="00331C8A">
        <w:t xml:space="preserve"> the </w:t>
      </w:r>
      <w:r>
        <w:t>GTP r</w:t>
      </w:r>
      <w:r w:rsidRPr="00331C8A">
        <w:t xml:space="preserve">egulations state that the </w:t>
      </w:r>
      <w:r w:rsidR="005D6F39">
        <w:t>‘</w:t>
      </w:r>
      <w:r w:rsidRPr="00331C8A">
        <w:t xml:space="preserve">the </w:t>
      </w:r>
      <w:r>
        <w:t xml:space="preserve">gas </w:t>
      </w:r>
      <w:r w:rsidRPr="00331C8A">
        <w:t>transfer price is equal to the netback price and the loss is taken by the upstream part of the project</w:t>
      </w:r>
      <w:r>
        <w:t xml:space="preserve"> </w:t>
      </w:r>
      <w:r w:rsidRPr="00331C8A">
        <w:t>(</w:t>
      </w:r>
      <w:r w:rsidRPr="00382E91">
        <w:t xml:space="preserve">Explanatory Statement, </w:t>
      </w:r>
      <w:r w:rsidRPr="00382E91">
        <w:rPr>
          <w:i/>
        </w:rPr>
        <w:t>Select Legislative Instrument 2005</w:t>
      </w:r>
      <w:r w:rsidRPr="00382E91">
        <w:t xml:space="preserve"> </w:t>
      </w:r>
      <w:r w:rsidRPr="00382E91">
        <w:rPr>
          <w:i/>
        </w:rPr>
        <w:t>No 329</w:t>
      </w:r>
      <w:r w:rsidRPr="00382E91">
        <w:t>, p. iii.)</w:t>
      </w:r>
      <w:r w:rsidR="005D6F39">
        <w:t>’</w:t>
      </w:r>
      <w:r w:rsidRPr="00382E91">
        <w:t>.</w:t>
      </w:r>
      <w:r>
        <w:t xml:space="preserve"> </w:t>
      </w:r>
      <w:r w:rsidRPr="00331C8A">
        <w:t>For example</w:t>
      </w:r>
      <w:r>
        <w:t>,</w:t>
      </w:r>
      <w:r w:rsidRPr="00331C8A">
        <w:t xml:space="preserve"> </w:t>
      </w:r>
      <w:r>
        <w:t>i</w:t>
      </w:r>
      <w:r w:rsidRPr="00331C8A">
        <w:t xml:space="preserve">f an LNG producer used the RPM and worked out </w:t>
      </w:r>
      <w:r w:rsidR="00A202EA">
        <w:t xml:space="preserve">that </w:t>
      </w:r>
      <w:r w:rsidRPr="00331C8A">
        <w:t>the netback price was $6 per unit, and the cost</w:t>
      </w:r>
      <w:r w:rsidR="005D6F39">
        <w:noBreakHyphen/>
      </w:r>
      <w:r w:rsidRPr="00331C8A">
        <w:t>plus price was $4 per unit, the RPM price would be $5 per unit.</w:t>
      </w:r>
      <w:r>
        <w:t xml:space="preserve"> If, however, </w:t>
      </w:r>
      <w:r w:rsidRPr="00331C8A">
        <w:t>the netback price was $4 per unit and the cost</w:t>
      </w:r>
      <w:r w:rsidR="005D6F39">
        <w:noBreakHyphen/>
      </w:r>
      <w:r w:rsidRPr="00331C8A">
        <w:t xml:space="preserve">plus price was $6 per </w:t>
      </w:r>
      <w:r w:rsidR="0089652B">
        <w:t>unit, the RPM price would be $4 </w:t>
      </w:r>
      <w:r w:rsidRPr="00331C8A">
        <w:t>per</w:t>
      </w:r>
      <w:r w:rsidR="0089652B">
        <w:t> </w:t>
      </w:r>
      <w:r w:rsidRPr="00331C8A">
        <w:t>unit because the cost</w:t>
      </w:r>
      <w:r w:rsidR="005D6F39">
        <w:noBreakHyphen/>
      </w:r>
      <w:r w:rsidRPr="00331C8A">
        <w:t>plus price was higher than the netback price.</w:t>
      </w:r>
    </w:p>
    <w:p w14:paraId="39AE5B19" w14:textId="77777777" w:rsidR="00331C8A" w:rsidRPr="00331C8A" w:rsidRDefault="00331C8A" w:rsidP="00331C8A">
      <w:r w:rsidRPr="00331C8A">
        <w:t>The result is asymmetric treatment of profits and losses in the RPM. This asymmetric treatment means that the RPM assumes that residual profits are shared across the integrated operation but that in a notional loss situation the loss is always attributed to the value of the resource and associated extraction and processing. It infers, for the purpose of setting the price, that the liquefaction, sale and marketing side of the operation will always cover its costs.</w:t>
      </w:r>
    </w:p>
    <w:p w14:paraId="70E99D81" w14:textId="5A71AE57" w:rsidR="00331C8A" w:rsidRPr="00331C8A" w:rsidRDefault="00331C8A" w:rsidP="00331C8A">
      <w:r w:rsidRPr="00331C8A">
        <w:t>The RPM operates on a whole</w:t>
      </w:r>
      <w:r w:rsidR="005D6F39">
        <w:noBreakHyphen/>
      </w:r>
      <w:r w:rsidRPr="00331C8A">
        <w:t>of</w:t>
      </w:r>
      <w:r w:rsidR="005D6F39">
        <w:noBreakHyphen/>
      </w:r>
      <w:r w:rsidRPr="00331C8A">
        <w:t xml:space="preserve">project basis. </w:t>
      </w:r>
      <w:r w:rsidR="001F3464" w:rsidRPr="00331C8A">
        <w:t>Both the cost</w:t>
      </w:r>
      <w:r w:rsidR="005D6F39">
        <w:noBreakHyphen/>
      </w:r>
      <w:r w:rsidR="001F3464" w:rsidRPr="00331C8A">
        <w:t>plus and netback formulas operate on relevant capital and operating costs allocat</w:t>
      </w:r>
      <w:r w:rsidR="001F3464">
        <w:t>ed</w:t>
      </w:r>
      <w:r w:rsidR="001F3464" w:rsidRPr="00331C8A">
        <w:t xml:space="preserve"> to either the upstream or downstream phase. Any operating costs incurred before the production date are treated as capital costs. Operating costs incurred after the production date are allocated to the year in which they are incurred. Marketing and selling costs can be included as operating costs of the individual project participant rather than as aggregated costs. This ensures that commercial</w:t>
      </w:r>
      <w:r w:rsidR="0030730C">
        <w:t xml:space="preserve"> </w:t>
      </w:r>
      <w:r w:rsidRPr="00331C8A">
        <w:t>in</w:t>
      </w:r>
      <w:r w:rsidR="0030730C">
        <w:t xml:space="preserve"> </w:t>
      </w:r>
      <w:r w:rsidRPr="00331C8A">
        <w:t>confidence information that is outside the scope of the joint venture agreement is not required to be disclosed.</w:t>
      </w:r>
    </w:p>
    <w:p w14:paraId="4D4C4C62" w14:textId="7546CC3D" w:rsidR="001F3464" w:rsidRPr="00382E91" w:rsidRDefault="001F3464" w:rsidP="001F3464">
      <w:r w:rsidRPr="00331C8A">
        <w:t>The capital costs and operating costs incurred prior to production are subject to augmentation</w:t>
      </w:r>
      <w:r>
        <w:t xml:space="preserve"> (uplift)</w:t>
      </w:r>
      <w:r w:rsidRPr="00331C8A">
        <w:t xml:space="preserve">, reduction and allocation rules. The principle is that the capital costs are allocated across the life of the integrated </w:t>
      </w:r>
      <w:r w:rsidR="000A33FC">
        <w:t>LNG</w:t>
      </w:r>
      <w:r w:rsidRPr="00331C8A">
        <w:t xml:space="preserve"> operation. In order to calculate how much capital cost is allocated to a particular year, capital costs incurred for a unit of property over several years and capital costs incurred before the production year are uplifted </w:t>
      </w:r>
      <w:r w:rsidR="005D6F39">
        <w:t>‘</w:t>
      </w:r>
      <w:r w:rsidRPr="00331C8A">
        <w:t>so as to provide a return to capital for costs incurred prior to the commencement of the operational use</w:t>
      </w:r>
      <w:r w:rsidR="005D6F39">
        <w:t>’</w:t>
      </w:r>
      <w:r w:rsidRPr="00331C8A">
        <w:t xml:space="preserve"> </w:t>
      </w:r>
      <w:r w:rsidRPr="00382E91">
        <w:t xml:space="preserve">(Explanatory Statement, </w:t>
      </w:r>
      <w:r w:rsidRPr="00382E91">
        <w:rPr>
          <w:i/>
        </w:rPr>
        <w:t>Select Legislative Instrument 2005 No 329</w:t>
      </w:r>
      <w:r w:rsidRPr="00382E91">
        <w:t>, p. 30).</w:t>
      </w:r>
    </w:p>
    <w:p w14:paraId="031B2273" w14:textId="6ABE7183" w:rsidR="00695017" w:rsidRPr="00695017" w:rsidRDefault="001F3464" w:rsidP="00331C8A">
      <w:pPr>
        <w:rPr>
          <w:color w:val="auto"/>
        </w:rPr>
      </w:pPr>
      <w:r>
        <w:rPr>
          <w:color w:val="auto"/>
        </w:rPr>
        <w:t>C</w:t>
      </w:r>
      <w:r w:rsidRPr="00695017">
        <w:rPr>
          <w:color w:val="auto"/>
        </w:rPr>
        <w:t>osts</w:t>
      </w:r>
      <w:r w:rsidR="00695017" w:rsidRPr="00695017">
        <w:rPr>
          <w:color w:val="auto"/>
        </w:rPr>
        <w:t xml:space="preserve"> associated with exploration and costs of getting the project to </w:t>
      </w:r>
      <w:r w:rsidR="000F33E2">
        <w:rPr>
          <w:color w:val="auto"/>
        </w:rPr>
        <w:t>FID</w:t>
      </w:r>
      <w:r w:rsidR="00695017" w:rsidRPr="00695017">
        <w:rPr>
          <w:color w:val="auto"/>
        </w:rPr>
        <w:t xml:space="preserve"> are excluded from the upstream and downstream capital allocation rules. These costs </w:t>
      </w:r>
      <w:r w:rsidR="00695017">
        <w:rPr>
          <w:color w:val="auto"/>
        </w:rPr>
        <w:t xml:space="preserve">are deductible for PRRT purposes but are not recognised in the RPM as </w:t>
      </w:r>
      <w:r w:rsidR="00381493">
        <w:rPr>
          <w:color w:val="auto"/>
        </w:rPr>
        <w:t>costs to the</w:t>
      </w:r>
      <w:r w:rsidR="00695017">
        <w:rPr>
          <w:color w:val="auto"/>
        </w:rPr>
        <w:t xml:space="preserve"> business prior to production. The result is that these costs are not capitalised, </w:t>
      </w:r>
      <w:r>
        <w:rPr>
          <w:color w:val="auto"/>
        </w:rPr>
        <w:t xml:space="preserve">uplifted </w:t>
      </w:r>
      <w:r w:rsidR="00695017">
        <w:rPr>
          <w:color w:val="auto"/>
        </w:rPr>
        <w:t>and allocated like other costs prior to production</w:t>
      </w:r>
      <w:r w:rsidR="00BA1979">
        <w:rPr>
          <w:color w:val="auto"/>
        </w:rPr>
        <w:t xml:space="preserve">. There is no return in the RPM for the costs of finding and commercialising the petroleum resource. As these costs are more likely to </w:t>
      </w:r>
      <w:r>
        <w:rPr>
          <w:color w:val="auto"/>
        </w:rPr>
        <w:t xml:space="preserve">be </w:t>
      </w:r>
      <w:r w:rsidR="00BA1979">
        <w:rPr>
          <w:color w:val="auto"/>
        </w:rPr>
        <w:t xml:space="preserve">recognised </w:t>
      </w:r>
      <w:r>
        <w:rPr>
          <w:color w:val="auto"/>
        </w:rPr>
        <w:t>for PRRT purposes in the upstream and uplifted</w:t>
      </w:r>
      <w:r w:rsidR="00BA1979">
        <w:rPr>
          <w:color w:val="auto"/>
        </w:rPr>
        <w:t xml:space="preserve"> over several years, the failure to include these costs </w:t>
      </w:r>
      <w:r>
        <w:rPr>
          <w:color w:val="auto"/>
        </w:rPr>
        <w:t>in the RPM potentially undervalues the return to the upstream business.</w:t>
      </w:r>
      <w:r w:rsidR="00BA1979">
        <w:rPr>
          <w:color w:val="auto"/>
        </w:rPr>
        <w:t xml:space="preserve"> The reasoning provided in the explanatory statement for the exclusion of these costs is not compelling. The effect of the exclusion of these costs is a potential asymmetry in how development costs for the upstream and downstream are reflected in the RPM.</w:t>
      </w:r>
    </w:p>
    <w:p w14:paraId="430536E5" w14:textId="6EF4A0CB" w:rsidR="00331C8A" w:rsidRPr="00331C8A" w:rsidRDefault="00331C8A" w:rsidP="00331C8A">
      <w:r w:rsidRPr="00331C8A">
        <w:t>In cases where other MPCs are produced from the project before project sales gas is produced, the relevant capital costs associated with the production of the other MPCs are reduced by depreciation each year prior to the production of project sales gas. Capital costs for assets used solely for the project sales gas and project liquid sequence continue to be uplifted as they are not being used until the production date for project sales gas.</w:t>
      </w:r>
    </w:p>
    <w:p w14:paraId="3A17D3F9" w14:textId="7FDA172E" w:rsidR="00331C8A" w:rsidRPr="00331C8A" w:rsidRDefault="00331C8A" w:rsidP="00331C8A">
      <w:r w:rsidRPr="00331C8A">
        <w:t xml:space="preserve">The practical effect of this in a </w:t>
      </w:r>
      <w:r w:rsidR="000A33FC">
        <w:t>LNG</w:t>
      </w:r>
      <w:r w:rsidRPr="00331C8A">
        <w:t xml:space="preserve"> operation where other MPCs are produced first is that the capital costs for much of the upstream infrastructure will be reduced over the period in which the other MPCs are produced before the production of sales gas while the capital costs for the downstream infrastructure will continue to be uplifted.</w:t>
      </w:r>
    </w:p>
    <w:p w14:paraId="3F2BCDB3" w14:textId="77777777" w:rsidR="001F3464" w:rsidRPr="00F72D71" w:rsidRDefault="001F3464" w:rsidP="001F3464">
      <w:pPr>
        <w:pStyle w:val="Heading4"/>
      </w:pPr>
      <w:r>
        <w:t>Cost allocation under the RPM</w:t>
      </w:r>
    </w:p>
    <w:p w14:paraId="0E7F287E" w14:textId="11DFEEB2" w:rsidR="00331C8A" w:rsidRPr="00331C8A" w:rsidRDefault="00331C8A" w:rsidP="00331C8A">
      <w:r w:rsidRPr="00331C8A">
        <w:t>Once the value of capital costs is established they are allocated over the effective life of the respective units of property. The pre</w:t>
      </w:r>
      <w:r w:rsidR="005D6F39">
        <w:noBreakHyphen/>
      </w:r>
      <w:r w:rsidRPr="00331C8A">
        <w:t xml:space="preserve">production operating costs are allocated over the life of the project. </w:t>
      </w:r>
      <w:r w:rsidR="001F3464" w:rsidRPr="00331C8A">
        <w:t xml:space="preserve">Capital </w:t>
      </w:r>
      <w:r w:rsidR="001F3464">
        <w:t>c</w:t>
      </w:r>
      <w:r w:rsidR="001F3464" w:rsidRPr="00331C8A">
        <w:t>osts</w:t>
      </w:r>
      <w:r w:rsidRPr="00331C8A">
        <w:t xml:space="preserve"> are allocated to each year from the production year onwards; new capital costs are added and allocated over the remaining life of the project.</w:t>
      </w:r>
    </w:p>
    <w:p w14:paraId="3F4122CB" w14:textId="77777777" w:rsidR="00331C8A" w:rsidRPr="00331C8A" w:rsidRDefault="00331C8A" w:rsidP="00331C8A">
      <w:r w:rsidRPr="00331C8A">
        <w:t>Capital costs for a unit of property with an expected operating life of 15 years or less are allocated according to the formula:</w:t>
      </w:r>
    </w:p>
    <w:p w14:paraId="40E0A85A" w14:textId="77777777" w:rsidR="00331C8A" w:rsidRPr="0089309E" w:rsidRDefault="0089309E" w:rsidP="0089309E">
      <w:pPr>
        <w:spacing w:after="0"/>
        <w:jc w:val="center"/>
        <w:rPr>
          <w:b/>
          <w:u w:val="single"/>
        </w:rPr>
      </w:pPr>
      <w:r w:rsidRPr="0089309E">
        <w:rPr>
          <w:b/>
          <w:u w:val="single"/>
        </w:rPr>
        <w:t>capital cost x capital allowance for the cost year</w:t>
      </w:r>
    </w:p>
    <w:p w14:paraId="05A76009" w14:textId="3FC8C200" w:rsidR="0089309E" w:rsidRPr="0089309E" w:rsidRDefault="0089309E" w:rsidP="0089309E">
      <w:pPr>
        <w:jc w:val="center"/>
        <w:rPr>
          <w:b/>
        </w:rPr>
      </w:pPr>
      <w:r w:rsidRPr="0089309E">
        <w:rPr>
          <w:b/>
        </w:rPr>
        <w:t>1</w:t>
      </w:r>
      <w:r w:rsidR="005D6F39">
        <w:rPr>
          <w:b/>
        </w:rPr>
        <w:t xml:space="preserve"> — </w:t>
      </w:r>
      <w:r w:rsidRPr="0089309E">
        <w:rPr>
          <w:b/>
        </w:rPr>
        <w:t>(1+ capital allowance for the cost year)</w:t>
      </w:r>
      <w:r w:rsidR="005D6F39">
        <w:rPr>
          <w:b/>
          <w:vertAlign w:val="superscript"/>
        </w:rPr>
        <w:noBreakHyphen/>
      </w:r>
      <w:r w:rsidRPr="0089309E">
        <w:rPr>
          <w:b/>
          <w:vertAlign w:val="superscript"/>
        </w:rPr>
        <w:t>N</w:t>
      </w:r>
    </w:p>
    <w:p w14:paraId="011BFCDC" w14:textId="77777777" w:rsidR="00331C8A" w:rsidRPr="00331C8A" w:rsidRDefault="00331C8A" w:rsidP="00331C8A">
      <w:r w:rsidRPr="00331C8A">
        <w:t>where:</w:t>
      </w:r>
    </w:p>
    <w:p w14:paraId="29C03141" w14:textId="77777777" w:rsidR="00331C8A" w:rsidRPr="00331C8A" w:rsidRDefault="00331C8A" w:rsidP="001F3464">
      <w:pPr>
        <w:ind w:left="720"/>
      </w:pPr>
      <w:r w:rsidRPr="00331C8A">
        <w:t xml:space="preserve">N </w:t>
      </w:r>
      <w:r w:rsidR="001F3464">
        <w:t>is</w:t>
      </w:r>
      <w:r w:rsidRPr="00331C8A">
        <w:t xml:space="preserve"> the number of calendar years in the expected operating life of the unit. </w:t>
      </w:r>
    </w:p>
    <w:p w14:paraId="4D2E6055" w14:textId="77777777" w:rsidR="00331C8A" w:rsidRPr="00331C8A" w:rsidRDefault="00331C8A" w:rsidP="00331C8A">
      <w:r w:rsidRPr="00331C8A">
        <w:t>Capital costs for units of property with an expected operating life of more than 15 years are allocated on the basis of the following calculation:</w:t>
      </w:r>
    </w:p>
    <w:p w14:paraId="07327A6E" w14:textId="77777777" w:rsidR="0089309E" w:rsidRPr="0089309E" w:rsidRDefault="0089309E" w:rsidP="0089309E">
      <w:pPr>
        <w:jc w:val="center"/>
        <w:rPr>
          <w:b/>
        </w:rPr>
      </w:pPr>
      <w:r w:rsidRPr="0089309E">
        <w:rPr>
          <w:b/>
        </w:rPr>
        <w:t>capital cost x capital allowance for the cost year</w:t>
      </w:r>
    </w:p>
    <w:p w14:paraId="368F8C27" w14:textId="5D86F7B4" w:rsidR="00331C8A" w:rsidRPr="00331C8A" w:rsidRDefault="00331C8A" w:rsidP="00331C8A">
      <w:r w:rsidRPr="00331C8A">
        <w:t>The capital allowance for a relevant year applies to capital costs incurred in that year and is used to calculate the annual capital allocation for capital. Once determined</w:t>
      </w:r>
      <w:r w:rsidR="000206BB">
        <w:t>,</w:t>
      </w:r>
      <w:r w:rsidRPr="00331C8A">
        <w:t xml:space="preserve"> the annual allocation for a unit of property does not change. The only exception is to reflect changes in the expected operating life of the unit of property or the integrated project</w:t>
      </w:r>
      <w:r w:rsidRPr="00481727">
        <w:t xml:space="preserve"> </w:t>
      </w:r>
      <w:r w:rsidR="00481727" w:rsidRPr="00481727">
        <w:t>(s</w:t>
      </w:r>
      <w:r w:rsidRPr="00481727">
        <w:t xml:space="preserve">ee </w:t>
      </w:r>
      <w:r w:rsidR="001F3464" w:rsidRPr="00481727">
        <w:t>sub</w:t>
      </w:r>
      <w:r w:rsidR="005D6F39">
        <w:noBreakHyphen/>
      </w:r>
      <w:r w:rsidR="001F3464" w:rsidRPr="00481727">
        <w:t xml:space="preserve">regulation 42(5) of the </w:t>
      </w:r>
      <w:r w:rsidR="001F3464" w:rsidRPr="00481727">
        <w:rPr>
          <w:i/>
        </w:rPr>
        <w:t>Petroleum Resource Rent Tax Assessment Regulation 2015</w:t>
      </w:r>
      <w:r w:rsidR="001F3464" w:rsidRPr="00481727">
        <w:t>)</w:t>
      </w:r>
      <w:r w:rsidR="001F3464">
        <w:t>.</w:t>
      </w:r>
    </w:p>
    <w:p w14:paraId="3C0084DE" w14:textId="75E0724C" w:rsidR="001F3464" w:rsidRPr="00331C8A" w:rsidRDefault="001F3464" w:rsidP="001F3464">
      <w:r w:rsidRPr="00331C8A">
        <w:t xml:space="preserve">The </w:t>
      </w:r>
      <w:r>
        <w:t>GTP r</w:t>
      </w:r>
      <w:r w:rsidRPr="00331C8A">
        <w:t xml:space="preserve">egulations also include apportionment rules to ensure that </w:t>
      </w:r>
      <w:r w:rsidR="005D6F39">
        <w:t>‘</w:t>
      </w:r>
      <w:r w:rsidRPr="00331C8A">
        <w:t>only those costs that relate to the production and processing of project sales gas into project liquid are included in the RPM for the determination of a gas transfer price</w:t>
      </w:r>
      <w:r w:rsidR="005D6F39">
        <w:t>’</w:t>
      </w:r>
      <w:r w:rsidRPr="00331C8A">
        <w:t xml:space="preserve"> </w:t>
      </w:r>
      <w:r w:rsidRPr="00382E91">
        <w:t xml:space="preserve">(Explanatory Statement, </w:t>
      </w:r>
      <w:r w:rsidRPr="00382E91">
        <w:rPr>
          <w:i/>
        </w:rPr>
        <w:t>Select Legislative Instrument 2005 No 329</w:t>
      </w:r>
      <w:r w:rsidRPr="00382E91">
        <w:t xml:space="preserve">, p. </w:t>
      </w:r>
      <w:r>
        <w:t>8</w:t>
      </w:r>
      <w:r w:rsidRPr="00382E91">
        <w:t>)</w:t>
      </w:r>
      <w:r>
        <w:t>.</w:t>
      </w:r>
    </w:p>
    <w:p w14:paraId="7AF6042C" w14:textId="432F8407" w:rsidR="00331C8A" w:rsidRPr="00331C8A" w:rsidRDefault="00331C8A" w:rsidP="00331C8A">
      <w:r w:rsidRPr="00331C8A">
        <w:t>The overall effect of the capital allocation rules is that the RPM price is set by looking at the ratio of capital that has been allocated to the upstream and downstream stages with adjustments made for operating costs and new capital expenditures each year. In theory</w:t>
      </w:r>
      <w:r w:rsidR="001F3464">
        <w:t>,</w:t>
      </w:r>
    </w:p>
    <w:p w14:paraId="4B0B0FC8" w14:textId="4362A52F" w:rsidR="00331C8A" w:rsidRPr="00331C8A" w:rsidRDefault="00331C8A" w:rsidP="00331C8A">
      <w:pPr>
        <w:ind w:left="567" w:right="565"/>
        <w:rPr>
          <w:color w:val="1F497D" w:themeColor="text2"/>
          <w:sz w:val="20"/>
        </w:rPr>
      </w:pPr>
      <w:r w:rsidRPr="00331C8A">
        <w:rPr>
          <w:color w:val="1F497D" w:themeColor="text2"/>
          <w:sz w:val="20"/>
        </w:rPr>
        <w:t>the transfer price tends to rise throughout the life of a project</w:t>
      </w:r>
      <w:r w:rsidR="005D6F39">
        <w:rPr>
          <w:color w:val="1F497D" w:themeColor="text2"/>
          <w:sz w:val="20"/>
        </w:rPr>
        <w:t xml:space="preserve"> — </w:t>
      </w:r>
      <w:r w:rsidRPr="00331C8A">
        <w:rPr>
          <w:color w:val="1F497D" w:themeColor="text2"/>
          <w:sz w:val="20"/>
        </w:rPr>
        <w:t xml:space="preserve">a function of greater ongoing capital expenditure in the upstream phase of the project. This has the effect of gradually shifting more of the revenue to the upstream (higher tax) phase, and steadily increases the overall tax burden of the project </w:t>
      </w:r>
      <w:r w:rsidR="00BA1979" w:rsidRPr="00481727">
        <w:rPr>
          <w:color w:val="1F497D" w:themeColor="text2"/>
          <w:sz w:val="20"/>
        </w:rPr>
        <w:t>(</w:t>
      </w:r>
      <w:r w:rsidRPr="00481727">
        <w:rPr>
          <w:color w:val="1F497D" w:themeColor="text2"/>
          <w:sz w:val="20"/>
        </w:rPr>
        <w:t xml:space="preserve">Kellas, </w:t>
      </w:r>
      <w:r w:rsidR="00481727" w:rsidRPr="00481727">
        <w:rPr>
          <w:color w:val="1F497D" w:themeColor="text2"/>
          <w:sz w:val="20"/>
        </w:rPr>
        <w:t xml:space="preserve">2010, </w:t>
      </w:r>
      <w:r w:rsidRPr="00481727">
        <w:rPr>
          <w:color w:val="1F497D" w:themeColor="text2"/>
          <w:sz w:val="20"/>
        </w:rPr>
        <w:t>p</w:t>
      </w:r>
      <w:r w:rsidR="00BA1979" w:rsidRPr="00481727">
        <w:rPr>
          <w:color w:val="1F497D" w:themeColor="text2"/>
          <w:sz w:val="20"/>
        </w:rPr>
        <w:t>.</w:t>
      </w:r>
      <w:r w:rsidRPr="00481727">
        <w:rPr>
          <w:color w:val="1F497D" w:themeColor="text2"/>
          <w:sz w:val="20"/>
        </w:rPr>
        <w:t xml:space="preserve"> 172</w:t>
      </w:r>
      <w:r w:rsidR="00481727" w:rsidRPr="00481727">
        <w:rPr>
          <w:color w:val="1F497D" w:themeColor="text2"/>
          <w:sz w:val="20"/>
        </w:rPr>
        <w:t>).</w:t>
      </w:r>
    </w:p>
    <w:p w14:paraId="026958FB" w14:textId="015BCC37" w:rsidR="00E512CE" w:rsidRPr="006D28D4" w:rsidRDefault="00331C8A">
      <w:pPr>
        <w:spacing w:after="0" w:line="240" w:lineRule="auto"/>
        <w:jc w:val="left"/>
        <w:rPr>
          <w:rStyle w:val="Heading4Char"/>
        </w:rPr>
      </w:pPr>
      <w:r w:rsidRPr="00331C8A">
        <w:t>For long</w:t>
      </w:r>
      <w:r w:rsidR="005D6F39">
        <w:noBreakHyphen/>
      </w:r>
      <w:r w:rsidRPr="00331C8A">
        <w:t xml:space="preserve">term </w:t>
      </w:r>
      <w:r w:rsidR="00BA1979">
        <w:t>LNG</w:t>
      </w:r>
      <w:r w:rsidRPr="00331C8A">
        <w:t xml:space="preserve"> projects, the value of the capital allowances from the start of the project </w:t>
      </w:r>
      <w:r w:rsidR="000206BB">
        <w:t>is</w:t>
      </w:r>
      <w:r w:rsidRPr="00331C8A">
        <w:t xml:space="preserve"> also diluted by inflationary pressures on new costs coming into the calculation and any long</w:t>
      </w:r>
      <w:r w:rsidR="005D6F39">
        <w:noBreakHyphen/>
      </w:r>
      <w:r w:rsidR="001F3464" w:rsidRPr="00331C8A">
        <w:t xml:space="preserve">term increase in prices. The result is that the residual profits or rents of the project should grow over time. Higher capital allowance rates will initially impact the RPM price by squeezing out residual profit. As the project progresses and the ratio of upstream capital to downstream capital shifts to favour the upstream, the resulting capital allowances shift the balance of the RPM further toward the upstream and the RPM price is higher. This effect would be exacerbated the higher the </w:t>
      </w:r>
      <w:r w:rsidR="001F3464">
        <w:t>capital allowance</w:t>
      </w:r>
      <w:r w:rsidRPr="00331C8A">
        <w:t xml:space="preserve"> rate is set.</w:t>
      </w:r>
    </w:p>
    <w:p w14:paraId="1E874930" w14:textId="77777777" w:rsidR="00331C8A" w:rsidRPr="00331C8A" w:rsidRDefault="00913F3E" w:rsidP="00DB459B">
      <w:pPr>
        <w:pStyle w:val="Heading2"/>
        <w:rPr>
          <w:b w:val="0"/>
          <w:bCs w:val="0"/>
          <w:sz w:val="26"/>
          <w:szCs w:val="26"/>
        </w:rPr>
      </w:pPr>
      <w:bookmarkStart w:id="11146" w:name="_Toc476577379"/>
      <w:bookmarkStart w:id="11147" w:name="_Toc476582368"/>
      <w:bookmarkStart w:id="11148" w:name="_Toc476583042"/>
      <w:bookmarkStart w:id="11149" w:name="_Toc476583759"/>
      <w:bookmarkStart w:id="11150" w:name="_Toc476584207"/>
      <w:bookmarkStart w:id="11151" w:name="_Toc476738115"/>
      <w:bookmarkStart w:id="11152" w:name="_Toc476747700"/>
      <w:bookmarkStart w:id="11153" w:name="_Toc476749110"/>
      <w:bookmarkStart w:id="11154" w:name="_Toc476753977"/>
      <w:bookmarkStart w:id="11155" w:name="_Toc476754472"/>
      <w:bookmarkStart w:id="11156" w:name="_Toc476754637"/>
      <w:bookmarkStart w:id="11157" w:name="_Toc476759876"/>
      <w:bookmarkStart w:id="11158" w:name="_Toc476761498"/>
      <w:bookmarkStart w:id="11159" w:name="_Toc476767136"/>
      <w:bookmarkStart w:id="11160" w:name="_Toc476827182"/>
      <w:bookmarkStart w:id="11161" w:name="_Toc476828875"/>
      <w:bookmarkStart w:id="11162" w:name="_Toc476833749"/>
      <w:bookmarkStart w:id="11163" w:name="_Toc476837222"/>
      <w:bookmarkStart w:id="11164" w:name="_Toc476841095"/>
      <w:bookmarkStart w:id="11165" w:name="_Toc476841300"/>
      <w:bookmarkStart w:id="11166" w:name="_Toc476842059"/>
      <w:bookmarkStart w:id="11167" w:name="_Toc476843003"/>
      <w:bookmarkStart w:id="11168" w:name="_Toc476843174"/>
      <w:bookmarkStart w:id="11169" w:name="_Toc476844672"/>
      <w:bookmarkStart w:id="11170" w:name="_Toc476845565"/>
      <w:bookmarkStart w:id="11171" w:name="_Toc476926958"/>
      <w:bookmarkStart w:id="11172" w:name="_Toc476927071"/>
      <w:bookmarkStart w:id="11173" w:name="_Toc476927245"/>
      <w:bookmarkStart w:id="11174" w:name="_Toc476928509"/>
      <w:bookmarkStart w:id="11175" w:name="_Toc476929552"/>
      <w:bookmarkStart w:id="11176" w:name="_Toc476929727"/>
      <w:bookmarkStart w:id="11177" w:name="_Toc476930770"/>
      <w:bookmarkStart w:id="11178" w:name="_Toc476931577"/>
      <w:bookmarkStart w:id="11179" w:name="_Toc477869968"/>
      <w:bookmarkStart w:id="11180" w:name="_Toc477871207"/>
      <w:bookmarkStart w:id="11181" w:name="_Toc477873366"/>
      <w:bookmarkStart w:id="11182" w:name="_Toc477875360"/>
      <w:bookmarkStart w:id="11183" w:name="_Toc477880273"/>
      <w:bookmarkStart w:id="11184" w:name="_Toc477881533"/>
      <w:bookmarkStart w:id="11185" w:name="_Toc477955937"/>
      <w:bookmarkStart w:id="11186" w:name="_Toc477963182"/>
      <w:bookmarkStart w:id="11187" w:name="_Toc477963668"/>
      <w:bookmarkStart w:id="11188" w:name="_Toc477965254"/>
      <w:bookmarkStart w:id="11189" w:name="_Toc477966758"/>
      <w:bookmarkStart w:id="11190" w:name="_Toc477966927"/>
      <w:bookmarkStart w:id="11191" w:name="_Toc477967267"/>
      <w:bookmarkStart w:id="11192" w:name="_Toc478121403"/>
      <w:bookmarkStart w:id="11193" w:name="_Toc478122316"/>
      <w:bookmarkStart w:id="11194" w:name="_Toc478133316"/>
      <w:bookmarkStart w:id="11195" w:name="_Toc478132453"/>
      <w:bookmarkStart w:id="11196" w:name="_Toc478134782"/>
      <w:bookmarkStart w:id="11197" w:name="_Toc478137484"/>
      <w:bookmarkStart w:id="11198" w:name="_Toc478138556"/>
      <w:bookmarkStart w:id="11199" w:name="_Toc478140126"/>
      <w:bookmarkStart w:id="11200" w:name="_Toc478140542"/>
      <w:bookmarkStart w:id="11201" w:name="_Toc478142748"/>
      <w:bookmarkStart w:id="11202" w:name="_Toc478566467"/>
      <w:bookmarkStart w:id="11203" w:name="_Toc478569634"/>
      <w:bookmarkStart w:id="11204" w:name="_Toc478569808"/>
      <w:bookmarkStart w:id="11205" w:name="_Toc478570882"/>
      <w:bookmarkStart w:id="11206" w:name="_Toc478633081"/>
      <w:bookmarkStart w:id="11207" w:name="_Toc478641491"/>
      <w:bookmarkStart w:id="11208" w:name="_Toc478654385"/>
      <w:bookmarkStart w:id="11209" w:name="_Toc478654559"/>
      <w:bookmarkStart w:id="11210" w:name="_Toc478657854"/>
      <w:bookmarkStart w:id="11211" w:name="_Toc478992522"/>
      <w:bookmarkStart w:id="11212" w:name="_Toc478992694"/>
      <w:bookmarkStart w:id="11213" w:name="_Toc479254426"/>
      <w:bookmarkStart w:id="11214" w:name="_Toc479258615"/>
      <w:bookmarkStart w:id="11215" w:name="_Toc479258931"/>
      <w:bookmarkStart w:id="11216" w:name="_Toc479259823"/>
      <w:bookmarkStart w:id="11217" w:name="_Toc479262246"/>
      <w:bookmarkStart w:id="11218" w:name="_Toc479262667"/>
      <w:bookmarkStart w:id="11219" w:name="_Toc479321368"/>
      <w:bookmarkStart w:id="11220" w:name="_Toc479326807"/>
      <w:bookmarkStart w:id="11221" w:name="_Toc479333068"/>
      <w:bookmarkStart w:id="11222" w:name="_Toc479333406"/>
      <w:bookmarkStart w:id="11223" w:name="_Toc479335103"/>
      <w:bookmarkStart w:id="11224" w:name="_Toc479341818"/>
      <w:bookmarkStart w:id="11225" w:name="_Toc479345234"/>
      <w:bookmarkStart w:id="11226" w:name="_Toc479345443"/>
      <w:bookmarkStart w:id="11227" w:name="_Toc479348424"/>
      <w:bookmarkStart w:id="11228" w:name="_Toc479676017"/>
      <w:bookmarkStart w:id="11229" w:name="_Toc479690984"/>
      <w:bookmarkStart w:id="11230" w:name="_Toc479693562"/>
      <w:bookmarkStart w:id="11231" w:name="_Toc479770731"/>
      <w:bookmarkStart w:id="11232" w:name="_Toc478132146"/>
      <w:r>
        <w:t>D</w:t>
      </w:r>
      <w:r w:rsidR="00331C8A" w:rsidRPr="00331C8A">
        <w:t>.</w:t>
      </w:r>
      <w:r w:rsidR="00563789">
        <w:t>8</w:t>
      </w:r>
      <w:r w:rsidR="00331C8A" w:rsidRPr="00331C8A">
        <w:tab/>
        <w:t>The RPM Capital Allowance Rate</w:t>
      </w:r>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p>
    <w:bookmarkEnd w:id="11232"/>
    <w:p w14:paraId="470F6C2A" w14:textId="57DB927D" w:rsidR="001F3464" w:rsidRPr="00331C8A" w:rsidRDefault="001F3464" w:rsidP="001F3464">
      <w:r w:rsidRPr="00331C8A">
        <w:t xml:space="preserve">All capital augmentations, reductions and allocations in the RPM use the capital allowance which is LTBR plus 7 percentage points. The capital allowance </w:t>
      </w:r>
      <w:r w:rsidR="005D6F39">
        <w:t>‘</w:t>
      </w:r>
      <w:r w:rsidRPr="00331C8A">
        <w:t>represents a proxy for the cost of equity</w:t>
      </w:r>
      <w:r w:rsidR="005D6F39">
        <w:t>’</w:t>
      </w:r>
      <w:r w:rsidRPr="00331C8A">
        <w:t xml:space="preserve"> </w:t>
      </w:r>
      <w:r w:rsidRPr="00382E91">
        <w:t xml:space="preserve">(Explanatory Statement, </w:t>
      </w:r>
      <w:r w:rsidRPr="00382E91">
        <w:rPr>
          <w:i/>
        </w:rPr>
        <w:t>Select Legislative Instrument 2005 No 329</w:t>
      </w:r>
      <w:r w:rsidRPr="00382E91">
        <w:t xml:space="preserve">, p. </w:t>
      </w:r>
      <w:r>
        <w:t>14</w:t>
      </w:r>
      <w:r w:rsidRPr="00331C8A">
        <w:t>). There is no further explanation on why L</w:t>
      </w:r>
      <w:r w:rsidR="000A33FC">
        <w:t>TB</w:t>
      </w:r>
      <w:r w:rsidRPr="00331C8A">
        <w:t>R plus 7 percentage points was chosen as the appropriate uplift rate. Nor is there any explanation of why this represents a proxy for the cost of equity.</w:t>
      </w:r>
    </w:p>
    <w:p w14:paraId="35B55ACE" w14:textId="62FF4DC5" w:rsidR="001F3464" w:rsidRPr="00331C8A" w:rsidRDefault="001F3464" w:rsidP="001F3464">
      <w:r w:rsidRPr="00331C8A">
        <w:t>The risk with any arbitrary number is that it either over</w:t>
      </w:r>
      <w:r w:rsidR="005D6F39">
        <w:noBreakHyphen/>
      </w:r>
      <w:r w:rsidRPr="00331C8A">
        <w:t xml:space="preserve"> or under</w:t>
      </w:r>
      <w:r w:rsidR="005D6F39">
        <w:noBreakHyphen/>
      </w:r>
      <w:r w:rsidRPr="00331C8A">
        <w:t xml:space="preserve">compensates the investors in any given project. The actual cost of capital for each integrated </w:t>
      </w:r>
      <w:r w:rsidR="000A33FC">
        <w:t>LNG</w:t>
      </w:r>
      <w:r w:rsidRPr="00331C8A">
        <w:t xml:space="preserve"> project will vary between projects and the participants in each project. It is also reasonable to assume that in many projects the actual capital funding mix will include a mix of debt and equity.</w:t>
      </w:r>
    </w:p>
    <w:p w14:paraId="0969589F" w14:textId="19A253C7" w:rsidR="001F3464" w:rsidRPr="00331C8A" w:rsidRDefault="001F3464" w:rsidP="001F3464">
      <w:r w:rsidRPr="00331C8A">
        <w:t xml:space="preserve">Hogan and Goldsworthy have commented on the delicate balance of trying to use </w:t>
      </w:r>
      <w:r>
        <w:t xml:space="preserve">capital allowance rates (termed </w:t>
      </w:r>
      <w:r w:rsidR="005D6F39">
        <w:t>‘</w:t>
      </w:r>
      <w:r w:rsidRPr="00331C8A">
        <w:t>threshold rates</w:t>
      </w:r>
      <w:r w:rsidR="005D6F39">
        <w:t>’</w:t>
      </w:r>
      <w:r>
        <w:t>)</w:t>
      </w:r>
      <w:r w:rsidRPr="00331C8A">
        <w:t xml:space="preserve"> to target economic rents:</w:t>
      </w:r>
    </w:p>
    <w:p w14:paraId="29797FB0" w14:textId="323C6364" w:rsidR="00331C8A" w:rsidRPr="00331C8A" w:rsidRDefault="00331C8A" w:rsidP="00331C8A">
      <w:pPr>
        <w:ind w:left="567" w:right="565"/>
        <w:rPr>
          <w:color w:val="1F497D" w:themeColor="text2"/>
          <w:sz w:val="20"/>
        </w:rPr>
      </w:pPr>
      <w:r w:rsidRPr="00331C8A">
        <w:rPr>
          <w:color w:val="1F497D" w:themeColor="text2"/>
          <w:sz w:val="20"/>
        </w:rPr>
        <w:t>If the threshold rate for a given project is set at the private investor</w:t>
      </w:r>
      <w:r w:rsidR="005D6F39">
        <w:rPr>
          <w:color w:val="1F497D" w:themeColor="text2"/>
          <w:sz w:val="20"/>
        </w:rPr>
        <w:t>’</w:t>
      </w:r>
      <w:r w:rsidRPr="00331C8A">
        <w:rPr>
          <w:color w:val="1F497D" w:themeColor="text2"/>
          <w:sz w:val="20"/>
        </w:rPr>
        <w:t>s minimum rate of return (comprising the risk free interest rate plus an appropriate risk premium), the remaining net cash flow represents the economic rent of the project. If the economic rent and resource rent are equivalent, it is reasonable for the government to target the entire economic rent as a return to the mineral resource (</w:t>
      </w:r>
      <w:r w:rsidRPr="0089309E">
        <w:rPr>
          <w:color w:val="1F497D" w:themeColor="text2"/>
          <w:sz w:val="20"/>
        </w:rPr>
        <w:t xml:space="preserve">Hogan and Goldsworthy, </w:t>
      </w:r>
      <w:r w:rsidR="0089309E" w:rsidRPr="0089309E">
        <w:rPr>
          <w:color w:val="1F497D" w:themeColor="text2"/>
          <w:sz w:val="20"/>
        </w:rPr>
        <w:t>2010</w:t>
      </w:r>
      <w:r w:rsidRPr="0089309E">
        <w:rPr>
          <w:color w:val="1F497D" w:themeColor="text2"/>
          <w:sz w:val="20"/>
        </w:rPr>
        <w:t>, p</w:t>
      </w:r>
      <w:r w:rsidR="00563789" w:rsidRPr="0089309E">
        <w:rPr>
          <w:color w:val="1F497D" w:themeColor="text2"/>
          <w:sz w:val="20"/>
        </w:rPr>
        <w:t>.</w:t>
      </w:r>
      <w:r w:rsidRPr="0089309E">
        <w:rPr>
          <w:color w:val="1F497D" w:themeColor="text2"/>
          <w:sz w:val="20"/>
        </w:rPr>
        <w:t xml:space="preserve"> </w:t>
      </w:r>
      <w:r w:rsidR="0089309E" w:rsidRPr="0089309E">
        <w:rPr>
          <w:color w:val="1F497D" w:themeColor="text2"/>
          <w:sz w:val="20"/>
        </w:rPr>
        <w:t>138</w:t>
      </w:r>
      <w:r w:rsidRPr="0089309E">
        <w:rPr>
          <w:color w:val="1F497D" w:themeColor="text2"/>
          <w:sz w:val="20"/>
        </w:rPr>
        <w:t>).</w:t>
      </w:r>
    </w:p>
    <w:p w14:paraId="3524580F" w14:textId="77777777" w:rsidR="001F3464" w:rsidRPr="00331C8A" w:rsidRDefault="001F3464" w:rsidP="001F3464">
      <w:r w:rsidRPr="00331C8A">
        <w:t>It follows from their analysis that</w:t>
      </w:r>
      <w:r>
        <w:t>,</w:t>
      </w:r>
      <w:r w:rsidRPr="00331C8A">
        <w:t xml:space="preserve"> if the </w:t>
      </w:r>
      <w:r>
        <w:t>capital allowance</w:t>
      </w:r>
      <w:r w:rsidRPr="00331C8A">
        <w:t xml:space="preserve"> rate is set too high, then the government is not targeting the entire economic rent of the project, and if the </w:t>
      </w:r>
      <w:r>
        <w:t>capital allowance</w:t>
      </w:r>
      <w:r w:rsidRPr="00331C8A">
        <w:t xml:space="preserve"> is set too low, then the government is targeting more than the economic rents of the project.</w:t>
      </w:r>
    </w:p>
    <w:p w14:paraId="4E52F81D" w14:textId="31907BB6" w:rsidR="001F3464" w:rsidRPr="00331C8A" w:rsidRDefault="001F3464" w:rsidP="001F3464">
      <w:r>
        <w:t>Under RPM, i</w:t>
      </w:r>
      <w:r w:rsidRPr="00331C8A">
        <w:t xml:space="preserve">f the </w:t>
      </w:r>
      <w:r>
        <w:t>capital allowance</w:t>
      </w:r>
      <w:r w:rsidRPr="00331C8A">
        <w:t xml:space="preserve"> rate is set too high then there is a risk that the economic rents of the project will be diluted by an excessive return on both upstream and downstream capital. The rents not captured by the residual profit will instead be allocated by the ratio of upstream to downstream capital rather than by the residual profit split.</w:t>
      </w:r>
    </w:p>
    <w:p w14:paraId="60054102" w14:textId="6EDB88F3" w:rsidR="001F3464" w:rsidRPr="00331C8A" w:rsidRDefault="001F3464" w:rsidP="001F3464">
      <w:r w:rsidRPr="00331C8A">
        <w:t xml:space="preserve">If the </w:t>
      </w:r>
      <w:r>
        <w:t>capital allowance</w:t>
      </w:r>
      <w:r w:rsidRPr="00331C8A">
        <w:t xml:space="preserve"> rate is set so high that the excessive return lifts the cost</w:t>
      </w:r>
      <w:r w:rsidR="005D6F39">
        <w:noBreakHyphen/>
      </w:r>
      <w:r w:rsidRPr="00331C8A">
        <w:t xml:space="preserve">plus price above the netback price (resulting in the netback price becoming the RPM price) then the result could be a transfer of the economic rent from the upstream to the downstream side of </w:t>
      </w:r>
      <w:r>
        <w:t xml:space="preserve">integrated </w:t>
      </w:r>
      <w:r w:rsidR="00DA6C40">
        <w:t>project</w:t>
      </w:r>
      <w:r w:rsidRPr="00331C8A">
        <w:t>. It is more likely that this would occur at the start of a project, in periods of high cost or where prices are very low.</w:t>
      </w:r>
    </w:p>
    <w:p w14:paraId="449BC6B6" w14:textId="77777777" w:rsidR="001F3464" w:rsidRPr="00331C8A" w:rsidRDefault="001F3464" w:rsidP="001F3464">
      <w:r w:rsidRPr="00331C8A">
        <w:t xml:space="preserve">If the </w:t>
      </w:r>
      <w:r>
        <w:t>capital allowance</w:t>
      </w:r>
      <w:r w:rsidRPr="00331C8A">
        <w:t xml:space="preserve"> rate is set too low then there is a risk that the economic rents of the project will be exaggerated by the RPM. Under the RPM, the excessive rents would be distributed evenly between the upstream and the downstream</w:t>
      </w:r>
      <w:r>
        <w:t xml:space="preserve"> even though </w:t>
      </w:r>
      <w:r w:rsidRPr="00331C8A">
        <w:t xml:space="preserve">the ratio of capital and operating costs in the upstream and downstream </w:t>
      </w:r>
      <w:r>
        <w:t xml:space="preserve">may </w:t>
      </w:r>
      <w:r w:rsidRPr="00331C8A">
        <w:t>differ from the 50:50 allocations of residual profits.</w:t>
      </w:r>
    </w:p>
    <w:p w14:paraId="27231DEB" w14:textId="77777777" w:rsidR="001F3464" w:rsidRPr="00331C8A" w:rsidRDefault="001F3464" w:rsidP="001F3464">
      <w:r w:rsidRPr="00331C8A">
        <w:t xml:space="preserve">The other risk is that by not providing a sufficient capital allowance the operation would be in notional loss for economic purposes but this would not be recognised under the RPM. The result in this case is that the </w:t>
      </w:r>
      <w:r>
        <w:t>notional</w:t>
      </w:r>
      <w:r w:rsidRPr="00331C8A">
        <w:t xml:space="preserve"> loss would not be </w:t>
      </w:r>
      <w:r>
        <w:t>attributed to</w:t>
      </w:r>
      <w:r w:rsidRPr="00331C8A">
        <w:t xml:space="preserve"> the upstream</w:t>
      </w:r>
      <w:r>
        <w:t>,</w:t>
      </w:r>
      <w:r w:rsidRPr="00331C8A">
        <w:t xml:space="preserve"> </w:t>
      </w:r>
      <w:r>
        <w:t>contrary to the</w:t>
      </w:r>
      <w:r w:rsidRPr="00331C8A">
        <w:t xml:space="preserve"> </w:t>
      </w:r>
      <w:r>
        <w:t xml:space="preserve">original </w:t>
      </w:r>
      <w:r w:rsidRPr="00331C8A">
        <w:t>intent</w:t>
      </w:r>
      <w:r>
        <w:t xml:space="preserve"> of the RPM</w:t>
      </w:r>
      <w:r w:rsidRPr="00331C8A">
        <w:t>.</w:t>
      </w:r>
    </w:p>
    <w:p w14:paraId="093F8622" w14:textId="6389B8FC" w:rsidR="001F3464" w:rsidRPr="00331C8A" w:rsidRDefault="001F3464" w:rsidP="001F3464">
      <w:r w:rsidRPr="00331C8A">
        <w:t xml:space="preserve">These risks to the distribution of project rents between the upstream and downstream grow as the project matures and </w:t>
      </w:r>
      <w:r w:rsidR="00DA6C40">
        <w:t xml:space="preserve">the </w:t>
      </w:r>
      <w:r>
        <w:t>measured</w:t>
      </w:r>
      <w:r w:rsidRPr="00331C8A">
        <w:t xml:space="preserve"> </w:t>
      </w:r>
      <w:r>
        <w:t xml:space="preserve">residual profits of </w:t>
      </w:r>
      <w:r w:rsidR="00DA6C40">
        <w:t xml:space="preserve">the </w:t>
      </w:r>
      <w:r w:rsidRPr="00331C8A">
        <w:t xml:space="preserve">project increase. If the </w:t>
      </w:r>
      <w:r>
        <w:t>capital allowance</w:t>
      </w:r>
      <w:r w:rsidRPr="00331C8A">
        <w:t xml:space="preserve"> rate is set too high it risks transferring rents from the upstream to the downstream at the start of the project </w:t>
      </w:r>
      <w:r>
        <w:t>as a result of</w:t>
      </w:r>
      <w:r w:rsidRPr="00331C8A">
        <w:t xml:space="preserve"> the cost</w:t>
      </w:r>
      <w:r w:rsidR="005D6F39">
        <w:noBreakHyphen/>
      </w:r>
      <w:r w:rsidRPr="00331C8A">
        <w:t xml:space="preserve">plus exceeding the netback price. This would result in lower assessable PRRT receipts for the project, meaning that deductions would be used up at a slower rate. This could result in </w:t>
      </w:r>
      <w:r>
        <w:t xml:space="preserve">delay in </w:t>
      </w:r>
      <w:r w:rsidRPr="00331C8A">
        <w:t>the project becoming a paying PRRT project. However, once it bec</w:t>
      </w:r>
      <w:r>
        <w:t>ame</w:t>
      </w:r>
      <w:r w:rsidRPr="00331C8A">
        <w:t xml:space="preserve"> a paying project, the high </w:t>
      </w:r>
      <w:r>
        <w:t>capital allowance</w:t>
      </w:r>
      <w:r w:rsidRPr="00331C8A">
        <w:t xml:space="preserve"> rate would </w:t>
      </w:r>
      <w:r>
        <w:t>absorb</w:t>
      </w:r>
      <w:r w:rsidRPr="00331C8A">
        <w:t xml:space="preserve"> the rents as the normal return to the business. If the upstream capital exceeded the downstream capital it would result in a higher RPM price through the PRRT profitable phase of the project.</w:t>
      </w:r>
    </w:p>
    <w:p w14:paraId="65097DF2" w14:textId="209FF0C5" w:rsidR="001F3464" w:rsidRPr="00331C8A" w:rsidRDefault="001F3464" w:rsidP="001F3464">
      <w:r w:rsidRPr="00331C8A">
        <w:t xml:space="preserve">If the </w:t>
      </w:r>
      <w:r>
        <w:t>capital allowance</w:t>
      </w:r>
      <w:r w:rsidRPr="00331C8A">
        <w:t xml:space="preserve"> rate is set too low it risks not compensating adequately the upstream and downstream processing operations. This would result in a higher RPM price at the beginning of the project, potentially making the project pay PRRT sooner. However, as the ratio of the capital allocation in the upstream increases, the </w:t>
      </w:r>
      <w:r>
        <w:t>capital allowance</w:t>
      </w:r>
      <w:r w:rsidRPr="00331C8A">
        <w:t xml:space="preserve"> rate would not capture the normal returns attributable to the upstream and would transfer them on a 50:50 split to the downstream. The overall effect would be transferring rents from the upstream to the downstream processing during the long profitable phase of the </w:t>
      </w:r>
      <w:r w:rsidR="000A33FC">
        <w:t>LNG</w:t>
      </w:r>
      <w:r w:rsidRPr="00331C8A">
        <w:t xml:space="preserve"> operation (as a lower </w:t>
      </w:r>
      <w:r>
        <w:t>capital allowance</w:t>
      </w:r>
      <w:r w:rsidRPr="00331C8A">
        <w:t xml:space="preserve"> rate in the RPM would lower the cost</w:t>
      </w:r>
      <w:r w:rsidR="005D6F39">
        <w:noBreakHyphen/>
      </w:r>
      <w:r w:rsidRPr="00331C8A">
        <w:t>plus price thereby lowering the RPM price). This could result in a PRRT project having lower assessable PRRT receipts during the profitable, PRRT paying, phase of the project, resulting in a lower overall tax take for government.</w:t>
      </w:r>
    </w:p>
    <w:p w14:paraId="3831A493" w14:textId="66558F2A" w:rsidR="001F3464" w:rsidRDefault="001F3464" w:rsidP="001F3464">
      <w:r w:rsidRPr="00331C8A">
        <w:t xml:space="preserve">Any </w:t>
      </w:r>
      <w:r>
        <w:t>uniform RPM capital allowance</w:t>
      </w:r>
      <w:r w:rsidRPr="00331C8A">
        <w:t xml:space="preserve"> rate applied across the industry will </w:t>
      </w:r>
      <w:r>
        <w:t>inevitably under or over</w:t>
      </w:r>
      <w:r w:rsidR="005D6F39">
        <w:noBreakHyphen/>
      </w:r>
      <w:r>
        <w:t xml:space="preserve">estimate the </w:t>
      </w:r>
      <w:r w:rsidR="005D6F39">
        <w:t>‘</w:t>
      </w:r>
      <w:r>
        <w:t>basic return</w:t>
      </w:r>
      <w:r w:rsidR="005D6F39">
        <w:t>’</w:t>
      </w:r>
      <w:r>
        <w:t xml:space="preserve"> of investors across integrated gas projects in the RPM</w:t>
      </w:r>
      <w:r w:rsidR="005D6F39">
        <w:t>’</w:t>
      </w:r>
      <w:r>
        <w:t xml:space="preserve">s measurement of residual profit. </w:t>
      </w:r>
      <w:r w:rsidRPr="00331C8A">
        <w:t xml:space="preserve">To assist </w:t>
      </w:r>
      <w:r>
        <w:t>in this regard</w:t>
      </w:r>
      <w:r w:rsidRPr="00331C8A">
        <w:t xml:space="preserve">, the use of the netback price as the RPM price in </w:t>
      </w:r>
      <w:r w:rsidR="005D6F39">
        <w:t>‘</w:t>
      </w:r>
      <w:r w:rsidRPr="00331C8A">
        <w:t>notional loss</w:t>
      </w:r>
      <w:r w:rsidR="005D6F39">
        <w:t>’</w:t>
      </w:r>
      <w:r w:rsidRPr="00331C8A">
        <w:t xml:space="preserve"> situations could be removed. This would assist with removing one of the </w:t>
      </w:r>
      <w:r>
        <w:t xml:space="preserve">risks </w:t>
      </w:r>
      <w:r w:rsidRPr="00331C8A">
        <w:t xml:space="preserve">of having an excessive </w:t>
      </w:r>
      <w:r>
        <w:t xml:space="preserve">capital allowance </w:t>
      </w:r>
      <w:r w:rsidRPr="00331C8A">
        <w:t>rate. Research could be done on other ways of splitting the project residual profit to decrease the likelihood of rents being transferred from downstream to upstream or from upstream to downstream by the application of a predetermined rate to a specific project (for example</w:t>
      </w:r>
      <w:r>
        <w:t>, consideration could be given to splitting</w:t>
      </w:r>
      <w:r w:rsidRPr="00331C8A">
        <w:t xml:space="preserve"> the residual profit</w:t>
      </w:r>
      <w:r w:rsidR="005D6F39">
        <w:noBreakHyphen/>
      </w:r>
      <w:r w:rsidRPr="00331C8A">
        <w:t xml:space="preserve">based on the capital allocation ratio each year). </w:t>
      </w:r>
    </w:p>
    <w:p w14:paraId="7DEE13A1" w14:textId="3E71CD91" w:rsidR="00AA7794" w:rsidRDefault="009C5F8E" w:rsidP="001F3464">
      <w:pPr>
        <w:pStyle w:val="Heading1"/>
      </w:pPr>
      <w:bookmarkStart w:id="11233" w:name="_Toc477869971"/>
      <w:bookmarkStart w:id="11234" w:name="_Toc477871210"/>
      <w:bookmarkStart w:id="11235" w:name="_Toc477873369"/>
      <w:bookmarkStart w:id="11236" w:name="_Toc477875363"/>
      <w:bookmarkStart w:id="11237" w:name="_Toc477880276"/>
      <w:bookmarkStart w:id="11238" w:name="_Toc477881536"/>
      <w:bookmarkStart w:id="11239" w:name="_Toc477955940"/>
      <w:bookmarkStart w:id="11240" w:name="_Toc477963185"/>
      <w:bookmarkStart w:id="11241" w:name="_Toc477963671"/>
      <w:bookmarkStart w:id="11242" w:name="_Toc477965257"/>
      <w:bookmarkStart w:id="11243" w:name="_Toc477966761"/>
      <w:bookmarkStart w:id="11244" w:name="_Toc477966930"/>
      <w:bookmarkStart w:id="11245" w:name="_Toc477967270"/>
      <w:bookmarkStart w:id="11246" w:name="_Toc478121405"/>
      <w:bookmarkStart w:id="11247" w:name="_Toc478122318"/>
      <w:bookmarkStart w:id="11248" w:name="_Toc478132148"/>
      <w:bookmarkStart w:id="11249" w:name="_Toc478132455"/>
      <w:bookmarkStart w:id="11250" w:name="_Toc478134784"/>
      <w:bookmarkStart w:id="11251" w:name="_Toc478137486"/>
      <w:bookmarkStart w:id="11252" w:name="_Toc478138558"/>
      <w:bookmarkStart w:id="11253" w:name="_Toc478140128"/>
      <w:bookmarkStart w:id="11254" w:name="_Toc478140544"/>
      <w:bookmarkStart w:id="11255" w:name="_Toc478142750"/>
      <w:bookmarkStart w:id="11256" w:name="_Toc478566469"/>
      <w:bookmarkStart w:id="11257" w:name="_Toc478569636"/>
      <w:bookmarkStart w:id="11258" w:name="_Toc478569810"/>
      <w:bookmarkStart w:id="11259" w:name="_Toc478570884"/>
      <w:bookmarkStart w:id="11260" w:name="_Toc478633083"/>
      <w:bookmarkStart w:id="11261" w:name="_Toc478641492"/>
      <w:bookmarkStart w:id="11262" w:name="_Toc478654386"/>
      <w:bookmarkStart w:id="11263" w:name="_Toc478654560"/>
      <w:bookmarkStart w:id="11264" w:name="_Toc478657855"/>
      <w:bookmarkStart w:id="11265" w:name="_Toc478993276"/>
      <w:bookmarkStart w:id="11266" w:name="_Toc479000347"/>
      <w:bookmarkStart w:id="11267" w:name="_Toc479002281"/>
      <w:bookmarkStart w:id="11268" w:name="_Toc479002453"/>
      <w:r>
        <w:br w:type="page"/>
      </w:r>
      <w:bookmarkStart w:id="11269" w:name="_Toc479254427"/>
      <w:bookmarkStart w:id="11270" w:name="_Toc479258616"/>
      <w:bookmarkStart w:id="11271" w:name="_Toc479258932"/>
      <w:bookmarkStart w:id="11272" w:name="_Toc479259824"/>
      <w:bookmarkStart w:id="11273" w:name="_Toc479262247"/>
      <w:bookmarkStart w:id="11274" w:name="_Toc479262668"/>
      <w:bookmarkStart w:id="11275" w:name="_Toc479321369"/>
      <w:bookmarkStart w:id="11276" w:name="_Toc479326808"/>
      <w:bookmarkStart w:id="11277" w:name="_Toc479333069"/>
      <w:bookmarkStart w:id="11278" w:name="_Toc479333407"/>
      <w:bookmarkStart w:id="11279" w:name="_Toc479335104"/>
      <w:bookmarkStart w:id="11280" w:name="_Toc479341819"/>
      <w:bookmarkStart w:id="11281" w:name="_Toc479345235"/>
      <w:bookmarkStart w:id="11282" w:name="_Toc479345444"/>
      <w:bookmarkStart w:id="11283" w:name="_Toc479348425"/>
      <w:bookmarkStart w:id="11284" w:name="_Toc479676018"/>
      <w:bookmarkStart w:id="11285" w:name="_Toc479690985"/>
      <w:bookmarkStart w:id="11286" w:name="_Toc479693563"/>
      <w:bookmarkStart w:id="11287" w:name="_Toc479770732"/>
      <w:r w:rsidR="009D0552">
        <w:t xml:space="preserve">Appendix </w:t>
      </w:r>
      <w:r w:rsidR="00257E1A">
        <w:t>E</w:t>
      </w:r>
      <w:r w:rsidR="005D6F39">
        <w:t xml:space="preserve"> — </w:t>
      </w:r>
      <w:bookmarkStart w:id="11288" w:name="_Toc476577417"/>
      <w:bookmarkStart w:id="11289" w:name="_Toc476582406"/>
      <w:bookmarkStart w:id="11290" w:name="_Toc476583080"/>
      <w:bookmarkStart w:id="11291" w:name="_Toc476583797"/>
      <w:bookmarkStart w:id="11292" w:name="_Toc476584245"/>
      <w:bookmarkStart w:id="11293" w:name="_Toc476738152"/>
      <w:bookmarkStart w:id="11294" w:name="_Toc476747737"/>
      <w:bookmarkStart w:id="11295" w:name="_Toc476749147"/>
      <w:bookmarkStart w:id="11296" w:name="_Toc476754014"/>
      <w:bookmarkStart w:id="11297" w:name="_Toc476754509"/>
      <w:bookmarkStart w:id="11298" w:name="_Toc476754674"/>
      <w:bookmarkStart w:id="11299" w:name="_Toc476759913"/>
      <w:bookmarkStart w:id="11300" w:name="_Toc476761535"/>
      <w:bookmarkStart w:id="11301" w:name="_Toc476767173"/>
      <w:bookmarkStart w:id="11302" w:name="_Toc476827219"/>
      <w:bookmarkStart w:id="11303" w:name="_Toc476828912"/>
      <w:bookmarkStart w:id="11304" w:name="_Toc476833786"/>
      <w:bookmarkStart w:id="11305" w:name="_Toc476837259"/>
      <w:bookmarkStart w:id="11306" w:name="_Toc476841132"/>
      <w:bookmarkStart w:id="11307" w:name="_Toc476841337"/>
      <w:bookmarkStart w:id="11308" w:name="_Toc476842096"/>
      <w:bookmarkStart w:id="11309" w:name="_Toc476843040"/>
      <w:bookmarkStart w:id="11310" w:name="_Toc476843211"/>
      <w:bookmarkStart w:id="11311" w:name="_Toc476844709"/>
      <w:bookmarkStart w:id="11312" w:name="_Toc476845602"/>
      <w:bookmarkStart w:id="11313" w:name="_Toc476926996"/>
      <w:bookmarkStart w:id="11314" w:name="_Toc476927109"/>
      <w:bookmarkStart w:id="11315" w:name="_Toc476927283"/>
      <w:bookmarkStart w:id="11316" w:name="_Toc476928547"/>
      <w:bookmarkStart w:id="11317" w:name="_Toc476929590"/>
      <w:bookmarkStart w:id="11318" w:name="_Toc476929765"/>
      <w:bookmarkStart w:id="11319" w:name="_Toc476930808"/>
      <w:bookmarkStart w:id="11320" w:name="_Toc47693161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r w:rsidR="009D0552">
        <w:t>International Comparisons</w:t>
      </w:r>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p>
    <w:p w14:paraId="7D661D34" w14:textId="5EA9F325" w:rsidR="00EE2BF5" w:rsidRDefault="00AC0D24" w:rsidP="00D05C6E">
      <w:pPr>
        <w:pStyle w:val="Heading2"/>
      </w:pPr>
      <w:bookmarkStart w:id="11321" w:name="_Toc476738153"/>
      <w:bookmarkStart w:id="11322" w:name="_Toc476747738"/>
      <w:bookmarkStart w:id="11323" w:name="_Toc476749148"/>
      <w:bookmarkStart w:id="11324" w:name="_Toc476754015"/>
      <w:bookmarkStart w:id="11325" w:name="_Toc476754510"/>
      <w:bookmarkStart w:id="11326" w:name="_Toc476754675"/>
      <w:bookmarkStart w:id="11327" w:name="_Toc476759914"/>
      <w:bookmarkStart w:id="11328" w:name="_Toc476761536"/>
      <w:bookmarkStart w:id="11329" w:name="_Toc476767174"/>
      <w:bookmarkStart w:id="11330" w:name="_Toc476827220"/>
      <w:bookmarkStart w:id="11331" w:name="_Toc476828913"/>
      <w:bookmarkStart w:id="11332" w:name="_Toc476833787"/>
      <w:bookmarkStart w:id="11333" w:name="_Toc476837260"/>
      <w:bookmarkStart w:id="11334" w:name="_Toc476841133"/>
      <w:bookmarkStart w:id="11335" w:name="_Toc476841338"/>
      <w:bookmarkStart w:id="11336" w:name="_Toc476842097"/>
      <w:bookmarkStart w:id="11337" w:name="_Toc476843041"/>
      <w:bookmarkStart w:id="11338" w:name="_Toc476843212"/>
      <w:bookmarkStart w:id="11339" w:name="_Toc476844710"/>
      <w:bookmarkStart w:id="11340" w:name="_Toc476845603"/>
      <w:bookmarkStart w:id="11341" w:name="_Toc476926997"/>
      <w:bookmarkStart w:id="11342" w:name="_Toc476927110"/>
      <w:bookmarkStart w:id="11343" w:name="_Toc476927284"/>
      <w:bookmarkStart w:id="11344" w:name="_Toc476928548"/>
      <w:bookmarkStart w:id="11345" w:name="_Toc476929591"/>
      <w:bookmarkStart w:id="11346" w:name="_Toc476929766"/>
      <w:bookmarkStart w:id="11347" w:name="_Toc476930809"/>
      <w:bookmarkStart w:id="11348" w:name="_Toc476931616"/>
      <w:bookmarkStart w:id="11349" w:name="_Toc477869972"/>
      <w:bookmarkStart w:id="11350" w:name="_Toc477871211"/>
      <w:bookmarkStart w:id="11351" w:name="_Toc477873370"/>
      <w:bookmarkStart w:id="11352" w:name="_Toc477875364"/>
      <w:bookmarkStart w:id="11353" w:name="_Toc477880277"/>
      <w:bookmarkStart w:id="11354" w:name="_Toc477881537"/>
      <w:bookmarkStart w:id="11355" w:name="_Toc477955941"/>
      <w:bookmarkStart w:id="11356" w:name="_Toc477963186"/>
      <w:bookmarkStart w:id="11357" w:name="_Toc477963672"/>
      <w:bookmarkStart w:id="11358" w:name="_Toc477965258"/>
      <w:bookmarkStart w:id="11359" w:name="_Toc477966762"/>
      <w:bookmarkStart w:id="11360" w:name="_Toc477966931"/>
      <w:bookmarkStart w:id="11361" w:name="_Toc477967271"/>
      <w:bookmarkStart w:id="11362" w:name="_Toc478121406"/>
      <w:bookmarkStart w:id="11363" w:name="_Toc478122319"/>
      <w:bookmarkStart w:id="11364" w:name="_Toc478132149"/>
      <w:bookmarkStart w:id="11365" w:name="_Toc478132456"/>
      <w:bookmarkStart w:id="11366" w:name="_Toc478134785"/>
      <w:bookmarkStart w:id="11367" w:name="_Toc478137487"/>
      <w:bookmarkStart w:id="11368" w:name="_Toc478138559"/>
      <w:bookmarkStart w:id="11369" w:name="_Toc478140129"/>
      <w:bookmarkStart w:id="11370" w:name="_Toc478140545"/>
      <w:bookmarkStart w:id="11371" w:name="_Toc478142751"/>
      <w:bookmarkStart w:id="11372" w:name="_Toc478566470"/>
      <w:bookmarkStart w:id="11373" w:name="_Toc478569637"/>
      <w:bookmarkStart w:id="11374" w:name="_Toc478569811"/>
      <w:bookmarkStart w:id="11375" w:name="_Toc478570885"/>
      <w:bookmarkStart w:id="11376" w:name="_Toc478633084"/>
      <w:bookmarkStart w:id="11377" w:name="_Toc478641493"/>
      <w:bookmarkStart w:id="11378" w:name="_Toc478654387"/>
      <w:bookmarkStart w:id="11379" w:name="_Toc478654561"/>
      <w:bookmarkStart w:id="11380" w:name="_Toc478657856"/>
      <w:bookmarkStart w:id="11381" w:name="_Toc478993277"/>
      <w:bookmarkStart w:id="11382" w:name="_Toc479000348"/>
      <w:bookmarkStart w:id="11383" w:name="_Toc479002282"/>
      <w:bookmarkStart w:id="11384" w:name="_Toc479002454"/>
      <w:bookmarkStart w:id="11385" w:name="_Toc479254428"/>
      <w:bookmarkStart w:id="11386" w:name="_Toc479258617"/>
      <w:bookmarkStart w:id="11387" w:name="_Toc479258933"/>
      <w:bookmarkStart w:id="11388" w:name="_Toc479259825"/>
      <w:bookmarkStart w:id="11389" w:name="_Toc479262248"/>
      <w:bookmarkStart w:id="11390" w:name="_Toc479262669"/>
      <w:bookmarkStart w:id="11391" w:name="_Toc479321370"/>
      <w:bookmarkStart w:id="11392" w:name="_Toc479326809"/>
      <w:bookmarkStart w:id="11393" w:name="_Toc479333070"/>
      <w:bookmarkStart w:id="11394" w:name="_Toc479333408"/>
      <w:bookmarkStart w:id="11395" w:name="_Toc479335105"/>
      <w:bookmarkStart w:id="11396" w:name="_Toc479341820"/>
      <w:bookmarkStart w:id="11397" w:name="_Toc479345236"/>
      <w:bookmarkStart w:id="11398" w:name="_Toc479345445"/>
      <w:bookmarkStart w:id="11399" w:name="_Toc479348426"/>
      <w:bookmarkStart w:id="11400" w:name="_Toc479676019"/>
      <w:bookmarkStart w:id="11401" w:name="_Toc479690986"/>
      <w:bookmarkStart w:id="11402" w:name="_Toc479693564"/>
      <w:bookmarkStart w:id="11403" w:name="_Toc479770733"/>
      <w:r>
        <w:t>E</w:t>
      </w:r>
      <w:r w:rsidR="00094EC9">
        <w:t>.1</w:t>
      </w:r>
      <w:r w:rsidR="006F4D5A">
        <w:tab/>
      </w:r>
      <w:r w:rsidR="000252AD">
        <w:t xml:space="preserve">Fiscal </w:t>
      </w:r>
      <w:r w:rsidR="0006458A">
        <w:t>S</w:t>
      </w:r>
      <w:r w:rsidR="000252AD">
        <w:t>tability</w:t>
      </w:r>
      <w:r w:rsidR="005D6F39">
        <w:t xml:space="preserve"> — </w:t>
      </w:r>
      <w:r w:rsidR="0006458A">
        <w:t>L</w:t>
      </w:r>
      <w:r w:rsidR="00F572A2">
        <w:t xml:space="preserve">essons </w:t>
      </w:r>
      <w:r w:rsidR="0006458A">
        <w:t>F</w:t>
      </w:r>
      <w:r w:rsidR="00F572A2">
        <w:t xml:space="preserve">rom </w:t>
      </w:r>
      <w:r w:rsidR="0006458A">
        <w:t>I</w:t>
      </w:r>
      <w:r w:rsidR="00F572A2">
        <w:t xml:space="preserve">nternational </w:t>
      </w:r>
      <w:r w:rsidR="0006458A">
        <w:t>C</w:t>
      </w:r>
      <w:r w:rsidR="00F572A2">
        <w:t>omparisons</w:t>
      </w:r>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p>
    <w:p w14:paraId="164FE7DC" w14:textId="3C654FBD" w:rsidR="001B5F3E" w:rsidRPr="003902C1" w:rsidRDefault="000767F6" w:rsidP="001B5F3E">
      <w:r>
        <w:t xml:space="preserve">As noted in </w:t>
      </w:r>
      <w:r w:rsidRPr="006D28D4">
        <w:t>section 1.5</w:t>
      </w:r>
      <w:r w:rsidR="0044145E">
        <w:t>.3</w:t>
      </w:r>
      <w:r>
        <w:t xml:space="preserve">, a number of industry submissions </w:t>
      </w:r>
      <w:r w:rsidR="002F42ED">
        <w:t>referred to</w:t>
      </w:r>
      <w:r>
        <w:t xml:space="preserve"> the United Kingdom, Alberta </w:t>
      </w:r>
      <w:r w:rsidR="00C30C40">
        <w:t xml:space="preserve">(Canada) </w:t>
      </w:r>
      <w:r>
        <w:t xml:space="preserve">and Alaska </w:t>
      </w:r>
      <w:r w:rsidR="00C30C40">
        <w:t>(United States)</w:t>
      </w:r>
      <w:r>
        <w:t xml:space="preserve"> as examples of </w:t>
      </w:r>
      <w:r w:rsidR="008604C3">
        <w:t xml:space="preserve">countries </w:t>
      </w:r>
      <w:r>
        <w:t>where changes</w:t>
      </w:r>
      <w:r w:rsidR="002F42ED">
        <w:t xml:space="preserve"> in their resource taxation arrangements</w:t>
      </w:r>
      <w:r>
        <w:t xml:space="preserve"> negatively impacted investment. These examples are reviewed below.</w:t>
      </w:r>
    </w:p>
    <w:p w14:paraId="127E8EC2" w14:textId="24955A7B" w:rsidR="001B5F3E" w:rsidRDefault="00AC0D24" w:rsidP="001B5F3E">
      <w:pPr>
        <w:pStyle w:val="Heading3"/>
      </w:pPr>
      <w:bookmarkStart w:id="11404" w:name="_Toc476738154"/>
      <w:bookmarkStart w:id="11405" w:name="_Toc476747739"/>
      <w:bookmarkStart w:id="11406" w:name="_Toc476749149"/>
      <w:bookmarkStart w:id="11407" w:name="_Toc476754016"/>
      <w:bookmarkStart w:id="11408" w:name="_Toc476754511"/>
      <w:bookmarkStart w:id="11409" w:name="_Toc476754676"/>
      <w:bookmarkStart w:id="11410" w:name="_Toc476759915"/>
      <w:bookmarkStart w:id="11411" w:name="_Toc476761537"/>
      <w:bookmarkStart w:id="11412" w:name="_Toc476767175"/>
      <w:bookmarkStart w:id="11413" w:name="_Toc476827221"/>
      <w:bookmarkStart w:id="11414" w:name="_Toc476828914"/>
      <w:bookmarkStart w:id="11415" w:name="_Toc476833788"/>
      <w:bookmarkStart w:id="11416" w:name="_Toc476837261"/>
      <w:bookmarkStart w:id="11417" w:name="_Toc476841134"/>
      <w:bookmarkStart w:id="11418" w:name="_Toc476841339"/>
      <w:bookmarkStart w:id="11419" w:name="_Toc476842098"/>
      <w:bookmarkStart w:id="11420" w:name="_Toc476843042"/>
      <w:bookmarkStart w:id="11421" w:name="_Toc476843213"/>
      <w:bookmarkStart w:id="11422" w:name="_Toc476844711"/>
      <w:bookmarkStart w:id="11423" w:name="_Toc476845604"/>
      <w:bookmarkStart w:id="11424" w:name="_Toc476926998"/>
      <w:bookmarkStart w:id="11425" w:name="_Toc476927111"/>
      <w:bookmarkStart w:id="11426" w:name="_Toc476927285"/>
      <w:bookmarkStart w:id="11427" w:name="_Toc476928549"/>
      <w:bookmarkStart w:id="11428" w:name="_Toc476929592"/>
      <w:bookmarkStart w:id="11429" w:name="_Toc476929767"/>
      <w:bookmarkStart w:id="11430" w:name="_Toc476930810"/>
      <w:bookmarkStart w:id="11431" w:name="_Toc476931617"/>
      <w:bookmarkStart w:id="11432" w:name="_Toc477869973"/>
      <w:bookmarkStart w:id="11433" w:name="_Toc477871212"/>
      <w:bookmarkStart w:id="11434" w:name="_Toc477873371"/>
      <w:bookmarkStart w:id="11435" w:name="_Toc477875365"/>
      <w:bookmarkStart w:id="11436" w:name="_Toc477880278"/>
      <w:bookmarkStart w:id="11437" w:name="_Toc477881538"/>
      <w:bookmarkStart w:id="11438" w:name="_Toc477955942"/>
      <w:bookmarkStart w:id="11439" w:name="_Toc477963187"/>
      <w:bookmarkStart w:id="11440" w:name="_Toc477963673"/>
      <w:bookmarkStart w:id="11441" w:name="_Toc477965259"/>
      <w:bookmarkStart w:id="11442" w:name="_Toc477966763"/>
      <w:bookmarkStart w:id="11443" w:name="_Toc477966932"/>
      <w:bookmarkStart w:id="11444" w:name="_Toc477967272"/>
      <w:bookmarkStart w:id="11445" w:name="_Toc478121407"/>
      <w:bookmarkStart w:id="11446" w:name="_Toc478122320"/>
      <w:bookmarkStart w:id="11447" w:name="_Toc478132150"/>
      <w:bookmarkStart w:id="11448" w:name="_Toc478132457"/>
      <w:bookmarkStart w:id="11449" w:name="_Toc478134786"/>
      <w:bookmarkStart w:id="11450" w:name="_Toc478137488"/>
      <w:bookmarkStart w:id="11451" w:name="_Toc478138560"/>
      <w:bookmarkStart w:id="11452" w:name="_Toc478140130"/>
      <w:bookmarkStart w:id="11453" w:name="_Toc478140546"/>
      <w:bookmarkStart w:id="11454" w:name="_Toc478142752"/>
      <w:bookmarkStart w:id="11455" w:name="_Toc478566471"/>
      <w:bookmarkStart w:id="11456" w:name="_Toc478569638"/>
      <w:bookmarkStart w:id="11457" w:name="_Toc478569812"/>
      <w:bookmarkStart w:id="11458" w:name="_Toc478570886"/>
      <w:bookmarkStart w:id="11459" w:name="_Toc478633085"/>
      <w:bookmarkStart w:id="11460" w:name="_Toc478641494"/>
      <w:bookmarkStart w:id="11461" w:name="_Toc478654388"/>
      <w:bookmarkStart w:id="11462" w:name="_Toc478654562"/>
      <w:bookmarkStart w:id="11463" w:name="_Toc478657857"/>
      <w:bookmarkStart w:id="11464" w:name="_Toc478993278"/>
      <w:bookmarkStart w:id="11465" w:name="_Toc479000349"/>
      <w:bookmarkStart w:id="11466" w:name="_Toc479002283"/>
      <w:bookmarkStart w:id="11467" w:name="_Toc479002455"/>
      <w:bookmarkStart w:id="11468" w:name="_Toc479254429"/>
      <w:bookmarkStart w:id="11469" w:name="_Toc479258618"/>
      <w:bookmarkStart w:id="11470" w:name="_Toc479258934"/>
      <w:bookmarkStart w:id="11471" w:name="_Toc479259826"/>
      <w:bookmarkStart w:id="11472" w:name="_Toc479262249"/>
      <w:bookmarkStart w:id="11473" w:name="_Toc479262670"/>
      <w:bookmarkStart w:id="11474" w:name="_Toc479321371"/>
      <w:bookmarkStart w:id="11475" w:name="_Toc479326810"/>
      <w:bookmarkStart w:id="11476" w:name="_Toc479333071"/>
      <w:bookmarkStart w:id="11477" w:name="_Toc479333409"/>
      <w:bookmarkStart w:id="11478" w:name="_Toc479335106"/>
      <w:bookmarkStart w:id="11479" w:name="_Toc479341821"/>
      <w:bookmarkStart w:id="11480" w:name="_Toc479345237"/>
      <w:bookmarkStart w:id="11481" w:name="_Toc479345446"/>
      <w:bookmarkStart w:id="11482" w:name="_Toc479348427"/>
      <w:bookmarkStart w:id="11483" w:name="_Toc479676020"/>
      <w:bookmarkStart w:id="11484" w:name="_Toc479690987"/>
      <w:bookmarkStart w:id="11485" w:name="_Toc479693565"/>
      <w:bookmarkStart w:id="11486" w:name="_Toc479770734"/>
      <w:r>
        <w:t>E</w:t>
      </w:r>
      <w:r w:rsidR="00D70023">
        <w:t>.1</w:t>
      </w:r>
      <w:r w:rsidR="00094EC9">
        <w:t>.1</w:t>
      </w:r>
      <w:r w:rsidR="004E3CED">
        <w:tab/>
      </w:r>
      <w:r w:rsidR="001B5F3E">
        <w:t>United Kingdom</w:t>
      </w:r>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p>
    <w:p w14:paraId="1C3765EC" w14:textId="62512CFC" w:rsidR="001B5F3E" w:rsidRDefault="001B5F3E" w:rsidP="001B5F3E">
      <w:r>
        <w:t>The U</w:t>
      </w:r>
      <w:r w:rsidR="0040590B">
        <w:t xml:space="preserve">nited </w:t>
      </w:r>
      <w:r>
        <w:t>K</w:t>
      </w:r>
      <w:r w:rsidR="0040590B">
        <w:t>ingdom</w:t>
      </w:r>
      <w:r>
        <w:t xml:space="preserve"> fiscal regime has been subject to numerous changes from the time </w:t>
      </w:r>
      <w:r w:rsidR="002F42ED">
        <w:t xml:space="preserve">oil </w:t>
      </w:r>
      <w:r>
        <w:t>production commenced in the U</w:t>
      </w:r>
      <w:r w:rsidR="0040590B">
        <w:t xml:space="preserve">nited </w:t>
      </w:r>
      <w:r>
        <w:t>K</w:t>
      </w:r>
      <w:r w:rsidR="0040590B">
        <w:t>ingdom</w:t>
      </w:r>
      <w:r>
        <w:t xml:space="preserve"> Continental Shelf </w:t>
      </w:r>
      <w:r w:rsidR="0040590B">
        <w:t>(CS)</w:t>
      </w:r>
      <w:r>
        <w:t xml:space="preserve"> in the </w:t>
      </w:r>
      <w:r w:rsidR="00C30C40">
        <w:t>1960</w:t>
      </w:r>
      <w:r>
        <w:t xml:space="preserve">s. A summary of these changes is in </w:t>
      </w:r>
      <w:r w:rsidRPr="006D28D4">
        <w:t xml:space="preserve">Figure </w:t>
      </w:r>
      <w:r w:rsidR="004E599F" w:rsidRPr="006D28D4">
        <w:t>E.1</w:t>
      </w:r>
      <w:r w:rsidRPr="006D28D4">
        <w:t>.</w:t>
      </w:r>
      <w:r>
        <w:t xml:space="preserve"> </w:t>
      </w:r>
      <w:r w:rsidR="008604C3">
        <w:t>Since that time, t</w:t>
      </w:r>
      <w:r>
        <w:t>ypically, the government take increased in</w:t>
      </w:r>
      <w:r w:rsidR="008604C3">
        <w:t xml:space="preserve"> </w:t>
      </w:r>
      <w:r>
        <w:t>line with oil prices.</w:t>
      </w:r>
    </w:p>
    <w:p w14:paraId="1CCDDB60" w14:textId="5F346EF1" w:rsidR="001B5F3E" w:rsidRDefault="001B5F3E" w:rsidP="00221C2A">
      <w:pPr>
        <w:pStyle w:val="ChartMainHeading"/>
      </w:pPr>
      <w:bookmarkStart w:id="11487" w:name="_Toc476738155"/>
      <w:bookmarkStart w:id="11488" w:name="_Toc476747740"/>
      <w:bookmarkStart w:id="11489" w:name="_Toc476749150"/>
      <w:bookmarkStart w:id="11490" w:name="_Toc476754017"/>
      <w:bookmarkStart w:id="11491" w:name="_Toc476754512"/>
      <w:bookmarkStart w:id="11492" w:name="_Toc476754677"/>
      <w:bookmarkStart w:id="11493" w:name="_Toc476759916"/>
      <w:bookmarkStart w:id="11494" w:name="_Toc476761538"/>
      <w:bookmarkStart w:id="11495" w:name="_Toc476767176"/>
      <w:bookmarkStart w:id="11496" w:name="_Toc476827222"/>
      <w:bookmarkStart w:id="11497" w:name="_Toc476828915"/>
      <w:bookmarkStart w:id="11498" w:name="_Toc476833789"/>
      <w:bookmarkStart w:id="11499" w:name="_Toc476837262"/>
      <w:bookmarkStart w:id="11500" w:name="_Toc476841135"/>
      <w:bookmarkStart w:id="11501" w:name="_Toc476841340"/>
      <w:bookmarkStart w:id="11502" w:name="_Toc476842099"/>
      <w:bookmarkStart w:id="11503" w:name="_Toc476843043"/>
      <w:bookmarkStart w:id="11504" w:name="_Toc476843214"/>
      <w:bookmarkStart w:id="11505" w:name="_Toc476844712"/>
      <w:bookmarkStart w:id="11506" w:name="_Toc476845605"/>
      <w:bookmarkStart w:id="11507" w:name="_Toc476926999"/>
      <w:bookmarkStart w:id="11508" w:name="_Toc476927112"/>
      <w:bookmarkStart w:id="11509" w:name="_Toc476927286"/>
      <w:bookmarkStart w:id="11510" w:name="_Toc476928550"/>
      <w:bookmarkStart w:id="11511" w:name="_Toc476929593"/>
      <w:bookmarkStart w:id="11512" w:name="_Toc476929768"/>
      <w:bookmarkStart w:id="11513" w:name="_Toc476930811"/>
      <w:bookmarkStart w:id="11514" w:name="_Toc476931618"/>
      <w:bookmarkStart w:id="11515" w:name="_Toc477869974"/>
      <w:bookmarkStart w:id="11516" w:name="_Toc477871213"/>
      <w:bookmarkStart w:id="11517" w:name="_Toc477873372"/>
      <w:bookmarkStart w:id="11518" w:name="_Toc477875366"/>
      <w:bookmarkStart w:id="11519" w:name="_Toc477880279"/>
      <w:bookmarkStart w:id="11520" w:name="_Toc477881539"/>
      <w:r w:rsidRPr="006D28D4">
        <w:t xml:space="preserve">Figure </w:t>
      </w:r>
      <w:r w:rsidR="004E599F" w:rsidRPr="006D28D4">
        <w:t>E.1</w:t>
      </w:r>
      <w:r w:rsidR="004E599F">
        <w:t xml:space="preserve"> </w:t>
      </w:r>
      <w:r w:rsidR="00617077" w:rsidRPr="00496C37">
        <w:t>—</w:t>
      </w:r>
      <w:r>
        <w:t xml:space="preserve"> Brief history of the U</w:t>
      </w:r>
      <w:r w:rsidR="0040590B">
        <w:t xml:space="preserve">nited </w:t>
      </w:r>
      <w:r>
        <w:t>K</w:t>
      </w:r>
      <w:r w:rsidR="0040590B">
        <w:t>ingdom</w:t>
      </w:r>
      <w:r>
        <w:t xml:space="preserve"> oil and gas fiscal regime</w:t>
      </w:r>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p>
    <w:p w14:paraId="24E89CC1" w14:textId="77777777" w:rsidR="008D36DF" w:rsidRDefault="00094EC9" w:rsidP="008D36DF">
      <w:pPr>
        <w:pStyle w:val="Heading6"/>
        <w:jc w:val="center"/>
        <w:rPr>
          <w:lang w:val="en"/>
        </w:rPr>
      </w:pPr>
      <w:r>
        <w:rPr>
          <w:noProof/>
        </w:rPr>
        <w:drawing>
          <wp:inline distT="0" distB="0" distL="0" distR="0" wp14:anchorId="1321F504" wp14:editId="31F3E51B">
            <wp:extent cx="4455795" cy="4642485"/>
            <wp:effectExtent l="0" t="0" r="1905" b="5715"/>
            <wp:docPr id="10" name="Picture 10" descr="Figure E.2 show United Kingdom government revenue, petroleum investment in the United Kingdom (comprising development capital expenditure and exploration and appraisal expenditure), the Brent oil price, and petroleum produc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55795" cy="4642485"/>
                    </a:xfrm>
                    <a:prstGeom prst="rect">
                      <a:avLst/>
                    </a:prstGeom>
                    <a:noFill/>
                    <a:ln>
                      <a:noFill/>
                    </a:ln>
                  </pic:spPr>
                </pic:pic>
              </a:graphicData>
            </a:graphic>
          </wp:inline>
        </w:drawing>
      </w:r>
    </w:p>
    <w:p w14:paraId="52E0184C" w14:textId="58B42D48" w:rsidR="001B5F3E" w:rsidRPr="00094EC9" w:rsidRDefault="001B5F3E" w:rsidP="0089652B">
      <w:pPr>
        <w:pStyle w:val="ChartorTableNote"/>
      </w:pPr>
      <w:r w:rsidRPr="008D36DF">
        <w:t>Source: HM Treasury</w:t>
      </w:r>
      <w:r w:rsidR="008D36DF">
        <w:t>,</w:t>
      </w:r>
      <w:r w:rsidR="008D36DF" w:rsidRPr="008D36DF">
        <w:t xml:space="preserve"> 2014, p. 13.</w:t>
      </w:r>
    </w:p>
    <w:p w14:paraId="16EAD8E6" w14:textId="77777777" w:rsidR="006D14E2" w:rsidRPr="006D28D4" w:rsidRDefault="006D14E2" w:rsidP="00094EC9">
      <w:bookmarkStart w:id="11521" w:name="_Toc476738156"/>
      <w:bookmarkStart w:id="11522" w:name="_Toc476747741"/>
      <w:bookmarkStart w:id="11523" w:name="_Toc476749151"/>
      <w:bookmarkStart w:id="11524" w:name="_Toc476754018"/>
      <w:bookmarkStart w:id="11525" w:name="_Toc476754513"/>
      <w:bookmarkStart w:id="11526" w:name="_Toc476754678"/>
    </w:p>
    <w:p w14:paraId="524B9DB1" w14:textId="77777777" w:rsidR="006D14E2" w:rsidRPr="006D28D4" w:rsidRDefault="006D14E2" w:rsidP="00094EC9"/>
    <w:p w14:paraId="7D210002" w14:textId="162DC695" w:rsidR="00094EC9" w:rsidRDefault="001B5F3E" w:rsidP="00094EC9">
      <w:pPr>
        <w:rPr>
          <w:lang w:val="en"/>
        </w:rPr>
      </w:pPr>
      <w:r w:rsidRPr="006D28D4">
        <w:t>Figure</w:t>
      </w:r>
      <w:r w:rsidR="00094EC9" w:rsidRPr="006D28D4" w:rsidDel="004E599F">
        <w:t xml:space="preserve"> </w:t>
      </w:r>
      <w:r w:rsidR="004E599F">
        <w:t xml:space="preserve">E.2 </w:t>
      </w:r>
      <w:r w:rsidR="00094EC9">
        <w:t>charts government revenue, investment, oil price, investment and production</w:t>
      </w:r>
      <w:r w:rsidR="00755941">
        <w:t xml:space="preserve">. </w:t>
      </w:r>
    </w:p>
    <w:p w14:paraId="7A10F718" w14:textId="6F92DDA9" w:rsidR="001B5F3E" w:rsidRDefault="006C2E72" w:rsidP="00AC0D24">
      <w:pPr>
        <w:pStyle w:val="Heading4"/>
        <w:rPr>
          <w:lang w:val="en"/>
        </w:rPr>
      </w:pPr>
      <w:bookmarkStart w:id="11527" w:name="_Toc476759917"/>
      <w:bookmarkStart w:id="11528" w:name="_Toc476761539"/>
      <w:bookmarkStart w:id="11529" w:name="_Toc476767177"/>
      <w:bookmarkStart w:id="11530" w:name="_Toc476827223"/>
      <w:bookmarkStart w:id="11531" w:name="_Toc476828916"/>
      <w:bookmarkStart w:id="11532" w:name="_Toc476833790"/>
      <w:bookmarkStart w:id="11533" w:name="_Toc476837263"/>
      <w:bookmarkStart w:id="11534" w:name="_Toc476841136"/>
      <w:bookmarkStart w:id="11535" w:name="_Toc476841341"/>
      <w:bookmarkStart w:id="11536" w:name="_Toc476842100"/>
      <w:bookmarkStart w:id="11537" w:name="_Toc476843044"/>
      <w:bookmarkStart w:id="11538" w:name="_Toc476843215"/>
      <w:bookmarkStart w:id="11539" w:name="_Toc476844713"/>
      <w:bookmarkStart w:id="11540" w:name="_Toc476845606"/>
      <w:bookmarkStart w:id="11541" w:name="_Toc476927000"/>
      <w:bookmarkStart w:id="11542" w:name="_Toc476927113"/>
      <w:bookmarkStart w:id="11543" w:name="_Toc476927287"/>
      <w:bookmarkStart w:id="11544" w:name="_Toc476928551"/>
      <w:bookmarkStart w:id="11545" w:name="_Toc476929594"/>
      <w:bookmarkStart w:id="11546" w:name="_Toc476929769"/>
      <w:bookmarkStart w:id="11547" w:name="_Toc476930812"/>
      <w:bookmarkStart w:id="11548" w:name="_Toc476931619"/>
      <w:r w:rsidRPr="006D28D4">
        <w:rPr>
          <w:noProof/>
        </w:rPr>
        <w:drawing>
          <wp:anchor distT="0" distB="0" distL="114300" distR="114300" simplePos="0" relativeHeight="251658249" behindDoc="0" locked="0" layoutInCell="1" allowOverlap="1" wp14:anchorId="75283A3F" wp14:editId="4EE606FB">
            <wp:simplePos x="0" y="0"/>
            <wp:positionH relativeFrom="column">
              <wp:posOffset>339725</wp:posOffset>
            </wp:positionH>
            <wp:positionV relativeFrom="paragraph">
              <wp:posOffset>546735</wp:posOffset>
            </wp:positionV>
            <wp:extent cx="5429250" cy="4122420"/>
            <wp:effectExtent l="0" t="0" r="0" b="0"/>
            <wp:wrapTopAndBottom/>
            <wp:docPr id="28" name="Picture 28" descr="Figure E.2 show United Kingdom government revenue, petroleum investment in the United Kingdom (comprising development capital expenditure and exploration and appraisal expenditure), the Brent oil price, and petroleum produc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29250" cy="412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F3E" w:rsidRPr="006D28D4">
        <w:rPr>
          <w:lang w:val="en"/>
        </w:rPr>
        <w:t>Figure</w:t>
      </w:r>
      <w:r w:rsidR="001B5F3E" w:rsidRPr="006D28D4" w:rsidDel="004E599F">
        <w:rPr>
          <w:lang w:val="en"/>
        </w:rPr>
        <w:t xml:space="preserve"> </w:t>
      </w:r>
      <w:r w:rsidR="004E599F" w:rsidRPr="006D28D4">
        <w:rPr>
          <w:lang w:val="en"/>
        </w:rPr>
        <w:t>E.2</w:t>
      </w:r>
      <w:r w:rsidR="00C30C40">
        <w:t xml:space="preserve"> </w:t>
      </w:r>
      <w:r w:rsidR="00617077" w:rsidRPr="00496C37">
        <w:t>—</w:t>
      </w:r>
      <w:r w:rsidR="001B5F3E">
        <w:t xml:space="preserve"> </w:t>
      </w:r>
      <w:r w:rsidR="001B5F3E">
        <w:rPr>
          <w:lang w:val="en"/>
        </w:rPr>
        <w:t xml:space="preserve">Exchequer </w:t>
      </w:r>
      <w:r w:rsidR="00617077">
        <w:rPr>
          <w:lang w:val="en"/>
        </w:rPr>
        <w:t>r</w:t>
      </w:r>
      <w:r w:rsidR="001B5F3E">
        <w:rPr>
          <w:lang w:val="en"/>
        </w:rPr>
        <w:t xml:space="preserve">evenue, </w:t>
      </w:r>
      <w:r w:rsidR="00617077">
        <w:rPr>
          <w:lang w:val="en"/>
        </w:rPr>
        <w:t>o</w:t>
      </w:r>
      <w:r w:rsidR="001B5F3E">
        <w:rPr>
          <w:lang w:val="en"/>
        </w:rPr>
        <w:t xml:space="preserve">il and </w:t>
      </w:r>
      <w:r w:rsidR="00617077">
        <w:rPr>
          <w:lang w:val="en"/>
        </w:rPr>
        <w:t>g</w:t>
      </w:r>
      <w:r w:rsidR="001B5F3E">
        <w:rPr>
          <w:lang w:val="en"/>
        </w:rPr>
        <w:t xml:space="preserve">as </w:t>
      </w:r>
      <w:r w:rsidR="00617077">
        <w:rPr>
          <w:lang w:val="en"/>
        </w:rPr>
        <w:t>p</w:t>
      </w:r>
      <w:r w:rsidR="001B5F3E">
        <w:rPr>
          <w:lang w:val="en"/>
        </w:rPr>
        <w:t xml:space="preserve">roduction, </w:t>
      </w:r>
      <w:r w:rsidR="00617077">
        <w:rPr>
          <w:lang w:val="en"/>
        </w:rPr>
        <w:t>i</w:t>
      </w:r>
      <w:r w:rsidR="001B5F3E">
        <w:rPr>
          <w:lang w:val="en"/>
        </w:rPr>
        <w:t xml:space="preserve">nvestment and Brent </w:t>
      </w:r>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r w:rsidR="00617077">
        <w:rPr>
          <w:lang w:val="en"/>
        </w:rPr>
        <w:t>o</w:t>
      </w:r>
      <w:r w:rsidR="001B5F3E">
        <w:rPr>
          <w:lang w:val="en"/>
        </w:rPr>
        <w:t xml:space="preserve">il </w:t>
      </w:r>
      <w:r w:rsidR="00617077">
        <w:rPr>
          <w:lang w:val="en"/>
        </w:rPr>
        <w:t>pr</w:t>
      </w:r>
      <w:r w:rsidR="001B5F3E">
        <w:rPr>
          <w:lang w:val="en"/>
        </w:rPr>
        <w:t>ice</w:t>
      </w:r>
    </w:p>
    <w:p w14:paraId="56224DDE" w14:textId="77777777" w:rsidR="008D36DF" w:rsidRDefault="008D36DF" w:rsidP="0089652B">
      <w:pPr>
        <w:pStyle w:val="ChartorTableNote"/>
      </w:pPr>
      <w:r w:rsidRPr="008D36DF">
        <w:t>Source: HM Treasury</w:t>
      </w:r>
      <w:r>
        <w:t>,</w:t>
      </w:r>
      <w:r w:rsidRPr="008D36DF">
        <w:t xml:space="preserve"> 2014, p. 13.</w:t>
      </w:r>
    </w:p>
    <w:p w14:paraId="0908A62F" w14:textId="77777777" w:rsidR="0089652B" w:rsidRPr="0089652B" w:rsidRDefault="0089652B" w:rsidP="0089652B">
      <w:pPr>
        <w:pStyle w:val="SingleParagraph"/>
      </w:pPr>
    </w:p>
    <w:p w14:paraId="27C3E4F3" w14:textId="41F07174" w:rsidR="00185772" w:rsidRDefault="001B5F3E" w:rsidP="001B5F3E">
      <w:r>
        <w:t>Overall</w:t>
      </w:r>
      <w:r w:rsidR="001A103E">
        <w:t>,</w:t>
      </w:r>
      <w:r>
        <w:t xml:space="preserve"> when the various fiscal changes are compared with investment</w:t>
      </w:r>
      <w:r w:rsidR="005D6F39">
        <w:t xml:space="preserve"> — </w:t>
      </w:r>
      <w:r>
        <w:t xml:space="preserve">for example </w:t>
      </w:r>
      <w:r w:rsidR="002F42ED">
        <w:t>the</w:t>
      </w:r>
      <w:r>
        <w:t xml:space="preserve"> introduction of the supplementary charge at 10 per cent in 2002, its increase in 2006 to 20</w:t>
      </w:r>
      <w:r w:rsidR="00C30C40">
        <w:t> </w:t>
      </w:r>
      <w:r>
        <w:t>per</w:t>
      </w:r>
      <w:r w:rsidR="00C30C40">
        <w:t> </w:t>
      </w:r>
      <w:r>
        <w:t xml:space="preserve">cent and then </w:t>
      </w:r>
      <w:r w:rsidR="001A103E">
        <w:t xml:space="preserve">to </w:t>
      </w:r>
      <w:r>
        <w:t>32 per cen</w:t>
      </w:r>
      <w:r w:rsidR="00F07449">
        <w:t>t</w:t>
      </w:r>
      <w:r w:rsidR="005D6F39">
        <w:t xml:space="preserve"> — </w:t>
      </w:r>
      <w:r w:rsidR="001A103E">
        <w:t>it</w:t>
      </w:r>
      <w:r>
        <w:t xml:space="preserve"> is </w:t>
      </w:r>
      <w:r w:rsidR="001A103E">
        <w:t>difficult to assess whether</w:t>
      </w:r>
      <w:r>
        <w:t xml:space="preserve"> th</w:t>
      </w:r>
      <w:r w:rsidR="002F42ED">
        <w:t>e</w:t>
      </w:r>
      <w:r>
        <w:t>s</w:t>
      </w:r>
      <w:r w:rsidR="002F42ED">
        <w:t>e</w:t>
      </w:r>
      <w:r>
        <w:t xml:space="preserve"> </w:t>
      </w:r>
      <w:r w:rsidR="002F42ED">
        <w:t>changes</w:t>
      </w:r>
      <w:r>
        <w:t xml:space="preserve"> significant</w:t>
      </w:r>
      <w:r w:rsidR="002F42ED">
        <w:t>ly</w:t>
      </w:r>
      <w:r>
        <w:t xml:space="preserve"> discourage</w:t>
      </w:r>
      <w:r w:rsidR="002F42ED">
        <w:t>d</w:t>
      </w:r>
      <w:r>
        <w:t xml:space="preserve"> investment. </w:t>
      </w:r>
      <w:r w:rsidR="00340F88">
        <w:t>T</w:t>
      </w:r>
      <w:r>
        <w:t>he price of oil</w:t>
      </w:r>
      <w:r w:rsidR="00BC359A">
        <w:t xml:space="preserve"> and</w:t>
      </w:r>
      <w:r>
        <w:t xml:space="preserve"> the economic context</w:t>
      </w:r>
      <w:r w:rsidR="00ED3398">
        <w:t xml:space="preserve"> associated with</w:t>
      </w:r>
      <w:r>
        <w:t xml:space="preserve"> </w:t>
      </w:r>
      <w:r w:rsidR="00BC359A">
        <w:t>the</w:t>
      </w:r>
      <w:r>
        <w:t xml:space="preserve"> U</w:t>
      </w:r>
      <w:r w:rsidR="0040590B">
        <w:t xml:space="preserve">nited </w:t>
      </w:r>
      <w:r>
        <w:t>K</w:t>
      </w:r>
      <w:r w:rsidR="0040590B">
        <w:t>ingdom</w:t>
      </w:r>
      <w:r>
        <w:t xml:space="preserve"> CS </w:t>
      </w:r>
      <w:r w:rsidR="00340F88">
        <w:t>may</w:t>
      </w:r>
      <w:r w:rsidR="002F42ED">
        <w:t xml:space="preserve"> have been </w:t>
      </w:r>
      <w:r w:rsidR="00BC359A">
        <w:t>more</w:t>
      </w:r>
      <w:r>
        <w:t xml:space="preserve"> important</w:t>
      </w:r>
      <w:r w:rsidR="00BC359A">
        <w:t xml:space="preserve"> drivers of investment.</w:t>
      </w:r>
      <w:r>
        <w:t xml:space="preserve"> The U</w:t>
      </w:r>
      <w:r w:rsidR="0040590B">
        <w:t xml:space="preserve">nited </w:t>
      </w:r>
      <w:r>
        <w:t>K</w:t>
      </w:r>
      <w:r w:rsidR="0040590B">
        <w:t>ingdom</w:t>
      </w:r>
      <w:r>
        <w:t xml:space="preserve"> CS is now one of the most mature basins in the world, </w:t>
      </w:r>
      <w:r w:rsidR="0010677B">
        <w:t xml:space="preserve">with cumulative oil and gas </w:t>
      </w:r>
      <w:r>
        <w:t xml:space="preserve">production </w:t>
      </w:r>
      <w:r w:rsidR="0010677B">
        <w:t>to date totalling around 43 billion barrels of oil equivalent</w:t>
      </w:r>
      <w:r w:rsidR="00755941">
        <w:t xml:space="preserve">. </w:t>
      </w:r>
      <w:r w:rsidR="0010677B">
        <w:t xml:space="preserve">Production is </w:t>
      </w:r>
      <w:r>
        <w:t>winding down</w:t>
      </w:r>
      <w:r w:rsidR="0010677B">
        <w:t xml:space="preserve"> </w:t>
      </w:r>
      <w:r w:rsidR="0010677B" w:rsidRPr="0010677B">
        <w:t>and the U</w:t>
      </w:r>
      <w:r w:rsidR="0040590B">
        <w:t>nited Kingdom</w:t>
      </w:r>
      <w:r w:rsidR="0010677B" w:rsidRPr="0010677B">
        <w:t xml:space="preserve"> Government estimates </w:t>
      </w:r>
      <w:r w:rsidR="0010677B">
        <w:t>the U</w:t>
      </w:r>
      <w:r w:rsidR="0040590B">
        <w:t>nited Kingdom</w:t>
      </w:r>
      <w:r w:rsidR="0010677B">
        <w:t xml:space="preserve"> CS holds </w:t>
      </w:r>
      <w:r w:rsidR="0010677B" w:rsidRPr="0010677B">
        <w:t xml:space="preserve">a further 10 to 20 billion barrels of oil equivalent </w:t>
      </w:r>
      <w:r w:rsidR="0010677B">
        <w:t>in remaining recoverable hydrocarbon</w:t>
      </w:r>
      <w:r w:rsidR="00AB7345">
        <w:t>s</w:t>
      </w:r>
      <w:r w:rsidR="0010677B">
        <w:t xml:space="preserve"> (</w:t>
      </w:r>
      <w:r w:rsidR="00185772">
        <w:t>Oil and Gas Authority, 2015, p. 3</w:t>
      </w:r>
      <w:r w:rsidR="0010677B">
        <w:t>).</w:t>
      </w:r>
    </w:p>
    <w:p w14:paraId="336C560C" w14:textId="040F4248" w:rsidR="001B5F3E" w:rsidRDefault="001B5F3E" w:rsidP="001B5F3E">
      <w:r>
        <w:t>The U</w:t>
      </w:r>
      <w:r w:rsidR="0040590B">
        <w:t>nited Kingdom</w:t>
      </w:r>
      <w:r>
        <w:t xml:space="preserve"> CS is characterised by smaller sized field opportunities that are more marginal and interdependent, requiring significant investments to </w:t>
      </w:r>
      <w:r w:rsidR="00045316">
        <w:t>develop</w:t>
      </w:r>
      <w:r>
        <w:t xml:space="preserve">. </w:t>
      </w:r>
      <w:r w:rsidR="00BC359A">
        <w:t>As existing fields come to the end of their lives</w:t>
      </w:r>
      <w:r w:rsidR="004E599F">
        <w:t xml:space="preserve"> there has been an increased focus on </w:t>
      </w:r>
      <w:r>
        <w:t>decommissioning</w:t>
      </w:r>
      <w:r w:rsidDel="004E599F">
        <w:t xml:space="preserve"> </w:t>
      </w:r>
      <w:r w:rsidR="000F0B2F">
        <w:t>requirements</w:t>
      </w:r>
      <w:r>
        <w:t xml:space="preserve">. In this context, reviews were conducted in 2013 and 2014 to </w:t>
      </w:r>
      <w:r w:rsidR="004E599F">
        <w:t xml:space="preserve">evaluate </w:t>
      </w:r>
      <w:r>
        <w:t>the path forward. In response, the U</w:t>
      </w:r>
      <w:r w:rsidR="0040590B">
        <w:t>nited Kingdom</w:t>
      </w:r>
      <w:r>
        <w:t xml:space="preserve"> </w:t>
      </w:r>
      <w:r w:rsidR="007C7D51">
        <w:t>G</w:t>
      </w:r>
      <w:r>
        <w:t>overnment reformed its approach to oil and gas taxation in its 2015</w:t>
      </w:r>
      <w:r w:rsidR="0010677B">
        <w:t xml:space="preserve">, </w:t>
      </w:r>
      <w:r>
        <w:t xml:space="preserve">2016 </w:t>
      </w:r>
      <w:r w:rsidR="0010677B">
        <w:t>and 2017</w:t>
      </w:r>
      <w:r>
        <w:t xml:space="preserve"> budgets, seeking to maximise investment (and economic oil and gas recovery) by reducing the overall tax burden. </w:t>
      </w:r>
      <w:r w:rsidR="00015F7D">
        <w:t>The regulatory environment was also changed with the establishment of the Oil and Gas Authority</w:t>
      </w:r>
      <w:r>
        <w:t xml:space="preserve"> </w:t>
      </w:r>
      <w:r w:rsidR="00283F68">
        <w:t xml:space="preserve">in 2015 which has </w:t>
      </w:r>
      <w:r w:rsidR="004E599F">
        <w:t xml:space="preserve">the </w:t>
      </w:r>
      <w:r w:rsidR="00283F68">
        <w:t>role of regulating, influencing and promoting</w:t>
      </w:r>
      <w:r w:rsidR="00015F7D" w:rsidRPr="00015F7D">
        <w:t xml:space="preserve"> the U</w:t>
      </w:r>
      <w:r w:rsidR="0040590B">
        <w:t xml:space="preserve">nited </w:t>
      </w:r>
      <w:r w:rsidR="00015F7D" w:rsidRPr="00015F7D">
        <w:t>K</w:t>
      </w:r>
      <w:r w:rsidR="0040590B">
        <w:t>ingdom</w:t>
      </w:r>
      <w:r w:rsidR="00015F7D" w:rsidRPr="00015F7D">
        <w:t xml:space="preserve"> oil and gas industry </w:t>
      </w:r>
      <w:r w:rsidR="00283F68">
        <w:t xml:space="preserve">to </w:t>
      </w:r>
      <w:r w:rsidR="00015F7D">
        <w:t xml:space="preserve">maximise </w:t>
      </w:r>
      <w:r w:rsidR="00283F68">
        <w:t xml:space="preserve">oil and gas </w:t>
      </w:r>
      <w:r w:rsidR="00015F7D">
        <w:t xml:space="preserve">economic </w:t>
      </w:r>
      <w:r w:rsidR="00283F68">
        <w:t>recovery</w:t>
      </w:r>
      <w:r w:rsidR="00015F7D">
        <w:t xml:space="preserve">. </w:t>
      </w:r>
      <w:r>
        <w:t xml:space="preserve">An overview of the current regime is in </w:t>
      </w:r>
      <w:r w:rsidRPr="006D28D4">
        <w:t>section</w:t>
      </w:r>
      <w:r w:rsidR="00F85394">
        <w:t> </w:t>
      </w:r>
      <w:r w:rsidR="004E599F" w:rsidRPr="006D28D4">
        <w:t>E</w:t>
      </w:r>
      <w:r w:rsidR="00094EC9" w:rsidRPr="006D28D4">
        <w:t>.2</w:t>
      </w:r>
      <w:r>
        <w:t>.</w:t>
      </w:r>
      <w:r w:rsidR="00045316">
        <w:t>2</w:t>
      </w:r>
      <w:r>
        <w:t>.</w:t>
      </w:r>
    </w:p>
    <w:p w14:paraId="5E2DDBBB" w14:textId="49807E4C" w:rsidR="001B5F3E" w:rsidRPr="005067AF" w:rsidRDefault="00AC0D24" w:rsidP="0091199E">
      <w:pPr>
        <w:pStyle w:val="Heading3"/>
      </w:pPr>
      <w:bookmarkStart w:id="11549" w:name="_Toc476759918"/>
      <w:bookmarkStart w:id="11550" w:name="_Toc476761540"/>
      <w:bookmarkStart w:id="11551" w:name="_Toc476767178"/>
      <w:bookmarkStart w:id="11552" w:name="_Toc476827224"/>
      <w:bookmarkStart w:id="11553" w:name="_Toc476828917"/>
      <w:bookmarkStart w:id="11554" w:name="_Toc476833791"/>
      <w:bookmarkStart w:id="11555" w:name="_Toc476837264"/>
      <w:bookmarkStart w:id="11556" w:name="_Toc476841137"/>
      <w:bookmarkStart w:id="11557" w:name="_Toc476841342"/>
      <w:bookmarkStart w:id="11558" w:name="_Toc476842101"/>
      <w:bookmarkStart w:id="11559" w:name="_Toc476843045"/>
      <w:bookmarkStart w:id="11560" w:name="_Toc476843216"/>
      <w:bookmarkStart w:id="11561" w:name="_Toc476844714"/>
      <w:bookmarkStart w:id="11562" w:name="_Toc476845607"/>
      <w:bookmarkStart w:id="11563" w:name="_Toc476927001"/>
      <w:bookmarkStart w:id="11564" w:name="_Toc476927114"/>
      <w:bookmarkStart w:id="11565" w:name="_Toc476927288"/>
      <w:bookmarkStart w:id="11566" w:name="_Toc476928552"/>
      <w:bookmarkStart w:id="11567" w:name="_Toc476929595"/>
      <w:bookmarkStart w:id="11568" w:name="_Toc476929770"/>
      <w:bookmarkStart w:id="11569" w:name="_Toc476930813"/>
      <w:bookmarkStart w:id="11570" w:name="_Toc476931620"/>
      <w:bookmarkStart w:id="11571" w:name="_Toc477869975"/>
      <w:bookmarkStart w:id="11572" w:name="_Toc477871214"/>
      <w:bookmarkStart w:id="11573" w:name="_Toc477873373"/>
      <w:bookmarkStart w:id="11574" w:name="_Toc477875367"/>
      <w:bookmarkStart w:id="11575" w:name="_Toc477880280"/>
      <w:bookmarkStart w:id="11576" w:name="_Toc477881540"/>
      <w:bookmarkStart w:id="11577" w:name="_Toc477955943"/>
      <w:bookmarkStart w:id="11578" w:name="_Toc477963188"/>
      <w:bookmarkStart w:id="11579" w:name="_Toc477963674"/>
      <w:bookmarkStart w:id="11580" w:name="_Toc477965260"/>
      <w:bookmarkStart w:id="11581" w:name="_Toc477966764"/>
      <w:bookmarkStart w:id="11582" w:name="_Toc477966933"/>
      <w:bookmarkStart w:id="11583" w:name="_Toc477967273"/>
      <w:bookmarkStart w:id="11584" w:name="_Toc478121408"/>
      <w:bookmarkStart w:id="11585" w:name="_Toc478122321"/>
      <w:bookmarkStart w:id="11586" w:name="_Toc478132151"/>
      <w:bookmarkStart w:id="11587" w:name="_Toc478132458"/>
      <w:bookmarkStart w:id="11588" w:name="_Toc478134787"/>
      <w:bookmarkStart w:id="11589" w:name="_Toc478137489"/>
      <w:bookmarkStart w:id="11590" w:name="_Toc478138561"/>
      <w:bookmarkStart w:id="11591" w:name="_Toc478140131"/>
      <w:bookmarkStart w:id="11592" w:name="_Toc478140547"/>
      <w:bookmarkStart w:id="11593" w:name="_Toc478142753"/>
      <w:bookmarkStart w:id="11594" w:name="_Toc478566472"/>
      <w:bookmarkStart w:id="11595" w:name="_Toc478569639"/>
      <w:bookmarkStart w:id="11596" w:name="_Toc478569813"/>
      <w:bookmarkStart w:id="11597" w:name="_Toc478570887"/>
      <w:bookmarkStart w:id="11598" w:name="_Toc478633086"/>
      <w:bookmarkStart w:id="11599" w:name="_Toc478641495"/>
      <w:bookmarkStart w:id="11600" w:name="_Toc478654389"/>
      <w:bookmarkStart w:id="11601" w:name="_Toc478654563"/>
      <w:bookmarkStart w:id="11602" w:name="_Toc478657858"/>
      <w:bookmarkStart w:id="11603" w:name="_Toc478993279"/>
      <w:bookmarkStart w:id="11604" w:name="_Toc479000350"/>
      <w:bookmarkStart w:id="11605" w:name="_Toc479002284"/>
      <w:bookmarkStart w:id="11606" w:name="_Toc479002456"/>
      <w:bookmarkStart w:id="11607" w:name="_Toc479254430"/>
      <w:bookmarkStart w:id="11608" w:name="_Toc479258619"/>
      <w:bookmarkStart w:id="11609" w:name="_Toc479258935"/>
      <w:bookmarkStart w:id="11610" w:name="_Toc479259827"/>
      <w:bookmarkStart w:id="11611" w:name="_Toc479262250"/>
      <w:bookmarkStart w:id="11612" w:name="_Toc479262671"/>
      <w:bookmarkStart w:id="11613" w:name="_Toc479321372"/>
      <w:bookmarkStart w:id="11614" w:name="_Toc479326811"/>
      <w:bookmarkStart w:id="11615" w:name="_Toc479333072"/>
      <w:bookmarkStart w:id="11616" w:name="_Toc479333410"/>
      <w:bookmarkStart w:id="11617" w:name="_Toc479335107"/>
      <w:bookmarkStart w:id="11618" w:name="_Toc479341822"/>
      <w:bookmarkStart w:id="11619" w:name="_Toc479345238"/>
      <w:bookmarkStart w:id="11620" w:name="_Toc479345447"/>
      <w:bookmarkStart w:id="11621" w:name="_Toc479348428"/>
      <w:bookmarkStart w:id="11622" w:name="_Toc479676021"/>
      <w:bookmarkStart w:id="11623" w:name="_Toc479690988"/>
      <w:bookmarkStart w:id="11624" w:name="_Toc479693566"/>
      <w:bookmarkStart w:id="11625" w:name="_Toc479770735"/>
      <w:r>
        <w:t>E</w:t>
      </w:r>
      <w:r w:rsidR="00094EC9">
        <w:t>.1.2</w:t>
      </w:r>
      <w:r w:rsidR="004E3CED">
        <w:tab/>
      </w:r>
      <w:r w:rsidR="001B5F3E" w:rsidRPr="005067AF">
        <w:t>Alberta</w:t>
      </w:r>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p>
    <w:p w14:paraId="3D4EA246" w14:textId="1ED9AB95" w:rsidR="001B5F3E" w:rsidRPr="00B42E1E" w:rsidRDefault="0026628F" w:rsidP="001B5F3E">
      <w:pPr>
        <w:rPr>
          <w:rFonts w:ascii="Calibri" w:hAnsi="Calibri" w:cs="Calibri"/>
          <w:sz w:val="24"/>
          <w:szCs w:val="24"/>
        </w:rPr>
      </w:pPr>
      <w:r w:rsidRPr="007A6518">
        <w:t>Agalliu, I. (2011)</w:t>
      </w:r>
      <w:r w:rsidR="007A6518" w:rsidRPr="007A6518">
        <w:t>,</w:t>
      </w:r>
      <w:r w:rsidR="001B5F3E">
        <w:t xml:space="preserve"> referenced in the B</w:t>
      </w:r>
      <w:r w:rsidR="00094EC9">
        <w:t>usiness Council of Australia</w:t>
      </w:r>
      <w:r w:rsidR="001B5F3E">
        <w:t xml:space="preserve"> submission</w:t>
      </w:r>
      <w:r w:rsidR="007A6518">
        <w:t>,</w:t>
      </w:r>
      <w:r w:rsidR="001B5F3E">
        <w:t xml:space="preserve"> </w:t>
      </w:r>
      <w:r w:rsidR="00094EC9">
        <w:t>included</w:t>
      </w:r>
      <w:r w:rsidR="001B5F3E">
        <w:t xml:space="preserve"> a case study on the impact of the changes to Alberta</w:t>
      </w:r>
      <w:r w:rsidR="005D6F39">
        <w:t>’</w:t>
      </w:r>
      <w:r w:rsidR="001B5F3E">
        <w:t>s royalty regime announced by the</w:t>
      </w:r>
      <w:r w:rsidR="00094EC9">
        <w:t>ir</w:t>
      </w:r>
      <w:r w:rsidR="001B5F3E">
        <w:t xml:space="preserve"> government in October</w:t>
      </w:r>
      <w:r w:rsidR="00664E35">
        <w:t> </w:t>
      </w:r>
      <w:r w:rsidR="001B5F3E">
        <w:t>2007, with effect from 1</w:t>
      </w:r>
      <w:r w:rsidR="00326123">
        <w:t> </w:t>
      </w:r>
      <w:r w:rsidR="001B5F3E">
        <w:t xml:space="preserve">January 2009. These changes were designed to increase the </w:t>
      </w:r>
      <w:r w:rsidR="00094EC9">
        <w:t xml:space="preserve">government take. </w:t>
      </w:r>
      <w:r w:rsidR="001B5F3E">
        <w:t>To illustrate the impact of the changes, the</w:t>
      </w:r>
      <w:r w:rsidR="001B5F3E" w:rsidRPr="00326123">
        <w:t xml:space="preserve"> 2011 report drew from a study conducted by </w:t>
      </w:r>
      <w:r w:rsidR="001B5F3E" w:rsidRPr="00D269BF">
        <w:t xml:space="preserve">Sierra Systems Group </w:t>
      </w:r>
      <w:r w:rsidR="001B5F3E">
        <w:t xml:space="preserve">for </w:t>
      </w:r>
      <w:r w:rsidR="001B5F3E" w:rsidRPr="00D269BF">
        <w:t>the Alberta Department of Energy on Alberta</w:t>
      </w:r>
      <w:r w:rsidR="005D6F39">
        <w:t>’</w:t>
      </w:r>
      <w:r w:rsidR="001B5F3E" w:rsidRPr="00D269BF">
        <w:t>s</w:t>
      </w:r>
      <w:r w:rsidR="001B5F3E">
        <w:t xml:space="preserve"> </w:t>
      </w:r>
      <w:r w:rsidR="001B5F3E" w:rsidRPr="00D269BF">
        <w:t>natural gas and conventional oil competitiveness</w:t>
      </w:r>
      <w:r w:rsidR="001B5F3E">
        <w:t xml:space="preserve"> which indicated that there was a </w:t>
      </w:r>
      <w:r w:rsidR="001B5F3E" w:rsidRPr="00326123">
        <w:t xml:space="preserve">shift in </w:t>
      </w:r>
      <w:r w:rsidR="00045316">
        <w:t xml:space="preserve">percentage of </w:t>
      </w:r>
      <w:r w:rsidR="001B5F3E" w:rsidRPr="00326123">
        <w:t>land sale</w:t>
      </w:r>
      <w:r w:rsidR="00045316">
        <w:t>s</w:t>
      </w:r>
      <w:r w:rsidR="001B5F3E" w:rsidRPr="00326123">
        <w:t xml:space="preserve"> in 2008 </w:t>
      </w:r>
      <w:r w:rsidR="00045316">
        <w:t>from</w:t>
      </w:r>
      <w:r w:rsidR="001B5F3E" w:rsidRPr="00326123">
        <w:t xml:space="preserve"> Alberta </w:t>
      </w:r>
      <w:r w:rsidR="00045316">
        <w:t>to</w:t>
      </w:r>
      <w:r w:rsidR="001B5F3E" w:rsidRPr="00326123">
        <w:t xml:space="preserve"> British Columbia</w:t>
      </w:r>
      <w:r w:rsidR="001B5F3E">
        <w:t>.</w:t>
      </w:r>
      <w:r w:rsidR="001B5F3E" w:rsidRPr="00D269BF">
        <w:t xml:space="preserve"> </w:t>
      </w:r>
      <w:r w:rsidR="009B3D92" w:rsidRPr="006D28D4">
        <w:t>Figure E.3</w:t>
      </w:r>
      <w:r w:rsidR="009B3D92">
        <w:t xml:space="preserve"> reproduces a chart illustrating percentage of land sales in Western Canadian Provinces.</w:t>
      </w:r>
      <w:r w:rsidR="001B5F3E" w:rsidRPr="00D269BF">
        <w:t xml:space="preserve"> </w:t>
      </w:r>
      <w:r w:rsidR="00045316">
        <w:t>A similar trend was</w:t>
      </w:r>
      <w:r w:rsidR="001B5F3E">
        <w:t xml:space="preserve"> also found in reinvestment patterns where </w:t>
      </w:r>
      <w:r w:rsidR="005D6F39">
        <w:t>‘</w:t>
      </w:r>
      <w:r w:rsidR="001B5F3E" w:rsidRPr="00D269BF">
        <w:t>Reinvestment in</w:t>
      </w:r>
      <w:r w:rsidR="001B5F3E">
        <w:t xml:space="preserve"> </w:t>
      </w:r>
      <w:r w:rsidR="001B5F3E" w:rsidRPr="00D269BF">
        <w:t>conventional oil and gas in Alberta dropped from a 60 percent mark over the past decade to 40</w:t>
      </w:r>
      <w:r w:rsidR="001B5F3E" w:rsidRPr="00326123">
        <w:t xml:space="preserve"> percent in</w:t>
      </w:r>
      <w:r w:rsidR="00F85394">
        <w:t> </w:t>
      </w:r>
      <w:r w:rsidR="001B5F3E" w:rsidRPr="00326123">
        <w:t>2008. In British</w:t>
      </w:r>
      <w:r w:rsidR="00664E35">
        <w:t> </w:t>
      </w:r>
      <w:r w:rsidR="001B5F3E" w:rsidRPr="00326123">
        <w:t>Columbia, by 2008 the industry was reinvesting over 100 percent, more than its share of earnings in that jurisdiction</w:t>
      </w:r>
      <w:r w:rsidR="005D6F39">
        <w:t>’</w:t>
      </w:r>
      <w:r w:rsidR="00094EC9">
        <w:t xml:space="preserve"> </w:t>
      </w:r>
      <w:r w:rsidR="007A6518" w:rsidRPr="007A6518">
        <w:t>(</w:t>
      </w:r>
      <w:r w:rsidRPr="007A6518">
        <w:t>Agalliu, 2011</w:t>
      </w:r>
      <w:r w:rsidR="007A6518" w:rsidRPr="007A6518">
        <w:t>,</w:t>
      </w:r>
      <w:r w:rsidR="00094EC9" w:rsidDel="0026628F">
        <w:t xml:space="preserve"> p. </w:t>
      </w:r>
      <w:r w:rsidR="007A6518" w:rsidRPr="007A6518">
        <w:t>127</w:t>
      </w:r>
      <w:r w:rsidRPr="007A6518">
        <w:t>)</w:t>
      </w:r>
      <w:r w:rsidR="001B5F3E" w:rsidRPr="007A6518">
        <w:t>.</w:t>
      </w:r>
      <w:r w:rsidR="00094EC9">
        <w:t xml:space="preserve"> </w:t>
      </w:r>
    </w:p>
    <w:p w14:paraId="5338AAD7" w14:textId="67119ACD" w:rsidR="0091199E" w:rsidRPr="00094EC9" w:rsidRDefault="0091199E" w:rsidP="00221C2A">
      <w:pPr>
        <w:pStyle w:val="ChartMainHeading"/>
      </w:pPr>
      <w:bookmarkStart w:id="11626" w:name="_Toc476759919"/>
      <w:bookmarkStart w:id="11627" w:name="_Toc476761541"/>
      <w:bookmarkStart w:id="11628" w:name="_Toc476767179"/>
      <w:bookmarkStart w:id="11629" w:name="_Toc476827225"/>
      <w:bookmarkStart w:id="11630" w:name="_Toc476828918"/>
      <w:bookmarkStart w:id="11631" w:name="_Toc476833792"/>
      <w:bookmarkStart w:id="11632" w:name="_Toc476837265"/>
      <w:bookmarkStart w:id="11633" w:name="_Toc476841138"/>
      <w:bookmarkStart w:id="11634" w:name="_Toc476841343"/>
      <w:bookmarkStart w:id="11635" w:name="_Toc476842102"/>
      <w:bookmarkStart w:id="11636" w:name="_Toc476843046"/>
      <w:bookmarkStart w:id="11637" w:name="_Toc476843217"/>
      <w:bookmarkStart w:id="11638" w:name="_Toc476844715"/>
      <w:bookmarkStart w:id="11639" w:name="_Toc476845608"/>
      <w:bookmarkStart w:id="11640" w:name="_Toc476927002"/>
      <w:bookmarkStart w:id="11641" w:name="_Toc476927115"/>
      <w:bookmarkStart w:id="11642" w:name="_Toc476927289"/>
      <w:bookmarkStart w:id="11643" w:name="_Toc476928553"/>
      <w:bookmarkStart w:id="11644" w:name="_Toc476929596"/>
      <w:bookmarkStart w:id="11645" w:name="_Toc476929771"/>
      <w:bookmarkStart w:id="11646" w:name="_Toc476930814"/>
      <w:bookmarkStart w:id="11647" w:name="_Toc476931621"/>
      <w:r w:rsidRPr="006D28D4">
        <w:t xml:space="preserve">Figure </w:t>
      </w:r>
      <w:r w:rsidR="004E599F" w:rsidRPr="006D28D4">
        <w:t>E.3</w:t>
      </w:r>
      <w:r w:rsidR="004E599F">
        <w:t xml:space="preserve"> </w:t>
      </w:r>
      <w:r w:rsidR="00617077" w:rsidRPr="00496C37">
        <w:t>—</w:t>
      </w:r>
      <w:r w:rsidR="007163EB">
        <w:t xml:space="preserve"> </w:t>
      </w:r>
      <w:r>
        <w:t xml:space="preserve">Percentage of </w:t>
      </w:r>
      <w:r w:rsidR="00617077">
        <w:t>l</w:t>
      </w:r>
      <w:r>
        <w:t xml:space="preserve">and </w:t>
      </w:r>
      <w:r w:rsidR="00617077">
        <w:t>s</w:t>
      </w:r>
      <w:r>
        <w:t xml:space="preserve">ales in Western Canadian </w:t>
      </w:r>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r w:rsidR="00617077">
        <w:t>p</w:t>
      </w:r>
      <w:r>
        <w:t>rovinces</w:t>
      </w:r>
    </w:p>
    <w:p w14:paraId="0CB421B0" w14:textId="3D9A82CD" w:rsidR="001B5F3E" w:rsidRDefault="00094EC9" w:rsidP="001B5F3E">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inline distT="0" distB="0" distL="0" distR="0" wp14:anchorId="6F658D5F" wp14:editId="6D9A78EC">
            <wp:extent cx="5670645" cy="2030256"/>
            <wp:effectExtent l="0" t="0" r="6350" b="8255"/>
            <wp:docPr id="11" name="Picture 11" descr="Figure E.3 shows two pie charts comparing the percentage of land sale in western Canadian provinces. The first pie chart is for the period 1999-2007 and the second pie chart is for the period 2008-2009. Land sales in Alberta decreased from 67 per cent to 26 per cent, land sales in Saskatchewan increased from 8 per cent to 19 per cent, and land sales in British Columbia increased from 26 per cent to 5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4054" cy="2031477"/>
                    </a:xfrm>
                    <a:prstGeom prst="rect">
                      <a:avLst/>
                    </a:prstGeom>
                    <a:noFill/>
                    <a:ln>
                      <a:noFill/>
                    </a:ln>
                  </pic:spPr>
                </pic:pic>
              </a:graphicData>
            </a:graphic>
          </wp:inline>
        </w:drawing>
      </w:r>
    </w:p>
    <w:p w14:paraId="060DEFDA" w14:textId="415BA414" w:rsidR="001B5F3E" w:rsidRDefault="001B5F3E" w:rsidP="00F85394">
      <w:pPr>
        <w:pStyle w:val="ChartorTableNote"/>
      </w:pPr>
      <w:r w:rsidRPr="007A6518">
        <w:t>Source: Agalliu</w:t>
      </w:r>
      <w:r w:rsidR="007A6518" w:rsidRPr="007A6518">
        <w:t>,</w:t>
      </w:r>
      <w:r w:rsidRPr="007A6518">
        <w:t xml:space="preserve"> 2011, </w:t>
      </w:r>
      <w:r w:rsidR="007A6518" w:rsidRPr="007A6518">
        <w:t>p.</w:t>
      </w:r>
      <w:r w:rsidRPr="007A6518">
        <w:t xml:space="preserve"> 127.</w:t>
      </w:r>
    </w:p>
    <w:p w14:paraId="1F982568" w14:textId="77777777" w:rsidR="00F85394" w:rsidRPr="00F85394" w:rsidRDefault="00F85394" w:rsidP="00FC6DF9">
      <w:pPr>
        <w:pStyle w:val="SingleParagraph"/>
      </w:pPr>
    </w:p>
    <w:p w14:paraId="5FB72E26" w14:textId="1E38983C" w:rsidR="001B5F3E" w:rsidRDefault="001B5F3E" w:rsidP="001B5F3E">
      <w:r>
        <w:t xml:space="preserve">While these results suggest the fiscal measures announced in 2007 contributed to a shift in investments away from Alberta and into British Columbia and Saskatchewan, in this case, the introduction of the new fiscal regime also coincided with a sharp decline in crude oil prices and competition from increased shale gas production in the US. These other factors are likely also to have played some role in the resulting investment activity in Alberta. </w:t>
      </w:r>
      <w:r w:rsidRPr="006D28D4">
        <w:t>Figure</w:t>
      </w:r>
      <w:r w:rsidR="00193A37" w:rsidRPr="006D28D4">
        <w:t> </w:t>
      </w:r>
      <w:r w:rsidR="004E599F" w:rsidRPr="006D28D4">
        <w:t>E.4</w:t>
      </w:r>
      <w:r>
        <w:t xml:space="preserve"> illustrates drilling activity in Alberta over time together with price</w:t>
      </w:r>
      <w:r w:rsidR="0091199E">
        <w:t>.</w:t>
      </w:r>
    </w:p>
    <w:p w14:paraId="11724B3D" w14:textId="32EBA29B" w:rsidR="001B5F3E" w:rsidRDefault="001B5F3E" w:rsidP="00221C2A">
      <w:pPr>
        <w:pStyle w:val="ChartMainHeading"/>
      </w:pPr>
      <w:bookmarkStart w:id="11648" w:name="_Toc476738157"/>
      <w:bookmarkStart w:id="11649" w:name="_Toc476747742"/>
      <w:bookmarkStart w:id="11650" w:name="_Toc476749152"/>
      <w:bookmarkStart w:id="11651" w:name="_Toc476754019"/>
      <w:bookmarkStart w:id="11652" w:name="_Toc476754514"/>
      <w:bookmarkStart w:id="11653" w:name="_Toc476754679"/>
      <w:bookmarkStart w:id="11654" w:name="_Toc476759920"/>
      <w:bookmarkStart w:id="11655" w:name="_Toc476761542"/>
      <w:bookmarkStart w:id="11656" w:name="_Toc476767180"/>
      <w:bookmarkStart w:id="11657" w:name="_Toc476827226"/>
      <w:bookmarkStart w:id="11658" w:name="_Toc476828919"/>
      <w:bookmarkStart w:id="11659" w:name="_Toc476833793"/>
      <w:bookmarkStart w:id="11660" w:name="_Toc476837266"/>
      <w:bookmarkStart w:id="11661" w:name="_Toc476841139"/>
      <w:bookmarkStart w:id="11662" w:name="_Toc476841344"/>
      <w:bookmarkStart w:id="11663" w:name="_Toc476842103"/>
      <w:bookmarkStart w:id="11664" w:name="_Toc476843047"/>
      <w:bookmarkStart w:id="11665" w:name="_Toc476843218"/>
      <w:bookmarkStart w:id="11666" w:name="_Toc476844716"/>
      <w:bookmarkStart w:id="11667" w:name="_Toc476845609"/>
      <w:bookmarkStart w:id="11668" w:name="_Toc476927003"/>
      <w:bookmarkStart w:id="11669" w:name="_Toc476927116"/>
      <w:bookmarkStart w:id="11670" w:name="_Toc476927290"/>
      <w:bookmarkStart w:id="11671" w:name="_Toc476928554"/>
      <w:bookmarkStart w:id="11672" w:name="_Toc476929597"/>
      <w:bookmarkStart w:id="11673" w:name="_Toc476929772"/>
      <w:bookmarkStart w:id="11674" w:name="_Toc476930815"/>
      <w:bookmarkStart w:id="11675" w:name="_Toc476931622"/>
      <w:r w:rsidRPr="006D28D4">
        <w:t xml:space="preserve">Figure </w:t>
      </w:r>
      <w:r w:rsidR="004E599F" w:rsidRPr="006D28D4">
        <w:t>E.4</w:t>
      </w:r>
      <w:r>
        <w:t xml:space="preserve"> </w:t>
      </w:r>
      <w:r w:rsidR="00617077" w:rsidRPr="00496C37">
        <w:t>—</w:t>
      </w:r>
      <w:r>
        <w:t xml:space="preserve"> Drilling </w:t>
      </w:r>
      <w:r w:rsidR="00617077">
        <w:t>a</w:t>
      </w:r>
      <w:r>
        <w:t>ctivity in Alberta</w:t>
      </w:r>
      <w:r w:rsidR="007A6518">
        <w:t>,</w:t>
      </w:r>
      <w:r>
        <w:t xml:space="preserve"> 1967</w:t>
      </w:r>
      <w:r w:rsidR="005D6F39">
        <w:noBreakHyphen/>
      </w:r>
      <w:r>
        <w:t>2015</w:t>
      </w:r>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p>
    <w:p w14:paraId="68BD180F" w14:textId="512E5F60" w:rsidR="001B5F3E" w:rsidRDefault="0091199E" w:rsidP="00FC6DF9">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41541905" wp14:editId="6FBE20CA">
            <wp:extent cx="5459105" cy="3127886"/>
            <wp:effectExtent l="0" t="0" r="8255" b="0"/>
            <wp:docPr id="21" name="Picture 21" descr="Figure E.4 shows drilling activity in Alberta from 1967 to 2015. Drilling activity has generally tracked with the gas price and has declined since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60526" cy="3128700"/>
                    </a:xfrm>
                    <a:prstGeom prst="rect">
                      <a:avLst/>
                    </a:prstGeom>
                    <a:noFill/>
                    <a:ln>
                      <a:noFill/>
                    </a:ln>
                  </pic:spPr>
                </pic:pic>
              </a:graphicData>
            </a:graphic>
          </wp:inline>
        </w:drawing>
      </w:r>
    </w:p>
    <w:p w14:paraId="3950DA6E" w14:textId="690E5B27" w:rsidR="001B5F3E" w:rsidRDefault="00715C69" w:rsidP="00FC6DF9">
      <w:pPr>
        <w:pStyle w:val="ChartorTableNote"/>
      </w:pPr>
      <w:r w:rsidRPr="007A6518">
        <w:t xml:space="preserve">Source: </w:t>
      </w:r>
      <w:r w:rsidR="001B5F3E" w:rsidRPr="007A6518">
        <w:t>Alberta Oil and Gas Quarterly</w:t>
      </w:r>
      <w:r w:rsidR="007A6518" w:rsidRPr="007A6518">
        <w:t>,</w:t>
      </w:r>
      <w:r w:rsidR="001B5F3E" w:rsidRPr="007A6518">
        <w:t xml:space="preserve"> Winter 201</w:t>
      </w:r>
      <w:r w:rsidR="00142EA6">
        <w:t>6</w:t>
      </w:r>
      <w:r w:rsidR="001B5F3E">
        <w:t>,</w:t>
      </w:r>
      <w:r w:rsidR="001B5F3E" w:rsidRPr="007A6518">
        <w:t xml:space="preserve"> p</w:t>
      </w:r>
      <w:r w:rsidR="00617077">
        <w:t>.</w:t>
      </w:r>
      <w:r w:rsidR="001B5F3E" w:rsidRPr="007A6518">
        <w:t xml:space="preserve"> 12</w:t>
      </w:r>
      <w:r w:rsidR="007A6518">
        <w:t>.</w:t>
      </w:r>
    </w:p>
    <w:p w14:paraId="2042D27A" w14:textId="77777777" w:rsidR="00FC6DF9" w:rsidRPr="00FC6DF9" w:rsidRDefault="00FC6DF9" w:rsidP="00FC6DF9">
      <w:pPr>
        <w:pStyle w:val="SingleParagraph"/>
      </w:pPr>
    </w:p>
    <w:p w14:paraId="2690F8A3" w14:textId="3A77A739" w:rsidR="001B5F3E" w:rsidRDefault="001B5F3E" w:rsidP="001B5F3E">
      <w:r>
        <w:t xml:space="preserve">In April 2016, the Government of Alberta announced a </w:t>
      </w:r>
      <w:r w:rsidRPr="006D28D4">
        <w:t>change</w:t>
      </w:r>
      <w:r>
        <w:t xml:space="preserve"> to the fiscal regime which had effect from 1 January 2017. Features of this new regime are outlined in </w:t>
      </w:r>
      <w:r w:rsidRPr="006D28D4">
        <w:t xml:space="preserve">section </w:t>
      </w:r>
      <w:r w:rsidR="004E599F" w:rsidRPr="006D28D4">
        <w:t>E.2.</w:t>
      </w:r>
      <w:r w:rsidR="001A103E" w:rsidRPr="006D28D4">
        <w:t>4</w:t>
      </w:r>
      <w:r w:rsidRPr="006D28D4">
        <w:t>.</w:t>
      </w:r>
      <w:r w:rsidR="0091199E">
        <w:t xml:space="preserve"> These</w:t>
      </w:r>
      <w:r>
        <w:t xml:space="preserve"> changes likely contributed to Alberta</w:t>
      </w:r>
      <w:r w:rsidR="005D6F39">
        <w:t>’</w:t>
      </w:r>
      <w:r>
        <w:t>s decreased place in the Fraser institute</w:t>
      </w:r>
      <w:r w:rsidR="005D6F39">
        <w:t>’</w:t>
      </w:r>
      <w:r>
        <w:t xml:space="preserve">s overall Policy Perception Index, </w:t>
      </w:r>
      <w:r w:rsidR="00342383">
        <w:t>suggesting</w:t>
      </w:r>
      <w:r w:rsidRPr="0091199E">
        <w:t xml:space="preserve"> the policy </w:t>
      </w:r>
      <w:r w:rsidR="00342383">
        <w:t>change had some negative impact on</w:t>
      </w:r>
      <w:r w:rsidRPr="0091199E">
        <w:t xml:space="preserve"> oil and gas investment.</w:t>
      </w:r>
    </w:p>
    <w:p w14:paraId="229F5ADC" w14:textId="104F5065" w:rsidR="001B5F3E" w:rsidRPr="00222A11" w:rsidRDefault="00AC0D24" w:rsidP="0091199E">
      <w:pPr>
        <w:pStyle w:val="Heading3"/>
        <w:rPr>
          <w:rFonts w:ascii="Calibri" w:hAnsi="Calibri"/>
          <w:sz w:val="24"/>
        </w:rPr>
      </w:pPr>
      <w:bookmarkStart w:id="11676" w:name="_Toc476759921"/>
      <w:bookmarkStart w:id="11677" w:name="_Toc476761543"/>
      <w:bookmarkStart w:id="11678" w:name="_Toc476767181"/>
      <w:bookmarkStart w:id="11679" w:name="_Toc476827227"/>
      <w:bookmarkStart w:id="11680" w:name="_Toc476828920"/>
      <w:bookmarkStart w:id="11681" w:name="_Toc476833794"/>
      <w:bookmarkStart w:id="11682" w:name="_Toc476837267"/>
      <w:bookmarkStart w:id="11683" w:name="_Toc476841140"/>
      <w:bookmarkStart w:id="11684" w:name="_Toc476841345"/>
      <w:bookmarkStart w:id="11685" w:name="_Toc476842104"/>
      <w:bookmarkStart w:id="11686" w:name="_Toc476843048"/>
      <w:bookmarkStart w:id="11687" w:name="_Toc476843219"/>
      <w:bookmarkStart w:id="11688" w:name="_Toc476844717"/>
      <w:bookmarkStart w:id="11689" w:name="_Toc476845610"/>
      <w:bookmarkStart w:id="11690" w:name="_Toc476927004"/>
      <w:bookmarkStart w:id="11691" w:name="_Toc476927117"/>
      <w:bookmarkStart w:id="11692" w:name="_Toc476927291"/>
      <w:bookmarkStart w:id="11693" w:name="_Toc476928555"/>
      <w:bookmarkStart w:id="11694" w:name="_Toc476929598"/>
      <w:bookmarkStart w:id="11695" w:name="_Toc476929773"/>
      <w:bookmarkStart w:id="11696" w:name="_Toc476930816"/>
      <w:bookmarkStart w:id="11697" w:name="_Toc476931623"/>
      <w:bookmarkStart w:id="11698" w:name="_Toc477869976"/>
      <w:bookmarkStart w:id="11699" w:name="_Toc477871215"/>
      <w:bookmarkStart w:id="11700" w:name="_Toc477873374"/>
      <w:bookmarkStart w:id="11701" w:name="_Toc477875368"/>
      <w:bookmarkStart w:id="11702" w:name="_Toc477880281"/>
      <w:bookmarkStart w:id="11703" w:name="_Toc477881541"/>
      <w:bookmarkStart w:id="11704" w:name="_Toc477955944"/>
      <w:bookmarkStart w:id="11705" w:name="_Toc477963189"/>
      <w:bookmarkStart w:id="11706" w:name="_Toc477963675"/>
      <w:bookmarkStart w:id="11707" w:name="_Toc477965261"/>
      <w:bookmarkStart w:id="11708" w:name="_Toc477966765"/>
      <w:bookmarkStart w:id="11709" w:name="_Toc477966934"/>
      <w:bookmarkStart w:id="11710" w:name="_Toc477967274"/>
      <w:bookmarkStart w:id="11711" w:name="_Toc478121409"/>
      <w:bookmarkStart w:id="11712" w:name="_Toc478122322"/>
      <w:bookmarkStart w:id="11713" w:name="_Toc478132152"/>
      <w:bookmarkStart w:id="11714" w:name="_Toc478132459"/>
      <w:bookmarkStart w:id="11715" w:name="_Toc478134788"/>
      <w:bookmarkStart w:id="11716" w:name="_Toc478137490"/>
      <w:bookmarkStart w:id="11717" w:name="_Toc478138562"/>
      <w:bookmarkStart w:id="11718" w:name="_Toc478140132"/>
      <w:bookmarkStart w:id="11719" w:name="_Toc478140548"/>
      <w:bookmarkStart w:id="11720" w:name="_Toc478142754"/>
      <w:bookmarkStart w:id="11721" w:name="_Toc478566473"/>
      <w:bookmarkStart w:id="11722" w:name="_Toc478569640"/>
      <w:bookmarkStart w:id="11723" w:name="_Toc478569814"/>
      <w:bookmarkStart w:id="11724" w:name="_Toc478570888"/>
      <w:bookmarkStart w:id="11725" w:name="_Toc478633087"/>
      <w:bookmarkStart w:id="11726" w:name="_Toc478641496"/>
      <w:bookmarkStart w:id="11727" w:name="_Toc478654390"/>
      <w:bookmarkStart w:id="11728" w:name="_Toc478654564"/>
      <w:bookmarkStart w:id="11729" w:name="_Toc478657859"/>
      <w:bookmarkStart w:id="11730" w:name="_Toc478993280"/>
      <w:bookmarkStart w:id="11731" w:name="_Toc479000351"/>
      <w:bookmarkStart w:id="11732" w:name="_Toc479002285"/>
      <w:bookmarkStart w:id="11733" w:name="_Toc479002457"/>
      <w:bookmarkStart w:id="11734" w:name="_Toc479254431"/>
      <w:bookmarkStart w:id="11735" w:name="_Toc479258620"/>
      <w:bookmarkStart w:id="11736" w:name="_Toc479258936"/>
      <w:bookmarkStart w:id="11737" w:name="_Toc479259828"/>
      <w:bookmarkStart w:id="11738" w:name="_Toc479262251"/>
      <w:bookmarkStart w:id="11739" w:name="_Toc479262672"/>
      <w:bookmarkStart w:id="11740" w:name="_Toc479321373"/>
      <w:bookmarkStart w:id="11741" w:name="_Toc479326812"/>
      <w:bookmarkStart w:id="11742" w:name="_Toc479333073"/>
      <w:bookmarkStart w:id="11743" w:name="_Toc479333411"/>
      <w:bookmarkStart w:id="11744" w:name="_Toc479335108"/>
      <w:bookmarkStart w:id="11745" w:name="_Toc479341823"/>
      <w:bookmarkStart w:id="11746" w:name="_Toc479345239"/>
      <w:bookmarkStart w:id="11747" w:name="_Toc479345448"/>
      <w:bookmarkStart w:id="11748" w:name="_Toc479348429"/>
      <w:bookmarkStart w:id="11749" w:name="_Toc479676022"/>
      <w:bookmarkStart w:id="11750" w:name="_Toc479690989"/>
      <w:bookmarkStart w:id="11751" w:name="_Toc479693567"/>
      <w:bookmarkStart w:id="11752" w:name="_Toc479770736"/>
      <w:r>
        <w:t>E.</w:t>
      </w:r>
      <w:r w:rsidR="0091199E">
        <w:t>1.3</w:t>
      </w:r>
      <w:r w:rsidR="004E3CED">
        <w:tab/>
      </w:r>
      <w:r w:rsidR="001B5F3E" w:rsidRPr="00222A11">
        <w:t>Alaska</w:t>
      </w:r>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r w:rsidR="001B5F3E" w:rsidRPr="00222A11">
        <w:t xml:space="preserve"> </w:t>
      </w:r>
    </w:p>
    <w:p w14:paraId="566D7500" w14:textId="1A20D5D9" w:rsidR="001B5F3E" w:rsidRDefault="001B5F3E" w:rsidP="001B5F3E">
      <w:r>
        <w:t>In 2006, Alaska</w:t>
      </w:r>
      <w:r w:rsidR="005D6F39">
        <w:t>’</w:t>
      </w:r>
      <w:r>
        <w:t xml:space="preserve">s long standing gross value oil and gas production severance tax was changed to a net profit tax system to make it more progressive. A progressive tax rate was applied on net revenue (which took operating and capital costs into account). The final tax liability was determined after tax credits were taken to account. Since this change, the production tax has been subject </w:t>
      </w:r>
      <w:r w:rsidR="00F25799">
        <w:t xml:space="preserve">to </w:t>
      </w:r>
      <w:r>
        <w:t>further substantive and successive changes to rates, calculations</w:t>
      </w:r>
      <w:r w:rsidR="0091199E">
        <w:t>,</w:t>
      </w:r>
      <w:r>
        <w:t xml:space="preserve"> together with changes to tax credits and incentives. </w:t>
      </w:r>
      <w:r w:rsidR="00731B9C">
        <w:t>This included</w:t>
      </w:r>
      <w:r w:rsidR="001A103E">
        <w:t>,</w:t>
      </w:r>
      <w:r>
        <w:t xml:space="preserve"> in 2007, </w:t>
      </w:r>
      <w:r w:rsidR="00731B9C">
        <w:t>further increasing the state</w:t>
      </w:r>
      <w:r w:rsidR="005D6F39">
        <w:t>’</w:t>
      </w:r>
      <w:r w:rsidR="00731B9C">
        <w:t xml:space="preserve">s share through the </w:t>
      </w:r>
      <w:r>
        <w:t>Alaska</w:t>
      </w:r>
      <w:r w:rsidR="005D6F39">
        <w:t>’</w:t>
      </w:r>
      <w:r>
        <w:t xml:space="preserve">s Clear and Equitable Share Production Tax </w:t>
      </w:r>
      <w:r w:rsidR="00445103">
        <w:t>and</w:t>
      </w:r>
      <w:r w:rsidR="001A103E">
        <w:t>,</w:t>
      </w:r>
      <w:r>
        <w:t xml:space="preserve"> in 2008</w:t>
      </w:r>
      <w:r w:rsidR="00281E6B">
        <w:t xml:space="preserve">, </w:t>
      </w:r>
      <w:r w:rsidR="00D64C1F">
        <w:t xml:space="preserve">increasing </w:t>
      </w:r>
      <w:r w:rsidR="00281E6B">
        <w:t>exploration credits and</w:t>
      </w:r>
      <w:r w:rsidR="00D64C1F">
        <w:t xml:space="preserve"> establishing </w:t>
      </w:r>
      <w:r w:rsidR="00445103">
        <w:t xml:space="preserve">the </w:t>
      </w:r>
      <w:r>
        <w:t xml:space="preserve">Oil and Gas Credit Fund as a </w:t>
      </w:r>
      <w:r w:rsidR="00D64C1F">
        <w:t xml:space="preserve">more effective </w:t>
      </w:r>
      <w:r>
        <w:t>way of purchasing qualifying credits</w:t>
      </w:r>
      <w:r w:rsidR="00445103">
        <w:t>.</w:t>
      </w:r>
      <w:r w:rsidR="00D64C1F">
        <w:t xml:space="preserve"> In 2014</w:t>
      </w:r>
      <w:r w:rsidR="00445103">
        <w:t>,</w:t>
      </w:r>
      <w:r w:rsidR="00D64C1F">
        <w:t xml:space="preserve"> further changes to tax credits and the production tax rate became effective, establishing the current production tax rate of 35 per cent of the net production value</w:t>
      </w:r>
      <w:r>
        <w:t>.</w:t>
      </w:r>
      <w:r w:rsidRPr="00D178ED">
        <w:rPr>
          <w:rStyle w:val="FootnoteReference"/>
          <w:sz w:val="24"/>
        </w:rPr>
        <w:footnoteReference w:id="32"/>
      </w:r>
    </w:p>
    <w:p w14:paraId="402E5AFD" w14:textId="3CE1A604" w:rsidR="001B5F3E" w:rsidRDefault="0026628F" w:rsidP="001B5F3E">
      <w:r w:rsidRPr="006D28D4">
        <w:t>Agalliu, I. (2011</w:t>
      </w:r>
      <w:r>
        <w:t>)</w:t>
      </w:r>
      <w:r w:rsidR="00342383">
        <w:t>,</w:t>
      </w:r>
      <w:r w:rsidR="001B5F3E" w:rsidDel="0026628F">
        <w:t xml:space="preserve"> </w:t>
      </w:r>
      <w:r w:rsidR="001B5F3E">
        <w:t>referenced in the B</w:t>
      </w:r>
      <w:r w:rsidR="0091199E">
        <w:t xml:space="preserve">usiness Council </w:t>
      </w:r>
      <w:r w:rsidR="00AB7345">
        <w:t>of</w:t>
      </w:r>
      <w:r w:rsidR="0091199E">
        <w:t xml:space="preserve"> Australia</w:t>
      </w:r>
      <w:r w:rsidR="001B5F3E">
        <w:t xml:space="preserve"> submission</w:t>
      </w:r>
      <w:r w:rsidR="00342383">
        <w:t>,</w:t>
      </w:r>
      <w:r w:rsidR="001B5F3E">
        <w:t xml:space="preserve"> </w:t>
      </w:r>
      <w:r w:rsidR="0091199E">
        <w:t xml:space="preserve">focused on the changes that occurred in 2006 and 2007. </w:t>
      </w:r>
      <w:r w:rsidR="00342383">
        <w:t xml:space="preserve">The report </w:t>
      </w:r>
      <w:r w:rsidR="001B5F3E">
        <w:t xml:space="preserve">drew from </w:t>
      </w:r>
      <w:r w:rsidR="0091199E">
        <w:t xml:space="preserve">acreage </w:t>
      </w:r>
      <w:r w:rsidR="000F0B2F">
        <w:t>licencing</w:t>
      </w:r>
      <w:r w:rsidR="004E599F">
        <w:t xml:space="preserve"> </w:t>
      </w:r>
      <w:r w:rsidR="001B5F3E">
        <w:t xml:space="preserve">results in Alaska to illustrate the impact of the changes (see </w:t>
      </w:r>
      <w:r w:rsidR="001B5F3E" w:rsidRPr="006D28D4">
        <w:t xml:space="preserve">Figure </w:t>
      </w:r>
      <w:r w:rsidR="004E599F" w:rsidRPr="006D28D4">
        <w:t>E.5</w:t>
      </w:r>
      <w:r w:rsidR="001B5F3E">
        <w:t xml:space="preserve">). The report </w:t>
      </w:r>
      <w:r w:rsidR="00342383">
        <w:t>notes</w:t>
      </w:r>
      <w:r w:rsidR="007A6518">
        <w:t>,</w:t>
      </w:r>
      <w:r w:rsidR="001B5F3E">
        <w:t xml:space="preserve"> </w:t>
      </w:r>
      <w:r w:rsidR="005D6F39">
        <w:t>‘</w:t>
      </w:r>
      <w:r w:rsidR="001B5F3E">
        <w:t xml:space="preserve">The drop of </w:t>
      </w:r>
      <w:r w:rsidR="004E599F">
        <w:t xml:space="preserve">licencing </w:t>
      </w:r>
      <w:r w:rsidR="001B5F3E">
        <w:t>activity in Alaska in 2007 and 2008, despite rising oil prices until July 2008 indicates that the decline is related to the harsh fiscal terms and loss of investor confidence in the stability of the petroleum fiscal system</w:t>
      </w:r>
      <w:r w:rsidR="005D6F39">
        <w:t>’</w:t>
      </w:r>
      <w:r w:rsidR="007A6518" w:rsidRPr="007A6518">
        <w:t xml:space="preserve"> (</w:t>
      </w:r>
      <w:r w:rsidRPr="007A6518">
        <w:t>Agalliu, 2011</w:t>
      </w:r>
      <w:r w:rsidR="007A6518" w:rsidRPr="007A6518">
        <w:t>,</w:t>
      </w:r>
      <w:r w:rsidRPr="007A6518">
        <w:t>p</w:t>
      </w:r>
      <w:r w:rsidR="007A6518" w:rsidRPr="007A6518">
        <w:t xml:space="preserve">. </w:t>
      </w:r>
      <w:r w:rsidR="001B5F3E" w:rsidRPr="007A6518">
        <w:t>125</w:t>
      </w:r>
      <w:r w:rsidR="007A6518" w:rsidRPr="007A6518">
        <w:t>)</w:t>
      </w:r>
      <w:r w:rsidR="001B5F3E" w:rsidRPr="007A6518">
        <w:t>.</w:t>
      </w:r>
    </w:p>
    <w:p w14:paraId="333571BE" w14:textId="205D8984" w:rsidR="001B5F3E" w:rsidRDefault="0091199E" w:rsidP="00715C69">
      <w:pPr>
        <w:pStyle w:val="Heading4"/>
      </w:pPr>
      <w:bookmarkStart w:id="11753" w:name="_Toc476738158"/>
      <w:bookmarkStart w:id="11754" w:name="_Toc476747743"/>
      <w:bookmarkStart w:id="11755" w:name="_Toc476749153"/>
      <w:bookmarkStart w:id="11756" w:name="_Toc476754020"/>
      <w:bookmarkStart w:id="11757" w:name="_Toc476754515"/>
      <w:bookmarkStart w:id="11758" w:name="_Toc476754680"/>
      <w:bookmarkStart w:id="11759" w:name="_Toc476759922"/>
      <w:bookmarkStart w:id="11760" w:name="_Toc476761544"/>
      <w:bookmarkStart w:id="11761" w:name="_Toc476767182"/>
      <w:bookmarkStart w:id="11762" w:name="_Toc476827228"/>
      <w:bookmarkStart w:id="11763" w:name="_Toc476828921"/>
      <w:bookmarkStart w:id="11764" w:name="_Toc476833795"/>
      <w:bookmarkStart w:id="11765" w:name="_Toc476837268"/>
      <w:bookmarkStart w:id="11766" w:name="_Toc476841141"/>
      <w:bookmarkStart w:id="11767" w:name="_Toc476841346"/>
      <w:bookmarkStart w:id="11768" w:name="_Toc476842105"/>
      <w:bookmarkStart w:id="11769" w:name="_Toc476843049"/>
      <w:bookmarkStart w:id="11770" w:name="_Toc476843220"/>
      <w:bookmarkStart w:id="11771" w:name="_Toc476844718"/>
      <w:bookmarkStart w:id="11772" w:name="_Toc476845611"/>
      <w:bookmarkStart w:id="11773" w:name="_Toc476927005"/>
      <w:bookmarkStart w:id="11774" w:name="_Toc476927118"/>
      <w:bookmarkStart w:id="11775" w:name="_Toc476927292"/>
      <w:bookmarkStart w:id="11776" w:name="_Toc476928556"/>
      <w:bookmarkStart w:id="11777" w:name="_Toc476929599"/>
      <w:bookmarkStart w:id="11778" w:name="_Toc476929774"/>
      <w:bookmarkStart w:id="11779" w:name="_Toc476930817"/>
      <w:bookmarkStart w:id="11780" w:name="_Toc476931624"/>
      <w:r w:rsidRPr="006D28D4">
        <w:rPr>
          <w:noProof/>
        </w:rPr>
        <w:drawing>
          <wp:anchor distT="0" distB="0" distL="114300" distR="114300" simplePos="0" relativeHeight="251658243" behindDoc="0" locked="0" layoutInCell="1" allowOverlap="1" wp14:anchorId="0A9169DD" wp14:editId="0AECAEE0">
            <wp:simplePos x="0" y="0"/>
            <wp:positionH relativeFrom="column">
              <wp:posOffset>755650</wp:posOffset>
            </wp:positionH>
            <wp:positionV relativeFrom="paragraph">
              <wp:posOffset>360680</wp:posOffset>
            </wp:positionV>
            <wp:extent cx="3947160" cy="2517775"/>
            <wp:effectExtent l="0" t="0" r="0" b="0"/>
            <wp:wrapTopAndBottom/>
            <wp:docPr id="22" name="Picture 22" descr="Figure E.5 replicates a chart from Agalliu, I. (2011). This illustrates licensing acreage awarded in Alaska between 2005 and 2010. Acreage is in square kilometres. There is a 74 per cent drop in acreage awarded between 2006 and 2007, and a further 10 per cent decrease between the years 2007 an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4716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F3E" w:rsidRPr="006D28D4">
        <w:t xml:space="preserve">Figure </w:t>
      </w:r>
      <w:r w:rsidR="004E599F" w:rsidRPr="006D28D4">
        <w:t>E.5</w:t>
      </w:r>
      <w:r w:rsidR="007A6518">
        <w:t xml:space="preserve"> —</w:t>
      </w:r>
      <w:r w:rsidR="001B5F3E">
        <w:t xml:space="preserve"> Alaska</w:t>
      </w:r>
      <w:r w:rsidR="00617077">
        <w:t>:</w:t>
      </w:r>
      <w:r w:rsidR="001B5F3E">
        <w:t xml:space="preserve"> </w:t>
      </w:r>
      <w:r w:rsidR="00617077">
        <w:t>a</w:t>
      </w:r>
      <w:r w:rsidR="001B5F3E">
        <w:t xml:space="preserve">creage </w:t>
      </w:r>
      <w:r w:rsidR="00617077">
        <w:t>a</w:t>
      </w:r>
      <w:r w:rsidR="001B5F3E">
        <w:t>warded 2005</w:t>
      </w:r>
      <w:r w:rsidR="005D6F39">
        <w:noBreakHyphen/>
      </w:r>
      <w:r w:rsidR="001B5F3E">
        <w:t>2010</w:t>
      </w:r>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p>
    <w:p w14:paraId="6118A872" w14:textId="79E5175C" w:rsidR="007A6518" w:rsidRDefault="007A6518" w:rsidP="00FC6DF9">
      <w:pPr>
        <w:pStyle w:val="ChartorTableNote"/>
      </w:pPr>
      <w:r w:rsidRPr="007A6518">
        <w:t>Source: Agalliu, 2011, p.</w:t>
      </w:r>
      <w:r>
        <w:t xml:space="preserve"> 126</w:t>
      </w:r>
      <w:r w:rsidRPr="007A6518">
        <w:t>.</w:t>
      </w:r>
    </w:p>
    <w:p w14:paraId="0B37DDF6" w14:textId="77777777" w:rsidR="00FC6DF9" w:rsidRPr="00FC6DF9" w:rsidRDefault="00FC6DF9" w:rsidP="00FC6DF9">
      <w:pPr>
        <w:pStyle w:val="SingleParagraph"/>
      </w:pPr>
    </w:p>
    <w:p w14:paraId="285AA7F7" w14:textId="2454567C" w:rsidR="001B5F3E" w:rsidRDefault="00B53948" w:rsidP="001B5F3E">
      <w:r>
        <w:t>The</w:t>
      </w:r>
      <w:r w:rsidR="001B5F3E">
        <w:t xml:space="preserve"> trends of lease sales over </w:t>
      </w:r>
      <w:r w:rsidR="0075027B">
        <w:t xml:space="preserve">a longer period of </w:t>
      </w:r>
      <w:r w:rsidR="001B5F3E">
        <w:t>time</w:t>
      </w:r>
      <w:r>
        <w:t xml:space="preserve"> are examined</w:t>
      </w:r>
      <w:r w:rsidR="001B5F3E">
        <w:t xml:space="preserve">, </w:t>
      </w:r>
      <w:r w:rsidR="0075027B">
        <w:t>together with</w:t>
      </w:r>
      <w:r w:rsidR="001B5F3E">
        <w:t xml:space="preserve"> exploration well activity, illustrated in </w:t>
      </w:r>
      <w:r w:rsidR="004E599F" w:rsidRPr="006D28D4">
        <w:t>Table E.1 and Figures E.6 and E.</w:t>
      </w:r>
      <w:r w:rsidR="004E599F">
        <w:t>7</w:t>
      </w:r>
      <w:r w:rsidR="001B5F3E">
        <w:t xml:space="preserve">. Like Alberta, many of these changes were also taking place at the same time as a decrease in oil price, increased competition and production from </w:t>
      </w:r>
      <w:r w:rsidR="003239F6">
        <w:t xml:space="preserve">elsewhere in the </w:t>
      </w:r>
      <w:r w:rsidR="001B5F3E">
        <w:t>U</w:t>
      </w:r>
      <w:r w:rsidR="003239F6">
        <w:t xml:space="preserve">nited </w:t>
      </w:r>
      <w:r w:rsidR="001B5F3E">
        <w:t>S</w:t>
      </w:r>
      <w:r w:rsidR="003239F6">
        <w:t>tates</w:t>
      </w:r>
      <w:r w:rsidR="001B5F3E">
        <w:t xml:space="preserve">. </w:t>
      </w:r>
      <w:r w:rsidR="0075027B">
        <w:t>Similarly</w:t>
      </w:r>
      <w:r w:rsidR="001B5F3E">
        <w:t>, while the changes to fiscal stability will likely have had an impact on investment activity, these changes are hard to isolate from other</w:t>
      </w:r>
      <w:r w:rsidR="00342383">
        <w:t xml:space="preserve"> influences</w:t>
      </w:r>
      <w:r w:rsidR="001B5F3E">
        <w:t>.</w:t>
      </w:r>
    </w:p>
    <w:p w14:paraId="61B8788F" w14:textId="033FA755" w:rsidR="001B5F3E" w:rsidRPr="00381DF0" w:rsidRDefault="00D7422F" w:rsidP="00221C2A">
      <w:pPr>
        <w:pStyle w:val="ChartMainHeading"/>
      </w:pPr>
      <w:bookmarkStart w:id="11781" w:name="_Toc476738159"/>
      <w:bookmarkStart w:id="11782" w:name="_Toc476747744"/>
      <w:bookmarkStart w:id="11783" w:name="_Toc476749154"/>
      <w:bookmarkStart w:id="11784" w:name="_Toc476754021"/>
      <w:bookmarkStart w:id="11785" w:name="_Toc476754516"/>
      <w:bookmarkStart w:id="11786" w:name="_Toc476754681"/>
      <w:bookmarkStart w:id="11787" w:name="_Toc476759923"/>
      <w:bookmarkStart w:id="11788" w:name="_Toc476761545"/>
      <w:bookmarkStart w:id="11789" w:name="_Toc476767183"/>
      <w:bookmarkStart w:id="11790" w:name="_Toc476827229"/>
      <w:bookmarkStart w:id="11791" w:name="_Toc476828922"/>
      <w:bookmarkStart w:id="11792" w:name="_Toc476833796"/>
      <w:bookmarkStart w:id="11793" w:name="_Toc476837269"/>
      <w:bookmarkStart w:id="11794" w:name="_Toc476841142"/>
      <w:bookmarkStart w:id="11795" w:name="_Toc476841347"/>
      <w:bookmarkStart w:id="11796" w:name="_Toc476842106"/>
      <w:bookmarkStart w:id="11797" w:name="_Toc476843050"/>
      <w:bookmarkStart w:id="11798" w:name="_Toc476843221"/>
      <w:bookmarkStart w:id="11799" w:name="_Toc476844719"/>
      <w:bookmarkStart w:id="11800" w:name="_Toc476845612"/>
      <w:bookmarkStart w:id="11801" w:name="_Toc476927006"/>
      <w:bookmarkStart w:id="11802" w:name="_Toc476927119"/>
      <w:bookmarkStart w:id="11803" w:name="_Toc476927293"/>
      <w:bookmarkStart w:id="11804" w:name="_Toc476928557"/>
      <w:bookmarkStart w:id="11805" w:name="_Toc476929600"/>
      <w:bookmarkStart w:id="11806" w:name="_Toc476929775"/>
      <w:bookmarkStart w:id="11807" w:name="_Toc476930818"/>
      <w:bookmarkStart w:id="11808" w:name="_Toc476931625"/>
      <w:r w:rsidRPr="006D28D4">
        <w:t>Table</w:t>
      </w:r>
      <w:r w:rsidR="004E599F" w:rsidRPr="006D28D4">
        <w:t xml:space="preserve"> E.1</w:t>
      </w:r>
      <w:r w:rsidR="001B5F3E" w:rsidDel="004E599F">
        <w:t xml:space="preserve"> </w:t>
      </w:r>
      <w:r w:rsidR="001509D1" w:rsidRPr="00496C37">
        <w:t>—</w:t>
      </w:r>
      <w:r w:rsidR="001B5F3E">
        <w:t xml:space="preserve"> Alaska</w:t>
      </w:r>
      <w:r w:rsidR="001509D1">
        <w:t>:</w:t>
      </w:r>
      <w:r w:rsidR="001B5F3E">
        <w:t xml:space="preserve"> </w:t>
      </w:r>
      <w:r w:rsidR="001509D1">
        <w:t>c</w:t>
      </w:r>
      <w:r w:rsidR="001B5F3E">
        <w:t>ompetitive oil and gas lease sale results from 2000</w:t>
      </w:r>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p>
    <w:p w14:paraId="7CF5FC68" w14:textId="6BBBED05" w:rsidR="001B5F3E" w:rsidRDefault="0075027B" w:rsidP="001B5F3E">
      <w:pPr>
        <w:autoSpaceDE w:val="0"/>
        <w:autoSpaceDN w:val="0"/>
        <w:adjustRightInd w:val="0"/>
        <w:spacing w:after="0" w:line="240" w:lineRule="auto"/>
      </w:pPr>
      <w:r>
        <w:rPr>
          <w:noProof/>
        </w:rPr>
        <w:drawing>
          <wp:inline distT="0" distB="0" distL="0" distR="0" wp14:anchorId="770A6FCF" wp14:editId="5DAC6D04">
            <wp:extent cx="5759450" cy="3976300"/>
            <wp:effectExtent l="0" t="0" r="0" b="5715"/>
            <wp:docPr id="297" name="Picture 297" descr="Figure E.1 is a table that shows a brief history of the United Kingdom’s oil and gas fiscal regime. In the mid-1970s, the UK emerged as a significant producer of oil and gas and introduced several taxes and royalties. In the 1980s reforms were made to the system to capture a share of higher prices whilst encouraging investment. In 1993 further changes were introduced to stimulate investment during a period of low prices. Throughout the 2000s, reforms were made to capture a higher share of rising oil prices and encourage capital expenditure. From 2008 to 201, new measures were introduced to incentives investment in mature basins. From 2011 to 2014 further action was taken to encourage investment in marginal develo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3976300"/>
                    </a:xfrm>
                    <a:prstGeom prst="rect">
                      <a:avLst/>
                    </a:prstGeom>
                    <a:noFill/>
                    <a:ln>
                      <a:noFill/>
                    </a:ln>
                  </pic:spPr>
                </pic:pic>
              </a:graphicData>
            </a:graphic>
          </wp:inline>
        </w:drawing>
      </w:r>
    </w:p>
    <w:p w14:paraId="03E128A8" w14:textId="2275B147" w:rsidR="001B5F3E" w:rsidRDefault="001B5F3E" w:rsidP="00FC6DF9">
      <w:pPr>
        <w:pStyle w:val="ChartorTableNote"/>
      </w:pPr>
      <w:r w:rsidRPr="007A6518">
        <w:t xml:space="preserve">Source: Alaska </w:t>
      </w:r>
      <w:r w:rsidR="00697B89" w:rsidRPr="007A6518">
        <w:t>Department of Revenue</w:t>
      </w:r>
      <w:r w:rsidR="00697B89">
        <w:t>,</w:t>
      </w:r>
      <w:r>
        <w:t xml:space="preserve"> 2015, p</w:t>
      </w:r>
      <w:r w:rsidR="00715C69">
        <w:t xml:space="preserve">. </w:t>
      </w:r>
      <w:r>
        <w:t>29</w:t>
      </w:r>
      <w:r w:rsidRPr="007A6518">
        <w:t>.</w:t>
      </w:r>
    </w:p>
    <w:p w14:paraId="3F1F912C" w14:textId="77777777" w:rsidR="00FC6DF9" w:rsidRPr="00FC6DF9" w:rsidRDefault="00FC6DF9" w:rsidP="00FC6DF9">
      <w:pPr>
        <w:pStyle w:val="SingleParagraph"/>
      </w:pPr>
    </w:p>
    <w:p w14:paraId="352E1801" w14:textId="1FBCC10B" w:rsidR="001B5F3E" w:rsidRDefault="001B5F3E" w:rsidP="00221C2A">
      <w:pPr>
        <w:pStyle w:val="ChartMainHeading"/>
        <w:rPr>
          <w:rFonts w:ascii="Calibri" w:hAnsi="Calibri" w:cs="Calibri"/>
          <w:sz w:val="24"/>
          <w:szCs w:val="24"/>
        </w:rPr>
      </w:pPr>
      <w:bookmarkStart w:id="11809" w:name="_Toc476738160"/>
      <w:bookmarkStart w:id="11810" w:name="_Toc476747745"/>
      <w:bookmarkStart w:id="11811" w:name="_Toc476749155"/>
      <w:bookmarkStart w:id="11812" w:name="_Toc476754022"/>
      <w:bookmarkStart w:id="11813" w:name="_Toc476754517"/>
      <w:bookmarkStart w:id="11814" w:name="_Toc476754682"/>
      <w:bookmarkStart w:id="11815" w:name="_Toc476759924"/>
      <w:bookmarkStart w:id="11816" w:name="_Toc476761546"/>
      <w:bookmarkStart w:id="11817" w:name="_Toc476767184"/>
      <w:bookmarkStart w:id="11818" w:name="_Toc476827230"/>
      <w:bookmarkStart w:id="11819" w:name="_Toc476828923"/>
      <w:bookmarkStart w:id="11820" w:name="_Toc476833797"/>
      <w:bookmarkStart w:id="11821" w:name="_Toc476837270"/>
      <w:bookmarkStart w:id="11822" w:name="_Toc476841143"/>
      <w:bookmarkStart w:id="11823" w:name="_Toc476841348"/>
      <w:bookmarkStart w:id="11824" w:name="_Toc476842107"/>
      <w:bookmarkStart w:id="11825" w:name="_Toc476843051"/>
      <w:bookmarkStart w:id="11826" w:name="_Toc476843222"/>
      <w:bookmarkStart w:id="11827" w:name="_Toc476844720"/>
      <w:bookmarkStart w:id="11828" w:name="_Toc476845613"/>
      <w:bookmarkStart w:id="11829" w:name="_Toc476927007"/>
      <w:bookmarkStart w:id="11830" w:name="_Toc476927120"/>
      <w:bookmarkStart w:id="11831" w:name="_Toc476927294"/>
      <w:bookmarkStart w:id="11832" w:name="_Toc476928558"/>
      <w:bookmarkStart w:id="11833" w:name="_Toc476929601"/>
      <w:bookmarkStart w:id="11834" w:name="_Toc476929776"/>
      <w:bookmarkStart w:id="11835" w:name="_Toc476930819"/>
      <w:bookmarkStart w:id="11836" w:name="_Toc476931626"/>
      <w:r w:rsidRPr="006D28D4">
        <w:t xml:space="preserve">Figure </w:t>
      </w:r>
      <w:r w:rsidR="004E599F" w:rsidRPr="006D28D4">
        <w:t>E.6</w:t>
      </w:r>
      <w:r w:rsidR="004E599F">
        <w:t xml:space="preserve"> </w:t>
      </w:r>
      <w:r w:rsidR="00617077" w:rsidRPr="00496C37">
        <w:t>—</w:t>
      </w:r>
      <w:r>
        <w:t xml:space="preserve"> Cumulative </w:t>
      </w:r>
      <w:r w:rsidR="00617077">
        <w:t>v</w:t>
      </w:r>
      <w:r w:rsidR="004E599F">
        <w:t xml:space="preserve">alue </w:t>
      </w:r>
      <w:r>
        <w:t xml:space="preserve">of </w:t>
      </w:r>
      <w:r w:rsidR="00617077">
        <w:t>r</w:t>
      </w:r>
      <w:r w:rsidR="004E599F">
        <w:t xml:space="preserve">ents </w:t>
      </w:r>
      <w:r>
        <w:t xml:space="preserve">and </w:t>
      </w:r>
      <w:r w:rsidR="00617077">
        <w:t>b</w:t>
      </w:r>
      <w:r w:rsidR="004E599F">
        <w:t xml:space="preserve">onus </w:t>
      </w:r>
      <w:r w:rsidR="00617077">
        <w:t>b</w:t>
      </w:r>
      <w:r w:rsidR="004E599F">
        <w:t xml:space="preserve">ids </w:t>
      </w:r>
      <w:r w:rsidR="00617077">
        <w:t>r</w:t>
      </w:r>
      <w:r w:rsidR="004E599F">
        <w:t xml:space="preserve">eceived </w:t>
      </w:r>
      <w:r w:rsidR="00617077">
        <w:t>f</w:t>
      </w:r>
      <w:r w:rsidR="004E599F">
        <w:t xml:space="preserve">or </w:t>
      </w:r>
      <w:r w:rsidR="00617077">
        <w:t>l</w:t>
      </w:r>
      <w:r>
        <w:t>eases</w:t>
      </w:r>
      <w:r w:rsidDel="004E599F">
        <w:t xml:space="preserve"> </w:t>
      </w:r>
      <w:r w:rsidR="00617077">
        <w:t>a</w:t>
      </w:r>
      <w:r w:rsidR="004E599F">
        <w:t xml:space="preserve">warded </w:t>
      </w:r>
      <w:r w:rsidR="00617077">
        <w:t>wi</w:t>
      </w:r>
      <w:r w:rsidR="004E599F">
        <w:t xml:space="preserve">th </w:t>
      </w:r>
      <w:r>
        <w:t xml:space="preserve">the </w:t>
      </w:r>
      <w:r w:rsidR="00B966B6">
        <w:t>area wide</w:t>
      </w:r>
      <w:r>
        <w:t xml:space="preserve"> </w:t>
      </w:r>
      <w:r w:rsidR="00617077">
        <w:t>l</w:t>
      </w:r>
      <w:r>
        <w:t xml:space="preserve">ease </w:t>
      </w:r>
      <w:r w:rsidR="00617077">
        <w:t>s</w:t>
      </w:r>
      <w:r>
        <w:t xml:space="preserve">ale </w:t>
      </w:r>
      <w:r w:rsidR="00617077">
        <w:t>p</w:t>
      </w:r>
      <w:r>
        <w:t>rogram</w:t>
      </w:r>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p>
    <w:p w14:paraId="445BA791" w14:textId="2380CD55" w:rsidR="001B5F3E" w:rsidRDefault="0075027B" w:rsidP="001B5F3E">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inline distT="0" distB="0" distL="0" distR="0" wp14:anchorId="77996F8F" wp14:editId="6FD156B2">
            <wp:extent cx="5759450" cy="3317076"/>
            <wp:effectExtent l="0" t="0" r="0" b="0"/>
            <wp:docPr id="26" name="Picture 26" descr="Figure E.6 shows the steady increase in value of rents and bonus bids received for leases awarded with the area wide lease sales program in Alaska from approximately US$10 million in 2000 to approximately US$240 million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450" cy="3317076"/>
                    </a:xfrm>
                    <a:prstGeom prst="rect">
                      <a:avLst/>
                    </a:prstGeom>
                    <a:noFill/>
                    <a:ln>
                      <a:noFill/>
                    </a:ln>
                  </pic:spPr>
                </pic:pic>
              </a:graphicData>
            </a:graphic>
          </wp:inline>
        </w:drawing>
      </w:r>
    </w:p>
    <w:p w14:paraId="768E39ED" w14:textId="6E85CDFD" w:rsidR="00697B89" w:rsidRDefault="00697B89" w:rsidP="00FC6DF9">
      <w:pPr>
        <w:pStyle w:val="ChartorTableNote"/>
      </w:pPr>
      <w:bookmarkStart w:id="11837" w:name="_Toc476738161"/>
      <w:bookmarkStart w:id="11838" w:name="_Toc476747746"/>
      <w:bookmarkStart w:id="11839" w:name="_Toc476749156"/>
      <w:bookmarkStart w:id="11840" w:name="_Toc476754023"/>
      <w:bookmarkStart w:id="11841" w:name="_Toc476754518"/>
      <w:bookmarkStart w:id="11842" w:name="_Toc476754683"/>
      <w:bookmarkStart w:id="11843" w:name="_Toc476759925"/>
      <w:bookmarkStart w:id="11844" w:name="_Toc476761547"/>
      <w:bookmarkStart w:id="11845" w:name="_Toc476767185"/>
      <w:bookmarkStart w:id="11846" w:name="_Toc476827231"/>
      <w:bookmarkStart w:id="11847" w:name="_Toc476828924"/>
      <w:bookmarkStart w:id="11848" w:name="_Toc476833798"/>
      <w:bookmarkStart w:id="11849" w:name="_Toc476837271"/>
      <w:bookmarkStart w:id="11850" w:name="_Toc476841144"/>
      <w:bookmarkStart w:id="11851" w:name="_Toc476841349"/>
      <w:bookmarkStart w:id="11852" w:name="_Toc476842108"/>
      <w:bookmarkStart w:id="11853" w:name="_Toc476843052"/>
      <w:bookmarkStart w:id="11854" w:name="_Toc476843223"/>
      <w:bookmarkStart w:id="11855" w:name="_Toc476844721"/>
      <w:bookmarkStart w:id="11856" w:name="_Toc476845614"/>
      <w:bookmarkStart w:id="11857" w:name="_Toc476927008"/>
      <w:bookmarkStart w:id="11858" w:name="_Toc476927121"/>
      <w:bookmarkStart w:id="11859" w:name="_Toc476927295"/>
      <w:bookmarkStart w:id="11860" w:name="_Toc476928559"/>
      <w:bookmarkStart w:id="11861" w:name="_Toc476929602"/>
      <w:bookmarkStart w:id="11862" w:name="_Toc476929777"/>
      <w:bookmarkStart w:id="11863" w:name="_Toc476930820"/>
      <w:bookmarkStart w:id="11864" w:name="_Toc476931627"/>
      <w:r w:rsidRPr="007A6518">
        <w:t>Source: Alaska Department of Revenue</w:t>
      </w:r>
      <w:r>
        <w:t>, 2015, p. 26</w:t>
      </w:r>
      <w:r w:rsidRPr="007A6518">
        <w:t>.</w:t>
      </w:r>
    </w:p>
    <w:p w14:paraId="1757D93D" w14:textId="65917AD0" w:rsidR="001B5F3E" w:rsidRPr="0075027B" w:rsidRDefault="00AC0D24" w:rsidP="00221C2A">
      <w:pPr>
        <w:pStyle w:val="ChartMainHeading"/>
      </w:pPr>
      <w:r w:rsidRPr="006D28D4">
        <w:rPr>
          <w:noProof/>
        </w:rPr>
        <w:drawing>
          <wp:anchor distT="0" distB="0" distL="114300" distR="114300" simplePos="0" relativeHeight="251658244" behindDoc="0" locked="0" layoutInCell="1" allowOverlap="1" wp14:anchorId="2FA909C8" wp14:editId="4AA66A05">
            <wp:simplePos x="0" y="0"/>
            <wp:positionH relativeFrom="column">
              <wp:posOffset>62865</wp:posOffset>
            </wp:positionH>
            <wp:positionV relativeFrom="paragraph">
              <wp:posOffset>677545</wp:posOffset>
            </wp:positionV>
            <wp:extent cx="5759450" cy="3459480"/>
            <wp:effectExtent l="0" t="0" r="0" b="7620"/>
            <wp:wrapTopAndBottom/>
            <wp:docPr id="307" name="Picture 307" descr="Figure E.7shows the number of conventional oil and gas exploratory wells and wellbores in Alaska from 2000 to 2014 (It includes all wells that were completed, suspended or abandoned). After peaking at 21 wells and wellbores in 2001 and 2004 (with a decline in between) there was a steady decrease in activity between 2004 and 2011 to 4 wells and wellbores in 2011. There has been a subsequent increase in activity in 2012, 2013 and 2014 (16, 16 and 13 wells and wellbores respectively). It also shows the West Coast spot price for Alaska North Slope crude oil comparison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45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F3E" w:rsidRPr="006D28D4">
        <w:t xml:space="preserve">Figure </w:t>
      </w:r>
      <w:r w:rsidR="004E599F" w:rsidRPr="006D28D4">
        <w:t>E.7</w:t>
      </w:r>
      <w:r w:rsidR="004E599F">
        <w:t xml:space="preserve"> </w:t>
      </w:r>
      <w:r w:rsidR="00617077" w:rsidRPr="00496C37">
        <w:t>—</w:t>
      </w:r>
      <w:r w:rsidR="001B5F3E">
        <w:t xml:space="preserve"> Exploratory </w:t>
      </w:r>
      <w:r w:rsidR="00617077">
        <w:t>w</w:t>
      </w:r>
      <w:r w:rsidR="001B5F3E">
        <w:t>ells and</w:t>
      </w:r>
      <w:r w:rsidR="001B5F3E" w:rsidDel="004E599F">
        <w:t xml:space="preserve"> </w:t>
      </w:r>
      <w:r w:rsidR="00617077">
        <w:t>w</w:t>
      </w:r>
      <w:r w:rsidR="004E599F">
        <w:t xml:space="preserve">ellbores </w:t>
      </w:r>
      <w:r w:rsidR="001B5F3E">
        <w:t>in Alaska from 2000 (</w:t>
      </w:r>
      <w:r w:rsidR="00617077">
        <w:t>i</w:t>
      </w:r>
      <w:r w:rsidR="001B5F3E">
        <w:t xml:space="preserve">ncludes </w:t>
      </w:r>
      <w:r w:rsidR="00617077">
        <w:t>w</w:t>
      </w:r>
      <w:r w:rsidR="004E599F">
        <w:t xml:space="preserve">ells </w:t>
      </w:r>
      <w:r w:rsidR="00617077">
        <w:t>c</w:t>
      </w:r>
      <w:r w:rsidR="004E599F">
        <w:t>ompleted</w:t>
      </w:r>
      <w:r w:rsidR="001B5F3E">
        <w:t>,</w:t>
      </w:r>
      <w:r w:rsidR="001B5F3E" w:rsidDel="004E599F">
        <w:t xml:space="preserve"> </w:t>
      </w:r>
      <w:r w:rsidR="00617077">
        <w:t>s</w:t>
      </w:r>
      <w:r w:rsidR="004E599F">
        <w:t xml:space="preserve">uspended </w:t>
      </w:r>
      <w:r w:rsidR="001B5F3E">
        <w:t xml:space="preserve">or </w:t>
      </w:r>
      <w:r w:rsidR="00617077">
        <w:t>a</w:t>
      </w:r>
      <w:r w:rsidR="004E599F">
        <w:t>bandoned</w:t>
      </w:r>
      <w:r w:rsidR="00B966B6">
        <w:t>)</w:t>
      </w:r>
      <w:r w:rsidR="001B5F3E">
        <w:t xml:space="preserve">. Background is the West Coast </w:t>
      </w:r>
      <w:r w:rsidR="00617077">
        <w:t>s</w:t>
      </w:r>
      <w:r w:rsidR="004E599F">
        <w:t xml:space="preserve">pot </w:t>
      </w:r>
      <w:r w:rsidR="00617077">
        <w:t>p</w:t>
      </w:r>
      <w:r w:rsidR="004E599F">
        <w:t xml:space="preserve">rice </w:t>
      </w:r>
      <w:r w:rsidR="001B5F3E" w:rsidDel="004E599F">
        <w:t xml:space="preserve">for </w:t>
      </w:r>
      <w:r w:rsidR="001B5F3E">
        <w:t xml:space="preserve">Alaska North Slope </w:t>
      </w:r>
      <w:r w:rsidR="00617077">
        <w:t>c</w:t>
      </w:r>
      <w:r w:rsidR="004E599F">
        <w:t xml:space="preserve">rude </w:t>
      </w:r>
      <w:r w:rsidR="00617077">
        <w:t>o</w:t>
      </w:r>
      <w:r w:rsidR="004E599F">
        <w:t xml:space="preserve">il </w:t>
      </w:r>
      <w:r w:rsidR="001B5F3E">
        <w:t>(</w:t>
      </w:r>
      <w:r w:rsidR="004E599F">
        <w:t>Dollars/</w:t>
      </w:r>
      <w:r w:rsidR="00617077">
        <w:t>b</w:t>
      </w:r>
      <w:r w:rsidR="004E599F">
        <w:t>arrel</w:t>
      </w:r>
      <w:r w:rsidR="001B5F3E">
        <w:t>)</w:t>
      </w:r>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p>
    <w:p w14:paraId="6990C8DE" w14:textId="607A68F6" w:rsidR="00697B89" w:rsidRDefault="00697B89" w:rsidP="00FC6DF9">
      <w:pPr>
        <w:pStyle w:val="ChartorTableNote"/>
      </w:pPr>
      <w:bookmarkStart w:id="11865" w:name="_Toc476759926"/>
      <w:bookmarkStart w:id="11866" w:name="_Toc476761548"/>
      <w:bookmarkStart w:id="11867" w:name="_Toc476767186"/>
      <w:bookmarkStart w:id="11868" w:name="_Toc476827232"/>
      <w:bookmarkStart w:id="11869" w:name="_Toc476828925"/>
      <w:bookmarkStart w:id="11870" w:name="_Toc476833799"/>
      <w:bookmarkStart w:id="11871" w:name="_Toc476837272"/>
      <w:bookmarkStart w:id="11872" w:name="_Toc476841145"/>
      <w:bookmarkStart w:id="11873" w:name="_Toc476841350"/>
      <w:bookmarkStart w:id="11874" w:name="_Toc476842109"/>
      <w:bookmarkStart w:id="11875" w:name="_Toc476843053"/>
      <w:bookmarkStart w:id="11876" w:name="_Toc476843224"/>
      <w:bookmarkStart w:id="11877" w:name="_Toc476844722"/>
      <w:bookmarkStart w:id="11878" w:name="_Toc476845615"/>
      <w:bookmarkStart w:id="11879" w:name="_Toc476927009"/>
      <w:bookmarkStart w:id="11880" w:name="_Toc476927122"/>
      <w:bookmarkStart w:id="11881" w:name="_Toc476927296"/>
      <w:bookmarkStart w:id="11882" w:name="_Toc476928560"/>
      <w:bookmarkStart w:id="11883" w:name="_Toc476929603"/>
      <w:bookmarkStart w:id="11884" w:name="_Toc476929778"/>
      <w:bookmarkStart w:id="11885" w:name="_Toc476930821"/>
      <w:bookmarkStart w:id="11886" w:name="_Toc476931628"/>
      <w:bookmarkStart w:id="11887" w:name="_Toc477869977"/>
      <w:bookmarkStart w:id="11888" w:name="_Toc477871216"/>
      <w:bookmarkStart w:id="11889" w:name="_Toc477873375"/>
      <w:bookmarkStart w:id="11890" w:name="_Toc477875369"/>
      <w:bookmarkStart w:id="11891" w:name="_Toc477880282"/>
      <w:bookmarkStart w:id="11892" w:name="_Toc477881542"/>
      <w:bookmarkStart w:id="11893" w:name="_Toc477955945"/>
      <w:bookmarkStart w:id="11894" w:name="_Toc477963190"/>
      <w:bookmarkStart w:id="11895" w:name="_Toc477963676"/>
      <w:bookmarkStart w:id="11896" w:name="_Toc477965262"/>
      <w:bookmarkStart w:id="11897" w:name="_Toc477966766"/>
      <w:bookmarkStart w:id="11898" w:name="_Toc477966935"/>
      <w:bookmarkStart w:id="11899" w:name="_Toc477967275"/>
      <w:bookmarkStart w:id="11900" w:name="_Toc478121410"/>
      <w:bookmarkStart w:id="11901" w:name="_Toc478122323"/>
      <w:bookmarkStart w:id="11902" w:name="_Toc478132153"/>
      <w:bookmarkStart w:id="11903" w:name="_Toc476738162"/>
      <w:bookmarkStart w:id="11904" w:name="_Toc476747747"/>
      <w:bookmarkStart w:id="11905" w:name="_Toc476749157"/>
      <w:bookmarkStart w:id="11906" w:name="_Toc476754024"/>
      <w:bookmarkStart w:id="11907" w:name="_Toc476754519"/>
      <w:bookmarkStart w:id="11908" w:name="_Toc476754684"/>
    </w:p>
    <w:p w14:paraId="36FC3C3D" w14:textId="6152D68F" w:rsidR="00FC6DF9" w:rsidRDefault="008218EF" w:rsidP="008218EF">
      <w:pPr>
        <w:pStyle w:val="ChartorTableNote"/>
      </w:pPr>
      <w:r w:rsidRPr="007A6518">
        <w:t>Source: Alaska Department of Revenue</w:t>
      </w:r>
      <w:r>
        <w:t>, 2015, p. 29</w:t>
      </w:r>
      <w:r w:rsidRPr="007A6518">
        <w:t>.</w:t>
      </w:r>
    </w:p>
    <w:p w14:paraId="3522BB1E" w14:textId="77777777" w:rsidR="008218EF" w:rsidRPr="00FC6DF9" w:rsidRDefault="008218EF" w:rsidP="00FC6DF9">
      <w:pPr>
        <w:pStyle w:val="SingleParagraph"/>
      </w:pPr>
    </w:p>
    <w:p w14:paraId="2CBE092A" w14:textId="52181E47" w:rsidR="001B5F3E" w:rsidRPr="00EE2BF5" w:rsidRDefault="00AC0D24" w:rsidP="001B5F3E">
      <w:pPr>
        <w:pStyle w:val="Heading2"/>
      </w:pPr>
      <w:bookmarkStart w:id="11909" w:name="_Toc478132460"/>
      <w:bookmarkStart w:id="11910" w:name="_Toc478134789"/>
      <w:bookmarkStart w:id="11911" w:name="_Toc478137491"/>
      <w:bookmarkStart w:id="11912" w:name="_Toc478138563"/>
      <w:bookmarkStart w:id="11913" w:name="_Toc478140133"/>
      <w:bookmarkStart w:id="11914" w:name="_Toc478140549"/>
      <w:bookmarkStart w:id="11915" w:name="_Toc478142755"/>
      <w:bookmarkStart w:id="11916" w:name="_Toc478566474"/>
      <w:bookmarkStart w:id="11917" w:name="_Toc478569641"/>
      <w:bookmarkStart w:id="11918" w:name="_Toc478569815"/>
      <w:bookmarkStart w:id="11919" w:name="_Toc478570889"/>
      <w:bookmarkStart w:id="11920" w:name="_Toc478633088"/>
      <w:bookmarkStart w:id="11921" w:name="_Toc478641497"/>
      <w:bookmarkStart w:id="11922" w:name="_Toc478654391"/>
      <w:bookmarkStart w:id="11923" w:name="_Toc478654565"/>
      <w:bookmarkStart w:id="11924" w:name="_Toc478657860"/>
      <w:bookmarkStart w:id="11925" w:name="_Toc478993281"/>
      <w:bookmarkStart w:id="11926" w:name="_Toc479000352"/>
      <w:bookmarkStart w:id="11927" w:name="_Toc479002286"/>
      <w:bookmarkStart w:id="11928" w:name="_Toc479002458"/>
      <w:bookmarkStart w:id="11929" w:name="_Toc479254432"/>
      <w:bookmarkStart w:id="11930" w:name="_Toc479258621"/>
      <w:bookmarkStart w:id="11931" w:name="_Toc479258937"/>
      <w:bookmarkStart w:id="11932" w:name="_Toc479259829"/>
      <w:bookmarkStart w:id="11933" w:name="_Toc479262252"/>
      <w:bookmarkStart w:id="11934" w:name="_Toc479262673"/>
      <w:bookmarkStart w:id="11935" w:name="_Toc479321374"/>
      <w:bookmarkStart w:id="11936" w:name="_Toc479326813"/>
      <w:bookmarkStart w:id="11937" w:name="_Toc479333074"/>
      <w:bookmarkStart w:id="11938" w:name="_Toc479333412"/>
      <w:bookmarkStart w:id="11939" w:name="_Toc479335109"/>
      <w:bookmarkStart w:id="11940" w:name="_Toc479341824"/>
      <w:bookmarkStart w:id="11941" w:name="_Toc479345240"/>
      <w:bookmarkStart w:id="11942" w:name="_Toc479345449"/>
      <w:bookmarkStart w:id="11943" w:name="_Toc479348430"/>
      <w:bookmarkStart w:id="11944" w:name="_Toc479676023"/>
      <w:bookmarkStart w:id="11945" w:name="_Toc479690990"/>
      <w:bookmarkStart w:id="11946" w:name="_Toc479693568"/>
      <w:bookmarkStart w:id="11947" w:name="_Toc479770737"/>
      <w:r>
        <w:t>E</w:t>
      </w:r>
      <w:r w:rsidR="00EA4CD9">
        <w:t>.2</w:t>
      </w:r>
      <w:r w:rsidR="006F4D5A">
        <w:tab/>
      </w:r>
      <w:r w:rsidR="001B5F3E">
        <w:t xml:space="preserve">Summary of </w:t>
      </w:r>
      <w:r w:rsidR="00980BAC">
        <w:t>F</w:t>
      </w:r>
      <w:r w:rsidR="001B5F3E">
        <w:t xml:space="preserve">iscal </w:t>
      </w:r>
      <w:r w:rsidR="00980BAC">
        <w:t>R</w:t>
      </w:r>
      <w:r w:rsidR="001B5F3E">
        <w:t xml:space="preserve">egimes </w:t>
      </w:r>
      <w:r w:rsidR="00466C87">
        <w:t xml:space="preserve">for </w:t>
      </w:r>
      <w:r w:rsidR="00980BAC">
        <w:t>O</w:t>
      </w:r>
      <w:r w:rsidR="00466C87">
        <w:t xml:space="preserve">il and </w:t>
      </w:r>
      <w:r w:rsidR="00980BAC">
        <w:t>G</w:t>
      </w:r>
      <w:r w:rsidR="00466C87">
        <w:t xml:space="preserve">as </w:t>
      </w:r>
      <w:r w:rsidR="001B5F3E">
        <w:t xml:space="preserve">in </w:t>
      </w:r>
      <w:r w:rsidR="00980BAC">
        <w:t>S</w:t>
      </w:r>
      <w:r w:rsidR="00466C87">
        <w:t xml:space="preserve">elected </w:t>
      </w:r>
      <w:r w:rsidR="00980BAC">
        <w:t>C</w:t>
      </w:r>
      <w:r w:rsidR="001B5F3E">
        <w:t>ountries</w:t>
      </w:r>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r w:rsidR="001B5F3E">
        <w:t xml:space="preserve"> </w:t>
      </w:r>
      <w:bookmarkEnd w:id="11903"/>
      <w:bookmarkEnd w:id="11904"/>
      <w:bookmarkEnd w:id="11905"/>
      <w:bookmarkEnd w:id="11906"/>
      <w:bookmarkEnd w:id="11907"/>
      <w:bookmarkEnd w:id="11908"/>
    </w:p>
    <w:p w14:paraId="31740944" w14:textId="0D4C4BC4" w:rsidR="00AA7794" w:rsidRDefault="00AC0D24" w:rsidP="00AC0D24">
      <w:pPr>
        <w:pStyle w:val="Heading3"/>
      </w:pPr>
      <w:bookmarkStart w:id="11948" w:name="_Toc477869978"/>
      <w:bookmarkStart w:id="11949" w:name="_Toc477871217"/>
      <w:bookmarkStart w:id="11950" w:name="_Toc477873376"/>
      <w:bookmarkStart w:id="11951" w:name="_Toc477875370"/>
      <w:bookmarkStart w:id="11952" w:name="_Toc477880283"/>
      <w:bookmarkStart w:id="11953" w:name="_Toc477881543"/>
      <w:bookmarkStart w:id="11954" w:name="_Toc477955946"/>
      <w:bookmarkStart w:id="11955" w:name="_Toc477963191"/>
      <w:bookmarkStart w:id="11956" w:name="_Toc477963677"/>
      <w:bookmarkStart w:id="11957" w:name="_Toc477965263"/>
      <w:bookmarkStart w:id="11958" w:name="_Toc477966767"/>
      <w:bookmarkStart w:id="11959" w:name="_Toc477966936"/>
      <w:bookmarkStart w:id="11960" w:name="_Toc477967276"/>
      <w:bookmarkStart w:id="11961" w:name="_Toc478121411"/>
      <w:bookmarkStart w:id="11962" w:name="_Toc478122324"/>
      <w:bookmarkStart w:id="11963" w:name="_Toc478132154"/>
      <w:bookmarkStart w:id="11964" w:name="_Toc478132461"/>
      <w:bookmarkStart w:id="11965" w:name="_Toc478134790"/>
      <w:bookmarkStart w:id="11966" w:name="_Toc478137492"/>
      <w:bookmarkStart w:id="11967" w:name="_Toc478138564"/>
      <w:bookmarkStart w:id="11968" w:name="_Toc478140134"/>
      <w:bookmarkStart w:id="11969" w:name="_Toc478140550"/>
      <w:bookmarkStart w:id="11970" w:name="_Toc478142756"/>
      <w:bookmarkStart w:id="11971" w:name="_Toc478566475"/>
      <w:bookmarkStart w:id="11972" w:name="_Toc478569642"/>
      <w:bookmarkStart w:id="11973" w:name="_Toc478569816"/>
      <w:bookmarkStart w:id="11974" w:name="_Toc478570890"/>
      <w:bookmarkStart w:id="11975" w:name="_Toc478633089"/>
      <w:bookmarkStart w:id="11976" w:name="_Toc478641498"/>
      <w:bookmarkStart w:id="11977" w:name="_Toc478654392"/>
      <w:bookmarkStart w:id="11978" w:name="_Toc478654566"/>
      <w:bookmarkStart w:id="11979" w:name="_Toc478657861"/>
      <w:bookmarkStart w:id="11980" w:name="_Toc478993282"/>
      <w:bookmarkStart w:id="11981" w:name="_Toc479000353"/>
      <w:bookmarkStart w:id="11982" w:name="_Toc479002287"/>
      <w:bookmarkStart w:id="11983" w:name="_Toc479002459"/>
      <w:bookmarkStart w:id="11984" w:name="_Toc479254433"/>
      <w:bookmarkStart w:id="11985" w:name="_Toc479258622"/>
      <w:bookmarkStart w:id="11986" w:name="_Toc479258938"/>
      <w:bookmarkStart w:id="11987" w:name="_Toc479259830"/>
      <w:bookmarkStart w:id="11988" w:name="_Toc479262253"/>
      <w:bookmarkStart w:id="11989" w:name="_Toc479262674"/>
      <w:bookmarkStart w:id="11990" w:name="_Toc479321375"/>
      <w:bookmarkStart w:id="11991" w:name="_Toc479326814"/>
      <w:bookmarkStart w:id="11992" w:name="_Toc479333075"/>
      <w:bookmarkStart w:id="11993" w:name="_Toc479333413"/>
      <w:bookmarkStart w:id="11994" w:name="_Toc479335110"/>
      <w:bookmarkStart w:id="11995" w:name="_Toc479341825"/>
      <w:bookmarkStart w:id="11996" w:name="_Toc479345241"/>
      <w:bookmarkStart w:id="11997" w:name="_Toc479345450"/>
      <w:bookmarkStart w:id="11998" w:name="_Toc479348431"/>
      <w:bookmarkStart w:id="11999" w:name="_Toc479676024"/>
      <w:bookmarkStart w:id="12000" w:name="_Toc479690991"/>
      <w:bookmarkStart w:id="12001" w:name="_Toc479693569"/>
      <w:bookmarkStart w:id="12002" w:name="_Toc479770738"/>
      <w:r>
        <w:t>E.2.1</w:t>
      </w:r>
      <w:r>
        <w:tab/>
      </w:r>
      <w:r w:rsidR="00AA7794">
        <w:t>Norway</w:t>
      </w:r>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p>
    <w:p w14:paraId="5D2DAB6E" w14:textId="1E115ED8" w:rsidR="005072B8" w:rsidRDefault="00AA7794" w:rsidP="00081BC1">
      <w:r>
        <w:t xml:space="preserve">In Norway, oil and gas companies are subject to a </w:t>
      </w:r>
      <w:r w:rsidR="005D6F39">
        <w:t>‘</w:t>
      </w:r>
      <w:r>
        <w:t>special tax</w:t>
      </w:r>
      <w:r w:rsidR="005D6F39">
        <w:t>’</w:t>
      </w:r>
      <w:r>
        <w:t xml:space="preserve"> which is applied in addition to the ordinary company tax on profits. The special tax rate is 54 per cent and the company tax rate is 24 per cent, resulting in a </w:t>
      </w:r>
      <w:r w:rsidR="00F25799">
        <w:t>combined</w:t>
      </w:r>
      <w:r>
        <w:t xml:space="preserve"> tax rate of 78 per cent on profits of petroleum businesses.</w:t>
      </w:r>
    </w:p>
    <w:p w14:paraId="4B944042" w14:textId="5A970F2D" w:rsidR="00AA7794" w:rsidRDefault="00AA7794" w:rsidP="00081BC1">
      <w:r>
        <w:t>The tax base for the company and the special tax are the same, except that the special tax is provided with an extra deduction (</w:t>
      </w:r>
      <w:r w:rsidR="005D6F39">
        <w:t>‘</w:t>
      </w:r>
      <w:r>
        <w:t>uplift</w:t>
      </w:r>
      <w:r w:rsidR="005D6F39">
        <w:t>’</w:t>
      </w:r>
      <w:r>
        <w:t>) on investments. This extra deduction is currently 21.6 per cent, equivalent to 5.4 per cent each year for four years from the i</w:t>
      </w:r>
      <w:r w:rsidR="005072B8">
        <w:t xml:space="preserve">nvestment year. </w:t>
      </w:r>
      <w:r>
        <w:t>While the marginal tax rate is high, attractive features of the Norwegian fiscal regime from resource compan</w:t>
      </w:r>
      <w:r w:rsidR="00295DE7">
        <w:t>ies</w:t>
      </w:r>
      <w:r w:rsidR="005D6F39">
        <w:t>’</w:t>
      </w:r>
      <w:r>
        <w:t xml:space="preserve"> perspective </w:t>
      </w:r>
      <w:r w:rsidR="00295DE7">
        <w:t>include</w:t>
      </w:r>
      <w:r>
        <w:t xml:space="preserve"> its stability over a long period of time and </w:t>
      </w:r>
      <w:r w:rsidR="00295DE7">
        <w:t>the availability of refunds for undeducted</w:t>
      </w:r>
      <w:r>
        <w:t xml:space="preserve"> exploration expenditure.</w:t>
      </w:r>
    </w:p>
    <w:p w14:paraId="1171F38E" w14:textId="53985E5F" w:rsidR="00AA7794" w:rsidRDefault="00AA7794" w:rsidP="00081BC1">
      <w:r>
        <w:t xml:space="preserve">Deductions for all relevant operating costs are allowed, including costs associated with exploration, </w:t>
      </w:r>
      <w:r w:rsidR="001F023B">
        <w:t>research</w:t>
      </w:r>
      <w:r w:rsidR="004E599F">
        <w:t xml:space="preserve"> and </w:t>
      </w:r>
      <w:r w:rsidR="001F023B">
        <w:t>development</w:t>
      </w:r>
      <w:r>
        <w:t>, financing</w:t>
      </w:r>
      <w:r w:rsidR="004E599F">
        <w:t xml:space="preserve"> and </w:t>
      </w:r>
      <w:r w:rsidR="00295DE7">
        <w:t>closing down</w:t>
      </w:r>
      <w:r>
        <w:t xml:space="preserve">. Investments are written off using straight line depreciation over </w:t>
      </w:r>
      <w:r w:rsidR="004E599F">
        <w:t xml:space="preserve">six </w:t>
      </w:r>
      <w:r>
        <w:t>years. Consolidation between fields is permitted, which means losses from one field or exploration costs can be written off against income from operations elsewhere in the Norwegian shelf. Where losses are incurred, the loss and any unused uplift can be carried forward with interest. Companies may also apply for an immediate refund of the tax value of exploration costs.</w:t>
      </w:r>
    </w:p>
    <w:p w14:paraId="5B993E50" w14:textId="3B53C048" w:rsidR="00AA7794" w:rsidRDefault="00AC0D24" w:rsidP="00AC0D24">
      <w:pPr>
        <w:pStyle w:val="Heading3"/>
      </w:pPr>
      <w:bookmarkStart w:id="12003" w:name="_Toc477869979"/>
      <w:bookmarkStart w:id="12004" w:name="_Toc477871218"/>
      <w:bookmarkStart w:id="12005" w:name="_Toc477873377"/>
      <w:bookmarkStart w:id="12006" w:name="_Toc477875371"/>
      <w:bookmarkStart w:id="12007" w:name="_Toc477880284"/>
      <w:bookmarkStart w:id="12008" w:name="_Toc477881544"/>
      <w:bookmarkStart w:id="12009" w:name="_Toc477955947"/>
      <w:bookmarkStart w:id="12010" w:name="_Toc477963192"/>
      <w:bookmarkStart w:id="12011" w:name="_Toc477963678"/>
      <w:bookmarkStart w:id="12012" w:name="_Toc477965264"/>
      <w:bookmarkStart w:id="12013" w:name="_Toc477966768"/>
      <w:bookmarkStart w:id="12014" w:name="_Toc477966937"/>
      <w:bookmarkStart w:id="12015" w:name="_Toc477967277"/>
      <w:bookmarkStart w:id="12016" w:name="_Toc478121412"/>
      <w:bookmarkStart w:id="12017" w:name="_Toc478122325"/>
      <w:bookmarkStart w:id="12018" w:name="_Toc478132155"/>
      <w:bookmarkStart w:id="12019" w:name="_Toc478132462"/>
      <w:bookmarkStart w:id="12020" w:name="_Toc478134791"/>
      <w:bookmarkStart w:id="12021" w:name="_Toc478137493"/>
      <w:bookmarkStart w:id="12022" w:name="_Toc478138565"/>
      <w:bookmarkStart w:id="12023" w:name="_Toc478140135"/>
      <w:bookmarkStart w:id="12024" w:name="_Toc478140551"/>
      <w:bookmarkStart w:id="12025" w:name="_Toc478142757"/>
      <w:bookmarkStart w:id="12026" w:name="_Toc478566476"/>
      <w:bookmarkStart w:id="12027" w:name="_Toc478569643"/>
      <w:bookmarkStart w:id="12028" w:name="_Toc478569817"/>
      <w:bookmarkStart w:id="12029" w:name="_Toc478570891"/>
      <w:bookmarkStart w:id="12030" w:name="_Toc478633090"/>
      <w:bookmarkStart w:id="12031" w:name="_Toc478641499"/>
      <w:bookmarkStart w:id="12032" w:name="_Toc478654393"/>
      <w:bookmarkStart w:id="12033" w:name="_Toc478654567"/>
      <w:bookmarkStart w:id="12034" w:name="_Toc478657862"/>
      <w:bookmarkStart w:id="12035" w:name="_Toc478993283"/>
      <w:bookmarkStart w:id="12036" w:name="_Toc479000354"/>
      <w:bookmarkStart w:id="12037" w:name="_Toc479002288"/>
      <w:bookmarkStart w:id="12038" w:name="_Toc479002460"/>
      <w:bookmarkStart w:id="12039" w:name="_Toc479254434"/>
      <w:bookmarkStart w:id="12040" w:name="_Toc479258623"/>
      <w:bookmarkStart w:id="12041" w:name="_Toc479258939"/>
      <w:bookmarkStart w:id="12042" w:name="_Toc479259831"/>
      <w:bookmarkStart w:id="12043" w:name="_Toc479262254"/>
      <w:bookmarkStart w:id="12044" w:name="_Toc479262675"/>
      <w:bookmarkStart w:id="12045" w:name="_Toc479321376"/>
      <w:bookmarkStart w:id="12046" w:name="_Toc479326815"/>
      <w:bookmarkStart w:id="12047" w:name="_Toc479333076"/>
      <w:bookmarkStart w:id="12048" w:name="_Toc479333414"/>
      <w:bookmarkStart w:id="12049" w:name="_Toc479335111"/>
      <w:bookmarkStart w:id="12050" w:name="_Toc479341826"/>
      <w:bookmarkStart w:id="12051" w:name="_Toc479345242"/>
      <w:bookmarkStart w:id="12052" w:name="_Toc479345451"/>
      <w:bookmarkStart w:id="12053" w:name="_Toc479348432"/>
      <w:bookmarkStart w:id="12054" w:name="_Toc479676025"/>
      <w:bookmarkStart w:id="12055" w:name="_Toc479690992"/>
      <w:bookmarkStart w:id="12056" w:name="_Toc479693570"/>
      <w:bookmarkStart w:id="12057" w:name="_Toc479770739"/>
      <w:r>
        <w:t>E.2.2</w:t>
      </w:r>
      <w:r>
        <w:tab/>
        <w:t>U</w:t>
      </w:r>
      <w:r w:rsidR="00AA7794">
        <w:t>nited Kingdom</w:t>
      </w:r>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p>
    <w:p w14:paraId="20F877F4" w14:textId="2E767389" w:rsidR="00AA7794" w:rsidRDefault="00AA7794" w:rsidP="00081BC1">
      <w:r>
        <w:t xml:space="preserve">The </w:t>
      </w:r>
      <w:r w:rsidR="00FD3BF5">
        <w:t>fiscal regime applying</w:t>
      </w:r>
      <w:r>
        <w:t xml:space="preserve"> to oil and gas </w:t>
      </w:r>
      <w:r w:rsidR="00FD3BF5">
        <w:t>in the United Kingdom ha</w:t>
      </w:r>
      <w:r w:rsidR="00295DE7">
        <w:t>s</w:t>
      </w:r>
      <w:r w:rsidR="00FD3BF5">
        <w:t xml:space="preserve"> consisted</w:t>
      </w:r>
      <w:r>
        <w:t xml:space="preserve"> of </w:t>
      </w:r>
      <w:r w:rsidR="005072B8">
        <w:t xml:space="preserve">three </w:t>
      </w:r>
      <w:r>
        <w:t>main taxes</w:t>
      </w:r>
      <w:r w:rsidR="005072B8">
        <w:t xml:space="preserve">: a Ring </w:t>
      </w:r>
      <w:r w:rsidR="001F023B">
        <w:t>Fence</w:t>
      </w:r>
      <w:r w:rsidR="005072B8">
        <w:t xml:space="preserve"> Corporation Tax, </w:t>
      </w:r>
      <w:r>
        <w:t>the Supplementary Charge</w:t>
      </w:r>
      <w:r w:rsidR="005072B8">
        <w:t xml:space="preserve"> and Petroleum Revenue Tax</w:t>
      </w:r>
      <w:r>
        <w:t>.</w:t>
      </w:r>
    </w:p>
    <w:p w14:paraId="771E8CE6" w14:textId="6FB2B0D4" w:rsidR="00AA7794" w:rsidRDefault="00AA7794" w:rsidP="00081BC1">
      <w:r>
        <w:t xml:space="preserve">The Ring </w:t>
      </w:r>
      <w:r w:rsidR="001F023B">
        <w:t>Fence</w:t>
      </w:r>
      <w:r>
        <w:t xml:space="preserve"> Corporation Tax is a ring fence profits tax with a 30 per cent rate (compared to the corporate tax rate of 20 per cent). Ring fenced profits are calculated in the same way as for corporate tax except that taxable profits from oil and gas extraction </w:t>
      </w:r>
      <w:r w:rsidR="00295DE7">
        <w:t>cannot</w:t>
      </w:r>
      <w:r>
        <w:t xml:space="preserve"> be reduced by losses from other activities. Special allowances apply</w:t>
      </w:r>
      <w:r w:rsidR="00295DE7">
        <w:t>;</w:t>
      </w:r>
      <w:r>
        <w:t xml:space="preserve"> for example, a capital allowance provides 100 per cent </w:t>
      </w:r>
      <w:r w:rsidR="00295DE7">
        <w:t>deduction for</w:t>
      </w:r>
      <w:r>
        <w:t xml:space="preserve"> qualifying capital expenditure in the first year. Unused expenditure can be carried forward to maintain the value of exploration, appraisal and development costs</w:t>
      </w:r>
      <w:r w:rsidR="00CF6D61">
        <w:t>.</w:t>
      </w:r>
      <w:r w:rsidR="00295DE7">
        <w:t xml:space="preserve"> </w:t>
      </w:r>
      <w:r w:rsidR="00CF6D61">
        <w:t>U</w:t>
      </w:r>
      <w:r>
        <w:t xml:space="preserve">nused expenditure </w:t>
      </w:r>
      <w:r w:rsidR="00295DE7">
        <w:t xml:space="preserve">is increased </w:t>
      </w:r>
      <w:r>
        <w:t xml:space="preserve">by 10 per cent each year for a maximum of </w:t>
      </w:r>
      <w:r w:rsidR="00EE7F97">
        <w:t xml:space="preserve">ten </w:t>
      </w:r>
      <w:r>
        <w:t>accounting periods.</w:t>
      </w:r>
    </w:p>
    <w:p w14:paraId="6A105BC6" w14:textId="35979242" w:rsidR="00AA7794" w:rsidRDefault="00AA7794" w:rsidP="00081BC1">
      <w:r>
        <w:t xml:space="preserve">The rate of the </w:t>
      </w:r>
      <w:r w:rsidR="0073696E">
        <w:t>Supplementary C</w:t>
      </w:r>
      <w:r>
        <w:t>harge is 10 per cent. It is an additional charge on a company</w:t>
      </w:r>
      <w:r w:rsidR="005D6F39">
        <w:t>’</w:t>
      </w:r>
      <w:r>
        <w:t xml:space="preserve">s ring fence profits but with no deduction for finance costs, although the </w:t>
      </w:r>
      <w:r w:rsidR="0073696E">
        <w:t>Supplementary C</w:t>
      </w:r>
      <w:r w:rsidR="00FD3BF5">
        <w:t>harge</w:t>
      </w:r>
      <w:r>
        <w:t xml:space="preserve"> can be reduced by some allowances.</w:t>
      </w:r>
      <w:r w:rsidR="0073696E">
        <w:rPr>
          <w:rStyle w:val="FootnoteReference"/>
        </w:rPr>
        <w:footnoteReference w:id="33"/>
      </w:r>
    </w:p>
    <w:p w14:paraId="109D9D50" w14:textId="5567F899" w:rsidR="00AA7794" w:rsidRDefault="00295DE7" w:rsidP="00081BC1">
      <w:r>
        <w:t>The</w:t>
      </w:r>
      <w:r w:rsidR="00AA7794">
        <w:t xml:space="preserve"> Petroleum Revenue Tax </w:t>
      </w:r>
      <w:r>
        <w:t>is</w:t>
      </w:r>
      <w:r w:rsidR="00AA7794">
        <w:t xml:space="preserve"> a field based profit tax that applies to individual oil fields in operation before </w:t>
      </w:r>
      <w:r w:rsidR="00FD3BF5">
        <w:t xml:space="preserve">16 March </w:t>
      </w:r>
      <w:r w:rsidR="00AA7794">
        <w:t>1993. As part of the 2016 budget, it has been permanently zero rated, and so exists now primarily for deducting losses</w:t>
      </w:r>
      <w:r>
        <w:t xml:space="preserve"> arising</w:t>
      </w:r>
      <w:r w:rsidR="00AA7794">
        <w:t>, for example, from decommissioning.</w:t>
      </w:r>
    </w:p>
    <w:p w14:paraId="58830FF5" w14:textId="215D82E0" w:rsidR="00F572A2" w:rsidRDefault="00AC0D24" w:rsidP="00AC0D24">
      <w:pPr>
        <w:pStyle w:val="Heading3"/>
      </w:pPr>
      <w:bookmarkStart w:id="12058" w:name="_Toc477869980"/>
      <w:bookmarkStart w:id="12059" w:name="_Toc477871219"/>
      <w:bookmarkStart w:id="12060" w:name="_Toc477873378"/>
      <w:bookmarkStart w:id="12061" w:name="_Toc477875372"/>
      <w:bookmarkStart w:id="12062" w:name="_Toc477880285"/>
      <w:bookmarkStart w:id="12063" w:name="_Toc477881545"/>
      <w:bookmarkStart w:id="12064" w:name="_Toc477955948"/>
      <w:bookmarkStart w:id="12065" w:name="_Toc477963193"/>
      <w:bookmarkStart w:id="12066" w:name="_Toc477963679"/>
      <w:bookmarkStart w:id="12067" w:name="_Toc477965265"/>
      <w:bookmarkStart w:id="12068" w:name="_Toc477966769"/>
      <w:bookmarkStart w:id="12069" w:name="_Toc477966938"/>
      <w:bookmarkStart w:id="12070" w:name="_Toc477967278"/>
      <w:bookmarkStart w:id="12071" w:name="_Toc478121413"/>
      <w:bookmarkStart w:id="12072" w:name="_Toc478122326"/>
      <w:bookmarkStart w:id="12073" w:name="_Toc478132156"/>
      <w:bookmarkStart w:id="12074" w:name="_Toc478132463"/>
      <w:bookmarkStart w:id="12075" w:name="_Toc478134792"/>
      <w:bookmarkStart w:id="12076" w:name="_Toc478137494"/>
      <w:bookmarkStart w:id="12077" w:name="_Toc478138566"/>
      <w:bookmarkStart w:id="12078" w:name="_Toc478140136"/>
      <w:bookmarkStart w:id="12079" w:name="_Toc478140552"/>
      <w:bookmarkStart w:id="12080" w:name="_Toc478142758"/>
      <w:bookmarkStart w:id="12081" w:name="_Toc478566477"/>
      <w:bookmarkStart w:id="12082" w:name="_Toc478569644"/>
      <w:bookmarkStart w:id="12083" w:name="_Toc478569818"/>
      <w:bookmarkStart w:id="12084" w:name="_Toc478570892"/>
      <w:bookmarkStart w:id="12085" w:name="_Toc478633091"/>
      <w:bookmarkStart w:id="12086" w:name="_Toc478641500"/>
      <w:bookmarkStart w:id="12087" w:name="_Toc478654394"/>
      <w:bookmarkStart w:id="12088" w:name="_Toc478654568"/>
      <w:bookmarkStart w:id="12089" w:name="_Toc478657863"/>
      <w:bookmarkStart w:id="12090" w:name="_Toc478993284"/>
      <w:bookmarkStart w:id="12091" w:name="_Toc479000355"/>
      <w:bookmarkStart w:id="12092" w:name="_Toc479002289"/>
      <w:bookmarkStart w:id="12093" w:name="_Toc479002461"/>
      <w:bookmarkStart w:id="12094" w:name="_Toc479254435"/>
      <w:bookmarkStart w:id="12095" w:name="_Toc479258624"/>
      <w:bookmarkStart w:id="12096" w:name="_Toc479258940"/>
      <w:bookmarkStart w:id="12097" w:name="_Toc479259832"/>
      <w:bookmarkStart w:id="12098" w:name="_Toc479262255"/>
      <w:bookmarkStart w:id="12099" w:name="_Toc479262676"/>
      <w:bookmarkStart w:id="12100" w:name="_Toc479321377"/>
      <w:bookmarkStart w:id="12101" w:name="_Toc479326816"/>
      <w:bookmarkStart w:id="12102" w:name="_Toc479333077"/>
      <w:bookmarkStart w:id="12103" w:name="_Toc479333415"/>
      <w:bookmarkStart w:id="12104" w:name="_Toc479335112"/>
      <w:bookmarkStart w:id="12105" w:name="_Toc479341827"/>
      <w:bookmarkStart w:id="12106" w:name="_Toc479345243"/>
      <w:bookmarkStart w:id="12107" w:name="_Toc479345452"/>
      <w:bookmarkStart w:id="12108" w:name="_Toc479348433"/>
      <w:bookmarkStart w:id="12109" w:name="_Toc479676026"/>
      <w:bookmarkStart w:id="12110" w:name="_Toc479690993"/>
      <w:bookmarkStart w:id="12111" w:name="_Toc479693571"/>
      <w:bookmarkStart w:id="12112" w:name="_Toc479770740"/>
      <w:r>
        <w:t>E.2.3</w:t>
      </w:r>
      <w:r>
        <w:tab/>
      </w:r>
      <w:r w:rsidR="00F572A2">
        <w:t>Papua New Guinea</w:t>
      </w:r>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p>
    <w:p w14:paraId="370816F3" w14:textId="2209E12B" w:rsidR="00F572A2" w:rsidRDefault="00F572A2" w:rsidP="00F572A2">
      <w:r>
        <w:t xml:space="preserve">The fiscal regime that applies in </w:t>
      </w:r>
      <w:r w:rsidR="00D7422F">
        <w:t>Papua New Guinea</w:t>
      </w:r>
      <w:r>
        <w:t xml:space="preserve"> includes a combination of corporate income tax, royalties and development levies</w:t>
      </w:r>
      <w:r w:rsidR="00295DE7">
        <w:t xml:space="preserve"> and</w:t>
      </w:r>
      <w:r>
        <w:t xml:space="preserve"> an Additional Profits Tax (APT)</w:t>
      </w:r>
      <w:r w:rsidR="00295DE7">
        <w:t>,</w:t>
      </w:r>
      <w:r>
        <w:t xml:space="preserve"> as well as an option for government participation. Some of these arrangements were altered </w:t>
      </w:r>
      <w:r w:rsidR="00C709B9">
        <w:t xml:space="preserve">as </w:t>
      </w:r>
      <w:r>
        <w:t>part of a package of tax reforms announced in the 2017 budget following a broad tax system review.</w:t>
      </w:r>
    </w:p>
    <w:p w14:paraId="4C654629" w14:textId="7887B932" w:rsidR="00F572A2" w:rsidRDefault="00F572A2" w:rsidP="00F572A2">
      <w:r>
        <w:t>The APT is a profit</w:t>
      </w:r>
      <w:r w:rsidR="005D6F39">
        <w:noBreakHyphen/>
      </w:r>
      <w:r>
        <w:t xml:space="preserve">based tax levied on a project basis and was one of the taxes that changed in the recent </w:t>
      </w:r>
      <w:r w:rsidR="00CF6D61">
        <w:t>reforms</w:t>
      </w:r>
      <w:r>
        <w:t xml:space="preserve">. Effective from 1 January 2017, the APT now applies to all resource projects, including oil and gas at the rate is 30 per cent. A single accumulation </w:t>
      </w:r>
      <w:r w:rsidR="00B5699B">
        <w:t>(</w:t>
      </w:r>
      <w:r w:rsidR="00295DE7">
        <w:t>uplift</w:t>
      </w:r>
      <w:r w:rsidR="00B5699B">
        <w:t>)</w:t>
      </w:r>
      <w:r w:rsidR="00295DE7">
        <w:t xml:space="preserve"> </w:t>
      </w:r>
      <w:r>
        <w:t>rate of 15</w:t>
      </w:r>
      <w:r w:rsidR="00CD370B">
        <w:t> </w:t>
      </w:r>
      <w:r>
        <w:t>per</w:t>
      </w:r>
      <w:r w:rsidR="00CD370B">
        <w:t> </w:t>
      </w:r>
      <w:r>
        <w:t>cent applies.</w:t>
      </w:r>
      <w:r>
        <w:rPr>
          <w:rStyle w:val="FootnoteReference"/>
        </w:rPr>
        <w:footnoteReference w:id="34"/>
      </w:r>
    </w:p>
    <w:p w14:paraId="64418396" w14:textId="597CEDDC" w:rsidR="00F572A2" w:rsidRDefault="00F572A2" w:rsidP="00F572A2">
      <w:r>
        <w:t xml:space="preserve">For oil and gas businesses, company tax is </w:t>
      </w:r>
      <w:r w:rsidDel="004E599F">
        <w:t>ring</w:t>
      </w:r>
      <w:r w:rsidR="007B1963">
        <w:t xml:space="preserve"> </w:t>
      </w:r>
      <w:r>
        <w:t>fenced around the project. From 1</w:t>
      </w:r>
      <w:r w:rsidR="00CD370B">
        <w:t> </w:t>
      </w:r>
      <w:r>
        <w:t>January</w:t>
      </w:r>
      <w:r w:rsidR="00CD370B">
        <w:t> </w:t>
      </w:r>
      <w:r>
        <w:t>2017, the resident corporate tax rate has been standardised at 30 per cent across all sectors of the economy. For non</w:t>
      </w:r>
      <w:r w:rsidR="005D6F39">
        <w:noBreakHyphen/>
      </w:r>
      <w:r>
        <w:t>resident corporates, the tax rate depends on whether the resource project was subject to specific provisions:</w:t>
      </w:r>
    </w:p>
    <w:p w14:paraId="7C1B87C1" w14:textId="0F4AAA68" w:rsidR="00697B89" w:rsidRDefault="00697B89">
      <w:pPr>
        <w:spacing w:after="0" w:line="240" w:lineRule="auto"/>
        <w:jc w:val="left"/>
      </w:pP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126"/>
      </w:tblGrid>
      <w:tr w:rsidR="00F572A2" w:rsidRPr="00B23402" w14:paraId="4546C91E" w14:textId="77777777" w:rsidTr="00FC6DF9">
        <w:tc>
          <w:tcPr>
            <w:tcW w:w="6946" w:type="dxa"/>
            <w:shd w:val="clear" w:color="auto" w:fill="auto"/>
          </w:tcPr>
          <w:p w14:paraId="4061F286" w14:textId="77777777" w:rsidR="00F572A2" w:rsidRPr="0073696E" w:rsidRDefault="00F572A2" w:rsidP="00FC6DF9">
            <w:pPr>
              <w:pStyle w:val="TableColumnHeadingLeft"/>
              <w:rPr>
                <w:rFonts w:ascii="Calibri Light" w:hAnsi="Calibri Light"/>
                <w:sz w:val="20"/>
              </w:rPr>
            </w:pPr>
            <w:r w:rsidRPr="0073696E">
              <w:t>Specific provisions</w:t>
            </w:r>
          </w:p>
        </w:tc>
        <w:tc>
          <w:tcPr>
            <w:tcW w:w="2126" w:type="dxa"/>
            <w:shd w:val="clear" w:color="auto" w:fill="auto"/>
          </w:tcPr>
          <w:p w14:paraId="08A1E124" w14:textId="1AAD17F4" w:rsidR="00F572A2" w:rsidRPr="0073696E" w:rsidRDefault="00F572A2" w:rsidP="00FC6DF9">
            <w:pPr>
              <w:pStyle w:val="TableColumnHeadingLeft"/>
              <w:rPr>
                <w:rFonts w:ascii="Calibri Light" w:hAnsi="Calibri Light"/>
                <w:sz w:val="20"/>
              </w:rPr>
            </w:pPr>
            <w:r w:rsidRPr="0073696E">
              <w:t>Non</w:t>
            </w:r>
            <w:r w:rsidR="005D6F39">
              <w:noBreakHyphen/>
            </w:r>
            <w:r w:rsidRPr="0073696E">
              <w:t>resident tax rate</w:t>
            </w:r>
          </w:p>
        </w:tc>
      </w:tr>
      <w:tr w:rsidR="00F572A2" w:rsidRPr="00B23402" w14:paraId="0FF455B8" w14:textId="77777777" w:rsidTr="00FC6DF9">
        <w:tc>
          <w:tcPr>
            <w:tcW w:w="6946" w:type="dxa"/>
            <w:shd w:val="clear" w:color="auto" w:fill="auto"/>
          </w:tcPr>
          <w:p w14:paraId="479E4FBA" w14:textId="08344D3C" w:rsidR="00F572A2" w:rsidRPr="00B23402" w:rsidRDefault="00F572A2" w:rsidP="00FC6DF9">
            <w:pPr>
              <w:pStyle w:val="TableTextLeft"/>
              <w:rPr>
                <w:rFonts w:ascii="Calibri Light" w:hAnsi="Calibri Light"/>
                <w:sz w:val="20"/>
              </w:rPr>
            </w:pPr>
            <w:r>
              <w:t>Petroleum</w:t>
            </w:r>
            <w:r w:rsidR="005D6F39">
              <w:t xml:space="preserve"> — </w:t>
            </w:r>
            <w:r>
              <w:t>old projects (income from operations derived before 31</w:t>
            </w:r>
            <w:r w:rsidR="00CF6D61">
              <w:t> </w:t>
            </w:r>
            <w:r>
              <w:t>December 2000</w:t>
            </w:r>
            <w:r w:rsidR="00314344">
              <w:t>)</w:t>
            </w:r>
          </w:p>
        </w:tc>
        <w:tc>
          <w:tcPr>
            <w:tcW w:w="2126" w:type="dxa"/>
            <w:shd w:val="clear" w:color="auto" w:fill="auto"/>
          </w:tcPr>
          <w:p w14:paraId="1F656585" w14:textId="77777777" w:rsidR="00F572A2" w:rsidRPr="00B23402" w:rsidRDefault="00F572A2" w:rsidP="00FC6DF9">
            <w:pPr>
              <w:pStyle w:val="TableTextLeft"/>
              <w:rPr>
                <w:rFonts w:ascii="Calibri Light" w:hAnsi="Calibri Light"/>
                <w:sz w:val="20"/>
              </w:rPr>
            </w:pPr>
            <w:r>
              <w:t>50</w:t>
            </w:r>
          </w:p>
        </w:tc>
      </w:tr>
      <w:tr w:rsidR="00F572A2" w:rsidRPr="00B23402" w14:paraId="3D7C62D2" w14:textId="77777777" w:rsidTr="00FC6DF9">
        <w:tc>
          <w:tcPr>
            <w:tcW w:w="6946" w:type="dxa"/>
            <w:shd w:val="clear" w:color="auto" w:fill="auto"/>
          </w:tcPr>
          <w:p w14:paraId="2B892260" w14:textId="28B28D6D" w:rsidR="00F572A2" w:rsidRPr="00B23402" w:rsidRDefault="00F572A2" w:rsidP="00FC6DF9">
            <w:pPr>
              <w:pStyle w:val="TableTextLeft"/>
              <w:rPr>
                <w:rFonts w:ascii="Calibri Light" w:hAnsi="Calibri Light"/>
                <w:sz w:val="20"/>
              </w:rPr>
            </w:pPr>
            <w:r>
              <w:t>Petroleum</w:t>
            </w:r>
            <w:r w:rsidR="005D6F39">
              <w:t xml:space="preserve"> — </w:t>
            </w:r>
            <w:r>
              <w:t>new projects (no income from operations derived before 31</w:t>
            </w:r>
            <w:r w:rsidR="00CF6D61">
              <w:t> </w:t>
            </w:r>
            <w:r>
              <w:t>December 2000)</w:t>
            </w:r>
            <w:r>
              <w:tab/>
            </w:r>
          </w:p>
        </w:tc>
        <w:tc>
          <w:tcPr>
            <w:tcW w:w="2126" w:type="dxa"/>
            <w:shd w:val="clear" w:color="auto" w:fill="auto"/>
          </w:tcPr>
          <w:p w14:paraId="46F88EFF" w14:textId="77777777" w:rsidR="00F572A2" w:rsidRDefault="00F572A2" w:rsidP="00FC6DF9">
            <w:pPr>
              <w:pStyle w:val="TableTextLeft"/>
            </w:pPr>
            <w:r>
              <w:t>45</w:t>
            </w:r>
          </w:p>
          <w:p w14:paraId="4892A979" w14:textId="77777777" w:rsidR="00F572A2" w:rsidRPr="00B23402" w:rsidRDefault="00F572A2" w:rsidP="00FC6DF9">
            <w:pPr>
              <w:pStyle w:val="TableTextLeft"/>
              <w:rPr>
                <w:rFonts w:ascii="Calibri Light" w:hAnsi="Calibri Light"/>
                <w:sz w:val="20"/>
              </w:rPr>
            </w:pPr>
          </w:p>
        </w:tc>
      </w:tr>
      <w:tr w:rsidR="00F572A2" w:rsidRPr="00B23402" w14:paraId="666AF50F" w14:textId="77777777" w:rsidTr="00FC6DF9">
        <w:tc>
          <w:tcPr>
            <w:tcW w:w="6946" w:type="dxa"/>
            <w:shd w:val="clear" w:color="auto" w:fill="auto"/>
          </w:tcPr>
          <w:p w14:paraId="67E7E04A" w14:textId="402FA290" w:rsidR="00F572A2" w:rsidRDefault="00F572A2" w:rsidP="00FC6DF9">
            <w:pPr>
              <w:pStyle w:val="TableTextLeft"/>
            </w:pPr>
            <w:r>
              <w:t>Petroleum</w:t>
            </w:r>
            <w:r w:rsidR="005D6F39">
              <w:t xml:space="preserve"> — </w:t>
            </w:r>
            <w:r>
              <w:t>incentive rate (project that arises from a prospecting licence granted between 1</w:t>
            </w:r>
            <w:r w:rsidR="00CF6D61">
              <w:t> </w:t>
            </w:r>
            <w:r>
              <w:t>January</w:t>
            </w:r>
            <w:r w:rsidR="00CF6D61">
              <w:t> </w:t>
            </w:r>
            <w:r>
              <w:t>2003 and 31</w:t>
            </w:r>
            <w:r w:rsidR="00CF6D61">
              <w:t> </w:t>
            </w:r>
            <w:r>
              <w:t>December</w:t>
            </w:r>
            <w:r w:rsidR="00CF6D61">
              <w:t> </w:t>
            </w:r>
            <w:r>
              <w:t>2007 where the development licence is issued prior to 31</w:t>
            </w:r>
            <w:r w:rsidR="00CF6D61">
              <w:t> </w:t>
            </w:r>
            <w:r>
              <w:t>December</w:t>
            </w:r>
            <w:r w:rsidR="00CF6D61">
              <w:t> </w:t>
            </w:r>
            <w:r>
              <w:t>2017</w:t>
            </w:r>
          </w:p>
        </w:tc>
        <w:tc>
          <w:tcPr>
            <w:tcW w:w="2126" w:type="dxa"/>
            <w:shd w:val="clear" w:color="auto" w:fill="auto"/>
          </w:tcPr>
          <w:p w14:paraId="45945418" w14:textId="77777777" w:rsidR="00F572A2" w:rsidRPr="00B23402" w:rsidRDefault="00F572A2" w:rsidP="00FC6DF9">
            <w:pPr>
              <w:pStyle w:val="TableTextLeft"/>
              <w:rPr>
                <w:rFonts w:ascii="Calibri Light" w:hAnsi="Calibri Light"/>
                <w:sz w:val="20"/>
              </w:rPr>
            </w:pPr>
            <w:r>
              <w:t>30</w:t>
            </w:r>
          </w:p>
        </w:tc>
      </w:tr>
      <w:tr w:rsidR="00F572A2" w:rsidRPr="00B23402" w14:paraId="10CA8057" w14:textId="77777777" w:rsidTr="00FC6DF9">
        <w:tc>
          <w:tcPr>
            <w:tcW w:w="6946" w:type="dxa"/>
            <w:shd w:val="clear" w:color="auto" w:fill="auto"/>
          </w:tcPr>
          <w:p w14:paraId="30482035" w14:textId="77777777" w:rsidR="00F572A2" w:rsidRDefault="00F572A2" w:rsidP="00FC6DF9">
            <w:pPr>
              <w:pStyle w:val="TableTextLeft"/>
            </w:pPr>
            <w:r>
              <w:t>Gas</w:t>
            </w:r>
          </w:p>
        </w:tc>
        <w:tc>
          <w:tcPr>
            <w:tcW w:w="2126" w:type="dxa"/>
            <w:shd w:val="clear" w:color="auto" w:fill="auto"/>
          </w:tcPr>
          <w:p w14:paraId="5A087056" w14:textId="77777777" w:rsidR="00F572A2" w:rsidRDefault="00F572A2" w:rsidP="00FC6DF9">
            <w:pPr>
              <w:pStyle w:val="TableTextLeft"/>
            </w:pPr>
            <w:r>
              <w:t>30</w:t>
            </w:r>
          </w:p>
        </w:tc>
      </w:tr>
    </w:tbl>
    <w:p w14:paraId="3EABD281" w14:textId="77777777" w:rsidR="00FC6DF9" w:rsidRDefault="00FC6DF9" w:rsidP="00FC6DF9">
      <w:pPr>
        <w:pStyle w:val="SingleParagraph"/>
      </w:pPr>
    </w:p>
    <w:p w14:paraId="43AA4F10" w14:textId="77777777" w:rsidR="00F572A2" w:rsidRDefault="00F572A2" w:rsidP="00FC6DF9">
      <w:r>
        <w:t>A royalty payment equal to 2 per cent of gross revenue from resource sales applies to oil and gas projects. In addition, new petroleum and gas projects are typically subject to a development levy also equal to 2 per cent of the gross revenue from resource sales, paid to the provincial government where the project is located. Where a project is subject to both the royalty and development levy, the royalty can be claimed as a credit against income tax.</w:t>
      </w:r>
    </w:p>
    <w:p w14:paraId="2199D190" w14:textId="4D28B34D" w:rsidR="00F572A2" w:rsidRDefault="00F572A2" w:rsidP="00081BC1">
      <w:r>
        <w:t xml:space="preserve">An option is also available in legislation for the Government to acquire an interest </w:t>
      </w:r>
      <w:r w:rsidR="00314344">
        <w:t xml:space="preserve">of </w:t>
      </w:r>
      <w:r>
        <w:t>up to 22.5 per cent on a sunk cost basis at the time the development is decided.</w:t>
      </w:r>
    </w:p>
    <w:p w14:paraId="5E51F156" w14:textId="38BF09FD" w:rsidR="00AA7794" w:rsidRDefault="00AC0D24" w:rsidP="00AC0D24">
      <w:pPr>
        <w:pStyle w:val="Heading3"/>
      </w:pPr>
      <w:bookmarkStart w:id="12113" w:name="_Toc477869981"/>
      <w:bookmarkStart w:id="12114" w:name="_Toc477871220"/>
      <w:bookmarkStart w:id="12115" w:name="_Toc477873379"/>
      <w:bookmarkStart w:id="12116" w:name="_Toc477875373"/>
      <w:bookmarkStart w:id="12117" w:name="_Toc477880286"/>
      <w:bookmarkStart w:id="12118" w:name="_Toc477881546"/>
      <w:bookmarkStart w:id="12119" w:name="_Toc477955949"/>
      <w:bookmarkStart w:id="12120" w:name="_Toc477963194"/>
      <w:bookmarkStart w:id="12121" w:name="_Toc477963680"/>
      <w:bookmarkStart w:id="12122" w:name="_Toc477965266"/>
      <w:bookmarkStart w:id="12123" w:name="_Toc477966770"/>
      <w:bookmarkStart w:id="12124" w:name="_Toc477966939"/>
      <w:bookmarkStart w:id="12125" w:name="_Toc477967279"/>
      <w:bookmarkStart w:id="12126" w:name="_Toc478121414"/>
      <w:bookmarkStart w:id="12127" w:name="_Toc478122327"/>
      <w:bookmarkStart w:id="12128" w:name="_Toc478132157"/>
      <w:bookmarkStart w:id="12129" w:name="_Toc478132464"/>
      <w:bookmarkStart w:id="12130" w:name="_Toc478134793"/>
      <w:bookmarkStart w:id="12131" w:name="_Toc478137495"/>
      <w:bookmarkStart w:id="12132" w:name="_Toc478138567"/>
      <w:bookmarkStart w:id="12133" w:name="_Toc478140137"/>
      <w:bookmarkStart w:id="12134" w:name="_Toc478140553"/>
      <w:bookmarkStart w:id="12135" w:name="_Toc478142759"/>
      <w:bookmarkStart w:id="12136" w:name="_Toc478566478"/>
      <w:bookmarkStart w:id="12137" w:name="_Toc478569645"/>
      <w:bookmarkStart w:id="12138" w:name="_Toc478569819"/>
      <w:bookmarkStart w:id="12139" w:name="_Toc478570893"/>
      <w:bookmarkStart w:id="12140" w:name="_Toc478633092"/>
      <w:bookmarkStart w:id="12141" w:name="_Toc478641501"/>
      <w:bookmarkStart w:id="12142" w:name="_Toc478654395"/>
      <w:bookmarkStart w:id="12143" w:name="_Toc478654569"/>
      <w:bookmarkStart w:id="12144" w:name="_Toc478657864"/>
      <w:bookmarkStart w:id="12145" w:name="_Toc478993285"/>
      <w:bookmarkStart w:id="12146" w:name="_Toc479000356"/>
      <w:bookmarkStart w:id="12147" w:name="_Toc479002290"/>
      <w:bookmarkStart w:id="12148" w:name="_Toc479002462"/>
      <w:bookmarkStart w:id="12149" w:name="_Toc479254436"/>
      <w:bookmarkStart w:id="12150" w:name="_Toc479258625"/>
      <w:bookmarkStart w:id="12151" w:name="_Toc479258941"/>
      <w:bookmarkStart w:id="12152" w:name="_Toc479259833"/>
      <w:bookmarkStart w:id="12153" w:name="_Toc479262256"/>
      <w:bookmarkStart w:id="12154" w:name="_Toc479262677"/>
      <w:bookmarkStart w:id="12155" w:name="_Toc479321378"/>
      <w:bookmarkStart w:id="12156" w:name="_Toc479326817"/>
      <w:bookmarkStart w:id="12157" w:name="_Toc479333078"/>
      <w:bookmarkStart w:id="12158" w:name="_Toc479333416"/>
      <w:bookmarkStart w:id="12159" w:name="_Toc479335113"/>
      <w:bookmarkStart w:id="12160" w:name="_Toc479341828"/>
      <w:bookmarkStart w:id="12161" w:name="_Toc479345244"/>
      <w:bookmarkStart w:id="12162" w:name="_Toc479345453"/>
      <w:bookmarkStart w:id="12163" w:name="_Toc479348434"/>
      <w:bookmarkStart w:id="12164" w:name="_Toc479676027"/>
      <w:bookmarkStart w:id="12165" w:name="_Toc479690994"/>
      <w:bookmarkStart w:id="12166" w:name="_Toc479693572"/>
      <w:bookmarkStart w:id="12167" w:name="_Toc479770741"/>
      <w:r>
        <w:t>E.2.4</w:t>
      </w:r>
      <w:r>
        <w:tab/>
      </w:r>
      <w:r w:rsidR="00AA7794">
        <w:t>Canada</w:t>
      </w:r>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r w:rsidR="00AA7794">
        <w:t xml:space="preserve"> </w:t>
      </w:r>
    </w:p>
    <w:p w14:paraId="21D387CA" w14:textId="4217724B" w:rsidR="007542B0" w:rsidRDefault="00AA7794" w:rsidP="00081BC1">
      <w:r>
        <w:t>Unlike Australia, Norway or the U</w:t>
      </w:r>
      <w:r w:rsidR="0040590B">
        <w:t xml:space="preserve">nited </w:t>
      </w:r>
      <w:r>
        <w:t>K</w:t>
      </w:r>
      <w:r w:rsidR="0040590B">
        <w:t>ingdom</w:t>
      </w:r>
      <w:r>
        <w:t xml:space="preserve"> where a fiscal regime for oil and gas extraction</w:t>
      </w:r>
      <w:r w:rsidR="007542B0">
        <w:t xml:space="preserve"> is levied at the federal level</w:t>
      </w:r>
      <w:r>
        <w:t>,</w:t>
      </w:r>
      <w:r w:rsidDel="004E599F">
        <w:t xml:space="preserve"> </w:t>
      </w:r>
      <w:r>
        <w:t>Canada and the United States</w:t>
      </w:r>
      <w:r w:rsidR="004E599F">
        <w:t xml:space="preserve"> levy </w:t>
      </w:r>
      <w:r w:rsidR="007542B0">
        <w:t>such a regime</w:t>
      </w:r>
      <w:r w:rsidR="004E599F">
        <w:t xml:space="preserve"> at the state/</w:t>
      </w:r>
      <w:r>
        <w:t xml:space="preserve">province level. </w:t>
      </w:r>
    </w:p>
    <w:p w14:paraId="08A458FF" w14:textId="2C36A41A" w:rsidR="00AA7794" w:rsidRDefault="007542B0" w:rsidP="00081BC1">
      <w:r>
        <w:t>Most</w:t>
      </w:r>
      <w:r w:rsidR="00B55F12">
        <w:t xml:space="preserve"> Canadian provinces have a two tiered arrangement where</w:t>
      </w:r>
      <w:r>
        <w:t>,</w:t>
      </w:r>
      <w:r w:rsidR="00B55F12">
        <w:t xml:space="preserve"> </w:t>
      </w:r>
      <w:r w:rsidR="00AA7794">
        <w:t xml:space="preserve">from production </w:t>
      </w:r>
      <w:r w:rsidR="00D70023">
        <w:t>to cost recovery</w:t>
      </w:r>
      <w:r>
        <w:t>,</w:t>
      </w:r>
      <w:r w:rsidR="00D70023">
        <w:t xml:space="preserve"> </w:t>
      </w:r>
      <w:r w:rsidR="00AA7794">
        <w:t>a</w:t>
      </w:r>
      <w:r w:rsidR="00D70023">
        <w:t xml:space="preserve"> tax </w:t>
      </w:r>
      <w:r w:rsidR="00AA7794">
        <w:t>is applied</w:t>
      </w:r>
      <w:r w:rsidR="00D70023">
        <w:t xml:space="preserve"> to revenue at a low and</w:t>
      </w:r>
      <w:r w:rsidR="00AA7794">
        <w:t xml:space="preserve"> flat rate. After cost recovery, the rates increase and collections become a function of a number of factors, including profit, price</w:t>
      </w:r>
      <w:r w:rsidR="004E599F">
        <w:t xml:space="preserve"> and</w:t>
      </w:r>
      <w:r w:rsidR="00AA7794">
        <w:t xml:space="preserve"> production levels.</w:t>
      </w:r>
    </w:p>
    <w:p w14:paraId="23F6DF91" w14:textId="42FAC686" w:rsidR="00AA7794" w:rsidRDefault="00AA7794" w:rsidP="00081BC1">
      <w:r>
        <w:t>Separate corporate taxes also apply</w:t>
      </w:r>
      <w:r w:rsidR="00CF6D61">
        <w:t xml:space="preserve"> at the province level</w:t>
      </w:r>
      <w:r>
        <w:t xml:space="preserve">, ranging between 11 </w:t>
      </w:r>
      <w:r w:rsidR="00CF6D61">
        <w:t>to</w:t>
      </w:r>
      <w:r>
        <w:t xml:space="preserve"> 16 per cent. This is in addition to federal corporate tax applied at the rate of 15 per cent. Corporate tax at the federal and province level typically have a similar base and royalties paid are deduct</w:t>
      </w:r>
      <w:r w:rsidR="007542B0">
        <w:t>i</w:t>
      </w:r>
      <w:r>
        <w:t>ble against corporate tax.</w:t>
      </w:r>
    </w:p>
    <w:p w14:paraId="50EB889A" w14:textId="0C63C944" w:rsidR="00AA7794" w:rsidRDefault="00AA7794" w:rsidP="00081BC1">
      <w:r>
        <w:t xml:space="preserve">A number of </w:t>
      </w:r>
      <w:r w:rsidR="007542B0">
        <w:t>Canadian</w:t>
      </w:r>
      <w:r>
        <w:t xml:space="preserve"> provinces have updated their </w:t>
      </w:r>
      <w:r w:rsidR="007542B0">
        <w:t xml:space="preserve">fiscal </w:t>
      </w:r>
      <w:r>
        <w:t>settings recently, primarily in response to increased competition from U</w:t>
      </w:r>
      <w:r w:rsidR="003239F6">
        <w:t xml:space="preserve">nited </w:t>
      </w:r>
      <w:r>
        <w:t>S</w:t>
      </w:r>
      <w:r w:rsidR="003239F6">
        <w:t>tates</w:t>
      </w:r>
      <w:r>
        <w:t xml:space="preserve"> </w:t>
      </w:r>
      <w:r w:rsidR="00CD370B">
        <w:t>shale</w:t>
      </w:r>
      <w:r>
        <w:t xml:space="preserve"> gas.</w:t>
      </w:r>
      <w:r w:rsidR="007542B0">
        <w:t xml:space="preserve"> The fiscal regimes vary considerably between the key oil and gas exporting provinces of Alberta, British Columbia and Newfoundland and Labrador. </w:t>
      </w:r>
    </w:p>
    <w:p w14:paraId="76E46E5C" w14:textId="79EF06A3" w:rsidR="00AA7794" w:rsidRDefault="00AA7794" w:rsidP="00AC0D24">
      <w:pPr>
        <w:pStyle w:val="Heading3"/>
      </w:pPr>
      <w:bookmarkStart w:id="12168" w:name="_Toc477869982"/>
      <w:bookmarkStart w:id="12169" w:name="_Toc477871221"/>
      <w:bookmarkStart w:id="12170" w:name="_Toc477873380"/>
      <w:bookmarkStart w:id="12171" w:name="_Toc477875374"/>
      <w:bookmarkStart w:id="12172" w:name="_Toc477880287"/>
      <w:bookmarkStart w:id="12173" w:name="_Toc477881547"/>
      <w:bookmarkStart w:id="12174" w:name="_Toc477955950"/>
      <w:bookmarkStart w:id="12175" w:name="_Toc477963195"/>
      <w:bookmarkStart w:id="12176" w:name="_Toc477963681"/>
      <w:bookmarkStart w:id="12177" w:name="_Toc477965267"/>
      <w:bookmarkStart w:id="12178" w:name="_Toc477966771"/>
      <w:bookmarkStart w:id="12179" w:name="_Toc477966940"/>
      <w:bookmarkStart w:id="12180" w:name="_Toc477967280"/>
      <w:bookmarkStart w:id="12181" w:name="_Toc478121415"/>
      <w:bookmarkStart w:id="12182" w:name="_Toc478122328"/>
      <w:bookmarkStart w:id="12183" w:name="_Toc478132158"/>
      <w:bookmarkStart w:id="12184" w:name="_Toc478132465"/>
      <w:bookmarkStart w:id="12185" w:name="_Toc478134794"/>
      <w:bookmarkStart w:id="12186" w:name="_Toc478137496"/>
      <w:bookmarkStart w:id="12187" w:name="_Toc478138568"/>
      <w:bookmarkStart w:id="12188" w:name="_Toc478140138"/>
      <w:bookmarkStart w:id="12189" w:name="_Toc478140554"/>
      <w:bookmarkStart w:id="12190" w:name="_Toc478142760"/>
      <w:bookmarkStart w:id="12191" w:name="_Toc478566479"/>
      <w:bookmarkStart w:id="12192" w:name="_Toc478569646"/>
      <w:bookmarkStart w:id="12193" w:name="_Toc478569820"/>
      <w:bookmarkStart w:id="12194" w:name="_Toc478570894"/>
      <w:bookmarkStart w:id="12195" w:name="_Toc478633093"/>
      <w:bookmarkStart w:id="12196" w:name="_Toc478641502"/>
      <w:bookmarkStart w:id="12197" w:name="_Toc478654396"/>
      <w:bookmarkStart w:id="12198" w:name="_Toc478654570"/>
      <w:bookmarkStart w:id="12199" w:name="_Toc478657865"/>
      <w:bookmarkStart w:id="12200" w:name="_Toc478993286"/>
      <w:bookmarkStart w:id="12201" w:name="_Toc479000357"/>
      <w:bookmarkStart w:id="12202" w:name="_Toc479002291"/>
      <w:bookmarkStart w:id="12203" w:name="_Toc479002463"/>
      <w:bookmarkStart w:id="12204" w:name="_Toc479254437"/>
      <w:bookmarkStart w:id="12205" w:name="_Toc479258626"/>
      <w:bookmarkStart w:id="12206" w:name="_Toc479258942"/>
      <w:bookmarkStart w:id="12207" w:name="_Toc479259834"/>
      <w:bookmarkStart w:id="12208" w:name="_Toc479262257"/>
      <w:bookmarkStart w:id="12209" w:name="_Toc479262678"/>
      <w:bookmarkStart w:id="12210" w:name="_Toc479321379"/>
      <w:bookmarkStart w:id="12211" w:name="_Toc479326818"/>
      <w:bookmarkStart w:id="12212" w:name="_Toc479333079"/>
      <w:bookmarkStart w:id="12213" w:name="_Toc479333417"/>
      <w:bookmarkStart w:id="12214" w:name="_Toc479335114"/>
      <w:bookmarkStart w:id="12215" w:name="_Toc479341829"/>
      <w:bookmarkStart w:id="12216" w:name="_Toc479345245"/>
      <w:bookmarkStart w:id="12217" w:name="_Toc479345454"/>
      <w:bookmarkStart w:id="12218" w:name="_Toc479348435"/>
      <w:bookmarkStart w:id="12219" w:name="_Toc479676028"/>
      <w:bookmarkStart w:id="12220" w:name="_Toc479690995"/>
      <w:bookmarkStart w:id="12221" w:name="_Toc479693573"/>
      <w:bookmarkStart w:id="12222" w:name="_Toc479770742"/>
      <w:r w:rsidRPr="00144F32">
        <w:t>Alberta</w:t>
      </w:r>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p>
    <w:p w14:paraId="7F8DBF36" w14:textId="523FBBAE" w:rsidR="00144F32" w:rsidRDefault="00AA7794" w:rsidP="00081BC1">
      <w:r>
        <w:t>A new framework for crude oil, liquid and natural gas came into effect from 1 January 2017, with current wells grandfathered for 10 years. Initially, a 5 per cent flat rate applies on gross revenue until revenue equals a cost recovery allowance. The royalty rate then varies up to a maximum of 40 per cent and is a function of the hydrocarbon resource, market price, production and well maturity.</w:t>
      </w:r>
    </w:p>
    <w:p w14:paraId="7A9FF8D3" w14:textId="7286E0FA" w:rsidR="00AA7794" w:rsidRDefault="00AA7794" w:rsidP="00081BC1">
      <w:r>
        <w:t xml:space="preserve">For oil sand projects, a royalty rate of between 1 </w:t>
      </w:r>
      <w:r w:rsidR="00CF6D61">
        <w:t>to</w:t>
      </w:r>
      <w:r>
        <w:t xml:space="preserve"> 9 per cent is applied to total revenue until project costs are recovered. After costs are recovered, the rate </w:t>
      </w:r>
      <w:r w:rsidR="00EE7F97">
        <w:t xml:space="preserve">becomes </w:t>
      </w:r>
      <w:r>
        <w:t>the greater of either 1</w:t>
      </w:r>
      <w:r w:rsidR="00CF6D61">
        <w:t> </w:t>
      </w:r>
      <w:r>
        <w:t>to 9 per cent of total revenue or 25 to 40 per cent of net revenue.</w:t>
      </w:r>
    </w:p>
    <w:p w14:paraId="6619B308" w14:textId="07D2D5F8" w:rsidR="00AA7794" w:rsidRDefault="00AA7794" w:rsidP="00081BC1">
      <w:r>
        <w:t>Alberta</w:t>
      </w:r>
      <w:r w:rsidR="005D6F39">
        <w:t>’</w:t>
      </w:r>
      <w:r>
        <w:t>s province company tax rate is 12 per cent.</w:t>
      </w:r>
    </w:p>
    <w:p w14:paraId="02F627D5" w14:textId="05F014EF" w:rsidR="00AA7794" w:rsidRDefault="00AA7794" w:rsidP="00AC0D24">
      <w:pPr>
        <w:pStyle w:val="Heading3"/>
      </w:pPr>
      <w:bookmarkStart w:id="12223" w:name="_Toc477869983"/>
      <w:bookmarkStart w:id="12224" w:name="_Toc477871222"/>
      <w:bookmarkStart w:id="12225" w:name="_Toc477873381"/>
      <w:bookmarkStart w:id="12226" w:name="_Toc477875375"/>
      <w:bookmarkStart w:id="12227" w:name="_Toc477880288"/>
      <w:bookmarkStart w:id="12228" w:name="_Toc477881548"/>
      <w:bookmarkStart w:id="12229" w:name="_Toc477955951"/>
      <w:bookmarkStart w:id="12230" w:name="_Toc477963196"/>
      <w:bookmarkStart w:id="12231" w:name="_Toc477963682"/>
      <w:bookmarkStart w:id="12232" w:name="_Toc477965268"/>
      <w:bookmarkStart w:id="12233" w:name="_Toc477966772"/>
      <w:bookmarkStart w:id="12234" w:name="_Toc477966941"/>
      <w:bookmarkStart w:id="12235" w:name="_Toc477967281"/>
      <w:bookmarkStart w:id="12236" w:name="_Toc478121416"/>
      <w:bookmarkStart w:id="12237" w:name="_Toc478122329"/>
      <w:bookmarkStart w:id="12238" w:name="_Toc478132159"/>
      <w:bookmarkStart w:id="12239" w:name="_Toc478132466"/>
      <w:bookmarkStart w:id="12240" w:name="_Toc478134795"/>
      <w:bookmarkStart w:id="12241" w:name="_Toc478137497"/>
      <w:bookmarkStart w:id="12242" w:name="_Toc478138569"/>
      <w:bookmarkStart w:id="12243" w:name="_Toc478140139"/>
      <w:bookmarkStart w:id="12244" w:name="_Toc478140555"/>
      <w:bookmarkStart w:id="12245" w:name="_Toc478142761"/>
      <w:bookmarkStart w:id="12246" w:name="_Toc478566480"/>
      <w:bookmarkStart w:id="12247" w:name="_Toc478569647"/>
      <w:bookmarkStart w:id="12248" w:name="_Toc478569821"/>
      <w:bookmarkStart w:id="12249" w:name="_Toc478570895"/>
      <w:bookmarkStart w:id="12250" w:name="_Toc478633094"/>
      <w:bookmarkStart w:id="12251" w:name="_Toc478641503"/>
      <w:bookmarkStart w:id="12252" w:name="_Toc478654397"/>
      <w:bookmarkStart w:id="12253" w:name="_Toc478654571"/>
      <w:bookmarkStart w:id="12254" w:name="_Toc478657866"/>
      <w:bookmarkStart w:id="12255" w:name="_Toc478993287"/>
      <w:bookmarkStart w:id="12256" w:name="_Toc479000358"/>
      <w:bookmarkStart w:id="12257" w:name="_Toc479002292"/>
      <w:bookmarkStart w:id="12258" w:name="_Toc479002464"/>
      <w:bookmarkStart w:id="12259" w:name="_Toc479254438"/>
      <w:bookmarkStart w:id="12260" w:name="_Toc479258627"/>
      <w:bookmarkStart w:id="12261" w:name="_Toc479258943"/>
      <w:bookmarkStart w:id="12262" w:name="_Toc479259835"/>
      <w:bookmarkStart w:id="12263" w:name="_Toc479262258"/>
      <w:bookmarkStart w:id="12264" w:name="_Toc479262679"/>
      <w:bookmarkStart w:id="12265" w:name="_Toc479321380"/>
      <w:bookmarkStart w:id="12266" w:name="_Toc479326819"/>
      <w:bookmarkStart w:id="12267" w:name="_Toc479333080"/>
      <w:bookmarkStart w:id="12268" w:name="_Toc479333418"/>
      <w:bookmarkStart w:id="12269" w:name="_Toc479335115"/>
      <w:bookmarkStart w:id="12270" w:name="_Toc479341830"/>
      <w:bookmarkStart w:id="12271" w:name="_Toc479345246"/>
      <w:bookmarkStart w:id="12272" w:name="_Toc479345455"/>
      <w:bookmarkStart w:id="12273" w:name="_Toc479348436"/>
      <w:bookmarkStart w:id="12274" w:name="_Toc479676029"/>
      <w:bookmarkStart w:id="12275" w:name="_Toc479690996"/>
      <w:bookmarkStart w:id="12276" w:name="_Toc479693574"/>
      <w:bookmarkStart w:id="12277" w:name="_Toc479770743"/>
      <w:r>
        <w:t>British Columbia</w:t>
      </w:r>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p>
    <w:p w14:paraId="3862B566" w14:textId="429930FB" w:rsidR="00AA7794" w:rsidRDefault="00AA7794" w:rsidP="00081BC1">
      <w:r>
        <w:t xml:space="preserve">From 1 January 2017, an LNG income tax is payable for LNG liquefaction activities at the rates of 1.5 per cent on </w:t>
      </w:r>
      <w:r w:rsidR="005D6F39">
        <w:t>‘</w:t>
      </w:r>
      <w:r>
        <w:t>net operating income</w:t>
      </w:r>
      <w:r w:rsidR="005D6F39">
        <w:t>’</w:t>
      </w:r>
      <w:r>
        <w:t xml:space="preserve"> while </w:t>
      </w:r>
      <w:r w:rsidR="005D6F39">
        <w:t>‘</w:t>
      </w:r>
      <w:r>
        <w:t>net income</w:t>
      </w:r>
      <w:r w:rsidR="005D6F39">
        <w:t>’</w:t>
      </w:r>
      <w:r>
        <w:t xml:space="preserve"> is zero, or 3.5 per</w:t>
      </w:r>
      <w:r w:rsidR="00D66522">
        <w:t xml:space="preserve"> </w:t>
      </w:r>
      <w:r>
        <w:t xml:space="preserve">cent on </w:t>
      </w:r>
      <w:r w:rsidR="005D6F39">
        <w:t>‘</w:t>
      </w:r>
      <w:r>
        <w:t>net income</w:t>
      </w:r>
      <w:r w:rsidR="005D6F39">
        <w:t>’</w:t>
      </w:r>
      <w:r>
        <w:t xml:space="preserve"> (with this rate scheduled to increase to 5 per cent on 1 January 2037).</w:t>
      </w:r>
    </w:p>
    <w:p w14:paraId="3DD5EB8A" w14:textId="44032B80" w:rsidR="00AA7794" w:rsidRDefault="00D66522" w:rsidP="00081BC1">
      <w:r>
        <w:t>A</w:t>
      </w:r>
      <w:r w:rsidR="00AA7794">
        <w:t xml:space="preserve"> natural gas royalty is determined by multiplying the royalty rate (ranging between 5</w:t>
      </w:r>
      <w:r w:rsidR="00CD370B">
        <w:t> </w:t>
      </w:r>
      <w:r w:rsidR="00AA7794">
        <w:t>and 27</w:t>
      </w:r>
      <w:r w:rsidR="00410ADB">
        <w:t> </w:t>
      </w:r>
      <w:r w:rsidR="00AA7794">
        <w:t>per</w:t>
      </w:r>
      <w:r w:rsidR="00410ADB">
        <w:t> </w:t>
      </w:r>
      <w:r w:rsidR="00AA7794">
        <w:t xml:space="preserve">cent as a function of the origin of gas) </w:t>
      </w:r>
      <w:r>
        <w:t>by</w:t>
      </w:r>
      <w:r w:rsidR="00AA7794">
        <w:t xml:space="preserve"> the marketable gas volume from the </w:t>
      </w:r>
      <w:r w:rsidR="004D2B1F">
        <w:t>well</w:t>
      </w:r>
      <w:r w:rsidR="00AA7794">
        <w:t xml:space="preserve">head and </w:t>
      </w:r>
      <w:r>
        <w:t xml:space="preserve">the </w:t>
      </w:r>
      <w:r w:rsidR="00AA7794">
        <w:t>reference price.</w:t>
      </w:r>
    </w:p>
    <w:p w14:paraId="52B9E3AD" w14:textId="51A48BBD" w:rsidR="00AA7794" w:rsidRDefault="00D66522" w:rsidP="00081BC1">
      <w:r>
        <w:t>A</w:t>
      </w:r>
      <w:r w:rsidR="00AA7794">
        <w:t xml:space="preserve"> oil royalty payable is calculated by determining the value of production from the well (volume multiplied by a weighted average net selling price) and multiplying it </w:t>
      </w:r>
      <w:r>
        <w:t>by</w:t>
      </w:r>
      <w:r w:rsidR="00AA7794">
        <w:t xml:space="preserve"> the appropriate royalty rate (which ranges between 0 and 40 per cent depending on volume, whether the oil is produced on crown or freehold land and classification of oil).</w:t>
      </w:r>
    </w:p>
    <w:p w14:paraId="406035D2" w14:textId="2F53055E" w:rsidR="00AA7794" w:rsidRDefault="00AA7794" w:rsidP="00081BC1">
      <w:r>
        <w:t>British Columbia</w:t>
      </w:r>
      <w:r w:rsidR="005D6F39">
        <w:t>’</w:t>
      </w:r>
      <w:r>
        <w:t>s company tax rate is 11 per cent.</w:t>
      </w:r>
    </w:p>
    <w:p w14:paraId="45FD8830" w14:textId="62CA5623" w:rsidR="00AA7794" w:rsidRDefault="00AA7794" w:rsidP="00AC0D24">
      <w:pPr>
        <w:pStyle w:val="Heading3"/>
      </w:pPr>
      <w:bookmarkStart w:id="12278" w:name="_Toc477869984"/>
      <w:bookmarkStart w:id="12279" w:name="_Toc477871223"/>
      <w:bookmarkStart w:id="12280" w:name="_Toc477873382"/>
      <w:bookmarkStart w:id="12281" w:name="_Toc477875376"/>
      <w:bookmarkStart w:id="12282" w:name="_Toc477880289"/>
      <w:bookmarkStart w:id="12283" w:name="_Toc477881549"/>
      <w:bookmarkStart w:id="12284" w:name="_Toc477955952"/>
      <w:bookmarkStart w:id="12285" w:name="_Toc477963197"/>
      <w:bookmarkStart w:id="12286" w:name="_Toc477963683"/>
      <w:bookmarkStart w:id="12287" w:name="_Toc477965269"/>
      <w:bookmarkStart w:id="12288" w:name="_Toc477966773"/>
      <w:bookmarkStart w:id="12289" w:name="_Toc477966942"/>
      <w:bookmarkStart w:id="12290" w:name="_Toc477967282"/>
      <w:bookmarkStart w:id="12291" w:name="_Toc478121417"/>
      <w:bookmarkStart w:id="12292" w:name="_Toc478122330"/>
      <w:bookmarkStart w:id="12293" w:name="_Toc478132160"/>
      <w:bookmarkStart w:id="12294" w:name="_Toc478132467"/>
      <w:bookmarkStart w:id="12295" w:name="_Toc478134796"/>
      <w:bookmarkStart w:id="12296" w:name="_Toc478137498"/>
      <w:bookmarkStart w:id="12297" w:name="_Toc478138570"/>
      <w:bookmarkStart w:id="12298" w:name="_Toc478140140"/>
      <w:bookmarkStart w:id="12299" w:name="_Toc478140556"/>
      <w:bookmarkStart w:id="12300" w:name="_Toc478142762"/>
      <w:bookmarkStart w:id="12301" w:name="_Toc478566481"/>
      <w:bookmarkStart w:id="12302" w:name="_Toc478569648"/>
      <w:bookmarkStart w:id="12303" w:name="_Toc478569822"/>
      <w:bookmarkStart w:id="12304" w:name="_Toc478570896"/>
      <w:bookmarkStart w:id="12305" w:name="_Toc478633095"/>
      <w:bookmarkStart w:id="12306" w:name="_Toc478641504"/>
      <w:bookmarkStart w:id="12307" w:name="_Toc478654398"/>
      <w:bookmarkStart w:id="12308" w:name="_Toc478654572"/>
      <w:bookmarkStart w:id="12309" w:name="_Toc478657867"/>
      <w:bookmarkStart w:id="12310" w:name="_Toc478993288"/>
      <w:bookmarkStart w:id="12311" w:name="_Toc479000359"/>
      <w:bookmarkStart w:id="12312" w:name="_Toc479002293"/>
      <w:bookmarkStart w:id="12313" w:name="_Toc479002465"/>
      <w:bookmarkStart w:id="12314" w:name="_Toc479254439"/>
      <w:bookmarkStart w:id="12315" w:name="_Toc479258628"/>
      <w:bookmarkStart w:id="12316" w:name="_Toc479258944"/>
      <w:bookmarkStart w:id="12317" w:name="_Toc479259836"/>
      <w:bookmarkStart w:id="12318" w:name="_Toc479262259"/>
      <w:bookmarkStart w:id="12319" w:name="_Toc479262680"/>
      <w:bookmarkStart w:id="12320" w:name="_Toc479321381"/>
      <w:bookmarkStart w:id="12321" w:name="_Toc479326820"/>
      <w:bookmarkStart w:id="12322" w:name="_Toc479333081"/>
      <w:bookmarkStart w:id="12323" w:name="_Toc479333419"/>
      <w:bookmarkStart w:id="12324" w:name="_Toc479335116"/>
      <w:bookmarkStart w:id="12325" w:name="_Toc479341831"/>
      <w:bookmarkStart w:id="12326" w:name="_Toc479345247"/>
      <w:bookmarkStart w:id="12327" w:name="_Toc479345456"/>
      <w:bookmarkStart w:id="12328" w:name="_Toc479348437"/>
      <w:bookmarkStart w:id="12329" w:name="_Toc479676030"/>
      <w:bookmarkStart w:id="12330" w:name="_Toc479690997"/>
      <w:bookmarkStart w:id="12331" w:name="_Toc479693575"/>
      <w:bookmarkStart w:id="12332" w:name="_Toc479770744"/>
      <w:r>
        <w:t>Newfoundland and Labrador</w:t>
      </w:r>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p>
    <w:p w14:paraId="2A5E7D8B" w14:textId="777F2B6C" w:rsidR="00AA7794" w:rsidRDefault="00AA7794" w:rsidP="00081BC1">
      <w:r>
        <w:t>A generic offshore natural gas royalty has applied from November 2015</w:t>
      </w:r>
      <w:r w:rsidR="00533E9E">
        <w:t xml:space="preserve"> </w:t>
      </w:r>
      <w:r w:rsidR="00D66522">
        <w:t>which</w:t>
      </w:r>
      <w:r>
        <w:t xml:space="preserve"> consist</w:t>
      </w:r>
      <w:r w:rsidR="00D66522">
        <w:t>s</w:t>
      </w:r>
      <w:r>
        <w:t xml:space="preserve"> of two components</w:t>
      </w:r>
      <w:r w:rsidR="00D66522">
        <w:t>:</w:t>
      </w:r>
      <w:r>
        <w:t xml:space="preserve"> a </w:t>
      </w:r>
      <w:r w:rsidR="005D6F39">
        <w:t>‘</w:t>
      </w:r>
      <w:r>
        <w:t>basic royalty</w:t>
      </w:r>
      <w:r w:rsidR="005D6F39">
        <w:t>’</w:t>
      </w:r>
      <w:r>
        <w:t xml:space="preserve"> and </w:t>
      </w:r>
      <w:r w:rsidR="00D66522">
        <w:t>a</w:t>
      </w:r>
      <w:r>
        <w:t xml:space="preserve"> </w:t>
      </w:r>
      <w:r w:rsidR="005D6F39">
        <w:t>‘</w:t>
      </w:r>
      <w:r>
        <w:t>net royalty</w:t>
      </w:r>
      <w:r w:rsidR="005D6F39">
        <w:t>’</w:t>
      </w:r>
      <w:r>
        <w:t>. The basic royalty is levied</w:t>
      </w:r>
      <w:r w:rsidDel="004E599F">
        <w:t xml:space="preserve"> </w:t>
      </w:r>
      <w:r w:rsidR="005953D8">
        <w:t>from initial</w:t>
      </w:r>
      <w:r w:rsidR="004E599F">
        <w:t xml:space="preserve"> </w:t>
      </w:r>
      <w:r>
        <w:t xml:space="preserve">production and is payable on revenue less transportation costs. The basic royalty rate varies from 2 to 10 per cent and is a function of the netback value of production. The </w:t>
      </w:r>
      <w:r w:rsidR="005D6F39">
        <w:t>‘</w:t>
      </w:r>
      <w:r>
        <w:t>net royalty</w:t>
      </w:r>
      <w:r w:rsidR="005D6F39">
        <w:t>’</w:t>
      </w:r>
      <w:r>
        <w:t xml:space="preserve"> is payable after project costs are recovered. The net royalty is levied on net revenue (revenue less applicable costs of transport, capital, operating and basic royalty paid). The net royalty rate varies from 0 to 50 per cent and is driven by the ratio of cumulative project revenue over cumulative project costs (the return </w:t>
      </w:r>
      <w:r w:rsidR="005D6F39">
        <w:t>‘</w:t>
      </w:r>
      <w:r>
        <w:t>R</w:t>
      </w:r>
      <w:r w:rsidR="005D6F39">
        <w:t>’</w:t>
      </w:r>
      <w:r>
        <w:t xml:space="preserve"> factor).</w:t>
      </w:r>
    </w:p>
    <w:p w14:paraId="06030AC0" w14:textId="297DF55C" w:rsidR="00AA7794" w:rsidRDefault="00D66522" w:rsidP="00081BC1">
      <w:r>
        <w:t>An</w:t>
      </w:r>
      <w:r w:rsidR="00AA7794">
        <w:t xml:space="preserve"> offshore oil royalty regime also consists of </w:t>
      </w:r>
      <w:r>
        <w:t>basic and net</w:t>
      </w:r>
      <w:r w:rsidR="00AA7794">
        <w:t xml:space="preserve"> components, both </w:t>
      </w:r>
      <w:r>
        <w:t>of which are</w:t>
      </w:r>
      <w:r w:rsidR="00AA7794">
        <w:t xml:space="preserve"> based on a return </w:t>
      </w:r>
      <w:r w:rsidR="005D6F39">
        <w:t>‘</w:t>
      </w:r>
      <w:r w:rsidR="00AA7794">
        <w:t>R</w:t>
      </w:r>
      <w:r w:rsidR="005D6F39">
        <w:t>’</w:t>
      </w:r>
      <w:r w:rsidR="00AA7794">
        <w:t xml:space="preserve"> factor (cumulative project revenue over cumulative project costs). The basic royalty is applied to gross revenue from </w:t>
      </w:r>
      <w:r>
        <w:t>initial</w:t>
      </w:r>
      <w:r w:rsidR="00AA7794">
        <w:t xml:space="preserve"> production and increases from 1</w:t>
      </w:r>
      <w:r w:rsidR="005953D8">
        <w:t> </w:t>
      </w:r>
      <w:r w:rsidR="00AA7794">
        <w:t>per</w:t>
      </w:r>
      <w:r w:rsidR="005953D8">
        <w:t> </w:t>
      </w:r>
      <w:r w:rsidR="00AA7794">
        <w:t>cent to 7.5</w:t>
      </w:r>
      <w:r w:rsidR="00CD370B">
        <w:t> </w:t>
      </w:r>
      <w:r w:rsidR="00AA7794">
        <w:t>per cent as the project recovers costs. After project costs are fully recovered, the net royalty rate is applied to net revenue. The net royalty rate is between 10 per cent and 50</w:t>
      </w:r>
      <w:r w:rsidR="00CD370B">
        <w:t> </w:t>
      </w:r>
      <w:r w:rsidR="00AA7794">
        <w:t>per</w:t>
      </w:r>
      <w:r w:rsidR="00CD370B">
        <w:t> </w:t>
      </w:r>
      <w:r w:rsidR="00AA7794">
        <w:t xml:space="preserve">cent, driven by the </w:t>
      </w:r>
      <w:r w:rsidR="005D6F39">
        <w:t>‘</w:t>
      </w:r>
      <w:r w:rsidR="00AA7794">
        <w:t>R</w:t>
      </w:r>
      <w:r w:rsidR="005D6F39">
        <w:t>’</w:t>
      </w:r>
      <w:r w:rsidR="00AA7794">
        <w:t xml:space="preserve"> factor. The basic royalty is credited against the net royalty, so only one royalty is effectively paid at any stag</w:t>
      </w:r>
      <w:r w:rsidR="004E599F">
        <w:t>e</w:t>
      </w:r>
      <w:r w:rsidR="00AA7794">
        <w:t>.</w:t>
      </w:r>
    </w:p>
    <w:p w14:paraId="3DC025A4" w14:textId="0F6EC715" w:rsidR="00AA7794" w:rsidRDefault="00AA7794" w:rsidP="00081BC1">
      <w:r>
        <w:t>Onshore oil resources are subject to a slightly different regime again consisting of basic and net components. The first 2 million barrels of oil is exempt, after which the basic royalty is levied at a rate of 5 per cent of gross revenue (gross sales revenue less eligible transportation costs to the point of sale). The net royalty has two tiers</w:t>
      </w:r>
      <w:r w:rsidR="004E599F">
        <w:t xml:space="preserve">. </w:t>
      </w:r>
      <w:r w:rsidR="00D66522">
        <w:t xml:space="preserve">The </w:t>
      </w:r>
      <w:r>
        <w:t>Tier 1 royalty rate of 20</w:t>
      </w:r>
      <w:r w:rsidR="00533E9E">
        <w:t> </w:t>
      </w:r>
      <w:r>
        <w:t>per</w:t>
      </w:r>
      <w:r w:rsidR="00533E9E">
        <w:t> </w:t>
      </w:r>
      <w:r>
        <w:t>cent is applied to net revenue after a return allowance of LTBR</w:t>
      </w:r>
      <w:r w:rsidR="004E599F">
        <w:t xml:space="preserve"> plus </w:t>
      </w:r>
      <w:r>
        <w:t>5 percent</w:t>
      </w:r>
      <w:r w:rsidR="004E599F">
        <w:t>age points</w:t>
      </w:r>
      <w:r>
        <w:t xml:space="preserve"> is achieved. The basic royalty is a credit on this tier, so companies need only pay the higher of the basic or Tier 1 </w:t>
      </w:r>
      <w:r w:rsidR="00C65684">
        <w:t>n</w:t>
      </w:r>
      <w:r>
        <w:t xml:space="preserve">et royalty. </w:t>
      </w:r>
      <w:r w:rsidR="00C65684">
        <w:t>The</w:t>
      </w:r>
      <w:r>
        <w:t xml:space="preserve"> Tier 2 royalty rate of 5 per cent is applied to net revenue after a return allowance of LTBR</w:t>
      </w:r>
      <w:r w:rsidR="004E599F">
        <w:t xml:space="preserve"> plus </w:t>
      </w:r>
      <w:r>
        <w:t>15 percent</w:t>
      </w:r>
      <w:r w:rsidR="00C65684">
        <w:t>age points</w:t>
      </w:r>
      <w:r>
        <w:t xml:space="preserve"> is achieved. This tier is in addition to other royalties payable.</w:t>
      </w:r>
    </w:p>
    <w:p w14:paraId="0F70DFC5" w14:textId="40E83C1D" w:rsidR="00AA7794" w:rsidRDefault="00AA7794" w:rsidP="00081BC1">
      <w:r>
        <w:t>Newfoundland and Labrador</w:t>
      </w:r>
      <w:r w:rsidR="005D6F39">
        <w:t>’</w:t>
      </w:r>
      <w:r>
        <w:t>s company tax rate is 15 per cent.</w:t>
      </w:r>
    </w:p>
    <w:p w14:paraId="7BCBE4B0" w14:textId="0E676051" w:rsidR="00AA7794" w:rsidRDefault="00AC0D24" w:rsidP="00AC0D24">
      <w:pPr>
        <w:pStyle w:val="Heading3"/>
      </w:pPr>
      <w:bookmarkStart w:id="12333" w:name="_Toc477869985"/>
      <w:bookmarkStart w:id="12334" w:name="_Toc477871224"/>
      <w:bookmarkStart w:id="12335" w:name="_Toc477873383"/>
      <w:bookmarkStart w:id="12336" w:name="_Toc477875377"/>
      <w:bookmarkStart w:id="12337" w:name="_Toc477880290"/>
      <w:bookmarkStart w:id="12338" w:name="_Toc477881550"/>
      <w:bookmarkStart w:id="12339" w:name="_Toc477955953"/>
      <w:bookmarkStart w:id="12340" w:name="_Toc477963198"/>
      <w:bookmarkStart w:id="12341" w:name="_Toc477963684"/>
      <w:bookmarkStart w:id="12342" w:name="_Toc477965270"/>
      <w:bookmarkStart w:id="12343" w:name="_Toc477966774"/>
      <w:bookmarkStart w:id="12344" w:name="_Toc477966943"/>
      <w:bookmarkStart w:id="12345" w:name="_Toc477967283"/>
      <w:bookmarkStart w:id="12346" w:name="_Toc478121418"/>
      <w:bookmarkStart w:id="12347" w:name="_Toc478122331"/>
      <w:bookmarkStart w:id="12348" w:name="_Toc478132161"/>
      <w:bookmarkStart w:id="12349" w:name="_Toc478132468"/>
      <w:bookmarkStart w:id="12350" w:name="_Toc478134797"/>
      <w:bookmarkStart w:id="12351" w:name="_Toc478137499"/>
      <w:bookmarkStart w:id="12352" w:name="_Toc478138571"/>
      <w:bookmarkStart w:id="12353" w:name="_Toc478140141"/>
      <w:bookmarkStart w:id="12354" w:name="_Toc478140557"/>
      <w:bookmarkStart w:id="12355" w:name="_Toc478142763"/>
      <w:bookmarkStart w:id="12356" w:name="_Toc478566482"/>
      <w:bookmarkStart w:id="12357" w:name="_Toc478569649"/>
      <w:bookmarkStart w:id="12358" w:name="_Toc478569823"/>
      <w:bookmarkStart w:id="12359" w:name="_Toc478570897"/>
      <w:bookmarkStart w:id="12360" w:name="_Toc478633096"/>
      <w:bookmarkStart w:id="12361" w:name="_Toc478641505"/>
      <w:bookmarkStart w:id="12362" w:name="_Toc478654399"/>
      <w:bookmarkStart w:id="12363" w:name="_Toc478654573"/>
      <w:bookmarkStart w:id="12364" w:name="_Toc478657868"/>
      <w:bookmarkStart w:id="12365" w:name="_Toc478993289"/>
      <w:bookmarkStart w:id="12366" w:name="_Toc479000360"/>
      <w:bookmarkStart w:id="12367" w:name="_Toc479002294"/>
      <w:bookmarkStart w:id="12368" w:name="_Toc479002466"/>
      <w:bookmarkStart w:id="12369" w:name="_Toc479254440"/>
      <w:bookmarkStart w:id="12370" w:name="_Toc479258629"/>
      <w:bookmarkStart w:id="12371" w:name="_Toc479258945"/>
      <w:bookmarkStart w:id="12372" w:name="_Toc479259837"/>
      <w:bookmarkStart w:id="12373" w:name="_Toc479262260"/>
      <w:bookmarkStart w:id="12374" w:name="_Toc479262681"/>
      <w:bookmarkStart w:id="12375" w:name="_Toc479321382"/>
      <w:bookmarkStart w:id="12376" w:name="_Toc479326821"/>
      <w:bookmarkStart w:id="12377" w:name="_Toc479333082"/>
      <w:bookmarkStart w:id="12378" w:name="_Toc479333420"/>
      <w:bookmarkStart w:id="12379" w:name="_Toc479335117"/>
      <w:bookmarkStart w:id="12380" w:name="_Toc479341832"/>
      <w:bookmarkStart w:id="12381" w:name="_Toc479345248"/>
      <w:bookmarkStart w:id="12382" w:name="_Toc479345457"/>
      <w:bookmarkStart w:id="12383" w:name="_Toc479348438"/>
      <w:bookmarkStart w:id="12384" w:name="_Toc479676031"/>
      <w:bookmarkStart w:id="12385" w:name="_Toc479690998"/>
      <w:bookmarkStart w:id="12386" w:name="_Toc479693576"/>
      <w:bookmarkStart w:id="12387" w:name="_Toc479770745"/>
      <w:r>
        <w:t>E</w:t>
      </w:r>
      <w:r w:rsidR="00EA4CD9">
        <w:t>.2.</w:t>
      </w:r>
      <w:r w:rsidR="00C65684">
        <w:t>5</w:t>
      </w:r>
      <w:r>
        <w:tab/>
      </w:r>
      <w:r w:rsidR="00AA7794">
        <w:t>United States</w:t>
      </w:r>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p>
    <w:p w14:paraId="016AC33D" w14:textId="7CBABEA1" w:rsidR="005072B8" w:rsidRDefault="00AA7794" w:rsidP="00081BC1">
      <w:r>
        <w:t>In the U</w:t>
      </w:r>
      <w:r w:rsidR="0040590B">
        <w:t xml:space="preserve">nited </w:t>
      </w:r>
      <w:r>
        <w:t>S</w:t>
      </w:r>
      <w:r w:rsidR="0040590B">
        <w:t>tates</w:t>
      </w:r>
      <w:r>
        <w:t xml:space="preserve">, onshore oil and gas resources are privately rather than publicly owned. Oil and gas revenue is typically collected from private owners at the state level in the form of a severance tax. Each state has individual tax and incentive arrangements typically </w:t>
      </w:r>
      <w:r w:rsidR="00C65684">
        <w:t xml:space="preserve">applied on </w:t>
      </w:r>
      <w:r>
        <w:t>an ad</w:t>
      </w:r>
      <w:r w:rsidR="000A33FC">
        <w:t xml:space="preserve"> </w:t>
      </w:r>
      <w:r>
        <w:t xml:space="preserve">valorem </w:t>
      </w:r>
      <w:r w:rsidR="00C65684">
        <w:t>basis</w:t>
      </w:r>
      <w:r>
        <w:t>. In federal zones, a separate fiscal regime applies which differentiates between onshore and offshore projects.</w:t>
      </w:r>
    </w:p>
    <w:p w14:paraId="276616B0" w14:textId="44BBBE12" w:rsidR="00AA7794" w:rsidRDefault="00AA7794" w:rsidP="00081BC1">
      <w:r>
        <w:t>Taxable income from oil and gas corporations is subject to U</w:t>
      </w:r>
      <w:r w:rsidR="003239F6">
        <w:t xml:space="preserve">nited </w:t>
      </w:r>
      <w:r>
        <w:t>S</w:t>
      </w:r>
      <w:r w:rsidR="003239F6">
        <w:t>tates</w:t>
      </w:r>
      <w:r>
        <w:t xml:space="preserve"> federal income tax at the corporate level. This tax is graduated ranging from 15 per cent to a maximum of 35</w:t>
      </w:r>
      <w:r w:rsidR="007A6C0F">
        <w:t> </w:t>
      </w:r>
      <w:r>
        <w:t>per</w:t>
      </w:r>
      <w:r w:rsidR="007A6C0F">
        <w:t> </w:t>
      </w:r>
      <w:r>
        <w:t>cent where taxable income is greater than US$15 million.</w:t>
      </w:r>
    </w:p>
    <w:p w14:paraId="12812D84" w14:textId="73AC9586" w:rsidR="00AA7794" w:rsidRDefault="00AA7794" w:rsidP="00AC0D24">
      <w:pPr>
        <w:pStyle w:val="Heading3"/>
      </w:pPr>
      <w:bookmarkStart w:id="12388" w:name="_Toc477869986"/>
      <w:bookmarkStart w:id="12389" w:name="_Toc477871225"/>
      <w:bookmarkStart w:id="12390" w:name="_Toc477873384"/>
      <w:bookmarkStart w:id="12391" w:name="_Toc477875378"/>
      <w:bookmarkStart w:id="12392" w:name="_Toc477880291"/>
      <w:bookmarkStart w:id="12393" w:name="_Toc477881551"/>
      <w:bookmarkStart w:id="12394" w:name="_Toc477955954"/>
      <w:bookmarkStart w:id="12395" w:name="_Toc477963199"/>
      <w:bookmarkStart w:id="12396" w:name="_Toc477963685"/>
      <w:bookmarkStart w:id="12397" w:name="_Toc477965271"/>
      <w:bookmarkStart w:id="12398" w:name="_Toc477966775"/>
      <w:bookmarkStart w:id="12399" w:name="_Toc477966944"/>
      <w:bookmarkStart w:id="12400" w:name="_Toc477967284"/>
      <w:bookmarkStart w:id="12401" w:name="_Toc478121419"/>
      <w:bookmarkStart w:id="12402" w:name="_Toc478122332"/>
      <w:bookmarkStart w:id="12403" w:name="_Toc478132162"/>
      <w:bookmarkStart w:id="12404" w:name="_Toc478132469"/>
      <w:bookmarkStart w:id="12405" w:name="_Toc478134798"/>
      <w:bookmarkStart w:id="12406" w:name="_Toc478137500"/>
      <w:bookmarkStart w:id="12407" w:name="_Toc478138572"/>
      <w:bookmarkStart w:id="12408" w:name="_Toc478140142"/>
      <w:bookmarkStart w:id="12409" w:name="_Toc478140558"/>
      <w:bookmarkStart w:id="12410" w:name="_Toc478142764"/>
      <w:bookmarkStart w:id="12411" w:name="_Toc478566483"/>
      <w:bookmarkStart w:id="12412" w:name="_Toc478569650"/>
      <w:bookmarkStart w:id="12413" w:name="_Toc478569824"/>
      <w:bookmarkStart w:id="12414" w:name="_Toc478570898"/>
      <w:bookmarkStart w:id="12415" w:name="_Toc478633097"/>
      <w:bookmarkStart w:id="12416" w:name="_Toc478641506"/>
      <w:bookmarkStart w:id="12417" w:name="_Toc478654400"/>
      <w:bookmarkStart w:id="12418" w:name="_Toc478654574"/>
      <w:bookmarkStart w:id="12419" w:name="_Toc478657869"/>
      <w:bookmarkStart w:id="12420" w:name="_Toc478993290"/>
      <w:bookmarkStart w:id="12421" w:name="_Toc479000361"/>
      <w:bookmarkStart w:id="12422" w:name="_Toc479002295"/>
      <w:bookmarkStart w:id="12423" w:name="_Toc479002467"/>
      <w:bookmarkStart w:id="12424" w:name="_Toc479254441"/>
      <w:bookmarkStart w:id="12425" w:name="_Toc479258630"/>
      <w:bookmarkStart w:id="12426" w:name="_Toc479258946"/>
      <w:bookmarkStart w:id="12427" w:name="_Toc479259838"/>
      <w:bookmarkStart w:id="12428" w:name="_Toc479262261"/>
      <w:bookmarkStart w:id="12429" w:name="_Toc479262682"/>
      <w:bookmarkStart w:id="12430" w:name="_Toc479321383"/>
      <w:bookmarkStart w:id="12431" w:name="_Toc479326822"/>
      <w:bookmarkStart w:id="12432" w:name="_Toc479333083"/>
      <w:bookmarkStart w:id="12433" w:name="_Toc479333421"/>
      <w:bookmarkStart w:id="12434" w:name="_Toc479335118"/>
      <w:bookmarkStart w:id="12435" w:name="_Toc479341833"/>
      <w:bookmarkStart w:id="12436" w:name="_Toc479345249"/>
      <w:bookmarkStart w:id="12437" w:name="_Toc479345458"/>
      <w:bookmarkStart w:id="12438" w:name="_Toc479348439"/>
      <w:bookmarkStart w:id="12439" w:name="_Toc479676032"/>
      <w:bookmarkStart w:id="12440" w:name="_Toc479690999"/>
      <w:bookmarkStart w:id="12441" w:name="_Toc479693577"/>
      <w:bookmarkStart w:id="12442" w:name="_Toc479770746"/>
      <w:r>
        <w:t>Texas</w:t>
      </w:r>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p>
    <w:p w14:paraId="117E974E" w14:textId="380EFD20" w:rsidR="0053672F" w:rsidRDefault="00AA7794" w:rsidP="0053672F">
      <w:pPr>
        <w:rPr>
          <w:rFonts w:ascii="Calibri Light" w:hAnsi="Calibri Light"/>
          <w:sz w:val="20"/>
          <w:vertAlign w:val="superscript"/>
          <w:lang w:val="en"/>
        </w:rPr>
      </w:pPr>
      <w:bookmarkStart w:id="12443" w:name="_Toc477869987"/>
      <w:bookmarkStart w:id="12444" w:name="_Toc477871226"/>
      <w:bookmarkStart w:id="12445" w:name="_Toc477873385"/>
      <w:bookmarkStart w:id="12446" w:name="_Toc477875379"/>
      <w:bookmarkStart w:id="12447" w:name="_Toc477880292"/>
      <w:bookmarkStart w:id="12448" w:name="_Toc477881552"/>
      <w:bookmarkStart w:id="12449" w:name="_Toc477955955"/>
      <w:bookmarkStart w:id="12450" w:name="_Toc477963200"/>
      <w:bookmarkStart w:id="12451" w:name="_Toc477963686"/>
      <w:bookmarkStart w:id="12452" w:name="_Toc477965272"/>
      <w:bookmarkStart w:id="12453" w:name="_Toc477966776"/>
      <w:bookmarkStart w:id="12454" w:name="_Toc477966945"/>
      <w:bookmarkStart w:id="12455" w:name="_Toc477967285"/>
      <w:r>
        <w:t>Crude oil and condensate production taxes are levied at 4.6 per cent of the market value of crude oil and condensate. Natural gas production tax is 7.5 per cent of the market value of gas produced. Incentive programs can reduce (or remove) these severance taxes.</w:t>
      </w:r>
      <w:r w:rsidR="00603032">
        <w:t xml:space="preserve"> On </w:t>
      </w:r>
      <w:r w:rsidR="004B5E57">
        <w:t>state land leases</w:t>
      </w:r>
      <w:r w:rsidR="00603032">
        <w:t>, the Texas General Land Office typically receives a 20 to 25 per</w:t>
      </w:r>
      <w:r w:rsidR="000C6027">
        <w:t> </w:t>
      </w:r>
      <w:r w:rsidR="00603032">
        <w:t xml:space="preserve">cent royalty from oil and gas produced. </w:t>
      </w:r>
      <w:r w:rsidR="004B5E57">
        <w:t>Additionally, e</w:t>
      </w:r>
      <w:r w:rsidR="00064F35">
        <w:t xml:space="preserve">ntities doing business in </w:t>
      </w:r>
      <w:r w:rsidR="00CB3309">
        <w:t xml:space="preserve">Texas </w:t>
      </w:r>
      <w:r w:rsidR="00064F35">
        <w:t xml:space="preserve">also pay </w:t>
      </w:r>
      <w:r w:rsidR="00CB3309">
        <w:t xml:space="preserve">a franchise tax </w:t>
      </w:r>
      <w:r w:rsidR="00064F35">
        <w:t xml:space="preserve">levied </w:t>
      </w:r>
      <w:r w:rsidR="00CB3309">
        <w:t xml:space="preserve">at a maximum rate of 0.75 per cent on </w:t>
      </w:r>
      <w:r w:rsidR="000C6027">
        <w:t>the entity</w:t>
      </w:r>
      <w:r w:rsidR="005D6F39">
        <w:t>’</w:t>
      </w:r>
      <w:r w:rsidR="000C6027">
        <w:t>s</w:t>
      </w:r>
      <w:r w:rsidR="00CB3309">
        <w:t xml:space="preserve"> taxable </w:t>
      </w:r>
      <w:r w:rsidR="005D6F39">
        <w:t>‘</w:t>
      </w:r>
      <w:r w:rsidR="00CB3309" w:rsidRPr="00A16690">
        <w:t>margin</w:t>
      </w:r>
      <w:r w:rsidR="005D6F39">
        <w:t>’</w:t>
      </w:r>
      <w:r w:rsidR="00CB3309">
        <w:t>.</w:t>
      </w:r>
    </w:p>
    <w:p w14:paraId="40419819" w14:textId="367AEB49" w:rsidR="00AA7794" w:rsidRDefault="00AA7794" w:rsidP="00AC0D24">
      <w:pPr>
        <w:pStyle w:val="Heading3"/>
      </w:pPr>
      <w:bookmarkStart w:id="12456" w:name="_Toc478121420"/>
      <w:bookmarkStart w:id="12457" w:name="_Toc478122333"/>
      <w:bookmarkStart w:id="12458" w:name="_Toc478132163"/>
      <w:bookmarkStart w:id="12459" w:name="_Toc478132470"/>
      <w:bookmarkStart w:id="12460" w:name="_Toc478134799"/>
      <w:bookmarkStart w:id="12461" w:name="_Toc478137501"/>
      <w:bookmarkStart w:id="12462" w:name="_Toc478138573"/>
      <w:bookmarkStart w:id="12463" w:name="_Toc478140143"/>
      <w:bookmarkStart w:id="12464" w:name="_Toc478140559"/>
      <w:bookmarkStart w:id="12465" w:name="_Toc478142765"/>
      <w:bookmarkStart w:id="12466" w:name="_Toc478566484"/>
      <w:bookmarkStart w:id="12467" w:name="_Toc478569651"/>
      <w:bookmarkStart w:id="12468" w:name="_Toc478569825"/>
      <w:bookmarkStart w:id="12469" w:name="_Toc478570899"/>
      <w:bookmarkStart w:id="12470" w:name="_Toc478633098"/>
      <w:bookmarkStart w:id="12471" w:name="_Toc478641507"/>
      <w:bookmarkStart w:id="12472" w:name="_Toc478654401"/>
      <w:bookmarkStart w:id="12473" w:name="_Toc478654575"/>
      <w:bookmarkStart w:id="12474" w:name="_Toc478657870"/>
      <w:bookmarkStart w:id="12475" w:name="_Toc478993291"/>
      <w:bookmarkStart w:id="12476" w:name="_Toc479000362"/>
      <w:bookmarkStart w:id="12477" w:name="_Toc479002296"/>
      <w:bookmarkStart w:id="12478" w:name="_Toc479002468"/>
      <w:bookmarkStart w:id="12479" w:name="_Toc479254442"/>
      <w:bookmarkStart w:id="12480" w:name="_Toc479258631"/>
      <w:bookmarkStart w:id="12481" w:name="_Toc479258947"/>
      <w:bookmarkStart w:id="12482" w:name="_Toc479259839"/>
      <w:bookmarkStart w:id="12483" w:name="_Toc479262262"/>
      <w:bookmarkStart w:id="12484" w:name="_Toc479262683"/>
      <w:bookmarkStart w:id="12485" w:name="_Toc479321384"/>
      <w:bookmarkStart w:id="12486" w:name="_Toc479326823"/>
      <w:bookmarkStart w:id="12487" w:name="_Toc479333084"/>
      <w:bookmarkStart w:id="12488" w:name="_Toc479333422"/>
      <w:bookmarkStart w:id="12489" w:name="_Toc479335119"/>
      <w:bookmarkStart w:id="12490" w:name="_Toc479341834"/>
      <w:bookmarkStart w:id="12491" w:name="_Toc479345250"/>
      <w:bookmarkStart w:id="12492" w:name="_Toc479345459"/>
      <w:bookmarkStart w:id="12493" w:name="_Toc479348440"/>
      <w:bookmarkStart w:id="12494" w:name="_Toc479676033"/>
      <w:bookmarkStart w:id="12495" w:name="_Toc479691000"/>
      <w:bookmarkStart w:id="12496" w:name="_Toc479693578"/>
      <w:bookmarkStart w:id="12497" w:name="_Toc479770747"/>
      <w:r>
        <w:t>North Dakota</w:t>
      </w:r>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p>
    <w:p w14:paraId="2F74DEB6" w14:textId="3069F9A6" w:rsidR="00AA7794" w:rsidRDefault="00AA7794" w:rsidP="00081BC1">
      <w:r>
        <w:t>A gas production tax applies on an annually adjusted flat rate per thousand cubic feet (mcf) of all non</w:t>
      </w:r>
      <w:r w:rsidR="005D6F39">
        <w:noBreakHyphen/>
      </w:r>
      <w:r>
        <w:t>exempt gas produced. The current rate is $0.0601 per mcf. Annual adjustments are made on 1 July and take into account the average producer price index for gas fuels.</w:t>
      </w:r>
    </w:p>
    <w:p w14:paraId="1E697154" w14:textId="07C9BAF6" w:rsidR="00F8009E" w:rsidRDefault="00AA7794" w:rsidP="00081BC1">
      <w:r>
        <w:t>An oil production tax is applied at the rate of 5</w:t>
      </w:r>
      <w:r w:rsidR="000C6027">
        <w:t> </w:t>
      </w:r>
      <w:r>
        <w:t>per</w:t>
      </w:r>
      <w:r w:rsidR="000C6027">
        <w:t> </w:t>
      </w:r>
      <w:r>
        <w:t xml:space="preserve">cent to the gross value </w:t>
      </w:r>
      <w:r w:rsidR="00C65684">
        <w:t xml:space="preserve">(adjusted for transport costs) </w:t>
      </w:r>
      <w:r>
        <w:t>of oil produced at the well.</w:t>
      </w:r>
      <w:r w:rsidR="004B5E57">
        <w:t xml:space="preserve"> </w:t>
      </w:r>
      <w:r>
        <w:t>An oil extraction tax is also applied at the rate of 5</w:t>
      </w:r>
      <w:r w:rsidR="000C6027">
        <w:t> </w:t>
      </w:r>
      <w:r>
        <w:t>per</w:t>
      </w:r>
      <w:r w:rsidR="000C6027">
        <w:t> </w:t>
      </w:r>
      <w:r>
        <w:t>cent to the gross value of oil produced at the well</w:t>
      </w:r>
      <w:r w:rsidR="00510CE6">
        <w:t>,</w:t>
      </w:r>
      <w:r w:rsidDel="00510CE6">
        <w:t xml:space="preserve"> </w:t>
      </w:r>
      <w:r>
        <w:t>although this may be increased to 6</w:t>
      </w:r>
      <w:r w:rsidR="000C6027">
        <w:t> </w:t>
      </w:r>
      <w:r>
        <w:t>per</w:t>
      </w:r>
      <w:r w:rsidR="000C6027">
        <w:t> </w:t>
      </w:r>
      <w:r>
        <w:t>cent if particular price conditions are triggered.</w:t>
      </w:r>
    </w:p>
    <w:p w14:paraId="3F3C92DF" w14:textId="03694945" w:rsidR="00CB3309" w:rsidRDefault="004B5E57" w:rsidP="00081BC1">
      <w:r>
        <w:t>On</w:t>
      </w:r>
      <w:r w:rsidR="00F8009E">
        <w:t xml:space="preserve"> state land </w:t>
      </w:r>
      <w:r>
        <w:t>leases,</w:t>
      </w:r>
      <w:r w:rsidR="00F8009E">
        <w:t xml:space="preserve"> a royalty of between 16.67 and 18.75 per cent of </w:t>
      </w:r>
      <w:r w:rsidR="005D6F39">
        <w:t>‘</w:t>
      </w:r>
      <w:r w:rsidR="00F8009E">
        <w:t xml:space="preserve">net </w:t>
      </w:r>
      <w:bookmarkStart w:id="12498" w:name="_Toc477869988"/>
      <w:bookmarkStart w:id="12499" w:name="_Toc477871227"/>
      <w:bookmarkStart w:id="12500" w:name="_Toc477873386"/>
      <w:bookmarkStart w:id="12501" w:name="_Toc477875380"/>
      <w:bookmarkStart w:id="12502" w:name="_Toc477880293"/>
      <w:bookmarkStart w:id="12503" w:name="_Toc477881553"/>
      <w:r w:rsidR="007A6C0F" w:rsidRPr="00F14B8C">
        <w:t xml:space="preserve">mineral </w:t>
      </w:r>
      <w:r w:rsidR="00F14B8C" w:rsidRPr="00F14B8C">
        <w:t>interest</w:t>
      </w:r>
      <w:r w:rsidR="005D6F39">
        <w:t>’</w:t>
      </w:r>
      <w:r>
        <w:t xml:space="preserve"> typically applies</w:t>
      </w:r>
      <w:r w:rsidR="00F8009E">
        <w:t>.</w:t>
      </w:r>
      <w:r>
        <w:t xml:space="preserve"> </w:t>
      </w:r>
      <w:r w:rsidR="001B38FF">
        <w:rPr>
          <w:lang w:val="en"/>
        </w:rPr>
        <w:t xml:space="preserve">North Dakota also levies a corporate </w:t>
      </w:r>
      <w:r w:rsidR="00CB3309" w:rsidRPr="00CB3309">
        <w:rPr>
          <w:lang w:val="en"/>
        </w:rPr>
        <w:t>income tax on a stepped basis with a maximum rate of 4.3</w:t>
      </w:r>
      <w:r w:rsidR="001B38FF">
        <w:rPr>
          <w:lang w:val="en"/>
        </w:rPr>
        <w:t>1</w:t>
      </w:r>
      <w:r w:rsidR="00CB3309" w:rsidRPr="00CB3309">
        <w:rPr>
          <w:lang w:val="en"/>
        </w:rPr>
        <w:t xml:space="preserve"> per cent</w:t>
      </w:r>
      <w:r w:rsidR="001B38FF">
        <w:rPr>
          <w:lang w:val="en"/>
        </w:rPr>
        <w:t xml:space="preserve"> of North Dakota taxable income</w:t>
      </w:r>
      <w:r w:rsidR="00CB3309" w:rsidRPr="00CB3309">
        <w:rPr>
          <w:lang w:val="en"/>
        </w:rPr>
        <w:t>.</w:t>
      </w:r>
    </w:p>
    <w:p w14:paraId="10209ECB" w14:textId="30B9D0A6" w:rsidR="00AA7794" w:rsidRDefault="00AA7794" w:rsidP="00AC0D24">
      <w:pPr>
        <w:pStyle w:val="Heading3"/>
      </w:pPr>
      <w:bookmarkStart w:id="12504" w:name="_Toc477955956"/>
      <w:bookmarkStart w:id="12505" w:name="_Toc477963201"/>
      <w:bookmarkStart w:id="12506" w:name="_Toc477963687"/>
      <w:bookmarkStart w:id="12507" w:name="_Toc477965273"/>
      <w:bookmarkStart w:id="12508" w:name="_Toc477966777"/>
      <w:bookmarkStart w:id="12509" w:name="_Toc477966946"/>
      <w:bookmarkStart w:id="12510" w:name="_Toc477967286"/>
      <w:bookmarkStart w:id="12511" w:name="_Toc478121421"/>
      <w:bookmarkStart w:id="12512" w:name="_Toc478122334"/>
      <w:bookmarkStart w:id="12513" w:name="_Toc478132164"/>
      <w:bookmarkStart w:id="12514" w:name="_Toc478132471"/>
      <w:bookmarkStart w:id="12515" w:name="_Toc478134800"/>
      <w:bookmarkStart w:id="12516" w:name="_Toc478137502"/>
      <w:bookmarkStart w:id="12517" w:name="_Toc478138574"/>
      <w:bookmarkStart w:id="12518" w:name="_Toc478140144"/>
      <w:bookmarkStart w:id="12519" w:name="_Toc478140560"/>
      <w:bookmarkStart w:id="12520" w:name="_Toc478142766"/>
      <w:bookmarkStart w:id="12521" w:name="_Toc478566485"/>
      <w:bookmarkStart w:id="12522" w:name="_Toc478569652"/>
      <w:bookmarkStart w:id="12523" w:name="_Toc478569826"/>
      <w:bookmarkStart w:id="12524" w:name="_Toc478570900"/>
      <w:bookmarkStart w:id="12525" w:name="_Toc478633099"/>
      <w:bookmarkStart w:id="12526" w:name="_Toc478641508"/>
      <w:bookmarkStart w:id="12527" w:name="_Toc478654402"/>
      <w:bookmarkStart w:id="12528" w:name="_Toc478654576"/>
      <w:bookmarkStart w:id="12529" w:name="_Toc478657871"/>
      <w:bookmarkStart w:id="12530" w:name="_Toc478993292"/>
      <w:bookmarkStart w:id="12531" w:name="_Toc479000363"/>
      <w:bookmarkStart w:id="12532" w:name="_Toc479002297"/>
      <w:bookmarkStart w:id="12533" w:name="_Toc479002469"/>
      <w:bookmarkStart w:id="12534" w:name="_Toc479254443"/>
      <w:bookmarkStart w:id="12535" w:name="_Toc479258632"/>
      <w:bookmarkStart w:id="12536" w:name="_Toc479258948"/>
      <w:bookmarkStart w:id="12537" w:name="_Toc479259840"/>
      <w:bookmarkStart w:id="12538" w:name="_Toc479262263"/>
      <w:bookmarkStart w:id="12539" w:name="_Toc479262684"/>
      <w:bookmarkStart w:id="12540" w:name="_Toc479321385"/>
      <w:bookmarkStart w:id="12541" w:name="_Toc479326824"/>
      <w:bookmarkStart w:id="12542" w:name="_Toc479333085"/>
      <w:bookmarkStart w:id="12543" w:name="_Toc479333423"/>
      <w:bookmarkStart w:id="12544" w:name="_Toc479335120"/>
      <w:bookmarkStart w:id="12545" w:name="_Toc479341835"/>
      <w:bookmarkStart w:id="12546" w:name="_Toc479345251"/>
      <w:bookmarkStart w:id="12547" w:name="_Toc479345460"/>
      <w:bookmarkStart w:id="12548" w:name="_Toc479348441"/>
      <w:bookmarkStart w:id="12549" w:name="_Toc479676034"/>
      <w:bookmarkStart w:id="12550" w:name="_Toc479691001"/>
      <w:bookmarkStart w:id="12551" w:name="_Toc479693579"/>
      <w:bookmarkStart w:id="12552" w:name="_Toc479770748"/>
      <w:r>
        <w:t>Gulf of Mexico (</w:t>
      </w:r>
      <w:r w:rsidR="004B72F6">
        <w:t>O</w:t>
      </w:r>
      <w:r>
        <w:t xml:space="preserve">ffshore </w:t>
      </w:r>
      <w:r w:rsidR="004B72F6">
        <w:t>F</w:t>
      </w:r>
      <w:r>
        <w:t xml:space="preserve">ederal </w:t>
      </w:r>
      <w:r w:rsidR="005006C2">
        <w:t>Z</w:t>
      </w:r>
      <w:r>
        <w:t>one)</w:t>
      </w:r>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p>
    <w:p w14:paraId="4E788E4A" w14:textId="2633C58E" w:rsidR="00AA7794" w:rsidRDefault="00AA7794" w:rsidP="00081BC1">
      <w:r>
        <w:t xml:space="preserve">The federal government receives (biddable) signature bonuses. Before production starts, annual rents are payable </w:t>
      </w:r>
      <w:r w:rsidR="00C65684">
        <w:t>at a level commensurate with</w:t>
      </w:r>
      <w:r>
        <w:t xml:space="preserve"> the holding cost of the lease. The rent amounts are prescribed in the Final Notice of Sale and typically increase over time to encourage </w:t>
      </w:r>
      <w:r w:rsidR="00A16690">
        <w:t xml:space="preserve">early </w:t>
      </w:r>
      <w:r>
        <w:t>development.</w:t>
      </w:r>
    </w:p>
    <w:p w14:paraId="153CC68A" w14:textId="2974DF5A" w:rsidR="005072B8" w:rsidRDefault="00AA7794" w:rsidP="00081BC1">
      <w:r>
        <w:t>The federal government receives royalty payments once production starts. The royalty rate is applied to the value of the amount of production. The royalty rate of 18.75 per cent has typically applied to shallow and deep water leases in the Gulf of Mexico from March 2008. Royalty relief and other incentives apply.</w:t>
      </w:r>
    </w:p>
    <w:p w14:paraId="5678B5C2" w14:textId="2B2E9847" w:rsidR="00F572A2" w:rsidRDefault="00AC0D24" w:rsidP="00AC0D24">
      <w:pPr>
        <w:pStyle w:val="Heading3"/>
      </w:pPr>
      <w:bookmarkStart w:id="12553" w:name="_Toc477869989"/>
      <w:bookmarkStart w:id="12554" w:name="_Toc477871228"/>
      <w:bookmarkStart w:id="12555" w:name="_Toc477873387"/>
      <w:bookmarkStart w:id="12556" w:name="_Toc477875381"/>
      <w:bookmarkStart w:id="12557" w:name="_Toc477880294"/>
      <w:bookmarkStart w:id="12558" w:name="_Toc477881554"/>
      <w:bookmarkStart w:id="12559" w:name="_Toc477955957"/>
      <w:bookmarkStart w:id="12560" w:name="_Toc477963202"/>
      <w:bookmarkStart w:id="12561" w:name="_Toc477963688"/>
      <w:bookmarkStart w:id="12562" w:name="_Toc477965274"/>
      <w:bookmarkStart w:id="12563" w:name="_Toc477966778"/>
      <w:bookmarkStart w:id="12564" w:name="_Toc477966947"/>
      <w:bookmarkStart w:id="12565" w:name="_Toc477967287"/>
      <w:bookmarkStart w:id="12566" w:name="_Toc478121422"/>
      <w:bookmarkStart w:id="12567" w:name="_Toc478122335"/>
      <w:bookmarkStart w:id="12568" w:name="_Toc478132165"/>
      <w:bookmarkStart w:id="12569" w:name="_Toc478132472"/>
      <w:bookmarkStart w:id="12570" w:name="_Toc478134801"/>
      <w:bookmarkStart w:id="12571" w:name="_Toc478137503"/>
      <w:bookmarkStart w:id="12572" w:name="_Toc478138575"/>
      <w:bookmarkStart w:id="12573" w:name="_Toc478140145"/>
      <w:bookmarkStart w:id="12574" w:name="_Toc478140561"/>
      <w:bookmarkStart w:id="12575" w:name="_Toc478142767"/>
      <w:bookmarkStart w:id="12576" w:name="_Toc478566486"/>
      <w:bookmarkStart w:id="12577" w:name="_Toc478569653"/>
      <w:bookmarkStart w:id="12578" w:name="_Toc478569827"/>
      <w:bookmarkStart w:id="12579" w:name="_Toc478570901"/>
      <w:bookmarkStart w:id="12580" w:name="_Toc478633100"/>
      <w:bookmarkStart w:id="12581" w:name="_Toc478641509"/>
      <w:bookmarkStart w:id="12582" w:name="_Toc478654403"/>
      <w:bookmarkStart w:id="12583" w:name="_Toc478654577"/>
      <w:bookmarkStart w:id="12584" w:name="_Toc478657872"/>
      <w:bookmarkStart w:id="12585" w:name="_Toc478993293"/>
      <w:bookmarkStart w:id="12586" w:name="_Toc479000364"/>
      <w:bookmarkStart w:id="12587" w:name="_Toc479002298"/>
      <w:bookmarkStart w:id="12588" w:name="_Toc479002470"/>
      <w:bookmarkStart w:id="12589" w:name="_Toc479254444"/>
      <w:bookmarkStart w:id="12590" w:name="_Toc479258633"/>
      <w:bookmarkStart w:id="12591" w:name="_Toc479258949"/>
      <w:bookmarkStart w:id="12592" w:name="_Toc479259841"/>
      <w:bookmarkStart w:id="12593" w:name="_Toc479262264"/>
      <w:bookmarkStart w:id="12594" w:name="_Toc479262685"/>
      <w:bookmarkStart w:id="12595" w:name="_Toc479321386"/>
      <w:bookmarkStart w:id="12596" w:name="_Toc479326825"/>
      <w:bookmarkStart w:id="12597" w:name="_Toc479333086"/>
      <w:bookmarkStart w:id="12598" w:name="_Toc479333424"/>
      <w:bookmarkStart w:id="12599" w:name="_Toc479335121"/>
      <w:bookmarkStart w:id="12600" w:name="_Toc479341836"/>
      <w:bookmarkStart w:id="12601" w:name="_Toc479345252"/>
      <w:bookmarkStart w:id="12602" w:name="_Toc479345461"/>
      <w:bookmarkStart w:id="12603" w:name="_Toc479348442"/>
      <w:bookmarkStart w:id="12604" w:name="_Toc479676035"/>
      <w:bookmarkStart w:id="12605" w:name="_Toc479691002"/>
      <w:bookmarkStart w:id="12606" w:name="_Toc479693580"/>
      <w:bookmarkStart w:id="12607" w:name="_Toc479770749"/>
      <w:r>
        <w:t>E.2.</w:t>
      </w:r>
      <w:r w:rsidR="00C65684">
        <w:t>6</w:t>
      </w:r>
      <w:r>
        <w:tab/>
      </w:r>
      <w:r>
        <w:tab/>
        <w:t>Qatar</w:t>
      </w:r>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p>
    <w:p w14:paraId="6FE1BC99" w14:textId="608BDB99" w:rsidR="00F572A2" w:rsidRDefault="00F572A2" w:rsidP="00F572A2">
      <w:r>
        <w:t xml:space="preserve">Through the state owned corporation Qatar Petroleum (QP), the Qatari Government has a direct interest in all stages </w:t>
      </w:r>
      <w:r w:rsidR="00C65684">
        <w:t>of oil and gas activities:</w:t>
      </w:r>
      <w:r>
        <w:t xml:space="preserve"> exploration, development, production, storage, marketing, sale and downstream affiliated activities. Exploration, production and development rights are provided through specific agreements with QP, typically through production sharing agreements and development and fiscal agreements (DFAs). Fiscal arrangements differ as a result of the individual agreements entered into and cannot be readily compared. As a guideline, fiscal arrangements could include:</w:t>
      </w:r>
    </w:p>
    <w:p w14:paraId="420D33B7" w14:textId="7F64C34C" w:rsidR="00F572A2" w:rsidRDefault="00F572A2" w:rsidP="00697B89">
      <w:pPr>
        <w:pStyle w:val="Bullet"/>
      </w:pPr>
      <w:r>
        <w:t>corporate tax rate</w:t>
      </w:r>
      <w:r w:rsidR="005D6F39">
        <w:t xml:space="preserve"> — </w:t>
      </w:r>
      <w:r>
        <w:t>this rate is not to be less than 35 per cent for oil and gas operations</w:t>
      </w:r>
      <w:r w:rsidR="00510CE6">
        <w:t>;</w:t>
      </w:r>
    </w:p>
    <w:p w14:paraId="0F85D02C" w14:textId="27BA187B" w:rsidR="00F572A2" w:rsidRDefault="00F572A2" w:rsidP="00697B89">
      <w:pPr>
        <w:pStyle w:val="Bullet"/>
      </w:pPr>
      <w:r>
        <w:t>royalties, payable on total sales (under DFAs) with rates set in the specific agreement</w:t>
      </w:r>
      <w:r w:rsidR="00510CE6">
        <w:t>;</w:t>
      </w:r>
    </w:p>
    <w:p w14:paraId="1B8FCF8D" w14:textId="2EADBF78" w:rsidR="00F572A2" w:rsidRDefault="00F572A2" w:rsidP="00697B89">
      <w:pPr>
        <w:pStyle w:val="Bullet"/>
      </w:pPr>
      <w:r>
        <w:t>bonuses, payable on signature and/or on achievement of specific production targets</w:t>
      </w:r>
      <w:r w:rsidR="00510CE6">
        <w:t>;</w:t>
      </w:r>
    </w:p>
    <w:p w14:paraId="771A0419" w14:textId="35DCF572" w:rsidR="00F572A2" w:rsidRDefault="00F572A2" w:rsidP="00697B89">
      <w:pPr>
        <w:pStyle w:val="Bullet"/>
      </w:pPr>
      <w:r>
        <w:t>cost recovery arrangements</w:t>
      </w:r>
      <w:r w:rsidR="00510CE6">
        <w:t>; and</w:t>
      </w:r>
    </w:p>
    <w:p w14:paraId="3C1C35E8" w14:textId="77777777" w:rsidR="00F572A2" w:rsidRDefault="00F572A2" w:rsidP="00697B89">
      <w:pPr>
        <w:pStyle w:val="Bullet"/>
      </w:pPr>
      <w:r>
        <w:t>profit sharing arrangements.</w:t>
      </w:r>
    </w:p>
    <w:p w14:paraId="214CE4AB" w14:textId="77777777" w:rsidR="00F572A2" w:rsidRDefault="00F572A2" w:rsidP="00F572A2">
      <w:r>
        <w:t>Qatar does not levy a specific petroleum rent tax.</w:t>
      </w:r>
    </w:p>
    <w:p w14:paraId="1DED305E" w14:textId="3C4F6765" w:rsidR="00F572A2" w:rsidRDefault="00F572A2" w:rsidP="00F572A2">
      <w:r>
        <w:t>Qatar</w:t>
      </w:r>
      <w:r w:rsidR="005D6F39">
        <w:t>’</w:t>
      </w:r>
      <w:r>
        <w:t>s exports of LNG and crude oil provide a significant portion of government revenues.</w:t>
      </w:r>
    </w:p>
    <w:p w14:paraId="3310BCFF" w14:textId="77777777" w:rsidR="005072B8" w:rsidRDefault="005072B8">
      <w:pPr>
        <w:spacing w:after="0" w:line="240" w:lineRule="auto"/>
        <w:jc w:val="left"/>
      </w:pPr>
      <w:r>
        <w:br w:type="page"/>
      </w:r>
    </w:p>
    <w:p w14:paraId="537901AE" w14:textId="75E2B0EE" w:rsidR="000B00FF" w:rsidRPr="003610A0" w:rsidRDefault="009D0552" w:rsidP="000B00FF">
      <w:pPr>
        <w:pStyle w:val="Heading1"/>
      </w:pPr>
      <w:bookmarkStart w:id="12608" w:name="_Toc476577418"/>
      <w:bookmarkStart w:id="12609" w:name="_Toc476582407"/>
      <w:bookmarkStart w:id="12610" w:name="_Toc476583081"/>
      <w:bookmarkStart w:id="12611" w:name="_Toc476583798"/>
      <w:bookmarkStart w:id="12612" w:name="_Toc476584246"/>
      <w:bookmarkStart w:id="12613" w:name="_Toc476738164"/>
      <w:bookmarkStart w:id="12614" w:name="_Toc476747749"/>
      <w:bookmarkStart w:id="12615" w:name="_Toc476749159"/>
      <w:bookmarkStart w:id="12616" w:name="_Toc476754026"/>
      <w:bookmarkStart w:id="12617" w:name="_Toc476754521"/>
      <w:bookmarkStart w:id="12618" w:name="_Toc476754686"/>
      <w:bookmarkStart w:id="12619" w:name="_Toc476759927"/>
      <w:bookmarkStart w:id="12620" w:name="_Toc476761549"/>
      <w:bookmarkStart w:id="12621" w:name="_Toc476767187"/>
      <w:bookmarkStart w:id="12622" w:name="_Toc476827233"/>
      <w:bookmarkStart w:id="12623" w:name="_Toc476828926"/>
      <w:bookmarkStart w:id="12624" w:name="_Toc476833800"/>
      <w:bookmarkStart w:id="12625" w:name="_Toc476837273"/>
      <w:bookmarkStart w:id="12626" w:name="_Toc476841146"/>
      <w:bookmarkStart w:id="12627" w:name="_Toc476841351"/>
      <w:bookmarkStart w:id="12628" w:name="_Toc476842110"/>
      <w:bookmarkStart w:id="12629" w:name="_Toc476843054"/>
      <w:bookmarkStart w:id="12630" w:name="_Toc476843225"/>
      <w:bookmarkStart w:id="12631" w:name="_Toc476844723"/>
      <w:bookmarkStart w:id="12632" w:name="_Toc476845616"/>
      <w:bookmarkStart w:id="12633" w:name="_Toc476927010"/>
      <w:bookmarkStart w:id="12634" w:name="_Toc476927123"/>
      <w:bookmarkStart w:id="12635" w:name="_Toc476927297"/>
      <w:bookmarkStart w:id="12636" w:name="_Toc476928561"/>
      <w:bookmarkStart w:id="12637" w:name="_Toc476929604"/>
      <w:bookmarkStart w:id="12638" w:name="_Toc476929779"/>
      <w:bookmarkStart w:id="12639" w:name="_Toc476930822"/>
      <w:bookmarkStart w:id="12640" w:name="_Toc476931629"/>
      <w:bookmarkStart w:id="12641" w:name="_Toc477869990"/>
      <w:bookmarkStart w:id="12642" w:name="_Toc477871229"/>
      <w:bookmarkStart w:id="12643" w:name="_Toc477873388"/>
      <w:bookmarkStart w:id="12644" w:name="_Toc477875382"/>
      <w:bookmarkStart w:id="12645" w:name="_Toc477880295"/>
      <w:bookmarkStart w:id="12646" w:name="_Toc477881555"/>
      <w:bookmarkStart w:id="12647" w:name="_Toc477955958"/>
      <w:bookmarkStart w:id="12648" w:name="_Toc477963203"/>
      <w:bookmarkStart w:id="12649" w:name="_Toc477963689"/>
      <w:bookmarkStart w:id="12650" w:name="_Toc477965275"/>
      <w:bookmarkStart w:id="12651" w:name="_Toc477966779"/>
      <w:bookmarkStart w:id="12652" w:name="_Toc477966948"/>
      <w:bookmarkStart w:id="12653" w:name="_Toc477967288"/>
      <w:bookmarkStart w:id="12654" w:name="_Toc478121423"/>
      <w:bookmarkStart w:id="12655" w:name="_Toc478122336"/>
      <w:bookmarkStart w:id="12656" w:name="_Toc478132166"/>
      <w:bookmarkStart w:id="12657" w:name="_Toc478132473"/>
      <w:bookmarkStart w:id="12658" w:name="_Toc478134802"/>
      <w:bookmarkStart w:id="12659" w:name="_Toc478137504"/>
      <w:bookmarkStart w:id="12660" w:name="_Toc478138576"/>
      <w:bookmarkStart w:id="12661" w:name="_Toc478140146"/>
      <w:bookmarkStart w:id="12662" w:name="_Toc478140562"/>
      <w:bookmarkStart w:id="12663" w:name="_Toc478142768"/>
      <w:bookmarkStart w:id="12664" w:name="_Toc478566487"/>
      <w:bookmarkStart w:id="12665" w:name="_Toc478569654"/>
      <w:bookmarkStart w:id="12666" w:name="_Toc478569828"/>
      <w:bookmarkStart w:id="12667" w:name="_Toc478570902"/>
      <w:bookmarkStart w:id="12668" w:name="_Toc478633101"/>
      <w:bookmarkStart w:id="12669" w:name="_Toc478641510"/>
      <w:bookmarkStart w:id="12670" w:name="_Toc478654404"/>
      <w:bookmarkStart w:id="12671" w:name="_Toc478654578"/>
      <w:bookmarkStart w:id="12672" w:name="_Toc478657873"/>
      <w:bookmarkStart w:id="12673" w:name="_Toc478993294"/>
      <w:bookmarkStart w:id="12674" w:name="_Toc479000365"/>
      <w:bookmarkStart w:id="12675" w:name="_Toc479002299"/>
      <w:bookmarkStart w:id="12676" w:name="_Toc479002471"/>
      <w:bookmarkStart w:id="12677" w:name="_Toc479254445"/>
      <w:bookmarkStart w:id="12678" w:name="_Toc479258634"/>
      <w:bookmarkStart w:id="12679" w:name="_Toc479258950"/>
      <w:bookmarkStart w:id="12680" w:name="_Toc479259842"/>
      <w:bookmarkStart w:id="12681" w:name="_Toc479262265"/>
      <w:bookmarkStart w:id="12682" w:name="_Toc479262686"/>
      <w:bookmarkStart w:id="12683" w:name="_Toc479321387"/>
      <w:bookmarkStart w:id="12684" w:name="_Toc479326826"/>
      <w:bookmarkStart w:id="12685" w:name="_Toc479333087"/>
      <w:bookmarkStart w:id="12686" w:name="_Toc479333425"/>
      <w:bookmarkStart w:id="12687" w:name="_Toc479335122"/>
      <w:bookmarkStart w:id="12688" w:name="_Toc479341837"/>
      <w:bookmarkStart w:id="12689" w:name="_Toc479345253"/>
      <w:bookmarkStart w:id="12690" w:name="_Toc479345462"/>
      <w:bookmarkStart w:id="12691" w:name="_Toc479348443"/>
      <w:bookmarkStart w:id="12692" w:name="_Toc479676036"/>
      <w:bookmarkStart w:id="12693" w:name="_Toc479691003"/>
      <w:bookmarkStart w:id="12694" w:name="_Toc479693581"/>
      <w:bookmarkStart w:id="12695" w:name="_Toc479770750"/>
      <w:r>
        <w:t xml:space="preserve">Appendix </w:t>
      </w:r>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r w:rsidR="00257E1A">
        <w:t>F</w:t>
      </w:r>
      <w:r w:rsidR="005D6F39">
        <w:t xml:space="preserve"> — </w:t>
      </w:r>
      <w:r w:rsidR="000B00FF">
        <w:t>Gas Markets</w:t>
      </w:r>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p>
    <w:p w14:paraId="68C21F0A" w14:textId="36360A7D" w:rsidR="000B00FF" w:rsidRDefault="001255C7" w:rsidP="00073624">
      <w:pPr>
        <w:pStyle w:val="Heading2"/>
      </w:pPr>
      <w:bookmarkStart w:id="12696" w:name="_Toc477869991"/>
      <w:bookmarkStart w:id="12697" w:name="_Toc477871230"/>
      <w:bookmarkStart w:id="12698" w:name="_Toc477873389"/>
      <w:bookmarkStart w:id="12699" w:name="_Toc477875383"/>
      <w:bookmarkStart w:id="12700" w:name="_Toc477880296"/>
      <w:bookmarkStart w:id="12701" w:name="_Toc477881556"/>
      <w:bookmarkStart w:id="12702" w:name="_Toc477955959"/>
      <w:bookmarkStart w:id="12703" w:name="_Toc477963204"/>
      <w:bookmarkStart w:id="12704" w:name="_Toc477963690"/>
      <w:bookmarkStart w:id="12705" w:name="_Toc477965276"/>
      <w:bookmarkStart w:id="12706" w:name="_Toc477966780"/>
      <w:bookmarkStart w:id="12707" w:name="_Toc477966949"/>
      <w:bookmarkStart w:id="12708" w:name="_Toc477967289"/>
      <w:bookmarkStart w:id="12709" w:name="_Toc478121424"/>
      <w:bookmarkStart w:id="12710" w:name="_Toc478122337"/>
      <w:bookmarkStart w:id="12711" w:name="_Toc478132167"/>
      <w:bookmarkStart w:id="12712" w:name="_Toc478132474"/>
      <w:bookmarkStart w:id="12713" w:name="_Toc478134803"/>
      <w:bookmarkStart w:id="12714" w:name="_Toc478137505"/>
      <w:bookmarkStart w:id="12715" w:name="_Toc478138577"/>
      <w:bookmarkStart w:id="12716" w:name="_Toc478140147"/>
      <w:bookmarkStart w:id="12717" w:name="_Toc478140563"/>
      <w:bookmarkStart w:id="12718" w:name="_Toc478142769"/>
      <w:bookmarkStart w:id="12719" w:name="_Toc478566488"/>
      <w:bookmarkStart w:id="12720" w:name="_Toc478569655"/>
      <w:bookmarkStart w:id="12721" w:name="_Toc478569829"/>
      <w:bookmarkStart w:id="12722" w:name="_Toc478570903"/>
      <w:bookmarkStart w:id="12723" w:name="_Toc478633102"/>
      <w:bookmarkStart w:id="12724" w:name="_Toc478641511"/>
      <w:bookmarkStart w:id="12725" w:name="_Toc478654405"/>
      <w:bookmarkStart w:id="12726" w:name="_Toc478654579"/>
      <w:bookmarkStart w:id="12727" w:name="_Toc478657874"/>
      <w:bookmarkStart w:id="12728" w:name="_Toc478993295"/>
      <w:bookmarkStart w:id="12729" w:name="_Toc479000366"/>
      <w:bookmarkStart w:id="12730" w:name="_Toc479002300"/>
      <w:bookmarkStart w:id="12731" w:name="_Toc479002472"/>
      <w:bookmarkStart w:id="12732" w:name="_Toc479254446"/>
      <w:bookmarkStart w:id="12733" w:name="_Toc479258635"/>
      <w:bookmarkStart w:id="12734" w:name="_Toc479258951"/>
      <w:bookmarkStart w:id="12735" w:name="_Toc479259843"/>
      <w:bookmarkStart w:id="12736" w:name="_Toc479262266"/>
      <w:bookmarkStart w:id="12737" w:name="_Toc479262687"/>
      <w:bookmarkStart w:id="12738" w:name="_Toc479321388"/>
      <w:bookmarkStart w:id="12739" w:name="_Toc479326827"/>
      <w:bookmarkStart w:id="12740" w:name="_Toc479333088"/>
      <w:bookmarkStart w:id="12741" w:name="_Toc479333426"/>
      <w:bookmarkStart w:id="12742" w:name="_Toc479335123"/>
      <w:bookmarkStart w:id="12743" w:name="_Toc479341838"/>
      <w:bookmarkStart w:id="12744" w:name="_Toc479345254"/>
      <w:bookmarkStart w:id="12745" w:name="_Toc479345463"/>
      <w:bookmarkStart w:id="12746" w:name="_Toc479348444"/>
      <w:bookmarkStart w:id="12747" w:name="_Toc479676037"/>
      <w:bookmarkStart w:id="12748" w:name="_Toc479691004"/>
      <w:bookmarkStart w:id="12749" w:name="_Toc479693582"/>
      <w:bookmarkStart w:id="12750" w:name="_Toc479770751"/>
      <w:r>
        <w:t>F</w:t>
      </w:r>
      <w:r w:rsidRPr="001255C7">
        <w:t>.</w:t>
      </w:r>
      <w:r>
        <w:t>1</w:t>
      </w:r>
      <w:r w:rsidRPr="001255C7">
        <w:tab/>
      </w:r>
      <w:r w:rsidR="000B00FF">
        <w:t>Global LNG Market</w:t>
      </w:r>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p>
    <w:p w14:paraId="7A2DB8CB" w14:textId="77777777" w:rsidR="000B00FF" w:rsidRDefault="000B00FF" w:rsidP="000B00FF">
      <w:r>
        <w:t>Global LNG trade volumes have grown strongly over the last 50 years, facilitated by the diversification of both import and export markets. The LNG market has become increasingly interconnected and flexible, reflected in the increasing significance of LNG spot trading.</w:t>
      </w:r>
    </w:p>
    <w:p w14:paraId="47172EBE" w14:textId="383C8900" w:rsidR="000B00FF" w:rsidRDefault="000B00FF" w:rsidP="000B00FF">
      <w:r>
        <w:t>Currently, the global LNG market is going through a period of significant transformation. The tight supply conditions and high prices prior to 2014 have given way to sharply lower spot and contract prices, as expanded supply from new Australian and U</w:t>
      </w:r>
      <w:r w:rsidR="003239F6">
        <w:t xml:space="preserve">nited </w:t>
      </w:r>
      <w:r>
        <w:t>S</w:t>
      </w:r>
      <w:r w:rsidR="003239F6">
        <w:t>tates</w:t>
      </w:r>
      <w:r>
        <w:t xml:space="preserve"> LNG projects enter the market.</w:t>
      </w:r>
    </w:p>
    <w:p w14:paraId="5F69178C" w14:textId="7A1AAAC6" w:rsidR="000B00FF" w:rsidRDefault="000B00FF" w:rsidP="000B00FF">
      <w:r>
        <w:t xml:space="preserve">LNG imports in the Asian region are expected to drive global LNG growth over the next few years, </w:t>
      </w:r>
      <w:r w:rsidR="005871D4">
        <w:t xml:space="preserve">forecast to </w:t>
      </w:r>
      <w:r>
        <w:t>increas</w:t>
      </w:r>
      <w:r w:rsidR="005871D4">
        <w:t>e</w:t>
      </w:r>
      <w:r>
        <w:t xml:space="preserve"> from 167 million tonnes in 2015 to </w:t>
      </w:r>
      <w:r w:rsidR="005871D4">
        <w:t xml:space="preserve">around </w:t>
      </w:r>
      <w:r>
        <w:t>246 million tonnes in</w:t>
      </w:r>
      <w:r w:rsidR="00FC6DF9">
        <w:t> </w:t>
      </w:r>
      <w:r>
        <w:t>2021 (</w:t>
      </w:r>
      <w:r w:rsidRPr="00E82A42">
        <w:t>Department of Industry, Innovation and Science, 2016b, p. 73</w:t>
      </w:r>
      <w:r>
        <w:t>). While Japan will remain the largest Asian market, the role of China is expected to increase, overtaking South Korea to become the second largest market by the end of the decade. LNG demand growth is also expected to be led by strong growth in India and a range of smaller and emerging importers in the rest of Asia, as well as a recovery of LNG demand in Europe.</w:t>
      </w:r>
    </w:p>
    <w:p w14:paraId="5DB93E9C" w14:textId="6CF72B02" w:rsidR="000B00FF" w:rsidRDefault="000B00FF" w:rsidP="000B00FF">
      <w:r>
        <w:t>However, strong growth in capacity will more than offset the projected demand growth over the next few years. Global liquefaction capacity is forecast to increase on average by 7</w:t>
      </w:r>
      <w:r w:rsidR="00BD739B">
        <w:t> </w:t>
      </w:r>
      <w:r>
        <w:t>per</w:t>
      </w:r>
      <w:r w:rsidR="00BD739B">
        <w:t> </w:t>
      </w:r>
      <w:r>
        <w:t>cent a year until 2021 as new projects come online, mostly from Australia and the U</w:t>
      </w:r>
      <w:r w:rsidR="003239F6">
        <w:t xml:space="preserve">nited </w:t>
      </w:r>
      <w:r>
        <w:t>S</w:t>
      </w:r>
      <w:r w:rsidR="003239F6">
        <w:t>tates</w:t>
      </w:r>
      <w:r>
        <w:t xml:space="preserve"> </w:t>
      </w:r>
      <w:r w:rsidR="00E4209D">
        <w:t>(</w:t>
      </w:r>
      <w:r>
        <w:t xml:space="preserve">see </w:t>
      </w:r>
      <w:r w:rsidRPr="006D28D4">
        <w:t xml:space="preserve">Figure </w:t>
      </w:r>
      <w:r w:rsidR="00F111BF" w:rsidRPr="006D28D4">
        <w:t>F.1</w:t>
      </w:r>
      <w:r w:rsidR="00E4209D">
        <w:t>)</w:t>
      </w:r>
      <w:r>
        <w:t>. Australia</w:t>
      </w:r>
      <w:r w:rsidR="005D6F39">
        <w:t>’</w:t>
      </w:r>
      <w:r>
        <w:t>s new LNG projects will add around 25 per cent to global liquefaction capacity (</w:t>
      </w:r>
      <w:r w:rsidRPr="00E82A42">
        <w:t>Department of Industry, Innovation and Science, 2016f, p. 42</w:t>
      </w:r>
      <w:r>
        <w:t>).</w:t>
      </w:r>
    </w:p>
    <w:p w14:paraId="26A3BDF7" w14:textId="77777777" w:rsidR="000B00FF" w:rsidRDefault="000B00FF" w:rsidP="000B00FF">
      <w:pPr>
        <w:spacing w:after="0" w:line="240" w:lineRule="auto"/>
        <w:jc w:val="left"/>
        <w:rPr>
          <w:rFonts w:ascii="Century Gothic" w:hAnsi="Century Gothic"/>
          <w:b/>
          <w:bCs/>
          <w:color w:val="1F497D" w:themeColor="text2"/>
          <w:szCs w:val="22"/>
        </w:rPr>
      </w:pPr>
      <w:r>
        <w:br w:type="page"/>
      </w:r>
    </w:p>
    <w:p w14:paraId="72BB77A8" w14:textId="2ED720B4" w:rsidR="000B00FF" w:rsidRDefault="000B00FF" w:rsidP="00221C2A">
      <w:pPr>
        <w:pStyle w:val="ChartMainHeading"/>
      </w:pPr>
      <w:r>
        <w:t xml:space="preserve">Figure </w:t>
      </w:r>
      <w:r w:rsidR="00F111BF" w:rsidRPr="00D56EE0">
        <w:t>F.1</w:t>
      </w:r>
      <w:r>
        <w:t xml:space="preserve"> </w:t>
      </w:r>
      <w:r w:rsidR="00E1469F" w:rsidRPr="00496C37">
        <w:t>—</w:t>
      </w:r>
      <w:r>
        <w:t xml:space="preserve"> Global </w:t>
      </w:r>
      <w:r w:rsidR="00E1469F">
        <w:t>l</w:t>
      </w:r>
      <w:r>
        <w:t xml:space="preserve">iquefaction </w:t>
      </w:r>
      <w:r w:rsidR="00E1469F">
        <w:t>c</w:t>
      </w:r>
      <w:r>
        <w:t>apacity</w:t>
      </w:r>
    </w:p>
    <w:bookmarkStart w:id="12751" w:name="_1553413978"/>
    <w:bookmarkStart w:id="12752" w:name="_1553502288"/>
    <w:bookmarkEnd w:id="12751"/>
    <w:bookmarkEnd w:id="12752"/>
    <w:p w14:paraId="1CEA5A73" w14:textId="65C04125" w:rsidR="000B00FF" w:rsidRPr="006D28D4" w:rsidRDefault="00FC6DF9" w:rsidP="00061E5C">
      <w:pPr>
        <w:pStyle w:val="ChartGraphic"/>
      </w:pPr>
      <w:r>
        <w:rPr>
          <w:highlight w:val="green"/>
        </w:rPr>
        <w:object w:dxaOrig="7201" w:dyaOrig="4321" w14:anchorId="6C67A154">
          <v:shape id="_x0000_i1050" type="#_x0000_t75" alt="Figure F.1 shows global liquefaction capacity for Australia, North America, the Middle East, Africa, South East Asia and Other. It charts existing capacity in 2016 and additional capacity by 2022." style="width:354pt;height:208.5pt" o:ole="">
            <v:imagedata r:id="rId123" o:title="" croptop="860f" cropbottom="1376f" cropleft="516f" cropright="619f"/>
          </v:shape>
          <o:OLEObject Type="Link" ProgID="Excel.Sheet.12" ShapeID="_x0000_i1050" DrawAspect="Content" r:id="rId124" UpdateMode="Always">
            <o:LinkType>EnhancedMetaFile</o:LinkType>
            <o:LockedField>false</o:LockedField>
          </o:OLEObject>
        </w:object>
      </w:r>
    </w:p>
    <w:p w14:paraId="659CAF56" w14:textId="1275FCFA" w:rsidR="000B00FF" w:rsidRDefault="000B00FF" w:rsidP="00FC6DF9">
      <w:pPr>
        <w:pStyle w:val="ChartorTableNote"/>
      </w:pPr>
      <w:r w:rsidRPr="00E82A42">
        <w:t xml:space="preserve">Source: Department of Industry, Innovation and Science, </w:t>
      </w:r>
      <w:r w:rsidR="007D68F5">
        <w:t>2017</w:t>
      </w:r>
      <w:r w:rsidR="00E1469F">
        <w:t>.</w:t>
      </w:r>
    </w:p>
    <w:p w14:paraId="76E1F73C" w14:textId="77777777" w:rsidR="00FC6DF9" w:rsidRPr="00FC6DF9" w:rsidRDefault="00FC6DF9" w:rsidP="00FC6DF9">
      <w:pPr>
        <w:pStyle w:val="SingleParagraph"/>
      </w:pPr>
    </w:p>
    <w:p w14:paraId="46FF73F9" w14:textId="5C29C33D" w:rsidR="000B00FF" w:rsidRDefault="000B00FF" w:rsidP="000B00FF">
      <w:r w:rsidRPr="006D28D4">
        <w:t xml:space="preserve">Figure </w:t>
      </w:r>
      <w:r w:rsidR="00F111BF" w:rsidRPr="006D28D4">
        <w:t>F.2</w:t>
      </w:r>
      <w:r>
        <w:t xml:space="preserve"> shows that despite the rapid increase in LNG demand to 2020, an even faster expansion of LNG capacity over the same period will add to excess supply in the market causing downward pressure on spot prices.</w:t>
      </w:r>
    </w:p>
    <w:p w14:paraId="5110E95A" w14:textId="32FB89A6" w:rsidR="000B00FF" w:rsidRDefault="000B00FF" w:rsidP="00221C2A">
      <w:pPr>
        <w:pStyle w:val="ChartMainHeading"/>
      </w:pPr>
      <w:r w:rsidRPr="00490AED">
        <w:t xml:space="preserve">Figure </w:t>
      </w:r>
      <w:r w:rsidR="00F111BF" w:rsidRPr="00490AED">
        <w:t>F.</w:t>
      </w:r>
      <w:r w:rsidR="00BD739B" w:rsidRPr="00490AED">
        <w:t>2</w:t>
      </w:r>
      <w:r w:rsidR="00BD739B">
        <w:t xml:space="preserve"> </w:t>
      </w:r>
      <w:r w:rsidR="00E1469F" w:rsidRPr="00496C37">
        <w:t>—</w:t>
      </w:r>
      <w:r w:rsidRPr="00E82A42">
        <w:t xml:space="preserve"> Global </w:t>
      </w:r>
      <w:r w:rsidR="00E1469F">
        <w:t>l</w:t>
      </w:r>
      <w:r w:rsidRPr="00E82A42">
        <w:t xml:space="preserve">iquefaction </w:t>
      </w:r>
      <w:r w:rsidR="00E1469F">
        <w:t>c</w:t>
      </w:r>
      <w:r w:rsidRPr="00E82A42">
        <w:t xml:space="preserve">apacity and </w:t>
      </w:r>
      <w:r w:rsidR="00E1469F">
        <w:t>i</w:t>
      </w:r>
      <w:r w:rsidRPr="00E82A42">
        <w:t>mports</w:t>
      </w:r>
    </w:p>
    <w:p w14:paraId="10D50FFE" w14:textId="474D92D8" w:rsidR="000B00FF" w:rsidRPr="006D28D4" w:rsidRDefault="00E1469F" w:rsidP="00444108">
      <w:pPr>
        <w:pStyle w:val="ChartGraphic"/>
      </w:pPr>
      <w:r>
        <w:rPr>
          <w:noProof/>
        </w:rPr>
        <w:drawing>
          <wp:inline distT="0" distB="0" distL="0" distR="0" wp14:anchorId="06074024" wp14:editId="12F5F989">
            <wp:extent cx="5580000" cy="2880000"/>
            <wp:effectExtent l="0" t="0" r="1905" b="0"/>
            <wp:docPr id="19" name="Chart 19" descr="Figure F.2 shows global liquefaction capacity and imports. Despite the rapid increase in LNG demand to 2020, an even faster expansion of LNG capacity over the same period will add to excess supply in the market causing downward pressure on spot pr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8D34522" w14:textId="2D40BB6B" w:rsidR="000B00FF" w:rsidRDefault="000B00FF" w:rsidP="00FC6DF9">
      <w:pPr>
        <w:pStyle w:val="ChartorTableNote"/>
      </w:pPr>
      <w:r w:rsidRPr="00E82A42">
        <w:t>Source: Department of Industry, Innovation and Science, 2016f</w:t>
      </w:r>
      <w:r w:rsidR="00E1469F">
        <w:t>.</w:t>
      </w:r>
    </w:p>
    <w:p w14:paraId="4B21BCF4" w14:textId="77777777" w:rsidR="00FC6DF9" w:rsidRPr="00FC6DF9" w:rsidRDefault="00FC6DF9" w:rsidP="00FC6DF9">
      <w:pPr>
        <w:pStyle w:val="SingleParagraph"/>
      </w:pPr>
    </w:p>
    <w:p w14:paraId="3C101C98" w14:textId="5C06833B" w:rsidR="000B00FF" w:rsidRDefault="000B00FF" w:rsidP="000B00FF">
      <w:r>
        <w:t xml:space="preserve">There is no certainty on when this excess capacity may be </w:t>
      </w:r>
      <w:r w:rsidR="00BD739B">
        <w:t>absorbed</w:t>
      </w:r>
      <w:r>
        <w:t xml:space="preserve"> beyond 2020. The countries with the greatest potential for long</w:t>
      </w:r>
      <w:r w:rsidR="00E4209D">
        <w:t xml:space="preserve"> </w:t>
      </w:r>
      <w:r>
        <w:t>term LNG demand growth can also access pipeline supplies and/or increased domestic production. Also, the demand for natural gas will be sensitive to the price relativity of gas versus other fuels, such as nuclear, renewables and coal, and the difficulties in predicting the likely direction of global environmental and economic policies.</w:t>
      </w:r>
    </w:p>
    <w:p w14:paraId="5125B4A1" w14:textId="77777777" w:rsidR="000B00FF" w:rsidRDefault="000B00FF" w:rsidP="000B00FF">
      <w:r>
        <w:t>The cost competitiveness of gas will be a key determinant of the outlook beyond 2020. The price needs to be low enough to sustain and improve the share of natural gas in total primary energy consumption, but high enough to encourage investment in new gas supply. There may be constraints on investment regardless of price movements and, if so, excess capacity could be expected to decline between 2020 and 2030.</w:t>
      </w:r>
    </w:p>
    <w:p w14:paraId="2E8F7448" w14:textId="04902D0F" w:rsidR="000B00FF" w:rsidRDefault="001255C7" w:rsidP="00073624">
      <w:pPr>
        <w:pStyle w:val="Heading2"/>
      </w:pPr>
      <w:bookmarkStart w:id="12753" w:name="_Toc477869992"/>
      <w:bookmarkStart w:id="12754" w:name="_Toc477871231"/>
      <w:bookmarkStart w:id="12755" w:name="_Toc477873390"/>
      <w:bookmarkStart w:id="12756" w:name="_Toc477875384"/>
      <w:bookmarkStart w:id="12757" w:name="_Toc477880297"/>
      <w:bookmarkStart w:id="12758" w:name="_Toc477881557"/>
      <w:bookmarkStart w:id="12759" w:name="_Toc477955960"/>
      <w:bookmarkStart w:id="12760" w:name="_Toc477963205"/>
      <w:bookmarkStart w:id="12761" w:name="_Toc477963691"/>
      <w:bookmarkStart w:id="12762" w:name="_Toc477965277"/>
      <w:bookmarkStart w:id="12763" w:name="_Toc477966781"/>
      <w:bookmarkStart w:id="12764" w:name="_Toc477966950"/>
      <w:bookmarkStart w:id="12765" w:name="_Toc477967290"/>
      <w:bookmarkStart w:id="12766" w:name="_Toc478121425"/>
      <w:bookmarkStart w:id="12767" w:name="_Toc478122338"/>
      <w:bookmarkStart w:id="12768" w:name="_Toc478132168"/>
      <w:bookmarkStart w:id="12769" w:name="_Toc478132475"/>
      <w:bookmarkStart w:id="12770" w:name="_Toc478134804"/>
      <w:bookmarkStart w:id="12771" w:name="_Toc478137506"/>
      <w:bookmarkStart w:id="12772" w:name="_Toc478138578"/>
      <w:bookmarkStart w:id="12773" w:name="_Toc478140148"/>
      <w:bookmarkStart w:id="12774" w:name="_Toc478140564"/>
      <w:bookmarkStart w:id="12775" w:name="_Toc478142770"/>
      <w:bookmarkStart w:id="12776" w:name="_Toc478566489"/>
      <w:bookmarkStart w:id="12777" w:name="_Toc478569656"/>
      <w:bookmarkStart w:id="12778" w:name="_Toc478569830"/>
      <w:bookmarkStart w:id="12779" w:name="_Toc478570904"/>
      <w:bookmarkStart w:id="12780" w:name="_Toc478633103"/>
      <w:bookmarkStart w:id="12781" w:name="_Toc478641512"/>
      <w:bookmarkStart w:id="12782" w:name="_Toc478654406"/>
      <w:bookmarkStart w:id="12783" w:name="_Toc478654580"/>
      <w:bookmarkStart w:id="12784" w:name="_Toc478657875"/>
      <w:bookmarkStart w:id="12785" w:name="_Toc478993296"/>
      <w:bookmarkStart w:id="12786" w:name="_Toc479000367"/>
      <w:bookmarkStart w:id="12787" w:name="_Toc479002301"/>
      <w:bookmarkStart w:id="12788" w:name="_Toc479002473"/>
      <w:bookmarkStart w:id="12789" w:name="_Toc479254447"/>
      <w:bookmarkStart w:id="12790" w:name="_Toc479258636"/>
      <w:bookmarkStart w:id="12791" w:name="_Toc479258952"/>
      <w:bookmarkStart w:id="12792" w:name="_Toc479259844"/>
      <w:bookmarkStart w:id="12793" w:name="_Toc479262267"/>
      <w:bookmarkStart w:id="12794" w:name="_Toc479262688"/>
      <w:bookmarkStart w:id="12795" w:name="_Toc479321389"/>
      <w:bookmarkStart w:id="12796" w:name="_Toc479326828"/>
      <w:bookmarkStart w:id="12797" w:name="_Toc479333089"/>
      <w:bookmarkStart w:id="12798" w:name="_Toc479333427"/>
      <w:bookmarkStart w:id="12799" w:name="_Toc479335124"/>
      <w:bookmarkStart w:id="12800" w:name="_Toc479341839"/>
      <w:bookmarkStart w:id="12801" w:name="_Toc479345255"/>
      <w:bookmarkStart w:id="12802" w:name="_Toc479345464"/>
      <w:bookmarkStart w:id="12803" w:name="_Toc479348445"/>
      <w:bookmarkStart w:id="12804" w:name="_Toc479676038"/>
      <w:bookmarkStart w:id="12805" w:name="_Toc479691005"/>
      <w:bookmarkStart w:id="12806" w:name="_Toc479693583"/>
      <w:bookmarkStart w:id="12807" w:name="_Toc479770752"/>
      <w:r>
        <w:t>F</w:t>
      </w:r>
      <w:r w:rsidRPr="001255C7">
        <w:t>.</w:t>
      </w:r>
      <w:r>
        <w:t>2</w:t>
      </w:r>
      <w:r w:rsidRPr="001255C7">
        <w:tab/>
      </w:r>
      <w:r w:rsidR="000B00FF">
        <w:t>Australia</w:t>
      </w:r>
      <w:r w:rsidR="005D6F39">
        <w:t>’</w:t>
      </w:r>
      <w:r w:rsidR="000B00FF">
        <w:t>s Domestic Gas Markets</w:t>
      </w:r>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p>
    <w:p w14:paraId="506CC84B" w14:textId="07BA55F8" w:rsidR="000B00FF" w:rsidRDefault="000B00FF" w:rsidP="000B00FF">
      <w:r>
        <w:t>Australia</w:t>
      </w:r>
      <w:r w:rsidR="005D6F39">
        <w:t>’</w:t>
      </w:r>
      <w:r>
        <w:t xml:space="preserve">s domestic gas market consists of three distinct regional markets: the Eastern market (Victoria, South Australia, </w:t>
      </w:r>
      <w:r w:rsidR="003E1147">
        <w:t>N</w:t>
      </w:r>
      <w:r w:rsidR="00FC6DF9">
        <w:t>ew South Wales</w:t>
      </w:r>
      <w:r>
        <w:t>, Australian Capital Territory</w:t>
      </w:r>
      <w:r w:rsidR="006126F5">
        <w:t>,</w:t>
      </w:r>
      <w:r>
        <w:t xml:space="preserve"> Queensland</w:t>
      </w:r>
      <w:r w:rsidR="002E4F86">
        <w:t xml:space="preserve"> and Tasmania</w:t>
      </w:r>
      <w:r>
        <w:t>); the Western market (</w:t>
      </w:r>
      <w:r w:rsidR="003E1147">
        <w:t>WA</w:t>
      </w:r>
      <w:r>
        <w:t>); and the Northern market (</w:t>
      </w:r>
      <w:r w:rsidR="003E1147">
        <w:t>NT</w:t>
      </w:r>
      <w:r>
        <w:t>). The Eastern and Northern gas markets will be connected when completion of the Northern Gas Pipeline, expected in 2018, links Mount Isa and Tenn</w:t>
      </w:r>
      <w:r w:rsidR="00E4209D">
        <w:t>a</w:t>
      </w:r>
      <w:r>
        <w:t>nt Creek.</w:t>
      </w:r>
    </w:p>
    <w:p w14:paraId="784CD2CA" w14:textId="4D2082B2" w:rsidR="000B00FF" w:rsidRDefault="000B00FF" w:rsidP="000B00FF">
      <w:r>
        <w:t xml:space="preserve">Australian gas consumption has been growing steadily, by around 4 per cent a year on average over the past decade. The growth in gas consumption reflects greater uptake of gas in electricity generation, and increased use in mining and industry. As such, gas is an increasingly important energy source in Australia. As shown in </w:t>
      </w:r>
      <w:r w:rsidRPr="006D28D4">
        <w:t xml:space="preserve">Figure </w:t>
      </w:r>
      <w:r w:rsidR="00F111BF" w:rsidRPr="006D28D4">
        <w:t>F.3</w:t>
      </w:r>
      <w:r>
        <w:t>, gas accounted for around 24 per cent of Australia</w:t>
      </w:r>
      <w:r w:rsidR="005D6F39">
        <w:t>’</w:t>
      </w:r>
      <w:r>
        <w:t>s energy consumption in 2014</w:t>
      </w:r>
      <w:r w:rsidR="005D6F39">
        <w:noBreakHyphen/>
      </w:r>
      <w:r>
        <w:t>15 (</w:t>
      </w:r>
      <w:r w:rsidRPr="00E82A42">
        <w:t>Department of Industry, Innovation and Science, 2016a, p.7</w:t>
      </w:r>
      <w:r>
        <w:t>).</w:t>
      </w:r>
    </w:p>
    <w:p w14:paraId="363F7EA7" w14:textId="0B7F5362" w:rsidR="000B00FF" w:rsidRDefault="000B00FF" w:rsidP="00221C2A">
      <w:pPr>
        <w:pStyle w:val="ChartMainHeading"/>
      </w:pPr>
      <w:r w:rsidRPr="00490AED">
        <w:t xml:space="preserve">Figure </w:t>
      </w:r>
      <w:r w:rsidR="00F111BF" w:rsidRPr="00490AED">
        <w:t>F.3</w:t>
      </w:r>
      <w:r w:rsidRPr="00E82A42">
        <w:t xml:space="preserve"> </w:t>
      </w:r>
      <w:r w:rsidR="00E1469F" w:rsidRPr="00496C37">
        <w:t>—</w:t>
      </w:r>
      <w:r w:rsidRPr="00E82A42">
        <w:t xml:space="preserve"> Australian </w:t>
      </w:r>
      <w:r w:rsidR="00E1469F">
        <w:t>e</w:t>
      </w:r>
      <w:r w:rsidRPr="00E82A42">
        <w:t xml:space="preserve">nergy </w:t>
      </w:r>
      <w:r w:rsidR="00E1469F">
        <w:t>c</w:t>
      </w:r>
      <w:r w:rsidRPr="00E82A42">
        <w:t xml:space="preserve">onsumption </w:t>
      </w:r>
      <w:r w:rsidR="00E1469F">
        <w:t>b</w:t>
      </w:r>
      <w:r w:rsidRPr="00E82A42">
        <w:t xml:space="preserve">y </w:t>
      </w:r>
      <w:r w:rsidR="00E1469F">
        <w:t>f</w:t>
      </w:r>
      <w:r w:rsidRPr="00E82A42">
        <w:t xml:space="preserve">uel </w:t>
      </w:r>
      <w:r w:rsidR="00E1469F">
        <w:t>t</w:t>
      </w:r>
      <w:r w:rsidRPr="00E82A42">
        <w:t>ype 2014</w:t>
      </w:r>
      <w:r w:rsidR="005D6F39">
        <w:noBreakHyphen/>
      </w:r>
      <w:r w:rsidRPr="00E82A42">
        <w:t>15</w:t>
      </w:r>
    </w:p>
    <w:p w14:paraId="64480907" w14:textId="19012C21" w:rsidR="00E82A42" w:rsidRDefault="00E82A42" w:rsidP="00E82A42">
      <w:pPr>
        <w:pStyle w:val="OutlineNumbered1"/>
        <w:numPr>
          <w:ilvl w:val="0"/>
          <w:numId w:val="0"/>
        </w:numPr>
        <w:ind w:left="472" w:hanging="472"/>
        <w:rPr>
          <w:noProof/>
        </w:rPr>
      </w:pPr>
      <w:r>
        <w:rPr>
          <w:noProof/>
        </w:rPr>
        <w:drawing>
          <wp:anchor distT="0" distB="0" distL="114300" distR="114300" simplePos="0" relativeHeight="251658247" behindDoc="1" locked="0" layoutInCell="1" allowOverlap="1" wp14:anchorId="5D06B71E" wp14:editId="72C7D9EE">
            <wp:simplePos x="0" y="0"/>
            <wp:positionH relativeFrom="column">
              <wp:posOffset>1043940</wp:posOffset>
            </wp:positionH>
            <wp:positionV relativeFrom="paragraph">
              <wp:posOffset>60325</wp:posOffset>
            </wp:positionV>
            <wp:extent cx="3509645" cy="2743200"/>
            <wp:effectExtent l="0" t="0" r="0" b="0"/>
            <wp:wrapTight wrapText="bothSides">
              <wp:wrapPolygon edited="0">
                <wp:start x="10083" y="1650"/>
                <wp:lineTo x="9028" y="1950"/>
                <wp:lineTo x="9028" y="2550"/>
                <wp:lineTo x="10786" y="4350"/>
                <wp:lineTo x="6331" y="6750"/>
                <wp:lineTo x="4690" y="6750"/>
                <wp:lineTo x="4807" y="7500"/>
                <wp:lineTo x="10786" y="9150"/>
                <wp:lineTo x="10786" y="16350"/>
                <wp:lineTo x="9379" y="16950"/>
                <wp:lineTo x="9379" y="17400"/>
                <wp:lineTo x="10786" y="18750"/>
                <wp:lineTo x="3752" y="19500"/>
                <wp:lineTo x="2814" y="19650"/>
                <wp:lineTo x="2814" y="20550"/>
                <wp:lineTo x="19345" y="20550"/>
                <wp:lineTo x="19580" y="19800"/>
                <wp:lineTo x="18055" y="19500"/>
                <wp:lineTo x="10786" y="18750"/>
                <wp:lineTo x="11724" y="17400"/>
                <wp:lineTo x="11724" y="16650"/>
                <wp:lineTo x="10669" y="16350"/>
                <wp:lineTo x="10669" y="9150"/>
                <wp:lineTo x="7269" y="6750"/>
                <wp:lineTo x="17000" y="6600"/>
                <wp:lineTo x="17117" y="5850"/>
                <wp:lineTo x="10786" y="4350"/>
                <wp:lineTo x="11021" y="1650"/>
                <wp:lineTo x="10083" y="1650"/>
              </wp:wrapPolygon>
            </wp:wrapTight>
            <wp:docPr id="8" name="Chart 8" descr="Figure F.3 is a pie chart illustrating Australia’s energy consumption by fuel type in 2014-15.The percentages of energy consumption for the four fuel types is: oil - 37.8 per cent; coal – 32.2 per cent; gas   24.2 per cent; and renewables   5.8 per c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anchor>
        </w:drawing>
      </w:r>
    </w:p>
    <w:p w14:paraId="2C9DA6FB" w14:textId="77777777" w:rsidR="00E82A42" w:rsidRDefault="00E82A42" w:rsidP="00E82A42">
      <w:pPr>
        <w:pStyle w:val="OutlineNumbered1"/>
        <w:numPr>
          <w:ilvl w:val="0"/>
          <w:numId w:val="0"/>
        </w:numPr>
        <w:ind w:left="472" w:hanging="472"/>
        <w:rPr>
          <w:noProof/>
        </w:rPr>
      </w:pPr>
    </w:p>
    <w:p w14:paraId="0D84B8B6" w14:textId="77777777" w:rsidR="00E82A42" w:rsidRDefault="00E82A42" w:rsidP="00E82A42">
      <w:pPr>
        <w:pStyle w:val="OutlineNumbered1"/>
        <w:numPr>
          <w:ilvl w:val="0"/>
          <w:numId w:val="0"/>
        </w:numPr>
        <w:ind w:left="472" w:hanging="472"/>
        <w:rPr>
          <w:noProof/>
        </w:rPr>
      </w:pPr>
    </w:p>
    <w:p w14:paraId="37AEE586" w14:textId="77777777" w:rsidR="00E82A42" w:rsidRDefault="00E82A42" w:rsidP="00E82A42">
      <w:pPr>
        <w:pStyle w:val="OutlineNumbered1"/>
        <w:numPr>
          <w:ilvl w:val="0"/>
          <w:numId w:val="0"/>
        </w:numPr>
        <w:ind w:left="472" w:hanging="472"/>
        <w:rPr>
          <w:noProof/>
        </w:rPr>
      </w:pPr>
    </w:p>
    <w:p w14:paraId="4BA8237D" w14:textId="77777777" w:rsidR="00E82A42" w:rsidRDefault="00E82A42" w:rsidP="00E82A42">
      <w:pPr>
        <w:pStyle w:val="OutlineNumbered1"/>
        <w:numPr>
          <w:ilvl w:val="0"/>
          <w:numId w:val="0"/>
        </w:numPr>
        <w:ind w:left="472" w:hanging="472"/>
        <w:rPr>
          <w:noProof/>
        </w:rPr>
      </w:pPr>
    </w:p>
    <w:p w14:paraId="0C665C23" w14:textId="77777777" w:rsidR="00E82A42" w:rsidRDefault="00E82A42" w:rsidP="00E82A42">
      <w:pPr>
        <w:pStyle w:val="OutlineNumbered1"/>
        <w:numPr>
          <w:ilvl w:val="0"/>
          <w:numId w:val="0"/>
        </w:numPr>
        <w:ind w:left="472" w:hanging="472"/>
        <w:rPr>
          <w:noProof/>
        </w:rPr>
      </w:pPr>
    </w:p>
    <w:p w14:paraId="4DE96981" w14:textId="77777777" w:rsidR="00E82A42" w:rsidRDefault="00E82A42" w:rsidP="00E82A42">
      <w:pPr>
        <w:pStyle w:val="OutlineNumbered1"/>
        <w:numPr>
          <w:ilvl w:val="0"/>
          <w:numId w:val="0"/>
        </w:numPr>
        <w:ind w:left="472" w:hanging="472"/>
        <w:rPr>
          <w:noProof/>
        </w:rPr>
      </w:pPr>
    </w:p>
    <w:p w14:paraId="0E815BF3" w14:textId="77777777" w:rsidR="00E82A42" w:rsidRDefault="00E82A42" w:rsidP="00E82A42">
      <w:pPr>
        <w:pStyle w:val="OutlineNumbered1"/>
        <w:numPr>
          <w:ilvl w:val="0"/>
          <w:numId w:val="0"/>
        </w:numPr>
        <w:ind w:left="472" w:hanging="472"/>
        <w:rPr>
          <w:noProof/>
        </w:rPr>
      </w:pPr>
    </w:p>
    <w:p w14:paraId="1DF9338E" w14:textId="77777777" w:rsidR="000B00FF" w:rsidRPr="00E82A42" w:rsidRDefault="000B00FF" w:rsidP="00E82A42">
      <w:pPr>
        <w:pStyle w:val="OutlineNumbered1"/>
        <w:numPr>
          <w:ilvl w:val="0"/>
          <w:numId w:val="0"/>
        </w:numPr>
        <w:ind w:left="472" w:hanging="472"/>
      </w:pPr>
    </w:p>
    <w:p w14:paraId="7C3B81C2" w14:textId="0FE169BB" w:rsidR="000B00FF" w:rsidRDefault="000B00FF" w:rsidP="00FC6DF9">
      <w:pPr>
        <w:pStyle w:val="ChartorTableNote"/>
      </w:pPr>
      <w:r w:rsidRPr="00E82A42">
        <w:t>Source: Department of Industry, Innovation and Science, 2016a</w:t>
      </w:r>
      <w:r w:rsidR="00E1469F">
        <w:t>.</w:t>
      </w:r>
    </w:p>
    <w:p w14:paraId="7CE7BBA8" w14:textId="77777777" w:rsidR="00FC6DF9" w:rsidRPr="00FC6DF9" w:rsidRDefault="00FC6DF9" w:rsidP="00FC6DF9">
      <w:pPr>
        <w:pStyle w:val="SingleParagraph"/>
      </w:pPr>
    </w:p>
    <w:p w14:paraId="11EDF201" w14:textId="3C08F5C9" w:rsidR="000B00FF" w:rsidRDefault="000B00FF" w:rsidP="000B00FF">
      <w:r>
        <w:t xml:space="preserve">After decades of stable growth in supply and demand, the </w:t>
      </w:r>
      <w:r w:rsidR="00BD739B">
        <w:t>E</w:t>
      </w:r>
      <w:r>
        <w:t xml:space="preserve">astern gas market is currently undergoing a major transition and is facing a looming gas supply shortage. This has been initiated by the rapid expansion of CSG production required to supply the three new LNG projects in Queensland which recently commenced production and effectively link the </w:t>
      </w:r>
      <w:r w:rsidR="00BD739B">
        <w:t>E</w:t>
      </w:r>
      <w:r>
        <w:t>astern market to international LNG markets. The Australian Energy Market Operator (AEMO) has projected gas for LNG to account for 73</w:t>
      </w:r>
      <w:r w:rsidR="00BD739B">
        <w:t xml:space="preserve"> per cent</w:t>
      </w:r>
      <w:r>
        <w:t xml:space="preserve"> of total gas demand in the </w:t>
      </w:r>
      <w:r w:rsidR="00BD739B">
        <w:t>E</w:t>
      </w:r>
      <w:r>
        <w:t>astern market.</w:t>
      </w:r>
      <w:r w:rsidDel="00AE18F8">
        <w:t xml:space="preserve"> </w:t>
      </w:r>
      <w:r>
        <w:t>The significant gas export demands of these projects is impacting the domestic market, leading to fears of gas shortages and significant price rises. Gas supply shortages are expected to have a detrimental impact for gas</w:t>
      </w:r>
      <w:r w:rsidR="00BE2459">
        <w:t xml:space="preserve"> </w:t>
      </w:r>
      <w:r>
        <w:t>powered</w:t>
      </w:r>
      <w:r w:rsidR="00BE2459">
        <w:t xml:space="preserve"> </w:t>
      </w:r>
      <w:r>
        <w:t xml:space="preserve">generation that could lead to electricity supply shortfalls in the National Electricity Market between 2019 and 2021 (AEMO, 2017, </w:t>
      </w:r>
      <w:r w:rsidR="00BE2459">
        <w:t>p.</w:t>
      </w:r>
      <w:r>
        <w:t>1)</w:t>
      </w:r>
      <w:r w:rsidR="00755941">
        <w:t>.</w:t>
      </w:r>
    </w:p>
    <w:p w14:paraId="7069D3DF" w14:textId="118CFCC4" w:rsidR="000B00FF" w:rsidRDefault="000B00FF" w:rsidP="000B00FF">
      <w:r>
        <w:t>Compounding these concerns is the fact that many of the long</w:t>
      </w:r>
      <w:r w:rsidR="00BE2459">
        <w:t xml:space="preserve"> </w:t>
      </w:r>
      <w:r>
        <w:t>term (and low priced) legacy contracts which have underpinned the domestic market have recently come up for renewal, which has exposed users to prevailing gas prices, and to the uncertainties of shorter term, less flexible contracts, and in some cases the risks of oil price linkage.</w:t>
      </w:r>
    </w:p>
    <w:p w14:paraId="26F2051A" w14:textId="63168413" w:rsidR="000B00FF" w:rsidRDefault="000B00FF" w:rsidP="000B00FF">
      <w:r>
        <w:t xml:space="preserve">AEMO </w:t>
      </w:r>
      <w:r w:rsidR="00BE2459">
        <w:t>forecasts</w:t>
      </w:r>
      <w:r>
        <w:t xml:space="preserve"> that commercially recoverable gas reserves required to meet </w:t>
      </w:r>
      <w:r w:rsidR="003074FE">
        <w:t>E</w:t>
      </w:r>
      <w:r>
        <w:t xml:space="preserve">ast </w:t>
      </w:r>
      <w:r w:rsidR="003074FE">
        <w:t>C</w:t>
      </w:r>
      <w:r>
        <w:t xml:space="preserve">oast demand will start to deplete from 2019 if undeveloped gas reserves and resources are not brought into production. There is sufficient gas in the </w:t>
      </w:r>
      <w:r w:rsidR="00BD739B">
        <w:t>E</w:t>
      </w:r>
      <w:r>
        <w:t>astern gas market to meet domestic demand and existing LNG contract commitments, but there is uncertainty over the timing of some developments, particularly due to low oil prices (</w:t>
      </w:r>
      <w:r w:rsidRPr="00E82A42">
        <w:t>AEMO, 2017, p.1</w:t>
      </w:r>
      <w:r>
        <w:t xml:space="preserve">). </w:t>
      </w:r>
      <w:r w:rsidRPr="006D28D4">
        <w:t>Figure</w:t>
      </w:r>
      <w:r w:rsidR="00BE2459" w:rsidRPr="006D28D4">
        <w:t> </w:t>
      </w:r>
      <w:r w:rsidR="00F111BF" w:rsidRPr="006D28D4">
        <w:t>F.4</w:t>
      </w:r>
      <w:r w:rsidRPr="006D28D4">
        <w:t xml:space="preserve"> </w:t>
      </w:r>
      <w:r>
        <w:t>from the Australian Competition and Consumer Commission</w:t>
      </w:r>
      <w:r w:rsidR="005D6F39">
        <w:t>’</w:t>
      </w:r>
      <w:r>
        <w:t xml:space="preserve">s (ACCC) 2016 report, </w:t>
      </w:r>
      <w:r w:rsidRPr="00FB0E4D">
        <w:rPr>
          <w:i/>
        </w:rPr>
        <w:t>Inquiry into the East C</w:t>
      </w:r>
      <w:r w:rsidR="00BE2459">
        <w:rPr>
          <w:i/>
        </w:rPr>
        <w:t>o</w:t>
      </w:r>
      <w:r w:rsidRPr="00FB0E4D">
        <w:rPr>
          <w:i/>
        </w:rPr>
        <w:t>ast Gas Market</w:t>
      </w:r>
      <w:r>
        <w:t xml:space="preserve">, highlights the decline in production from developed supply sources and the undeveloped supply required to enter the market to satisfy domestic and LNG demand to 2025 </w:t>
      </w:r>
      <w:r w:rsidRPr="00E82A42">
        <w:t>(ACCC, 2016, p. 55)</w:t>
      </w:r>
      <w:r>
        <w:t>.</w:t>
      </w:r>
    </w:p>
    <w:p w14:paraId="2DBA9049" w14:textId="77C90062" w:rsidR="000B00FF" w:rsidRPr="006D28D4" w:rsidRDefault="000B00FF" w:rsidP="00221C2A">
      <w:pPr>
        <w:pStyle w:val="ChartMainHeading"/>
      </w:pPr>
      <w:r w:rsidRPr="00490AED">
        <w:t xml:space="preserve">Figure </w:t>
      </w:r>
      <w:r w:rsidR="00F111BF" w:rsidRPr="00490AED">
        <w:t>F.4</w:t>
      </w:r>
      <w:r w:rsidRPr="00E82A42">
        <w:t xml:space="preserve"> </w:t>
      </w:r>
      <w:r w:rsidR="00E1469F" w:rsidRPr="00496C37">
        <w:t>—</w:t>
      </w:r>
      <w:r w:rsidRPr="00E82A42">
        <w:t xml:space="preserve"> Forecast </w:t>
      </w:r>
      <w:r w:rsidR="00E1469F">
        <w:t>g</w:t>
      </w:r>
      <w:r w:rsidRPr="00E82A42">
        <w:t xml:space="preserve">as </w:t>
      </w:r>
      <w:r w:rsidR="00E1469F">
        <w:t>s</w:t>
      </w:r>
      <w:r w:rsidRPr="00E82A42">
        <w:t xml:space="preserve">upply and </w:t>
      </w:r>
      <w:r w:rsidR="00E1469F">
        <w:t>d</w:t>
      </w:r>
      <w:r w:rsidRPr="00E82A42">
        <w:t xml:space="preserve">emand </w:t>
      </w:r>
      <w:r w:rsidR="00E1469F">
        <w:t>b</w:t>
      </w:r>
      <w:r w:rsidRPr="00E82A42">
        <w:t xml:space="preserve">alance in the East Coast </w:t>
      </w:r>
      <w:r w:rsidR="00E1469F">
        <w:t>g</w:t>
      </w:r>
      <w:r w:rsidRPr="00E82A42">
        <w:t xml:space="preserve">as </w:t>
      </w:r>
      <w:r w:rsidR="00E1469F">
        <w:t>m</w:t>
      </w:r>
      <w:r w:rsidRPr="00E82A42">
        <w:t>arket</w:t>
      </w:r>
      <w:r w:rsidR="00E1469F">
        <w:t xml:space="preserve"> </w:t>
      </w:r>
      <w:r w:rsidRPr="00E82A42">
        <w:t>(excluding Arrow project, 2016</w:t>
      </w:r>
      <w:r w:rsidR="005D6F39">
        <w:noBreakHyphen/>
      </w:r>
      <w:r w:rsidRPr="00E82A42">
        <w:t>17)</w:t>
      </w:r>
      <w:r w:rsidRPr="006D28D4">
        <w:rPr>
          <w:noProof/>
        </w:rPr>
        <w:drawing>
          <wp:inline distT="0" distB="0" distL="0" distR="0" wp14:anchorId="5C8B6E19" wp14:editId="49CFCE05">
            <wp:extent cx="5725160" cy="2867025"/>
            <wp:effectExtent l="0" t="0" r="8890" b="9525"/>
            <wp:docPr id="27" name="Picture 27" descr="Figure F.4 shows fairly steady demand for east costs gas including LNG out to 2025 but developed gas supply declining from 2017. Undeveloped supply from both LNG projects and other producers will be increasingly required to meet demand out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 Forecast Gas Supply and Demand (East Coast Market).png"/>
                    <pic:cNvPicPr/>
                  </pic:nvPicPr>
                  <pic:blipFill>
                    <a:blip r:embed="rId127">
                      <a:extLst>
                        <a:ext uri="{28A0092B-C50C-407E-A947-70E740481C1C}">
                          <a14:useLocalDpi xmlns:a14="http://schemas.microsoft.com/office/drawing/2010/main" val="0"/>
                        </a:ext>
                      </a:extLst>
                    </a:blip>
                    <a:stretch>
                      <a:fillRect/>
                    </a:stretch>
                  </pic:blipFill>
                  <pic:spPr>
                    <a:xfrm>
                      <a:off x="0" y="0"/>
                      <a:ext cx="5725795" cy="2867343"/>
                    </a:xfrm>
                    <a:prstGeom prst="rect">
                      <a:avLst/>
                    </a:prstGeom>
                  </pic:spPr>
                </pic:pic>
              </a:graphicData>
            </a:graphic>
          </wp:inline>
        </w:drawing>
      </w:r>
    </w:p>
    <w:p w14:paraId="693E1230" w14:textId="75E82110" w:rsidR="000B00FF" w:rsidRDefault="000B00FF" w:rsidP="00FC6DF9">
      <w:pPr>
        <w:pStyle w:val="ChartorTableNote"/>
      </w:pPr>
      <w:r w:rsidRPr="00E82A42">
        <w:t>Source: ACCC, 2016</w:t>
      </w:r>
      <w:r w:rsidR="00E1469F">
        <w:t>.</w:t>
      </w:r>
    </w:p>
    <w:p w14:paraId="441F647E" w14:textId="77777777" w:rsidR="00FC6DF9" w:rsidRPr="00FC6DF9" w:rsidRDefault="00FC6DF9" w:rsidP="00FC6DF9">
      <w:pPr>
        <w:pStyle w:val="SingleParagraph"/>
      </w:pPr>
    </w:p>
    <w:p w14:paraId="0D4CBB32" w14:textId="13182FDC" w:rsidR="000B00FF" w:rsidRDefault="000B00FF" w:rsidP="000B00FF">
      <w:r>
        <w:t>The ACCC</w:t>
      </w:r>
      <w:r w:rsidR="005D6F39">
        <w:t>’</w:t>
      </w:r>
      <w:r>
        <w:t>s Inquiry found the domestic gas market supply risk is driven by the confluence of three factors:</w:t>
      </w:r>
    </w:p>
    <w:p w14:paraId="53B61506" w14:textId="0B180288" w:rsidR="000B00FF" w:rsidRDefault="000B00FF" w:rsidP="000B00FF">
      <w:pPr>
        <w:pStyle w:val="Bullet"/>
      </w:pPr>
      <w:r>
        <w:t xml:space="preserve">Significant demand from the LNG projects. While these projects are predominately supplied by CSG fields in </w:t>
      </w:r>
      <w:r w:rsidR="00BE2459">
        <w:t xml:space="preserve">the </w:t>
      </w:r>
      <w:r>
        <w:t>Surat and Bowen Basins in Queensland, they are also relying on gas from traditional sources of domestic supply. For example, the Cooper</w:t>
      </w:r>
      <w:r w:rsidR="00FC6DF9">
        <w:t> </w:t>
      </w:r>
      <w:r>
        <w:t xml:space="preserve">Basin which has historically only had access to and supplied the domestic market </w:t>
      </w:r>
      <w:r w:rsidR="00BE2459">
        <w:t xml:space="preserve">and </w:t>
      </w:r>
      <w:r>
        <w:t>is now supplying increased LNG demand.</w:t>
      </w:r>
    </w:p>
    <w:p w14:paraId="0B51794D" w14:textId="35C2D130" w:rsidR="000B00FF" w:rsidRDefault="000B00FF" w:rsidP="000B00FF">
      <w:pPr>
        <w:pStyle w:val="Bullet"/>
      </w:pPr>
      <w:r>
        <w:t xml:space="preserve">Low oil prices reducing the ability and incentive of producers across the entire </w:t>
      </w:r>
      <w:r w:rsidR="00BE2459">
        <w:t>E</w:t>
      </w:r>
      <w:r>
        <w:t>ast</w:t>
      </w:r>
      <w:r w:rsidR="00FC6DF9">
        <w:t> </w:t>
      </w:r>
      <w:r w:rsidR="00BE2459">
        <w:t>C</w:t>
      </w:r>
      <w:r>
        <w:t>oast gas market to explore for and develop gas. As a consequence of the low oil price, LNG project cash flows have been severely inhibited. Instead of investing in the development of new supply, LNG projects have sought additional gas from third parties in the domestic market.</w:t>
      </w:r>
    </w:p>
    <w:p w14:paraId="4FA72496" w14:textId="567C7087" w:rsidR="000B00FF" w:rsidRDefault="000B00FF" w:rsidP="000B00FF">
      <w:pPr>
        <w:pStyle w:val="Bullet"/>
      </w:pPr>
      <w:r>
        <w:t xml:space="preserve">A lack of support for onshore gas development, particularly unconventional sources such as shale and </w:t>
      </w:r>
      <w:r w:rsidR="000F33E2">
        <w:t>CSG</w:t>
      </w:r>
      <w:r>
        <w:t xml:space="preserve">. Community concern about the environmental impacts of gas development have led to moratoria on onshore gas exploration and development and other regulatory restrictions in </w:t>
      </w:r>
      <w:r w:rsidR="003E1147">
        <w:t>N</w:t>
      </w:r>
      <w:r w:rsidR="00FC6DF9">
        <w:t xml:space="preserve">ew </w:t>
      </w:r>
      <w:r w:rsidR="003E1147">
        <w:t>S</w:t>
      </w:r>
      <w:r w:rsidR="00FC6DF9">
        <w:t xml:space="preserve">outh </w:t>
      </w:r>
      <w:r w:rsidR="003E1147">
        <w:t>W</w:t>
      </w:r>
      <w:r w:rsidR="00FC6DF9">
        <w:t>ales</w:t>
      </w:r>
      <w:r>
        <w:t>, Victoria</w:t>
      </w:r>
      <w:r w:rsidR="003074FE">
        <w:t>,</w:t>
      </w:r>
      <w:r>
        <w:t xml:space="preserve"> Tasmania, and the Northern</w:t>
      </w:r>
      <w:r w:rsidR="00FC6DF9">
        <w:t> </w:t>
      </w:r>
      <w:r>
        <w:t>Territory</w:t>
      </w:r>
      <w:r w:rsidR="003E1147">
        <w:t xml:space="preserve"> (NT)</w:t>
      </w:r>
      <w:r>
        <w:t xml:space="preserve">, prohibiting new gas supply </w:t>
      </w:r>
      <w:r w:rsidRPr="00E82A42">
        <w:t>(ACCC, 2016, p. 18)</w:t>
      </w:r>
      <w:r>
        <w:t>.</w:t>
      </w:r>
    </w:p>
    <w:p w14:paraId="5A336F60" w14:textId="2817070D" w:rsidR="000B00FF" w:rsidRDefault="000B00FF" w:rsidP="000B00FF">
      <w:r>
        <w:t xml:space="preserve">Tight market conditions on the </w:t>
      </w:r>
      <w:r w:rsidR="003074FE">
        <w:t>E</w:t>
      </w:r>
      <w:r>
        <w:t xml:space="preserve">astern domestic gas market have had consequences for the prices gas users pay and the availability of contracts for large users. The </w:t>
      </w:r>
      <w:r w:rsidRPr="00FB0E4D">
        <w:rPr>
          <w:i/>
        </w:rPr>
        <w:t>Inquiry into the East Coast Gas Market</w:t>
      </w:r>
      <w:r>
        <w:t xml:space="preserve"> found that prices have been affected by the commissioning of LNG export facilities in </w:t>
      </w:r>
      <w:r w:rsidR="003074FE">
        <w:t>E</w:t>
      </w:r>
      <w:r>
        <w:t>astern Australia. The ACCC also found evidence that new domestic contract terms have become shorter but less flexible and that some contract prices are now linked to international oil prices.</w:t>
      </w:r>
    </w:p>
    <w:p w14:paraId="02448A66" w14:textId="7C20681A" w:rsidR="000B00FF" w:rsidRDefault="000B00FF" w:rsidP="000B00FF">
      <w:r>
        <w:t xml:space="preserve">Submissions to the review that reflected on gas supply shortages and high prices in the </w:t>
      </w:r>
      <w:r w:rsidR="003074FE">
        <w:t>E</w:t>
      </w:r>
      <w:r>
        <w:t>ast</w:t>
      </w:r>
      <w:r w:rsidR="00FC6DF9">
        <w:t> </w:t>
      </w:r>
      <w:r w:rsidR="003074FE">
        <w:t>C</w:t>
      </w:r>
      <w:r>
        <w:t>oast market were limited. Santos in its submission stated:</w:t>
      </w:r>
    </w:p>
    <w:p w14:paraId="1A7E1A56" w14:textId="77777777" w:rsidR="000B00FF" w:rsidRPr="004C28BE" w:rsidRDefault="000B00FF" w:rsidP="000B00FF">
      <w:pPr>
        <w:ind w:left="567" w:right="565"/>
        <w:rPr>
          <w:color w:val="1F497D" w:themeColor="text2"/>
          <w:sz w:val="20"/>
        </w:rPr>
      </w:pPr>
      <w:r w:rsidRPr="004C28BE">
        <w:rPr>
          <w:color w:val="1F497D" w:themeColor="text2"/>
          <w:sz w:val="20"/>
        </w:rPr>
        <w:t>The capital intensive nature and profitability of these projects is such that changes to the PRRT can effect further investment decisions and the review must be cognisant of its potential impact on future supply</w:t>
      </w:r>
      <w:r>
        <w:rPr>
          <w:color w:val="1F497D" w:themeColor="text2"/>
          <w:sz w:val="20"/>
        </w:rPr>
        <w:t xml:space="preserve"> </w:t>
      </w:r>
      <w:r w:rsidRPr="00E82A42">
        <w:rPr>
          <w:color w:val="1F497D" w:themeColor="text2"/>
          <w:sz w:val="20"/>
        </w:rPr>
        <w:t>(Santos Submission, p. 1)</w:t>
      </w:r>
      <w:r w:rsidRPr="004C28BE">
        <w:rPr>
          <w:color w:val="1F497D" w:themeColor="text2"/>
          <w:sz w:val="20"/>
        </w:rPr>
        <w:t>.</w:t>
      </w:r>
    </w:p>
    <w:p w14:paraId="72C52052" w14:textId="2BE1DF6F" w:rsidR="000B00FF" w:rsidRDefault="000B00FF" w:rsidP="000B00FF">
      <w:r>
        <w:t>Similarly, Cooper Energy</w:t>
      </w:r>
      <w:r w:rsidR="005D6F39">
        <w:t>’</w:t>
      </w:r>
      <w:r>
        <w:t>s submission stated:</w:t>
      </w:r>
    </w:p>
    <w:p w14:paraId="0F75DAC9" w14:textId="77777777" w:rsidR="000B00FF" w:rsidRPr="004C28BE" w:rsidRDefault="000B00FF" w:rsidP="000B00FF">
      <w:pPr>
        <w:ind w:left="567" w:right="565"/>
        <w:rPr>
          <w:color w:val="1F497D" w:themeColor="text2"/>
          <w:sz w:val="20"/>
        </w:rPr>
      </w:pPr>
      <w:r w:rsidRPr="004C28BE">
        <w:rPr>
          <w:color w:val="1F497D" w:themeColor="text2"/>
          <w:sz w:val="20"/>
        </w:rPr>
        <w:t>Shortfalls between forecast south east Australia gas demand and contracted supply has resulted in substantial increases to gas prices and highly publicised concern about the adequacy of supply and broader economic impacts. The increase in gas prices is encouraging the development of gas resources which were previously considered uneconomic where this is possible</w:t>
      </w:r>
      <w:r>
        <w:rPr>
          <w:color w:val="1F497D" w:themeColor="text2"/>
          <w:sz w:val="20"/>
        </w:rPr>
        <w:t xml:space="preserve"> </w:t>
      </w:r>
      <w:r w:rsidRPr="00E82A42">
        <w:rPr>
          <w:color w:val="1F497D" w:themeColor="text2"/>
          <w:sz w:val="20"/>
        </w:rPr>
        <w:t>(Cooper Energy Submission, p. 1).</w:t>
      </w:r>
    </w:p>
    <w:p w14:paraId="37570133" w14:textId="535470E5" w:rsidR="000B00FF" w:rsidRDefault="000B00FF" w:rsidP="000B00FF">
      <w:r>
        <w:t>AEMO</w:t>
      </w:r>
      <w:r w:rsidR="005D6F39">
        <w:t>’</w:t>
      </w:r>
      <w:r>
        <w:t xml:space="preserve">s ten year supply forecast for </w:t>
      </w:r>
      <w:r w:rsidR="00BD739B">
        <w:t>WA</w:t>
      </w:r>
      <w:r>
        <w:t xml:space="preserve"> projects the state</w:t>
      </w:r>
      <w:r w:rsidR="005D6F39">
        <w:t>’</w:t>
      </w:r>
      <w:r>
        <w:t>s gas market to be well supplied, with potential gas supply expected to remain higher than forecast demand over the outlook period. AEMO notes its forecast for surplus supply is contingent on continued expenditure to develop gas supplying the WA domestic market. However, the current low oil price environment has seen exploration in WA</w:t>
      </w:r>
      <w:r w:rsidR="005D6F39">
        <w:t>’</w:t>
      </w:r>
      <w:r>
        <w:t>s gas basins at its lowest level since 1990.</w:t>
      </w:r>
      <w:r w:rsidR="00BD739B">
        <w:t xml:space="preserve"> </w:t>
      </w:r>
      <w:r>
        <w:t>There is a risk, if exploration remains low, that new gas projects may not be developed and existing domestic gas production facilities may cease production due to lack of gas feedstock (</w:t>
      </w:r>
      <w:r w:rsidRPr="00E82A42">
        <w:t>AEMO, 2016, p.1</w:t>
      </w:r>
      <w:r>
        <w:t>)</w:t>
      </w:r>
    </w:p>
    <w:p w14:paraId="0F9D1464" w14:textId="2BB75E1A" w:rsidR="00EC4BC5" w:rsidRDefault="00EC4BC5">
      <w:pPr>
        <w:spacing w:after="0" w:line="240" w:lineRule="auto"/>
        <w:jc w:val="left"/>
      </w:pPr>
      <w:r>
        <w:br w:type="page"/>
      </w:r>
    </w:p>
    <w:p w14:paraId="31F6A2E7" w14:textId="708ED6D5" w:rsidR="00257E1A" w:rsidRDefault="00257E1A" w:rsidP="00257E1A">
      <w:pPr>
        <w:pStyle w:val="Heading1"/>
      </w:pPr>
      <w:bookmarkStart w:id="12808" w:name="_Toc477869993"/>
      <w:bookmarkStart w:id="12809" w:name="_Toc477871232"/>
      <w:bookmarkStart w:id="12810" w:name="_Toc477873391"/>
      <w:bookmarkStart w:id="12811" w:name="_Toc477875385"/>
      <w:bookmarkStart w:id="12812" w:name="_Toc477880298"/>
      <w:bookmarkStart w:id="12813" w:name="_Toc477881558"/>
      <w:bookmarkStart w:id="12814" w:name="_Toc477955961"/>
      <w:bookmarkStart w:id="12815" w:name="_Toc477963206"/>
      <w:bookmarkStart w:id="12816" w:name="_Toc477963692"/>
      <w:bookmarkStart w:id="12817" w:name="_Toc477965278"/>
      <w:bookmarkStart w:id="12818" w:name="_Toc477966782"/>
      <w:bookmarkStart w:id="12819" w:name="_Toc477966951"/>
      <w:bookmarkStart w:id="12820" w:name="_Toc477967291"/>
      <w:bookmarkStart w:id="12821" w:name="_Toc478121426"/>
      <w:bookmarkStart w:id="12822" w:name="_Toc478122339"/>
      <w:bookmarkStart w:id="12823" w:name="_Toc478132169"/>
      <w:bookmarkStart w:id="12824" w:name="_Toc478132476"/>
      <w:bookmarkStart w:id="12825" w:name="_Toc478134805"/>
      <w:bookmarkStart w:id="12826" w:name="_Toc478137507"/>
      <w:bookmarkStart w:id="12827" w:name="_Toc478138579"/>
      <w:bookmarkStart w:id="12828" w:name="_Toc478140149"/>
      <w:bookmarkStart w:id="12829" w:name="_Toc478140565"/>
      <w:bookmarkStart w:id="12830" w:name="_Toc478142771"/>
      <w:bookmarkStart w:id="12831" w:name="_Toc478566490"/>
      <w:bookmarkStart w:id="12832" w:name="_Toc478569657"/>
      <w:bookmarkStart w:id="12833" w:name="_Toc478569831"/>
      <w:bookmarkStart w:id="12834" w:name="_Toc478570905"/>
      <w:bookmarkStart w:id="12835" w:name="_Toc478633104"/>
      <w:bookmarkStart w:id="12836" w:name="_Toc478641513"/>
      <w:bookmarkStart w:id="12837" w:name="_Toc478654407"/>
      <w:bookmarkStart w:id="12838" w:name="_Toc478654581"/>
      <w:bookmarkStart w:id="12839" w:name="_Toc478657876"/>
      <w:bookmarkStart w:id="12840" w:name="_Toc478993297"/>
      <w:bookmarkStart w:id="12841" w:name="_Toc479000368"/>
      <w:bookmarkStart w:id="12842" w:name="_Toc479002302"/>
      <w:bookmarkStart w:id="12843" w:name="_Toc479002474"/>
      <w:bookmarkStart w:id="12844" w:name="_Toc479254448"/>
      <w:bookmarkStart w:id="12845" w:name="_Toc479258637"/>
      <w:bookmarkStart w:id="12846" w:name="_Toc479258953"/>
      <w:bookmarkStart w:id="12847" w:name="_Toc479259845"/>
      <w:bookmarkStart w:id="12848" w:name="_Toc479262268"/>
      <w:bookmarkStart w:id="12849" w:name="_Toc479262689"/>
      <w:bookmarkStart w:id="12850" w:name="_Toc479321390"/>
      <w:bookmarkStart w:id="12851" w:name="_Toc479326829"/>
      <w:bookmarkStart w:id="12852" w:name="_Toc479333090"/>
      <w:bookmarkStart w:id="12853" w:name="_Toc479333428"/>
      <w:bookmarkStart w:id="12854" w:name="_Toc479335125"/>
      <w:bookmarkStart w:id="12855" w:name="_Toc479341840"/>
      <w:bookmarkStart w:id="12856" w:name="_Toc479345256"/>
      <w:bookmarkStart w:id="12857" w:name="_Toc479345465"/>
      <w:bookmarkStart w:id="12858" w:name="_Toc479348446"/>
      <w:bookmarkStart w:id="12859" w:name="_Toc479676039"/>
      <w:bookmarkStart w:id="12860" w:name="_Toc479691006"/>
      <w:bookmarkStart w:id="12861" w:name="_Toc479693584"/>
      <w:bookmarkStart w:id="12862" w:name="_Toc479770753"/>
      <w:r>
        <w:t>Appendix G</w:t>
      </w:r>
      <w:r w:rsidR="005D6F39">
        <w:t xml:space="preserve"> — </w:t>
      </w:r>
      <w:r w:rsidRPr="00ED32D5">
        <w:t>Submissions</w:t>
      </w:r>
      <w:bookmarkEnd w:id="12808"/>
      <w:bookmarkEnd w:id="12809"/>
      <w:bookmarkEnd w:id="12810"/>
      <w:r w:rsidR="00C61459">
        <w:t xml:space="preserve"> and </w:t>
      </w:r>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r w:rsidR="00AB20BC">
        <w:t>M</w:t>
      </w:r>
      <w:r w:rsidR="00C61459">
        <w:t>eetings</w:t>
      </w:r>
      <w:bookmarkEnd w:id="12860"/>
      <w:bookmarkEnd w:id="12861"/>
      <w:bookmarkEnd w:id="12862"/>
    </w:p>
    <w:p w14:paraId="1C784AB0" w14:textId="0556664C" w:rsidR="00C61459" w:rsidRPr="00C61459" w:rsidRDefault="00C61459" w:rsidP="00C61459">
      <w:pPr>
        <w:pStyle w:val="Heading2"/>
      </w:pPr>
      <w:bookmarkStart w:id="12863" w:name="_Toc477875386"/>
      <w:bookmarkStart w:id="12864" w:name="_Toc477880299"/>
      <w:bookmarkStart w:id="12865" w:name="_Toc477881559"/>
      <w:bookmarkStart w:id="12866" w:name="_Toc477955962"/>
      <w:bookmarkStart w:id="12867" w:name="_Toc477963207"/>
      <w:bookmarkStart w:id="12868" w:name="_Toc477963693"/>
      <w:bookmarkStart w:id="12869" w:name="_Toc477965279"/>
      <w:bookmarkStart w:id="12870" w:name="_Toc477966783"/>
      <w:bookmarkStart w:id="12871" w:name="_Toc477966952"/>
      <w:bookmarkStart w:id="12872" w:name="_Toc477967292"/>
      <w:bookmarkStart w:id="12873" w:name="_Toc478121427"/>
      <w:bookmarkStart w:id="12874" w:name="_Toc478122340"/>
      <w:bookmarkStart w:id="12875" w:name="_Toc478132170"/>
      <w:bookmarkStart w:id="12876" w:name="_Toc478132477"/>
      <w:bookmarkStart w:id="12877" w:name="_Toc478134806"/>
      <w:bookmarkStart w:id="12878" w:name="_Toc478137508"/>
      <w:bookmarkStart w:id="12879" w:name="_Toc478138580"/>
      <w:bookmarkStart w:id="12880" w:name="_Toc478140150"/>
      <w:bookmarkStart w:id="12881" w:name="_Toc478140566"/>
      <w:bookmarkStart w:id="12882" w:name="_Toc478142772"/>
      <w:bookmarkStart w:id="12883" w:name="_Toc478566491"/>
      <w:bookmarkStart w:id="12884" w:name="_Toc478569658"/>
      <w:bookmarkStart w:id="12885" w:name="_Toc478569832"/>
      <w:bookmarkStart w:id="12886" w:name="_Toc478570906"/>
      <w:bookmarkStart w:id="12887" w:name="_Toc478633105"/>
      <w:bookmarkStart w:id="12888" w:name="_Toc478641514"/>
      <w:bookmarkStart w:id="12889" w:name="_Toc478654408"/>
      <w:bookmarkStart w:id="12890" w:name="_Toc478654582"/>
      <w:bookmarkStart w:id="12891" w:name="_Toc478657877"/>
      <w:bookmarkStart w:id="12892" w:name="_Toc478993298"/>
      <w:bookmarkStart w:id="12893" w:name="_Toc479000369"/>
      <w:bookmarkStart w:id="12894" w:name="_Toc479002303"/>
      <w:bookmarkStart w:id="12895" w:name="_Toc479002475"/>
      <w:bookmarkStart w:id="12896" w:name="_Toc479254449"/>
      <w:bookmarkStart w:id="12897" w:name="_Toc479258638"/>
      <w:bookmarkStart w:id="12898" w:name="_Toc479258954"/>
      <w:bookmarkStart w:id="12899" w:name="_Toc479259846"/>
      <w:bookmarkStart w:id="12900" w:name="_Toc479262269"/>
      <w:bookmarkStart w:id="12901" w:name="_Toc479262690"/>
      <w:bookmarkStart w:id="12902" w:name="_Toc479321391"/>
      <w:bookmarkStart w:id="12903" w:name="_Toc479326830"/>
      <w:bookmarkStart w:id="12904" w:name="_Toc479333091"/>
      <w:bookmarkStart w:id="12905" w:name="_Toc479333429"/>
      <w:bookmarkStart w:id="12906" w:name="_Toc479335126"/>
      <w:bookmarkStart w:id="12907" w:name="_Toc479341841"/>
      <w:bookmarkStart w:id="12908" w:name="_Toc479345257"/>
      <w:bookmarkStart w:id="12909" w:name="_Toc479345466"/>
      <w:bookmarkStart w:id="12910" w:name="_Toc479348447"/>
      <w:bookmarkStart w:id="12911" w:name="_Toc479676040"/>
      <w:bookmarkStart w:id="12912" w:name="_Toc479691007"/>
      <w:bookmarkStart w:id="12913" w:name="_Toc479693585"/>
      <w:bookmarkStart w:id="12914" w:name="_Toc479770754"/>
      <w:r>
        <w:t>Submissions</w:t>
      </w:r>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p>
    <w:p w14:paraId="5DD43CDA" w14:textId="63440A2A" w:rsidR="00257E1A" w:rsidRDefault="00257E1A" w:rsidP="00257E1A">
      <w:r>
        <w:t xml:space="preserve">The review received a total of </w:t>
      </w:r>
      <w:r w:rsidR="00600B51" w:rsidRPr="006D28D4">
        <w:t>7</w:t>
      </w:r>
      <w:r w:rsidR="00600B51">
        <w:t>7</w:t>
      </w:r>
      <w:r>
        <w:t xml:space="preserve"> submissions of which </w:t>
      </w:r>
      <w:r w:rsidR="0085460A">
        <w:t>6</w:t>
      </w:r>
      <w:r>
        <w:t xml:space="preserve"> were provided on confidential basis. Non confidential submissions were made available on the Treasury website: http://www.treasury.gov.au/ConsultationsandReviews/Reviews/2016/Review</w:t>
      </w:r>
      <w:r w:rsidR="005D6F39">
        <w:noBreakHyphen/>
      </w:r>
      <w:r>
        <w:t>of</w:t>
      </w:r>
      <w:r w:rsidR="005D6F39">
        <w:noBreakHyphen/>
      </w:r>
      <w:r>
        <w:t>the</w:t>
      </w:r>
      <w:r w:rsidR="005D6F39">
        <w:noBreakHyphen/>
      </w:r>
      <w:r>
        <w:t>Petroleum</w:t>
      </w:r>
      <w:r w:rsidR="005D6F39">
        <w:noBreakHyphen/>
      </w:r>
      <w:r>
        <w:t>Resource</w:t>
      </w:r>
      <w:r w:rsidR="005D6F39">
        <w:noBreakHyphen/>
      </w:r>
      <w:r>
        <w:t>Rent</w:t>
      </w:r>
      <w:r w:rsidR="005D6F39">
        <w:noBreakHyphen/>
      </w:r>
      <w:r>
        <w:t xml:space="preserve">Tax/Consultation/Submissions </w:t>
      </w:r>
    </w:p>
    <w:p w14:paraId="322F553B" w14:textId="77777777" w:rsidR="00257E1A" w:rsidRDefault="00257E1A" w:rsidP="00257E1A">
      <w:pPr>
        <w:spacing w:after="0" w:line="240" w:lineRule="auto"/>
        <w:jc w:val="left"/>
      </w:pPr>
      <w:r>
        <w:t>1.</w:t>
      </w:r>
      <w:r>
        <w:tab/>
        <w:t>Armidale Regional Council</w:t>
      </w:r>
    </w:p>
    <w:p w14:paraId="5CE590B3" w14:textId="77777777" w:rsidR="00257E1A" w:rsidRDefault="00257E1A" w:rsidP="00257E1A">
      <w:pPr>
        <w:spacing w:after="0" w:line="240" w:lineRule="auto"/>
        <w:jc w:val="left"/>
      </w:pPr>
      <w:r>
        <w:t>2.</w:t>
      </w:r>
      <w:r>
        <w:tab/>
        <w:t>Arrow Energy</w:t>
      </w:r>
    </w:p>
    <w:p w14:paraId="6DECFBD1" w14:textId="77777777" w:rsidR="00257E1A" w:rsidRDefault="00257E1A" w:rsidP="00257E1A">
      <w:pPr>
        <w:spacing w:after="0" w:line="240" w:lineRule="auto"/>
        <w:jc w:val="left"/>
      </w:pPr>
      <w:r>
        <w:t>3.</w:t>
      </w:r>
      <w:r>
        <w:tab/>
        <w:t>Australia Taxation Office</w:t>
      </w:r>
    </w:p>
    <w:p w14:paraId="37856422" w14:textId="77777777" w:rsidR="00257E1A" w:rsidRDefault="00257E1A" w:rsidP="00257E1A">
      <w:pPr>
        <w:spacing w:after="0" w:line="240" w:lineRule="auto"/>
        <w:jc w:val="left"/>
      </w:pPr>
      <w:r>
        <w:t>4.</w:t>
      </w:r>
      <w:r>
        <w:tab/>
        <w:t>Australian Council of Social Service</w:t>
      </w:r>
    </w:p>
    <w:p w14:paraId="135F32B6" w14:textId="77777777" w:rsidR="00257E1A" w:rsidRDefault="00257E1A" w:rsidP="00257E1A">
      <w:pPr>
        <w:spacing w:after="0" w:line="240" w:lineRule="auto"/>
        <w:jc w:val="left"/>
      </w:pPr>
      <w:r>
        <w:t>5.</w:t>
      </w:r>
      <w:r>
        <w:tab/>
        <w:t>Australian Council of Trade Unions</w:t>
      </w:r>
    </w:p>
    <w:p w14:paraId="46293919" w14:textId="77777777" w:rsidR="00257E1A" w:rsidRDefault="00257E1A" w:rsidP="00257E1A">
      <w:pPr>
        <w:spacing w:after="0" w:line="240" w:lineRule="auto"/>
        <w:jc w:val="left"/>
      </w:pPr>
      <w:r>
        <w:t>6.</w:t>
      </w:r>
      <w:r>
        <w:tab/>
        <w:t>Australian Petroleum Production and Exploration Association (APPEA)</w:t>
      </w:r>
    </w:p>
    <w:p w14:paraId="36804AC6" w14:textId="77777777" w:rsidR="00257E1A" w:rsidRDefault="00257E1A" w:rsidP="00257E1A">
      <w:pPr>
        <w:spacing w:after="0" w:line="240" w:lineRule="auto"/>
        <w:jc w:val="left"/>
      </w:pPr>
      <w:r>
        <w:t>7.</w:t>
      </w:r>
      <w:r>
        <w:tab/>
        <w:t>Ballina Shire Council</w:t>
      </w:r>
    </w:p>
    <w:p w14:paraId="72C16DD6" w14:textId="77777777" w:rsidR="00257E1A" w:rsidRDefault="00257E1A" w:rsidP="00257E1A">
      <w:pPr>
        <w:spacing w:after="0" w:line="240" w:lineRule="auto"/>
        <w:jc w:val="left"/>
      </w:pPr>
      <w:r>
        <w:t>8.</w:t>
      </w:r>
      <w:r>
        <w:tab/>
        <w:t>Balonne Shire Council</w:t>
      </w:r>
    </w:p>
    <w:p w14:paraId="019F97C4" w14:textId="77777777" w:rsidR="00257E1A" w:rsidRDefault="00257E1A" w:rsidP="00257E1A">
      <w:pPr>
        <w:spacing w:after="0" w:line="240" w:lineRule="auto"/>
        <w:jc w:val="left"/>
      </w:pPr>
      <w:r>
        <w:t>9.</w:t>
      </w:r>
      <w:r>
        <w:tab/>
        <w:t>Banana Shire Council</w:t>
      </w:r>
    </w:p>
    <w:p w14:paraId="628DF8C4" w14:textId="77777777" w:rsidR="00257E1A" w:rsidRDefault="00257E1A" w:rsidP="00257E1A">
      <w:pPr>
        <w:spacing w:after="0" w:line="240" w:lineRule="auto"/>
        <w:jc w:val="left"/>
      </w:pPr>
      <w:r>
        <w:t>10.</w:t>
      </w:r>
      <w:r>
        <w:tab/>
        <w:t>BHP Billiton</w:t>
      </w:r>
    </w:p>
    <w:p w14:paraId="7B8D6ABE" w14:textId="76A25135" w:rsidR="00257E1A" w:rsidRDefault="00257E1A" w:rsidP="00257E1A">
      <w:pPr>
        <w:spacing w:after="0" w:line="240" w:lineRule="auto"/>
        <w:jc w:val="left"/>
      </w:pPr>
      <w:r>
        <w:t>11</w:t>
      </w:r>
      <w:r w:rsidR="008037D8">
        <w:t>.</w:t>
      </w:r>
      <w:r>
        <w:tab/>
        <w:t>BHP Billiton Additional Information</w:t>
      </w:r>
    </w:p>
    <w:p w14:paraId="7B44E3C5" w14:textId="77777777" w:rsidR="00257E1A" w:rsidRDefault="00257E1A" w:rsidP="00257E1A">
      <w:pPr>
        <w:spacing w:after="0" w:line="240" w:lineRule="auto"/>
        <w:jc w:val="left"/>
      </w:pPr>
      <w:r>
        <w:t>12.</w:t>
      </w:r>
      <w:r>
        <w:tab/>
        <w:t>BP Australia</w:t>
      </w:r>
    </w:p>
    <w:p w14:paraId="1CE2FA39" w14:textId="77777777" w:rsidR="00257E1A" w:rsidRDefault="00257E1A" w:rsidP="00257E1A">
      <w:pPr>
        <w:spacing w:after="0" w:line="240" w:lineRule="auto"/>
        <w:jc w:val="left"/>
      </w:pPr>
      <w:r>
        <w:t>13.</w:t>
      </w:r>
      <w:r>
        <w:tab/>
        <w:t>Bulloo Shire Council</w:t>
      </w:r>
    </w:p>
    <w:p w14:paraId="4AA627B6" w14:textId="77777777" w:rsidR="00257E1A" w:rsidRDefault="00257E1A" w:rsidP="00257E1A">
      <w:pPr>
        <w:spacing w:after="0" w:line="240" w:lineRule="auto"/>
        <w:jc w:val="left"/>
      </w:pPr>
      <w:r>
        <w:t>14.</w:t>
      </w:r>
      <w:r>
        <w:tab/>
        <w:t>Bundaberg Regional Council</w:t>
      </w:r>
    </w:p>
    <w:p w14:paraId="634E4423" w14:textId="77777777" w:rsidR="00257E1A" w:rsidRDefault="00257E1A" w:rsidP="00257E1A">
      <w:pPr>
        <w:spacing w:after="0" w:line="240" w:lineRule="auto"/>
        <w:jc w:val="left"/>
      </w:pPr>
      <w:r>
        <w:t>15.</w:t>
      </w:r>
      <w:r>
        <w:tab/>
        <w:t>Burdekin Shire Council</w:t>
      </w:r>
    </w:p>
    <w:p w14:paraId="4C98D672" w14:textId="77777777" w:rsidR="00257E1A" w:rsidRDefault="00257E1A" w:rsidP="00257E1A">
      <w:pPr>
        <w:spacing w:after="0" w:line="240" w:lineRule="auto"/>
        <w:jc w:val="left"/>
      </w:pPr>
      <w:r>
        <w:t>16.</w:t>
      </w:r>
      <w:r>
        <w:tab/>
        <w:t>Business Council of Australia</w:t>
      </w:r>
    </w:p>
    <w:p w14:paraId="1E67A430" w14:textId="77777777" w:rsidR="00257E1A" w:rsidRDefault="00257E1A" w:rsidP="00257E1A">
      <w:pPr>
        <w:spacing w:after="0" w:line="240" w:lineRule="auto"/>
        <w:jc w:val="left"/>
      </w:pPr>
      <w:r>
        <w:t>17.</w:t>
      </w:r>
      <w:r>
        <w:tab/>
        <w:t>Central Desert Regional Council</w:t>
      </w:r>
    </w:p>
    <w:p w14:paraId="091297F0" w14:textId="77777777" w:rsidR="00257E1A" w:rsidRDefault="00257E1A" w:rsidP="00257E1A">
      <w:pPr>
        <w:spacing w:after="0" w:line="240" w:lineRule="auto"/>
        <w:jc w:val="left"/>
      </w:pPr>
      <w:r>
        <w:t>18.</w:t>
      </w:r>
      <w:r>
        <w:tab/>
        <w:t>Chamber of Commerce and Industry WA</w:t>
      </w:r>
    </w:p>
    <w:p w14:paraId="295B8524" w14:textId="3378DD2E" w:rsidR="00257E1A" w:rsidRDefault="00257E1A" w:rsidP="00257E1A">
      <w:pPr>
        <w:spacing w:after="0" w:line="240" w:lineRule="auto"/>
        <w:jc w:val="left"/>
      </w:pPr>
      <w:r>
        <w:t>19.</w:t>
      </w:r>
      <w:r>
        <w:tab/>
        <w:t>Chevron</w:t>
      </w:r>
      <w:r w:rsidR="00697FD3">
        <w:t xml:space="preserve"> </w:t>
      </w:r>
    </w:p>
    <w:p w14:paraId="370F7D56" w14:textId="77777777" w:rsidR="00257E1A" w:rsidRDefault="00257E1A" w:rsidP="00257E1A">
      <w:pPr>
        <w:spacing w:after="0" w:line="240" w:lineRule="auto"/>
        <w:jc w:val="left"/>
      </w:pPr>
      <w:r>
        <w:t>20.</w:t>
      </w:r>
      <w:r>
        <w:tab/>
        <w:t>Cobar Shire Council</w:t>
      </w:r>
    </w:p>
    <w:p w14:paraId="68481C1D" w14:textId="77777777" w:rsidR="00257E1A" w:rsidRDefault="00257E1A" w:rsidP="00257E1A">
      <w:pPr>
        <w:spacing w:after="0" w:line="240" w:lineRule="auto"/>
        <w:jc w:val="left"/>
      </w:pPr>
      <w:r>
        <w:t>21.</w:t>
      </w:r>
      <w:r>
        <w:tab/>
        <w:t>Community and Public Sector Union</w:t>
      </w:r>
    </w:p>
    <w:p w14:paraId="316B7681" w14:textId="77777777" w:rsidR="00257E1A" w:rsidRDefault="00257E1A" w:rsidP="00257E1A">
      <w:pPr>
        <w:spacing w:after="0" w:line="240" w:lineRule="auto"/>
        <w:jc w:val="left"/>
      </w:pPr>
      <w:r>
        <w:t>22.</w:t>
      </w:r>
      <w:r>
        <w:tab/>
        <w:t>Cooper Energy</w:t>
      </w:r>
    </w:p>
    <w:p w14:paraId="02ADF0E8" w14:textId="7ECD509D" w:rsidR="00257E1A" w:rsidRDefault="00257E1A" w:rsidP="00257E1A">
      <w:pPr>
        <w:spacing w:after="0" w:line="240" w:lineRule="auto"/>
        <w:jc w:val="left"/>
      </w:pPr>
      <w:r>
        <w:t>23.</w:t>
      </w:r>
      <w:r>
        <w:tab/>
        <w:t>Dr Diane Kraal</w:t>
      </w:r>
      <w:r w:rsidR="005D6F39">
        <w:t xml:space="preserve"> — </w:t>
      </w:r>
      <w:r>
        <w:t>Monash Business School</w:t>
      </w:r>
      <w:r w:rsidR="005D6F39">
        <w:t xml:space="preserve"> — </w:t>
      </w:r>
      <w:r>
        <w:t>Monash University</w:t>
      </w:r>
    </w:p>
    <w:p w14:paraId="65FFB70A" w14:textId="77777777" w:rsidR="00257E1A" w:rsidRDefault="00257E1A" w:rsidP="00257E1A">
      <w:pPr>
        <w:spacing w:after="0" w:line="240" w:lineRule="auto"/>
        <w:jc w:val="left"/>
      </w:pPr>
      <w:r>
        <w:t>24.</w:t>
      </w:r>
      <w:r>
        <w:tab/>
        <w:t>Dwyer Lawyers</w:t>
      </w:r>
    </w:p>
    <w:p w14:paraId="1E1DF4C5" w14:textId="77777777" w:rsidR="00257E1A" w:rsidRDefault="00257E1A" w:rsidP="00257E1A">
      <w:pPr>
        <w:spacing w:after="0" w:line="240" w:lineRule="auto"/>
        <w:jc w:val="left"/>
      </w:pPr>
      <w:r>
        <w:t>25.</w:t>
      </w:r>
      <w:r>
        <w:tab/>
        <w:t>Edward River Council</w:t>
      </w:r>
    </w:p>
    <w:p w14:paraId="7E43F6E4" w14:textId="77777777" w:rsidR="00257E1A" w:rsidRDefault="00257E1A" w:rsidP="00257E1A">
      <w:pPr>
        <w:spacing w:after="0" w:line="240" w:lineRule="auto"/>
        <w:jc w:val="left"/>
      </w:pPr>
      <w:r>
        <w:t>26.</w:t>
      </w:r>
      <w:r>
        <w:tab/>
        <w:t xml:space="preserve">ENI Australia </w:t>
      </w:r>
    </w:p>
    <w:p w14:paraId="1063740E" w14:textId="4ACC589B" w:rsidR="00257E1A" w:rsidRDefault="00257E1A" w:rsidP="00257E1A">
      <w:pPr>
        <w:spacing w:after="0" w:line="240" w:lineRule="auto"/>
        <w:jc w:val="left"/>
      </w:pPr>
      <w:r>
        <w:t>27.</w:t>
      </w:r>
      <w:r>
        <w:tab/>
        <w:t>ExxonMobil Australia</w:t>
      </w:r>
    </w:p>
    <w:p w14:paraId="5267EDDD" w14:textId="535E0626" w:rsidR="00257E1A" w:rsidRDefault="00257E1A" w:rsidP="00257E1A">
      <w:pPr>
        <w:spacing w:after="0" w:line="240" w:lineRule="auto"/>
        <w:jc w:val="left"/>
      </w:pPr>
      <w:r>
        <w:t>28</w:t>
      </w:r>
      <w:r>
        <w:tab/>
        <w:t>ExxonMobil Australia Additional Information</w:t>
      </w:r>
    </w:p>
    <w:p w14:paraId="781D1AA3" w14:textId="77777777" w:rsidR="00257E1A" w:rsidRDefault="00257E1A" w:rsidP="00257E1A">
      <w:pPr>
        <w:spacing w:after="0" w:line="240" w:lineRule="auto"/>
        <w:jc w:val="left"/>
      </w:pPr>
      <w:r>
        <w:t>29.</w:t>
      </w:r>
      <w:r>
        <w:tab/>
        <w:t>Far North Queensland Regional Organisation of Councils</w:t>
      </w:r>
    </w:p>
    <w:p w14:paraId="0F93D9E0" w14:textId="77777777" w:rsidR="00257E1A" w:rsidRDefault="00257E1A" w:rsidP="00257E1A">
      <w:pPr>
        <w:spacing w:after="0" w:line="240" w:lineRule="auto"/>
        <w:jc w:val="left"/>
      </w:pPr>
      <w:r>
        <w:t>30.</w:t>
      </w:r>
      <w:r>
        <w:tab/>
        <w:t>Greenpeace Australia Pacific</w:t>
      </w:r>
    </w:p>
    <w:p w14:paraId="361A2730" w14:textId="77777777" w:rsidR="00257E1A" w:rsidRDefault="00257E1A" w:rsidP="00257E1A">
      <w:pPr>
        <w:spacing w:after="0" w:line="240" w:lineRule="auto"/>
        <w:jc w:val="left"/>
      </w:pPr>
      <w:r>
        <w:t>31.</w:t>
      </w:r>
      <w:r>
        <w:tab/>
        <w:t>INPEX Operations Australia Pty Ltd</w:t>
      </w:r>
    </w:p>
    <w:p w14:paraId="245E3AD9" w14:textId="77777777" w:rsidR="00257E1A" w:rsidRDefault="00257E1A" w:rsidP="00257E1A">
      <w:pPr>
        <w:spacing w:after="0" w:line="240" w:lineRule="auto"/>
        <w:jc w:val="left"/>
      </w:pPr>
      <w:r>
        <w:t>32.</w:t>
      </w:r>
      <w:r>
        <w:tab/>
        <w:t>Isaac Regional Council</w:t>
      </w:r>
    </w:p>
    <w:p w14:paraId="4E046B93" w14:textId="77777777" w:rsidR="00257E1A" w:rsidRDefault="00257E1A" w:rsidP="00257E1A">
      <w:pPr>
        <w:spacing w:after="0" w:line="240" w:lineRule="auto"/>
        <w:jc w:val="left"/>
      </w:pPr>
      <w:r>
        <w:t>33.</w:t>
      </w:r>
      <w:r>
        <w:tab/>
        <w:t>Japan Australia LNG (MIMI) Pty Ltd</w:t>
      </w:r>
    </w:p>
    <w:p w14:paraId="1A9FD0F4" w14:textId="77777777" w:rsidR="00257E1A" w:rsidRDefault="00257E1A" w:rsidP="00257E1A">
      <w:pPr>
        <w:spacing w:after="0" w:line="240" w:lineRule="auto"/>
        <w:jc w:val="left"/>
      </w:pPr>
      <w:r>
        <w:t>34.</w:t>
      </w:r>
      <w:r>
        <w:tab/>
        <w:t>Jera Australia Pty Ltd</w:t>
      </w:r>
    </w:p>
    <w:p w14:paraId="001FDF5C" w14:textId="77777777" w:rsidR="00257E1A" w:rsidRDefault="00257E1A" w:rsidP="00CC112D">
      <w:pPr>
        <w:spacing w:after="0" w:line="240" w:lineRule="auto"/>
        <w:ind w:left="720" w:hanging="720"/>
        <w:jc w:val="left"/>
      </w:pPr>
      <w:r>
        <w:t>35.</w:t>
      </w:r>
      <w:r>
        <w:tab/>
        <w:t>Justice and International Mission Unit, Synod of Victoria and Tasmania, Uniting Church in Australia</w:t>
      </w:r>
    </w:p>
    <w:p w14:paraId="61C8812B" w14:textId="77777777" w:rsidR="00257E1A" w:rsidRDefault="00257E1A" w:rsidP="00257E1A">
      <w:pPr>
        <w:spacing w:after="0" w:line="240" w:lineRule="auto"/>
        <w:jc w:val="left"/>
      </w:pPr>
      <w:r>
        <w:t>36.</w:t>
      </w:r>
      <w:r>
        <w:tab/>
        <w:t>Kangaroo Island Shire Council</w:t>
      </w:r>
    </w:p>
    <w:p w14:paraId="64104A07" w14:textId="34D885EE" w:rsidR="00257E1A" w:rsidRDefault="00257E1A" w:rsidP="00257E1A">
      <w:pPr>
        <w:spacing w:after="0" w:line="240" w:lineRule="auto"/>
        <w:jc w:val="left"/>
      </w:pPr>
      <w:r>
        <w:t>37.</w:t>
      </w:r>
      <w:r>
        <w:tab/>
        <w:t>Kevin Morrison</w:t>
      </w:r>
      <w:r w:rsidR="005D6F39">
        <w:t xml:space="preserve"> — </w:t>
      </w:r>
      <w:r>
        <w:t>Damien Giurco</w:t>
      </w:r>
      <w:r w:rsidR="005D6F39">
        <w:t xml:space="preserve"> — </w:t>
      </w:r>
      <w:r>
        <w:t>UTS Institute of Sustainable Futures</w:t>
      </w:r>
    </w:p>
    <w:p w14:paraId="5FF4DCFC" w14:textId="77777777" w:rsidR="00257E1A" w:rsidRDefault="00257E1A" w:rsidP="00257E1A">
      <w:pPr>
        <w:spacing w:after="0" w:line="240" w:lineRule="auto"/>
        <w:jc w:val="left"/>
      </w:pPr>
      <w:r>
        <w:t>38.</w:t>
      </w:r>
      <w:r>
        <w:tab/>
        <w:t>Local Government Association of Queensland</w:t>
      </w:r>
    </w:p>
    <w:p w14:paraId="4FCEA5B5" w14:textId="77777777" w:rsidR="00257E1A" w:rsidRDefault="00257E1A" w:rsidP="00257E1A">
      <w:pPr>
        <w:spacing w:after="0" w:line="240" w:lineRule="auto"/>
        <w:jc w:val="left"/>
      </w:pPr>
      <w:r>
        <w:t>39.</w:t>
      </w:r>
      <w:r>
        <w:tab/>
        <w:t>Loddon Shire Council</w:t>
      </w:r>
    </w:p>
    <w:p w14:paraId="45B7FBC0" w14:textId="77777777" w:rsidR="00257E1A" w:rsidRDefault="00257E1A" w:rsidP="00257E1A">
      <w:pPr>
        <w:spacing w:after="0" w:line="240" w:lineRule="auto"/>
        <w:jc w:val="left"/>
      </w:pPr>
      <w:r>
        <w:t>40.</w:t>
      </w:r>
      <w:r>
        <w:tab/>
        <w:t>Mackay Regional Council</w:t>
      </w:r>
    </w:p>
    <w:p w14:paraId="3E41DD47" w14:textId="77777777" w:rsidR="00257E1A" w:rsidRDefault="00257E1A" w:rsidP="00257E1A">
      <w:pPr>
        <w:spacing w:after="0" w:line="240" w:lineRule="auto"/>
        <w:jc w:val="left"/>
      </w:pPr>
      <w:r>
        <w:t>41.</w:t>
      </w:r>
      <w:r>
        <w:tab/>
        <w:t>Maranoa Regional Council</w:t>
      </w:r>
    </w:p>
    <w:p w14:paraId="7FD2AF2D" w14:textId="77777777" w:rsidR="00257E1A" w:rsidRDefault="00257E1A" w:rsidP="00257E1A">
      <w:pPr>
        <w:spacing w:after="0" w:line="240" w:lineRule="auto"/>
        <w:jc w:val="left"/>
      </w:pPr>
      <w:r>
        <w:t>42.</w:t>
      </w:r>
      <w:r>
        <w:tab/>
        <w:t>Mareeba Shire Council</w:t>
      </w:r>
    </w:p>
    <w:p w14:paraId="50974F00" w14:textId="6D813706" w:rsidR="00257E1A" w:rsidRDefault="00257E1A" w:rsidP="00257E1A">
      <w:pPr>
        <w:spacing w:after="0" w:line="240" w:lineRule="auto"/>
        <w:jc w:val="left"/>
      </w:pPr>
      <w:r>
        <w:t>43.</w:t>
      </w:r>
      <w:r>
        <w:tab/>
        <w:t>Mid</w:t>
      </w:r>
      <w:r w:rsidR="005D6F39">
        <w:noBreakHyphen/>
      </w:r>
      <w:r>
        <w:t>Western Regional Council</w:t>
      </w:r>
    </w:p>
    <w:p w14:paraId="57BEA45E" w14:textId="77777777" w:rsidR="00257E1A" w:rsidRDefault="00257E1A" w:rsidP="00257E1A">
      <w:pPr>
        <w:spacing w:after="0" w:line="240" w:lineRule="auto"/>
        <w:jc w:val="left"/>
      </w:pPr>
      <w:r>
        <w:t>44.</w:t>
      </w:r>
      <w:r>
        <w:tab/>
        <w:t>Mitsui E&amp;P Australia Pty Ltd</w:t>
      </w:r>
    </w:p>
    <w:p w14:paraId="47B47D2B" w14:textId="77777777" w:rsidR="00257E1A" w:rsidRDefault="00257E1A" w:rsidP="00257E1A">
      <w:pPr>
        <w:spacing w:after="0" w:line="240" w:lineRule="auto"/>
        <w:jc w:val="left"/>
      </w:pPr>
      <w:r>
        <w:t>45.</w:t>
      </w:r>
      <w:r>
        <w:tab/>
        <w:t>North West Shelf Project</w:t>
      </w:r>
    </w:p>
    <w:p w14:paraId="7232BE59" w14:textId="77777777" w:rsidR="00257E1A" w:rsidRDefault="00257E1A" w:rsidP="00257E1A">
      <w:pPr>
        <w:spacing w:after="0" w:line="240" w:lineRule="auto"/>
        <w:jc w:val="left"/>
      </w:pPr>
      <w:r>
        <w:t>46.</w:t>
      </w:r>
      <w:r>
        <w:tab/>
        <w:t>Northern Territory Government</w:t>
      </w:r>
    </w:p>
    <w:p w14:paraId="1FBD5378" w14:textId="77777777" w:rsidR="00257E1A" w:rsidRDefault="00257E1A" w:rsidP="00257E1A">
      <w:pPr>
        <w:spacing w:after="0" w:line="240" w:lineRule="auto"/>
        <w:jc w:val="left"/>
      </w:pPr>
      <w:r>
        <w:t>47.</w:t>
      </w:r>
      <w:r>
        <w:tab/>
        <w:t>Origin Energy Limited</w:t>
      </w:r>
    </w:p>
    <w:p w14:paraId="3D37F517" w14:textId="77777777" w:rsidR="00257E1A" w:rsidRDefault="00257E1A" w:rsidP="00257E1A">
      <w:pPr>
        <w:spacing w:after="0" w:line="240" w:lineRule="auto"/>
        <w:jc w:val="left"/>
      </w:pPr>
      <w:r>
        <w:t>48.</w:t>
      </w:r>
      <w:r>
        <w:tab/>
        <w:t>PE Wheatstone Pty Ltd</w:t>
      </w:r>
    </w:p>
    <w:p w14:paraId="26C24CAC" w14:textId="77777777" w:rsidR="00257E1A" w:rsidRDefault="00257E1A" w:rsidP="00257E1A">
      <w:pPr>
        <w:spacing w:after="0" w:line="240" w:lineRule="auto"/>
        <w:jc w:val="left"/>
      </w:pPr>
      <w:r>
        <w:t>49.</w:t>
      </w:r>
      <w:r>
        <w:tab/>
        <w:t>Peter Matters</w:t>
      </w:r>
    </w:p>
    <w:p w14:paraId="070429BF" w14:textId="77777777" w:rsidR="00257E1A" w:rsidRDefault="00257E1A" w:rsidP="00257E1A">
      <w:pPr>
        <w:spacing w:after="0" w:line="240" w:lineRule="auto"/>
        <w:jc w:val="left"/>
      </w:pPr>
      <w:r>
        <w:t>50.</w:t>
      </w:r>
      <w:r>
        <w:tab/>
        <w:t>Professionals Australia</w:t>
      </w:r>
    </w:p>
    <w:p w14:paraId="45C22DE6" w14:textId="77777777" w:rsidR="00257E1A" w:rsidRDefault="00257E1A" w:rsidP="00257E1A">
      <w:pPr>
        <w:spacing w:after="0" w:line="240" w:lineRule="auto"/>
        <w:jc w:val="left"/>
      </w:pPr>
      <w:r>
        <w:t>51.</w:t>
      </w:r>
      <w:r>
        <w:tab/>
        <w:t>Professor John Chandler</w:t>
      </w:r>
    </w:p>
    <w:p w14:paraId="45679C28" w14:textId="77777777" w:rsidR="00257E1A" w:rsidRDefault="00257E1A" w:rsidP="00257E1A">
      <w:pPr>
        <w:spacing w:after="0" w:line="240" w:lineRule="auto"/>
        <w:jc w:val="left"/>
      </w:pPr>
      <w:r>
        <w:t>52.</w:t>
      </w:r>
      <w:r>
        <w:tab/>
        <w:t>Prosper Australia</w:t>
      </w:r>
    </w:p>
    <w:p w14:paraId="32DE8EF0" w14:textId="77777777" w:rsidR="00257E1A" w:rsidRDefault="00257E1A" w:rsidP="00257E1A">
      <w:pPr>
        <w:spacing w:after="0" w:line="240" w:lineRule="auto"/>
        <w:jc w:val="left"/>
      </w:pPr>
      <w:r>
        <w:t>53.</w:t>
      </w:r>
      <w:r>
        <w:tab/>
        <w:t>Publish What You Pay</w:t>
      </w:r>
    </w:p>
    <w:p w14:paraId="1F1E4FF3" w14:textId="77777777" w:rsidR="00257E1A" w:rsidRDefault="00257E1A" w:rsidP="00257E1A">
      <w:pPr>
        <w:spacing w:after="0" w:line="240" w:lineRule="auto"/>
        <w:jc w:val="left"/>
      </w:pPr>
      <w:r>
        <w:t>54.</w:t>
      </w:r>
      <w:r>
        <w:tab/>
        <w:t>Queensland Resources Council</w:t>
      </w:r>
    </w:p>
    <w:p w14:paraId="68EDF10C" w14:textId="77777777" w:rsidR="00257E1A" w:rsidRDefault="00257E1A" w:rsidP="00257E1A">
      <w:pPr>
        <w:spacing w:after="0" w:line="240" w:lineRule="auto"/>
        <w:jc w:val="left"/>
      </w:pPr>
      <w:r>
        <w:t>55.</w:t>
      </w:r>
      <w:r>
        <w:tab/>
        <w:t>Quilpie Shire Council</w:t>
      </w:r>
    </w:p>
    <w:p w14:paraId="0B45360D" w14:textId="77777777" w:rsidR="00257E1A" w:rsidRDefault="00257E1A" w:rsidP="00257E1A">
      <w:pPr>
        <w:spacing w:after="0" w:line="240" w:lineRule="auto"/>
        <w:jc w:val="left"/>
      </w:pPr>
      <w:r>
        <w:t>56.</w:t>
      </w:r>
      <w:r>
        <w:tab/>
        <w:t>Santos</w:t>
      </w:r>
    </w:p>
    <w:p w14:paraId="79373848" w14:textId="77777777" w:rsidR="00257E1A" w:rsidRDefault="00257E1A" w:rsidP="00257E1A">
      <w:pPr>
        <w:spacing w:after="0" w:line="240" w:lineRule="auto"/>
        <w:jc w:val="left"/>
      </w:pPr>
      <w:r>
        <w:t>57.</w:t>
      </w:r>
      <w:r>
        <w:tab/>
        <w:t>Senex Energy</w:t>
      </w:r>
    </w:p>
    <w:p w14:paraId="56771EC3" w14:textId="77777777" w:rsidR="00257E1A" w:rsidRDefault="00257E1A" w:rsidP="00257E1A">
      <w:pPr>
        <w:spacing w:after="0" w:line="240" w:lineRule="auto"/>
        <w:jc w:val="left"/>
      </w:pPr>
      <w:r>
        <w:t>58.</w:t>
      </w:r>
      <w:r>
        <w:tab/>
        <w:t>Shell Australia</w:t>
      </w:r>
    </w:p>
    <w:p w14:paraId="32E3FB61" w14:textId="77777777" w:rsidR="00257E1A" w:rsidRDefault="00257E1A" w:rsidP="00257E1A">
      <w:pPr>
        <w:spacing w:after="0" w:line="240" w:lineRule="auto"/>
        <w:jc w:val="left"/>
      </w:pPr>
      <w:r>
        <w:t>59.</w:t>
      </w:r>
      <w:r>
        <w:tab/>
        <w:t>Shire of Flinders</w:t>
      </w:r>
    </w:p>
    <w:p w14:paraId="6F2F7839" w14:textId="77777777" w:rsidR="00257E1A" w:rsidRDefault="00257E1A" w:rsidP="00257E1A">
      <w:pPr>
        <w:spacing w:after="0" w:line="240" w:lineRule="auto"/>
        <w:jc w:val="left"/>
      </w:pPr>
      <w:r>
        <w:t>60.</w:t>
      </w:r>
      <w:r>
        <w:tab/>
        <w:t>Shire of Lake Grace</w:t>
      </w:r>
    </w:p>
    <w:p w14:paraId="0B24278F" w14:textId="77777777" w:rsidR="00257E1A" w:rsidRDefault="00257E1A" w:rsidP="00257E1A">
      <w:pPr>
        <w:spacing w:after="0" w:line="240" w:lineRule="auto"/>
        <w:jc w:val="left"/>
      </w:pPr>
      <w:r>
        <w:t>61.</w:t>
      </w:r>
      <w:r>
        <w:tab/>
        <w:t>Shire of Merredin</w:t>
      </w:r>
    </w:p>
    <w:p w14:paraId="050E4E61" w14:textId="77777777" w:rsidR="00257E1A" w:rsidRDefault="00257E1A" w:rsidP="00257E1A">
      <w:pPr>
        <w:spacing w:after="0" w:line="240" w:lineRule="auto"/>
        <w:jc w:val="left"/>
      </w:pPr>
      <w:r>
        <w:t>62.</w:t>
      </w:r>
      <w:r>
        <w:tab/>
        <w:t>Shire of Murchison</w:t>
      </w:r>
    </w:p>
    <w:p w14:paraId="10E17FE9" w14:textId="77777777" w:rsidR="00257E1A" w:rsidRDefault="00257E1A" w:rsidP="00257E1A">
      <w:pPr>
        <w:spacing w:after="0" w:line="240" w:lineRule="auto"/>
        <w:jc w:val="left"/>
      </w:pPr>
      <w:r>
        <w:t>63.</w:t>
      </w:r>
      <w:r>
        <w:tab/>
        <w:t>Shire of Wyalkatchem</w:t>
      </w:r>
    </w:p>
    <w:p w14:paraId="35F4C89D" w14:textId="77777777" w:rsidR="00257E1A" w:rsidRDefault="00257E1A" w:rsidP="00257E1A">
      <w:pPr>
        <w:spacing w:after="0" w:line="240" w:lineRule="auto"/>
        <w:jc w:val="left"/>
      </w:pPr>
      <w:r>
        <w:t>64.</w:t>
      </w:r>
      <w:r>
        <w:tab/>
        <w:t>Southern Downs Regional Council</w:t>
      </w:r>
    </w:p>
    <w:p w14:paraId="0AC10701" w14:textId="77777777" w:rsidR="00257E1A" w:rsidRDefault="00257E1A" w:rsidP="00257E1A">
      <w:pPr>
        <w:spacing w:after="0" w:line="240" w:lineRule="auto"/>
        <w:jc w:val="left"/>
      </w:pPr>
      <w:r>
        <w:t>65.</w:t>
      </w:r>
      <w:r>
        <w:tab/>
        <w:t>Tax Justice Network Australia</w:t>
      </w:r>
    </w:p>
    <w:p w14:paraId="2A366E48" w14:textId="77777777" w:rsidR="00257E1A" w:rsidRDefault="00257E1A" w:rsidP="00257E1A">
      <w:pPr>
        <w:spacing w:after="0" w:line="240" w:lineRule="auto"/>
        <w:jc w:val="left"/>
      </w:pPr>
      <w:r>
        <w:t>66.</w:t>
      </w:r>
      <w:r>
        <w:tab/>
        <w:t>The Australia Institute</w:t>
      </w:r>
    </w:p>
    <w:p w14:paraId="05318D7C" w14:textId="77777777" w:rsidR="00257E1A" w:rsidRDefault="00257E1A" w:rsidP="00257E1A">
      <w:pPr>
        <w:spacing w:after="0" w:line="240" w:lineRule="auto"/>
        <w:jc w:val="left"/>
      </w:pPr>
      <w:r>
        <w:t>67.</w:t>
      </w:r>
      <w:r>
        <w:tab/>
        <w:t>Toowoomba Regional Council</w:t>
      </w:r>
    </w:p>
    <w:p w14:paraId="590D92E8" w14:textId="77777777" w:rsidR="00257E1A" w:rsidRDefault="00257E1A" w:rsidP="00257E1A">
      <w:pPr>
        <w:spacing w:after="0" w:line="240" w:lineRule="auto"/>
        <w:jc w:val="left"/>
      </w:pPr>
      <w:r>
        <w:t>68.</w:t>
      </w:r>
      <w:r>
        <w:tab/>
        <w:t>United Voice</w:t>
      </w:r>
    </w:p>
    <w:p w14:paraId="78C9A558" w14:textId="77777777" w:rsidR="00257E1A" w:rsidRDefault="00257E1A" w:rsidP="00257E1A">
      <w:pPr>
        <w:spacing w:after="0" w:line="240" w:lineRule="auto"/>
        <w:jc w:val="left"/>
      </w:pPr>
      <w:r>
        <w:t>69.</w:t>
      </w:r>
      <w:r>
        <w:tab/>
        <w:t xml:space="preserve">Western Australian Government </w:t>
      </w:r>
    </w:p>
    <w:p w14:paraId="6AD923B7" w14:textId="77777777" w:rsidR="00257E1A" w:rsidRDefault="00257E1A" w:rsidP="00257E1A">
      <w:pPr>
        <w:spacing w:after="0" w:line="240" w:lineRule="auto"/>
        <w:jc w:val="left"/>
      </w:pPr>
      <w:r>
        <w:t>70.</w:t>
      </w:r>
      <w:r>
        <w:tab/>
        <w:t>Woodside</w:t>
      </w:r>
    </w:p>
    <w:p w14:paraId="273C2256" w14:textId="77777777" w:rsidR="00257E1A" w:rsidRDefault="00257E1A" w:rsidP="00C61459">
      <w:pPr>
        <w:pStyle w:val="Heading3"/>
      </w:pPr>
      <w:bookmarkStart w:id="12915" w:name="_Toc476577413"/>
      <w:bookmarkStart w:id="12916" w:name="_Toc476582402"/>
      <w:bookmarkStart w:id="12917" w:name="_Toc476583076"/>
      <w:bookmarkStart w:id="12918" w:name="_Toc476583793"/>
      <w:bookmarkStart w:id="12919" w:name="_Toc476584241"/>
      <w:bookmarkStart w:id="12920" w:name="_Toc476738148"/>
      <w:bookmarkStart w:id="12921" w:name="_Toc476747733"/>
      <w:bookmarkStart w:id="12922" w:name="_Toc476749143"/>
      <w:bookmarkStart w:id="12923" w:name="_Toc476754010"/>
      <w:bookmarkStart w:id="12924" w:name="_Toc476754505"/>
      <w:bookmarkStart w:id="12925" w:name="_Toc476754670"/>
      <w:bookmarkStart w:id="12926" w:name="_Toc476759909"/>
      <w:bookmarkStart w:id="12927" w:name="_Toc476761531"/>
      <w:bookmarkStart w:id="12928" w:name="_Toc476767169"/>
      <w:bookmarkStart w:id="12929" w:name="_Toc476827215"/>
      <w:bookmarkStart w:id="12930" w:name="_Toc476828908"/>
      <w:bookmarkStart w:id="12931" w:name="_Toc476833782"/>
      <w:bookmarkStart w:id="12932" w:name="_Toc476837255"/>
      <w:bookmarkStart w:id="12933" w:name="_Toc476841128"/>
      <w:bookmarkStart w:id="12934" w:name="_Toc476841333"/>
      <w:bookmarkStart w:id="12935" w:name="_Toc476842092"/>
      <w:bookmarkStart w:id="12936" w:name="_Toc476843036"/>
      <w:bookmarkStart w:id="12937" w:name="_Toc476843207"/>
      <w:bookmarkStart w:id="12938" w:name="_Toc476844705"/>
      <w:bookmarkStart w:id="12939" w:name="_Toc476845598"/>
      <w:bookmarkStart w:id="12940" w:name="_Toc476926992"/>
      <w:bookmarkStart w:id="12941" w:name="_Toc476927105"/>
      <w:bookmarkStart w:id="12942" w:name="_Toc476927279"/>
      <w:bookmarkStart w:id="12943" w:name="_Toc476928543"/>
      <w:bookmarkStart w:id="12944" w:name="_Toc476929586"/>
      <w:bookmarkStart w:id="12945" w:name="_Toc476929761"/>
      <w:bookmarkStart w:id="12946" w:name="_Toc476930804"/>
      <w:bookmarkStart w:id="12947" w:name="_Toc476931611"/>
      <w:bookmarkStart w:id="12948" w:name="_Toc477869994"/>
      <w:bookmarkStart w:id="12949" w:name="_Toc477871233"/>
      <w:bookmarkStart w:id="12950" w:name="_Toc477873392"/>
      <w:bookmarkStart w:id="12951" w:name="_Toc477875387"/>
      <w:bookmarkStart w:id="12952" w:name="_Toc477880300"/>
      <w:bookmarkStart w:id="12953" w:name="_Toc477881560"/>
      <w:bookmarkStart w:id="12954" w:name="_Toc477955963"/>
      <w:bookmarkStart w:id="12955" w:name="_Toc477963208"/>
      <w:bookmarkStart w:id="12956" w:name="_Toc477963694"/>
      <w:bookmarkStart w:id="12957" w:name="_Toc477965280"/>
      <w:bookmarkStart w:id="12958" w:name="_Toc477966784"/>
      <w:bookmarkStart w:id="12959" w:name="_Toc477966953"/>
      <w:bookmarkStart w:id="12960" w:name="_Toc477967293"/>
      <w:bookmarkStart w:id="12961" w:name="_Toc478121428"/>
      <w:bookmarkStart w:id="12962" w:name="_Toc478122341"/>
      <w:bookmarkStart w:id="12963" w:name="_Toc478132171"/>
      <w:bookmarkStart w:id="12964" w:name="_Toc478132478"/>
      <w:bookmarkStart w:id="12965" w:name="_Toc478134807"/>
      <w:bookmarkStart w:id="12966" w:name="_Toc478137509"/>
      <w:bookmarkStart w:id="12967" w:name="_Toc478138581"/>
      <w:bookmarkStart w:id="12968" w:name="_Toc478140151"/>
      <w:bookmarkStart w:id="12969" w:name="_Toc478140567"/>
      <w:bookmarkStart w:id="12970" w:name="_Toc478142773"/>
      <w:bookmarkStart w:id="12971" w:name="_Toc478566492"/>
      <w:bookmarkStart w:id="12972" w:name="_Toc478569659"/>
      <w:bookmarkStart w:id="12973" w:name="_Toc478569833"/>
      <w:bookmarkStart w:id="12974" w:name="_Toc478570907"/>
      <w:bookmarkStart w:id="12975" w:name="_Toc478633106"/>
      <w:bookmarkStart w:id="12976" w:name="_Toc478641515"/>
      <w:bookmarkStart w:id="12977" w:name="_Toc478654409"/>
      <w:bookmarkStart w:id="12978" w:name="_Toc478654583"/>
      <w:bookmarkStart w:id="12979" w:name="_Toc478657878"/>
      <w:bookmarkStart w:id="12980" w:name="_Toc478993299"/>
      <w:bookmarkStart w:id="12981" w:name="_Toc479000370"/>
      <w:bookmarkStart w:id="12982" w:name="_Toc479002304"/>
      <w:bookmarkStart w:id="12983" w:name="_Toc479002476"/>
      <w:bookmarkStart w:id="12984" w:name="_Toc479254450"/>
      <w:bookmarkStart w:id="12985" w:name="_Toc479258639"/>
      <w:bookmarkStart w:id="12986" w:name="_Toc479258955"/>
      <w:bookmarkStart w:id="12987" w:name="_Toc479259847"/>
      <w:bookmarkStart w:id="12988" w:name="_Toc479262270"/>
      <w:bookmarkStart w:id="12989" w:name="_Toc479262691"/>
      <w:bookmarkStart w:id="12990" w:name="_Toc479321392"/>
      <w:bookmarkStart w:id="12991" w:name="_Toc479326831"/>
      <w:bookmarkStart w:id="12992" w:name="_Toc479333092"/>
      <w:bookmarkStart w:id="12993" w:name="_Toc479333430"/>
      <w:bookmarkStart w:id="12994" w:name="_Toc479335127"/>
      <w:bookmarkStart w:id="12995" w:name="_Toc479341842"/>
      <w:bookmarkStart w:id="12996" w:name="_Toc479345258"/>
      <w:bookmarkStart w:id="12997" w:name="_Toc479345467"/>
      <w:bookmarkStart w:id="12998" w:name="_Toc479348448"/>
      <w:bookmarkStart w:id="12999" w:name="_Toc479676041"/>
      <w:bookmarkStart w:id="13000" w:name="_Toc479691008"/>
      <w:bookmarkStart w:id="13001" w:name="_Toc479693586"/>
      <w:bookmarkStart w:id="13002" w:name="_Toc479770755"/>
      <w:r>
        <w:t>Confidential submissions</w:t>
      </w:r>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p>
    <w:p w14:paraId="6B0AFAAC" w14:textId="49EAF402" w:rsidR="0085460A" w:rsidRDefault="00257E1A" w:rsidP="00257E1A">
      <w:pPr>
        <w:spacing w:after="0" w:line="240" w:lineRule="auto"/>
        <w:jc w:val="left"/>
      </w:pPr>
      <w:r>
        <w:t>71.</w:t>
      </w:r>
      <w:r>
        <w:tab/>
      </w:r>
      <w:r w:rsidR="00600B51">
        <w:t xml:space="preserve">AWE Limited </w:t>
      </w:r>
    </w:p>
    <w:p w14:paraId="48FE04A6" w14:textId="38EBC913" w:rsidR="00257E1A" w:rsidRDefault="0085460A" w:rsidP="00257E1A">
      <w:pPr>
        <w:spacing w:after="0" w:line="240" w:lineRule="auto"/>
        <w:jc w:val="left"/>
      </w:pPr>
      <w:r>
        <w:t>72.</w:t>
      </w:r>
      <w:r>
        <w:tab/>
      </w:r>
      <w:r w:rsidR="00600B51">
        <w:t>Australia Pacific LNG (APLNG)</w:t>
      </w:r>
    </w:p>
    <w:p w14:paraId="5405321D" w14:textId="2D78BAB0" w:rsidR="00257E1A" w:rsidRDefault="0085460A" w:rsidP="00257E1A">
      <w:pPr>
        <w:spacing w:after="0" w:line="240" w:lineRule="auto"/>
        <w:jc w:val="left"/>
      </w:pPr>
      <w:r>
        <w:t>73</w:t>
      </w:r>
      <w:r w:rsidR="00257E1A">
        <w:t>.</w:t>
      </w:r>
      <w:r w:rsidR="00257E1A">
        <w:tab/>
      </w:r>
      <w:r w:rsidR="00600B51">
        <w:t xml:space="preserve">ConocoPhillips </w:t>
      </w:r>
    </w:p>
    <w:p w14:paraId="66606C42" w14:textId="0B9EC7E2" w:rsidR="00257E1A" w:rsidRDefault="0085460A" w:rsidP="00257E1A">
      <w:pPr>
        <w:spacing w:after="0" w:line="240" w:lineRule="auto"/>
        <w:jc w:val="left"/>
      </w:pPr>
      <w:r>
        <w:t>74</w:t>
      </w:r>
      <w:r w:rsidR="00257E1A">
        <w:t>.</w:t>
      </w:r>
      <w:r w:rsidR="00257E1A">
        <w:tab/>
      </w:r>
      <w:r w:rsidR="00600B51">
        <w:t xml:space="preserve">Department of Foreign Affairs and Trade </w:t>
      </w:r>
    </w:p>
    <w:p w14:paraId="1C260522" w14:textId="6566E9B0" w:rsidR="00257E1A" w:rsidRDefault="0085460A" w:rsidP="00257E1A">
      <w:pPr>
        <w:spacing w:after="0" w:line="240" w:lineRule="auto"/>
        <w:jc w:val="left"/>
      </w:pPr>
      <w:r>
        <w:t>75</w:t>
      </w:r>
      <w:r w:rsidR="00257E1A">
        <w:t>.</w:t>
      </w:r>
      <w:r w:rsidR="00257E1A">
        <w:tab/>
      </w:r>
      <w:r w:rsidR="00600B51">
        <w:t xml:space="preserve">Dr Diane Kraal </w:t>
      </w:r>
    </w:p>
    <w:p w14:paraId="40CD741F" w14:textId="424B1F1A" w:rsidR="00600B51" w:rsidRDefault="0085460A" w:rsidP="00257E1A">
      <w:pPr>
        <w:spacing w:after="0" w:line="240" w:lineRule="auto"/>
        <w:jc w:val="left"/>
      </w:pPr>
      <w:r>
        <w:t>76</w:t>
      </w:r>
      <w:r w:rsidR="00257E1A">
        <w:t>.</w:t>
      </w:r>
      <w:r w:rsidR="00257E1A">
        <w:tab/>
      </w:r>
      <w:r w:rsidR="00600B51">
        <w:t>INPEX Operations Australia Pty Ltd</w:t>
      </w:r>
      <w:r w:rsidR="005D6F39">
        <w:t xml:space="preserve"> — </w:t>
      </w:r>
      <w:r w:rsidR="00600B51">
        <w:t>Additional Information</w:t>
      </w:r>
    </w:p>
    <w:p w14:paraId="799FA511" w14:textId="272E179E" w:rsidR="00257E1A" w:rsidRDefault="00600B51" w:rsidP="00257E1A">
      <w:pPr>
        <w:spacing w:after="0" w:line="240" w:lineRule="auto"/>
        <w:jc w:val="left"/>
      </w:pPr>
      <w:r>
        <w:t>77.</w:t>
      </w:r>
      <w:r>
        <w:tab/>
        <w:t xml:space="preserve">Total E&amp;P Australia </w:t>
      </w:r>
    </w:p>
    <w:p w14:paraId="7C8C7475" w14:textId="77777777" w:rsidR="00257E1A" w:rsidRDefault="00257E1A" w:rsidP="00257E1A">
      <w:pPr>
        <w:pStyle w:val="Heading2"/>
      </w:pPr>
      <w:bookmarkStart w:id="13003" w:name="_Toc476577414"/>
      <w:bookmarkStart w:id="13004" w:name="_Toc476582403"/>
      <w:bookmarkStart w:id="13005" w:name="_Toc476583077"/>
      <w:bookmarkStart w:id="13006" w:name="_Toc476583794"/>
      <w:bookmarkStart w:id="13007" w:name="_Toc476584242"/>
      <w:bookmarkStart w:id="13008" w:name="_Toc476738149"/>
      <w:bookmarkStart w:id="13009" w:name="_Toc476747734"/>
      <w:bookmarkStart w:id="13010" w:name="_Toc476749144"/>
      <w:bookmarkStart w:id="13011" w:name="_Toc476754011"/>
      <w:bookmarkStart w:id="13012" w:name="_Toc476754506"/>
      <w:bookmarkStart w:id="13013" w:name="_Toc476754671"/>
      <w:bookmarkStart w:id="13014" w:name="_Toc476759910"/>
      <w:bookmarkStart w:id="13015" w:name="_Toc476761532"/>
      <w:bookmarkStart w:id="13016" w:name="_Toc476767170"/>
      <w:bookmarkStart w:id="13017" w:name="_Toc476827216"/>
      <w:bookmarkStart w:id="13018" w:name="_Toc476828909"/>
      <w:bookmarkStart w:id="13019" w:name="_Toc476833783"/>
      <w:bookmarkStart w:id="13020" w:name="_Toc476837256"/>
      <w:bookmarkStart w:id="13021" w:name="_Toc476841129"/>
      <w:bookmarkStart w:id="13022" w:name="_Toc476841334"/>
      <w:bookmarkStart w:id="13023" w:name="_Toc476842093"/>
      <w:bookmarkStart w:id="13024" w:name="_Toc476843037"/>
      <w:bookmarkStart w:id="13025" w:name="_Toc476843208"/>
      <w:bookmarkStart w:id="13026" w:name="_Toc476844706"/>
      <w:bookmarkStart w:id="13027" w:name="_Toc476845599"/>
      <w:bookmarkStart w:id="13028" w:name="_Toc476926993"/>
      <w:bookmarkStart w:id="13029" w:name="_Toc476927106"/>
      <w:bookmarkStart w:id="13030" w:name="_Toc476927280"/>
      <w:bookmarkStart w:id="13031" w:name="_Toc476928544"/>
      <w:bookmarkStart w:id="13032" w:name="_Toc476929587"/>
      <w:bookmarkStart w:id="13033" w:name="_Toc476929762"/>
      <w:bookmarkStart w:id="13034" w:name="_Toc476930805"/>
      <w:bookmarkStart w:id="13035" w:name="_Toc476931612"/>
      <w:bookmarkStart w:id="13036" w:name="_Toc477869995"/>
      <w:bookmarkStart w:id="13037" w:name="_Toc477871234"/>
      <w:bookmarkStart w:id="13038" w:name="_Toc477873393"/>
      <w:bookmarkStart w:id="13039" w:name="_Toc477875388"/>
      <w:bookmarkStart w:id="13040" w:name="_Toc477880301"/>
      <w:bookmarkStart w:id="13041" w:name="_Toc477881561"/>
      <w:bookmarkStart w:id="13042" w:name="_Toc477955964"/>
      <w:bookmarkStart w:id="13043" w:name="_Toc477963209"/>
      <w:bookmarkStart w:id="13044" w:name="_Toc477963695"/>
      <w:bookmarkStart w:id="13045" w:name="_Toc477965281"/>
      <w:bookmarkStart w:id="13046" w:name="_Toc477966785"/>
      <w:bookmarkStart w:id="13047" w:name="_Toc477966954"/>
      <w:bookmarkStart w:id="13048" w:name="_Toc477967294"/>
      <w:bookmarkStart w:id="13049" w:name="_Toc478121429"/>
      <w:bookmarkStart w:id="13050" w:name="_Toc478122342"/>
      <w:bookmarkStart w:id="13051" w:name="_Toc478132172"/>
      <w:bookmarkStart w:id="13052" w:name="_Toc478132479"/>
      <w:bookmarkStart w:id="13053" w:name="_Toc478134808"/>
      <w:bookmarkStart w:id="13054" w:name="_Toc478137510"/>
      <w:bookmarkStart w:id="13055" w:name="_Toc478138582"/>
      <w:bookmarkStart w:id="13056" w:name="_Toc478140152"/>
      <w:bookmarkStart w:id="13057" w:name="_Toc478140568"/>
      <w:bookmarkStart w:id="13058" w:name="_Toc478142774"/>
      <w:bookmarkStart w:id="13059" w:name="_Toc478566493"/>
      <w:bookmarkStart w:id="13060" w:name="_Toc478569660"/>
      <w:bookmarkStart w:id="13061" w:name="_Toc478569834"/>
      <w:bookmarkStart w:id="13062" w:name="_Toc478570908"/>
      <w:bookmarkStart w:id="13063" w:name="_Toc478633107"/>
      <w:bookmarkStart w:id="13064" w:name="_Toc478641516"/>
      <w:bookmarkStart w:id="13065" w:name="_Toc478654410"/>
      <w:bookmarkStart w:id="13066" w:name="_Toc478654584"/>
      <w:bookmarkStart w:id="13067" w:name="_Toc478657879"/>
      <w:bookmarkStart w:id="13068" w:name="_Toc478993300"/>
      <w:bookmarkStart w:id="13069" w:name="_Toc479000371"/>
      <w:bookmarkStart w:id="13070" w:name="_Toc479002305"/>
      <w:bookmarkStart w:id="13071" w:name="_Toc479002477"/>
      <w:bookmarkStart w:id="13072" w:name="_Toc479254451"/>
      <w:bookmarkStart w:id="13073" w:name="_Toc479258640"/>
      <w:bookmarkStart w:id="13074" w:name="_Toc479258956"/>
      <w:bookmarkStart w:id="13075" w:name="_Toc479259848"/>
      <w:bookmarkStart w:id="13076" w:name="_Toc479262271"/>
      <w:bookmarkStart w:id="13077" w:name="_Toc479262692"/>
      <w:bookmarkStart w:id="13078" w:name="_Toc479321393"/>
      <w:bookmarkStart w:id="13079" w:name="_Toc479326832"/>
      <w:bookmarkStart w:id="13080" w:name="_Toc479333093"/>
      <w:bookmarkStart w:id="13081" w:name="_Toc479333431"/>
      <w:bookmarkStart w:id="13082" w:name="_Toc479335128"/>
      <w:bookmarkStart w:id="13083" w:name="_Toc479341843"/>
      <w:bookmarkStart w:id="13084" w:name="_Toc479345259"/>
      <w:bookmarkStart w:id="13085" w:name="_Toc479345468"/>
      <w:bookmarkStart w:id="13086" w:name="_Toc479348449"/>
      <w:bookmarkStart w:id="13087" w:name="_Toc479676042"/>
      <w:bookmarkStart w:id="13088" w:name="_Toc479691009"/>
      <w:bookmarkStart w:id="13089" w:name="_Toc479693587"/>
      <w:bookmarkStart w:id="13090" w:name="_Toc479770756"/>
      <w:r>
        <w:t>Meetings</w:t>
      </w:r>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p>
    <w:p w14:paraId="335CB34D" w14:textId="77777777" w:rsidR="00257E1A" w:rsidRDefault="00257E1A" w:rsidP="00257E1A">
      <w:pPr>
        <w:spacing w:after="0" w:line="240" w:lineRule="auto"/>
        <w:jc w:val="left"/>
      </w:pPr>
      <w:r>
        <w:t>Meetings were held with the following organisations and individuals.</w:t>
      </w:r>
    </w:p>
    <w:p w14:paraId="06576220" w14:textId="77777777" w:rsidR="00257E1A" w:rsidRDefault="00257E1A" w:rsidP="00257E1A">
      <w:pPr>
        <w:pStyle w:val="Heading3"/>
      </w:pPr>
      <w:bookmarkStart w:id="13091" w:name="_Toc476577415"/>
      <w:bookmarkStart w:id="13092" w:name="_Toc476582404"/>
      <w:bookmarkStart w:id="13093" w:name="_Toc476583078"/>
      <w:bookmarkStart w:id="13094" w:name="_Toc476583795"/>
      <w:bookmarkStart w:id="13095" w:name="_Toc476584243"/>
      <w:bookmarkStart w:id="13096" w:name="_Toc476738150"/>
      <w:bookmarkStart w:id="13097" w:name="_Toc476747735"/>
      <w:bookmarkStart w:id="13098" w:name="_Toc476749145"/>
      <w:bookmarkStart w:id="13099" w:name="_Toc476754012"/>
      <w:bookmarkStart w:id="13100" w:name="_Toc476754507"/>
      <w:bookmarkStart w:id="13101" w:name="_Toc476754672"/>
      <w:bookmarkStart w:id="13102" w:name="_Toc476759911"/>
      <w:bookmarkStart w:id="13103" w:name="_Toc476761533"/>
      <w:bookmarkStart w:id="13104" w:name="_Toc476767171"/>
      <w:bookmarkStart w:id="13105" w:name="_Toc476827217"/>
      <w:bookmarkStart w:id="13106" w:name="_Toc476828910"/>
      <w:bookmarkStart w:id="13107" w:name="_Toc476833784"/>
      <w:bookmarkStart w:id="13108" w:name="_Toc476837257"/>
      <w:bookmarkStart w:id="13109" w:name="_Toc476841130"/>
      <w:bookmarkStart w:id="13110" w:name="_Toc476841335"/>
      <w:bookmarkStart w:id="13111" w:name="_Toc476842094"/>
      <w:bookmarkStart w:id="13112" w:name="_Toc476843038"/>
      <w:bookmarkStart w:id="13113" w:name="_Toc476843209"/>
      <w:bookmarkStart w:id="13114" w:name="_Toc476844707"/>
      <w:bookmarkStart w:id="13115" w:name="_Toc476845600"/>
      <w:bookmarkStart w:id="13116" w:name="_Toc476926994"/>
      <w:bookmarkStart w:id="13117" w:name="_Toc476927107"/>
      <w:bookmarkStart w:id="13118" w:name="_Toc476927281"/>
      <w:bookmarkStart w:id="13119" w:name="_Toc476928545"/>
      <w:bookmarkStart w:id="13120" w:name="_Toc476929588"/>
      <w:bookmarkStart w:id="13121" w:name="_Toc476929763"/>
      <w:bookmarkStart w:id="13122" w:name="_Toc476930806"/>
      <w:bookmarkStart w:id="13123" w:name="_Toc476931613"/>
      <w:bookmarkStart w:id="13124" w:name="_Toc477869996"/>
      <w:bookmarkStart w:id="13125" w:name="_Toc477871235"/>
      <w:bookmarkStart w:id="13126" w:name="_Toc477873394"/>
      <w:bookmarkStart w:id="13127" w:name="_Toc477875389"/>
      <w:bookmarkStart w:id="13128" w:name="_Toc477880302"/>
      <w:bookmarkStart w:id="13129" w:name="_Toc477881562"/>
      <w:bookmarkStart w:id="13130" w:name="_Toc477955965"/>
      <w:bookmarkStart w:id="13131" w:name="_Toc477963210"/>
      <w:bookmarkStart w:id="13132" w:name="_Toc477963696"/>
      <w:bookmarkStart w:id="13133" w:name="_Toc477965282"/>
      <w:bookmarkStart w:id="13134" w:name="_Toc477966786"/>
      <w:bookmarkStart w:id="13135" w:name="_Toc477966955"/>
      <w:bookmarkStart w:id="13136" w:name="_Toc477967126"/>
      <w:bookmarkStart w:id="13137" w:name="_Toc477967295"/>
      <w:bookmarkStart w:id="13138" w:name="_Toc478121430"/>
      <w:bookmarkStart w:id="13139" w:name="_Toc478122343"/>
      <w:bookmarkStart w:id="13140" w:name="_Toc478132173"/>
      <w:bookmarkStart w:id="13141" w:name="_Toc478132480"/>
      <w:bookmarkStart w:id="13142" w:name="_Toc478134809"/>
      <w:bookmarkStart w:id="13143" w:name="_Toc478137511"/>
      <w:bookmarkStart w:id="13144" w:name="_Toc478138583"/>
      <w:bookmarkStart w:id="13145" w:name="_Toc478140153"/>
      <w:bookmarkStart w:id="13146" w:name="_Toc478140569"/>
      <w:bookmarkStart w:id="13147" w:name="_Toc478142775"/>
      <w:bookmarkStart w:id="13148" w:name="_Toc478566494"/>
      <w:bookmarkStart w:id="13149" w:name="_Toc478569661"/>
      <w:bookmarkStart w:id="13150" w:name="_Toc478569835"/>
      <w:bookmarkStart w:id="13151" w:name="_Toc478570909"/>
      <w:bookmarkStart w:id="13152" w:name="_Toc478633108"/>
      <w:bookmarkStart w:id="13153" w:name="_Toc478641517"/>
      <w:bookmarkStart w:id="13154" w:name="_Toc478654411"/>
      <w:bookmarkStart w:id="13155" w:name="_Toc478654585"/>
      <w:bookmarkStart w:id="13156" w:name="_Toc478657880"/>
      <w:bookmarkStart w:id="13157" w:name="_Toc478993301"/>
      <w:bookmarkStart w:id="13158" w:name="_Toc479000372"/>
      <w:bookmarkStart w:id="13159" w:name="_Toc479002306"/>
      <w:bookmarkStart w:id="13160" w:name="_Toc479002478"/>
      <w:bookmarkStart w:id="13161" w:name="_Toc479254452"/>
      <w:bookmarkStart w:id="13162" w:name="_Toc479258641"/>
      <w:bookmarkStart w:id="13163" w:name="_Toc479258957"/>
      <w:bookmarkStart w:id="13164" w:name="_Toc479259849"/>
      <w:bookmarkStart w:id="13165" w:name="_Toc479262272"/>
      <w:bookmarkStart w:id="13166" w:name="_Toc479262693"/>
      <w:bookmarkStart w:id="13167" w:name="_Toc479321394"/>
      <w:bookmarkStart w:id="13168" w:name="_Toc479326833"/>
      <w:bookmarkStart w:id="13169" w:name="_Toc479333094"/>
      <w:bookmarkStart w:id="13170" w:name="_Toc479333432"/>
      <w:bookmarkStart w:id="13171" w:name="_Toc479335129"/>
      <w:bookmarkStart w:id="13172" w:name="_Toc479341844"/>
      <w:bookmarkStart w:id="13173" w:name="_Toc479345260"/>
      <w:bookmarkStart w:id="13174" w:name="_Toc479345469"/>
      <w:bookmarkStart w:id="13175" w:name="_Toc479348450"/>
      <w:bookmarkStart w:id="13176" w:name="_Toc479676043"/>
      <w:bookmarkStart w:id="13177" w:name="_Toc479691010"/>
      <w:bookmarkStart w:id="13178" w:name="_Toc479693588"/>
      <w:bookmarkStart w:id="13179" w:name="_Toc479770757"/>
      <w:r>
        <w:t>From Industry</w:t>
      </w:r>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p>
    <w:p w14:paraId="615C0E3C" w14:textId="77777777" w:rsidR="00257E1A" w:rsidRDefault="00257E1A" w:rsidP="00257E1A">
      <w:pPr>
        <w:spacing w:after="0" w:line="240" w:lineRule="auto"/>
        <w:jc w:val="left"/>
      </w:pPr>
      <w:r>
        <w:t>1.</w:t>
      </w:r>
      <w:r>
        <w:tab/>
        <w:t>Australian Petroleum Production and Exploration Association (APPEA)</w:t>
      </w:r>
    </w:p>
    <w:p w14:paraId="239AFEDF" w14:textId="77777777" w:rsidR="00257E1A" w:rsidRDefault="00257E1A" w:rsidP="00257E1A">
      <w:pPr>
        <w:spacing w:after="0" w:line="240" w:lineRule="auto"/>
        <w:jc w:val="left"/>
      </w:pPr>
      <w:r>
        <w:t>2.</w:t>
      </w:r>
      <w:r>
        <w:tab/>
        <w:t>Australia Pacific LNG (APLNG)</w:t>
      </w:r>
    </w:p>
    <w:p w14:paraId="0C307A25" w14:textId="77777777" w:rsidR="00257E1A" w:rsidRDefault="00257E1A" w:rsidP="00257E1A">
      <w:pPr>
        <w:spacing w:after="0" w:line="240" w:lineRule="auto"/>
        <w:jc w:val="left"/>
      </w:pPr>
      <w:r>
        <w:t>3.</w:t>
      </w:r>
      <w:r>
        <w:tab/>
        <w:t>BHP Billiton</w:t>
      </w:r>
    </w:p>
    <w:p w14:paraId="3ACA9BB5" w14:textId="5794AA7C" w:rsidR="00257E1A" w:rsidRDefault="00257E1A" w:rsidP="00257E1A">
      <w:pPr>
        <w:spacing w:after="0" w:line="240" w:lineRule="auto"/>
        <w:jc w:val="left"/>
      </w:pPr>
      <w:r w:rsidRPr="00F339CC">
        <w:t>4.</w:t>
      </w:r>
      <w:r w:rsidRPr="00F339CC">
        <w:tab/>
        <w:t xml:space="preserve">BP Australia </w:t>
      </w:r>
    </w:p>
    <w:p w14:paraId="09C4466C" w14:textId="3390B834" w:rsidR="00257E1A" w:rsidRDefault="00257E1A" w:rsidP="00257E1A">
      <w:pPr>
        <w:spacing w:after="0" w:line="240" w:lineRule="auto"/>
        <w:jc w:val="left"/>
      </w:pPr>
      <w:r>
        <w:t>5.</w:t>
      </w:r>
      <w:r>
        <w:tab/>
        <w:t xml:space="preserve">Chevron </w:t>
      </w:r>
    </w:p>
    <w:p w14:paraId="49CE64A4" w14:textId="77777777" w:rsidR="00257E1A" w:rsidRDefault="00257E1A" w:rsidP="00257E1A">
      <w:pPr>
        <w:spacing w:after="0" w:line="240" w:lineRule="auto"/>
        <w:jc w:val="left"/>
      </w:pPr>
      <w:r>
        <w:t>6.</w:t>
      </w:r>
      <w:r>
        <w:tab/>
        <w:t>Conoco Philips</w:t>
      </w:r>
    </w:p>
    <w:p w14:paraId="0DF7C564" w14:textId="77777777" w:rsidR="00257E1A" w:rsidRDefault="00257E1A" w:rsidP="00257E1A">
      <w:pPr>
        <w:spacing w:after="0" w:line="240" w:lineRule="auto"/>
        <w:jc w:val="left"/>
      </w:pPr>
      <w:r>
        <w:t>7</w:t>
      </w:r>
      <w:r>
        <w:tab/>
        <w:t>Cooper Energy</w:t>
      </w:r>
    </w:p>
    <w:p w14:paraId="755C50B0" w14:textId="77777777" w:rsidR="00257E1A" w:rsidRDefault="00257E1A" w:rsidP="00257E1A">
      <w:pPr>
        <w:spacing w:after="0" w:line="240" w:lineRule="auto"/>
        <w:jc w:val="left"/>
      </w:pPr>
      <w:r>
        <w:t>8.</w:t>
      </w:r>
      <w:r>
        <w:tab/>
        <w:t>ExxonMobil Australia</w:t>
      </w:r>
    </w:p>
    <w:p w14:paraId="71905517" w14:textId="1ACF3896" w:rsidR="00257E1A" w:rsidRDefault="00257E1A" w:rsidP="00257E1A">
      <w:pPr>
        <w:spacing w:after="0" w:line="240" w:lineRule="auto"/>
        <w:jc w:val="left"/>
      </w:pPr>
      <w:r>
        <w:t>9.</w:t>
      </w:r>
      <w:r>
        <w:tab/>
        <w:t>INPEX</w:t>
      </w:r>
      <w:r w:rsidR="00B13DC4">
        <w:t xml:space="preserve"> Operations Australia Pty Ltd</w:t>
      </w:r>
    </w:p>
    <w:p w14:paraId="491D3570" w14:textId="77777777" w:rsidR="00257E1A" w:rsidRDefault="00257E1A" w:rsidP="00257E1A">
      <w:pPr>
        <w:spacing w:after="0" w:line="240" w:lineRule="auto"/>
        <w:jc w:val="left"/>
      </w:pPr>
      <w:r>
        <w:t>10.</w:t>
      </w:r>
      <w:r>
        <w:tab/>
        <w:t>Interoil</w:t>
      </w:r>
    </w:p>
    <w:p w14:paraId="0097DAB0" w14:textId="77777777" w:rsidR="00257E1A" w:rsidRDefault="00257E1A" w:rsidP="00257E1A">
      <w:pPr>
        <w:spacing w:after="0" w:line="240" w:lineRule="auto"/>
        <w:jc w:val="left"/>
      </w:pPr>
      <w:r>
        <w:t>11.</w:t>
      </w:r>
      <w:r>
        <w:tab/>
        <w:t>Japan Australia LNG Pty Ltd (MIMI)</w:t>
      </w:r>
    </w:p>
    <w:p w14:paraId="5CAD52F9" w14:textId="2D9082E3" w:rsidR="00257E1A" w:rsidRDefault="00257E1A" w:rsidP="00257E1A">
      <w:pPr>
        <w:spacing w:after="0" w:line="240" w:lineRule="auto"/>
        <w:jc w:val="left"/>
      </w:pPr>
      <w:r>
        <w:t>12.</w:t>
      </w:r>
      <w:r>
        <w:tab/>
        <w:t>Origin</w:t>
      </w:r>
      <w:r w:rsidR="00B13DC4">
        <w:t xml:space="preserve"> Energy Limited</w:t>
      </w:r>
    </w:p>
    <w:p w14:paraId="00550DC7" w14:textId="77777777" w:rsidR="00257E1A" w:rsidRDefault="00257E1A" w:rsidP="00257E1A">
      <w:pPr>
        <w:spacing w:after="0" w:line="240" w:lineRule="auto"/>
        <w:jc w:val="left"/>
      </w:pPr>
      <w:r>
        <w:t>13.</w:t>
      </w:r>
      <w:r>
        <w:tab/>
        <w:t xml:space="preserve">Quadrant Energy </w:t>
      </w:r>
    </w:p>
    <w:p w14:paraId="59FE38C6" w14:textId="77777777" w:rsidR="00257E1A" w:rsidRDefault="00257E1A" w:rsidP="00257E1A">
      <w:pPr>
        <w:spacing w:after="0" w:line="240" w:lineRule="auto"/>
        <w:jc w:val="left"/>
      </w:pPr>
      <w:r>
        <w:t>14.</w:t>
      </w:r>
      <w:r>
        <w:tab/>
        <w:t>Queensland Resources Council</w:t>
      </w:r>
    </w:p>
    <w:p w14:paraId="08D4E797" w14:textId="77777777" w:rsidR="00257E1A" w:rsidRDefault="00257E1A" w:rsidP="00257E1A">
      <w:pPr>
        <w:spacing w:after="0" w:line="240" w:lineRule="auto"/>
        <w:jc w:val="left"/>
      </w:pPr>
      <w:r>
        <w:t>15.</w:t>
      </w:r>
      <w:r>
        <w:tab/>
        <w:t xml:space="preserve">Santos </w:t>
      </w:r>
    </w:p>
    <w:p w14:paraId="6AC53DAE" w14:textId="77777777" w:rsidR="00257E1A" w:rsidRDefault="00257E1A" w:rsidP="00257E1A">
      <w:pPr>
        <w:spacing w:after="0" w:line="240" w:lineRule="auto"/>
        <w:jc w:val="left"/>
      </w:pPr>
      <w:r>
        <w:t>16.</w:t>
      </w:r>
      <w:r>
        <w:tab/>
        <w:t>Shell Australia</w:t>
      </w:r>
    </w:p>
    <w:p w14:paraId="2BDC3466" w14:textId="77777777" w:rsidR="00257E1A" w:rsidRDefault="00257E1A" w:rsidP="00257E1A">
      <w:pPr>
        <w:spacing w:after="0" w:line="240" w:lineRule="auto"/>
        <w:jc w:val="left"/>
      </w:pPr>
      <w:r>
        <w:t>17.</w:t>
      </w:r>
      <w:r>
        <w:tab/>
        <w:t>Total E&amp;P Australia</w:t>
      </w:r>
    </w:p>
    <w:p w14:paraId="39D2EE05" w14:textId="77777777" w:rsidR="00257E1A" w:rsidRDefault="00257E1A" w:rsidP="00257E1A">
      <w:pPr>
        <w:spacing w:after="0" w:line="240" w:lineRule="auto"/>
        <w:jc w:val="left"/>
      </w:pPr>
      <w:r>
        <w:t>18.</w:t>
      </w:r>
      <w:r>
        <w:tab/>
        <w:t>Vermilion Oil and Gas Australia Pty Ltd</w:t>
      </w:r>
    </w:p>
    <w:p w14:paraId="6C01FBCC" w14:textId="77777777" w:rsidR="00257E1A" w:rsidRDefault="00257E1A" w:rsidP="00257E1A">
      <w:pPr>
        <w:spacing w:after="0" w:line="240" w:lineRule="auto"/>
        <w:jc w:val="left"/>
      </w:pPr>
      <w:r>
        <w:t>19.</w:t>
      </w:r>
      <w:r>
        <w:tab/>
        <w:t>Woodside</w:t>
      </w:r>
    </w:p>
    <w:p w14:paraId="2325B3FA" w14:textId="77777777" w:rsidR="00257E1A" w:rsidRDefault="00257E1A" w:rsidP="00257E1A">
      <w:pPr>
        <w:pStyle w:val="Heading3"/>
      </w:pPr>
      <w:bookmarkStart w:id="13180" w:name="_Toc476577416"/>
      <w:bookmarkStart w:id="13181" w:name="_Toc476582405"/>
      <w:bookmarkStart w:id="13182" w:name="_Toc476583079"/>
      <w:bookmarkStart w:id="13183" w:name="_Toc476583796"/>
      <w:bookmarkStart w:id="13184" w:name="_Toc476584244"/>
      <w:bookmarkStart w:id="13185" w:name="_Toc476738151"/>
      <w:bookmarkStart w:id="13186" w:name="_Toc476747736"/>
      <w:bookmarkStart w:id="13187" w:name="_Toc476749146"/>
      <w:bookmarkStart w:id="13188" w:name="_Toc476754013"/>
      <w:bookmarkStart w:id="13189" w:name="_Toc476754508"/>
      <w:bookmarkStart w:id="13190" w:name="_Toc476754673"/>
      <w:bookmarkStart w:id="13191" w:name="_Toc476759912"/>
      <w:bookmarkStart w:id="13192" w:name="_Toc476761534"/>
      <w:bookmarkStart w:id="13193" w:name="_Toc476767172"/>
      <w:bookmarkStart w:id="13194" w:name="_Toc476827218"/>
      <w:bookmarkStart w:id="13195" w:name="_Toc476828911"/>
      <w:bookmarkStart w:id="13196" w:name="_Toc476833785"/>
      <w:bookmarkStart w:id="13197" w:name="_Toc476837258"/>
      <w:bookmarkStart w:id="13198" w:name="_Toc476841131"/>
      <w:bookmarkStart w:id="13199" w:name="_Toc476841336"/>
      <w:bookmarkStart w:id="13200" w:name="_Toc476842095"/>
      <w:bookmarkStart w:id="13201" w:name="_Toc476843039"/>
      <w:bookmarkStart w:id="13202" w:name="_Toc476843210"/>
      <w:bookmarkStart w:id="13203" w:name="_Toc476844708"/>
      <w:bookmarkStart w:id="13204" w:name="_Toc476845601"/>
      <w:bookmarkStart w:id="13205" w:name="_Toc476926995"/>
      <w:bookmarkStart w:id="13206" w:name="_Toc476927108"/>
      <w:bookmarkStart w:id="13207" w:name="_Toc476927282"/>
      <w:bookmarkStart w:id="13208" w:name="_Toc476928546"/>
      <w:bookmarkStart w:id="13209" w:name="_Toc476929589"/>
      <w:bookmarkStart w:id="13210" w:name="_Toc476929764"/>
      <w:bookmarkStart w:id="13211" w:name="_Toc476930807"/>
      <w:bookmarkStart w:id="13212" w:name="_Toc476931614"/>
      <w:bookmarkStart w:id="13213" w:name="_Toc477869997"/>
      <w:bookmarkStart w:id="13214" w:name="_Toc477871236"/>
      <w:bookmarkStart w:id="13215" w:name="_Toc477873395"/>
      <w:bookmarkStart w:id="13216" w:name="_Toc477875390"/>
      <w:bookmarkStart w:id="13217" w:name="_Toc477880303"/>
      <w:bookmarkStart w:id="13218" w:name="_Toc477881563"/>
      <w:bookmarkStart w:id="13219" w:name="_Toc477955966"/>
      <w:bookmarkStart w:id="13220" w:name="_Toc477963211"/>
      <w:bookmarkStart w:id="13221" w:name="_Toc477963697"/>
      <w:bookmarkStart w:id="13222" w:name="_Toc477965283"/>
      <w:bookmarkStart w:id="13223" w:name="_Toc477966787"/>
      <w:bookmarkStart w:id="13224" w:name="_Toc477966956"/>
      <w:bookmarkStart w:id="13225" w:name="_Toc477967127"/>
      <w:bookmarkStart w:id="13226" w:name="_Toc477967296"/>
      <w:bookmarkStart w:id="13227" w:name="_Toc478121431"/>
      <w:bookmarkStart w:id="13228" w:name="_Toc478122344"/>
      <w:bookmarkStart w:id="13229" w:name="_Toc478132174"/>
      <w:bookmarkStart w:id="13230" w:name="_Toc478132481"/>
      <w:bookmarkStart w:id="13231" w:name="_Toc478134810"/>
      <w:bookmarkStart w:id="13232" w:name="_Toc478137512"/>
      <w:bookmarkStart w:id="13233" w:name="_Toc478138584"/>
      <w:bookmarkStart w:id="13234" w:name="_Toc478140154"/>
      <w:bookmarkStart w:id="13235" w:name="_Toc478140570"/>
      <w:bookmarkStart w:id="13236" w:name="_Toc478142776"/>
      <w:bookmarkStart w:id="13237" w:name="_Toc478566495"/>
      <w:bookmarkStart w:id="13238" w:name="_Toc478569662"/>
      <w:bookmarkStart w:id="13239" w:name="_Toc478569836"/>
      <w:bookmarkStart w:id="13240" w:name="_Toc478570910"/>
      <w:bookmarkStart w:id="13241" w:name="_Toc478633109"/>
      <w:bookmarkStart w:id="13242" w:name="_Toc478641518"/>
      <w:bookmarkStart w:id="13243" w:name="_Toc478654412"/>
      <w:bookmarkStart w:id="13244" w:name="_Toc478654586"/>
      <w:bookmarkStart w:id="13245" w:name="_Toc478657881"/>
      <w:bookmarkStart w:id="13246" w:name="_Toc478993302"/>
      <w:bookmarkStart w:id="13247" w:name="_Toc479000373"/>
      <w:bookmarkStart w:id="13248" w:name="_Toc479002307"/>
      <w:bookmarkStart w:id="13249" w:name="_Toc479002479"/>
      <w:bookmarkStart w:id="13250" w:name="_Toc479254453"/>
      <w:bookmarkStart w:id="13251" w:name="_Toc479258642"/>
      <w:bookmarkStart w:id="13252" w:name="_Toc479258958"/>
      <w:bookmarkStart w:id="13253" w:name="_Toc479259850"/>
      <w:bookmarkStart w:id="13254" w:name="_Toc479262273"/>
      <w:bookmarkStart w:id="13255" w:name="_Toc479262694"/>
      <w:bookmarkStart w:id="13256" w:name="_Toc479321395"/>
      <w:bookmarkStart w:id="13257" w:name="_Toc479326834"/>
      <w:bookmarkStart w:id="13258" w:name="_Toc479333095"/>
      <w:bookmarkStart w:id="13259" w:name="_Toc479333433"/>
      <w:bookmarkStart w:id="13260" w:name="_Toc479335130"/>
      <w:bookmarkStart w:id="13261" w:name="_Toc479341845"/>
      <w:bookmarkStart w:id="13262" w:name="_Toc479345261"/>
      <w:bookmarkStart w:id="13263" w:name="_Toc479345470"/>
      <w:bookmarkStart w:id="13264" w:name="_Toc479348451"/>
      <w:bookmarkStart w:id="13265" w:name="_Toc479676044"/>
      <w:bookmarkStart w:id="13266" w:name="_Toc479691011"/>
      <w:bookmarkStart w:id="13267" w:name="_Toc479693589"/>
      <w:bookmarkStart w:id="13268" w:name="_Toc479770758"/>
      <w:r>
        <w:t>Outside of Industry</w:t>
      </w:r>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p>
    <w:p w14:paraId="787642D3" w14:textId="77777777" w:rsidR="00257E1A" w:rsidRDefault="00257E1A" w:rsidP="00257E1A">
      <w:pPr>
        <w:spacing w:after="0" w:line="240" w:lineRule="auto"/>
        <w:jc w:val="left"/>
      </w:pPr>
      <w:r>
        <w:t>20.</w:t>
      </w:r>
      <w:r>
        <w:tab/>
        <w:t>Australian Taxation Office</w:t>
      </w:r>
    </w:p>
    <w:p w14:paraId="6BEEA404" w14:textId="77777777" w:rsidR="00257E1A" w:rsidRDefault="00257E1A" w:rsidP="00257E1A">
      <w:pPr>
        <w:spacing w:after="0" w:line="240" w:lineRule="auto"/>
        <w:jc w:val="left"/>
      </w:pPr>
      <w:r>
        <w:t>21.</w:t>
      </w:r>
      <w:r>
        <w:tab/>
        <w:t>Department of Foreign Affairs and Trade</w:t>
      </w:r>
    </w:p>
    <w:p w14:paraId="3D1727F6" w14:textId="77777777" w:rsidR="00257E1A" w:rsidRDefault="00257E1A" w:rsidP="00257E1A">
      <w:pPr>
        <w:spacing w:after="0" w:line="240" w:lineRule="auto"/>
        <w:jc w:val="left"/>
      </w:pPr>
      <w:r>
        <w:t>22.</w:t>
      </w:r>
      <w:r>
        <w:tab/>
        <w:t xml:space="preserve">Dr Craig Emerson </w:t>
      </w:r>
    </w:p>
    <w:p w14:paraId="3C64E19B" w14:textId="77777777" w:rsidR="00257E1A" w:rsidRDefault="00257E1A" w:rsidP="00257E1A">
      <w:pPr>
        <w:spacing w:after="0" w:line="240" w:lineRule="auto"/>
        <w:jc w:val="left"/>
      </w:pPr>
      <w:r>
        <w:t>23.</w:t>
      </w:r>
      <w:r>
        <w:tab/>
        <w:t xml:space="preserve">Dr Diane Kraal, Monash Business School, Monash University </w:t>
      </w:r>
    </w:p>
    <w:p w14:paraId="052FDDF7" w14:textId="77777777" w:rsidR="00257E1A" w:rsidRDefault="00257E1A" w:rsidP="00257E1A">
      <w:pPr>
        <w:spacing w:after="0" w:line="240" w:lineRule="auto"/>
        <w:jc w:val="left"/>
      </w:pPr>
      <w:r>
        <w:t>24.</w:t>
      </w:r>
      <w:r>
        <w:tab/>
        <w:t xml:space="preserve">Embassy of Japan </w:t>
      </w:r>
    </w:p>
    <w:p w14:paraId="1862FA5D" w14:textId="77777777" w:rsidR="00257E1A" w:rsidRDefault="00257E1A" w:rsidP="00257E1A">
      <w:pPr>
        <w:spacing w:after="0" w:line="240" w:lineRule="auto"/>
        <w:jc w:val="left"/>
      </w:pPr>
      <w:r>
        <w:t>25.</w:t>
      </w:r>
      <w:r>
        <w:tab/>
        <w:t>Mr Dale Koenders, Citi Research</w:t>
      </w:r>
    </w:p>
    <w:p w14:paraId="282B8D04" w14:textId="746087B6" w:rsidR="00257E1A" w:rsidRDefault="00257E1A" w:rsidP="00257E1A">
      <w:pPr>
        <w:spacing w:after="0" w:line="240" w:lineRule="auto"/>
        <w:jc w:val="left"/>
      </w:pPr>
      <w:r>
        <w:t>26.</w:t>
      </w:r>
      <w:r>
        <w:tab/>
        <w:t>Mr Grant Cathro, Allens</w:t>
      </w:r>
    </w:p>
    <w:p w14:paraId="29CD9404" w14:textId="4419264B" w:rsidR="00257E1A" w:rsidRDefault="00257E1A" w:rsidP="00257E1A">
      <w:pPr>
        <w:spacing w:after="0" w:line="240" w:lineRule="auto"/>
        <w:jc w:val="left"/>
      </w:pPr>
      <w:r>
        <w:t>27.</w:t>
      </w:r>
      <w:r>
        <w:tab/>
        <w:t xml:space="preserve">Mr Jason Ward, International Transport </w:t>
      </w:r>
      <w:r w:rsidR="009159B4">
        <w:t>Workers</w:t>
      </w:r>
      <w:r w:rsidR="005D6F39">
        <w:t>’</w:t>
      </w:r>
      <w:r w:rsidR="009159B4">
        <w:t xml:space="preserve"> </w:t>
      </w:r>
      <w:r>
        <w:t>Federation</w:t>
      </w:r>
    </w:p>
    <w:p w14:paraId="4EB434D2" w14:textId="77777777" w:rsidR="00257E1A" w:rsidRDefault="00257E1A" w:rsidP="00257E1A">
      <w:pPr>
        <w:spacing w:after="0" w:line="240" w:lineRule="auto"/>
        <w:jc w:val="left"/>
      </w:pPr>
      <w:r>
        <w:t>28.</w:t>
      </w:r>
      <w:r>
        <w:tab/>
        <w:t>Mr Ian Macfarlane</w:t>
      </w:r>
    </w:p>
    <w:p w14:paraId="725B2E2F" w14:textId="77777777" w:rsidR="00257E1A" w:rsidRDefault="00257E1A" w:rsidP="00257E1A">
      <w:pPr>
        <w:spacing w:after="0" w:line="240" w:lineRule="auto"/>
        <w:jc w:val="left"/>
      </w:pPr>
      <w:r>
        <w:t>29.</w:t>
      </w:r>
      <w:r>
        <w:tab/>
        <w:t>Mr John de Wijn, QC</w:t>
      </w:r>
    </w:p>
    <w:p w14:paraId="2F07AF5F" w14:textId="77777777" w:rsidR="00257E1A" w:rsidRDefault="00257E1A" w:rsidP="00257E1A">
      <w:pPr>
        <w:spacing w:after="0" w:line="240" w:lineRule="auto"/>
        <w:jc w:val="left"/>
      </w:pPr>
      <w:r>
        <w:t>30.</w:t>
      </w:r>
      <w:r>
        <w:tab/>
        <w:t>Mr Kevin Morrison, UTS Institute of Sustainable Futures</w:t>
      </w:r>
    </w:p>
    <w:p w14:paraId="54DF915F" w14:textId="77777777" w:rsidR="00257E1A" w:rsidRDefault="00257E1A" w:rsidP="00257E1A">
      <w:pPr>
        <w:spacing w:after="0" w:line="240" w:lineRule="auto"/>
        <w:jc w:val="left"/>
      </w:pPr>
      <w:r>
        <w:t>31.</w:t>
      </w:r>
      <w:r>
        <w:tab/>
        <w:t>Mr Thomas Lassourd, Natural Resource Governance Institute</w:t>
      </w:r>
    </w:p>
    <w:p w14:paraId="1FD8DCC1" w14:textId="77777777" w:rsidR="00257E1A" w:rsidRDefault="00257E1A" w:rsidP="00257E1A">
      <w:pPr>
        <w:spacing w:after="0" w:line="240" w:lineRule="auto"/>
        <w:jc w:val="left"/>
      </w:pPr>
      <w:r>
        <w:t>32.</w:t>
      </w:r>
      <w:r>
        <w:tab/>
        <w:t>Professor Jack Mintz, School of Public Policy, University of Calgary</w:t>
      </w:r>
    </w:p>
    <w:p w14:paraId="5D999986" w14:textId="77777777" w:rsidR="00257E1A" w:rsidRDefault="00257E1A" w:rsidP="00257E1A">
      <w:pPr>
        <w:spacing w:after="0" w:line="240" w:lineRule="auto"/>
        <w:jc w:val="left"/>
      </w:pPr>
      <w:r>
        <w:t>33.</w:t>
      </w:r>
      <w:r>
        <w:tab/>
        <w:t>The Australia Institute</w:t>
      </w:r>
    </w:p>
    <w:p w14:paraId="68A39978" w14:textId="77777777" w:rsidR="00257E1A" w:rsidRDefault="00257E1A" w:rsidP="00257E1A">
      <w:pPr>
        <w:spacing w:after="0" w:line="240" w:lineRule="auto"/>
        <w:jc w:val="left"/>
      </w:pPr>
      <w:r>
        <w:t>34.</w:t>
      </w:r>
      <w:r>
        <w:tab/>
        <w:t>Tax Justice Network Australia</w:t>
      </w:r>
    </w:p>
    <w:p w14:paraId="67439118" w14:textId="77777777" w:rsidR="00257E1A" w:rsidRDefault="00257E1A" w:rsidP="00257E1A">
      <w:pPr>
        <w:spacing w:after="0" w:line="240" w:lineRule="auto"/>
        <w:jc w:val="left"/>
      </w:pPr>
      <w:r>
        <w:t>35.</w:t>
      </w:r>
      <w:r>
        <w:tab/>
        <w:t>Western Australian Department of Mines and Petroleum</w:t>
      </w:r>
    </w:p>
    <w:p w14:paraId="26223344" w14:textId="77777777" w:rsidR="00257E1A" w:rsidRDefault="00257E1A" w:rsidP="00257E1A">
      <w:pPr>
        <w:spacing w:after="0" w:line="240" w:lineRule="auto"/>
        <w:jc w:val="left"/>
      </w:pPr>
      <w:r>
        <w:t>36.</w:t>
      </w:r>
      <w:r>
        <w:tab/>
        <w:t>Western Australian Department of State Development</w:t>
      </w:r>
    </w:p>
    <w:p w14:paraId="18F3B066" w14:textId="062456FB" w:rsidR="00CE76FB" w:rsidRDefault="00257E1A" w:rsidP="00257E1A">
      <w:pPr>
        <w:spacing w:after="0" w:line="240" w:lineRule="auto"/>
        <w:jc w:val="left"/>
      </w:pPr>
      <w:r>
        <w:t>37.</w:t>
      </w:r>
      <w:r>
        <w:tab/>
        <w:t>Western Australian Department of Treasury</w:t>
      </w:r>
    </w:p>
    <w:sectPr w:rsidR="00CE76FB" w:rsidSect="0056559F">
      <w:footerReference w:type="first" r:id="rId128"/>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D0812" w14:textId="77777777" w:rsidR="00904AFA" w:rsidRDefault="00904AFA">
      <w:pPr>
        <w:spacing w:after="0" w:line="240" w:lineRule="auto"/>
      </w:pPr>
      <w:r>
        <w:separator/>
      </w:r>
    </w:p>
  </w:endnote>
  <w:endnote w:type="continuationSeparator" w:id="0">
    <w:p w14:paraId="059208BE" w14:textId="77777777" w:rsidR="00904AFA" w:rsidRDefault="00904AFA">
      <w:pPr>
        <w:spacing w:after="0" w:line="240" w:lineRule="auto"/>
      </w:pPr>
      <w:r>
        <w:continuationSeparator/>
      </w:r>
    </w:p>
  </w:endnote>
  <w:endnote w:type="continuationNotice" w:id="1">
    <w:p w14:paraId="3E0D7A16" w14:textId="77777777" w:rsidR="00904AFA" w:rsidRDefault="00904A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DCE2E" w14:textId="77777777" w:rsidR="00904AFA" w:rsidRDefault="00904AFA">
    <w:pPr>
      <w:pStyle w:val="FooterEven"/>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45BB4D9" w14:textId="77777777" w:rsidR="00904AFA" w:rsidRDefault="00C46B37">
    <w:pPr>
      <w:pStyle w:val="SecurityClassificationFooter"/>
    </w:pPr>
    <w:r>
      <w:fldChar w:fldCharType="begin"/>
    </w:r>
    <w:r>
      <w:instrText xml:space="preserve"> DOCPROPERTY SecurityClassification \* MERGEFORMAT </w:instrText>
    </w:r>
    <w:r>
      <w:fldChar w:fldCharType="separate"/>
    </w:r>
    <w:r w:rsidR="00836082" w:rsidRPr="00836082">
      <w:rPr>
        <w:rStyle w:val="PageNumber"/>
      </w:rPr>
      <w:t>In Confidence</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78F76" w14:textId="77777777" w:rsidR="00904AFA" w:rsidRDefault="00904AFA">
    <w:pPr>
      <w:pStyle w:val="FooterOdd"/>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46B37">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01D5" w14:textId="77777777" w:rsidR="00904AFA" w:rsidRDefault="00904AFA">
    <w:pPr>
      <w:pStyle w:val="FooterOdd"/>
      <w:rPr>
        <w:rStyle w:val="PageNumber"/>
      </w:rPr>
    </w:pPr>
  </w:p>
  <w:p w14:paraId="77F51E7F" w14:textId="3FD807AE" w:rsidR="00904AFA" w:rsidRDefault="00904A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0E9D3" w14:textId="16B11A9F" w:rsidR="00904AFA" w:rsidRDefault="00904AFA">
    <w:pPr>
      <w:pStyle w:val="FooterOdd"/>
      <w:rPr>
        <w:rStyle w:val="PageNumber"/>
      </w:rPr>
    </w:pPr>
    <w:r>
      <w:rPr>
        <w:rStyle w:val="PageNumber"/>
      </w:rPr>
      <w:t xml:space="preserve">Page </w:t>
    </w:r>
    <w:r w:rsidRPr="0056559F">
      <w:rPr>
        <w:rStyle w:val="PageNumber"/>
      </w:rPr>
      <w:fldChar w:fldCharType="begin"/>
    </w:r>
    <w:r w:rsidRPr="0056559F">
      <w:rPr>
        <w:rStyle w:val="PageNumber"/>
      </w:rPr>
      <w:instrText xml:space="preserve"> PAGE   \* MERGEFORMAT </w:instrText>
    </w:r>
    <w:r w:rsidRPr="0056559F">
      <w:rPr>
        <w:rStyle w:val="PageNumber"/>
      </w:rPr>
      <w:fldChar w:fldCharType="separate"/>
    </w:r>
    <w:r w:rsidR="00C46B37">
      <w:rPr>
        <w:rStyle w:val="PageNumber"/>
        <w:noProof/>
      </w:rPr>
      <w:t>1</w:t>
    </w:r>
    <w:r w:rsidRPr="0056559F">
      <w:rPr>
        <w:rStyle w:val="PageNumbe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A5522" w14:textId="77777777" w:rsidR="00904AFA" w:rsidRDefault="00904AFA">
      <w:pPr>
        <w:spacing w:after="0" w:line="240" w:lineRule="auto"/>
      </w:pPr>
      <w:r>
        <w:separator/>
      </w:r>
    </w:p>
  </w:footnote>
  <w:footnote w:type="continuationSeparator" w:id="0">
    <w:p w14:paraId="3796BEF8" w14:textId="77777777" w:rsidR="00904AFA" w:rsidRDefault="00904AFA">
      <w:pPr>
        <w:spacing w:after="0" w:line="240" w:lineRule="auto"/>
      </w:pPr>
      <w:r>
        <w:continuationSeparator/>
      </w:r>
    </w:p>
  </w:footnote>
  <w:footnote w:type="continuationNotice" w:id="1">
    <w:p w14:paraId="18D0FA1F" w14:textId="77777777" w:rsidR="00904AFA" w:rsidRDefault="00904AFA">
      <w:pPr>
        <w:spacing w:after="0" w:line="240" w:lineRule="auto"/>
      </w:pPr>
    </w:p>
  </w:footnote>
  <w:footnote w:id="2">
    <w:p w14:paraId="5F252C32" w14:textId="6E3955E0"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Joint Authorities make decisions on offshore petroleum titles and comprise the responsible Commonwealth Minister (currently the Minister for Resources and Northern Australia) and the relevant state or Northern</w:t>
      </w:r>
      <w:r>
        <w:t> </w:t>
      </w:r>
      <w:r w:rsidRPr="00E714D1">
        <w:t>Territory Minister. Joint Authorities may delegate functions and powers to relevant departmental officials.</w:t>
      </w:r>
    </w:p>
  </w:footnote>
  <w:footnote w:id="3">
    <w:p w14:paraId="5B3107A1" w14:textId="609D5510"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There can be many sources of economic rent. For example, land, access to a government licence to undertake an activity where licence numbers are restricted, and monopolistic control of a technology or market may provide economic rents.</w:t>
      </w:r>
    </w:p>
  </w:footnote>
  <w:footnote w:id="4">
    <w:p w14:paraId="02FE88A1" w14:textId="441E7C8F"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Lower quality resource deposits may still have some economic rent associated with them.</w:t>
      </w:r>
    </w:p>
  </w:footnote>
  <w:footnote w:id="5">
    <w:p w14:paraId="7DBFDD41" w14:textId="01B627B8" w:rsidR="00904AFA" w:rsidRPr="00E714D1" w:rsidRDefault="00904AFA" w:rsidP="00E714D1">
      <w:pPr>
        <w:pStyle w:val="FootnoteText"/>
      </w:pPr>
      <w:r w:rsidRPr="00E714D1">
        <w:rPr>
          <w:rStyle w:val="FootnoteReference"/>
          <w:vertAlign w:val="baseline"/>
        </w:rPr>
        <w:footnoteRef/>
      </w:r>
      <w:r w:rsidRPr="00E714D1">
        <w:rPr>
          <w:rStyle w:val="FootnoteReference"/>
          <w:vertAlign w:val="baseline"/>
        </w:rPr>
        <w:t xml:space="preserve"> </w:t>
      </w:r>
      <w:r>
        <w:rPr>
          <w:rStyle w:val="FootnoteReference"/>
          <w:vertAlign w:val="baseline"/>
        </w:rPr>
        <w:tab/>
      </w:r>
      <w:r w:rsidRPr="00E714D1">
        <w:rPr>
          <w:rStyle w:val="FootnoteReference"/>
          <w:vertAlign w:val="baseline"/>
        </w:rPr>
        <w:t xml:space="preserve">Data is not available for New South Wales. This is not expected to be material. </w:t>
      </w:r>
    </w:p>
  </w:footnote>
  <w:footnote w:id="6">
    <w:p w14:paraId="02D81B27" w14:textId="552FB224"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Data as at 27 March 2017. Where figures have been rounded discrepancies may occur between the sums of the component and their totals.</w:t>
      </w:r>
    </w:p>
  </w:footnote>
  <w:footnote w:id="7">
    <w:p w14:paraId="45803E3B" w14:textId="249A7964"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 xml:space="preserve">Some income tax returns have not yet been lodged for this year. The figures may therefore be incomplete. </w:t>
      </w:r>
    </w:p>
  </w:footnote>
  <w:footnote w:id="8">
    <w:p w14:paraId="63E04116" w14:textId="674461A3"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Based on income tax return disclosures of income and expenses (not statutory account information).</w:t>
      </w:r>
    </w:p>
  </w:footnote>
  <w:footnote w:id="9">
    <w:p w14:paraId="19807D5E" w14:textId="6A0534ED"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Wood Mackenzie provides commercial intelligence for the energy, metals and mining industries. Wood Mackenzie provides analysis and advice on assets, companies and markets.</w:t>
      </w:r>
    </w:p>
  </w:footnote>
  <w:footnote w:id="10">
    <w:p w14:paraId="7F4E8811" w14:textId="787D7DD1"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Real Brent oil price is calculated by deflating the Brent FOB price ($US/barrel nominal) by US CPI</w:t>
      </w:r>
      <w:r>
        <w:t xml:space="preserve"> (indexed to Sep-14)</w:t>
      </w:r>
      <w:r w:rsidRPr="00E714D1">
        <w:t>.</w:t>
      </w:r>
    </w:p>
  </w:footnote>
  <w:footnote w:id="11">
    <w:p w14:paraId="38B3D67A" w14:textId="5DD641AD" w:rsidR="00904AFA" w:rsidRPr="00E714D1" w:rsidRDefault="00904AFA" w:rsidP="00E714D1">
      <w:pPr>
        <w:pStyle w:val="FootnoteText"/>
      </w:pPr>
      <w:r w:rsidRPr="00E714D1">
        <w:rPr>
          <w:rStyle w:val="FootnoteReference"/>
          <w:color w:val="auto"/>
          <w:vertAlign w:val="baseline"/>
        </w:rPr>
        <w:footnoteRef/>
      </w:r>
      <w:r w:rsidRPr="00E714D1">
        <w:t xml:space="preserve"> </w:t>
      </w:r>
      <w:r>
        <w:tab/>
      </w:r>
      <w:r w:rsidRPr="00E714D1">
        <w:t>In January 2017, the Indonesian Government announced that a future upstream oil and gas contracts should be based on a gross split scheme (operating essentially as a tax and royalty scheme), gradually replacing the current model.</w:t>
      </w:r>
    </w:p>
  </w:footnote>
  <w:footnote w:id="12">
    <w:p w14:paraId="7B5E81C0" w14:textId="3076EFB2"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In which private companies can finance government participation with costs offset against future state share of production or profits. The Qatari project Pearl GTL is an example where through a Development and Production Sharing Agreement the State of Qatar retains ownership of the project. Shell provided full funding and is the project’s operator.</w:t>
      </w:r>
    </w:p>
  </w:footnote>
  <w:footnote w:id="13">
    <w:p w14:paraId="7A36006C" w14:textId="7178558D"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The 16 indicators in 2016 Global Survey included fiscal terms, taxation in general, environmental regulations, regulatory enforcement, cost of regulatory compliance, protected areas, trade barriers, labour regulations and employment agreements, quality of infrastructure, quality of geological database (with similar indicators used throughout the 10 survey period).</w:t>
      </w:r>
    </w:p>
  </w:footnote>
  <w:footnote w:id="14">
    <w:p w14:paraId="151C6048" w14:textId="3167AD83"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‘Fiscal terms’ refers to licences, lease payments, royalties and other production taxes, gross revenue charges that directly target petroleum production. ‘Taxation in general’ refers to corporate and personal income taxes, payroll, capital and other taxes. It includes tax arrangements that apply to corporations generally, including the oil and gas sector. Together, fiscal terms and taxation arrangement indicators provide feedback on broader fiscal regime settings.</w:t>
      </w:r>
    </w:p>
  </w:footnote>
  <w:footnote w:id="15">
    <w:p w14:paraId="6CE2C95B" w14:textId="389D21A6"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IHS Markit is a global strategic planning, operations, engineering and analytics consultancy firm. Their ranking of fiscal attractiveness from an oil and gas perspective is not publicly available.</w:t>
      </w:r>
    </w:p>
  </w:footnote>
  <w:footnote w:id="16">
    <w:p w14:paraId="15769553" w14:textId="4F57D378"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The Commonwealth and states have jurisdiction over offshore and onshore areas, respectively.</w:t>
      </w:r>
    </w:p>
  </w:footnote>
  <w:footnote w:id="17">
    <w:p w14:paraId="55CD6968" w14:textId="67958926"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A body lead by then Resources Minister, The Hon Martin Ferguson MP, and Mr Don Argus AC formed by the Government to oversee the development of detailed technical design of legislation covering both the MRRT and the extension of the PRRT to cover all petroleum projects onshore and offshore Australia.</w:t>
      </w:r>
    </w:p>
  </w:footnote>
  <w:footnote w:id="18">
    <w:p w14:paraId="1716E951" w14:textId="5FED83B1"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This exemption was introduced in 1987 with the objective of encouraging the exploration and development of petroleum following the reduction in crude oil prices at that time.</w:t>
      </w:r>
    </w:p>
  </w:footnote>
  <w:footnote w:id="19">
    <w:p w14:paraId="46AEA0EA" w14:textId="7C8B97AD"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Regulation 4 of the Petroleum Excise (Prices) Regulations 1988 outlines the information that producers must provide the Minister (or delegate).</w:t>
      </w:r>
    </w:p>
  </w:footnote>
  <w:footnote w:id="20">
    <w:p w14:paraId="3A8A48D5" w14:textId="26FDD8D5"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A useful summary of these early changes is contained in 1990 Background Report on Petroleum Production Taxation, reproduced in part in the APPEA submission.</w:t>
      </w:r>
    </w:p>
  </w:footnote>
  <w:footnote w:id="21">
    <w:p w14:paraId="44F10DEA" w14:textId="293D1290"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Coverage of crude oil excise had already been removed from (onshore) Barrow Island from 1 July 1985. Further information on the regime applying on Barrow Island is in section 6.2.</w:t>
      </w:r>
    </w:p>
  </w:footnote>
  <w:footnote w:id="22">
    <w:p w14:paraId="69267079" w14:textId="157AD17A" w:rsidR="00904AFA" w:rsidRPr="00E714D1" w:rsidRDefault="00904AFA" w:rsidP="00E714D1">
      <w:pPr>
        <w:pStyle w:val="FootnoteText"/>
      </w:pPr>
      <w:r w:rsidRPr="00E714D1">
        <w:rPr>
          <w:rStyle w:val="FootnoteReference"/>
          <w:vertAlign w:val="baseline"/>
        </w:rPr>
        <w:footnoteRef/>
      </w:r>
      <w:r>
        <w:t xml:space="preserve"> </w:t>
      </w:r>
      <w:r>
        <w:tab/>
        <w:t>‘</w:t>
      </w:r>
      <w:r w:rsidRPr="00E714D1">
        <w:t>The Bill will extend, from 1 July 1990, the resource rent tax to the Bass Strait, replacing the complex and arbitrary excise and royalty regime. The measure will not only permit the generation of a fair return to the community from the production of hydrocarbons, but will do so in a manner which encourages the producers to efficiently drain the Bass Strait province in a manner which has greater regard to the producers’ capacity to pay</w:t>
      </w:r>
      <w:r>
        <w:t xml:space="preserve"> </w:t>
      </w:r>
      <w:r w:rsidRPr="00E714D1">
        <w:t>… The extension of the resource rent tax to Bass Strait, will, as I indicated earlier, promote the optimal recovery of Bass Strait petroleum reserves. New fields will become viable and recovery from existing fields will be enhanced. This is expected to lead to the recovery of a further 200</w:t>
      </w:r>
      <w:r w:rsidRPr="00E714D1">
        <w:noBreakHyphen/>
        <w:t>300 million barrels of oil from Bass Strait and, over the longer term, it can be expected that gas production will also be enhanced.</w:t>
      </w:r>
      <w:r>
        <w:t>’</w:t>
      </w:r>
      <w:r w:rsidRPr="00E714D1">
        <w:t xml:space="preserve"> Treasurer Keating’s second reading speech Petroleum Resource Rent Legislation Amendment Bill 1991</w:t>
      </w:r>
      <w:r w:rsidRPr="00E714D1">
        <w:rPr>
          <w:lang w:val="en-US"/>
        </w:rPr>
        <w:t>.</w:t>
      </w:r>
    </w:p>
  </w:footnote>
  <w:footnote w:id="23">
    <w:p w14:paraId="43635077" w14:textId="2CDC67E6"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 xml:space="preserve">The then Minister for Industry, Science and Resources, the Senator Nick </w:t>
      </w:r>
      <w:r>
        <w:t>Minchin’s media release stated ‘</w:t>
      </w:r>
      <w:r w:rsidRPr="00E714D1">
        <w:t>Ultimately, the consumer and Australia will benefit from efforts to meet Australia’s future energy needs through enhancing Australia’s self</w:t>
      </w:r>
      <w:r w:rsidRPr="00E714D1">
        <w:noBreakHyphen/>
        <w:t>sufficiency in oil and gas.</w:t>
      </w:r>
      <w:r>
        <w:t>’</w:t>
      </w:r>
      <w:r w:rsidRPr="00E714D1">
        <w:t xml:space="preserve"> Media release 01/371, 15 August 2001 ‘Government encourages domestic oil exploration and production’.</w:t>
      </w:r>
    </w:p>
  </w:footnote>
  <w:footnote w:id="24">
    <w:p w14:paraId="3346E576" w14:textId="66C07AA0"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 xml:space="preserve">For example, Excise </w:t>
      </w:r>
      <w:r w:rsidRPr="00E714D1" w:rsidDel="001E7474">
        <w:t>By</w:t>
      </w:r>
      <w:r w:rsidRPr="00E714D1">
        <w:noBreakHyphen/>
        <w:t xml:space="preserve">law 127 prescribes those fields which are ‘onshore fields’. Excise </w:t>
      </w:r>
      <w:r w:rsidRPr="00E714D1" w:rsidDel="001E7474">
        <w:t>By</w:t>
      </w:r>
      <w:r w:rsidRPr="00E714D1">
        <w:noBreakHyphen/>
        <w:t xml:space="preserve">law No. 114 prescribes those fields which are ‘exempt offshore fields’. </w:t>
      </w:r>
    </w:p>
  </w:footnote>
  <w:footnote w:id="25">
    <w:p w14:paraId="02F7C3F5" w14:textId="4A66D9DB" w:rsidR="00904AFA" w:rsidRPr="00E714D1" w:rsidRDefault="00904AFA" w:rsidP="00E714D1">
      <w:pPr>
        <w:pStyle w:val="FootnoteText"/>
        <w:rPr>
          <w:color w:val="1F497D" w:themeColor="text2"/>
        </w:rPr>
      </w:pPr>
      <w:r w:rsidRPr="00E714D1">
        <w:rPr>
          <w:rStyle w:val="FootnoteReference"/>
          <w:color w:val="auto"/>
          <w:vertAlign w:val="baseline"/>
        </w:rPr>
        <w:footnoteRef/>
      </w:r>
      <w:r w:rsidRPr="00E714D1">
        <w:t xml:space="preserve"> </w:t>
      </w:r>
      <w:r>
        <w:tab/>
      </w:r>
      <w:r w:rsidRPr="00E714D1">
        <w:t>Sourced from the ATO.</w:t>
      </w:r>
    </w:p>
  </w:footnote>
  <w:footnote w:id="26">
    <w:p w14:paraId="515F56BF" w14:textId="540EC037"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Modelling was conducted on a project basis as data about individual onshore fields and their production levels are not available.</w:t>
      </w:r>
    </w:p>
  </w:footnote>
  <w:footnote w:id="27">
    <w:p w14:paraId="4C2BBA46" w14:textId="7B42FDC7" w:rsidR="00904AFA" w:rsidRPr="00E714D1" w:rsidRDefault="00904AFA" w:rsidP="00E714D1">
      <w:pPr>
        <w:pStyle w:val="FootnoteText"/>
      </w:pPr>
      <w:r w:rsidRPr="00E714D1">
        <w:rPr>
          <w:rStyle w:val="FootnoteReference"/>
          <w:szCs w:val="18"/>
          <w:vertAlign w:val="baseline"/>
        </w:rPr>
        <w:footnoteRef/>
      </w:r>
      <w:r w:rsidRPr="00E714D1">
        <w:t xml:space="preserve"> </w:t>
      </w:r>
      <w:r>
        <w:tab/>
      </w:r>
      <w:r w:rsidRPr="00E714D1">
        <w:t>The McKell Institute is an independent, not for profit Australian research institute that engages across of a range of public policy issues.</w:t>
      </w:r>
    </w:p>
  </w:footnote>
  <w:footnote w:id="28">
    <w:p w14:paraId="638FCAD6" w14:textId="43DC97CC"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Onshore projects are subject to state royalties in addition to excise and the PRRT. In the NWS project, a shared Commonwealth/state royalty applies as well as excise and the PRRT. On Barrow Island, a shared Commonwealth/state Resource Rent Royalty and PRRT applies.</w:t>
      </w:r>
    </w:p>
  </w:footnote>
  <w:footnote w:id="29">
    <w:p w14:paraId="3DF24934" w14:textId="2E85C50C"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ABR is augmented bond rate, GDP is gross domestic product, LTBR is long term bond rate.</w:t>
      </w:r>
    </w:p>
  </w:footnote>
  <w:footnote w:id="30">
    <w:p w14:paraId="63837850" w14:textId="15F336B0"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See for example the Inspector General Taxation Review into the ATO’s administration of valuation matters, 19 January 2015.</w:t>
      </w:r>
    </w:p>
  </w:footnote>
  <w:footnote w:id="31">
    <w:p w14:paraId="45AB77E5" w14:textId="06CD43C0" w:rsidR="00904AFA" w:rsidRPr="00E714D1" w:rsidRDefault="00904AFA" w:rsidP="00E714D1">
      <w:pPr>
        <w:pStyle w:val="FootnoteText"/>
      </w:pPr>
      <w:r w:rsidRPr="00E714D1">
        <w:rPr>
          <w:rStyle w:val="FootnoteReference"/>
          <w:vertAlign w:val="baseline"/>
        </w:rPr>
        <w:footnoteRef/>
      </w:r>
      <w:r w:rsidRPr="00E714D1">
        <w:t xml:space="preserve"> Mid</w:t>
      </w:r>
      <w:r w:rsidRPr="00E714D1">
        <w:noBreakHyphen/>
        <w:t>stream is a term less commonly used in Australia than other parts of the world to describe the component of the oil and gas value chain between the upstream and downstream phases. The mid</w:t>
      </w:r>
      <w:r w:rsidRPr="00E714D1">
        <w:noBreakHyphen/>
        <w:t>stream typically includes petroleum processing, storage, wholesale marketing and transport. In the Australian LNG context, the mid</w:t>
      </w:r>
      <w:r w:rsidRPr="00E714D1">
        <w:noBreakHyphen/>
        <w:t xml:space="preserve">stream could encompass the liquefaction, transport and regasification of natural gas and associated activities. </w:t>
      </w:r>
    </w:p>
  </w:footnote>
  <w:footnote w:id="32">
    <w:p w14:paraId="236D5C5A" w14:textId="71138C1D" w:rsidR="00904AFA" w:rsidRPr="00E714D1" w:rsidRDefault="00904AFA" w:rsidP="00FC6DF9">
      <w:pPr>
        <w:pStyle w:val="FootnoteText"/>
        <w:jc w:val="left"/>
      </w:pPr>
      <w:r w:rsidRPr="00E714D1">
        <w:rPr>
          <w:rStyle w:val="FootnoteReference"/>
          <w:vertAlign w:val="baseline"/>
        </w:rPr>
        <w:footnoteRef/>
      </w:r>
      <w:r w:rsidRPr="00E714D1">
        <w:t xml:space="preserve"> </w:t>
      </w:r>
      <w:r>
        <w:tab/>
      </w:r>
      <w:r w:rsidRPr="00E714D1">
        <w:t xml:space="preserve">For further information, the Alaska Oil and Gas Competitiveness Review Board periodically publishes a competitiveness report, the most recent publication was released February 2015. In addition, the Alaska Department of Revenue’s website contains a historical overview: </w:t>
      </w:r>
      <w:hyperlink r:id="rId1" w:history="1">
        <w:r w:rsidRPr="00E714D1">
          <w:rPr>
            <w:rStyle w:val="Hyperlink"/>
          </w:rPr>
          <w:t>http://www.tax.alaska.gov/programs/programs/reports/Historical.aspx?60650</w:t>
        </w:r>
      </w:hyperlink>
      <w:r w:rsidRPr="00E714D1">
        <w:t xml:space="preserve">. </w:t>
      </w:r>
    </w:p>
  </w:footnote>
  <w:footnote w:id="33">
    <w:p w14:paraId="632D276D" w14:textId="6BFDF1E3"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The Supplementary Charge has been changed a number of times since its introduction in 2002 at the rate of 10 per cent. In 2006 it was increased to 20 per cent and to 32 per cent in the United Kingdom’s 2011 Budget. Following the Wood Review in 2014, it was reduced to 30 per cent and subsequently to 20 per cent between 1 January 2015 and 31 December 2015. The change to the current 10 per cent rate was announced in the United Kingdom’s 2016 Budget together with the reduction in the Petroleum Revenue Tax from 35 per cent to 0 per cent.</w:t>
      </w:r>
    </w:p>
  </w:footnote>
  <w:footnote w:id="34">
    <w:p w14:paraId="03454920" w14:textId="5CD4F6F9" w:rsidR="00904AFA" w:rsidRPr="00E714D1" w:rsidRDefault="00904AFA" w:rsidP="00E714D1">
      <w:pPr>
        <w:pStyle w:val="FootnoteText"/>
      </w:pPr>
      <w:r w:rsidRPr="00E714D1">
        <w:rPr>
          <w:rStyle w:val="FootnoteReference"/>
          <w:vertAlign w:val="baseline"/>
        </w:rPr>
        <w:footnoteRef/>
      </w:r>
      <w:r w:rsidRPr="00E714D1">
        <w:t xml:space="preserve"> </w:t>
      </w:r>
      <w:r>
        <w:tab/>
      </w:r>
      <w:r w:rsidRPr="00E714D1">
        <w:t>The APT had previously been changed several times. In 2003, the APT was removed for oil and gas projects but was reintroduced for designated gas projects in 2008 as a result of negotiations on the PNG LNG project. Under the 2008 arrangement, two calculations were used to determine APT: Calculation X applied a tax rate of 7.5 per cent at an uplift rate of 17.5 per cent and Calculation Y applied a tax rate of 10 per cent at an uplift rate of 20 per cent (with Calculation X deductible for the purposes of performing Calculation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A8D32" w14:textId="77777777" w:rsidR="00904AFA" w:rsidRDefault="00C46B37">
    <w:pPr>
      <w:pStyle w:val="SecurityClassificationHeader"/>
    </w:pPr>
    <w:r>
      <w:fldChar w:fldCharType="begin"/>
    </w:r>
    <w:r>
      <w:instrText xml:space="preserve"> DOCPROPERTY SecurityClassification \* MERGEFORMAT </w:instrText>
    </w:r>
    <w:r>
      <w:fldChar w:fldCharType="separate"/>
    </w:r>
    <w:r w:rsidR="00836082">
      <w:t>In Confidence</w:t>
    </w:r>
    <w:r>
      <w:fldChar w:fldCharType="end"/>
    </w:r>
  </w:p>
  <w:p w14:paraId="02B7938E" w14:textId="77777777" w:rsidR="00904AFA" w:rsidRDefault="00904AFA">
    <w:pPr>
      <w:pStyle w:val="HeaderEven"/>
    </w:pPr>
    <w:r>
      <w:t>Publication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FE952" w14:textId="501CFF80" w:rsidR="00904AFA" w:rsidRPr="00AA7794" w:rsidRDefault="00904AFA" w:rsidP="00AA77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0E8E170"/>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CA2E0B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01C3F9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84E08A0"/>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28B65970"/>
    <w:lvl w:ilvl="0">
      <w:start w:val="1"/>
      <w:numFmt w:val="decimal"/>
      <w:lvlText w:val="%1."/>
      <w:lvlJc w:val="left"/>
      <w:pPr>
        <w:tabs>
          <w:tab w:val="num" w:pos="360"/>
        </w:tabs>
        <w:ind w:left="360" w:hanging="360"/>
      </w:pPr>
    </w:lvl>
  </w:abstractNum>
  <w:abstractNum w:abstractNumId="5">
    <w:nsid w:val="FFFFFF89"/>
    <w:multiLevelType w:val="singleLevel"/>
    <w:tmpl w:val="4AC012E4"/>
    <w:lvl w:ilvl="0">
      <w:start w:val="1"/>
      <w:numFmt w:val="bullet"/>
      <w:lvlText w:val=""/>
      <w:lvlJc w:val="left"/>
      <w:pPr>
        <w:tabs>
          <w:tab w:val="num" w:pos="360"/>
        </w:tabs>
        <w:ind w:left="360" w:hanging="360"/>
      </w:pPr>
      <w:rPr>
        <w:rFonts w:ascii="Symbol" w:hAnsi="Symbol" w:hint="default"/>
      </w:rPr>
    </w:lvl>
  </w:abstractNum>
  <w:abstractNum w:abstractNumId="6">
    <w:nsid w:val="00EC0C60"/>
    <w:multiLevelType w:val="multilevel"/>
    <w:tmpl w:val="B33A5A0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78D6B76"/>
    <w:multiLevelType w:val="hybridMultilevel"/>
    <w:tmpl w:val="B3F2BD40"/>
    <w:lvl w:ilvl="0" w:tplc="0C090003">
      <w:start w:val="1"/>
      <w:numFmt w:val="bullet"/>
      <w:lvlText w:val="o"/>
      <w:lvlJc w:val="left"/>
      <w:pPr>
        <w:ind w:left="1240" w:hanging="360"/>
      </w:pPr>
      <w:rPr>
        <w:rFonts w:ascii="Courier New" w:hAnsi="Courier New" w:cs="Courier New" w:hint="default"/>
      </w:rPr>
    </w:lvl>
    <w:lvl w:ilvl="1" w:tplc="0C090003">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8">
    <w:nsid w:val="10815812"/>
    <w:multiLevelType w:val="multilevel"/>
    <w:tmpl w:val="F07C8BF0"/>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3026985"/>
    <w:multiLevelType w:val="multilevel"/>
    <w:tmpl w:val="170EB39C"/>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3E6254A"/>
    <w:multiLevelType w:val="hybridMultilevel"/>
    <w:tmpl w:val="6D968F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2">
    <w:nsid w:val="1B2E66ED"/>
    <w:multiLevelType w:val="hybridMultilevel"/>
    <w:tmpl w:val="CDDE7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8F5EA7"/>
    <w:multiLevelType w:val="multilevel"/>
    <w:tmpl w:val="74A2E93E"/>
    <w:name w:val="Recommendation List"/>
    <w:lvl w:ilvl="0">
      <w:start w:val="1"/>
      <w:numFmt w:val="lowerLetter"/>
      <w:lvlRestart w:val="0"/>
      <w:pStyle w:val="RecommendationBullet"/>
      <w:lvlText w:val="(%1)"/>
      <w:lvlJc w:val="left"/>
      <w:pPr>
        <w:tabs>
          <w:tab w:val="num" w:pos="567"/>
        </w:tabs>
        <w:ind w:left="567" w:hanging="567"/>
      </w:pPr>
      <w:rPr>
        <w:rFonts w:ascii="Book Antiqua" w:hAnsi="Book Antiqua"/>
        <w:b w:val="0"/>
        <w:i w:val="0"/>
        <w:color w:val="000000"/>
        <w:sz w:val="22"/>
      </w:rPr>
    </w:lvl>
    <w:lvl w:ilvl="1">
      <w:start w:val="1"/>
      <w:numFmt w:val="lowerRoman"/>
      <w:pStyle w:val="RecommendationDash"/>
      <w:lvlText w:val="(%2)"/>
      <w:lvlJc w:val="left"/>
      <w:pPr>
        <w:tabs>
          <w:tab w:val="num" w:pos="1134"/>
        </w:tabs>
        <w:ind w:left="1134" w:hanging="567"/>
      </w:pPr>
      <w:rPr>
        <w:rFonts w:ascii="Book Antiqua" w:hAnsi="Book Antiqua"/>
        <w:b w:val="0"/>
        <w:i w:val="0"/>
        <w:color w:val="000000"/>
        <w:sz w:val="22"/>
      </w:rPr>
    </w:lvl>
    <w:lvl w:ilvl="2">
      <w:start w:val="1"/>
      <w:numFmt w:val="upperLetter"/>
      <w:pStyle w:val="RecommendationDoubleDot"/>
      <w:lvlText w:val="(%3)"/>
      <w:lvlJc w:val="left"/>
      <w:pPr>
        <w:tabs>
          <w:tab w:val="num" w:pos="1701"/>
        </w:tabs>
        <w:ind w:left="1701" w:hanging="567"/>
      </w:pPr>
      <w:rPr>
        <w:rFonts w:ascii="Book Antiqua" w:hAnsi="Book Antiqua"/>
        <w:b w:val="0"/>
        <w:i w:val="0"/>
        <w:color w:val="000000"/>
        <w:sz w:val="22"/>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nsid w:val="1CBD471C"/>
    <w:multiLevelType w:val="multilevel"/>
    <w:tmpl w:val="87F674E4"/>
    <w:lvl w:ilvl="0">
      <w:start w:val="1"/>
      <w:numFmt w:val="bullet"/>
      <w:lvlText w:val=""/>
      <w:lvlJc w:val="left"/>
      <w:pPr>
        <w:tabs>
          <w:tab w:val="num" w:pos="520"/>
        </w:tabs>
        <w:ind w:left="520" w:hanging="520"/>
      </w:pPr>
      <w:rPr>
        <w:rFonts w:ascii="Wingdings" w:hAnsi="Wingdings" w:hint="default"/>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2007"/>
        </w:tabs>
        <w:ind w:left="2007" w:hanging="360"/>
      </w:pPr>
      <w:rPr>
        <w:b w:val="0"/>
        <w:i w:val="0"/>
      </w:rPr>
    </w:lvl>
    <w:lvl w:ilvl="4">
      <w:start w:val="1"/>
      <w:numFmt w:val="lowerLetter"/>
      <w:lvlText w:val="(%5)"/>
      <w:lvlJc w:val="left"/>
      <w:pPr>
        <w:tabs>
          <w:tab w:val="num" w:pos="2367"/>
        </w:tabs>
        <w:ind w:left="2367" w:hanging="360"/>
      </w:pPr>
      <w:rPr>
        <w:b w:val="0"/>
        <w:i w:val="0"/>
      </w:rPr>
    </w:lvl>
    <w:lvl w:ilvl="5">
      <w:start w:val="1"/>
      <w:numFmt w:val="lowerRoman"/>
      <w:lvlText w:val="(%6)"/>
      <w:lvlJc w:val="left"/>
      <w:pPr>
        <w:tabs>
          <w:tab w:val="num" w:pos="2727"/>
        </w:tabs>
        <w:ind w:left="2727" w:hanging="360"/>
      </w:pPr>
      <w:rPr>
        <w:b w:val="0"/>
        <w:i w:val="0"/>
      </w:rPr>
    </w:lvl>
    <w:lvl w:ilvl="6">
      <w:start w:val="1"/>
      <w:numFmt w:val="decimal"/>
      <w:lvlText w:val="%7."/>
      <w:lvlJc w:val="left"/>
      <w:pPr>
        <w:tabs>
          <w:tab w:val="num" w:pos="3087"/>
        </w:tabs>
        <w:ind w:left="3087" w:hanging="360"/>
      </w:pPr>
      <w:rPr>
        <w:b w:val="0"/>
        <w:i w:val="0"/>
      </w:rPr>
    </w:lvl>
    <w:lvl w:ilvl="7">
      <w:start w:val="1"/>
      <w:numFmt w:val="lowerLetter"/>
      <w:lvlText w:val="%8."/>
      <w:lvlJc w:val="left"/>
      <w:pPr>
        <w:tabs>
          <w:tab w:val="num" w:pos="3447"/>
        </w:tabs>
        <w:ind w:left="3447" w:hanging="360"/>
      </w:pPr>
      <w:rPr>
        <w:b w:val="0"/>
        <w:i w:val="0"/>
      </w:rPr>
    </w:lvl>
    <w:lvl w:ilvl="8">
      <w:start w:val="1"/>
      <w:numFmt w:val="lowerRoman"/>
      <w:lvlText w:val="%9."/>
      <w:lvlJc w:val="left"/>
      <w:pPr>
        <w:tabs>
          <w:tab w:val="num" w:pos="3807"/>
        </w:tabs>
        <w:ind w:left="3807" w:hanging="360"/>
      </w:pPr>
      <w:rPr>
        <w:b w:val="0"/>
        <w:i w:val="0"/>
      </w:rPr>
    </w:lvl>
  </w:abstractNum>
  <w:abstractNum w:abstractNumId="15">
    <w:nsid w:val="256548E1"/>
    <w:multiLevelType w:val="multilevel"/>
    <w:tmpl w:val="1FA8B282"/>
    <w:name w:val="Recommendation Heading List"/>
    <w:lvl w:ilvl="0">
      <w:start w:val="1"/>
      <w:numFmt w:val="decimal"/>
      <w:lvlRestart w:val="0"/>
      <w:suff w:val="nothing"/>
      <w:lvlText w:val="Recommendation %1"/>
      <w:lvlJc w:val="left"/>
      <w:pPr>
        <w:ind w:left="0" w:firstLine="0"/>
      </w:pPr>
      <w:rPr>
        <w:rFonts w:ascii="Century Gothic" w:hAnsi="Century Gothic"/>
        <w:b/>
        <w:i w:val="0"/>
        <w:color w:val="000080"/>
        <w:sz w:val="22"/>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nsid w:val="263C0C94"/>
    <w:multiLevelType w:val="hybridMultilevel"/>
    <w:tmpl w:val="7DE2B0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440C8B"/>
    <w:multiLevelType w:val="multilevel"/>
    <w:tmpl w:val="CA4C6386"/>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2007"/>
        </w:tabs>
        <w:ind w:left="2007" w:hanging="360"/>
      </w:pPr>
      <w:rPr>
        <w:b w:val="0"/>
        <w:i w:val="0"/>
      </w:rPr>
    </w:lvl>
    <w:lvl w:ilvl="4">
      <w:start w:val="1"/>
      <w:numFmt w:val="lowerLetter"/>
      <w:lvlText w:val="(%5)"/>
      <w:lvlJc w:val="left"/>
      <w:pPr>
        <w:tabs>
          <w:tab w:val="num" w:pos="2367"/>
        </w:tabs>
        <w:ind w:left="2367" w:hanging="360"/>
      </w:pPr>
      <w:rPr>
        <w:b w:val="0"/>
        <w:i w:val="0"/>
      </w:rPr>
    </w:lvl>
    <w:lvl w:ilvl="5">
      <w:start w:val="1"/>
      <w:numFmt w:val="lowerRoman"/>
      <w:lvlText w:val="(%6)"/>
      <w:lvlJc w:val="left"/>
      <w:pPr>
        <w:tabs>
          <w:tab w:val="num" w:pos="2727"/>
        </w:tabs>
        <w:ind w:left="2727" w:hanging="360"/>
      </w:pPr>
      <w:rPr>
        <w:b w:val="0"/>
        <w:i w:val="0"/>
      </w:rPr>
    </w:lvl>
    <w:lvl w:ilvl="6">
      <w:start w:val="1"/>
      <w:numFmt w:val="decimal"/>
      <w:lvlText w:val="%7."/>
      <w:lvlJc w:val="left"/>
      <w:pPr>
        <w:tabs>
          <w:tab w:val="num" w:pos="3087"/>
        </w:tabs>
        <w:ind w:left="3087" w:hanging="360"/>
      </w:pPr>
      <w:rPr>
        <w:b w:val="0"/>
        <w:i w:val="0"/>
      </w:rPr>
    </w:lvl>
    <w:lvl w:ilvl="7">
      <w:start w:val="1"/>
      <w:numFmt w:val="lowerLetter"/>
      <w:lvlText w:val="%8."/>
      <w:lvlJc w:val="left"/>
      <w:pPr>
        <w:tabs>
          <w:tab w:val="num" w:pos="3447"/>
        </w:tabs>
        <w:ind w:left="3447" w:hanging="360"/>
      </w:pPr>
      <w:rPr>
        <w:b w:val="0"/>
        <w:i w:val="0"/>
      </w:rPr>
    </w:lvl>
    <w:lvl w:ilvl="8">
      <w:start w:val="1"/>
      <w:numFmt w:val="lowerRoman"/>
      <w:lvlText w:val="%9."/>
      <w:lvlJc w:val="left"/>
      <w:pPr>
        <w:tabs>
          <w:tab w:val="num" w:pos="3807"/>
        </w:tabs>
        <w:ind w:left="3807" w:hanging="360"/>
      </w:pPr>
      <w:rPr>
        <w:b w:val="0"/>
        <w:i w:val="0"/>
      </w:rPr>
    </w:lvl>
  </w:abstractNum>
  <w:abstractNum w:abstractNumId="18">
    <w:nsid w:val="2875412D"/>
    <w:multiLevelType w:val="hybridMultilevel"/>
    <w:tmpl w:val="44A497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0F60BF"/>
    <w:multiLevelType w:val="multilevel"/>
    <w:tmpl w:val="A80C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1">
    <w:nsid w:val="2DF54350"/>
    <w:multiLevelType w:val="multilevel"/>
    <w:tmpl w:val="2DB61A66"/>
    <w:lvl w:ilvl="0">
      <w:start w:val="1"/>
      <w:numFmt w:val="bullet"/>
      <w:pStyle w:val="OutlineNumbered1"/>
      <w:lvlText w:val="•"/>
      <w:lvlJc w:val="left"/>
      <w:pPr>
        <w:tabs>
          <w:tab w:val="num" w:pos="472"/>
        </w:tabs>
        <w:ind w:left="472" w:hanging="472"/>
      </w:pPr>
      <w:rPr>
        <w:rFonts w:ascii="Times New Roman" w:hAnsi="Times New Roman" w:cs="Times New Roman"/>
      </w:rPr>
    </w:lvl>
    <w:lvl w:ilvl="1">
      <w:start w:val="1"/>
      <w:numFmt w:val="bullet"/>
      <w:pStyle w:val="OutlineNumbered2"/>
      <w:lvlText w:val="–"/>
      <w:lvlJc w:val="left"/>
      <w:pPr>
        <w:tabs>
          <w:tab w:val="num" w:pos="944"/>
        </w:tabs>
        <w:ind w:left="944" w:hanging="472"/>
      </w:pPr>
      <w:rPr>
        <w:rFonts w:ascii="Times New Roman" w:hAnsi="Times New Roman" w:cs="Times New Roman"/>
      </w:rPr>
    </w:lvl>
    <w:lvl w:ilvl="2">
      <w:start w:val="1"/>
      <w:numFmt w:val="bullet"/>
      <w:pStyle w:val="OutlineNumbered3"/>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4211E7F"/>
    <w:multiLevelType w:val="hybridMultilevel"/>
    <w:tmpl w:val="4D6695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B125FC2"/>
    <w:multiLevelType w:val="singleLevel"/>
    <w:tmpl w:val="96F0F1D4"/>
    <w:name w:val="OptionHeadingList"/>
    <w:lvl w:ilvl="0">
      <w:start w:val="1"/>
      <w:numFmt w:val="decimal"/>
      <w:lvlRestart w:val="0"/>
      <w:suff w:val="nothing"/>
      <w:lvlText w:val="Option %1"/>
      <w:lvlJc w:val="left"/>
      <w:pPr>
        <w:ind w:left="0" w:firstLine="0"/>
      </w:pPr>
      <w:rPr>
        <w:rFonts w:ascii="Century Gothic" w:hAnsi="Century Gothic"/>
        <w:b/>
        <w:i w:val="0"/>
        <w:color w:val="000080"/>
        <w:sz w:val="22"/>
      </w:rPr>
    </w:lvl>
  </w:abstractNum>
  <w:abstractNum w:abstractNumId="24">
    <w:nsid w:val="3D714D4B"/>
    <w:multiLevelType w:val="multilevel"/>
    <w:tmpl w:val="138AF9F6"/>
    <w:styleLink w:val="ChapterList"/>
    <w:lvl w:ilvl="0">
      <w:start w:val="1"/>
      <w:numFmt w:val="decimal"/>
      <w:pStyle w:val="ChapterHeading"/>
      <w:lvlText w:val="Chapter %1"/>
      <w:lvlJc w:val="left"/>
      <w:pPr>
        <w:tabs>
          <w:tab w:val="num" w:pos="1134"/>
        </w:tabs>
        <w:ind w:left="0" w:firstLine="0"/>
      </w:pPr>
      <w:rPr>
        <w:rFonts w:hint="default"/>
      </w:rPr>
    </w:lvl>
    <w:lvl w:ilvl="1">
      <w:start w:val="1"/>
      <w:numFmt w:val="decimal"/>
      <w:pStyle w:val="base-text-paragraph"/>
      <w:lvlText w:val="%1.%2"/>
      <w:lvlJc w:val="left"/>
      <w:pPr>
        <w:tabs>
          <w:tab w:val="num" w:pos="1985"/>
        </w:tabs>
        <w:ind w:left="1134" w:firstLine="0"/>
      </w:pPr>
      <w:rPr>
        <w:rFonts w:hint="default"/>
      </w:rPr>
    </w:lvl>
    <w:lvl w:ilvl="2">
      <w:start w:val="1"/>
      <w:numFmt w:val="decimal"/>
      <w:lvlRestart w:val="1"/>
      <w:pStyle w:val="Diagram"/>
      <w:suff w:val="nothing"/>
      <w:lvlText w:val="Diagram %1.%3"/>
      <w:lvlJc w:val="left"/>
      <w:pPr>
        <w:ind w:left="1134" w:firstLine="0"/>
      </w:pPr>
      <w:rPr>
        <w:rFonts w:hint="default"/>
      </w:rPr>
    </w:lvl>
    <w:lvl w:ilvl="3">
      <w:start w:val="1"/>
      <w:numFmt w:val="decimal"/>
      <w:lvlRestart w:val="1"/>
      <w:pStyle w:val="ExampleHeading"/>
      <w:suff w:val="nothing"/>
      <w:lvlText w:val="Example %1.%4"/>
      <w:lvlJc w:val="left"/>
      <w:pPr>
        <w:ind w:left="1134" w:firstLine="0"/>
      </w:pPr>
      <w:rPr>
        <w:rFonts w:hint="default"/>
      </w:rPr>
    </w:lvl>
    <w:lvl w:ilvl="4">
      <w:start w:val="1"/>
      <w:numFmt w:val="decimal"/>
      <w:lvlRestart w:val="1"/>
      <w:pStyle w:val="TableHeadingoutsidetable"/>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E19056E"/>
    <w:multiLevelType w:val="multilevel"/>
    <w:tmpl w:val="DEF60DBE"/>
    <w:lvl w:ilvl="0">
      <w:start w:val="1"/>
      <w:numFmt w:val="bullet"/>
      <w:lvlText w:val=""/>
      <w:lvlJc w:val="left"/>
      <w:pPr>
        <w:tabs>
          <w:tab w:val="num" w:pos="520"/>
        </w:tabs>
        <w:ind w:left="520" w:hanging="520"/>
      </w:pPr>
      <w:rPr>
        <w:rFonts w:ascii="Wingdings" w:hAnsi="Wingdings" w:hint="default"/>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6">
    <w:nsid w:val="3EE468C6"/>
    <w:multiLevelType w:val="hybridMultilevel"/>
    <w:tmpl w:val="60E6B77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8">
    <w:nsid w:val="4EFB3435"/>
    <w:multiLevelType w:val="multilevel"/>
    <w:tmpl w:val="0E92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C737CD"/>
    <w:multiLevelType w:val="hybridMultilevel"/>
    <w:tmpl w:val="DA2A26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101827"/>
    <w:multiLevelType w:val="multilevel"/>
    <w:tmpl w:val="624A0496"/>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nsid w:val="5E0A6F8D"/>
    <w:multiLevelType w:val="multilevel"/>
    <w:tmpl w:val="17E03816"/>
    <w:name w:val="RecommendationBulletedList_"/>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2">
    <w:nsid w:val="624C5848"/>
    <w:multiLevelType w:val="hybridMultilevel"/>
    <w:tmpl w:val="1430DF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871497"/>
    <w:multiLevelType w:val="hybridMultilevel"/>
    <w:tmpl w:val="46CED2D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B353A2"/>
    <w:multiLevelType w:val="multilevel"/>
    <w:tmpl w:val="129E9092"/>
    <w:styleLink w:val="Optionboxheading"/>
    <w:lvl w:ilvl="0">
      <w:start w:val="1"/>
      <w:numFmt w:val="decimal"/>
      <w:lvlRestart w:val="0"/>
      <w:pStyle w:val="BoxHeading"/>
      <w:suff w:val="nothing"/>
      <w:lvlText w:val="Option %1"/>
      <w:lvlJc w:val="left"/>
      <w:pPr>
        <w:ind w:left="0" w:firstLine="0"/>
      </w:pPr>
      <w:rPr>
        <w:rFonts w:ascii="Century Gothic" w:hAnsi="Century Gothic" w:hint="default"/>
        <w:b/>
        <w:i w:val="0"/>
        <w:color w:val="00008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CD41E13"/>
    <w:multiLevelType w:val="hybridMultilevel"/>
    <w:tmpl w:val="0AD01D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F30268B"/>
    <w:multiLevelType w:val="multilevel"/>
    <w:tmpl w:val="3F08634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20"/>
  </w:num>
  <w:num w:numId="3">
    <w:abstractNumId w:val="27"/>
  </w:num>
  <w:num w:numId="4">
    <w:abstractNumId w:val="30"/>
  </w:num>
  <w:num w:numId="5">
    <w:abstractNumId w:val="11"/>
  </w:num>
  <w:num w:numId="6">
    <w:abstractNumId w:val="13"/>
  </w:num>
  <w:num w:numId="7">
    <w:abstractNumId w:val="21"/>
  </w:num>
  <w:num w:numId="8">
    <w:abstractNumId w:val="34"/>
  </w:num>
  <w:num w:numId="9">
    <w:abstractNumId w:val="12"/>
  </w:num>
  <w:num w:numId="10">
    <w:abstractNumId w:val="28"/>
  </w:num>
  <w:num w:numId="11">
    <w:abstractNumId w:val="19"/>
  </w:num>
  <w:num w:numId="12">
    <w:abstractNumId w:val="36"/>
  </w:num>
  <w:num w:numId="13">
    <w:abstractNumId w:val="6"/>
  </w:num>
  <w:num w:numId="14">
    <w:abstractNumId w:val="24"/>
    <w:lvlOverride w:ilvl="0">
      <w:lvl w:ilvl="0">
        <w:start w:val="1"/>
        <w:numFmt w:val="decimal"/>
        <w:pStyle w:val="ChapterHeading"/>
        <w:lvlText w:val="Chapter %1"/>
        <w:lvlJc w:val="left"/>
        <w:pPr>
          <w:tabs>
            <w:tab w:val="num" w:pos="1134"/>
          </w:tabs>
          <w:ind w:left="0" w:firstLine="0"/>
        </w:pPr>
        <w:rPr>
          <w:rFonts w:cs="Times New Roman"/>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pStyle w:val="base-text-paragraph"/>
        <w:lvlText w:val="%1.%2"/>
        <w:lvlJc w:val="left"/>
        <w:pPr>
          <w:tabs>
            <w:tab w:val="num" w:pos="1985"/>
          </w:tabs>
          <w:ind w:left="113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5">
    <w:abstractNumId w:val="26"/>
  </w:num>
  <w:num w:numId="16">
    <w:abstractNumId w:val="22"/>
  </w:num>
  <w:num w:numId="17">
    <w:abstractNumId w:val="24"/>
  </w:num>
  <w:num w:numId="18">
    <w:abstractNumId w:val="33"/>
  </w:num>
  <w:num w:numId="19">
    <w:abstractNumId w:val="25"/>
  </w:num>
  <w:num w:numId="20">
    <w:abstractNumId w:val="16"/>
  </w:num>
  <w:num w:numId="21">
    <w:abstractNumId w:val="18"/>
  </w:num>
  <w:num w:numId="22">
    <w:abstractNumId w:val="10"/>
  </w:num>
  <w:num w:numId="23">
    <w:abstractNumId w:val="29"/>
  </w:num>
  <w:num w:numId="24">
    <w:abstractNumId w:val="14"/>
  </w:num>
  <w:num w:numId="25">
    <w:abstractNumId w:val="15"/>
  </w:num>
  <w:num w:numId="26">
    <w:abstractNumId w:val="32"/>
  </w:num>
  <w:num w:numId="27">
    <w:abstractNumId w:val="35"/>
  </w:num>
  <w:num w:numId="28">
    <w:abstractNumId w:val="9"/>
  </w:num>
  <w:num w:numId="29">
    <w:abstractNumId w:val="7"/>
  </w:num>
  <w:num w:numId="30">
    <w:abstractNumId w:val="5"/>
  </w:num>
  <w:num w:numId="31">
    <w:abstractNumId w:val="3"/>
  </w:num>
  <w:num w:numId="32">
    <w:abstractNumId w:val="2"/>
  </w:num>
  <w:num w:numId="33">
    <w:abstractNumId w:val="1"/>
  </w:num>
  <w:num w:numId="34">
    <w:abstractNumId w:val="0"/>
  </w:num>
  <w:num w:numId="3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ecurityClassificationInHeader" w:val="栜熉֩╀ЫӤင뺘牜Ɇ`Ѐ䘠˞䜀˞"/>
  </w:docVars>
  <w:rsids>
    <w:rsidRoot w:val="007479B1"/>
    <w:rsid w:val="000008A4"/>
    <w:rsid w:val="00001AAD"/>
    <w:rsid w:val="0000203C"/>
    <w:rsid w:val="0000209E"/>
    <w:rsid w:val="00002DAA"/>
    <w:rsid w:val="00003079"/>
    <w:rsid w:val="000032FF"/>
    <w:rsid w:val="0000366F"/>
    <w:rsid w:val="00003E2E"/>
    <w:rsid w:val="00003EC2"/>
    <w:rsid w:val="00004515"/>
    <w:rsid w:val="00005EA2"/>
    <w:rsid w:val="00005FA3"/>
    <w:rsid w:val="00006E73"/>
    <w:rsid w:val="00006F3C"/>
    <w:rsid w:val="00007BFC"/>
    <w:rsid w:val="000104A8"/>
    <w:rsid w:val="00010B86"/>
    <w:rsid w:val="00010DFA"/>
    <w:rsid w:val="00011015"/>
    <w:rsid w:val="000115D0"/>
    <w:rsid w:val="00011EA5"/>
    <w:rsid w:val="0001238D"/>
    <w:rsid w:val="00012424"/>
    <w:rsid w:val="000129A9"/>
    <w:rsid w:val="000129FC"/>
    <w:rsid w:val="00012AC2"/>
    <w:rsid w:val="00012CE7"/>
    <w:rsid w:val="00013E34"/>
    <w:rsid w:val="000142D5"/>
    <w:rsid w:val="00014604"/>
    <w:rsid w:val="00014870"/>
    <w:rsid w:val="0001490E"/>
    <w:rsid w:val="00014DFD"/>
    <w:rsid w:val="00014EDB"/>
    <w:rsid w:val="000158A0"/>
    <w:rsid w:val="00015F7D"/>
    <w:rsid w:val="00016177"/>
    <w:rsid w:val="00016343"/>
    <w:rsid w:val="00016663"/>
    <w:rsid w:val="00017148"/>
    <w:rsid w:val="00017607"/>
    <w:rsid w:val="00017970"/>
    <w:rsid w:val="00017B62"/>
    <w:rsid w:val="00017BAC"/>
    <w:rsid w:val="00017BE6"/>
    <w:rsid w:val="00017F3C"/>
    <w:rsid w:val="00020002"/>
    <w:rsid w:val="000205D7"/>
    <w:rsid w:val="000206BB"/>
    <w:rsid w:val="00020AF3"/>
    <w:rsid w:val="00021C23"/>
    <w:rsid w:val="0002216A"/>
    <w:rsid w:val="00022202"/>
    <w:rsid w:val="00022435"/>
    <w:rsid w:val="000227F9"/>
    <w:rsid w:val="00022C49"/>
    <w:rsid w:val="00022E56"/>
    <w:rsid w:val="00023176"/>
    <w:rsid w:val="0002326B"/>
    <w:rsid w:val="0002336E"/>
    <w:rsid w:val="000235B7"/>
    <w:rsid w:val="000236AC"/>
    <w:rsid w:val="00023720"/>
    <w:rsid w:val="000240DB"/>
    <w:rsid w:val="000241F8"/>
    <w:rsid w:val="00024BF5"/>
    <w:rsid w:val="00024C92"/>
    <w:rsid w:val="00024F09"/>
    <w:rsid w:val="00024FA8"/>
    <w:rsid w:val="00025072"/>
    <w:rsid w:val="000252AD"/>
    <w:rsid w:val="000253CA"/>
    <w:rsid w:val="00026C82"/>
    <w:rsid w:val="00026DF6"/>
    <w:rsid w:val="000272E8"/>
    <w:rsid w:val="0002743A"/>
    <w:rsid w:val="000277B1"/>
    <w:rsid w:val="00027AC8"/>
    <w:rsid w:val="00027C9E"/>
    <w:rsid w:val="00031C45"/>
    <w:rsid w:val="00032D59"/>
    <w:rsid w:val="00032F7C"/>
    <w:rsid w:val="00032FE5"/>
    <w:rsid w:val="0003311B"/>
    <w:rsid w:val="0003349C"/>
    <w:rsid w:val="00033C59"/>
    <w:rsid w:val="00034214"/>
    <w:rsid w:val="0003493A"/>
    <w:rsid w:val="00035348"/>
    <w:rsid w:val="00035ABE"/>
    <w:rsid w:val="00037021"/>
    <w:rsid w:val="000405FB"/>
    <w:rsid w:val="000409BA"/>
    <w:rsid w:val="00041AC2"/>
    <w:rsid w:val="00041F03"/>
    <w:rsid w:val="000433C2"/>
    <w:rsid w:val="000439C3"/>
    <w:rsid w:val="00044565"/>
    <w:rsid w:val="00045057"/>
    <w:rsid w:val="000451AF"/>
    <w:rsid w:val="00045316"/>
    <w:rsid w:val="00045325"/>
    <w:rsid w:val="000453C1"/>
    <w:rsid w:val="0004544C"/>
    <w:rsid w:val="00045C84"/>
    <w:rsid w:val="0004643C"/>
    <w:rsid w:val="0004669D"/>
    <w:rsid w:val="00046B3B"/>
    <w:rsid w:val="00050354"/>
    <w:rsid w:val="000503D3"/>
    <w:rsid w:val="00050DB7"/>
    <w:rsid w:val="00050DD7"/>
    <w:rsid w:val="00052C5E"/>
    <w:rsid w:val="00052D63"/>
    <w:rsid w:val="000539CE"/>
    <w:rsid w:val="00053C48"/>
    <w:rsid w:val="000541C8"/>
    <w:rsid w:val="00054432"/>
    <w:rsid w:val="0005456A"/>
    <w:rsid w:val="000545D6"/>
    <w:rsid w:val="00054898"/>
    <w:rsid w:val="00054CFE"/>
    <w:rsid w:val="000555AD"/>
    <w:rsid w:val="00056196"/>
    <w:rsid w:val="000564D6"/>
    <w:rsid w:val="000564E4"/>
    <w:rsid w:val="000566DC"/>
    <w:rsid w:val="0005691C"/>
    <w:rsid w:val="00056DD1"/>
    <w:rsid w:val="00057469"/>
    <w:rsid w:val="00057920"/>
    <w:rsid w:val="00057CD8"/>
    <w:rsid w:val="00057CDE"/>
    <w:rsid w:val="000602D0"/>
    <w:rsid w:val="00060662"/>
    <w:rsid w:val="00060907"/>
    <w:rsid w:val="00060F13"/>
    <w:rsid w:val="00061AF2"/>
    <w:rsid w:val="00061E5C"/>
    <w:rsid w:val="00062170"/>
    <w:rsid w:val="00062326"/>
    <w:rsid w:val="000625F6"/>
    <w:rsid w:val="00062764"/>
    <w:rsid w:val="0006351F"/>
    <w:rsid w:val="00064307"/>
    <w:rsid w:val="0006458A"/>
    <w:rsid w:val="00064EC1"/>
    <w:rsid w:val="00064F35"/>
    <w:rsid w:val="0006552A"/>
    <w:rsid w:val="00065610"/>
    <w:rsid w:val="00065642"/>
    <w:rsid w:val="00065660"/>
    <w:rsid w:val="0006598B"/>
    <w:rsid w:val="00065A14"/>
    <w:rsid w:val="00066B7B"/>
    <w:rsid w:val="00066F2D"/>
    <w:rsid w:val="000676A6"/>
    <w:rsid w:val="00067742"/>
    <w:rsid w:val="000677E6"/>
    <w:rsid w:val="000700A7"/>
    <w:rsid w:val="00070503"/>
    <w:rsid w:val="000709D1"/>
    <w:rsid w:val="00070AD7"/>
    <w:rsid w:val="00071619"/>
    <w:rsid w:val="00071A64"/>
    <w:rsid w:val="00071EF0"/>
    <w:rsid w:val="0007256A"/>
    <w:rsid w:val="000725F8"/>
    <w:rsid w:val="000727DC"/>
    <w:rsid w:val="00072BD1"/>
    <w:rsid w:val="0007317A"/>
    <w:rsid w:val="000733A6"/>
    <w:rsid w:val="00073624"/>
    <w:rsid w:val="0007382E"/>
    <w:rsid w:val="00073D36"/>
    <w:rsid w:val="000745B2"/>
    <w:rsid w:val="00074A64"/>
    <w:rsid w:val="00074B09"/>
    <w:rsid w:val="00074D4D"/>
    <w:rsid w:val="00075154"/>
    <w:rsid w:val="000754C1"/>
    <w:rsid w:val="000758F9"/>
    <w:rsid w:val="00075BE8"/>
    <w:rsid w:val="0007622C"/>
    <w:rsid w:val="0007633D"/>
    <w:rsid w:val="000767F6"/>
    <w:rsid w:val="0007769B"/>
    <w:rsid w:val="000776EA"/>
    <w:rsid w:val="00077B74"/>
    <w:rsid w:val="00080696"/>
    <w:rsid w:val="00080EC6"/>
    <w:rsid w:val="00080F9E"/>
    <w:rsid w:val="00081903"/>
    <w:rsid w:val="00081B77"/>
    <w:rsid w:val="00081BC1"/>
    <w:rsid w:val="00081E90"/>
    <w:rsid w:val="00082AFA"/>
    <w:rsid w:val="00083AD0"/>
    <w:rsid w:val="00084096"/>
    <w:rsid w:val="00084169"/>
    <w:rsid w:val="00084D0C"/>
    <w:rsid w:val="00085279"/>
    <w:rsid w:val="000857CC"/>
    <w:rsid w:val="0008580E"/>
    <w:rsid w:val="00087C29"/>
    <w:rsid w:val="00087E21"/>
    <w:rsid w:val="00090093"/>
    <w:rsid w:val="00090156"/>
    <w:rsid w:val="0009026C"/>
    <w:rsid w:val="000903B2"/>
    <w:rsid w:val="00091BFF"/>
    <w:rsid w:val="000923D1"/>
    <w:rsid w:val="00092BB0"/>
    <w:rsid w:val="00092DA3"/>
    <w:rsid w:val="00092E9F"/>
    <w:rsid w:val="000932A1"/>
    <w:rsid w:val="00093497"/>
    <w:rsid w:val="0009385D"/>
    <w:rsid w:val="00093863"/>
    <w:rsid w:val="000940A7"/>
    <w:rsid w:val="000945BC"/>
    <w:rsid w:val="00094681"/>
    <w:rsid w:val="0009479D"/>
    <w:rsid w:val="00094BDD"/>
    <w:rsid w:val="00094EC9"/>
    <w:rsid w:val="00095726"/>
    <w:rsid w:val="00095A3F"/>
    <w:rsid w:val="00095D69"/>
    <w:rsid w:val="00095E99"/>
    <w:rsid w:val="000960C7"/>
    <w:rsid w:val="0009629E"/>
    <w:rsid w:val="000966F7"/>
    <w:rsid w:val="00096A56"/>
    <w:rsid w:val="000976F8"/>
    <w:rsid w:val="000A0142"/>
    <w:rsid w:val="000A04C6"/>
    <w:rsid w:val="000A09AD"/>
    <w:rsid w:val="000A0AB5"/>
    <w:rsid w:val="000A1CA7"/>
    <w:rsid w:val="000A2840"/>
    <w:rsid w:val="000A2988"/>
    <w:rsid w:val="000A29FB"/>
    <w:rsid w:val="000A2DD4"/>
    <w:rsid w:val="000A33FC"/>
    <w:rsid w:val="000A3799"/>
    <w:rsid w:val="000A3DFB"/>
    <w:rsid w:val="000A4131"/>
    <w:rsid w:val="000A414B"/>
    <w:rsid w:val="000A46F3"/>
    <w:rsid w:val="000A5814"/>
    <w:rsid w:val="000A599E"/>
    <w:rsid w:val="000A5B1D"/>
    <w:rsid w:val="000A5B94"/>
    <w:rsid w:val="000A5E76"/>
    <w:rsid w:val="000A5F33"/>
    <w:rsid w:val="000A6037"/>
    <w:rsid w:val="000A6931"/>
    <w:rsid w:val="000A6E5D"/>
    <w:rsid w:val="000A7141"/>
    <w:rsid w:val="000A7607"/>
    <w:rsid w:val="000A78E0"/>
    <w:rsid w:val="000A7BB3"/>
    <w:rsid w:val="000A7BCF"/>
    <w:rsid w:val="000A7C32"/>
    <w:rsid w:val="000B00FF"/>
    <w:rsid w:val="000B0242"/>
    <w:rsid w:val="000B0A15"/>
    <w:rsid w:val="000B142F"/>
    <w:rsid w:val="000B1CE6"/>
    <w:rsid w:val="000B1DB1"/>
    <w:rsid w:val="000B2177"/>
    <w:rsid w:val="000B320D"/>
    <w:rsid w:val="000B3504"/>
    <w:rsid w:val="000B36CE"/>
    <w:rsid w:val="000B3A1B"/>
    <w:rsid w:val="000B3AC5"/>
    <w:rsid w:val="000B3C65"/>
    <w:rsid w:val="000B3C97"/>
    <w:rsid w:val="000B3F3B"/>
    <w:rsid w:val="000B4A04"/>
    <w:rsid w:val="000B58E8"/>
    <w:rsid w:val="000B6784"/>
    <w:rsid w:val="000B687F"/>
    <w:rsid w:val="000B69FE"/>
    <w:rsid w:val="000B7A2B"/>
    <w:rsid w:val="000B7E81"/>
    <w:rsid w:val="000C0A6E"/>
    <w:rsid w:val="000C0D50"/>
    <w:rsid w:val="000C178D"/>
    <w:rsid w:val="000C1BC7"/>
    <w:rsid w:val="000C1D3D"/>
    <w:rsid w:val="000C1F45"/>
    <w:rsid w:val="000C25EE"/>
    <w:rsid w:val="000C2E62"/>
    <w:rsid w:val="000C3414"/>
    <w:rsid w:val="000C36AF"/>
    <w:rsid w:val="000C3DD4"/>
    <w:rsid w:val="000C4522"/>
    <w:rsid w:val="000C46F0"/>
    <w:rsid w:val="000C49B3"/>
    <w:rsid w:val="000C4DDF"/>
    <w:rsid w:val="000C5620"/>
    <w:rsid w:val="000C5ACE"/>
    <w:rsid w:val="000C5C5D"/>
    <w:rsid w:val="000C6027"/>
    <w:rsid w:val="000C62EC"/>
    <w:rsid w:val="000C645B"/>
    <w:rsid w:val="000C6610"/>
    <w:rsid w:val="000C6BD6"/>
    <w:rsid w:val="000C6EDD"/>
    <w:rsid w:val="000C73A6"/>
    <w:rsid w:val="000C770F"/>
    <w:rsid w:val="000D0296"/>
    <w:rsid w:val="000D06B5"/>
    <w:rsid w:val="000D0751"/>
    <w:rsid w:val="000D07B1"/>
    <w:rsid w:val="000D091C"/>
    <w:rsid w:val="000D0C8B"/>
    <w:rsid w:val="000D132B"/>
    <w:rsid w:val="000D13D9"/>
    <w:rsid w:val="000D13E6"/>
    <w:rsid w:val="000D184E"/>
    <w:rsid w:val="000D1AA9"/>
    <w:rsid w:val="000D2720"/>
    <w:rsid w:val="000D296C"/>
    <w:rsid w:val="000D29CE"/>
    <w:rsid w:val="000D2D73"/>
    <w:rsid w:val="000D32E7"/>
    <w:rsid w:val="000D36B2"/>
    <w:rsid w:val="000D3D3A"/>
    <w:rsid w:val="000D4990"/>
    <w:rsid w:val="000D4CD5"/>
    <w:rsid w:val="000D526F"/>
    <w:rsid w:val="000D53EF"/>
    <w:rsid w:val="000D663E"/>
    <w:rsid w:val="000D6B1F"/>
    <w:rsid w:val="000D7142"/>
    <w:rsid w:val="000D740B"/>
    <w:rsid w:val="000D785F"/>
    <w:rsid w:val="000D7A49"/>
    <w:rsid w:val="000D7CAA"/>
    <w:rsid w:val="000E003E"/>
    <w:rsid w:val="000E02ED"/>
    <w:rsid w:val="000E0A43"/>
    <w:rsid w:val="000E0C06"/>
    <w:rsid w:val="000E0EF7"/>
    <w:rsid w:val="000E10D4"/>
    <w:rsid w:val="000E12A1"/>
    <w:rsid w:val="000E13B2"/>
    <w:rsid w:val="000E1766"/>
    <w:rsid w:val="000E1ABF"/>
    <w:rsid w:val="000E21CA"/>
    <w:rsid w:val="000E21F8"/>
    <w:rsid w:val="000E232F"/>
    <w:rsid w:val="000E23F4"/>
    <w:rsid w:val="000E2BAD"/>
    <w:rsid w:val="000E2D86"/>
    <w:rsid w:val="000E3BF9"/>
    <w:rsid w:val="000E3C6D"/>
    <w:rsid w:val="000E3C93"/>
    <w:rsid w:val="000E4058"/>
    <w:rsid w:val="000E4CA4"/>
    <w:rsid w:val="000E50A8"/>
    <w:rsid w:val="000E58B6"/>
    <w:rsid w:val="000E5DBF"/>
    <w:rsid w:val="000E625A"/>
    <w:rsid w:val="000E6315"/>
    <w:rsid w:val="000E705C"/>
    <w:rsid w:val="000E73D8"/>
    <w:rsid w:val="000E7493"/>
    <w:rsid w:val="000E7639"/>
    <w:rsid w:val="000E7A44"/>
    <w:rsid w:val="000E7D17"/>
    <w:rsid w:val="000F08B5"/>
    <w:rsid w:val="000F0B2F"/>
    <w:rsid w:val="000F13D8"/>
    <w:rsid w:val="000F18FF"/>
    <w:rsid w:val="000F1913"/>
    <w:rsid w:val="000F25C2"/>
    <w:rsid w:val="000F2F13"/>
    <w:rsid w:val="000F33E2"/>
    <w:rsid w:val="000F3500"/>
    <w:rsid w:val="000F3732"/>
    <w:rsid w:val="000F477D"/>
    <w:rsid w:val="000F49BD"/>
    <w:rsid w:val="000F53C2"/>
    <w:rsid w:val="000F5CF4"/>
    <w:rsid w:val="000F600D"/>
    <w:rsid w:val="000F616F"/>
    <w:rsid w:val="000F7371"/>
    <w:rsid w:val="000F7D85"/>
    <w:rsid w:val="000F7EBD"/>
    <w:rsid w:val="00100613"/>
    <w:rsid w:val="00100768"/>
    <w:rsid w:val="001009AB"/>
    <w:rsid w:val="00101EF2"/>
    <w:rsid w:val="0010204E"/>
    <w:rsid w:val="00102235"/>
    <w:rsid w:val="001022FF"/>
    <w:rsid w:val="0010315C"/>
    <w:rsid w:val="00103712"/>
    <w:rsid w:val="00103B5F"/>
    <w:rsid w:val="00103D33"/>
    <w:rsid w:val="00104079"/>
    <w:rsid w:val="0010426C"/>
    <w:rsid w:val="00104363"/>
    <w:rsid w:val="00104706"/>
    <w:rsid w:val="00104B1E"/>
    <w:rsid w:val="00105048"/>
    <w:rsid w:val="0010677B"/>
    <w:rsid w:val="00106E3F"/>
    <w:rsid w:val="001079E0"/>
    <w:rsid w:val="00107B33"/>
    <w:rsid w:val="00107B79"/>
    <w:rsid w:val="001107E2"/>
    <w:rsid w:val="00110ACC"/>
    <w:rsid w:val="00111396"/>
    <w:rsid w:val="00111A02"/>
    <w:rsid w:val="00112013"/>
    <w:rsid w:val="00112041"/>
    <w:rsid w:val="00112161"/>
    <w:rsid w:val="0011383A"/>
    <w:rsid w:val="0011462E"/>
    <w:rsid w:val="001149B0"/>
    <w:rsid w:val="00114BAD"/>
    <w:rsid w:val="001152C8"/>
    <w:rsid w:val="00115B3D"/>
    <w:rsid w:val="00116CEF"/>
    <w:rsid w:val="00116FD9"/>
    <w:rsid w:val="0011728D"/>
    <w:rsid w:val="00117474"/>
    <w:rsid w:val="00117919"/>
    <w:rsid w:val="00117DB3"/>
    <w:rsid w:val="00120384"/>
    <w:rsid w:val="00120DC1"/>
    <w:rsid w:val="0012157D"/>
    <w:rsid w:val="00122019"/>
    <w:rsid w:val="00122473"/>
    <w:rsid w:val="00123CBD"/>
    <w:rsid w:val="0012446C"/>
    <w:rsid w:val="001245BF"/>
    <w:rsid w:val="001246C0"/>
    <w:rsid w:val="00125031"/>
    <w:rsid w:val="001255C7"/>
    <w:rsid w:val="0012564F"/>
    <w:rsid w:val="00125AEC"/>
    <w:rsid w:val="00125B33"/>
    <w:rsid w:val="00125C01"/>
    <w:rsid w:val="00125DA6"/>
    <w:rsid w:val="00126824"/>
    <w:rsid w:val="001270B8"/>
    <w:rsid w:val="001272CC"/>
    <w:rsid w:val="001277C9"/>
    <w:rsid w:val="00130535"/>
    <w:rsid w:val="00130862"/>
    <w:rsid w:val="00130BA1"/>
    <w:rsid w:val="00132D38"/>
    <w:rsid w:val="00132D8B"/>
    <w:rsid w:val="00132E3E"/>
    <w:rsid w:val="0013366D"/>
    <w:rsid w:val="00133ACD"/>
    <w:rsid w:val="00133CE1"/>
    <w:rsid w:val="00134E76"/>
    <w:rsid w:val="00134F90"/>
    <w:rsid w:val="00135368"/>
    <w:rsid w:val="00135400"/>
    <w:rsid w:val="0013545A"/>
    <w:rsid w:val="0013548F"/>
    <w:rsid w:val="00135F3C"/>
    <w:rsid w:val="00136861"/>
    <w:rsid w:val="001369B5"/>
    <w:rsid w:val="00136C18"/>
    <w:rsid w:val="00136C88"/>
    <w:rsid w:val="00137155"/>
    <w:rsid w:val="001371AB"/>
    <w:rsid w:val="00137D0B"/>
    <w:rsid w:val="00137ED8"/>
    <w:rsid w:val="0014064E"/>
    <w:rsid w:val="00140659"/>
    <w:rsid w:val="00140B1A"/>
    <w:rsid w:val="00140DB7"/>
    <w:rsid w:val="001411C6"/>
    <w:rsid w:val="00141455"/>
    <w:rsid w:val="001417CD"/>
    <w:rsid w:val="001418C7"/>
    <w:rsid w:val="00141AE0"/>
    <w:rsid w:val="00141DE8"/>
    <w:rsid w:val="001422A4"/>
    <w:rsid w:val="00142680"/>
    <w:rsid w:val="00142EA6"/>
    <w:rsid w:val="00143DE4"/>
    <w:rsid w:val="00143E23"/>
    <w:rsid w:val="001444BE"/>
    <w:rsid w:val="0014465F"/>
    <w:rsid w:val="001448AE"/>
    <w:rsid w:val="00144E76"/>
    <w:rsid w:val="00144F32"/>
    <w:rsid w:val="00145042"/>
    <w:rsid w:val="00145043"/>
    <w:rsid w:val="00145B92"/>
    <w:rsid w:val="001461D0"/>
    <w:rsid w:val="00146AC7"/>
    <w:rsid w:val="00146DB8"/>
    <w:rsid w:val="00147136"/>
    <w:rsid w:val="00147742"/>
    <w:rsid w:val="00147DEF"/>
    <w:rsid w:val="0015025D"/>
    <w:rsid w:val="00150295"/>
    <w:rsid w:val="001502BD"/>
    <w:rsid w:val="00150373"/>
    <w:rsid w:val="001509D1"/>
    <w:rsid w:val="001514C3"/>
    <w:rsid w:val="0015357B"/>
    <w:rsid w:val="00153621"/>
    <w:rsid w:val="001536C1"/>
    <w:rsid w:val="0015397E"/>
    <w:rsid w:val="00153A54"/>
    <w:rsid w:val="00153AC1"/>
    <w:rsid w:val="00153E84"/>
    <w:rsid w:val="00153F6A"/>
    <w:rsid w:val="0015469B"/>
    <w:rsid w:val="0015541C"/>
    <w:rsid w:val="00155620"/>
    <w:rsid w:val="0015589E"/>
    <w:rsid w:val="0015595D"/>
    <w:rsid w:val="0015614C"/>
    <w:rsid w:val="001561CE"/>
    <w:rsid w:val="001562DA"/>
    <w:rsid w:val="00156398"/>
    <w:rsid w:val="0015696C"/>
    <w:rsid w:val="00156BF7"/>
    <w:rsid w:val="00156E1D"/>
    <w:rsid w:val="0015755B"/>
    <w:rsid w:val="00157D74"/>
    <w:rsid w:val="00157F1A"/>
    <w:rsid w:val="00160C3B"/>
    <w:rsid w:val="00160CA2"/>
    <w:rsid w:val="00160DCD"/>
    <w:rsid w:val="00161002"/>
    <w:rsid w:val="00162DAB"/>
    <w:rsid w:val="0016314F"/>
    <w:rsid w:val="00163CBF"/>
    <w:rsid w:val="00164136"/>
    <w:rsid w:val="00164C49"/>
    <w:rsid w:val="0016528A"/>
    <w:rsid w:val="0016536D"/>
    <w:rsid w:val="00165506"/>
    <w:rsid w:val="00165F42"/>
    <w:rsid w:val="001668BA"/>
    <w:rsid w:val="00166D52"/>
    <w:rsid w:val="00166DE9"/>
    <w:rsid w:val="0016728B"/>
    <w:rsid w:val="001675AD"/>
    <w:rsid w:val="00167844"/>
    <w:rsid w:val="00167A50"/>
    <w:rsid w:val="00171889"/>
    <w:rsid w:val="00171BE4"/>
    <w:rsid w:val="00171D10"/>
    <w:rsid w:val="00171D8D"/>
    <w:rsid w:val="00172371"/>
    <w:rsid w:val="0017295C"/>
    <w:rsid w:val="00172991"/>
    <w:rsid w:val="00172B8A"/>
    <w:rsid w:val="00173027"/>
    <w:rsid w:val="0017306A"/>
    <w:rsid w:val="00173340"/>
    <w:rsid w:val="001735F8"/>
    <w:rsid w:val="001737AF"/>
    <w:rsid w:val="00173AAD"/>
    <w:rsid w:val="00173BC9"/>
    <w:rsid w:val="00173E32"/>
    <w:rsid w:val="00174023"/>
    <w:rsid w:val="0017447E"/>
    <w:rsid w:val="001745B6"/>
    <w:rsid w:val="00174927"/>
    <w:rsid w:val="00174AE6"/>
    <w:rsid w:val="00174D85"/>
    <w:rsid w:val="00175163"/>
    <w:rsid w:val="001752B4"/>
    <w:rsid w:val="00175B49"/>
    <w:rsid w:val="00175D0C"/>
    <w:rsid w:val="00176282"/>
    <w:rsid w:val="001764EE"/>
    <w:rsid w:val="00176F46"/>
    <w:rsid w:val="0017750D"/>
    <w:rsid w:val="0017773F"/>
    <w:rsid w:val="00177900"/>
    <w:rsid w:val="00177E21"/>
    <w:rsid w:val="001802A1"/>
    <w:rsid w:val="00180C8A"/>
    <w:rsid w:val="001810D3"/>
    <w:rsid w:val="00181657"/>
    <w:rsid w:val="0018183D"/>
    <w:rsid w:val="00181A8E"/>
    <w:rsid w:val="00181AE3"/>
    <w:rsid w:val="001821B7"/>
    <w:rsid w:val="0018241E"/>
    <w:rsid w:val="00182523"/>
    <w:rsid w:val="001831B6"/>
    <w:rsid w:val="00183387"/>
    <w:rsid w:val="0018341C"/>
    <w:rsid w:val="001834EB"/>
    <w:rsid w:val="00183534"/>
    <w:rsid w:val="001835C1"/>
    <w:rsid w:val="00183CDD"/>
    <w:rsid w:val="00183DD3"/>
    <w:rsid w:val="0018442D"/>
    <w:rsid w:val="00184C13"/>
    <w:rsid w:val="00184E63"/>
    <w:rsid w:val="00185455"/>
    <w:rsid w:val="00185568"/>
    <w:rsid w:val="00185768"/>
    <w:rsid w:val="00185772"/>
    <w:rsid w:val="00185DBB"/>
    <w:rsid w:val="00185FD7"/>
    <w:rsid w:val="001872FB"/>
    <w:rsid w:val="00187376"/>
    <w:rsid w:val="00187623"/>
    <w:rsid w:val="0018793E"/>
    <w:rsid w:val="00187A95"/>
    <w:rsid w:val="00187E5C"/>
    <w:rsid w:val="0019045A"/>
    <w:rsid w:val="001904E9"/>
    <w:rsid w:val="0019089C"/>
    <w:rsid w:val="001908BD"/>
    <w:rsid w:val="00191054"/>
    <w:rsid w:val="001910BA"/>
    <w:rsid w:val="00191339"/>
    <w:rsid w:val="001913FB"/>
    <w:rsid w:val="00191B10"/>
    <w:rsid w:val="001921ED"/>
    <w:rsid w:val="001923D2"/>
    <w:rsid w:val="001938BD"/>
    <w:rsid w:val="0019392A"/>
    <w:rsid w:val="00193A37"/>
    <w:rsid w:val="001942E3"/>
    <w:rsid w:val="00194934"/>
    <w:rsid w:val="00194EFE"/>
    <w:rsid w:val="001950BE"/>
    <w:rsid w:val="0019517D"/>
    <w:rsid w:val="001952E9"/>
    <w:rsid w:val="00195E15"/>
    <w:rsid w:val="001961C0"/>
    <w:rsid w:val="001963DE"/>
    <w:rsid w:val="001965AE"/>
    <w:rsid w:val="00196E9A"/>
    <w:rsid w:val="001970B4"/>
    <w:rsid w:val="00197215"/>
    <w:rsid w:val="00197713"/>
    <w:rsid w:val="00197C1D"/>
    <w:rsid w:val="001A0572"/>
    <w:rsid w:val="001A07A0"/>
    <w:rsid w:val="001A0D75"/>
    <w:rsid w:val="001A103E"/>
    <w:rsid w:val="001A18D7"/>
    <w:rsid w:val="001A1BCF"/>
    <w:rsid w:val="001A1F30"/>
    <w:rsid w:val="001A245A"/>
    <w:rsid w:val="001A2CC7"/>
    <w:rsid w:val="001A3236"/>
    <w:rsid w:val="001A3BAB"/>
    <w:rsid w:val="001A4287"/>
    <w:rsid w:val="001A46DF"/>
    <w:rsid w:val="001A4B07"/>
    <w:rsid w:val="001A4BC3"/>
    <w:rsid w:val="001A4D97"/>
    <w:rsid w:val="001A51AC"/>
    <w:rsid w:val="001A5A2C"/>
    <w:rsid w:val="001A5A45"/>
    <w:rsid w:val="001A6181"/>
    <w:rsid w:val="001A74AE"/>
    <w:rsid w:val="001A77BD"/>
    <w:rsid w:val="001A77DA"/>
    <w:rsid w:val="001B00BC"/>
    <w:rsid w:val="001B068D"/>
    <w:rsid w:val="001B08B1"/>
    <w:rsid w:val="001B1823"/>
    <w:rsid w:val="001B1FBD"/>
    <w:rsid w:val="001B2769"/>
    <w:rsid w:val="001B286D"/>
    <w:rsid w:val="001B2A16"/>
    <w:rsid w:val="001B2CD9"/>
    <w:rsid w:val="001B2F7C"/>
    <w:rsid w:val="001B38FF"/>
    <w:rsid w:val="001B3A19"/>
    <w:rsid w:val="001B3B19"/>
    <w:rsid w:val="001B3C2E"/>
    <w:rsid w:val="001B42DB"/>
    <w:rsid w:val="001B467F"/>
    <w:rsid w:val="001B4C86"/>
    <w:rsid w:val="001B4D3C"/>
    <w:rsid w:val="001B501F"/>
    <w:rsid w:val="001B5055"/>
    <w:rsid w:val="001B5281"/>
    <w:rsid w:val="001B599D"/>
    <w:rsid w:val="001B5F3E"/>
    <w:rsid w:val="001B61CF"/>
    <w:rsid w:val="001B6F74"/>
    <w:rsid w:val="001B75B9"/>
    <w:rsid w:val="001B7704"/>
    <w:rsid w:val="001B7A58"/>
    <w:rsid w:val="001B7BBE"/>
    <w:rsid w:val="001C0419"/>
    <w:rsid w:val="001C04D5"/>
    <w:rsid w:val="001C0701"/>
    <w:rsid w:val="001C0BBE"/>
    <w:rsid w:val="001C0C13"/>
    <w:rsid w:val="001C0E2F"/>
    <w:rsid w:val="001C0E9D"/>
    <w:rsid w:val="001C1030"/>
    <w:rsid w:val="001C106A"/>
    <w:rsid w:val="001C1494"/>
    <w:rsid w:val="001C1B86"/>
    <w:rsid w:val="001C1C50"/>
    <w:rsid w:val="001C1EDD"/>
    <w:rsid w:val="001C2D1D"/>
    <w:rsid w:val="001C348C"/>
    <w:rsid w:val="001C37DE"/>
    <w:rsid w:val="001C4FB2"/>
    <w:rsid w:val="001C5A01"/>
    <w:rsid w:val="001C5DEE"/>
    <w:rsid w:val="001C5ED5"/>
    <w:rsid w:val="001C5ED8"/>
    <w:rsid w:val="001C5F4D"/>
    <w:rsid w:val="001C603C"/>
    <w:rsid w:val="001C615A"/>
    <w:rsid w:val="001C6ACC"/>
    <w:rsid w:val="001C6B74"/>
    <w:rsid w:val="001C6BB5"/>
    <w:rsid w:val="001C7D3C"/>
    <w:rsid w:val="001D0355"/>
    <w:rsid w:val="001D0A5B"/>
    <w:rsid w:val="001D0D6E"/>
    <w:rsid w:val="001D0F31"/>
    <w:rsid w:val="001D191F"/>
    <w:rsid w:val="001D1B16"/>
    <w:rsid w:val="001D1BA1"/>
    <w:rsid w:val="001D20C0"/>
    <w:rsid w:val="001D273C"/>
    <w:rsid w:val="001D2AB4"/>
    <w:rsid w:val="001D2ACE"/>
    <w:rsid w:val="001D2C10"/>
    <w:rsid w:val="001D2C2E"/>
    <w:rsid w:val="001D2CA9"/>
    <w:rsid w:val="001D3363"/>
    <w:rsid w:val="001D3924"/>
    <w:rsid w:val="001D3F94"/>
    <w:rsid w:val="001D43CA"/>
    <w:rsid w:val="001D4B5B"/>
    <w:rsid w:val="001D5251"/>
    <w:rsid w:val="001D573C"/>
    <w:rsid w:val="001D5F7E"/>
    <w:rsid w:val="001D5FB5"/>
    <w:rsid w:val="001D629B"/>
    <w:rsid w:val="001D6A1D"/>
    <w:rsid w:val="001D6ACD"/>
    <w:rsid w:val="001D6E20"/>
    <w:rsid w:val="001D6F2B"/>
    <w:rsid w:val="001D74F6"/>
    <w:rsid w:val="001D7720"/>
    <w:rsid w:val="001D7725"/>
    <w:rsid w:val="001D77DB"/>
    <w:rsid w:val="001D7B0C"/>
    <w:rsid w:val="001D7CF1"/>
    <w:rsid w:val="001D7D32"/>
    <w:rsid w:val="001E0621"/>
    <w:rsid w:val="001E1096"/>
    <w:rsid w:val="001E1EE3"/>
    <w:rsid w:val="001E2163"/>
    <w:rsid w:val="001E2291"/>
    <w:rsid w:val="001E2417"/>
    <w:rsid w:val="001E2CBF"/>
    <w:rsid w:val="001E2E9A"/>
    <w:rsid w:val="001E3296"/>
    <w:rsid w:val="001E36C4"/>
    <w:rsid w:val="001E3C5E"/>
    <w:rsid w:val="001E3D85"/>
    <w:rsid w:val="001E411E"/>
    <w:rsid w:val="001E42BB"/>
    <w:rsid w:val="001E43D3"/>
    <w:rsid w:val="001E43DD"/>
    <w:rsid w:val="001E454B"/>
    <w:rsid w:val="001E4C68"/>
    <w:rsid w:val="001E4F5B"/>
    <w:rsid w:val="001E6124"/>
    <w:rsid w:val="001E6522"/>
    <w:rsid w:val="001E67DF"/>
    <w:rsid w:val="001E6978"/>
    <w:rsid w:val="001E6B45"/>
    <w:rsid w:val="001E6BA5"/>
    <w:rsid w:val="001E7474"/>
    <w:rsid w:val="001E76A3"/>
    <w:rsid w:val="001E7B81"/>
    <w:rsid w:val="001E7E48"/>
    <w:rsid w:val="001F023B"/>
    <w:rsid w:val="001F02A6"/>
    <w:rsid w:val="001F0918"/>
    <w:rsid w:val="001F0A0E"/>
    <w:rsid w:val="001F0ADB"/>
    <w:rsid w:val="001F120B"/>
    <w:rsid w:val="001F139A"/>
    <w:rsid w:val="001F17F3"/>
    <w:rsid w:val="001F1AFE"/>
    <w:rsid w:val="001F2366"/>
    <w:rsid w:val="001F3464"/>
    <w:rsid w:val="001F354B"/>
    <w:rsid w:val="001F42EF"/>
    <w:rsid w:val="001F4C99"/>
    <w:rsid w:val="001F5A83"/>
    <w:rsid w:val="001F5C14"/>
    <w:rsid w:val="001F66E3"/>
    <w:rsid w:val="001F7287"/>
    <w:rsid w:val="001F7304"/>
    <w:rsid w:val="001F7519"/>
    <w:rsid w:val="001F78AC"/>
    <w:rsid w:val="001F7B57"/>
    <w:rsid w:val="001F7F48"/>
    <w:rsid w:val="00201327"/>
    <w:rsid w:val="00201A78"/>
    <w:rsid w:val="00202301"/>
    <w:rsid w:val="0020280C"/>
    <w:rsid w:val="00202936"/>
    <w:rsid w:val="002029A6"/>
    <w:rsid w:val="00202AF5"/>
    <w:rsid w:val="00202F35"/>
    <w:rsid w:val="0020313B"/>
    <w:rsid w:val="00203229"/>
    <w:rsid w:val="00203278"/>
    <w:rsid w:val="002032C1"/>
    <w:rsid w:val="002033E2"/>
    <w:rsid w:val="002034CE"/>
    <w:rsid w:val="0020363F"/>
    <w:rsid w:val="002036BC"/>
    <w:rsid w:val="00203777"/>
    <w:rsid w:val="002037AA"/>
    <w:rsid w:val="00203A6F"/>
    <w:rsid w:val="00203B35"/>
    <w:rsid w:val="00203DF6"/>
    <w:rsid w:val="002048FE"/>
    <w:rsid w:val="002053A6"/>
    <w:rsid w:val="002054E8"/>
    <w:rsid w:val="0020647B"/>
    <w:rsid w:val="002067E3"/>
    <w:rsid w:val="00206BD3"/>
    <w:rsid w:val="0020751C"/>
    <w:rsid w:val="00207D26"/>
    <w:rsid w:val="00207D28"/>
    <w:rsid w:val="0021079F"/>
    <w:rsid w:val="0021085A"/>
    <w:rsid w:val="00210AA4"/>
    <w:rsid w:val="002113A2"/>
    <w:rsid w:val="00211658"/>
    <w:rsid w:val="002119F3"/>
    <w:rsid w:val="00211A16"/>
    <w:rsid w:val="00211DB4"/>
    <w:rsid w:val="00212524"/>
    <w:rsid w:val="00212F3B"/>
    <w:rsid w:val="002132A8"/>
    <w:rsid w:val="0021351B"/>
    <w:rsid w:val="0021369F"/>
    <w:rsid w:val="002136C6"/>
    <w:rsid w:val="00214109"/>
    <w:rsid w:val="002141D8"/>
    <w:rsid w:val="0021594F"/>
    <w:rsid w:val="00215F51"/>
    <w:rsid w:val="00216111"/>
    <w:rsid w:val="002161F2"/>
    <w:rsid w:val="002164E6"/>
    <w:rsid w:val="00216573"/>
    <w:rsid w:val="002167FB"/>
    <w:rsid w:val="002179D9"/>
    <w:rsid w:val="00217A9C"/>
    <w:rsid w:val="00217AB2"/>
    <w:rsid w:val="00217B3A"/>
    <w:rsid w:val="00217FB6"/>
    <w:rsid w:val="0022002A"/>
    <w:rsid w:val="002206A4"/>
    <w:rsid w:val="002207A8"/>
    <w:rsid w:val="00220860"/>
    <w:rsid w:val="00220A6B"/>
    <w:rsid w:val="00220BAE"/>
    <w:rsid w:val="00221ACF"/>
    <w:rsid w:val="00221C2A"/>
    <w:rsid w:val="00221F01"/>
    <w:rsid w:val="0022200F"/>
    <w:rsid w:val="002233B6"/>
    <w:rsid w:val="00223600"/>
    <w:rsid w:val="00223702"/>
    <w:rsid w:val="00223821"/>
    <w:rsid w:val="00223826"/>
    <w:rsid w:val="00223A86"/>
    <w:rsid w:val="002246A6"/>
    <w:rsid w:val="00224E25"/>
    <w:rsid w:val="00225493"/>
    <w:rsid w:val="002256D0"/>
    <w:rsid w:val="00225B3F"/>
    <w:rsid w:val="00225DA8"/>
    <w:rsid w:val="00225ED1"/>
    <w:rsid w:val="00226A1C"/>
    <w:rsid w:val="002274BD"/>
    <w:rsid w:val="002274EF"/>
    <w:rsid w:val="00227600"/>
    <w:rsid w:val="00227B7C"/>
    <w:rsid w:val="00227D32"/>
    <w:rsid w:val="0023099E"/>
    <w:rsid w:val="00231DC1"/>
    <w:rsid w:val="00232107"/>
    <w:rsid w:val="00233840"/>
    <w:rsid w:val="00233BE0"/>
    <w:rsid w:val="00233D15"/>
    <w:rsid w:val="00233E0E"/>
    <w:rsid w:val="00234C77"/>
    <w:rsid w:val="002359B2"/>
    <w:rsid w:val="002365ED"/>
    <w:rsid w:val="00236A65"/>
    <w:rsid w:val="00236C9D"/>
    <w:rsid w:val="002370BB"/>
    <w:rsid w:val="002370D4"/>
    <w:rsid w:val="00237742"/>
    <w:rsid w:val="00240281"/>
    <w:rsid w:val="00240364"/>
    <w:rsid w:val="00240BFA"/>
    <w:rsid w:val="00240D84"/>
    <w:rsid w:val="00240E2E"/>
    <w:rsid w:val="0024107B"/>
    <w:rsid w:val="002410F0"/>
    <w:rsid w:val="0024129C"/>
    <w:rsid w:val="002412D0"/>
    <w:rsid w:val="00241F46"/>
    <w:rsid w:val="00242B0D"/>
    <w:rsid w:val="0024338B"/>
    <w:rsid w:val="00243914"/>
    <w:rsid w:val="00243A82"/>
    <w:rsid w:val="00243FA7"/>
    <w:rsid w:val="00244A8C"/>
    <w:rsid w:val="00244D11"/>
    <w:rsid w:val="00244D6B"/>
    <w:rsid w:val="002453D9"/>
    <w:rsid w:val="0024541F"/>
    <w:rsid w:val="0024606D"/>
    <w:rsid w:val="002461CB"/>
    <w:rsid w:val="00246C0C"/>
    <w:rsid w:val="00246E32"/>
    <w:rsid w:val="002474C7"/>
    <w:rsid w:val="002477B1"/>
    <w:rsid w:val="0024786E"/>
    <w:rsid w:val="0024791D"/>
    <w:rsid w:val="002507DF"/>
    <w:rsid w:val="002509E4"/>
    <w:rsid w:val="00250ECD"/>
    <w:rsid w:val="00251335"/>
    <w:rsid w:val="0025153C"/>
    <w:rsid w:val="00251C0E"/>
    <w:rsid w:val="00251D88"/>
    <w:rsid w:val="0025262C"/>
    <w:rsid w:val="00252B08"/>
    <w:rsid w:val="002533F5"/>
    <w:rsid w:val="00253424"/>
    <w:rsid w:val="002544D2"/>
    <w:rsid w:val="00254951"/>
    <w:rsid w:val="00254E10"/>
    <w:rsid w:val="002552CB"/>
    <w:rsid w:val="00255303"/>
    <w:rsid w:val="00256005"/>
    <w:rsid w:val="002561F9"/>
    <w:rsid w:val="002563F6"/>
    <w:rsid w:val="00256AE7"/>
    <w:rsid w:val="00256BD6"/>
    <w:rsid w:val="002571C1"/>
    <w:rsid w:val="0025735A"/>
    <w:rsid w:val="002575F6"/>
    <w:rsid w:val="00257C6E"/>
    <w:rsid w:val="00257D3D"/>
    <w:rsid w:val="00257E1A"/>
    <w:rsid w:val="0026009E"/>
    <w:rsid w:val="00260143"/>
    <w:rsid w:val="00260233"/>
    <w:rsid w:val="00260E17"/>
    <w:rsid w:val="00260FA7"/>
    <w:rsid w:val="00260FC9"/>
    <w:rsid w:val="00261047"/>
    <w:rsid w:val="00261F3A"/>
    <w:rsid w:val="002626B2"/>
    <w:rsid w:val="00262810"/>
    <w:rsid w:val="00262B76"/>
    <w:rsid w:val="00262C3E"/>
    <w:rsid w:val="00262F88"/>
    <w:rsid w:val="002632EF"/>
    <w:rsid w:val="00263F7A"/>
    <w:rsid w:val="00264048"/>
    <w:rsid w:val="00264094"/>
    <w:rsid w:val="0026412E"/>
    <w:rsid w:val="00264244"/>
    <w:rsid w:val="00264701"/>
    <w:rsid w:val="00265675"/>
    <w:rsid w:val="00265FE6"/>
    <w:rsid w:val="0026628F"/>
    <w:rsid w:val="002662B7"/>
    <w:rsid w:val="00266472"/>
    <w:rsid w:val="002666E7"/>
    <w:rsid w:val="00266FE0"/>
    <w:rsid w:val="00267187"/>
    <w:rsid w:val="0026722B"/>
    <w:rsid w:val="00267BD5"/>
    <w:rsid w:val="00267F82"/>
    <w:rsid w:val="002700E0"/>
    <w:rsid w:val="00270353"/>
    <w:rsid w:val="00271A80"/>
    <w:rsid w:val="00271C3F"/>
    <w:rsid w:val="00271F1D"/>
    <w:rsid w:val="002721CC"/>
    <w:rsid w:val="0027235E"/>
    <w:rsid w:val="00272EA3"/>
    <w:rsid w:val="00273C94"/>
    <w:rsid w:val="00274328"/>
    <w:rsid w:val="00274AD2"/>
    <w:rsid w:val="00274D36"/>
    <w:rsid w:val="002756DE"/>
    <w:rsid w:val="00275E45"/>
    <w:rsid w:val="0027617D"/>
    <w:rsid w:val="00276201"/>
    <w:rsid w:val="00276229"/>
    <w:rsid w:val="002764D7"/>
    <w:rsid w:val="00276D98"/>
    <w:rsid w:val="002776EB"/>
    <w:rsid w:val="0027784A"/>
    <w:rsid w:val="002802F9"/>
    <w:rsid w:val="002806D2"/>
    <w:rsid w:val="00280741"/>
    <w:rsid w:val="00280984"/>
    <w:rsid w:val="00280AD2"/>
    <w:rsid w:val="00281149"/>
    <w:rsid w:val="00281921"/>
    <w:rsid w:val="00281C41"/>
    <w:rsid w:val="00281E6B"/>
    <w:rsid w:val="00281F6A"/>
    <w:rsid w:val="0028205F"/>
    <w:rsid w:val="0028211B"/>
    <w:rsid w:val="002827E1"/>
    <w:rsid w:val="0028305A"/>
    <w:rsid w:val="0028311C"/>
    <w:rsid w:val="00283A17"/>
    <w:rsid w:val="00283BC4"/>
    <w:rsid w:val="00283F68"/>
    <w:rsid w:val="002841DC"/>
    <w:rsid w:val="00284430"/>
    <w:rsid w:val="00284562"/>
    <w:rsid w:val="00284A34"/>
    <w:rsid w:val="00284CD8"/>
    <w:rsid w:val="00284F8F"/>
    <w:rsid w:val="002850A1"/>
    <w:rsid w:val="002851DF"/>
    <w:rsid w:val="002855C4"/>
    <w:rsid w:val="0028580C"/>
    <w:rsid w:val="002864D1"/>
    <w:rsid w:val="0028656A"/>
    <w:rsid w:val="00286A1D"/>
    <w:rsid w:val="00286CF2"/>
    <w:rsid w:val="00287291"/>
    <w:rsid w:val="00287683"/>
    <w:rsid w:val="00287878"/>
    <w:rsid w:val="002879F9"/>
    <w:rsid w:val="0029105E"/>
    <w:rsid w:val="002910B0"/>
    <w:rsid w:val="0029133C"/>
    <w:rsid w:val="002923BC"/>
    <w:rsid w:val="002929A5"/>
    <w:rsid w:val="002931E0"/>
    <w:rsid w:val="00293377"/>
    <w:rsid w:val="00293884"/>
    <w:rsid w:val="00293F8C"/>
    <w:rsid w:val="002941C5"/>
    <w:rsid w:val="002949F0"/>
    <w:rsid w:val="00294A44"/>
    <w:rsid w:val="00294E18"/>
    <w:rsid w:val="002953CD"/>
    <w:rsid w:val="002957F0"/>
    <w:rsid w:val="00295C4E"/>
    <w:rsid w:val="00295CC0"/>
    <w:rsid w:val="00295DB7"/>
    <w:rsid w:val="00295DE7"/>
    <w:rsid w:val="00295EBA"/>
    <w:rsid w:val="00296548"/>
    <w:rsid w:val="0029669A"/>
    <w:rsid w:val="00296DBD"/>
    <w:rsid w:val="00296F16"/>
    <w:rsid w:val="00297347"/>
    <w:rsid w:val="002977DF"/>
    <w:rsid w:val="00297DAB"/>
    <w:rsid w:val="002A0612"/>
    <w:rsid w:val="002A0673"/>
    <w:rsid w:val="002A08C4"/>
    <w:rsid w:val="002A1310"/>
    <w:rsid w:val="002A21D6"/>
    <w:rsid w:val="002A2221"/>
    <w:rsid w:val="002A224D"/>
    <w:rsid w:val="002A228B"/>
    <w:rsid w:val="002A22D9"/>
    <w:rsid w:val="002A2596"/>
    <w:rsid w:val="002A2DA3"/>
    <w:rsid w:val="002A2DC8"/>
    <w:rsid w:val="002A336A"/>
    <w:rsid w:val="002A3B9E"/>
    <w:rsid w:val="002A3BB3"/>
    <w:rsid w:val="002A4252"/>
    <w:rsid w:val="002A437B"/>
    <w:rsid w:val="002A5709"/>
    <w:rsid w:val="002A5FBF"/>
    <w:rsid w:val="002A616D"/>
    <w:rsid w:val="002A6485"/>
    <w:rsid w:val="002A660A"/>
    <w:rsid w:val="002A73D0"/>
    <w:rsid w:val="002B02EC"/>
    <w:rsid w:val="002B09C4"/>
    <w:rsid w:val="002B101C"/>
    <w:rsid w:val="002B1295"/>
    <w:rsid w:val="002B14B1"/>
    <w:rsid w:val="002B14F4"/>
    <w:rsid w:val="002B1955"/>
    <w:rsid w:val="002B20FB"/>
    <w:rsid w:val="002B2320"/>
    <w:rsid w:val="002B2836"/>
    <w:rsid w:val="002B2B3B"/>
    <w:rsid w:val="002B2FAB"/>
    <w:rsid w:val="002B396F"/>
    <w:rsid w:val="002B46ED"/>
    <w:rsid w:val="002B4904"/>
    <w:rsid w:val="002B4A86"/>
    <w:rsid w:val="002B4B36"/>
    <w:rsid w:val="002B4C0C"/>
    <w:rsid w:val="002B5124"/>
    <w:rsid w:val="002B54FD"/>
    <w:rsid w:val="002B56EB"/>
    <w:rsid w:val="002B5B9D"/>
    <w:rsid w:val="002B6B01"/>
    <w:rsid w:val="002B6ECB"/>
    <w:rsid w:val="002B739A"/>
    <w:rsid w:val="002B74E0"/>
    <w:rsid w:val="002B7605"/>
    <w:rsid w:val="002B78EC"/>
    <w:rsid w:val="002B7C04"/>
    <w:rsid w:val="002C06A0"/>
    <w:rsid w:val="002C0726"/>
    <w:rsid w:val="002C079F"/>
    <w:rsid w:val="002C0D85"/>
    <w:rsid w:val="002C1093"/>
    <w:rsid w:val="002C1134"/>
    <w:rsid w:val="002C11CA"/>
    <w:rsid w:val="002C153D"/>
    <w:rsid w:val="002C2128"/>
    <w:rsid w:val="002C2378"/>
    <w:rsid w:val="002C25D8"/>
    <w:rsid w:val="002C287D"/>
    <w:rsid w:val="002C2D8F"/>
    <w:rsid w:val="002C304C"/>
    <w:rsid w:val="002C33E7"/>
    <w:rsid w:val="002C354C"/>
    <w:rsid w:val="002C3631"/>
    <w:rsid w:val="002C3CCC"/>
    <w:rsid w:val="002C419A"/>
    <w:rsid w:val="002C4333"/>
    <w:rsid w:val="002C4769"/>
    <w:rsid w:val="002C4971"/>
    <w:rsid w:val="002C4B0A"/>
    <w:rsid w:val="002C4C51"/>
    <w:rsid w:val="002C4F45"/>
    <w:rsid w:val="002C4FF6"/>
    <w:rsid w:val="002C5283"/>
    <w:rsid w:val="002C5E4B"/>
    <w:rsid w:val="002C621B"/>
    <w:rsid w:val="002C63F3"/>
    <w:rsid w:val="002C6627"/>
    <w:rsid w:val="002C707A"/>
    <w:rsid w:val="002C7417"/>
    <w:rsid w:val="002C770C"/>
    <w:rsid w:val="002D0C70"/>
    <w:rsid w:val="002D0CC6"/>
    <w:rsid w:val="002D133A"/>
    <w:rsid w:val="002D1C29"/>
    <w:rsid w:val="002D232F"/>
    <w:rsid w:val="002D236D"/>
    <w:rsid w:val="002D26AF"/>
    <w:rsid w:val="002D2D27"/>
    <w:rsid w:val="002D3607"/>
    <w:rsid w:val="002D3D90"/>
    <w:rsid w:val="002D3EFB"/>
    <w:rsid w:val="002D5754"/>
    <w:rsid w:val="002D5E08"/>
    <w:rsid w:val="002D5FA4"/>
    <w:rsid w:val="002D662E"/>
    <w:rsid w:val="002D679C"/>
    <w:rsid w:val="002D74C1"/>
    <w:rsid w:val="002D7CF3"/>
    <w:rsid w:val="002E0297"/>
    <w:rsid w:val="002E079C"/>
    <w:rsid w:val="002E0960"/>
    <w:rsid w:val="002E09FB"/>
    <w:rsid w:val="002E1540"/>
    <w:rsid w:val="002E183D"/>
    <w:rsid w:val="002E18D7"/>
    <w:rsid w:val="002E1B63"/>
    <w:rsid w:val="002E2402"/>
    <w:rsid w:val="002E2AA0"/>
    <w:rsid w:val="002E2EBC"/>
    <w:rsid w:val="002E2F16"/>
    <w:rsid w:val="002E307C"/>
    <w:rsid w:val="002E36F9"/>
    <w:rsid w:val="002E3976"/>
    <w:rsid w:val="002E3B8A"/>
    <w:rsid w:val="002E4B5B"/>
    <w:rsid w:val="002E4E4B"/>
    <w:rsid w:val="002E4F86"/>
    <w:rsid w:val="002E5070"/>
    <w:rsid w:val="002E58C4"/>
    <w:rsid w:val="002E59E9"/>
    <w:rsid w:val="002E60A3"/>
    <w:rsid w:val="002E618D"/>
    <w:rsid w:val="002E64A2"/>
    <w:rsid w:val="002E6623"/>
    <w:rsid w:val="002E6ADF"/>
    <w:rsid w:val="002E6BB1"/>
    <w:rsid w:val="002E76AB"/>
    <w:rsid w:val="002E7807"/>
    <w:rsid w:val="002F01AD"/>
    <w:rsid w:val="002F05B4"/>
    <w:rsid w:val="002F1351"/>
    <w:rsid w:val="002F1691"/>
    <w:rsid w:val="002F184F"/>
    <w:rsid w:val="002F1B80"/>
    <w:rsid w:val="002F265F"/>
    <w:rsid w:val="002F2665"/>
    <w:rsid w:val="002F26A2"/>
    <w:rsid w:val="002F2C60"/>
    <w:rsid w:val="002F2DD1"/>
    <w:rsid w:val="002F3E2E"/>
    <w:rsid w:val="002F42ED"/>
    <w:rsid w:val="002F458F"/>
    <w:rsid w:val="002F4BAE"/>
    <w:rsid w:val="002F4BE1"/>
    <w:rsid w:val="002F50D4"/>
    <w:rsid w:val="002F5D3C"/>
    <w:rsid w:val="002F6B66"/>
    <w:rsid w:val="002F6F13"/>
    <w:rsid w:val="002F6F9B"/>
    <w:rsid w:val="002F7875"/>
    <w:rsid w:val="0030011E"/>
    <w:rsid w:val="0030047B"/>
    <w:rsid w:val="003004BD"/>
    <w:rsid w:val="00300A92"/>
    <w:rsid w:val="00300F15"/>
    <w:rsid w:val="00301960"/>
    <w:rsid w:val="00301B92"/>
    <w:rsid w:val="00301CF5"/>
    <w:rsid w:val="0030271A"/>
    <w:rsid w:val="00302742"/>
    <w:rsid w:val="00303372"/>
    <w:rsid w:val="00303E1D"/>
    <w:rsid w:val="003041C0"/>
    <w:rsid w:val="00304883"/>
    <w:rsid w:val="00304A8B"/>
    <w:rsid w:val="00304AD0"/>
    <w:rsid w:val="00305184"/>
    <w:rsid w:val="0030664A"/>
    <w:rsid w:val="0030730C"/>
    <w:rsid w:val="003074FE"/>
    <w:rsid w:val="003079B1"/>
    <w:rsid w:val="00310023"/>
    <w:rsid w:val="00310107"/>
    <w:rsid w:val="003105D3"/>
    <w:rsid w:val="00310C31"/>
    <w:rsid w:val="0031140A"/>
    <w:rsid w:val="003114CF"/>
    <w:rsid w:val="00311542"/>
    <w:rsid w:val="0031176C"/>
    <w:rsid w:val="00312274"/>
    <w:rsid w:val="003122C7"/>
    <w:rsid w:val="003122F3"/>
    <w:rsid w:val="0031236E"/>
    <w:rsid w:val="003124BD"/>
    <w:rsid w:val="00312659"/>
    <w:rsid w:val="00312924"/>
    <w:rsid w:val="00312F4C"/>
    <w:rsid w:val="003133D2"/>
    <w:rsid w:val="003134B3"/>
    <w:rsid w:val="00313915"/>
    <w:rsid w:val="00313E40"/>
    <w:rsid w:val="003142CF"/>
    <w:rsid w:val="00314344"/>
    <w:rsid w:val="00314447"/>
    <w:rsid w:val="00314594"/>
    <w:rsid w:val="003155A9"/>
    <w:rsid w:val="003164DB"/>
    <w:rsid w:val="003169C8"/>
    <w:rsid w:val="0031719B"/>
    <w:rsid w:val="0031732C"/>
    <w:rsid w:val="003176BC"/>
    <w:rsid w:val="00317868"/>
    <w:rsid w:val="0031791D"/>
    <w:rsid w:val="00317951"/>
    <w:rsid w:val="00317C7B"/>
    <w:rsid w:val="00317DDA"/>
    <w:rsid w:val="00317E15"/>
    <w:rsid w:val="003200E5"/>
    <w:rsid w:val="003209ED"/>
    <w:rsid w:val="003215BB"/>
    <w:rsid w:val="003217A1"/>
    <w:rsid w:val="00321D3B"/>
    <w:rsid w:val="00322392"/>
    <w:rsid w:val="00322A3A"/>
    <w:rsid w:val="003234DC"/>
    <w:rsid w:val="003234F8"/>
    <w:rsid w:val="003238C6"/>
    <w:rsid w:val="003239F6"/>
    <w:rsid w:val="00323EAE"/>
    <w:rsid w:val="00325054"/>
    <w:rsid w:val="0032587A"/>
    <w:rsid w:val="003258C0"/>
    <w:rsid w:val="00325F0E"/>
    <w:rsid w:val="00326123"/>
    <w:rsid w:val="00326AB0"/>
    <w:rsid w:val="003270D1"/>
    <w:rsid w:val="0032728C"/>
    <w:rsid w:val="003275AD"/>
    <w:rsid w:val="00327784"/>
    <w:rsid w:val="003307BE"/>
    <w:rsid w:val="00330ACD"/>
    <w:rsid w:val="00331437"/>
    <w:rsid w:val="00331654"/>
    <w:rsid w:val="00331C8A"/>
    <w:rsid w:val="00331CF8"/>
    <w:rsid w:val="00331FA1"/>
    <w:rsid w:val="003320B2"/>
    <w:rsid w:val="0033210B"/>
    <w:rsid w:val="003322B4"/>
    <w:rsid w:val="00332794"/>
    <w:rsid w:val="003328E5"/>
    <w:rsid w:val="00332C52"/>
    <w:rsid w:val="00332EB7"/>
    <w:rsid w:val="003330CC"/>
    <w:rsid w:val="0033380B"/>
    <w:rsid w:val="00334044"/>
    <w:rsid w:val="003340A6"/>
    <w:rsid w:val="003343AA"/>
    <w:rsid w:val="00334991"/>
    <w:rsid w:val="00334ACE"/>
    <w:rsid w:val="00334BFA"/>
    <w:rsid w:val="00334D31"/>
    <w:rsid w:val="00334D56"/>
    <w:rsid w:val="003355C0"/>
    <w:rsid w:val="00335673"/>
    <w:rsid w:val="00335E65"/>
    <w:rsid w:val="00336241"/>
    <w:rsid w:val="00336804"/>
    <w:rsid w:val="00336963"/>
    <w:rsid w:val="00336B9F"/>
    <w:rsid w:val="00336EEE"/>
    <w:rsid w:val="003370DB"/>
    <w:rsid w:val="00337168"/>
    <w:rsid w:val="003377E6"/>
    <w:rsid w:val="00340A96"/>
    <w:rsid w:val="00340C5D"/>
    <w:rsid w:val="00340F88"/>
    <w:rsid w:val="003414C3"/>
    <w:rsid w:val="0034150F"/>
    <w:rsid w:val="003415C5"/>
    <w:rsid w:val="00341B75"/>
    <w:rsid w:val="00341BBE"/>
    <w:rsid w:val="00342040"/>
    <w:rsid w:val="00342383"/>
    <w:rsid w:val="00342787"/>
    <w:rsid w:val="003428AC"/>
    <w:rsid w:val="00342BAE"/>
    <w:rsid w:val="00342FF2"/>
    <w:rsid w:val="00343027"/>
    <w:rsid w:val="0034360D"/>
    <w:rsid w:val="00343AA9"/>
    <w:rsid w:val="003445D6"/>
    <w:rsid w:val="00344A52"/>
    <w:rsid w:val="00344C99"/>
    <w:rsid w:val="00344D77"/>
    <w:rsid w:val="003450C6"/>
    <w:rsid w:val="00345182"/>
    <w:rsid w:val="00345B9E"/>
    <w:rsid w:val="00345C93"/>
    <w:rsid w:val="00345DAE"/>
    <w:rsid w:val="00346439"/>
    <w:rsid w:val="00346993"/>
    <w:rsid w:val="00346A2D"/>
    <w:rsid w:val="00347689"/>
    <w:rsid w:val="0035034A"/>
    <w:rsid w:val="003503DA"/>
    <w:rsid w:val="003503FE"/>
    <w:rsid w:val="003507DF"/>
    <w:rsid w:val="00350ECD"/>
    <w:rsid w:val="00350F75"/>
    <w:rsid w:val="00351AF5"/>
    <w:rsid w:val="00351C64"/>
    <w:rsid w:val="00352821"/>
    <w:rsid w:val="00352E48"/>
    <w:rsid w:val="00352FBD"/>
    <w:rsid w:val="00352FCF"/>
    <w:rsid w:val="00353271"/>
    <w:rsid w:val="00353336"/>
    <w:rsid w:val="0035381C"/>
    <w:rsid w:val="003538E7"/>
    <w:rsid w:val="00353AEE"/>
    <w:rsid w:val="00353F71"/>
    <w:rsid w:val="00353FF5"/>
    <w:rsid w:val="00354688"/>
    <w:rsid w:val="00354CF2"/>
    <w:rsid w:val="0035553C"/>
    <w:rsid w:val="003557BA"/>
    <w:rsid w:val="003558EB"/>
    <w:rsid w:val="00355B4D"/>
    <w:rsid w:val="00355BA1"/>
    <w:rsid w:val="00355DFC"/>
    <w:rsid w:val="003560E6"/>
    <w:rsid w:val="00356797"/>
    <w:rsid w:val="00356884"/>
    <w:rsid w:val="0035728B"/>
    <w:rsid w:val="003576AE"/>
    <w:rsid w:val="00357AD0"/>
    <w:rsid w:val="00357C7E"/>
    <w:rsid w:val="00360B92"/>
    <w:rsid w:val="00360D96"/>
    <w:rsid w:val="00361085"/>
    <w:rsid w:val="003610A0"/>
    <w:rsid w:val="00361700"/>
    <w:rsid w:val="00361B3C"/>
    <w:rsid w:val="0036245B"/>
    <w:rsid w:val="00362A24"/>
    <w:rsid w:val="00362E30"/>
    <w:rsid w:val="00363127"/>
    <w:rsid w:val="00363183"/>
    <w:rsid w:val="003631EE"/>
    <w:rsid w:val="0036327C"/>
    <w:rsid w:val="00363298"/>
    <w:rsid w:val="003632C1"/>
    <w:rsid w:val="003636CA"/>
    <w:rsid w:val="00363EA9"/>
    <w:rsid w:val="00364150"/>
    <w:rsid w:val="0036435E"/>
    <w:rsid w:val="00364FD9"/>
    <w:rsid w:val="00365011"/>
    <w:rsid w:val="003652DA"/>
    <w:rsid w:val="003657A2"/>
    <w:rsid w:val="00365827"/>
    <w:rsid w:val="00365992"/>
    <w:rsid w:val="003659E0"/>
    <w:rsid w:val="00365F84"/>
    <w:rsid w:val="003669E8"/>
    <w:rsid w:val="00366CEE"/>
    <w:rsid w:val="00366FCB"/>
    <w:rsid w:val="0037009F"/>
    <w:rsid w:val="00370956"/>
    <w:rsid w:val="00370C71"/>
    <w:rsid w:val="00371051"/>
    <w:rsid w:val="00371DCD"/>
    <w:rsid w:val="0037223D"/>
    <w:rsid w:val="00372A73"/>
    <w:rsid w:val="00372CD1"/>
    <w:rsid w:val="003730DD"/>
    <w:rsid w:val="003731E2"/>
    <w:rsid w:val="00373997"/>
    <w:rsid w:val="00373E22"/>
    <w:rsid w:val="003741CF"/>
    <w:rsid w:val="003742EE"/>
    <w:rsid w:val="00374473"/>
    <w:rsid w:val="0037465C"/>
    <w:rsid w:val="00374823"/>
    <w:rsid w:val="00374892"/>
    <w:rsid w:val="00374A94"/>
    <w:rsid w:val="003750D6"/>
    <w:rsid w:val="0037537F"/>
    <w:rsid w:val="0037566D"/>
    <w:rsid w:val="00377047"/>
    <w:rsid w:val="00377132"/>
    <w:rsid w:val="00377251"/>
    <w:rsid w:val="00377561"/>
    <w:rsid w:val="00377F57"/>
    <w:rsid w:val="00380B7C"/>
    <w:rsid w:val="00380C30"/>
    <w:rsid w:val="0038108C"/>
    <w:rsid w:val="003810E5"/>
    <w:rsid w:val="00381493"/>
    <w:rsid w:val="003816D5"/>
    <w:rsid w:val="003818C8"/>
    <w:rsid w:val="003826EA"/>
    <w:rsid w:val="00382E91"/>
    <w:rsid w:val="00382FBC"/>
    <w:rsid w:val="00382FCF"/>
    <w:rsid w:val="00383D5E"/>
    <w:rsid w:val="003842B7"/>
    <w:rsid w:val="003845E9"/>
    <w:rsid w:val="00384D9A"/>
    <w:rsid w:val="00385601"/>
    <w:rsid w:val="003858A5"/>
    <w:rsid w:val="00385A32"/>
    <w:rsid w:val="00385E49"/>
    <w:rsid w:val="00385E56"/>
    <w:rsid w:val="00385EF3"/>
    <w:rsid w:val="0038655E"/>
    <w:rsid w:val="003865A8"/>
    <w:rsid w:val="0038666D"/>
    <w:rsid w:val="00386723"/>
    <w:rsid w:val="00386B72"/>
    <w:rsid w:val="00386EFC"/>
    <w:rsid w:val="00387BD1"/>
    <w:rsid w:val="003915C1"/>
    <w:rsid w:val="003917FF"/>
    <w:rsid w:val="00391B53"/>
    <w:rsid w:val="00392242"/>
    <w:rsid w:val="00392DAF"/>
    <w:rsid w:val="00392DB8"/>
    <w:rsid w:val="0039324C"/>
    <w:rsid w:val="003932BC"/>
    <w:rsid w:val="003936B5"/>
    <w:rsid w:val="003937CB"/>
    <w:rsid w:val="00394114"/>
    <w:rsid w:val="00394B49"/>
    <w:rsid w:val="00394E7F"/>
    <w:rsid w:val="00395853"/>
    <w:rsid w:val="00395859"/>
    <w:rsid w:val="00395AC4"/>
    <w:rsid w:val="00396269"/>
    <w:rsid w:val="0039684F"/>
    <w:rsid w:val="00396D3C"/>
    <w:rsid w:val="00396D6D"/>
    <w:rsid w:val="00397F5C"/>
    <w:rsid w:val="003A0305"/>
    <w:rsid w:val="003A09CC"/>
    <w:rsid w:val="003A127D"/>
    <w:rsid w:val="003A17CA"/>
    <w:rsid w:val="003A1AB1"/>
    <w:rsid w:val="003A2369"/>
    <w:rsid w:val="003A307F"/>
    <w:rsid w:val="003A3808"/>
    <w:rsid w:val="003A3D3B"/>
    <w:rsid w:val="003A4033"/>
    <w:rsid w:val="003A4254"/>
    <w:rsid w:val="003A42D4"/>
    <w:rsid w:val="003A43A8"/>
    <w:rsid w:val="003A448A"/>
    <w:rsid w:val="003A4A44"/>
    <w:rsid w:val="003A4FB6"/>
    <w:rsid w:val="003A536E"/>
    <w:rsid w:val="003A599B"/>
    <w:rsid w:val="003A6247"/>
    <w:rsid w:val="003A656F"/>
    <w:rsid w:val="003A6664"/>
    <w:rsid w:val="003A6701"/>
    <w:rsid w:val="003A6765"/>
    <w:rsid w:val="003A681A"/>
    <w:rsid w:val="003A6F70"/>
    <w:rsid w:val="003A71A2"/>
    <w:rsid w:val="003A73A3"/>
    <w:rsid w:val="003A78B0"/>
    <w:rsid w:val="003B04E3"/>
    <w:rsid w:val="003B09CF"/>
    <w:rsid w:val="003B09E0"/>
    <w:rsid w:val="003B0ABF"/>
    <w:rsid w:val="003B0CA0"/>
    <w:rsid w:val="003B103E"/>
    <w:rsid w:val="003B13A9"/>
    <w:rsid w:val="003B1732"/>
    <w:rsid w:val="003B17F4"/>
    <w:rsid w:val="003B1BF8"/>
    <w:rsid w:val="003B1EE9"/>
    <w:rsid w:val="003B2280"/>
    <w:rsid w:val="003B27FB"/>
    <w:rsid w:val="003B2BF5"/>
    <w:rsid w:val="003B2C82"/>
    <w:rsid w:val="003B2E3F"/>
    <w:rsid w:val="003B3391"/>
    <w:rsid w:val="003B3896"/>
    <w:rsid w:val="003B3BF0"/>
    <w:rsid w:val="003B40C9"/>
    <w:rsid w:val="003B428B"/>
    <w:rsid w:val="003B4502"/>
    <w:rsid w:val="003B4D08"/>
    <w:rsid w:val="003B4D7F"/>
    <w:rsid w:val="003B4DB4"/>
    <w:rsid w:val="003B54DC"/>
    <w:rsid w:val="003B55D1"/>
    <w:rsid w:val="003B5681"/>
    <w:rsid w:val="003B583F"/>
    <w:rsid w:val="003B5920"/>
    <w:rsid w:val="003B5B71"/>
    <w:rsid w:val="003B5C26"/>
    <w:rsid w:val="003B6676"/>
    <w:rsid w:val="003B671E"/>
    <w:rsid w:val="003B6E16"/>
    <w:rsid w:val="003B6E54"/>
    <w:rsid w:val="003B6F32"/>
    <w:rsid w:val="003B72DC"/>
    <w:rsid w:val="003B7BB5"/>
    <w:rsid w:val="003B7D58"/>
    <w:rsid w:val="003C02B2"/>
    <w:rsid w:val="003C037A"/>
    <w:rsid w:val="003C1DEE"/>
    <w:rsid w:val="003C1E3F"/>
    <w:rsid w:val="003C1F76"/>
    <w:rsid w:val="003C2532"/>
    <w:rsid w:val="003C2856"/>
    <w:rsid w:val="003C3F91"/>
    <w:rsid w:val="003C421C"/>
    <w:rsid w:val="003C44A1"/>
    <w:rsid w:val="003C4529"/>
    <w:rsid w:val="003C4D06"/>
    <w:rsid w:val="003C5132"/>
    <w:rsid w:val="003C5689"/>
    <w:rsid w:val="003C65BE"/>
    <w:rsid w:val="003C69DD"/>
    <w:rsid w:val="003C6E11"/>
    <w:rsid w:val="003C6ED0"/>
    <w:rsid w:val="003C7077"/>
    <w:rsid w:val="003C7125"/>
    <w:rsid w:val="003C7299"/>
    <w:rsid w:val="003C73A1"/>
    <w:rsid w:val="003C76AD"/>
    <w:rsid w:val="003C7DBE"/>
    <w:rsid w:val="003C7E86"/>
    <w:rsid w:val="003D01CE"/>
    <w:rsid w:val="003D078A"/>
    <w:rsid w:val="003D0E25"/>
    <w:rsid w:val="003D0EC7"/>
    <w:rsid w:val="003D1BA8"/>
    <w:rsid w:val="003D1F8F"/>
    <w:rsid w:val="003D2321"/>
    <w:rsid w:val="003D2836"/>
    <w:rsid w:val="003D2CE3"/>
    <w:rsid w:val="003D366F"/>
    <w:rsid w:val="003D37B8"/>
    <w:rsid w:val="003D3933"/>
    <w:rsid w:val="003D39E5"/>
    <w:rsid w:val="003D3CDC"/>
    <w:rsid w:val="003D45CC"/>
    <w:rsid w:val="003D4773"/>
    <w:rsid w:val="003D49A5"/>
    <w:rsid w:val="003D4C7F"/>
    <w:rsid w:val="003D4E99"/>
    <w:rsid w:val="003D545E"/>
    <w:rsid w:val="003D5F00"/>
    <w:rsid w:val="003D6556"/>
    <w:rsid w:val="003D65C9"/>
    <w:rsid w:val="003D7EB0"/>
    <w:rsid w:val="003E0132"/>
    <w:rsid w:val="003E0315"/>
    <w:rsid w:val="003E05CF"/>
    <w:rsid w:val="003E08FD"/>
    <w:rsid w:val="003E0A61"/>
    <w:rsid w:val="003E1147"/>
    <w:rsid w:val="003E20C4"/>
    <w:rsid w:val="003E2BA3"/>
    <w:rsid w:val="003E2E43"/>
    <w:rsid w:val="003E3262"/>
    <w:rsid w:val="003E3342"/>
    <w:rsid w:val="003E3536"/>
    <w:rsid w:val="003E3A16"/>
    <w:rsid w:val="003E46C2"/>
    <w:rsid w:val="003E4F53"/>
    <w:rsid w:val="003E5328"/>
    <w:rsid w:val="003E57C1"/>
    <w:rsid w:val="003E59D9"/>
    <w:rsid w:val="003E5A7C"/>
    <w:rsid w:val="003E5B37"/>
    <w:rsid w:val="003E5E5C"/>
    <w:rsid w:val="003E6101"/>
    <w:rsid w:val="003E630E"/>
    <w:rsid w:val="003E69D7"/>
    <w:rsid w:val="003E7048"/>
    <w:rsid w:val="003E7E8B"/>
    <w:rsid w:val="003F0204"/>
    <w:rsid w:val="003F0B2A"/>
    <w:rsid w:val="003F0D60"/>
    <w:rsid w:val="003F0F79"/>
    <w:rsid w:val="003F1263"/>
    <w:rsid w:val="003F136D"/>
    <w:rsid w:val="003F1392"/>
    <w:rsid w:val="003F148D"/>
    <w:rsid w:val="003F1698"/>
    <w:rsid w:val="003F16FE"/>
    <w:rsid w:val="003F1B4D"/>
    <w:rsid w:val="003F1D2F"/>
    <w:rsid w:val="003F2438"/>
    <w:rsid w:val="003F31F1"/>
    <w:rsid w:val="003F32B1"/>
    <w:rsid w:val="003F3BD4"/>
    <w:rsid w:val="003F40C7"/>
    <w:rsid w:val="003F4187"/>
    <w:rsid w:val="003F4A3B"/>
    <w:rsid w:val="003F4DA0"/>
    <w:rsid w:val="003F5357"/>
    <w:rsid w:val="003F5528"/>
    <w:rsid w:val="003F5C03"/>
    <w:rsid w:val="003F6092"/>
    <w:rsid w:val="003F6818"/>
    <w:rsid w:val="003F70E1"/>
    <w:rsid w:val="003F70F8"/>
    <w:rsid w:val="003F718E"/>
    <w:rsid w:val="003F75F5"/>
    <w:rsid w:val="003F7EB1"/>
    <w:rsid w:val="00400324"/>
    <w:rsid w:val="0040050D"/>
    <w:rsid w:val="00400539"/>
    <w:rsid w:val="0040163D"/>
    <w:rsid w:val="0040178C"/>
    <w:rsid w:val="00401FA8"/>
    <w:rsid w:val="004027A3"/>
    <w:rsid w:val="00402BD2"/>
    <w:rsid w:val="00403468"/>
    <w:rsid w:val="00404745"/>
    <w:rsid w:val="004048E0"/>
    <w:rsid w:val="00404A4D"/>
    <w:rsid w:val="00404B3B"/>
    <w:rsid w:val="00404E01"/>
    <w:rsid w:val="00405515"/>
    <w:rsid w:val="004055FD"/>
    <w:rsid w:val="0040561F"/>
    <w:rsid w:val="00405773"/>
    <w:rsid w:val="0040590B"/>
    <w:rsid w:val="00405FEB"/>
    <w:rsid w:val="0040601D"/>
    <w:rsid w:val="004063CE"/>
    <w:rsid w:val="00406962"/>
    <w:rsid w:val="00406E9A"/>
    <w:rsid w:val="0040700D"/>
    <w:rsid w:val="004077CA"/>
    <w:rsid w:val="00407AD6"/>
    <w:rsid w:val="00410488"/>
    <w:rsid w:val="00410627"/>
    <w:rsid w:val="00410ADB"/>
    <w:rsid w:val="00410BCA"/>
    <w:rsid w:val="00410FE9"/>
    <w:rsid w:val="004111EB"/>
    <w:rsid w:val="00411402"/>
    <w:rsid w:val="0041147E"/>
    <w:rsid w:val="0041175D"/>
    <w:rsid w:val="00411B36"/>
    <w:rsid w:val="0041254A"/>
    <w:rsid w:val="0041270C"/>
    <w:rsid w:val="00412EE7"/>
    <w:rsid w:val="00413136"/>
    <w:rsid w:val="0041370C"/>
    <w:rsid w:val="00413834"/>
    <w:rsid w:val="00413C3A"/>
    <w:rsid w:val="00413C40"/>
    <w:rsid w:val="00413DA4"/>
    <w:rsid w:val="00414175"/>
    <w:rsid w:val="004147C5"/>
    <w:rsid w:val="00415292"/>
    <w:rsid w:val="00415938"/>
    <w:rsid w:val="0041652D"/>
    <w:rsid w:val="0041681F"/>
    <w:rsid w:val="00416980"/>
    <w:rsid w:val="00416B11"/>
    <w:rsid w:val="00416CC0"/>
    <w:rsid w:val="00417019"/>
    <w:rsid w:val="00417F81"/>
    <w:rsid w:val="00420150"/>
    <w:rsid w:val="00420502"/>
    <w:rsid w:val="004209F0"/>
    <w:rsid w:val="00420E64"/>
    <w:rsid w:val="00421933"/>
    <w:rsid w:val="00421C76"/>
    <w:rsid w:val="00421CA6"/>
    <w:rsid w:val="004222B0"/>
    <w:rsid w:val="00422B85"/>
    <w:rsid w:val="00423058"/>
    <w:rsid w:val="004232F4"/>
    <w:rsid w:val="0042343D"/>
    <w:rsid w:val="00423D9C"/>
    <w:rsid w:val="004242B9"/>
    <w:rsid w:val="004247D7"/>
    <w:rsid w:val="004255EA"/>
    <w:rsid w:val="00425681"/>
    <w:rsid w:val="0042577B"/>
    <w:rsid w:val="00425FBF"/>
    <w:rsid w:val="004260A0"/>
    <w:rsid w:val="00426118"/>
    <w:rsid w:val="0042668B"/>
    <w:rsid w:val="004270DE"/>
    <w:rsid w:val="004278C3"/>
    <w:rsid w:val="004279F9"/>
    <w:rsid w:val="00427E37"/>
    <w:rsid w:val="00427F18"/>
    <w:rsid w:val="00430209"/>
    <w:rsid w:val="004302B2"/>
    <w:rsid w:val="00430ABE"/>
    <w:rsid w:val="0043101D"/>
    <w:rsid w:val="00431897"/>
    <w:rsid w:val="00431AB2"/>
    <w:rsid w:val="00431CF0"/>
    <w:rsid w:val="00431E2D"/>
    <w:rsid w:val="00431F02"/>
    <w:rsid w:val="00431F51"/>
    <w:rsid w:val="004333CD"/>
    <w:rsid w:val="00433B27"/>
    <w:rsid w:val="00433C69"/>
    <w:rsid w:val="004348FA"/>
    <w:rsid w:val="00435487"/>
    <w:rsid w:val="004354AE"/>
    <w:rsid w:val="00435800"/>
    <w:rsid w:val="0043599A"/>
    <w:rsid w:val="00436460"/>
    <w:rsid w:val="0043658E"/>
    <w:rsid w:val="004365D6"/>
    <w:rsid w:val="00436749"/>
    <w:rsid w:val="004369AF"/>
    <w:rsid w:val="00436A97"/>
    <w:rsid w:val="00436DFA"/>
    <w:rsid w:val="004375F7"/>
    <w:rsid w:val="004376E6"/>
    <w:rsid w:val="004377C0"/>
    <w:rsid w:val="00437FD4"/>
    <w:rsid w:val="0044024D"/>
    <w:rsid w:val="00440303"/>
    <w:rsid w:val="00440750"/>
    <w:rsid w:val="004408B9"/>
    <w:rsid w:val="00440D3C"/>
    <w:rsid w:val="00440DD1"/>
    <w:rsid w:val="0044145E"/>
    <w:rsid w:val="004417BA"/>
    <w:rsid w:val="00441F2A"/>
    <w:rsid w:val="00443BF6"/>
    <w:rsid w:val="00443F82"/>
    <w:rsid w:val="00444108"/>
    <w:rsid w:val="00444B64"/>
    <w:rsid w:val="00445103"/>
    <w:rsid w:val="00445963"/>
    <w:rsid w:val="00446600"/>
    <w:rsid w:val="00446785"/>
    <w:rsid w:val="00446F9A"/>
    <w:rsid w:val="00447234"/>
    <w:rsid w:val="00447725"/>
    <w:rsid w:val="00447845"/>
    <w:rsid w:val="00447891"/>
    <w:rsid w:val="00447BDA"/>
    <w:rsid w:val="00447CEE"/>
    <w:rsid w:val="00450089"/>
    <w:rsid w:val="00450106"/>
    <w:rsid w:val="004501EE"/>
    <w:rsid w:val="004504C6"/>
    <w:rsid w:val="00450B65"/>
    <w:rsid w:val="00450E62"/>
    <w:rsid w:val="00451086"/>
    <w:rsid w:val="004510DF"/>
    <w:rsid w:val="00451308"/>
    <w:rsid w:val="00451523"/>
    <w:rsid w:val="004529B3"/>
    <w:rsid w:val="00452DB4"/>
    <w:rsid w:val="00453213"/>
    <w:rsid w:val="00453253"/>
    <w:rsid w:val="004535A7"/>
    <w:rsid w:val="0045360F"/>
    <w:rsid w:val="00453711"/>
    <w:rsid w:val="00453784"/>
    <w:rsid w:val="00453C3B"/>
    <w:rsid w:val="00453CBA"/>
    <w:rsid w:val="0045449D"/>
    <w:rsid w:val="00454A44"/>
    <w:rsid w:val="004552CA"/>
    <w:rsid w:val="004555D0"/>
    <w:rsid w:val="00455604"/>
    <w:rsid w:val="00456171"/>
    <w:rsid w:val="004562B7"/>
    <w:rsid w:val="004568F8"/>
    <w:rsid w:val="00456A8E"/>
    <w:rsid w:val="00456EBA"/>
    <w:rsid w:val="0045727C"/>
    <w:rsid w:val="0045757C"/>
    <w:rsid w:val="0045763A"/>
    <w:rsid w:val="00457CCC"/>
    <w:rsid w:val="0046010C"/>
    <w:rsid w:val="00460854"/>
    <w:rsid w:val="00460BEF"/>
    <w:rsid w:val="00461518"/>
    <w:rsid w:val="00461757"/>
    <w:rsid w:val="004619C8"/>
    <w:rsid w:val="00461C83"/>
    <w:rsid w:val="00461FD9"/>
    <w:rsid w:val="004620CE"/>
    <w:rsid w:val="00462552"/>
    <w:rsid w:val="00462894"/>
    <w:rsid w:val="0046294B"/>
    <w:rsid w:val="00462E92"/>
    <w:rsid w:val="004630E9"/>
    <w:rsid w:val="0046325E"/>
    <w:rsid w:val="00463F99"/>
    <w:rsid w:val="0046418E"/>
    <w:rsid w:val="0046488F"/>
    <w:rsid w:val="00465C6F"/>
    <w:rsid w:val="004665EC"/>
    <w:rsid w:val="00466B1F"/>
    <w:rsid w:val="00466B31"/>
    <w:rsid w:val="00466C87"/>
    <w:rsid w:val="00466E85"/>
    <w:rsid w:val="00467258"/>
    <w:rsid w:val="00467543"/>
    <w:rsid w:val="00467955"/>
    <w:rsid w:val="00467ACE"/>
    <w:rsid w:val="00470490"/>
    <w:rsid w:val="004706AD"/>
    <w:rsid w:val="004707D0"/>
    <w:rsid w:val="00471A3D"/>
    <w:rsid w:val="00471ED5"/>
    <w:rsid w:val="00471FD1"/>
    <w:rsid w:val="004730A7"/>
    <w:rsid w:val="00473A86"/>
    <w:rsid w:val="00473D4E"/>
    <w:rsid w:val="00473F42"/>
    <w:rsid w:val="00474367"/>
    <w:rsid w:val="00474A46"/>
    <w:rsid w:val="00474A99"/>
    <w:rsid w:val="00474DC0"/>
    <w:rsid w:val="00475B90"/>
    <w:rsid w:val="00476949"/>
    <w:rsid w:val="004772C5"/>
    <w:rsid w:val="00477C88"/>
    <w:rsid w:val="00477D70"/>
    <w:rsid w:val="00477FF4"/>
    <w:rsid w:val="00480314"/>
    <w:rsid w:val="004803AE"/>
    <w:rsid w:val="00480757"/>
    <w:rsid w:val="00480B4C"/>
    <w:rsid w:val="00480CCC"/>
    <w:rsid w:val="00481178"/>
    <w:rsid w:val="0048129A"/>
    <w:rsid w:val="00481727"/>
    <w:rsid w:val="00481D07"/>
    <w:rsid w:val="00482386"/>
    <w:rsid w:val="00482471"/>
    <w:rsid w:val="00483254"/>
    <w:rsid w:val="00483992"/>
    <w:rsid w:val="00483C45"/>
    <w:rsid w:val="00484123"/>
    <w:rsid w:val="004841E9"/>
    <w:rsid w:val="00484439"/>
    <w:rsid w:val="00484B7B"/>
    <w:rsid w:val="004851F8"/>
    <w:rsid w:val="004857E9"/>
    <w:rsid w:val="00486545"/>
    <w:rsid w:val="004866AA"/>
    <w:rsid w:val="004866FD"/>
    <w:rsid w:val="00486A08"/>
    <w:rsid w:val="00486B7A"/>
    <w:rsid w:val="004877F3"/>
    <w:rsid w:val="00487AA5"/>
    <w:rsid w:val="00487DA8"/>
    <w:rsid w:val="00487F25"/>
    <w:rsid w:val="00490325"/>
    <w:rsid w:val="00490AED"/>
    <w:rsid w:val="00490D02"/>
    <w:rsid w:val="00491101"/>
    <w:rsid w:val="00491B4F"/>
    <w:rsid w:val="00491FFB"/>
    <w:rsid w:val="004920AB"/>
    <w:rsid w:val="004925B5"/>
    <w:rsid w:val="00492CE2"/>
    <w:rsid w:val="00492EDC"/>
    <w:rsid w:val="00492EFF"/>
    <w:rsid w:val="00493758"/>
    <w:rsid w:val="00493A1C"/>
    <w:rsid w:val="004953E7"/>
    <w:rsid w:val="00495428"/>
    <w:rsid w:val="00495E30"/>
    <w:rsid w:val="00495E73"/>
    <w:rsid w:val="00495F58"/>
    <w:rsid w:val="00496A46"/>
    <w:rsid w:val="00496C37"/>
    <w:rsid w:val="00496DA9"/>
    <w:rsid w:val="004971BF"/>
    <w:rsid w:val="00497702"/>
    <w:rsid w:val="004977A7"/>
    <w:rsid w:val="00497DEF"/>
    <w:rsid w:val="00497FAE"/>
    <w:rsid w:val="004A02B4"/>
    <w:rsid w:val="004A0548"/>
    <w:rsid w:val="004A056F"/>
    <w:rsid w:val="004A0D71"/>
    <w:rsid w:val="004A0FBC"/>
    <w:rsid w:val="004A1154"/>
    <w:rsid w:val="004A1174"/>
    <w:rsid w:val="004A133A"/>
    <w:rsid w:val="004A171D"/>
    <w:rsid w:val="004A1E1F"/>
    <w:rsid w:val="004A2000"/>
    <w:rsid w:val="004A266C"/>
    <w:rsid w:val="004A26FF"/>
    <w:rsid w:val="004A29B1"/>
    <w:rsid w:val="004A3023"/>
    <w:rsid w:val="004A35DE"/>
    <w:rsid w:val="004A3AD0"/>
    <w:rsid w:val="004A4255"/>
    <w:rsid w:val="004A4AFB"/>
    <w:rsid w:val="004A51CB"/>
    <w:rsid w:val="004A544B"/>
    <w:rsid w:val="004A5F13"/>
    <w:rsid w:val="004A5F42"/>
    <w:rsid w:val="004A5F8E"/>
    <w:rsid w:val="004A6066"/>
    <w:rsid w:val="004A6539"/>
    <w:rsid w:val="004A6ABA"/>
    <w:rsid w:val="004A6CAB"/>
    <w:rsid w:val="004A6DA3"/>
    <w:rsid w:val="004A6F8A"/>
    <w:rsid w:val="004A71EA"/>
    <w:rsid w:val="004A78BB"/>
    <w:rsid w:val="004A7A67"/>
    <w:rsid w:val="004A7F23"/>
    <w:rsid w:val="004B01CF"/>
    <w:rsid w:val="004B0835"/>
    <w:rsid w:val="004B2051"/>
    <w:rsid w:val="004B24B1"/>
    <w:rsid w:val="004B268A"/>
    <w:rsid w:val="004B2C8A"/>
    <w:rsid w:val="004B3451"/>
    <w:rsid w:val="004B3677"/>
    <w:rsid w:val="004B3974"/>
    <w:rsid w:val="004B3A27"/>
    <w:rsid w:val="004B3D6D"/>
    <w:rsid w:val="004B4901"/>
    <w:rsid w:val="004B5073"/>
    <w:rsid w:val="004B525C"/>
    <w:rsid w:val="004B53B4"/>
    <w:rsid w:val="004B544D"/>
    <w:rsid w:val="004B5E57"/>
    <w:rsid w:val="004B5E8F"/>
    <w:rsid w:val="004B62BD"/>
    <w:rsid w:val="004B6714"/>
    <w:rsid w:val="004B6ACB"/>
    <w:rsid w:val="004B6B94"/>
    <w:rsid w:val="004B72F6"/>
    <w:rsid w:val="004B789E"/>
    <w:rsid w:val="004B78DD"/>
    <w:rsid w:val="004B7CCB"/>
    <w:rsid w:val="004C0070"/>
    <w:rsid w:val="004C034F"/>
    <w:rsid w:val="004C0DB6"/>
    <w:rsid w:val="004C0F2F"/>
    <w:rsid w:val="004C165A"/>
    <w:rsid w:val="004C17D5"/>
    <w:rsid w:val="004C23B3"/>
    <w:rsid w:val="004C26A0"/>
    <w:rsid w:val="004C270C"/>
    <w:rsid w:val="004C28BE"/>
    <w:rsid w:val="004C2A61"/>
    <w:rsid w:val="004C2DE0"/>
    <w:rsid w:val="004C33A6"/>
    <w:rsid w:val="004C3FDB"/>
    <w:rsid w:val="004C41E8"/>
    <w:rsid w:val="004C4229"/>
    <w:rsid w:val="004C4565"/>
    <w:rsid w:val="004C464B"/>
    <w:rsid w:val="004C4D27"/>
    <w:rsid w:val="004C4DBC"/>
    <w:rsid w:val="004C50DE"/>
    <w:rsid w:val="004C556E"/>
    <w:rsid w:val="004C5810"/>
    <w:rsid w:val="004C5DA0"/>
    <w:rsid w:val="004C6D15"/>
    <w:rsid w:val="004C76F8"/>
    <w:rsid w:val="004C7D3D"/>
    <w:rsid w:val="004C7D5D"/>
    <w:rsid w:val="004D00B8"/>
    <w:rsid w:val="004D0375"/>
    <w:rsid w:val="004D04E9"/>
    <w:rsid w:val="004D075C"/>
    <w:rsid w:val="004D0766"/>
    <w:rsid w:val="004D0C56"/>
    <w:rsid w:val="004D0C77"/>
    <w:rsid w:val="004D1078"/>
    <w:rsid w:val="004D11C8"/>
    <w:rsid w:val="004D1464"/>
    <w:rsid w:val="004D157C"/>
    <w:rsid w:val="004D17DD"/>
    <w:rsid w:val="004D17FC"/>
    <w:rsid w:val="004D19EF"/>
    <w:rsid w:val="004D2B1F"/>
    <w:rsid w:val="004D2EAA"/>
    <w:rsid w:val="004D2FC7"/>
    <w:rsid w:val="004D2FEC"/>
    <w:rsid w:val="004D3540"/>
    <w:rsid w:val="004D372B"/>
    <w:rsid w:val="004D380E"/>
    <w:rsid w:val="004D3E04"/>
    <w:rsid w:val="004D3FA0"/>
    <w:rsid w:val="004D3FFD"/>
    <w:rsid w:val="004D42F4"/>
    <w:rsid w:val="004D454C"/>
    <w:rsid w:val="004D469C"/>
    <w:rsid w:val="004D481A"/>
    <w:rsid w:val="004D4EE3"/>
    <w:rsid w:val="004D521C"/>
    <w:rsid w:val="004D567D"/>
    <w:rsid w:val="004D56E3"/>
    <w:rsid w:val="004D5D6F"/>
    <w:rsid w:val="004D5FEB"/>
    <w:rsid w:val="004D6672"/>
    <w:rsid w:val="004D6953"/>
    <w:rsid w:val="004D6DE7"/>
    <w:rsid w:val="004D7DC8"/>
    <w:rsid w:val="004E0011"/>
    <w:rsid w:val="004E02E3"/>
    <w:rsid w:val="004E037A"/>
    <w:rsid w:val="004E0A8E"/>
    <w:rsid w:val="004E0D19"/>
    <w:rsid w:val="004E1744"/>
    <w:rsid w:val="004E1B0C"/>
    <w:rsid w:val="004E1C01"/>
    <w:rsid w:val="004E2091"/>
    <w:rsid w:val="004E2257"/>
    <w:rsid w:val="004E261B"/>
    <w:rsid w:val="004E2623"/>
    <w:rsid w:val="004E3166"/>
    <w:rsid w:val="004E3489"/>
    <w:rsid w:val="004E3601"/>
    <w:rsid w:val="004E3CED"/>
    <w:rsid w:val="004E4F36"/>
    <w:rsid w:val="004E4F6B"/>
    <w:rsid w:val="004E4F97"/>
    <w:rsid w:val="004E4FDE"/>
    <w:rsid w:val="004E599F"/>
    <w:rsid w:val="004E6120"/>
    <w:rsid w:val="004E6205"/>
    <w:rsid w:val="004E6952"/>
    <w:rsid w:val="004E6DC9"/>
    <w:rsid w:val="004E746A"/>
    <w:rsid w:val="004E76B6"/>
    <w:rsid w:val="004E78F2"/>
    <w:rsid w:val="004E7B4B"/>
    <w:rsid w:val="004E7C86"/>
    <w:rsid w:val="004E7FED"/>
    <w:rsid w:val="004F0413"/>
    <w:rsid w:val="004F0421"/>
    <w:rsid w:val="004F0505"/>
    <w:rsid w:val="004F096C"/>
    <w:rsid w:val="004F0E44"/>
    <w:rsid w:val="004F0F71"/>
    <w:rsid w:val="004F1009"/>
    <w:rsid w:val="004F1CF5"/>
    <w:rsid w:val="004F20F2"/>
    <w:rsid w:val="004F2B7E"/>
    <w:rsid w:val="004F2BAF"/>
    <w:rsid w:val="004F2D02"/>
    <w:rsid w:val="004F2D99"/>
    <w:rsid w:val="004F2E94"/>
    <w:rsid w:val="004F3C4C"/>
    <w:rsid w:val="004F5453"/>
    <w:rsid w:val="004F546C"/>
    <w:rsid w:val="004F55F2"/>
    <w:rsid w:val="004F5902"/>
    <w:rsid w:val="004F5FC7"/>
    <w:rsid w:val="004F642E"/>
    <w:rsid w:val="004F6535"/>
    <w:rsid w:val="004F6BE0"/>
    <w:rsid w:val="004F6C78"/>
    <w:rsid w:val="004F73FC"/>
    <w:rsid w:val="004F7427"/>
    <w:rsid w:val="004F75AC"/>
    <w:rsid w:val="005001BB"/>
    <w:rsid w:val="005001E7"/>
    <w:rsid w:val="00500284"/>
    <w:rsid w:val="00500521"/>
    <w:rsid w:val="005006C2"/>
    <w:rsid w:val="0050099B"/>
    <w:rsid w:val="00500CD6"/>
    <w:rsid w:val="00500DF4"/>
    <w:rsid w:val="0050265C"/>
    <w:rsid w:val="005027FA"/>
    <w:rsid w:val="00503770"/>
    <w:rsid w:val="005039EE"/>
    <w:rsid w:val="00503D02"/>
    <w:rsid w:val="0050401D"/>
    <w:rsid w:val="00504499"/>
    <w:rsid w:val="005044B9"/>
    <w:rsid w:val="005047B3"/>
    <w:rsid w:val="00504A7A"/>
    <w:rsid w:val="00504FB0"/>
    <w:rsid w:val="00505D31"/>
    <w:rsid w:val="00506831"/>
    <w:rsid w:val="00506CBA"/>
    <w:rsid w:val="005072B8"/>
    <w:rsid w:val="00507B6E"/>
    <w:rsid w:val="005100AD"/>
    <w:rsid w:val="00510B7B"/>
    <w:rsid w:val="00510CE6"/>
    <w:rsid w:val="00511133"/>
    <w:rsid w:val="005113D0"/>
    <w:rsid w:val="005114A9"/>
    <w:rsid w:val="00512116"/>
    <w:rsid w:val="005121B1"/>
    <w:rsid w:val="005122BD"/>
    <w:rsid w:val="005122D5"/>
    <w:rsid w:val="005123AE"/>
    <w:rsid w:val="0051246F"/>
    <w:rsid w:val="005127CC"/>
    <w:rsid w:val="00512965"/>
    <w:rsid w:val="00512D92"/>
    <w:rsid w:val="00512EEC"/>
    <w:rsid w:val="005132D7"/>
    <w:rsid w:val="005137C0"/>
    <w:rsid w:val="005137E4"/>
    <w:rsid w:val="0051409F"/>
    <w:rsid w:val="005146AE"/>
    <w:rsid w:val="00514C5D"/>
    <w:rsid w:val="00516226"/>
    <w:rsid w:val="00516B32"/>
    <w:rsid w:val="005200C8"/>
    <w:rsid w:val="00520152"/>
    <w:rsid w:val="005205BB"/>
    <w:rsid w:val="00520886"/>
    <w:rsid w:val="00520A38"/>
    <w:rsid w:val="00520BBB"/>
    <w:rsid w:val="005216D8"/>
    <w:rsid w:val="00521E05"/>
    <w:rsid w:val="00522819"/>
    <w:rsid w:val="0052349E"/>
    <w:rsid w:val="00523A6C"/>
    <w:rsid w:val="00523C3A"/>
    <w:rsid w:val="005247F9"/>
    <w:rsid w:val="005251D4"/>
    <w:rsid w:val="00525388"/>
    <w:rsid w:val="00525454"/>
    <w:rsid w:val="00525690"/>
    <w:rsid w:val="005267C5"/>
    <w:rsid w:val="00526A82"/>
    <w:rsid w:val="00526DF9"/>
    <w:rsid w:val="00526F21"/>
    <w:rsid w:val="00527849"/>
    <w:rsid w:val="00527866"/>
    <w:rsid w:val="00527D49"/>
    <w:rsid w:val="00530660"/>
    <w:rsid w:val="00530A59"/>
    <w:rsid w:val="00530D81"/>
    <w:rsid w:val="00530F10"/>
    <w:rsid w:val="00530F6A"/>
    <w:rsid w:val="0053117A"/>
    <w:rsid w:val="005319D1"/>
    <w:rsid w:val="005319D2"/>
    <w:rsid w:val="00531BA6"/>
    <w:rsid w:val="00531E32"/>
    <w:rsid w:val="005322F6"/>
    <w:rsid w:val="005325C9"/>
    <w:rsid w:val="00532E09"/>
    <w:rsid w:val="005332FC"/>
    <w:rsid w:val="005333A3"/>
    <w:rsid w:val="0053342B"/>
    <w:rsid w:val="00533E9E"/>
    <w:rsid w:val="00533EA0"/>
    <w:rsid w:val="00534880"/>
    <w:rsid w:val="0053515B"/>
    <w:rsid w:val="00535785"/>
    <w:rsid w:val="0053672F"/>
    <w:rsid w:val="00536D0C"/>
    <w:rsid w:val="00536F9F"/>
    <w:rsid w:val="00536FD8"/>
    <w:rsid w:val="005371FD"/>
    <w:rsid w:val="00537FD5"/>
    <w:rsid w:val="005407FE"/>
    <w:rsid w:val="00540CFF"/>
    <w:rsid w:val="00540FD3"/>
    <w:rsid w:val="005419DF"/>
    <w:rsid w:val="00541E65"/>
    <w:rsid w:val="005424DB"/>
    <w:rsid w:val="0054257D"/>
    <w:rsid w:val="00542BC2"/>
    <w:rsid w:val="00542D7D"/>
    <w:rsid w:val="005434F8"/>
    <w:rsid w:val="00543719"/>
    <w:rsid w:val="00543740"/>
    <w:rsid w:val="00544330"/>
    <w:rsid w:val="005445A2"/>
    <w:rsid w:val="00545145"/>
    <w:rsid w:val="00545AD9"/>
    <w:rsid w:val="00546692"/>
    <w:rsid w:val="005478E5"/>
    <w:rsid w:val="00547B0D"/>
    <w:rsid w:val="00550643"/>
    <w:rsid w:val="005506A2"/>
    <w:rsid w:val="005509DB"/>
    <w:rsid w:val="00551AED"/>
    <w:rsid w:val="00551FA9"/>
    <w:rsid w:val="00552090"/>
    <w:rsid w:val="00552317"/>
    <w:rsid w:val="005526BE"/>
    <w:rsid w:val="005529B6"/>
    <w:rsid w:val="005529D1"/>
    <w:rsid w:val="00552B38"/>
    <w:rsid w:val="00553091"/>
    <w:rsid w:val="00553535"/>
    <w:rsid w:val="00553944"/>
    <w:rsid w:val="00553DE5"/>
    <w:rsid w:val="005544E6"/>
    <w:rsid w:val="005546C9"/>
    <w:rsid w:val="00555272"/>
    <w:rsid w:val="005552E5"/>
    <w:rsid w:val="005553F5"/>
    <w:rsid w:val="005556F7"/>
    <w:rsid w:val="00556D2E"/>
    <w:rsid w:val="00556E79"/>
    <w:rsid w:val="00556FA3"/>
    <w:rsid w:val="00557204"/>
    <w:rsid w:val="00557226"/>
    <w:rsid w:val="005572F5"/>
    <w:rsid w:val="005574CD"/>
    <w:rsid w:val="00557E06"/>
    <w:rsid w:val="0056000B"/>
    <w:rsid w:val="00560018"/>
    <w:rsid w:val="005601FB"/>
    <w:rsid w:val="00560886"/>
    <w:rsid w:val="00560BF1"/>
    <w:rsid w:val="00560DF7"/>
    <w:rsid w:val="00561633"/>
    <w:rsid w:val="00561819"/>
    <w:rsid w:val="00561D4A"/>
    <w:rsid w:val="00561F32"/>
    <w:rsid w:val="0056256D"/>
    <w:rsid w:val="00562612"/>
    <w:rsid w:val="005627A0"/>
    <w:rsid w:val="00563789"/>
    <w:rsid w:val="00563894"/>
    <w:rsid w:val="005638CA"/>
    <w:rsid w:val="00563AAB"/>
    <w:rsid w:val="00563CE8"/>
    <w:rsid w:val="00564045"/>
    <w:rsid w:val="00564133"/>
    <w:rsid w:val="0056443A"/>
    <w:rsid w:val="00564B8C"/>
    <w:rsid w:val="00564BA8"/>
    <w:rsid w:val="005653A6"/>
    <w:rsid w:val="0056559F"/>
    <w:rsid w:val="0056568A"/>
    <w:rsid w:val="00565E48"/>
    <w:rsid w:val="00565F16"/>
    <w:rsid w:val="00567788"/>
    <w:rsid w:val="00567C1C"/>
    <w:rsid w:val="00567C72"/>
    <w:rsid w:val="00567E5B"/>
    <w:rsid w:val="00570C83"/>
    <w:rsid w:val="00571158"/>
    <w:rsid w:val="005716A9"/>
    <w:rsid w:val="00571D96"/>
    <w:rsid w:val="00572B5D"/>
    <w:rsid w:val="005730BF"/>
    <w:rsid w:val="00573424"/>
    <w:rsid w:val="0057389A"/>
    <w:rsid w:val="005750C6"/>
    <w:rsid w:val="0057534E"/>
    <w:rsid w:val="00575B5B"/>
    <w:rsid w:val="00575E88"/>
    <w:rsid w:val="005761D7"/>
    <w:rsid w:val="00576249"/>
    <w:rsid w:val="00576BDA"/>
    <w:rsid w:val="00577E5B"/>
    <w:rsid w:val="00580BFF"/>
    <w:rsid w:val="00581BD4"/>
    <w:rsid w:val="005826CC"/>
    <w:rsid w:val="005832CA"/>
    <w:rsid w:val="005842D2"/>
    <w:rsid w:val="00584762"/>
    <w:rsid w:val="00584B92"/>
    <w:rsid w:val="0058555C"/>
    <w:rsid w:val="00585CE3"/>
    <w:rsid w:val="005863D0"/>
    <w:rsid w:val="005871D4"/>
    <w:rsid w:val="0058759E"/>
    <w:rsid w:val="005876CC"/>
    <w:rsid w:val="005902E6"/>
    <w:rsid w:val="00590ACA"/>
    <w:rsid w:val="00590EA0"/>
    <w:rsid w:val="0059161C"/>
    <w:rsid w:val="005917C5"/>
    <w:rsid w:val="005918DF"/>
    <w:rsid w:val="005920AA"/>
    <w:rsid w:val="005920AE"/>
    <w:rsid w:val="0059225F"/>
    <w:rsid w:val="00592568"/>
    <w:rsid w:val="00592A36"/>
    <w:rsid w:val="0059338E"/>
    <w:rsid w:val="00593391"/>
    <w:rsid w:val="005934F2"/>
    <w:rsid w:val="00593861"/>
    <w:rsid w:val="00593986"/>
    <w:rsid w:val="00593CD9"/>
    <w:rsid w:val="00594461"/>
    <w:rsid w:val="005944DB"/>
    <w:rsid w:val="00594C12"/>
    <w:rsid w:val="00594E39"/>
    <w:rsid w:val="00595053"/>
    <w:rsid w:val="0059516E"/>
    <w:rsid w:val="00595186"/>
    <w:rsid w:val="005953D8"/>
    <w:rsid w:val="00595B4D"/>
    <w:rsid w:val="00596133"/>
    <w:rsid w:val="0059646D"/>
    <w:rsid w:val="00596C6E"/>
    <w:rsid w:val="00596E0C"/>
    <w:rsid w:val="00597126"/>
    <w:rsid w:val="0059730C"/>
    <w:rsid w:val="00597367"/>
    <w:rsid w:val="00597ADA"/>
    <w:rsid w:val="005A06AE"/>
    <w:rsid w:val="005A0837"/>
    <w:rsid w:val="005A0BDF"/>
    <w:rsid w:val="005A0CA4"/>
    <w:rsid w:val="005A0CC3"/>
    <w:rsid w:val="005A115F"/>
    <w:rsid w:val="005A1211"/>
    <w:rsid w:val="005A140A"/>
    <w:rsid w:val="005A19E5"/>
    <w:rsid w:val="005A20F0"/>
    <w:rsid w:val="005A249C"/>
    <w:rsid w:val="005A29DD"/>
    <w:rsid w:val="005A3103"/>
    <w:rsid w:val="005A3734"/>
    <w:rsid w:val="005A3743"/>
    <w:rsid w:val="005A3A97"/>
    <w:rsid w:val="005A428C"/>
    <w:rsid w:val="005A42F8"/>
    <w:rsid w:val="005A4486"/>
    <w:rsid w:val="005A4588"/>
    <w:rsid w:val="005A4F38"/>
    <w:rsid w:val="005A5318"/>
    <w:rsid w:val="005A5D9F"/>
    <w:rsid w:val="005A5F22"/>
    <w:rsid w:val="005A5F59"/>
    <w:rsid w:val="005A616B"/>
    <w:rsid w:val="005A6819"/>
    <w:rsid w:val="005A6910"/>
    <w:rsid w:val="005A72E5"/>
    <w:rsid w:val="005A733D"/>
    <w:rsid w:val="005A756B"/>
    <w:rsid w:val="005A7FB1"/>
    <w:rsid w:val="005B0CEF"/>
    <w:rsid w:val="005B10EB"/>
    <w:rsid w:val="005B1282"/>
    <w:rsid w:val="005B214A"/>
    <w:rsid w:val="005B22DE"/>
    <w:rsid w:val="005B2704"/>
    <w:rsid w:val="005B27C5"/>
    <w:rsid w:val="005B2C4B"/>
    <w:rsid w:val="005B3322"/>
    <w:rsid w:val="005B3A59"/>
    <w:rsid w:val="005B3C28"/>
    <w:rsid w:val="005B3E03"/>
    <w:rsid w:val="005B40FC"/>
    <w:rsid w:val="005B4726"/>
    <w:rsid w:val="005B47EA"/>
    <w:rsid w:val="005B4A8F"/>
    <w:rsid w:val="005B4C4D"/>
    <w:rsid w:val="005B4EF4"/>
    <w:rsid w:val="005B4FE0"/>
    <w:rsid w:val="005B532A"/>
    <w:rsid w:val="005B5758"/>
    <w:rsid w:val="005B5864"/>
    <w:rsid w:val="005B5B42"/>
    <w:rsid w:val="005B6326"/>
    <w:rsid w:val="005B6E9A"/>
    <w:rsid w:val="005B6F92"/>
    <w:rsid w:val="005B7593"/>
    <w:rsid w:val="005B7AA0"/>
    <w:rsid w:val="005C0ADA"/>
    <w:rsid w:val="005C0CED"/>
    <w:rsid w:val="005C15A6"/>
    <w:rsid w:val="005C1764"/>
    <w:rsid w:val="005C25F5"/>
    <w:rsid w:val="005C33E2"/>
    <w:rsid w:val="005C3A82"/>
    <w:rsid w:val="005C3DE2"/>
    <w:rsid w:val="005C4370"/>
    <w:rsid w:val="005C4726"/>
    <w:rsid w:val="005C4C41"/>
    <w:rsid w:val="005C4CF8"/>
    <w:rsid w:val="005C4D27"/>
    <w:rsid w:val="005C559D"/>
    <w:rsid w:val="005C5668"/>
    <w:rsid w:val="005C5779"/>
    <w:rsid w:val="005C5970"/>
    <w:rsid w:val="005C6348"/>
    <w:rsid w:val="005C6686"/>
    <w:rsid w:val="005C696D"/>
    <w:rsid w:val="005C6C97"/>
    <w:rsid w:val="005C6F76"/>
    <w:rsid w:val="005C71A0"/>
    <w:rsid w:val="005C74AC"/>
    <w:rsid w:val="005C7730"/>
    <w:rsid w:val="005C792A"/>
    <w:rsid w:val="005C7C4F"/>
    <w:rsid w:val="005C7E7D"/>
    <w:rsid w:val="005D0DBE"/>
    <w:rsid w:val="005D11F3"/>
    <w:rsid w:val="005D1737"/>
    <w:rsid w:val="005D1A7D"/>
    <w:rsid w:val="005D1D08"/>
    <w:rsid w:val="005D29C9"/>
    <w:rsid w:val="005D2E37"/>
    <w:rsid w:val="005D32F2"/>
    <w:rsid w:val="005D3500"/>
    <w:rsid w:val="005D39D2"/>
    <w:rsid w:val="005D3B45"/>
    <w:rsid w:val="005D3C86"/>
    <w:rsid w:val="005D3DA5"/>
    <w:rsid w:val="005D41C1"/>
    <w:rsid w:val="005D5229"/>
    <w:rsid w:val="005D56D5"/>
    <w:rsid w:val="005D5D2D"/>
    <w:rsid w:val="005D6F39"/>
    <w:rsid w:val="005D7106"/>
    <w:rsid w:val="005D763C"/>
    <w:rsid w:val="005D7893"/>
    <w:rsid w:val="005D7ABD"/>
    <w:rsid w:val="005D7CA6"/>
    <w:rsid w:val="005D7D32"/>
    <w:rsid w:val="005D7EE1"/>
    <w:rsid w:val="005E011D"/>
    <w:rsid w:val="005E03F4"/>
    <w:rsid w:val="005E07A2"/>
    <w:rsid w:val="005E0AE3"/>
    <w:rsid w:val="005E190C"/>
    <w:rsid w:val="005E1930"/>
    <w:rsid w:val="005E22CB"/>
    <w:rsid w:val="005E2538"/>
    <w:rsid w:val="005E2878"/>
    <w:rsid w:val="005E3150"/>
    <w:rsid w:val="005E32D3"/>
    <w:rsid w:val="005E32F9"/>
    <w:rsid w:val="005E3FD1"/>
    <w:rsid w:val="005E49C4"/>
    <w:rsid w:val="005E4A56"/>
    <w:rsid w:val="005E511A"/>
    <w:rsid w:val="005E5635"/>
    <w:rsid w:val="005E5926"/>
    <w:rsid w:val="005E5BB9"/>
    <w:rsid w:val="005E5C99"/>
    <w:rsid w:val="005E5E02"/>
    <w:rsid w:val="005E6617"/>
    <w:rsid w:val="005E7272"/>
    <w:rsid w:val="005E7B3F"/>
    <w:rsid w:val="005E7C86"/>
    <w:rsid w:val="005E7D30"/>
    <w:rsid w:val="005F0128"/>
    <w:rsid w:val="005F0E49"/>
    <w:rsid w:val="005F0FA4"/>
    <w:rsid w:val="005F1369"/>
    <w:rsid w:val="005F1B64"/>
    <w:rsid w:val="005F1FCC"/>
    <w:rsid w:val="005F23CB"/>
    <w:rsid w:val="005F2DF5"/>
    <w:rsid w:val="005F35F4"/>
    <w:rsid w:val="005F3A83"/>
    <w:rsid w:val="005F49AC"/>
    <w:rsid w:val="005F5436"/>
    <w:rsid w:val="005F5590"/>
    <w:rsid w:val="005F5A20"/>
    <w:rsid w:val="005F5B06"/>
    <w:rsid w:val="005F5E2A"/>
    <w:rsid w:val="005F62EA"/>
    <w:rsid w:val="005F683B"/>
    <w:rsid w:val="005F6A77"/>
    <w:rsid w:val="005F73F8"/>
    <w:rsid w:val="005F79B3"/>
    <w:rsid w:val="00600196"/>
    <w:rsid w:val="00600B3F"/>
    <w:rsid w:val="00600B51"/>
    <w:rsid w:val="00600F6D"/>
    <w:rsid w:val="006011A0"/>
    <w:rsid w:val="00601795"/>
    <w:rsid w:val="00601F4E"/>
    <w:rsid w:val="006022D6"/>
    <w:rsid w:val="006025F8"/>
    <w:rsid w:val="00603032"/>
    <w:rsid w:val="00603E4C"/>
    <w:rsid w:val="0060470A"/>
    <w:rsid w:val="00604A55"/>
    <w:rsid w:val="00604DAA"/>
    <w:rsid w:val="00604E25"/>
    <w:rsid w:val="00604FAE"/>
    <w:rsid w:val="00605457"/>
    <w:rsid w:val="00605E25"/>
    <w:rsid w:val="00605F91"/>
    <w:rsid w:val="00606825"/>
    <w:rsid w:val="0060726F"/>
    <w:rsid w:val="006072D0"/>
    <w:rsid w:val="00607394"/>
    <w:rsid w:val="00607474"/>
    <w:rsid w:val="0060769F"/>
    <w:rsid w:val="00610AE7"/>
    <w:rsid w:val="0061168A"/>
    <w:rsid w:val="00611D98"/>
    <w:rsid w:val="006121AE"/>
    <w:rsid w:val="00612334"/>
    <w:rsid w:val="006126F5"/>
    <w:rsid w:val="006130D3"/>
    <w:rsid w:val="006134C1"/>
    <w:rsid w:val="00614023"/>
    <w:rsid w:val="00614978"/>
    <w:rsid w:val="006150A7"/>
    <w:rsid w:val="006151E9"/>
    <w:rsid w:val="006154D7"/>
    <w:rsid w:val="00615AE1"/>
    <w:rsid w:val="00616301"/>
    <w:rsid w:val="00616D8D"/>
    <w:rsid w:val="00616F19"/>
    <w:rsid w:val="00617077"/>
    <w:rsid w:val="006171F8"/>
    <w:rsid w:val="00617367"/>
    <w:rsid w:val="00617BEB"/>
    <w:rsid w:val="00617BFF"/>
    <w:rsid w:val="00617D0E"/>
    <w:rsid w:val="00617EA6"/>
    <w:rsid w:val="00617EE8"/>
    <w:rsid w:val="00620048"/>
    <w:rsid w:val="006205F4"/>
    <w:rsid w:val="00620D83"/>
    <w:rsid w:val="00621580"/>
    <w:rsid w:val="0062162B"/>
    <w:rsid w:val="00621827"/>
    <w:rsid w:val="0062227B"/>
    <w:rsid w:val="0062248B"/>
    <w:rsid w:val="00622824"/>
    <w:rsid w:val="006229D5"/>
    <w:rsid w:val="00622B1A"/>
    <w:rsid w:val="00623006"/>
    <w:rsid w:val="006231CD"/>
    <w:rsid w:val="0062395F"/>
    <w:rsid w:val="00623F33"/>
    <w:rsid w:val="00624257"/>
    <w:rsid w:val="00624FB1"/>
    <w:rsid w:val="00625247"/>
    <w:rsid w:val="0062557D"/>
    <w:rsid w:val="00625BC7"/>
    <w:rsid w:val="00625F94"/>
    <w:rsid w:val="00626941"/>
    <w:rsid w:val="0062699D"/>
    <w:rsid w:val="006269D7"/>
    <w:rsid w:val="006272D6"/>
    <w:rsid w:val="0062734E"/>
    <w:rsid w:val="00627396"/>
    <w:rsid w:val="00627ACB"/>
    <w:rsid w:val="00627CBF"/>
    <w:rsid w:val="00630426"/>
    <w:rsid w:val="00630E40"/>
    <w:rsid w:val="00631C36"/>
    <w:rsid w:val="00631DBB"/>
    <w:rsid w:val="00631E6D"/>
    <w:rsid w:val="00632279"/>
    <w:rsid w:val="00632789"/>
    <w:rsid w:val="00632CC4"/>
    <w:rsid w:val="00632CE3"/>
    <w:rsid w:val="00633115"/>
    <w:rsid w:val="00633326"/>
    <w:rsid w:val="006337CE"/>
    <w:rsid w:val="00633B5F"/>
    <w:rsid w:val="006340C3"/>
    <w:rsid w:val="00634291"/>
    <w:rsid w:val="006344D1"/>
    <w:rsid w:val="006344F2"/>
    <w:rsid w:val="0063465D"/>
    <w:rsid w:val="00634728"/>
    <w:rsid w:val="00634D25"/>
    <w:rsid w:val="006361E7"/>
    <w:rsid w:val="006364BD"/>
    <w:rsid w:val="00636FA5"/>
    <w:rsid w:val="006375FA"/>
    <w:rsid w:val="0063766D"/>
    <w:rsid w:val="006377B2"/>
    <w:rsid w:val="00637BA3"/>
    <w:rsid w:val="00637BA4"/>
    <w:rsid w:val="00637D9A"/>
    <w:rsid w:val="00640164"/>
    <w:rsid w:val="00640192"/>
    <w:rsid w:val="00640296"/>
    <w:rsid w:val="006403FC"/>
    <w:rsid w:val="0064118A"/>
    <w:rsid w:val="00641742"/>
    <w:rsid w:val="00641846"/>
    <w:rsid w:val="00641C59"/>
    <w:rsid w:val="0064268F"/>
    <w:rsid w:val="00642EA7"/>
    <w:rsid w:val="00642FED"/>
    <w:rsid w:val="0064300B"/>
    <w:rsid w:val="006438A3"/>
    <w:rsid w:val="00643CCB"/>
    <w:rsid w:val="006450DE"/>
    <w:rsid w:val="006456F8"/>
    <w:rsid w:val="00645BD7"/>
    <w:rsid w:val="00645F2A"/>
    <w:rsid w:val="00647299"/>
    <w:rsid w:val="00647A00"/>
    <w:rsid w:val="00650815"/>
    <w:rsid w:val="00650C49"/>
    <w:rsid w:val="00651B35"/>
    <w:rsid w:val="00651C56"/>
    <w:rsid w:val="00651D86"/>
    <w:rsid w:val="00652115"/>
    <w:rsid w:val="00652498"/>
    <w:rsid w:val="006529EE"/>
    <w:rsid w:val="00652D17"/>
    <w:rsid w:val="0065339A"/>
    <w:rsid w:val="006536FE"/>
    <w:rsid w:val="0065370F"/>
    <w:rsid w:val="0065394C"/>
    <w:rsid w:val="00653E09"/>
    <w:rsid w:val="00653E14"/>
    <w:rsid w:val="006542D3"/>
    <w:rsid w:val="00654DE6"/>
    <w:rsid w:val="00654E62"/>
    <w:rsid w:val="00654FFD"/>
    <w:rsid w:val="00655318"/>
    <w:rsid w:val="006554DF"/>
    <w:rsid w:val="0065590C"/>
    <w:rsid w:val="00655B70"/>
    <w:rsid w:val="00655EA2"/>
    <w:rsid w:val="006574A2"/>
    <w:rsid w:val="00657AFB"/>
    <w:rsid w:val="00657B57"/>
    <w:rsid w:val="0066048B"/>
    <w:rsid w:val="006605A4"/>
    <w:rsid w:val="006606E3"/>
    <w:rsid w:val="0066120F"/>
    <w:rsid w:val="00661611"/>
    <w:rsid w:val="00661BC0"/>
    <w:rsid w:val="00662367"/>
    <w:rsid w:val="0066271D"/>
    <w:rsid w:val="00662F1A"/>
    <w:rsid w:val="006635B9"/>
    <w:rsid w:val="00663979"/>
    <w:rsid w:val="00663CB5"/>
    <w:rsid w:val="0066468A"/>
    <w:rsid w:val="0066482C"/>
    <w:rsid w:val="00664E35"/>
    <w:rsid w:val="00664FA1"/>
    <w:rsid w:val="00664FF8"/>
    <w:rsid w:val="00665255"/>
    <w:rsid w:val="00665606"/>
    <w:rsid w:val="00665B31"/>
    <w:rsid w:val="0066657B"/>
    <w:rsid w:val="0066659F"/>
    <w:rsid w:val="0066674D"/>
    <w:rsid w:val="00666C19"/>
    <w:rsid w:val="00666DD8"/>
    <w:rsid w:val="00666FFB"/>
    <w:rsid w:val="00667204"/>
    <w:rsid w:val="0066740E"/>
    <w:rsid w:val="00667502"/>
    <w:rsid w:val="006679A5"/>
    <w:rsid w:val="0067026D"/>
    <w:rsid w:val="00670657"/>
    <w:rsid w:val="00671AD6"/>
    <w:rsid w:val="0067214C"/>
    <w:rsid w:val="00672A71"/>
    <w:rsid w:val="00672E3E"/>
    <w:rsid w:val="00673420"/>
    <w:rsid w:val="006737DF"/>
    <w:rsid w:val="00673AC1"/>
    <w:rsid w:val="00673D88"/>
    <w:rsid w:val="00674479"/>
    <w:rsid w:val="0067456B"/>
    <w:rsid w:val="00674930"/>
    <w:rsid w:val="00674B47"/>
    <w:rsid w:val="00674B76"/>
    <w:rsid w:val="006751D6"/>
    <w:rsid w:val="00676CC2"/>
    <w:rsid w:val="0067788F"/>
    <w:rsid w:val="00680061"/>
    <w:rsid w:val="00680986"/>
    <w:rsid w:val="00680ACE"/>
    <w:rsid w:val="00680ADD"/>
    <w:rsid w:val="00680F50"/>
    <w:rsid w:val="00681795"/>
    <w:rsid w:val="00681FA0"/>
    <w:rsid w:val="0068228C"/>
    <w:rsid w:val="006823BD"/>
    <w:rsid w:val="00682521"/>
    <w:rsid w:val="0068258B"/>
    <w:rsid w:val="00682EB2"/>
    <w:rsid w:val="00683331"/>
    <w:rsid w:val="00683354"/>
    <w:rsid w:val="00683476"/>
    <w:rsid w:val="00684369"/>
    <w:rsid w:val="006843ED"/>
    <w:rsid w:val="006847AA"/>
    <w:rsid w:val="00684A5A"/>
    <w:rsid w:val="00684F98"/>
    <w:rsid w:val="00684FED"/>
    <w:rsid w:val="006857D5"/>
    <w:rsid w:val="00685852"/>
    <w:rsid w:val="00685BBE"/>
    <w:rsid w:val="00685E74"/>
    <w:rsid w:val="00686074"/>
    <w:rsid w:val="0068625F"/>
    <w:rsid w:val="006862DD"/>
    <w:rsid w:val="0068721F"/>
    <w:rsid w:val="006872B5"/>
    <w:rsid w:val="00687897"/>
    <w:rsid w:val="00687CAB"/>
    <w:rsid w:val="00687E35"/>
    <w:rsid w:val="006900B7"/>
    <w:rsid w:val="00690123"/>
    <w:rsid w:val="006904E1"/>
    <w:rsid w:val="0069051A"/>
    <w:rsid w:val="006909BD"/>
    <w:rsid w:val="006915FB"/>
    <w:rsid w:val="00691788"/>
    <w:rsid w:val="00691C84"/>
    <w:rsid w:val="00692218"/>
    <w:rsid w:val="006926CA"/>
    <w:rsid w:val="00692AF8"/>
    <w:rsid w:val="00692B27"/>
    <w:rsid w:val="00692C55"/>
    <w:rsid w:val="00693816"/>
    <w:rsid w:val="00693833"/>
    <w:rsid w:val="006939DE"/>
    <w:rsid w:val="00693DDC"/>
    <w:rsid w:val="00693E0F"/>
    <w:rsid w:val="00693EEB"/>
    <w:rsid w:val="00693F5F"/>
    <w:rsid w:val="0069454A"/>
    <w:rsid w:val="00694AAE"/>
    <w:rsid w:val="00694BA4"/>
    <w:rsid w:val="00694E91"/>
    <w:rsid w:val="00695017"/>
    <w:rsid w:val="0069510E"/>
    <w:rsid w:val="00695BCF"/>
    <w:rsid w:val="00695BE1"/>
    <w:rsid w:val="006964C0"/>
    <w:rsid w:val="00696579"/>
    <w:rsid w:val="006965A8"/>
    <w:rsid w:val="006966E8"/>
    <w:rsid w:val="006966EB"/>
    <w:rsid w:val="00696E0D"/>
    <w:rsid w:val="00696E82"/>
    <w:rsid w:val="006972EA"/>
    <w:rsid w:val="0069740E"/>
    <w:rsid w:val="00697410"/>
    <w:rsid w:val="00697657"/>
    <w:rsid w:val="00697998"/>
    <w:rsid w:val="00697B89"/>
    <w:rsid w:val="00697BC1"/>
    <w:rsid w:val="00697FD3"/>
    <w:rsid w:val="006A0A5C"/>
    <w:rsid w:val="006A0B6A"/>
    <w:rsid w:val="006A0F47"/>
    <w:rsid w:val="006A0F6D"/>
    <w:rsid w:val="006A17F8"/>
    <w:rsid w:val="006A1C61"/>
    <w:rsid w:val="006A1C9B"/>
    <w:rsid w:val="006A1DBA"/>
    <w:rsid w:val="006A231B"/>
    <w:rsid w:val="006A25C0"/>
    <w:rsid w:val="006A2789"/>
    <w:rsid w:val="006A2A16"/>
    <w:rsid w:val="006A3E52"/>
    <w:rsid w:val="006A428F"/>
    <w:rsid w:val="006A42FA"/>
    <w:rsid w:val="006A45A9"/>
    <w:rsid w:val="006A5285"/>
    <w:rsid w:val="006A5959"/>
    <w:rsid w:val="006A59E2"/>
    <w:rsid w:val="006A5BCB"/>
    <w:rsid w:val="006A5E57"/>
    <w:rsid w:val="006A5EC4"/>
    <w:rsid w:val="006A65B4"/>
    <w:rsid w:val="006A72A9"/>
    <w:rsid w:val="006A7538"/>
    <w:rsid w:val="006A75F9"/>
    <w:rsid w:val="006A7F94"/>
    <w:rsid w:val="006B0042"/>
    <w:rsid w:val="006B02A3"/>
    <w:rsid w:val="006B09C3"/>
    <w:rsid w:val="006B0AE3"/>
    <w:rsid w:val="006B0E41"/>
    <w:rsid w:val="006B10C3"/>
    <w:rsid w:val="006B129B"/>
    <w:rsid w:val="006B14FF"/>
    <w:rsid w:val="006B1D21"/>
    <w:rsid w:val="006B1F24"/>
    <w:rsid w:val="006B2598"/>
    <w:rsid w:val="006B267E"/>
    <w:rsid w:val="006B2E35"/>
    <w:rsid w:val="006B326B"/>
    <w:rsid w:val="006B35D3"/>
    <w:rsid w:val="006B390E"/>
    <w:rsid w:val="006B3C70"/>
    <w:rsid w:val="006B3D08"/>
    <w:rsid w:val="006B403C"/>
    <w:rsid w:val="006B5061"/>
    <w:rsid w:val="006B630E"/>
    <w:rsid w:val="006B6710"/>
    <w:rsid w:val="006B6A19"/>
    <w:rsid w:val="006B6A20"/>
    <w:rsid w:val="006B6A3F"/>
    <w:rsid w:val="006C0279"/>
    <w:rsid w:val="006C0903"/>
    <w:rsid w:val="006C0AAA"/>
    <w:rsid w:val="006C0EAF"/>
    <w:rsid w:val="006C16A0"/>
    <w:rsid w:val="006C1EB8"/>
    <w:rsid w:val="006C1F97"/>
    <w:rsid w:val="006C2462"/>
    <w:rsid w:val="006C278D"/>
    <w:rsid w:val="006C2E72"/>
    <w:rsid w:val="006C3EF5"/>
    <w:rsid w:val="006C41C4"/>
    <w:rsid w:val="006C4371"/>
    <w:rsid w:val="006C5058"/>
    <w:rsid w:val="006C53EF"/>
    <w:rsid w:val="006C5D86"/>
    <w:rsid w:val="006C6822"/>
    <w:rsid w:val="006C68EA"/>
    <w:rsid w:val="006C6EC7"/>
    <w:rsid w:val="006C6EEC"/>
    <w:rsid w:val="006C702C"/>
    <w:rsid w:val="006C7105"/>
    <w:rsid w:val="006C7218"/>
    <w:rsid w:val="006C7282"/>
    <w:rsid w:val="006C762A"/>
    <w:rsid w:val="006C7EDD"/>
    <w:rsid w:val="006D14AD"/>
    <w:rsid w:val="006D14E2"/>
    <w:rsid w:val="006D1539"/>
    <w:rsid w:val="006D15D1"/>
    <w:rsid w:val="006D161A"/>
    <w:rsid w:val="006D28D4"/>
    <w:rsid w:val="006D2FA6"/>
    <w:rsid w:val="006D3A2F"/>
    <w:rsid w:val="006D3B1A"/>
    <w:rsid w:val="006D4379"/>
    <w:rsid w:val="006D467E"/>
    <w:rsid w:val="006D4B24"/>
    <w:rsid w:val="006D4D85"/>
    <w:rsid w:val="006D4FF4"/>
    <w:rsid w:val="006D54BE"/>
    <w:rsid w:val="006D54C5"/>
    <w:rsid w:val="006D54FE"/>
    <w:rsid w:val="006D5919"/>
    <w:rsid w:val="006D6467"/>
    <w:rsid w:val="006D6EAB"/>
    <w:rsid w:val="006D7098"/>
    <w:rsid w:val="006D7287"/>
    <w:rsid w:val="006D74B8"/>
    <w:rsid w:val="006D7595"/>
    <w:rsid w:val="006D7A86"/>
    <w:rsid w:val="006E00DA"/>
    <w:rsid w:val="006E00F5"/>
    <w:rsid w:val="006E060A"/>
    <w:rsid w:val="006E0E20"/>
    <w:rsid w:val="006E10FF"/>
    <w:rsid w:val="006E2A91"/>
    <w:rsid w:val="006E2AAB"/>
    <w:rsid w:val="006E2F36"/>
    <w:rsid w:val="006E2F5E"/>
    <w:rsid w:val="006E326F"/>
    <w:rsid w:val="006E3366"/>
    <w:rsid w:val="006E3646"/>
    <w:rsid w:val="006E39C2"/>
    <w:rsid w:val="006E3D89"/>
    <w:rsid w:val="006E3FEB"/>
    <w:rsid w:val="006E4038"/>
    <w:rsid w:val="006E484B"/>
    <w:rsid w:val="006E496F"/>
    <w:rsid w:val="006E501A"/>
    <w:rsid w:val="006E5B4C"/>
    <w:rsid w:val="006E632C"/>
    <w:rsid w:val="006E6792"/>
    <w:rsid w:val="006E67C8"/>
    <w:rsid w:val="006E6819"/>
    <w:rsid w:val="006E6C69"/>
    <w:rsid w:val="006E709A"/>
    <w:rsid w:val="006E7EE5"/>
    <w:rsid w:val="006E7F10"/>
    <w:rsid w:val="006F0DFB"/>
    <w:rsid w:val="006F11D3"/>
    <w:rsid w:val="006F144C"/>
    <w:rsid w:val="006F15C6"/>
    <w:rsid w:val="006F1BFA"/>
    <w:rsid w:val="006F1CDD"/>
    <w:rsid w:val="006F1E80"/>
    <w:rsid w:val="006F2234"/>
    <w:rsid w:val="006F230C"/>
    <w:rsid w:val="006F24CD"/>
    <w:rsid w:val="006F29A4"/>
    <w:rsid w:val="006F2C2E"/>
    <w:rsid w:val="006F2C4E"/>
    <w:rsid w:val="006F2D19"/>
    <w:rsid w:val="006F3C7B"/>
    <w:rsid w:val="006F4762"/>
    <w:rsid w:val="006F4AC1"/>
    <w:rsid w:val="006F4D5A"/>
    <w:rsid w:val="006F4E0D"/>
    <w:rsid w:val="006F50F9"/>
    <w:rsid w:val="006F5466"/>
    <w:rsid w:val="006F59D1"/>
    <w:rsid w:val="006F5E6F"/>
    <w:rsid w:val="006F6653"/>
    <w:rsid w:val="006F6805"/>
    <w:rsid w:val="006F7E3B"/>
    <w:rsid w:val="007005E9"/>
    <w:rsid w:val="00701342"/>
    <w:rsid w:val="00701347"/>
    <w:rsid w:val="00702930"/>
    <w:rsid w:val="00702F95"/>
    <w:rsid w:val="007030B4"/>
    <w:rsid w:val="007031C4"/>
    <w:rsid w:val="00703341"/>
    <w:rsid w:val="00703431"/>
    <w:rsid w:val="007034FD"/>
    <w:rsid w:val="00703842"/>
    <w:rsid w:val="00703DDF"/>
    <w:rsid w:val="00704F47"/>
    <w:rsid w:val="007054FE"/>
    <w:rsid w:val="0070552C"/>
    <w:rsid w:val="00705809"/>
    <w:rsid w:val="007058AD"/>
    <w:rsid w:val="007058E4"/>
    <w:rsid w:val="00705D1B"/>
    <w:rsid w:val="00706232"/>
    <w:rsid w:val="0070637C"/>
    <w:rsid w:val="00706BB4"/>
    <w:rsid w:val="00707606"/>
    <w:rsid w:val="00707893"/>
    <w:rsid w:val="00707A8C"/>
    <w:rsid w:val="00710205"/>
    <w:rsid w:val="00710318"/>
    <w:rsid w:val="00710B56"/>
    <w:rsid w:val="00710C19"/>
    <w:rsid w:val="00712196"/>
    <w:rsid w:val="007124D9"/>
    <w:rsid w:val="00712BFF"/>
    <w:rsid w:val="007130AE"/>
    <w:rsid w:val="00713966"/>
    <w:rsid w:val="00713C6C"/>
    <w:rsid w:val="00713E1A"/>
    <w:rsid w:val="00714332"/>
    <w:rsid w:val="007145AD"/>
    <w:rsid w:val="007157B0"/>
    <w:rsid w:val="00715871"/>
    <w:rsid w:val="00715A75"/>
    <w:rsid w:val="00715C69"/>
    <w:rsid w:val="007163EB"/>
    <w:rsid w:val="00716C09"/>
    <w:rsid w:val="00716C4D"/>
    <w:rsid w:val="00716CB7"/>
    <w:rsid w:val="00716DF6"/>
    <w:rsid w:val="00717385"/>
    <w:rsid w:val="00717426"/>
    <w:rsid w:val="00717A21"/>
    <w:rsid w:val="00717C09"/>
    <w:rsid w:val="00717C7C"/>
    <w:rsid w:val="00717DB2"/>
    <w:rsid w:val="00717E12"/>
    <w:rsid w:val="007200FB"/>
    <w:rsid w:val="007202A9"/>
    <w:rsid w:val="007203BF"/>
    <w:rsid w:val="0072047C"/>
    <w:rsid w:val="00721CA2"/>
    <w:rsid w:val="0072225B"/>
    <w:rsid w:val="00722CEB"/>
    <w:rsid w:val="00723BBB"/>
    <w:rsid w:val="00723F62"/>
    <w:rsid w:val="00724028"/>
    <w:rsid w:val="00724575"/>
    <w:rsid w:val="00724C9D"/>
    <w:rsid w:val="00724E1A"/>
    <w:rsid w:val="0072560D"/>
    <w:rsid w:val="00725613"/>
    <w:rsid w:val="00725A4C"/>
    <w:rsid w:val="007264D4"/>
    <w:rsid w:val="007266CD"/>
    <w:rsid w:val="007267D1"/>
    <w:rsid w:val="00726EFD"/>
    <w:rsid w:val="0072724F"/>
    <w:rsid w:val="00727825"/>
    <w:rsid w:val="00727F04"/>
    <w:rsid w:val="00730339"/>
    <w:rsid w:val="007308F2"/>
    <w:rsid w:val="00730B44"/>
    <w:rsid w:val="00730C5F"/>
    <w:rsid w:val="00731715"/>
    <w:rsid w:val="00731B9C"/>
    <w:rsid w:val="00731D26"/>
    <w:rsid w:val="0073205A"/>
    <w:rsid w:val="0073209F"/>
    <w:rsid w:val="00732B75"/>
    <w:rsid w:val="00732BA2"/>
    <w:rsid w:val="007333F7"/>
    <w:rsid w:val="00734233"/>
    <w:rsid w:val="007346D9"/>
    <w:rsid w:val="007348D2"/>
    <w:rsid w:val="00734B2C"/>
    <w:rsid w:val="00734FCE"/>
    <w:rsid w:val="00735289"/>
    <w:rsid w:val="007352B0"/>
    <w:rsid w:val="00735A1D"/>
    <w:rsid w:val="00735E81"/>
    <w:rsid w:val="00736405"/>
    <w:rsid w:val="0073696E"/>
    <w:rsid w:val="00736E26"/>
    <w:rsid w:val="0073722C"/>
    <w:rsid w:val="0073766A"/>
    <w:rsid w:val="007402C7"/>
    <w:rsid w:val="0074038E"/>
    <w:rsid w:val="00740587"/>
    <w:rsid w:val="00742256"/>
    <w:rsid w:val="00742757"/>
    <w:rsid w:val="007427B6"/>
    <w:rsid w:val="007430F6"/>
    <w:rsid w:val="007440FB"/>
    <w:rsid w:val="007443AA"/>
    <w:rsid w:val="00744932"/>
    <w:rsid w:val="00744A46"/>
    <w:rsid w:val="00744B9A"/>
    <w:rsid w:val="007452CA"/>
    <w:rsid w:val="007453FC"/>
    <w:rsid w:val="00745423"/>
    <w:rsid w:val="0074553D"/>
    <w:rsid w:val="00745FF5"/>
    <w:rsid w:val="007461F1"/>
    <w:rsid w:val="00746806"/>
    <w:rsid w:val="00746DA5"/>
    <w:rsid w:val="0074707F"/>
    <w:rsid w:val="00747266"/>
    <w:rsid w:val="00747804"/>
    <w:rsid w:val="007479B1"/>
    <w:rsid w:val="00747BC7"/>
    <w:rsid w:val="00747FE0"/>
    <w:rsid w:val="0075027B"/>
    <w:rsid w:val="00750C54"/>
    <w:rsid w:val="00751817"/>
    <w:rsid w:val="00751D30"/>
    <w:rsid w:val="00751F0B"/>
    <w:rsid w:val="007522BD"/>
    <w:rsid w:val="00752930"/>
    <w:rsid w:val="00753A9B"/>
    <w:rsid w:val="00753EB0"/>
    <w:rsid w:val="007542B0"/>
    <w:rsid w:val="00754970"/>
    <w:rsid w:val="00754B63"/>
    <w:rsid w:val="007555E4"/>
    <w:rsid w:val="00755941"/>
    <w:rsid w:val="00756220"/>
    <w:rsid w:val="00756381"/>
    <w:rsid w:val="0075672B"/>
    <w:rsid w:val="00757487"/>
    <w:rsid w:val="007579DF"/>
    <w:rsid w:val="00757EC4"/>
    <w:rsid w:val="00760856"/>
    <w:rsid w:val="00761A07"/>
    <w:rsid w:val="00761C82"/>
    <w:rsid w:val="00762150"/>
    <w:rsid w:val="007634F8"/>
    <w:rsid w:val="00763930"/>
    <w:rsid w:val="00763E1E"/>
    <w:rsid w:val="00763E75"/>
    <w:rsid w:val="00763FFC"/>
    <w:rsid w:val="0076402B"/>
    <w:rsid w:val="007641D8"/>
    <w:rsid w:val="007642A8"/>
    <w:rsid w:val="0076487E"/>
    <w:rsid w:val="00764B42"/>
    <w:rsid w:val="00765AAE"/>
    <w:rsid w:val="00765F5E"/>
    <w:rsid w:val="00766B98"/>
    <w:rsid w:val="00766FE5"/>
    <w:rsid w:val="0076727C"/>
    <w:rsid w:val="007672CD"/>
    <w:rsid w:val="0076789A"/>
    <w:rsid w:val="00770D21"/>
    <w:rsid w:val="00770E50"/>
    <w:rsid w:val="00770E61"/>
    <w:rsid w:val="00771515"/>
    <w:rsid w:val="00771681"/>
    <w:rsid w:val="007718EB"/>
    <w:rsid w:val="00772A27"/>
    <w:rsid w:val="00773534"/>
    <w:rsid w:val="00773B82"/>
    <w:rsid w:val="00773E71"/>
    <w:rsid w:val="00774771"/>
    <w:rsid w:val="00774DF2"/>
    <w:rsid w:val="007751FE"/>
    <w:rsid w:val="00775289"/>
    <w:rsid w:val="00775658"/>
    <w:rsid w:val="007756E7"/>
    <w:rsid w:val="007760DE"/>
    <w:rsid w:val="0077617E"/>
    <w:rsid w:val="0077620A"/>
    <w:rsid w:val="0077693C"/>
    <w:rsid w:val="00776CB2"/>
    <w:rsid w:val="00777492"/>
    <w:rsid w:val="007779CF"/>
    <w:rsid w:val="00777EEF"/>
    <w:rsid w:val="0078064F"/>
    <w:rsid w:val="007807BC"/>
    <w:rsid w:val="00780896"/>
    <w:rsid w:val="00780DA3"/>
    <w:rsid w:val="00780F97"/>
    <w:rsid w:val="0078150C"/>
    <w:rsid w:val="007823C1"/>
    <w:rsid w:val="007824E3"/>
    <w:rsid w:val="0078299D"/>
    <w:rsid w:val="00782DA3"/>
    <w:rsid w:val="00783402"/>
    <w:rsid w:val="0078368B"/>
    <w:rsid w:val="00783875"/>
    <w:rsid w:val="00783A18"/>
    <w:rsid w:val="00783D68"/>
    <w:rsid w:val="00783DF0"/>
    <w:rsid w:val="00784133"/>
    <w:rsid w:val="007842A5"/>
    <w:rsid w:val="007843DC"/>
    <w:rsid w:val="00784D09"/>
    <w:rsid w:val="00784FF6"/>
    <w:rsid w:val="00785014"/>
    <w:rsid w:val="007854D3"/>
    <w:rsid w:val="00785578"/>
    <w:rsid w:val="00785785"/>
    <w:rsid w:val="00785A46"/>
    <w:rsid w:val="007860E3"/>
    <w:rsid w:val="00786272"/>
    <w:rsid w:val="007864CE"/>
    <w:rsid w:val="00786BEF"/>
    <w:rsid w:val="00786DBB"/>
    <w:rsid w:val="00787554"/>
    <w:rsid w:val="0078780A"/>
    <w:rsid w:val="00787812"/>
    <w:rsid w:val="00787E0D"/>
    <w:rsid w:val="00787F1C"/>
    <w:rsid w:val="00787FA4"/>
    <w:rsid w:val="0079050B"/>
    <w:rsid w:val="007905DE"/>
    <w:rsid w:val="007907A5"/>
    <w:rsid w:val="00790A2F"/>
    <w:rsid w:val="00790BA4"/>
    <w:rsid w:val="00790E06"/>
    <w:rsid w:val="00791365"/>
    <w:rsid w:val="00791C48"/>
    <w:rsid w:val="00791EF5"/>
    <w:rsid w:val="00792060"/>
    <w:rsid w:val="00792644"/>
    <w:rsid w:val="00792FA2"/>
    <w:rsid w:val="00793D1B"/>
    <w:rsid w:val="007948DA"/>
    <w:rsid w:val="00794CD1"/>
    <w:rsid w:val="00794FC4"/>
    <w:rsid w:val="0079500A"/>
    <w:rsid w:val="007953FA"/>
    <w:rsid w:val="00795433"/>
    <w:rsid w:val="0079552D"/>
    <w:rsid w:val="007959D8"/>
    <w:rsid w:val="0079609B"/>
    <w:rsid w:val="007973A2"/>
    <w:rsid w:val="007975FD"/>
    <w:rsid w:val="00797686"/>
    <w:rsid w:val="00797DA9"/>
    <w:rsid w:val="00797DF8"/>
    <w:rsid w:val="007A025C"/>
    <w:rsid w:val="007A0655"/>
    <w:rsid w:val="007A0923"/>
    <w:rsid w:val="007A0AC9"/>
    <w:rsid w:val="007A0FE4"/>
    <w:rsid w:val="007A1C19"/>
    <w:rsid w:val="007A1E7A"/>
    <w:rsid w:val="007A223D"/>
    <w:rsid w:val="007A242B"/>
    <w:rsid w:val="007A250B"/>
    <w:rsid w:val="007A263B"/>
    <w:rsid w:val="007A2C18"/>
    <w:rsid w:val="007A3476"/>
    <w:rsid w:val="007A378C"/>
    <w:rsid w:val="007A4387"/>
    <w:rsid w:val="007A4917"/>
    <w:rsid w:val="007A4972"/>
    <w:rsid w:val="007A4F56"/>
    <w:rsid w:val="007A5257"/>
    <w:rsid w:val="007A55B2"/>
    <w:rsid w:val="007A566B"/>
    <w:rsid w:val="007A599B"/>
    <w:rsid w:val="007A5E75"/>
    <w:rsid w:val="007A5F79"/>
    <w:rsid w:val="007A5FFA"/>
    <w:rsid w:val="007A6136"/>
    <w:rsid w:val="007A6518"/>
    <w:rsid w:val="007A6807"/>
    <w:rsid w:val="007A6A15"/>
    <w:rsid w:val="007A6B78"/>
    <w:rsid w:val="007A6C0F"/>
    <w:rsid w:val="007A6E65"/>
    <w:rsid w:val="007A7015"/>
    <w:rsid w:val="007A71F6"/>
    <w:rsid w:val="007A79C6"/>
    <w:rsid w:val="007A7A40"/>
    <w:rsid w:val="007A7B70"/>
    <w:rsid w:val="007B031B"/>
    <w:rsid w:val="007B03B1"/>
    <w:rsid w:val="007B07D8"/>
    <w:rsid w:val="007B0BB3"/>
    <w:rsid w:val="007B0EA6"/>
    <w:rsid w:val="007B1582"/>
    <w:rsid w:val="007B17AE"/>
    <w:rsid w:val="007B1839"/>
    <w:rsid w:val="007B1963"/>
    <w:rsid w:val="007B1FFE"/>
    <w:rsid w:val="007B2041"/>
    <w:rsid w:val="007B240B"/>
    <w:rsid w:val="007B3537"/>
    <w:rsid w:val="007B35E8"/>
    <w:rsid w:val="007B3718"/>
    <w:rsid w:val="007B3757"/>
    <w:rsid w:val="007B4089"/>
    <w:rsid w:val="007B40E9"/>
    <w:rsid w:val="007B4819"/>
    <w:rsid w:val="007B4EC9"/>
    <w:rsid w:val="007B506F"/>
    <w:rsid w:val="007B5299"/>
    <w:rsid w:val="007B618B"/>
    <w:rsid w:val="007B681A"/>
    <w:rsid w:val="007B6C9F"/>
    <w:rsid w:val="007B7962"/>
    <w:rsid w:val="007B7DC9"/>
    <w:rsid w:val="007C073B"/>
    <w:rsid w:val="007C0AEC"/>
    <w:rsid w:val="007C10AF"/>
    <w:rsid w:val="007C1794"/>
    <w:rsid w:val="007C17A3"/>
    <w:rsid w:val="007C17F5"/>
    <w:rsid w:val="007C199A"/>
    <w:rsid w:val="007C1A58"/>
    <w:rsid w:val="007C1BEA"/>
    <w:rsid w:val="007C200E"/>
    <w:rsid w:val="007C20E7"/>
    <w:rsid w:val="007C2231"/>
    <w:rsid w:val="007C2789"/>
    <w:rsid w:val="007C402D"/>
    <w:rsid w:val="007C510D"/>
    <w:rsid w:val="007C5889"/>
    <w:rsid w:val="007C5B6D"/>
    <w:rsid w:val="007C607B"/>
    <w:rsid w:val="007C6CB2"/>
    <w:rsid w:val="007C6F99"/>
    <w:rsid w:val="007C7D51"/>
    <w:rsid w:val="007C7E2E"/>
    <w:rsid w:val="007D0796"/>
    <w:rsid w:val="007D2507"/>
    <w:rsid w:val="007D259F"/>
    <w:rsid w:val="007D2857"/>
    <w:rsid w:val="007D4361"/>
    <w:rsid w:val="007D4B54"/>
    <w:rsid w:val="007D5202"/>
    <w:rsid w:val="007D58E9"/>
    <w:rsid w:val="007D5B94"/>
    <w:rsid w:val="007D61BF"/>
    <w:rsid w:val="007D6247"/>
    <w:rsid w:val="007D68F5"/>
    <w:rsid w:val="007D7118"/>
    <w:rsid w:val="007D7172"/>
    <w:rsid w:val="007D78B5"/>
    <w:rsid w:val="007D7B54"/>
    <w:rsid w:val="007E027F"/>
    <w:rsid w:val="007E043C"/>
    <w:rsid w:val="007E0442"/>
    <w:rsid w:val="007E074E"/>
    <w:rsid w:val="007E15EB"/>
    <w:rsid w:val="007E20F0"/>
    <w:rsid w:val="007E2110"/>
    <w:rsid w:val="007E2951"/>
    <w:rsid w:val="007E2DBF"/>
    <w:rsid w:val="007E3CCC"/>
    <w:rsid w:val="007E471F"/>
    <w:rsid w:val="007E485C"/>
    <w:rsid w:val="007E4A3D"/>
    <w:rsid w:val="007E51D9"/>
    <w:rsid w:val="007E5376"/>
    <w:rsid w:val="007E5401"/>
    <w:rsid w:val="007E5D78"/>
    <w:rsid w:val="007E6C88"/>
    <w:rsid w:val="007E6D6A"/>
    <w:rsid w:val="007E6F50"/>
    <w:rsid w:val="007E726A"/>
    <w:rsid w:val="007E7664"/>
    <w:rsid w:val="007E7A4C"/>
    <w:rsid w:val="007E7B44"/>
    <w:rsid w:val="007F0113"/>
    <w:rsid w:val="007F0866"/>
    <w:rsid w:val="007F14E5"/>
    <w:rsid w:val="007F1C93"/>
    <w:rsid w:val="007F1F6C"/>
    <w:rsid w:val="007F2131"/>
    <w:rsid w:val="007F2CBA"/>
    <w:rsid w:val="007F2EED"/>
    <w:rsid w:val="007F3504"/>
    <w:rsid w:val="007F3538"/>
    <w:rsid w:val="007F3623"/>
    <w:rsid w:val="007F3954"/>
    <w:rsid w:val="007F3A46"/>
    <w:rsid w:val="007F41FC"/>
    <w:rsid w:val="007F42AE"/>
    <w:rsid w:val="007F48A3"/>
    <w:rsid w:val="007F4BBE"/>
    <w:rsid w:val="007F4E3B"/>
    <w:rsid w:val="007F579A"/>
    <w:rsid w:val="007F676F"/>
    <w:rsid w:val="007F68FF"/>
    <w:rsid w:val="007F7FB2"/>
    <w:rsid w:val="008008BB"/>
    <w:rsid w:val="0080109C"/>
    <w:rsid w:val="00801A4D"/>
    <w:rsid w:val="0080243E"/>
    <w:rsid w:val="0080264A"/>
    <w:rsid w:val="0080329B"/>
    <w:rsid w:val="008034FB"/>
    <w:rsid w:val="008037D8"/>
    <w:rsid w:val="00803D08"/>
    <w:rsid w:val="008044AC"/>
    <w:rsid w:val="00804796"/>
    <w:rsid w:val="00804E58"/>
    <w:rsid w:val="00805133"/>
    <w:rsid w:val="008054EA"/>
    <w:rsid w:val="0080568A"/>
    <w:rsid w:val="00805AD2"/>
    <w:rsid w:val="0080631E"/>
    <w:rsid w:val="0080671E"/>
    <w:rsid w:val="008068DC"/>
    <w:rsid w:val="00806904"/>
    <w:rsid w:val="008076C5"/>
    <w:rsid w:val="00807D31"/>
    <w:rsid w:val="00807FDA"/>
    <w:rsid w:val="0081079F"/>
    <w:rsid w:val="00810F22"/>
    <w:rsid w:val="00811189"/>
    <w:rsid w:val="00811336"/>
    <w:rsid w:val="00811CF4"/>
    <w:rsid w:val="00811D3F"/>
    <w:rsid w:val="00811F24"/>
    <w:rsid w:val="00811FDE"/>
    <w:rsid w:val="008120BA"/>
    <w:rsid w:val="00812CC2"/>
    <w:rsid w:val="0081361F"/>
    <w:rsid w:val="00813625"/>
    <w:rsid w:val="00813AC3"/>
    <w:rsid w:val="008141A3"/>
    <w:rsid w:val="008142AA"/>
    <w:rsid w:val="00814486"/>
    <w:rsid w:val="008144EA"/>
    <w:rsid w:val="00814514"/>
    <w:rsid w:val="0081457C"/>
    <w:rsid w:val="00814858"/>
    <w:rsid w:val="00814CBC"/>
    <w:rsid w:val="00814FB4"/>
    <w:rsid w:val="0081500E"/>
    <w:rsid w:val="00815A79"/>
    <w:rsid w:val="00815AFD"/>
    <w:rsid w:val="00815D14"/>
    <w:rsid w:val="008161D3"/>
    <w:rsid w:val="00816327"/>
    <w:rsid w:val="00816593"/>
    <w:rsid w:val="008167A9"/>
    <w:rsid w:val="00816BA3"/>
    <w:rsid w:val="00816C85"/>
    <w:rsid w:val="00816D2A"/>
    <w:rsid w:val="008171A6"/>
    <w:rsid w:val="00817690"/>
    <w:rsid w:val="00817775"/>
    <w:rsid w:val="0081778C"/>
    <w:rsid w:val="00817CA6"/>
    <w:rsid w:val="00817F1F"/>
    <w:rsid w:val="00820131"/>
    <w:rsid w:val="008207D2"/>
    <w:rsid w:val="0082163A"/>
    <w:rsid w:val="008218EF"/>
    <w:rsid w:val="008219F6"/>
    <w:rsid w:val="00821B86"/>
    <w:rsid w:val="00821C41"/>
    <w:rsid w:val="0082230A"/>
    <w:rsid w:val="00822475"/>
    <w:rsid w:val="008237AC"/>
    <w:rsid w:val="00823B29"/>
    <w:rsid w:val="00823FDB"/>
    <w:rsid w:val="008245A9"/>
    <w:rsid w:val="008246C5"/>
    <w:rsid w:val="00824B3F"/>
    <w:rsid w:val="00824E59"/>
    <w:rsid w:val="008258D7"/>
    <w:rsid w:val="00825A7C"/>
    <w:rsid w:val="008266E2"/>
    <w:rsid w:val="00826D8B"/>
    <w:rsid w:val="0082776E"/>
    <w:rsid w:val="00827E05"/>
    <w:rsid w:val="00830080"/>
    <w:rsid w:val="00830542"/>
    <w:rsid w:val="00830A3E"/>
    <w:rsid w:val="00830AED"/>
    <w:rsid w:val="008315B7"/>
    <w:rsid w:val="00831B56"/>
    <w:rsid w:val="00831CAC"/>
    <w:rsid w:val="00831D42"/>
    <w:rsid w:val="00831E00"/>
    <w:rsid w:val="008321B4"/>
    <w:rsid w:val="00832849"/>
    <w:rsid w:val="008339DA"/>
    <w:rsid w:val="00833F2C"/>
    <w:rsid w:val="00834A6A"/>
    <w:rsid w:val="00834CF4"/>
    <w:rsid w:val="00836082"/>
    <w:rsid w:val="00836208"/>
    <w:rsid w:val="00836753"/>
    <w:rsid w:val="00836843"/>
    <w:rsid w:val="00836DD5"/>
    <w:rsid w:val="00836E6D"/>
    <w:rsid w:val="00837977"/>
    <w:rsid w:val="00840BB1"/>
    <w:rsid w:val="00841BCD"/>
    <w:rsid w:val="00841F0E"/>
    <w:rsid w:val="00842886"/>
    <w:rsid w:val="008429DC"/>
    <w:rsid w:val="0084313F"/>
    <w:rsid w:val="008438DB"/>
    <w:rsid w:val="008442B8"/>
    <w:rsid w:val="0084465D"/>
    <w:rsid w:val="00844F5F"/>
    <w:rsid w:val="008453E7"/>
    <w:rsid w:val="00845707"/>
    <w:rsid w:val="00845BD2"/>
    <w:rsid w:val="00846899"/>
    <w:rsid w:val="00846AEF"/>
    <w:rsid w:val="00846DE3"/>
    <w:rsid w:val="00846E6F"/>
    <w:rsid w:val="00846F88"/>
    <w:rsid w:val="00847294"/>
    <w:rsid w:val="00847469"/>
    <w:rsid w:val="00847AE0"/>
    <w:rsid w:val="00850043"/>
    <w:rsid w:val="00850187"/>
    <w:rsid w:val="0085106C"/>
    <w:rsid w:val="008510B4"/>
    <w:rsid w:val="0085299C"/>
    <w:rsid w:val="00852BAE"/>
    <w:rsid w:val="00852E4A"/>
    <w:rsid w:val="00853950"/>
    <w:rsid w:val="00853B19"/>
    <w:rsid w:val="00853C83"/>
    <w:rsid w:val="0085460A"/>
    <w:rsid w:val="00854713"/>
    <w:rsid w:val="008547D0"/>
    <w:rsid w:val="00855176"/>
    <w:rsid w:val="00855482"/>
    <w:rsid w:val="0085564E"/>
    <w:rsid w:val="00855D3B"/>
    <w:rsid w:val="00855FF4"/>
    <w:rsid w:val="00856505"/>
    <w:rsid w:val="00856D51"/>
    <w:rsid w:val="00857126"/>
    <w:rsid w:val="008575B5"/>
    <w:rsid w:val="008577C0"/>
    <w:rsid w:val="00857BF1"/>
    <w:rsid w:val="00857DB2"/>
    <w:rsid w:val="008604C3"/>
    <w:rsid w:val="0086051F"/>
    <w:rsid w:val="008608AF"/>
    <w:rsid w:val="00860CD9"/>
    <w:rsid w:val="00861488"/>
    <w:rsid w:val="00861A59"/>
    <w:rsid w:val="00861AEC"/>
    <w:rsid w:val="00861F4D"/>
    <w:rsid w:val="008627A8"/>
    <w:rsid w:val="008627F7"/>
    <w:rsid w:val="00862CD7"/>
    <w:rsid w:val="00862CE7"/>
    <w:rsid w:val="008637CA"/>
    <w:rsid w:val="008638FA"/>
    <w:rsid w:val="008644ED"/>
    <w:rsid w:val="0086509A"/>
    <w:rsid w:val="00865254"/>
    <w:rsid w:val="008652E7"/>
    <w:rsid w:val="008655A8"/>
    <w:rsid w:val="00866588"/>
    <w:rsid w:val="00866CB6"/>
    <w:rsid w:val="00867981"/>
    <w:rsid w:val="00870022"/>
    <w:rsid w:val="00870074"/>
    <w:rsid w:val="008702D5"/>
    <w:rsid w:val="0087031C"/>
    <w:rsid w:val="008703B7"/>
    <w:rsid w:val="008704AE"/>
    <w:rsid w:val="008704EC"/>
    <w:rsid w:val="00870568"/>
    <w:rsid w:val="008705CE"/>
    <w:rsid w:val="00870979"/>
    <w:rsid w:val="008709C4"/>
    <w:rsid w:val="0087106B"/>
    <w:rsid w:val="0087192E"/>
    <w:rsid w:val="00872289"/>
    <w:rsid w:val="0087284E"/>
    <w:rsid w:val="00872922"/>
    <w:rsid w:val="00873198"/>
    <w:rsid w:val="0087371D"/>
    <w:rsid w:val="00873977"/>
    <w:rsid w:val="0087571F"/>
    <w:rsid w:val="008758E2"/>
    <w:rsid w:val="00875FA4"/>
    <w:rsid w:val="0087619A"/>
    <w:rsid w:val="00876CD8"/>
    <w:rsid w:val="00876EBC"/>
    <w:rsid w:val="00876ECB"/>
    <w:rsid w:val="00877FE5"/>
    <w:rsid w:val="00877FF9"/>
    <w:rsid w:val="00880676"/>
    <w:rsid w:val="00880AB4"/>
    <w:rsid w:val="00880F7E"/>
    <w:rsid w:val="0088134B"/>
    <w:rsid w:val="00881AA6"/>
    <w:rsid w:val="008820DD"/>
    <w:rsid w:val="00882534"/>
    <w:rsid w:val="00882BA2"/>
    <w:rsid w:val="00882C08"/>
    <w:rsid w:val="00883356"/>
    <w:rsid w:val="00883A9B"/>
    <w:rsid w:val="00883DB0"/>
    <w:rsid w:val="0088406E"/>
    <w:rsid w:val="00884384"/>
    <w:rsid w:val="008844F5"/>
    <w:rsid w:val="0088457D"/>
    <w:rsid w:val="00884711"/>
    <w:rsid w:val="00884C13"/>
    <w:rsid w:val="00885016"/>
    <w:rsid w:val="00885322"/>
    <w:rsid w:val="008854C5"/>
    <w:rsid w:val="0088579C"/>
    <w:rsid w:val="00885A48"/>
    <w:rsid w:val="00885C26"/>
    <w:rsid w:val="0088610E"/>
    <w:rsid w:val="008870EE"/>
    <w:rsid w:val="0088735E"/>
    <w:rsid w:val="008873F8"/>
    <w:rsid w:val="0088768A"/>
    <w:rsid w:val="008877D1"/>
    <w:rsid w:val="008879C0"/>
    <w:rsid w:val="00887B81"/>
    <w:rsid w:val="00887EF3"/>
    <w:rsid w:val="0089084F"/>
    <w:rsid w:val="00890A47"/>
    <w:rsid w:val="00890FD6"/>
    <w:rsid w:val="0089109F"/>
    <w:rsid w:val="008910B1"/>
    <w:rsid w:val="00891DC4"/>
    <w:rsid w:val="0089213C"/>
    <w:rsid w:val="008928A9"/>
    <w:rsid w:val="00892DB7"/>
    <w:rsid w:val="0089309E"/>
    <w:rsid w:val="00893B0B"/>
    <w:rsid w:val="00894449"/>
    <w:rsid w:val="00894943"/>
    <w:rsid w:val="00894CD3"/>
    <w:rsid w:val="008950AD"/>
    <w:rsid w:val="008950BC"/>
    <w:rsid w:val="00895437"/>
    <w:rsid w:val="008958D3"/>
    <w:rsid w:val="0089599C"/>
    <w:rsid w:val="00895C13"/>
    <w:rsid w:val="00895E74"/>
    <w:rsid w:val="00895EBB"/>
    <w:rsid w:val="0089652B"/>
    <w:rsid w:val="00896AC8"/>
    <w:rsid w:val="00897253"/>
    <w:rsid w:val="00897652"/>
    <w:rsid w:val="00897C03"/>
    <w:rsid w:val="00897FCF"/>
    <w:rsid w:val="008A01DA"/>
    <w:rsid w:val="008A0962"/>
    <w:rsid w:val="008A0C30"/>
    <w:rsid w:val="008A1018"/>
    <w:rsid w:val="008A176E"/>
    <w:rsid w:val="008A180E"/>
    <w:rsid w:val="008A1F2E"/>
    <w:rsid w:val="008A249B"/>
    <w:rsid w:val="008A2603"/>
    <w:rsid w:val="008A29E2"/>
    <w:rsid w:val="008A365C"/>
    <w:rsid w:val="008A3960"/>
    <w:rsid w:val="008A3AEB"/>
    <w:rsid w:val="008A3C99"/>
    <w:rsid w:val="008A3D05"/>
    <w:rsid w:val="008A3FBE"/>
    <w:rsid w:val="008A539D"/>
    <w:rsid w:val="008A543E"/>
    <w:rsid w:val="008A5606"/>
    <w:rsid w:val="008A64C3"/>
    <w:rsid w:val="008A6C2F"/>
    <w:rsid w:val="008A7481"/>
    <w:rsid w:val="008B05AE"/>
    <w:rsid w:val="008B1832"/>
    <w:rsid w:val="008B1BB9"/>
    <w:rsid w:val="008B1BF7"/>
    <w:rsid w:val="008B1E3F"/>
    <w:rsid w:val="008B1F0C"/>
    <w:rsid w:val="008B2488"/>
    <w:rsid w:val="008B2748"/>
    <w:rsid w:val="008B2A51"/>
    <w:rsid w:val="008B2B40"/>
    <w:rsid w:val="008B2C5C"/>
    <w:rsid w:val="008B321F"/>
    <w:rsid w:val="008B40E3"/>
    <w:rsid w:val="008B42BB"/>
    <w:rsid w:val="008B4417"/>
    <w:rsid w:val="008B47E5"/>
    <w:rsid w:val="008B4FA4"/>
    <w:rsid w:val="008B5416"/>
    <w:rsid w:val="008B583F"/>
    <w:rsid w:val="008B6298"/>
    <w:rsid w:val="008B646D"/>
    <w:rsid w:val="008B6ACC"/>
    <w:rsid w:val="008B6C90"/>
    <w:rsid w:val="008B6D87"/>
    <w:rsid w:val="008B7073"/>
    <w:rsid w:val="008B7171"/>
    <w:rsid w:val="008B788C"/>
    <w:rsid w:val="008C03CB"/>
    <w:rsid w:val="008C07D8"/>
    <w:rsid w:val="008C09AB"/>
    <w:rsid w:val="008C0B63"/>
    <w:rsid w:val="008C1F18"/>
    <w:rsid w:val="008C2036"/>
    <w:rsid w:val="008C2101"/>
    <w:rsid w:val="008C2628"/>
    <w:rsid w:val="008C291F"/>
    <w:rsid w:val="008C2DB4"/>
    <w:rsid w:val="008C3986"/>
    <w:rsid w:val="008C39E4"/>
    <w:rsid w:val="008C41EE"/>
    <w:rsid w:val="008C4259"/>
    <w:rsid w:val="008C4278"/>
    <w:rsid w:val="008C42CE"/>
    <w:rsid w:val="008C444B"/>
    <w:rsid w:val="008C60EC"/>
    <w:rsid w:val="008C6125"/>
    <w:rsid w:val="008C6655"/>
    <w:rsid w:val="008C68A0"/>
    <w:rsid w:val="008C6909"/>
    <w:rsid w:val="008C6F6A"/>
    <w:rsid w:val="008C6FAE"/>
    <w:rsid w:val="008C7307"/>
    <w:rsid w:val="008C7A9D"/>
    <w:rsid w:val="008C7B45"/>
    <w:rsid w:val="008C7BDF"/>
    <w:rsid w:val="008C7C03"/>
    <w:rsid w:val="008D032E"/>
    <w:rsid w:val="008D0336"/>
    <w:rsid w:val="008D0A4F"/>
    <w:rsid w:val="008D0B58"/>
    <w:rsid w:val="008D0FBB"/>
    <w:rsid w:val="008D10C9"/>
    <w:rsid w:val="008D12DD"/>
    <w:rsid w:val="008D1425"/>
    <w:rsid w:val="008D2817"/>
    <w:rsid w:val="008D289B"/>
    <w:rsid w:val="008D34C5"/>
    <w:rsid w:val="008D350A"/>
    <w:rsid w:val="008D3670"/>
    <w:rsid w:val="008D36DF"/>
    <w:rsid w:val="008D39D0"/>
    <w:rsid w:val="008D4044"/>
    <w:rsid w:val="008D4178"/>
    <w:rsid w:val="008D435D"/>
    <w:rsid w:val="008D46E4"/>
    <w:rsid w:val="008D4B34"/>
    <w:rsid w:val="008D4FD1"/>
    <w:rsid w:val="008D5034"/>
    <w:rsid w:val="008D550E"/>
    <w:rsid w:val="008D5CE4"/>
    <w:rsid w:val="008D5D84"/>
    <w:rsid w:val="008D6709"/>
    <w:rsid w:val="008D687B"/>
    <w:rsid w:val="008D6D25"/>
    <w:rsid w:val="008D6FE4"/>
    <w:rsid w:val="008D70E8"/>
    <w:rsid w:val="008D775C"/>
    <w:rsid w:val="008D7A1C"/>
    <w:rsid w:val="008E04FB"/>
    <w:rsid w:val="008E0647"/>
    <w:rsid w:val="008E1987"/>
    <w:rsid w:val="008E1EA6"/>
    <w:rsid w:val="008E21D5"/>
    <w:rsid w:val="008E244E"/>
    <w:rsid w:val="008E2883"/>
    <w:rsid w:val="008E2AAC"/>
    <w:rsid w:val="008E30D1"/>
    <w:rsid w:val="008E36C6"/>
    <w:rsid w:val="008E3825"/>
    <w:rsid w:val="008E417C"/>
    <w:rsid w:val="008E41A6"/>
    <w:rsid w:val="008E45F7"/>
    <w:rsid w:val="008E4609"/>
    <w:rsid w:val="008E4715"/>
    <w:rsid w:val="008E4D0D"/>
    <w:rsid w:val="008E4D25"/>
    <w:rsid w:val="008E5448"/>
    <w:rsid w:val="008E58D6"/>
    <w:rsid w:val="008E59BE"/>
    <w:rsid w:val="008E6107"/>
    <w:rsid w:val="008E61BF"/>
    <w:rsid w:val="008E6898"/>
    <w:rsid w:val="008E69CC"/>
    <w:rsid w:val="008E715D"/>
    <w:rsid w:val="008E76A7"/>
    <w:rsid w:val="008E7A85"/>
    <w:rsid w:val="008E7DB2"/>
    <w:rsid w:val="008E7DCF"/>
    <w:rsid w:val="008E7EEC"/>
    <w:rsid w:val="008F007C"/>
    <w:rsid w:val="008F0352"/>
    <w:rsid w:val="008F10E0"/>
    <w:rsid w:val="008F1EE7"/>
    <w:rsid w:val="008F2982"/>
    <w:rsid w:val="008F2CBB"/>
    <w:rsid w:val="008F32FD"/>
    <w:rsid w:val="008F3BFE"/>
    <w:rsid w:val="008F45A5"/>
    <w:rsid w:val="008F4AAF"/>
    <w:rsid w:val="008F4F0E"/>
    <w:rsid w:val="008F516C"/>
    <w:rsid w:val="008F5715"/>
    <w:rsid w:val="008F58B1"/>
    <w:rsid w:val="008F5DC6"/>
    <w:rsid w:val="008F651C"/>
    <w:rsid w:val="008F737E"/>
    <w:rsid w:val="008F7470"/>
    <w:rsid w:val="008F773B"/>
    <w:rsid w:val="008F7E47"/>
    <w:rsid w:val="00900111"/>
    <w:rsid w:val="0090078B"/>
    <w:rsid w:val="009019E5"/>
    <w:rsid w:val="00901D41"/>
    <w:rsid w:val="00901F61"/>
    <w:rsid w:val="009023C3"/>
    <w:rsid w:val="00902C4B"/>
    <w:rsid w:val="00902FC8"/>
    <w:rsid w:val="00903458"/>
    <w:rsid w:val="009034FC"/>
    <w:rsid w:val="009036FB"/>
    <w:rsid w:val="00903754"/>
    <w:rsid w:val="00903ADB"/>
    <w:rsid w:val="00904211"/>
    <w:rsid w:val="00904A52"/>
    <w:rsid w:val="00904AFA"/>
    <w:rsid w:val="00904C5D"/>
    <w:rsid w:val="00904C79"/>
    <w:rsid w:val="00905918"/>
    <w:rsid w:val="009060AA"/>
    <w:rsid w:val="009069B3"/>
    <w:rsid w:val="00906E9F"/>
    <w:rsid w:val="009071D4"/>
    <w:rsid w:val="00907500"/>
    <w:rsid w:val="00907599"/>
    <w:rsid w:val="00907A24"/>
    <w:rsid w:val="00907A8F"/>
    <w:rsid w:val="009101A3"/>
    <w:rsid w:val="0091023C"/>
    <w:rsid w:val="00911274"/>
    <w:rsid w:val="0091199E"/>
    <w:rsid w:val="0091258B"/>
    <w:rsid w:val="00912A1A"/>
    <w:rsid w:val="00912C6B"/>
    <w:rsid w:val="00912D2A"/>
    <w:rsid w:val="009130EB"/>
    <w:rsid w:val="009131D4"/>
    <w:rsid w:val="00913415"/>
    <w:rsid w:val="009136D8"/>
    <w:rsid w:val="0091396A"/>
    <w:rsid w:val="00913A25"/>
    <w:rsid w:val="00913AAE"/>
    <w:rsid w:val="00913C9A"/>
    <w:rsid w:val="00913F3E"/>
    <w:rsid w:val="009149B5"/>
    <w:rsid w:val="00915014"/>
    <w:rsid w:val="00915650"/>
    <w:rsid w:val="00915787"/>
    <w:rsid w:val="009159B4"/>
    <w:rsid w:val="00915D49"/>
    <w:rsid w:val="009160AD"/>
    <w:rsid w:val="0091636B"/>
    <w:rsid w:val="009165F4"/>
    <w:rsid w:val="00916839"/>
    <w:rsid w:val="00916BA5"/>
    <w:rsid w:val="00917251"/>
    <w:rsid w:val="009176F6"/>
    <w:rsid w:val="0092013D"/>
    <w:rsid w:val="00920154"/>
    <w:rsid w:val="00920917"/>
    <w:rsid w:val="009209F2"/>
    <w:rsid w:val="009210A4"/>
    <w:rsid w:val="0092173D"/>
    <w:rsid w:val="00921B41"/>
    <w:rsid w:val="00921FC3"/>
    <w:rsid w:val="009222FE"/>
    <w:rsid w:val="009232C6"/>
    <w:rsid w:val="00923411"/>
    <w:rsid w:val="0092356D"/>
    <w:rsid w:val="0092397B"/>
    <w:rsid w:val="00923AAA"/>
    <w:rsid w:val="00923BC8"/>
    <w:rsid w:val="00923FAD"/>
    <w:rsid w:val="009240AB"/>
    <w:rsid w:val="0092441B"/>
    <w:rsid w:val="00924C80"/>
    <w:rsid w:val="00924E95"/>
    <w:rsid w:val="0092513F"/>
    <w:rsid w:val="00926089"/>
    <w:rsid w:val="009260C2"/>
    <w:rsid w:val="0092630D"/>
    <w:rsid w:val="00926B4D"/>
    <w:rsid w:val="00926DAC"/>
    <w:rsid w:val="00926F7D"/>
    <w:rsid w:val="0092746D"/>
    <w:rsid w:val="009278FD"/>
    <w:rsid w:val="00927AA0"/>
    <w:rsid w:val="00927CE8"/>
    <w:rsid w:val="0093036E"/>
    <w:rsid w:val="00930545"/>
    <w:rsid w:val="009310CB"/>
    <w:rsid w:val="00931114"/>
    <w:rsid w:val="00931356"/>
    <w:rsid w:val="0093200B"/>
    <w:rsid w:val="009327E8"/>
    <w:rsid w:val="00932902"/>
    <w:rsid w:val="00932935"/>
    <w:rsid w:val="00932955"/>
    <w:rsid w:val="0093298A"/>
    <w:rsid w:val="009330E1"/>
    <w:rsid w:val="00933676"/>
    <w:rsid w:val="009337A8"/>
    <w:rsid w:val="00933AEA"/>
    <w:rsid w:val="009341FF"/>
    <w:rsid w:val="009349EE"/>
    <w:rsid w:val="00935D28"/>
    <w:rsid w:val="009364AB"/>
    <w:rsid w:val="009366C5"/>
    <w:rsid w:val="009377E9"/>
    <w:rsid w:val="00940583"/>
    <w:rsid w:val="00940748"/>
    <w:rsid w:val="0094127B"/>
    <w:rsid w:val="0094144C"/>
    <w:rsid w:val="00941A5B"/>
    <w:rsid w:val="00942443"/>
    <w:rsid w:val="00942FA7"/>
    <w:rsid w:val="00943096"/>
    <w:rsid w:val="00943249"/>
    <w:rsid w:val="00943432"/>
    <w:rsid w:val="009438C7"/>
    <w:rsid w:val="009438DB"/>
    <w:rsid w:val="009439AB"/>
    <w:rsid w:val="00943ABC"/>
    <w:rsid w:val="00943DD3"/>
    <w:rsid w:val="009440CF"/>
    <w:rsid w:val="00944959"/>
    <w:rsid w:val="00944AC6"/>
    <w:rsid w:val="009457BF"/>
    <w:rsid w:val="00945834"/>
    <w:rsid w:val="00945B11"/>
    <w:rsid w:val="00945CF3"/>
    <w:rsid w:val="00946006"/>
    <w:rsid w:val="00946577"/>
    <w:rsid w:val="009468D7"/>
    <w:rsid w:val="00946BE8"/>
    <w:rsid w:val="00946DA1"/>
    <w:rsid w:val="009500DD"/>
    <w:rsid w:val="00950EFA"/>
    <w:rsid w:val="009518CC"/>
    <w:rsid w:val="00951AC8"/>
    <w:rsid w:val="0095213C"/>
    <w:rsid w:val="00952358"/>
    <w:rsid w:val="00952652"/>
    <w:rsid w:val="00952C5E"/>
    <w:rsid w:val="00952D2A"/>
    <w:rsid w:val="00953479"/>
    <w:rsid w:val="0095353A"/>
    <w:rsid w:val="00953997"/>
    <w:rsid w:val="00953A92"/>
    <w:rsid w:val="00953F87"/>
    <w:rsid w:val="0095400C"/>
    <w:rsid w:val="009545CB"/>
    <w:rsid w:val="00954A0E"/>
    <w:rsid w:val="00954FE2"/>
    <w:rsid w:val="0095509C"/>
    <w:rsid w:val="00956145"/>
    <w:rsid w:val="00956624"/>
    <w:rsid w:val="009566D7"/>
    <w:rsid w:val="00956FB0"/>
    <w:rsid w:val="00960228"/>
    <w:rsid w:val="00960330"/>
    <w:rsid w:val="009608D9"/>
    <w:rsid w:val="00960A75"/>
    <w:rsid w:val="00961174"/>
    <w:rsid w:val="00961191"/>
    <w:rsid w:val="00961C73"/>
    <w:rsid w:val="0096221C"/>
    <w:rsid w:val="0096234C"/>
    <w:rsid w:val="00962A6A"/>
    <w:rsid w:val="00962FD4"/>
    <w:rsid w:val="009630B9"/>
    <w:rsid w:val="00963DDC"/>
    <w:rsid w:val="0096431A"/>
    <w:rsid w:val="00964906"/>
    <w:rsid w:val="00965206"/>
    <w:rsid w:val="00966039"/>
    <w:rsid w:val="0096633D"/>
    <w:rsid w:val="009664B6"/>
    <w:rsid w:val="00966D60"/>
    <w:rsid w:val="00967680"/>
    <w:rsid w:val="00967D10"/>
    <w:rsid w:val="00967F2C"/>
    <w:rsid w:val="00970395"/>
    <w:rsid w:val="009704C4"/>
    <w:rsid w:val="009709CB"/>
    <w:rsid w:val="00970CA4"/>
    <w:rsid w:val="00970F51"/>
    <w:rsid w:val="00971B68"/>
    <w:rsid w:val="00971BAC"/>
    <w:rsid w:val="009721D8"/>
    <w:rsid w:val="00972241"/>
    <w:rsid w:val="00972B84"/>
    <w:rsid w:val="00972F35"/>
    <w:rsid w:val="009739FA"/>
    <w:rsid w:val="00973D0D"/>
    <w:rsid w:val="00973D7E"/>
    <w:rsid w:val="00973DC8"/>
    <w:rsid w:val="00973DF4"/>
    <w:rsid w:val="00974844"/>
    <w:rsid w:val="00974C35"/>
    <w:rsid w:val="00974EB7"/>
    <w:rsid w:val="00975831"/>
    <w:rsid w:val="009758AC"/>
    <w:rsid w:val="0097592E"/>
    <w:rsid w:val="00976270"/>
    <w:rsid w:val="00976457"/>
    <w:rsid w:val="00976FEC"/>
    <w:rsid w:val="009771EC"/>
    <w:rsid w:val="00980031"/>
    <w:rsid w:val="00980081"/>
    <w:rsid w:val="009801FB"/>
    <w:rsid w:val="009803E9"/>
    <w:rsid w:val="00980A54"/>
    <w:rsid w:val="00980B2E"/>
    <w:rsid w:val="00980BAC"/>
    <w:rsid w:val="009821C5"/>
    <w:rsid w:val="00982BD7"/>
    <w:rsid w:val="00983292"/>
    <w:rsid w:val="0098357F"/>
    <w:rsid w:val="00983782"/>
    <w:rsid w:val="009838A7"/>
    <w:rsid w:val="00983911"/>
    <w:rsid w:val="009839AF"/>
    <w:rsid w:val="00983D0B"/>
    <w:rsid w:val="00983D90"/>
    <w:rsid w:val="00983F34"/>
    <w:rsid w:val="00983FCC"/>
    <w:rsid w:val="00983FF6"/>
    <w:rsid w:val="00984991"/>
    <w:rsid w:val="00984A4A"/>
    <w:rsid w:val="00984D1E"/>
    <w:rsid w:val="00985300"/>
    <w:rsid w:val="0098551C"/>
    <w:rsid w:val="009855DD"/>
    <w:rsid w:val="0098586E"/>
    <w:rsid w:val="00985ADA"/>
    <w:rsid w:val="00985FC3"/>
    <w:rsid w:val="00986231"/>
    <w:rsid w:val="009863C8"/>
    <w:rsid w:val="0098682D"/>
    <w:rsid w:val="00986893"/>
    <w:rsid w:val="00986DB3"/>
    <w:rsid w:val="0098776A"/>
    <w:rsid w:val="00987912"/>
    <w:rsid w:val="00987E18"/>
    <w:rsid w:val="0099033A"/>
    <w:rsid w:val="009906CC"/>
    <w:rsid w:val="00990C17"/>
    <w:rsid w:val="00991219"/>
    <w:rsid w:val="00991BC5"/>
    <w:rsid w:val="00991BE9"/>
    <w:rsid w:val="00993FCA"/>
    <w:rsid w:val="009944C0"/>
    <w:rsid w:val="00994BC1"/>
    <w:rsid w:val="00994DFB"/>
    <w:rsid w:val="00995283"/>
    <w:rsid w:val="0099566C"/>
    <w:rsid w:val="009956D9"/>
    <w:rsid w:val="0099574B"/>
    <w:rsid w:val="009958A7"/>
    <w:rsid w:val="00995937"/>
    <w:rsid w:val="00995A78"/>
    <w:rsid w:val="00995AE0"/>
    <w:rsid w:val="00996161"/>
    <w:rsid w:val="00996B49"/>
    <w:rsid w:val="00996CA4"/>
    <w:rsid w:val="00997020"/>
    <w:rsid w:val="009970EE"/>
    <w:rsid w:val="0099738C"/>
    <w:rsid w:val="00997C65"/>
    <w:rsid w:val="00997FE9"/>
    <w:rsid w:val="009A033D"/>
    <w:rsid w:val="009A05C7"/>
    <w:rsid w:val="009A072E"/>
    <w:rsid w:val="009A0BA9"/>
    <w:rsid w:val="009A0BF3"/>
    <w:rsid w:val="009A1017"/>
    <w:rsid w:val="009A17EE"/>
    <w:rsid w:val="009A1EC3"/>
    <w:rsid w:val="009A23DE"/>
    <w:rsid w:val="009A2B35"/>
    <w:rsid w:val="009A311F"/>
    <w:rsid w:val="009A33D5"/>
    <w:rsid w:val="009A3A7C"/>
    <w:rsid w:val="009A4CB9"/>
    <w:rsid w:val="009A54E0"/>
    <w:rsid w:val="009A5784"/>
    <w:rsid w:val="009A5972"/>
    <w:rsid w:val="009A5A0D"/>
    <w:rsid w:val="009A63A4"/>
    <w:rsid w:val="009A67C9"/>
    <w:rsid w:val="009A73DA"/>
    <w:rsid w:val="009A76B0"/>
    <w:rsid w:val="009A7894"/>
    <w:rsid w:val="009A7E5C"/>
    <w:rsid w:val="009B0B3E"/>
    <w:rsid w:val="009B0C70"/>
    <w:rsid w:val="009B0F7B"/>
    <w:rsid w:val="009B0F9A"/>
    <w:rsid w:val="009B1BC0"/>
    <w:rsid w:val="009B1DA9"/>
    <w:rsid w:val="009B20AA"/>
    <w:rsid w:val="009B211F"/>
    <w:rsid w:val="009B22D9"/>
    <w:rsid w:val="009B26CA"/>
    <w:rsid w:val="009B3230"/>
    <w:rsid w:val="009B3D92"/>
    <w:rsid w:val="009B3F13"/>
    <w:rsid w:val="009B4095"/>
    <w:rsid w:val="009B44E8"/>
    <w:rsid w:val="009B4B69"/>
    <w:rsid w:val="009B5110"/>
    <w:rsid w:val="009B54D3"/>
    <w:rsid w:val="009B567B"/>
    <w:rsid w:val="009B5A71"/>
    <w:rsid w:val="009B5BD1"/>
    <w:rsid w:val="009B605A"/>
    <w:rsid w:val="009B6139"/>
    <w:rsid w:val="009B6321"/>
    <w:rsid w:val="009B63A0"/>
    <w:rsid w:val="009B7029"/>
    <w:rsid w:val="009B7D3C"/>
    <w:rsid w:val="009C0156"/>
    <w:rsid w:val="009C0180"/>
    <w:rsid w:val="009C065A"/>
    <w:rsid w:val="009C07C4"/>
    <w:rsid w:val="009C0CA4"/>
    <w:rsid w:val="009C0E3D"/>
    <w:rsid w:val="009C1143"/>
    <w:rsid w:val="009C1498"/>
    <w:rsid w:val="009C257F"/>
    <w:rsid w:val="009C2727"/>
    <w:rsid w:val="009C2A72"/>
    <w:rsid w:val="009C3568"/>
    <w:rsid w:val="009C3811"/>
    <w:rsid w:val="009C3840"/>
    <w:rsid w:val="009C391D"/>
    <w:rsid w:val="009C39D6"/>
    <w:rsid w:val="009C3F60"/>
    <w:rsid w:val="009C401F"/>
    <w:rsid w:val="009C4928"/>
    <w:rsid w:val="009C4D16"/>
    <w:rsid w:val="009C4F19"/>
    <w:rsid w:val="009C551F"/>
    <w:rsid w:val="009C5685"/>
    <w:rsid w:val="009C5BCC"/>
    <w:rsid w:val="009C5D22"/>
    <w:rsid w:val="009C5F8E"/>
    <w:rsid w:val="009C60DA"/>
    <w:rsid w:val="009C63A6"/>
    <w:rsid w:val="009C6DD6"/>
    <w:rsid w:val="009C70FB"/>
    <w:rsid w:val="009C7769"/>
    <w:rsid w:val="009C7793"/>
    <w:rsid w:val="009C7847"/>
    <w:rsid w:val="009C7893"/>
    <w:rsid w:val="009C7BA0"/>
    <w:rsid w:val="009C7BCE"/>
    <w:rsid w:val="009D0552"/>
    <w:rsid w:val="009D05BC"/>
    <w:rsid w:val="009D0907"/>
    <w:rsid w:val="009D10C1"/>
    <w:rsid w:val="009D17D7"/>
    <w:rsid w:val="009D1B27"/>
    <w:rsid w:val="009D1BBE"/>
    <w:rsid w:val="009D1D83"/>
    <w:rsid w:val="009D27FE"/>
    <w:rsid w:val="009D2B37"/>
    <w:rsid w:val="009D2D57"/>
    <w:rsid w:val="009D36EF"/>
    <w:rsid w:val="009D3BE5"/>
    <w:rsid w:val="009D3FF6"/>
    <w:rsid w:val="009D41F5"/>
    <w:rsid w:val="009D4A4D"/>
    <w:rsid w:val="009D51E9"/>
    <w:rsid w:val="009D5578"/>
    <w:rsid w:val="009D55F8"/>
    <w:rsid w:val="009D565D"/>
    <w:rsid w:val="009D5929"/>
    <w:rsid w:val="009D5E7F"/>
    <w:rsid w:val="009D615C"/>
    <w:rsid w:val="009D667C"/>
    <w:rsid w:val="009D6750"/>
    <w:rsid w:val="009D6B24"/>
    <w:rsid w:val="009D7164"/>
    <w:rsid w:val="009D7718"/>
    <w:rsid w:val="009D7725"/>
    <w:rsid w:val="009D77A0"/>
    <w:rsid w:val="009E05A7"/>
    <w:rsid w:val="009E0CDE"/>
    <w:rsid w:val="009E0E98"/>
    <w:rsid w:val="009E0FB9"/>
    <w:rsid w:val="009E1142"/>
    <w:rsid w:val="009E1C06"/>
    <w:rsid w:val="009E2336"/>
    <w:rsid w:val="009E2528"/>
    <w:rsid w:val="009E2A2C"/>
    <w:rsid w:val="009E2F6B"/>
    <w:rsid w:val="009E3B37"/>
    <w:rsid w:val="009E4054"/>
    <w:rsid w:val="009E46E8"/>
    <w:rsid w:val="009E54BA"/>
    <w:rsid w:val="009E57E7"/>
    <w:rsid w:val="009E5A00"/>
    <w:rsid w:val="009E60C2"/>
    <w:rsid w:val="009E61EE"/>
    <w:rsid w:val="009E6440"/>
    <w:rsid w:val="009E7055"/>
    <w:rsid w:val="009F0505"/>
    <w:rsid w:val="009F0888"/>
    <w:rsid w:val="009F0C8B"/>
    <w:rsid w:val="009F1314"/>
    <w:rsid w:val="009F22A7"/>
    <w:rsid w:val="009F2690"/>
    <w:rsid w:val="009F28B5"/>
    <w:rsid w:val="009F2C7F"/>
    <w:rsid w:val="009F2FF7"/>
    <w:rsid w:val="009F3A85"/>
    <w:rsid w:val="009F3C62"/>
    <w:rsid w:val="009F438A"/>
    <w:rsid w:val="009F438B"/>
    <w:rsid w:val="009F4C02"/>
    <w:rsid w:val="009F4EDD"/>
    <w:rsid w:val="009F515A"/>
    <w:rsid w:val="009F5489"/>
    <w:rsid w:val="009F5E23"/>
    <w:rsid w:val="009F5F04"/>
    <w:rsid w:val="009F62A6"/>
    <w:rsid w:val="009F6D38"/>
    <w:rsid w:val="009F6F66"/>
    <w:rsid w:val="009F70EB"/>
    <w:rsid w:val="009F77A4"/>
    <w:rsid w:val="00A003EF"/>
    <w:rsid w:val="00A00759"/>
    <w:rsid w:val="00A00B97"/>
    <w:rsid w:val="00A00CEC"/>
    <w:rsid w:val="00A00D6C"/>
    <w:rsid w:val="00A00ED1"/>
    <w:rsid w:val="00A014DF"/>
    <w:rsid w:val="00A01518"/>
    <w:rsid w:val="00A01CAB"/>
    <w:rsid w:val="00A02080"/>
    <w:rsid w:val="00A02210"/>
    <w:rsid w:val="00A02BDD"/>
    <w:rsid w:val="00A03D06"/>
    <w:rsid w:val="00A0414D"/>
    <w:rsid w:val="00A0461E"/>
    <w:rsid w:val="00A04D62"/>
    <w:rsid w:val="00A04E91"/>
    <w:rsid w:val="00A0524A"/>
    <w:rsid w:val="00A054DE"/>
    <w:rsid w:val="00A05B1B"/>
    <w:rsid w:val="00A06512"/>
    <w:rsid w:val="00A06666"/>
    <w:rsid w:val="00A067CD"/>
    <w:rsid w:val="00A0699B"/>
    <w:rsid w:val="00A07400"/>
    <w:rsid w:val="00A07712"/>
    <w:rsid w:val="00A07F6A"/>
    <w:rsid w:val="00A1004B"/>
    <w:rsid w:val="00A10510"/>
    <w:rsid w:val="00A10EE5"/>
    <w:rsid w:val="00A11363"/>
    <w:rsid w:val="00A11467"/>
    <w:rsid w:val="00A11796"/>
    <w:rsid w:val="00A122F4"/>
    <w:rsid w:val="00A12422"/>
    <w:rsid w:val="00A1265A"/>
    <w:rsid w:val="00A132EA"/>
    <w:rsid w:val="00A14132"/>
    <w:rsid w:val="00A147F3"/>
    <w:rsid w:val="00A14DE5"/>
    <w:rsid w:val="00A15538"/>
    <w:rsid w:val="00A15813"/>
    <w:rsid w:val="00A15933"/>
    <w:rsid w:val="00A15BC7"/>
    <w:rsid w:val="00A15C1C"/>
    <w:rsid w:val="00A15D03"/>
    <w:rsid w:val="00A16009"/>
    <w:rsid w:val="00A160B5"/>
    <w:rsid w:val="00A16690"/>
    <w:rsid w:val="00A16B07"/>
    <w:rsid w:val="00A17C7C"/>
    <w:rsid w:val="00A17CCE"/>
    <w:rsid w:val="00A202EA"/>
    <w:rsid w:val="00A206E2"/>
    <w:rsid w:val="00A20B71"/>
    <w:rsid w:val="00A2135C"/>
    <w:rsid w:val="00A219E4"/>
    <w:rsid w:val="00A22A9F"/>
    <w:rsid w:val="00A22B0A"/>
    <w:rsid w:val="00A22DD4"/>
    <w:rsid w:val="00A23514"/>
    <w:rsid w:val="00A239BA"/>
    <w:rsid w:val="00A244B0"/>
    <w:rsid w:val="00A24A19"/>
    <w:rsid w:val="00A24B2F"/>
    <w:rsid w:val="00A24C3F"/>
    <w:rsid w:val="00A252DB"/>
    <w:rsid w:val="00A25B89"/>
    <w:rsid w:val="00A25DE5"/>
    <w:rsid w:val="00A2631E"/>
    <w:rsid w:val="00A26765"/>
    <w:rsid w:val="00A2698A"/>
    <w:rsid w:val="00A26B0C"/>
    <w:rsid w:val="00A26FAA"/>
    <w:rsid w:val="00A27226"/>
    <w:rsid w:val="00A27514"/>
    <w:rsid w:val="00A27A44"/>
    <w:rsid w:val="00A27BB1"/>
    <w:rsid w:val="00A27C4B"/>
    <w:rsid w:val="00A27DDD"/>
    <w:rsid w:val="00A3002F"/>
    <w:rsid w:val="00A300D6"/>
    <w:rsid w:val="00A30127"/>
    <w:rsid w:val="00A30228"/>
    <w:rsid w:val="00A30407"/>
    <w:rsid w:val="00A30EB5"/>
    <w:rsid w:val="00A30EFB"/>
    <w:rsid w:val="00A311B4"/>
    <w:rsid w:val="00A31C1C"/>
    <w:rsid w:val="00A32DE5"/>
    <w:rsid w:val="00A32F2F"/>
    <w:rsid w:val="00A3356B"/>
    <w:rsid w:val="00A335CD"/>
    <w:rsid w:val="00A33727"/>
    <w:rsid w:val="00A33DB3"/>
    <w:rsid w:val="00A33EE1"/>
    <w:rsid w:val="00A342AF"/>
    <w:rsid w:val="00A34454"/>
    <w:rsid w:val="00A3475A"/>
    <w:rsid w:val="00A3492F"/>
    <w:rsid w:val="00A34EC9"/>
    <w:rsid w:val="00A35579"/>
    <w:rsid w:val="00A3604B"/>
    <w:rsid w:val="00A3607E"/>
    <w:rsid w:val="00A36638"/>
    <w:rsid w:val="00A369A9"/>
    <w:rsid w:val="00A37626"/>
    <w:rsid w:val="00A37BB8"/>
    <w:rsid w:val="00A37FAD"/>
    <w:rsid w:val="00A400EE"/>
    <w:rsid w:val="00A403DF"/>
    <w:rsid w:val="00A407B5"/>
    <w:rsid w:val="00A40D95"/>
    <w:rsid w:val="00A414B7"/>
    <w:rsid w:val="00A415AC"/>
    <w:rsid w:val="00A41F4E"/>
    <w:rsid w:val="00A42434"/>
    <w:rsid w:val="00A4296B"/>
    <w:rsid w:val="00A42B12"/>
    <w:rsid w:val="00A42CDB"/>
    <w:rsid w:val="00A42D3E"/>
    <w:rsid w:val="00A433F3"/>
    <w:rsid w:val="00A4398C"/>
    <w:rsid w:val="00A43BF7"/>
    <w:rsid w:val="00A43C96"/>
    <w:rsid w:val="00A43FA6"/>
    <w:rsid w:val="00A44670"/>
    <w:rsid w:val="00A44D10"/>
    <w:rsid w:val="00A44F80"/>
    <w:rsid w:val="00A450BE"/>
    <w:rsid w:val="00A459AA"/>
    <w:rsid w:val="00A45B0E"/>
    <w:rsid w:val="00A45D1C"/>
    <w:rsid w:val="00A45E8C"/>
    <w:rsid w:val="00A46132"/>
    <w:rsid w:val="00A4670C"/>
    <w:rsid w:val="00A46D00"/>
    <w:rsid w:val="00A46D90"/>
    <w:rsid w:val="00A470CD"/>
    <w:rsid w:val="00A476CE"/>
    <w:rsid w:val="00A47A85"/>
    <w:rsid w:val="00A47E21"/>
    <w:rsid w:val="00A47E97"/>
    <w:rsid w:val="00A50267"/>
    <w:rsid w:val="00A5029B"/>
    <w:rsid w:val="00A5060C"/>
    <w:rsid w:val="00A512E0"/>
    <w:rsid w:val="00A517E6"/>
    <w:rsid w:val="00A51AF2"/>
    <w:rsid w:val="00A51BAC"/>
    <w:rsid w:val="00A5242B"/>
    <w:rsid w:val="00A54324"/>
    <w:rsid w:val="00A54DC2"/>
    <w:rsid w:val="00A5563C"/>
    <w:rsid w:val="00A55B6C"/>
    <w:rsid w:val="00A5622F"/>
    <w:rsid w:val="00A564D3"/>
    <w:rsid w:val="00A5675C"/>
    <w:rsid w:val="00A56A63"/>
    <w:rsid w:val="00A56D96"/>
    <w:rsid w:val="00A56F30"/>
    <w:rsid w:val="00A56FD4"/>
    <w:rsid w:val="00A570BE"/>
    <w:rsid w:val="00A574AE"/>
    <w:rsid w:val="00A577C2"/>
    <w:rsid w:val="00A578ED"/>
    <w:rsid w:val="00A57F77"/>
    <w:rsid w:val="00A606C8"/>
    <w:rsid w:val="00A60D8D"/>
    <w:rsid w:val="00A60FE7"/>
    <w:rsid w:val="00A61CCE"/>
    <w:rsid w:val="00A61E04"/>
    <w:rsid w:val="00A620E3"/>
    <w:rsid w:val="00A629B7"/>
    <w:rsid w:val="00A62A93"/>
    <w:rsid w:val="00A62D91"/>
    <w:rsid w:val="00A632BD"/>
    <w:rsid w:val="00A63901"/>
    <w:rsid w:val="00A63E13"/>
    <w:rsid w:val="00A64131"/>
    <w:rsid w:val="00A64394"/>
    <w:rsid w:val="00A64513"/>
    <w:rsid w:val="00A64561"/>
    <w:rsid w:val="00A647F4"/>
    <w:rsid w:val="00A64BD6"/>
    <w:rsid w:val="00A64FD3"/>
    <w:rsid w:val="00A66209"/>
    <w:rsid w:val="00A66484"/>
    <w:rsid w:val="00A67218"/>
    <w:rsid w:val="00A674CB"/>
    <w:rsid w:val="00A67C45"/>
    <w:rsid w:val="00A71E80"/>
    <w:rsid w:val="00A721DF"/>
    <w:rsid w:val="00A72434"/>
    <w:rsid w:val="00A72481"/>
    <w:rsid w:val="00A72727"/>
    <w:rsid w:val="00A72B02"/>
    <w:rsid w:val="00A72D43"/>
    <w:rsid w:val="00A72DA3"/>
    <w:rsid w:val="00A730F1"/>
    <w:rsid w:val="00A746EF"/>
    <w:rsid w:val="00A74827"/>
    <w:rsid w:val="00A748BC"/>
    <w:rsid w:val="00A74EC0"/>
    <w:rsid w:val="00A74F24"/>
    <w:rsid w:val="00A7533C"/>
    <w:rsid w:val="00A767F1"/>
    <w:rsid w:val="00A76913"/>
    <w:rsid w:val="00A7692D"/>
    <w:rsid w:val="00A76A92"/>
    <w:rsid w:val="00A76C83"/>
    <w:rsid w:val="00A76D6C"/>
    <w:rsid w:val="00A77346"/>
    <w:rsid w:val="00A77401"/>
    <w:rsid w:val="00A8014A"/>
    <w:rsid w:val="00A810DB"/>
    <w:rsid w:val="00A8131F"/>
    <w:rsid w:val="00A81626"/>
    <w:rsid w:val="00A81C20"/>
    <w:rsid w:val="00A82FDB"/>
    <w:rsid w:val="00A83909"/>
    <w:rsid w:val="00A840F9"/>
    <w:rsid w:val="00A84179"/>
    <w:rsid w:val="00A841FA"/>
    <w:rsid w:val="00A85337"/>
    <w:rsid w:val="00A854DD"/>
    <w:rsid w:val="00A860C9"/>
    <w:rsid w:val="00A8621E"/>
    <w:rsid w:val="00A86280"/>
    <w:rsid w:val="00A863FA"/>
    <w:rsid w:val="00A865F8"/>
    <w:rsid w:val="00A86F86"/>
    <w:rsid w:val="00A870B4"/>
    <w:rsid w:val="00A871D9"/>
    <w:rsid w:val="00A872CE"/>
    <w:rsid w:val="00A87A8D"/>
    <w:rsid w:val="00A87C43"/>
    <w:rsid w:val="00A87D05"/>
    <w:rsid w:val="00A87FE0"/>
    <w:rsid w:val="00A90178"/>
    <w:rsid w:val="00A90549"/>
    <w:rsid w:val="00A90992"/>
    <w:rsid w:val="00A90E87"/>
    <w:rsid w:val="00A90F2D"/>
    <w:rsid w:val="00A9129D"/>
    <w:rsid w:val="00A91986"/>
    <w:rsid w:val="00A91E5F"/>
    <w:rsid w:val="00A92027"/>
    <w:rsid w:val="00A920F4"/>
    <w:rsid w:val="00A92853"/>
    <w:rsid w:val="00A92BF6"/>
    <w:rsid w:val="00A9328B"/>
    <w:rsid w:val="00A9347E"/>
    <w:rsid w:val="00A936A9"/>
    <w:rsid w:val="00A9395C"/>
    <w:rsid w:val="00A94258"/>
    <w:rsid w:val="00A94950"/>
    <w:rsid w:val="00A94DF8"/>
    <w:rsid w:val="00A94FA2"/>
    <w:rsid w:val="00A95145"/>
    <w:rsid w:val="00A9543B"/>
    <w:rsid w:val="00A95A85"/>
    <w:rsid w:val="00A96183"/>
    <w:rsid w:val="00A96656"/>
    <w:rsid w:val="00A96825"/>
    <w:rsid w:val="00A9692D"/>
    <w:rsid w:val="00A96A3E"/>
    <w:rsid w:val="00A97317"/>
    <w:rsid w:val="00A97486"/>
    <w:rsid w:val="00A97FEA"/>
    <w:rsid w:val="00AA03F0"/>
    <w:rsid w:val="00AA060D"/>
    <w:rsid w:val="00AA0E72"/>
    <w:rsid w:val="00AA13E9"/>
    <w:rsid w:val="00AA1467"/>
    <w:rsid w:val="00AA1813"/>
    <w:rsid w:val="00AA2222"/>
    <w:rsid w:val="00AA274C"/>
    <w:rsid w:val="00AA286A"/>
    <w:rsid w:val="00AA2B70"/>
    <w:rsid w:val="00AA3634"/>
    <w:rsid w:val="00AA3B93"/>
    <w:rsid w:val="00AA428C"/>
    <w:rsid w:val="00AA45F5"/>
    <w:rsid w:val="00AA47EC"/>
    <w:rsid w:val="00AA48B9"/>
    <w:rsid w:val="00AA585F"/>
    <w:rsid w:val="00AA59EE"/>
    <w:rsid w:val="00AA6861"/>
    <w:rsid w:val="00AA6EF3"/>
    <w:rsid w:val="00AA765D"/>
    <w:rsid w:val="00AA7794"/>
    <w:rsid w:val="00AB0045"/>
    <w:rsid w:val="00AB00E4"/>
    <w:rsid w:val="00AB0428"/>
    <w:rsid w:val="00AB044D"/>
    <w:rsid w:val="00AB04FD"/>
    <w:rsid w:val="00AB0723"/>
    <w:rsid w:val="00AB0A18"/>
    <w:rsid w:val="00AB0C17"/>
    <w:rsid w:val="00AB0CBB"/>
    <w:rsid w:val="00AB0CC9"/>
    <w:rsid w:val="00AB0D55"/>
    <w:rsid w:val="00AB0E85"/>
    <w:rsid w:val="00AB0EEC"/>
    <w:rsid w:val="00AB13A5"/>
    <w:rsid w:val="00AB1776"/>
    <w:rsid w:val="00AB1C59"/>
    <w:rsid w:val="00AB1D5D"/>
    <w:rsid w:val="00AB1F9B"/>
    <w:rsid w:val="00AB20BC"/>
    <w:rsid w:val="00AB2A99"/>
    <w:rsid w:val="00AB2AF3"/>
    <w:rsid w:val="00AB2FBE"/>
    <w:rsid w:val="00AB326A"/>
    <w:rsid w:val="00AB424F"/>
    <w:rsid w:val="00AB475D"/>
    <w:rsid w:val="00AB4AC6"/>
    <w:rsid w:val="00AB4FAE"/>
    <w:rsid w:val="00AB4FD2"/>
    <w:rsid w:val="00AB5236"/>
    <w:rsid w:val="00AB55AD"/>
    <w:rsid w:val="00AB5AE5"/>
    <w:rsid w:val="00AB5D7F"/>
    <w:rsid w:val="00AB620D"/>
    <w:rsid w:val="00AB69F8"/>
    <w:rsid w:val="00AB6C3A"/>
    <w:rsid w:val="00AB6C4C"/>
    <w:rsid w:val="00AB6D52"/>
    <w:rsid w:val="00AB7041"/>
    <w:rsid w:val="00AB7345"/>
    <w:rsid w:val="00AB7C69"/>
    <w:rsid w:val="00AC0BF5"/>
    <w:rsid w:val="00AC0D24"/>
    <w:rsid w:val="00AC151D"/>
    <w:rsid w:val="00AC16E7"/>
    <w:rsid w:val="00AC1705"/>
    <w:rsid w:val="00AC1F23"/>
    <w:rsid w:val="00AC2CDB"/>
    <w:rsid w:val="00AC3477"/>
    <w:rsid w:val="00AC3493"/>
    <w:rsid w:val="00AC37B3"/>
    <w:rsid w:val="00AC3C75"/>
    <w:rsid w:val="00AC3FD5"/>
    <w:rsid w:val="00AC4329"/>
    <w:rsid w:val="00AC4442"/>
    <w:rsid w:val="00AC45DB"/>
    <w:rsid w:val="00AC49C4"/>
    <w:rsid w:val="00AC4C3F"/>
    <w:rsid w:val="00AC5DCB"/>
    <w:rsid w:val="00AC5F55"/>
    <w:rsid w:val="00AC6281"/>
    <w:rsid w:val="00AC646B"/>
    <w:rsid w:val="00AC6567"/>
    <w:rsid w:val="00AC68C0"/>
    <w:rsid w:val="00AC6D57"/>
    <w:rsid w:val="00AC6E66"/>
    <w:rsid w:val="00AC6F98"/>
    <w:rsid w:val="00AC7159"/>
    <w:rsid w:val="00AC72B4"/>
    <w:rsid w:val="00AC78A8"/>
    <w:rsid w:val="00AD0517"/>
    <w:rsid w:val="00AD0D77"/>
    <w:rsid w:val="00AD15C6"/>
    <w:rsid w:val="00AD1B14"/>
    <w:rsid w:val="00AD1F0C"/>
    <w:rsid w:val="00AD2A5E"/>
    <w:rsid w:val="00AD34E9"/>
    <w:rsid w:val="00AD3773"/>
    <w:rsid w:val="00AD3ABD"/>
    <w:rsid w:val="00AD3E77"/>
    <w:rsid w:val="00AD4278"/>
    <w:rsid w:val="00AD4405"/>
    <w:rsid w:val="00AD4CEA"/>
    <w:rsid w:val="00AD4F29"/>
    <w:rsid w:val="00AD4FA4"/>
    <w:rsid w:val="00AD54C2"/>
    <w:rsid w:val="00AD5809"/>
    <w:rsid w:val="00AD7052"/>
    <w:rsid w:val="00AD71A7"/>
    <w:rsid w:val="00AD7B64"/>
    <w:rsid w:val="00AE026C"/>
    <w:rsid w:val="00AE074C"/>
    <w:rsid w:val="00AE0870"/>
    <w:rsid w:val="00AE1349"/>
    <w:rsid w:val="00AE1877"/>
    <w:rsid w:val="00AE18F8"/>
    <w:rsid w:val="00AE231A"/>
    <w:rsid w:val="00AE233B"/>
    <w:rsid w:val="00AE25A8"/>
    <w:rsid w:val="00AE29A7"/>
    <w:rsid w:val="00AE2AF9"/>
    <w:rsid w:val="00AE2BD7"/>
    <w:rsid w:val="00AE2CA8"/>
    <w:rsid w:val="00AE3622"/>
    <w:rsid w:val="00AE4139"/>
    <w:rsid w:val="00AE4543"/>
    <w:rsid w:val="00AE4C15"/>
    <w:rsid w:val="00AE54B0"/>
    <w:rsid w:val="00AE54D6"/>
    <w:rsid w:val="00AE577E"/>
    <w:rsid w:val="00AE5B76"/>
    <w:rsid w:val="00AE5BDF"/>
    <w:rsid w:val="00AE5C4E"/>
    <w:rsid w:val="00AE62AE"/>
    <w:rsid w:val="00AE6761"/>
    <w:rsid w:val="00AE790C"/>
    <w:rsid w:val="00AF02C8"/>
    <w:rsid w:val="00AF13F9"/>
    <w:rsid w:val="00AF14AB"/>
    <w:rsid w:val="00AF183A"/>
    <w:rsid w:val="00AF1E45"/>
    <w:rsid w:val="00AF1FC4"/>
    <w:rsid w:val="00AF2069"/>
    <w:rsid w:val="00AF3183"/>
    <w:rsid w:val="00AF31B2"/>
    <w:rsid w:val="00AF379F"/>
    <w:rsid w:val="00AF3B91"/>
    <w:rsid w:val="00AF3BD6"/>
    <w:rsid w:val="00AF3FA5"/>
    <w:rsid w:val="00AF4025"/>
    <w:rsid w:val="00AF40E9"/>
    <w:rsid w:val="00AF442F"/>
    <w:rsid w:val="00AF4D5E"/>
    <w:rsid w:val="00AF5449"/>
    <w:rsid w:val="00AF557E"/>
    <w:rsid w:val="00AF5E09"/>
    <w:rsid w:val="00AF6406"/>
    <w:rsid w:val="00AF6B3C"/>
    <w:rsid w:val="00AF6BA6"/>
    <w:rsid w:val="00AF6C71"/>
    <w:rsid w:val="00AF79E9"/>
    <w:rsid w:val="00AF7CAF"/>
    <w:rsid w:val="00B00091"/>
    <w:rsid w:val="00B005BA"/>
    <w:rsid w:val="00B006A4"/>
    <w:rsid w:val="00B00844"/>
    <w:rsid w:val="00B01109"/>
    <w:rsid w:val="00B0127F"/>
    <w:rsid w:val="00B01881"/>
    <w:rsid w:val="00B01C1C"/>
    <w:rsid w:val="00B01C6C"/>
    <w:rsid w:val="00B01FE1"/>
    <w:rsid w:val="00B02806"/>
    <w:rsid w:val="00B028AE"/>
    <w:rsid w:val="00B03514"/>
    <w:rsid w:val="00B03606"/>
    <w:rsid w:val="00B03650"/>
    <w:rsid w:val="00B037A6"/>
    <w:rsid w:val="00B0390D"/>
    <w:rsid w:val="00B047CA"/>
    <w:rsid w:val="00B04CA5"/>
    <w:rsid w:val="00B050D7"/>
    <w:rsid w:val="00B0596E"/>
    <w:rsid w:val="00B05974"/>
    <w:rsid w:val="00B060D4"/>
    <w:rsid w:val="00B06264"/>
    <w:rsid w:val="00B06B7E"/>
    <w:rsid w:val="00B06CFA"/>
    <w:rsid w:val="00B06EB3"/>
    <w:rsid w:val="00B06F1B"/>
    <w:rsid w:val="00B07214"/>
    <w:rsid w:val="00B07A14"/>
    <w:rsid w:val="00B07D22"/>
    <w:rsid w:val="00B07E00"/>
    <w:rsid w:val="00B107A9"/>
    <w:rsid w:val="00B10C30"/>
    <w:rsid w:val="00B10C43"/>
    <w:rsid w:val="00B10E70"/>
    <w:rsid w:val="00B11253"/>
    <w:rsid w:val="00B11876"/>
    <w:rsid w:val="00B123C8"/>
    <w:rsid w:val="00B12510"/>
    <w:rsid w:val="00B12558"/>
    <w:rsid w:val="00B1285C"/>
    <w:rsid w:val="00B12B7C"/>
    <w:rsid w:val="00B12F7C"/>
    <w:rsid w:val="00B13DC4"/>
    <w:rsid w:val="00B1459D"/>
    <w:rsid w:val="00B14A02"/>
    <w:rsid w:val="00B14C8D"/>
    <w:rsid w:val="00B15125"/>
    <w:rsid w:val="00B15C20"/>
    <w:rsid w:val="00B16111"/>
    <w:rsid w:val="00B16247"/>
    <w:rsid w:val="00B1665C"/>
    <w:rsid w:val="00B17580"/>
    <w:rsid w:val="00B17E72"/>
    <w:rsid w:val="00B20192"/>
    <w:rsid w:val="00B20416"/>
    <w:rsid w:val="00B20B49"/>
    <w:rsid w:val="00B20D87"/>
    <w:rsid w:val="00B221A6"/>
    <w:rsid w:val="00B22394"/>
    <w:rsid w:val="00B226A6"/>
    <w:rsid w:val="00B231AB"/>
    <w:rsid w:val="00B23C6B"/>
    <w:rsid w:val="00B23F21"/>
    <w:rsid w:val="00B243F4"/>
    <w:rsid w:val="00B246EE"/>
    <w:rsid w:val="00B24A60"/>
    <w:rsid w:val="00B24DCF"/>
    <w:rsid w:val="00B2544D"/>
    <w:rsid w:val="00B25503"/>
    <w:rsid w:val="00B256E4"/>
    <w:rsid w:val="00B25FA8"/>
    <w:rsid w:val="00B26669"/>
    <w:rsid w:val="00B26BDC"/>
    <w:rsid w:val="00B274CF"/>
    <w:rsid w:val="00B27C36"/>
    <w:rsid w:val="00B27C55"/>
    <w:rsid w:val="00B3029D"/>
    <w:rsid w:val="00B30895"/>
    <w:rsid w:val="00B30C81"/>
    <w:rsid w:val="00B30FC4"/>
    <w:rsid w:val="00B31226"/>
    <w:rsid w:val="00B31A4D"/>
    <w:rsid w:val="00B31BF5"/>
    <w:rsid w:val="00B322C3"/>
    <w:rsid w:val="00B32412"/>
    <w:rsid w:val="00B32C1C"/>
    <w:rsid w:val="00B32F3C"/>
    <w:rsid w:val="00B32F6B"/>
    <w:rsid w:val="00B33D05"/>
    <w:rsid w:val="00B34317"/>
    <w:rsid w:val="00B343A0"/>
    <w:rsid w:val="00B343E7"/>
    <w:rsid w:val="00B3463E"/>
    <w:rsid w:val="00B3467D"/>
    <w:rsid w:val="00B34871"/>
    <w:rsid w:val="00B34A04"/>
    <w:rsid w:val="00B34ABB"/>
    <w:rsid w:val="00B34AE9"/>
    <w:rsid w:val="00B34C2A"/>
    <w:rsid w:val="00B34DAD"/>
    <w:rsid w:val="00B359A9"/>
    <w:rsid w:val="00B3687F"/>
    <w:rsid w:val="00B36B4F"/>
    <w:rsid w:val="00B36BD7"/>
    <w:rsid w:val="00B401D0"/>
    <w:rsid w:val="00B401EC"/>
    <w:rsid w:val="00B40A93"/>
    <w:rsid w:val="00B40C5A"/>
    <w:rsid w:val="00B40CB8"/>
    <w:rsid w:val="00B40EAF"/>
    <w:rsid w:val="00B41BE4"/>
    <w:rsid w:val="00B41CB2"/>
    <w:rsid w:val="00B422B5"/>
    <w:rsid w:val="00B42722"/>
    <w:rsid w:val="00B42BC1"/>
    <w:rsid w:val="00B42C58"/>
    <w:rsid w:val="00B43278"/>
    <w:rsid w:val="00B432A0"/>
    <w:rsid w:val="00B43715"/>
    <w:rsid w:val="00B4413F"/>
    <w:rsid w:val="00B44297"/>
    <w:rsid w:val="00B45129"/>
    <w:rsid w:val="00B457EC"/>
    <w:rsid w:val="00B45D68"/>
    <w:rsid w:val="00B468AB"/>
    <w:rsid w:val="00B46DD6"/>
    <w:rsid w:val="00B46F28"/>
    <w:rsid w:val="00B47684"/>
    <w:rsid w:val="00B476C0"/>
    <w:rsid w:val="00B476DC"/>
    <w:rsid w:val="00B4773D"/>
    <w:rsid w:val="00B50146"/>
    <w:rsid w:val="00B5080A"/>
    <w:rsid w:val="00B50BD2"/>
    <w:rsid w:val="00B51061"/>
    <w:rsid w:val="00B5128F"/>
    <w:rsid w:val="00B5167B"/>
    <w:rsid w:val="00B516C8"/>
    <w:rsid w:val="00B51873"/>
    <w:rsid w:val="00B51A76"/>
    <w:rsid w:val="00B51D18"/>
    <w:rsid w:val="00B53035"/>
    <w:rsid w:val="00B5306C"/>
    <w:rsid w:val="00B535D9"/>
    <w:rsid w:val="00B53948"/>
    <w:rsid w:val="00B53BD7"/>
    <w:rsid w:val="00B53CAE"/>
    <w:rsid w:val="00B548F5"/>
    <w:rsid w:val="00B549FD"/>
    <w:rsid w:val="00B54A0A"/>
    <w:rsid w:val="00B55F12"/>
    <w:rsid w:val="00B56716"/>
    <w:rsid w:val="00B5699B"/>
    <w:rsid w:val="00B56D98"/>
    <w:rsid w:val="00B576FD"/>
    <w:rsid w:val="00B57876"/>
    <w:rsid w:val="00B5791F"/>
    <w:rsid w:val="00B60328"/>
    <w:rsid w:val="00B604F9"/>
    <w:rsid w:val="00B60637"/>
    <w:rsid w:val="00B61955"/>
    <w:rsid w:val="00B61AF8"/>
    <w:rsid w:val="00B61D1B"/>
    <w:rsid w:val="00B624FF"/>
    <w:rsid w:val="00B64674"/>
    <w:rsid w:val="00B65E8D"/>
    <w:rsid w:val="00B65F91"/>
    <w:rsid w:val="00B66FD6"/>
    <w:rsid w:val="00B670F8"/>
    <w:rsid w:val="00B67309"/>
    <w:rsid w:val="00B70971"/>
    <w:rsid w:val="00B70E5B"/>
    <w:rsid w:val="00B71071"/>
    <w:rsid w:val="00B71748"/>
    <w:rsid w:val="00B71A07"/>
    <w:rsid w:val="00B71B26"/>
    <w:rsid w:val="00B7235C"/>
    <w:rsid w:val="00B728B5"/>
    <w:rsid w:val="00B72C8E"/>
    <w:rsid w:val="00B733F7"/>
    <w:rsid w:val="00B734DD"/>
    <w:rsid w:val="00B7363D"/>
    <w:rsid w:val="00B73C7E"/>
    <w:rsid w:val="00B747DF"/>
    <w:rsid w:val="00B7556E"/>
    <w:rsid w:val="00B75BE7"/>
    <w:rsid w:val="00B75C06"/>
    <w:rsid w:val="00B75D25"/>
    <w:rsid w:val="00B763C9"/>
    <w:rsid w:val="00B76503"/>
    <w:rsid w:val="00B76A41"/>
    <w:rsid w:val="00B77F23"/>
    <w:rsid w:val="00B807DB"/>
    <w:rsid w:val="00B80E8E"/>
    <w:rsid w:val="00B81635"/>
    <w:rsid w:val="00B817F1"/>
    <w:rsid w:val="00B8198F"/>
    <w:rsid w:val="00B81EE9"/>
    <w:rsid w:val="00B82733"/>
    <w:rsid w:val="00B82AB0"/>
    <w:rsid w:val="00B83219"/>
    <w:rsid w:val="00B83798"/>
    <w:rsid w:val="00B84596"/>
    <w:rsid w:val="00B84661"/>
    <w:rsid w:val="00B8496C"/>
    <w:rsid w:val="00B84C9E"/>
    <w:rsid w:val="00B84D13"/>
    <w:rsid w:val="00B85092"/>
    <w:rsid w:val="00B852AC"/>
    <w:rsid w:val="00B8561D"/>
    <w:rsid w:val="00B85729"/>
    <w:rsid w:val="00B85A12"/>
    <w:rsid w:val="00B85B71"/>
    <w:rsid w:val="00B85CCC"/>
    <w:rsid w:val="00B86023"/>
    <w:rsid w:val="00B867B0"/>
    <w:rsid w:val="00B86842"/>
    <w:rsid w:val="00B86C0D"/>
    <w:rsid w:val="00B86E49"/>
    <w:rsid w:val="00B870A9"/>
    <w:rsid w:val="00B8743F"/>
    <w:rsid w:val="00B9014F"/>
    <w:rsid w:val="00B901AA"/>
    <w:rsid w:val="00B902C7"/>
    <w:rsid w:val="00B90831"/>
    <w:rsid w:val="00B90C31"/>
    <w:rsid w:val="00B90CC8"/>
    <w:rsid w:val="00B912B4"/>
    <w:rsid w:val="00B91FA6"/>
    <w:rsid w:val="00B9204E"/>
    <w:rsid w:val="00B92283"/>
    <w:rsid w:val="00B922E0"/>
    <w:rsid w:val="00B92D4A"/>
    <w:rsid w:val="00B93131"/>
    <w:rsid w:val="00B931F0"/>
    <w:rsid w:val="00B932B4"/>
    <w:rsid w:val="00B933DC"/>
    <w:rsid w:val="00B937E0"/>
    <w:rsid w:val="00B939FE"/>
    <w:rsid w:val="00B94D3C"/>
    <w:rsid w:val="00B959A2"/>
    <w:rsid w:val="00B95C70"/>
    <w:rsid w:val="00B966B6"/>
    <w:rsid w:val="00B96C10"/>
    <w:rsid w:val="00B96D49"/>
    <w:rsid w:val="00B97049"/>
    <w:rsid w:val="00B97201"/>
    <w:rsid w:val="00B974F2"/>
    <w:rsid w:val="00B977FF"/>
    <w:rsid w:val="00BA035B"/>
    <w:rsid w:val="00BA048B"/>
    <w:rsid w:val="00BA08BA"/>
    <w:rsid w:val="00BA0AEB"/>
    <w:rsid w:val="00BA0B3B"/>
    <w:rsid w:val="00BA0D41"/>
    <w:rsid w:val="00BA1083"/>
    <w:rsid w:val="00BA10BF"/>
    <w:rsid w:val="00BA13A0"/>
    <w:rsid w:val="00BA15E4"/>
    <w:rsid w:val="00BA17B4"/>
    <w:rsid w:val="00BA1979"/>
    <w:rsid w:val="00BA1BAD"/>
    <w:rsid w:val="00BA1FDB"/>
    <w:rsid w:val="00BA2083"/>
    <w:rsid w:val="00BA20B7"/>
    <w:rsid w:val="00BA233A"/>
    <w:rsid w:val="00BA2837"/>
    <w:rsid w:val="00BA3D7B"/>
    <w:rsid w:val="00BA4920"/>
    <w:rsid w:val="00BA6D80"/>
    <w:rsid w:val="00BA6EC7"/>
    <w:rsid w:val="00BA6FAD"/>
    <w:rsid w:val="00BA7300"/>
    <w:rsid w:val="00BA7645"/>
    <w:rsid w:val="00BA78D4"/>
    <w:rsid w:val="00BA7C76"/>
    <w:rsid w:val="00BA7DDF"/>
    <w:rsid w:val="00BB097D"/>
    <w:rsid w:val="00BB1428"/>
    <w:rsid w:val="00BB2414"/>
    <w:rsid w:val="00BB26EE"/>
    <w:rsid w:val="00BB34C5"/>
    <w:rsid w:val="00BB3512"/>
    <w:rsid w:val="00BB41C4"/>
    <w:rsid w:val="00BB4A2A"/>
    <w:rsid w:val="00BB50A4"/>
    <w:rsid w:val="00BB51D5"/>
    <w:rsid w:val="00BB5562"/>
    <w:rsid w:val="00BB56CC"/>
    <w:rsid w:val="00BB5CEB"/>
    <w:rsid w:val="00BB5D4A"/>
    <w:rsid w:val="00BB614F"/>
    <w:rsid w:val="00BB69A0"/>
    <w:rsid w:val="00BB6C88"/>
    <w:rsid w:val="00BB7BBF"/>
    <w:rsid w:val="00BC0668"/>
    <w:rsid w:val="00BC0D65"/>
    <w:rsid w:val="00BC139E"/>
    <w:rsid w:val="00BC1AF1"/>
    <w:rsid w:val="00BC1D4C"/>
    <w:rsid w:val="00BC204B"/>
    <w:rsid w:val="00BC21A7"/>
    <w:rsid w:val="00BC245B"/>
    <w:rsid w:val="00BC2599"/>
    <w:rsid w:val="00BC2706"/>
    <w:rsid w:val="00BC2AED"/>
    <w:rsid w:val="00BC359A"/>
    <w:rsid w:val="00BC3931"/>
    <w:rsid w:val="00BC395B"/>
    <w:rsid w:val="00BC3D3E"/>
    <w:rsid w:val="00BC3E07"/>
    <w:rsid w:val="00BC44DF"/>
    <w:rsid w:val="00BC4CB0"/>
    <w:rsid w:val="00BC4CE0"/>
    <w:rsid w:val="00BC55DC"/>
    <w:rsid w:val="00BC57BE"/>
    <w:rsid w:val="00BC5E2A"/>
    <w:rsid w:val="00BC645D"/>
    <w:rsid w:val="00BC666C"/>
    <w:rsid w:val="00BC78EE"/>
    <w:rsid w:val="00BD029D"/>
    <w:rsid w:val="00BD0969"/>
    <w:rsid w:val="00BD1011"/>
    <w:rsid w:val="00BD12F2"/>
    <w:rsid w:val="00BD180D"/>
    <w:rsid w:val="00BD1B61"/>
    <w:rsid w:val="00BD1F76"/>
    <w:rsid w:val="00BD285D"/>
    <w:rsid w:val="00BD2EF5"/>
    <w:rsid w:val="00BD3835"/>
    <w:rsid w:val="00BD3887"/>
    <w:rsid w:val="00BD3BA5"/>
    <w:rsid w:val="00BD40AC"/>
    <w:rsid w:val="00BD45F6"/>
    <w:rsid w:val="00BD4749"/>
    <w:rsid w:val="00BD47E1"/>
    <w:rsid w:val="00BD4B50"/>
    <w:rsid w:val="00BD51F9"/>
    <w:rsid w:val="00BD63A6"/>
    <w:rsid w:val="00BD64EE"/>
    <w:rsid w:val="00BD71BF"/>
    <w:rsid w:val="00BD739B"/>
    <w:rsid w:val="00BD7D17"/>
    <w:rsid w:val="00BD7F99"/>
    <w:rsid w:val="00BE0554"/>
    <w:rsid w:val="00BE0B2E"/>
    <w:rsid w:val="00BE0FD1"/>
    <w:rsid w:val="00BE105B"/>
    <w:rsid w:val="00BE143F"/>
    <w:rsid w:val="00BE156F"/>
    <w:rsid w:val="00BE1C62"/>
    <w:rsid w:val="00BE1FAA"/>
    <w:rsid w:val="00BE1FE4"/>
    <w:rsid w:val="00BE2306"/>
    <w:rsid w:val="00BE2374"/>
    <w:rsid w:val="00BE242E"/>
    <w:rsid w:val="00BE2459"/>
    <w:rsid w:val="00BE25F9"/>
    <w:rsid w:val="00BE2A17"/>
    <w:rsid w:val="00BE2D45"/>
    <w:rsid w:val="00BE2E47"/>
    <w:rsid w:val="00BE313A"/>
    <w:rsid w:val="00BE3265"/>
    <w:rsid w:val="00BE3687"/>
    <w:rsid w:val="00BE4252"/>
    <w:rsid w:val="00BE4255"/>
    <w:rsid w:val="00BE5748"/>
    <w:rsid w:val="00BE580D"/>
    <w:rsid w:val="00BE58A2"/>
    <w:rsid w:val="00BE5A04"/>
    <w:rsid w:val="00BE5D7F"/>
    <w:rsid w:val="00BE5E1B"/>
    <w:rsid w:val="00BE7773"/>
    <w:rsid w:val="00BF0A81"/>
    <w:rsid w:val="00BF0E2D"/>
    <w:rsid w:val="00BF0EC5"/>
    <w:rsid w:val="00BF0FD6"/>
    <w:rsid w:val="00BF182D"/>
    <w:rsid w:val="00BF1B47"/>
    <w:rsid w:val="00BF204B"/>
    <w:rsid w:val="00BF2054"/>
    <w:rsid w:val="00BF2615"/>
    <w:rsid w:val="00BF2C0F"/>
    <w:rsid w:val="00BF2EE9"/>
    <w:rsid w:val="00BF3C32"/>
    <w:rsid w:val="00BF3D9D"/>
    <w:rsid w:val="00BF4B78"/>
    <w:rsid w:val="00BF539D"/>
    <w:rsid w:val="00BF56BD"/>
    <w:rsid w:val="00BF5BBD"/>
    <w:rsid w:val="00BF5FFF"/>
    <w:rsid w:val="00BF64D6"/>
    <w:rsid w:val="00BF6E90"/>
    <w:rsid w:val="00BF7131"/>
    <w:rsid w:val="00BF7800"/>
    <w:rsid w:val="00BF78E3"/>
    <w:rsid w:val="00BF798D"/>
    <w:rsid w:val="00BF7C5A"/>
    <w:rsid w:val="00BF7C60"/>
    <w:rsid w:val="00C00590"/>
    <w:rsid w:val="00C010F1"/>
    <w:rsid w:val="00C016BC"/>
    <w:rsid w:val="00C01A7E"/>
    <w:rsid w:val="00C01BED"/>
    <w:rsid w:val="00C01D2F"/>
    <w:rsid w:val="00C024C5"/>
    <w:rsid w:val="00C026C1"/>
    <w:rsid w:val="00C0284A"/>
    <w:rsid w:val="00C028A4"/>
    <w:rsid w:val="00C02B06"/>
    <w:rsid w:val="00C03834"/>
    <w:rsid w:val="00C03F7E"/>
    <w:rsid w:val="00C048A6"/>
    <w:rsid w:val="00C0497C"/>
    <w:rsid w:val="00C049B4"/>
    <w:rsid w:val="00C04B00"/>
    <w:rsid w:val="00C04E69"/>
    <w:rsid w:val="00C04EC5"/>
    <w:rsid w:val="00C065B1"/>
    <w:rsid w:val="00C068C4"/>
    <w:rsid w:val="00C0723A"/>
    <w:rsid w:val="00C07311"/>
    <w:rsid w:val="00C077DD"/>
    <w:rsid w:val="00C07A8F"/>
    <w:rsid w:val="00C07B10"/>
    <w:rsid w:val="00C07C63"/>
    <w:rsid w:val="00C10A12"/>
    <w:rsid w:val="00C10B8B"/>
    <w:rsid w:val="00C11D37"/>
    <w:rsid w:val="00C11E60"/>
    <w:rsid w:val="00C12069"/>
    <w:rsid w:val="00C12C85"/>
    <w:rsid w:val="00C13160"/>
    <w:rsid w:val="00C13417"/>
    <w:rsid w:val="00C135B8"/>
    <w:rsid w:val="00C13BA8"/>
    <w:rsid w:val="00C13BB5"/>
    <w:rsid w:val="00C143C4"/>
    <w:rsid w:val="00C14AC5"/>
    <w:rsid w:val="00C14E86"/>
    <w:rsid w:val="00C15090"/>
    <w:rsid w:val="00C15C67"/>
    <w:rsid w:val="00C15D58"/>
    <w:rsid w:val="00C161F5"/>
    <w:rsid w:val="00C162F5"/>
    <w:rsid w:val="00C164B3"/>
    <w:rsid w:val="00C1650A"/>
    <w:rsid w:val="00C16610"/>
    <w:rsid w:val="00C166A3"/>
    <w:rsid w:val="00C16961"/>
    <w:rsid w:val="00C16DA2"/>
    <w:rsid w:val="00C1722C"/>
    <w:rsid w:val="00C17920"/>
    <w:rsid w:val="00C179BF"/>
    <w:rsid w:val="00C17F29"/>
    <w:rsid w:val="00C2080C"/>
    <w:rsid w:val="00C2081D"/>
    <w:rsid w:val="00C211B9"/>
    <w:rsid w:val="00C21880"/>
    <w:rsid w:val="00C22421"/>
    <w:rsid w:val="00C224AD"/>
    <w:rsid w:val="00C22F6B"/>
    <w:rsid w:val="00C23182"/>
    <w:rsid w:val="00C231BD"/>
    <w:rsid w:val="00C23308"/>
    <w:rsid w:val="00C234B3"/>
    <w:rsid w:val="00C23620"/>
    <w:rsid w:val="00C23F81"/>
    <w:rsid w:val="00C240C7"/>
    <w:rsid w:val="00C24611"/>
    <w:rsid w:val="00C24B35"/>
    <w:rsid w:val="00C25563"/>
    <w:rsid w:val="00C25D21"/>
    <w:rsid w:val="00C25FCD"/>
    <w:rsid w:val="00C261DC"/>
    <w:rsid w:val="00C30288"/>
    <w:rsid w:val="00C30376"/>
    <w:rsid w:val="00C304FA"/>
    <w:rsid w:val="00C30A42"/>
    <w:rsid w:val="00C30C40"/>
    <w:rsid w:val="00C30FB3"/>
    <w:rsid w:val="00C310FB"/>
    <w:rsid w:val="00C316C8"/>
    <w:rsid w:val="00C3170D"/>
    <w:rsid w:val="00C317CD"/>
    <w:rsid w:val="00C31BAC"/>
    <w:rsid w:val="00C32105"/>
    <w:rsid w:val="00C32767"/>
    <w:rsid w:val="00C32893"/>
    <w:rsid w:val="00C32993"/>
    <w:rsid w:val="00C3330B"/>
    <w:rsid w:val="00C34702"/>
    <w:rsid w:val="00C349B8"/>
    <w:rsid w:val="00C34EB9"/>
    <w:rsid w:val="00C34EDD"/>
    <w:rsid w:val="00C35158"/>
    <w:rsid w:val="00C357C4"/>
    <w:rsid w:val="00C357CB"/>
    <w:rsid w:val="00C35CE6"/>
    <w:rsid w:val="00C36D48"/>
    <w:rsid w:val="00C3716D"/>
    <w:rsid w:val="00C4083C"/>
    <w:rsid w:val="00C40AB3"/>
    <w:rsid w:val="00C41048"/>
    <w:rsid w:val="00C41D0F"/>
    <w:rsid w:val="00C42041"/>
    <w:rsid w:val="00C42364"/>
    <w:rsid w:val="00C42647"/>
    <w:rsid w:val="00C429FC"/>
    <w:rsid w:val="00C42D67"/>
    <w:rsid w:val="00C4311E"/>
    <w:rsid w:val="00C4354E"/>
    <w:rsid w:val="00C43B5E"/>
    <w:rsid w:val="00C443D2"/>
    <w:rsid w:val="00C44582"/>
    <w:rsid w:val="00C449E6"/>
    <w:rsid w:val="00C4507C"/>
    <w:rsid w:val="00C4514E"/>
    <w:rsid w:val="00C45DDC"/>
    <w:rsid w:val="00C460D5"/>
    <w:rsid w:val="00C46295"/>
    <w:rsid w:val="00C4650E"/>
    <w:rsid w:val="00C46B37"/>
    <w:rsid w:val="00C47105"/>
    <w:rsid w:val="00C47B22"/>
    <w:rsid w:val="00C5005F"/>
    <w:rsid w:val="00C50243"/>
    <w:rsid w:val="00C505F4"/>
    <w:rsid w:val="00C50AAD"/>
    <w:rsid w:val="00C50CCB"/>
    <w:rsid w:val="00C518F7"/>
    <w:rsid w:val="00C51DEC"/>
    <w:rsid w:val="00C52014"/>
    <w:rsid w:val="00C5201F"/>
    <w:rsid w:val="00C5222A"/>
    <w:rsid w:val="00C52339"/>
    <w:rsid w:val="00C527E0"/>
    <w:rsid w:val="00C52C2E"/>
    <w:rsid w:val="00C5329E"/>
    <w:rsid w:val="00C53BB0"/>
    <w:rsid w:val="00C53F64"/>
    <w:rsid w:val="00C5415C"/>
    <w:rsid w:val="00C557AC"/>
    <w:rsid w:val="00C557D4"/>
    <w:rsid w:val="00C55B0C"/>
    <w:rsid w:val="00C55CB1"/>
    <w:rsid w:val="00C5644E"/>
    <w:rsid w:val="00C579BA"/>
    <w:rsid w:val="00C57A74"/>
    <w:rsid w:val="00C57BE3"/>
    <w:rsid w:val="00C57F74"/>
    <w:rsid w:val="00C57FB3"/>
    <w:rsid w:val="00C601CA"/>
    <w:rsid w:val="00C60781"/>
    <w:rsid w:val="00C60DC0"/>
    <w:rsid w:val="00C61094"/>
    <w:rsid w:val="00C61459"/>
    <w:rsid w:val="00C615BF"/>
    <w:rsid w:val="00C626E7"/>
    <w:rsid w:val="00C62B4B"/>
    <w:rsid w:val="00C632D1"/>
    <w:rsid w:val="00C63A00"/>
    <w:rsid w:val="00C63B85"/>
    <w:rsid w:val="00C63B92"/>
    <w:rsid w:val="00C64EF3"/>
    <w:rsid w:val="00C650C9"/>
    <w:rsid w:val="00C651DF"/>
    <w:rsid w:val="00C6546D"/>
    <w:rsid w:val="00C65684"/>
    <w:rsid w:val="00C658E2"/>
    <w:rsid w:val="00C65A02"/>
    <w:rsid w:val="00C65BB0"/>
    <w:rsid w:val="00C662CD"/>
    <w:rsid w:val="00C66AC3"/>
    <w:rsid w:val="00C66C68"/>
    <w:rsid w:val="00C66CCE"/>
    <w:rsid w:val="00C67101"/>
    <w:rsid w:val="00C67430"/>
    <w:rsid w:val="00C6796E"/>
    <w:rsid w:val="00C70651"/>
    <w:rsid w:val="00C709B9"/>
    <w:rsid w:val="00C70E89"/>
    <w:rsid w:val="00C710A6"/>
    <w:rsid w:val="00C711C1"/>
    <w:rsid w:val="00C713E0"/>
    <w:rsid w:val="00C71E67"/>
    <w:rsid w:val="00C72A2E"/>
    <w:rsid w:val="00C72A38"/>
    <w:rsid w:val="00C72A97"/>
    <w:rsid w:val="00C72D0A"/>
    <w:rsid w:val="00C735D8"/>
    <w:rsid w:val="00C7394F"/>
    <w:rsid w:val="00C741B5"/>
    <w:rsid w:val="00C747DB"/>
    <w:rsid w:val="00C74EAA"/>
    <w:rsid w:val="00C76090"/>
    <w:rsid w:val="00C7688E"/>
    <w:rsid w:val="00C76932"/>
    <w:rsid w:val="00C76C6B"/>
    <w:rsid w:val="00C76D59"/>
    <w:rsid w:val="00C76D6C"/>
    <w:rsid w:val="00C76EB7"/>
    <w:rsid w:val="00C76F10"/>
    <w:rsid w:val="00C7712C"/>
    <w:rsid w:val="00C802C0"/>
    <w:rsid w:val="00C8098B"/>
    <w:rsid w:val="00C80E77"/>
    <w:rsid w:val="00C80F63"/>
    <w:rsid w:val="00C81706"/>
    <w:rsid w:val="00C81B74"/>
    <w:rsid w:val="00C821AE"/>
    <w:rsid w:val="00C8270C"/>
    <w:rsid w:val="00C82A60"/>
    <w:rsid w:val="00C82E9F"/>
    <w:rsid w:val="00C83181"/>
    <w:rsid w:val="00C8368F"/>
    <w:rsid w:val="00C838B0"/>
    <w:rsid w:val="00C84AC5"/>
    <w:rsid w:val="00C84FCF"/>
    <w:rsid w:val="00C852F2"/>
    <w:rsid w:val="00C85837"/>
    <w:rsid w:val="00C85C8D"/>
    <w:rsid w:val="00C86124"/>
    <w:rsid w:val="00C86513"/>
    <w:rsid w:val="00C86A1B"/>
    <w:rsid w:val="00C86A28"/>
    <w:rsid w:val="00C86E68"/>
    <w:rsid w:val="00C877CC"/>
    <w:rsid w:val="00C87857"/>
    <w:rsid w:val="00C90401"/>
    <w:rsid w:val="00C906F5"/>
    <w:rsid w:val="00C909F0"/>
    <w:rsid w:val="00C90D3B"/>
    <w:rsid w:val="00C912AA"/>
    <w:rsid w:val="00C91704"/>
    <w:rsid w:val="00C91B82"/>
    <w:rsid w:val="00C92133"/>
    <w:rsid w:val="00C923F1"/>
    <w:rsid w:val="00C928A9"/>
    <w:rsid w:val="00C928EC"/>
    <w:rsid w:val="00C92DEA"/>
    <w:rsid w:val="00C930A4"/>
    <w:rsid w:val="00C931E3"/>
    <w:rsid w:val="00C93D1D"/>
    <w:rsid w:val="00C9416B"/>
    <w:rsid w:val="00C953AB"/>
    <w:rsid w:val="00C961F9"/>
    <w:rsid w:val="00C96F61"/>
    <w:rsid w:val="00C97C59"/>
    <w:rsid w:val="00CA0693"/>
    <w:rsid w:val="00CA0C5C"/>
    <w:rsid w:val="00CA1741"/>
    <w:rsid w:val="00CA1A2C"/>
    <w:rsid w:val="00CA2840"/>
    <w:rsid w:val="00CA2C97"/>
    <w:rsid w:val="00CA2D90"/>
    <w:rsid w:val="00CA383D"/>
    <w:rsid w:val="00CA3AA4"/>
    <w:rsid w:val="00CA45AF"/>
    <w:rsid w:val="00CA4619"/>
    <w:rsid w:val="00CA464A"/>
    <w:rsid w:val="00CA4EB8"/>
    <w:rsid w:val="00CA52A4"/>
    <w:rsid w:val="00CA5737"/>
    <w:rsid w:val="00CA5CE9"/>
    <w:rsid w:val="00CA601E"/>
    <w:rsid w:val="00CA60CD"/>
    <w:rsid w:val="00CA63D2"/>
    <w:rsid w:val="00CA688E"/>
    <w:rsid w:val="00CA6C17"/>
    <w:rsid w:val="00CA6F90"/>
    <w:rsid w:val="00CA7135"/>
    <w:rsid w:val="00CA76E5"/>
    <w:rsid w:val="00CA7CB6"/>
    <w:rsid w:val="00CB0EA6"/>
    <w:rsid w:val="00CB122D"/>
    <w:rsid w:val="00CB17C3"/>
    <w:rsid w:val="00CB196B"/>
    <w:rsid w:val="00CB21BA"/>
    <w:rsid w:val="00CB2291"/>
    <w:rsid w:val="00CB2396"/>
    <w:rsid w:val="00CB2A79"/>
    <w:rsid w:val="00CB2BD8"/>
    <w:rsid w:val="00CB2F60"/>
    <w:rsid w:val="00CB32CD"/>
    <w:rsid w:val="00CB3309"/>
    <w:rsid w:val="00CB35B0"/>
    <w:rsid w:val="00CB3AA7"/>
    <w:rsid w:val="00CB4D9C"/>
    <w:rsid w:val="00CB4E50"/>
    <w:rsid w:val="00CB5423"/>
    <w:rsid w:val="00CB5873"/>
    <w:rsid w:val="00CB592A"/>
    <w:rsid w:val="00CB773D"/>
    <w:rsid w:val="00CB7DF9"/>
    <w:rsid w:val="00CC01B5"/>
    <w:rsid w:val="00CC04AA"/>
    <w:rsid w:val="00CC0B34"/>
    <w:rsid w:val="00CC0C3E"/>
    <w:rsid w:val="00CC10CF"/>
    <w:rsid w:val="00CC112D"/>
    <w:rsid w:val="00CC15ED"/>
    <w:rsid w:val="00CC168F"/>
    <w:rsid w:val="00CC18B6"/>
    <w:rsid w:val="00CC1BE5"/>
    <w:rsid w:val="00CC1FFC"/>
    <w:rsid w:val="00CC2AFF"/>
    <w:rsid w:val="00CC2F9E"/>
    <w:rsid w:val="00CC33A5"/>
    <w:rsid w:val="00CC46D1"/>
    <w:rsid w:val="00CC4B33"/>
    <w:rsid w:val="00CC4E87"/>
    <w:rsid w:val="00CC51AB"/>
    <w:rsid w:val="00CC6FB5"/>
    <w:rsid w:val="00CC73A8"/>
    <w:rsid w:val="00CC77AA"/>
    <w:rsid w:val="00CC7FE0"/>
    <w:rsid w:val="00CD07BC"/>
    <w:rsid w:val="00CD0AFB"/>
    <w:rsid w:val="00CD0B5C"/>
    <w:rsid w:val="00CD0C0A"/>
    <w:rsid w:val="00CD0EF4"/>
    <w:rsid w:val="00CD25AD"/>
    <w:rsid w:val="00CD265E"/>
    <w:rsid w:val="00CD26B8"/>
    <w:rsid w:val="00CD2AE5"/>
    <w:rsid w:val="00CD2B05"/>
    <w:rsid w:val="00CD2D3A"/>
    <w:rsid w:val="00CD2EE4"/>
    <w:rsid w:val="00CD31FC"/>
    <w:rsid w:val="00CD320C"/>
    <w:rsid w:val="00CD3243"/>
    <w:rsid w:val="00CD3448"/>
    <w:rsid w:val="00CD3661"/>
    <w:rsid w:val="00CD370B"/>
    <w:rsid w:val="00CD38D6"/>
    <w:rsid w:val="00CD3DBF"/>
    <w:rsid w:val="00CD4FE2"/>
    <w:rsid w:val="00CD50EF"/>
    <w:rsid w:val="00CD567A"/>
    <w:rsid w:val="00CD56A3"/>
    <w:rsid w:val="00CD571A"/>
    <w:rsid w:val="00CD5798"/>
    <w:rsid w:val="00CD57C8"/>
    <w:rsid w:val="00CD5C16"/>
    <w:rsid w:val="00CD5DCF"/>
    <w:rsid w:val="00CD5EAB"/>
    <w:rsid w:val="00CD60FD"/>
    <w:rsid w:val="00CD6636"/>
    <w:rsid w:val="00CD6FB5"/>
    <w:rsid w:val="00CD7B69"/>
    <w:rsid w:val="00CE0070"/>
    <w:rsid w:val="00CE0121"/>
    <w:rsid w:val="00CE0B2C"/>
    <w:rsid w:val="00CE10DE"/>
    <w:rsid w:val="00CE1360"/>
    <w:rsid w:val="00CE18D0"/>
    <w:rsid w:val="00CE20E1"/>
    <w:rsid w:val="00CE26E6"/>
    <w:rsid w:val="00CE2A8D"/>
    <w:rsid w:val="00CE2CE2"/>
    <w:rsid w:val="00CE2D20"/>
    <w:rsid w:val="00CE33EC"/>
    <w:rsid w:val="00CE38C7"/>
    <w:rsid w:val="00CE3927"/>
    <w:rsid w:val="00CE3D6C"/>
    <w:rsid w:val="00CE4614"/>
    <w:rsid w:val="00CE512B"/>
    <w:rsid w:val="00CE559F"/>
    <w:rsid w:val="00CE5D24"/>
    <w:rsid w:val="00CE5F97"/>
    <w:rsid w:val="00CE602B"/>
    <w:rsid w:val="00CE76FB"/>
    <w:rsid w:val="00CE779F"/>
    <w:rsid w:val="00CE77D5"/>
    <w:rsid w:val="00CF0B51"/>
    <w:rsid w:val="00CF0C67"/>
    <w:rsid w:val="00CF0E9F"/>
    <w:rsid w:val="00CF1267"/>
    <w:rsid w:val="00CF1499"/>
    <w:rsid w:val="00CF16A9"/>
    <w:rsid w:val="00CF183E"/>
    <w:rsid w:val="00CF188D"/>
    <w:rsid w:val="00CF2405"/>
    <w:rsid w:val="00CF4553"/>
    <w:rsid w:val="00CF4605"/>
    <w:rsid w:val="00CF5018"/>
    <w:rsid w:val="00CF53D6"/>
    <w:rsid w:val="00CF6D61"/>
    <w:rsid w:val="00CF7110"/>
    <w:rsid w:val="00CF71ED"/>
    <w:rsid w:val="00CF72A2"/>
    <w:rsid w:val="00CF72AF"/>
    <w:rsid w:val="00CF7390"/>
    <w:rsid w:val="00CF7AAE"/>
    <w:rsid w:val="00CF7C93"/>
    <w:rsid w:val="00CF7EC7"/>
    <w:rsid w:val="00D005EF"/>
    <w:rsid w:val="00D00EAC"/>
    <w:rsid w:val="00D01212"/>
    <w:rsid w:val="00D01CAF"/>
    <w:rsid w:val="00D01E59"/>
    <w:rsid w:val="00D01F85"/>
    <w:rsid w:val="00D02AA9"/>
    <w:rsid w:val="00D03E26"/>
    <w:rsid w:val="00D046F1"/>
    <w:rsid w:val="00D04B4D"/>
    <w:rsid w:val="00D04F21"/>
    <w:rsid w:val="00D05C6E"/>
    <w:rsid w:val="00D0628C"/>
    <w:rsid w:val="00D06366"/>
    <w:rsid w:val="00D06D7F"/>
    <w:rsid w:val="00D07650"/>
    <w:rsid w:val="00D07A8A"/>
    <w:rsid w:val="00D07AEE"/>
    <w:rsid w:val="00D07D96"/>
    <w:rsid w:val="00D10118"/>
    <w:rsid w:val="00D10628"/>
    <w:rsid w:val="00D10802"/>
    <w:rsid w:val="00D11052"/>
    <w:rsid w:val="00D113BD"/>
    <w:rsid w:val="00D11DD7"/>
    <w:rsid w:val="00D124A6"/>
    <w:rsid w:val="00D12EF4"/>
    <w:rsid w:val="00D1353A"/>
    <w:rsid w:val="00D135AA"/>
    <w:rsid w:val="00D13BA2"/>
    <w:rsid w:val="00D13E8D"/>
    <w:rsid w:val="00D148D0"/>
    <w:rsid w:val="00D15737"/>
    <w:rsid w:val="00D15C52"/>
    <w:rsid w:val="00D16A2C"/>
    <w:rsid w:val="00D16BAE"/>
    <w:rsid w:val="00D16EB2"/>
    <w:rsid w:val="00D1734F"/>
    <w:rsid w:val="00D178ED"/>
    <w:rsid w:val="00D17CF8"/>
    <w:rsid w:val="00D17D36"/>
    <w:rsid w:val="00D2072E"/>
    <w:rsid w:val="00D20778"/>
    <w:rsid w:val="00D20915"/>
    <w:rsid w:val="00D21231"/>
    <w:rsid w:val="00D220FB"/>
    <w:rsid w:val="00D22101"/>
    <w:rsid w:val="00D231CA"/>
    <w:rsid w:val="00D2338F"/>
    <w:rsid w:val="00D23567"/>
    <w:rsid w:val="00D23F3A"/>
    <w:rsid w:val="00D2409C"/>
    <w:rsid w:val="00D25061"/>
    <w:rsid w:val="00D25063"/>
    <w:rsid w:val="00D251C2"/>
    <w:rsid w:val="00D2543B"/>
    <w:rsid w:val="00D256AE"/>
    <w:rsid w:val="00D25DE7"/>
    <w:rsid w:val="00D268A4"/>
    <w:rsid w:val="00D26ACA"/>
    <w:rsid w:val="00D27775"/>
    <w:rsid w:val="00D277A0"/>
    <w:rsid w:val="00D277A8"/>
    <w:rsid w:val="00D27A9B"/>
    <w:rsid w:val="00D27FA1"/>
    <w:rsid w:val="00D30180"/>
    <w:rsid w:val="00D30739"/>
    <w:rsid w:val="00D30D31"/>
    <w:rsid w:val="00D30D36"/>
    <w:rsid w:val="00D30F3D"/>
    <w:rsid w:val="00D30F7F"/>
    <w:rsid w:val="00D31264"/>
    <w:rsid w:val="00D325C7"/>
    <w:rsid w:val="00D326F5"/>
    <w:rsid w:val="00D32858"/>
    <w:rsid w:val="00D3373D"/>
    <w:rsid w:val="00D338FA"/>
    <w:rsid w:val="00D339BA"/>
    <w:rsid w:val="00D33E7C"/>
    <w:rsid w:val="00D33E8D"/>
    <w:rsid w:val="00D33F9B"/>
    <w:rsid w:val="00D3433E"/>
    <w:rsid w:val="00D344B5"/>
    <w:rsid w:val="00D346D3"/>
    <w:rsid w:val="00D34A3C"/>
    <w:rsid w:val="00D34B9D"/>
    <w:rsid w:val="00D34D24"/>
    <w:rsid w:val="00D34EBA"/>
    <w:rsid w:val="00D3501C"/>
    <w:rsid w:val="00D35B8D"/>
    <w:rsid w:val="00D3618B"/>
    <w:rsid w:val="00D3623D"/>
    <w:rsid w:val="00D36C0D"/>
    <w:rsid w:val="00D37078"/>
    <w:rsid w:val="00D3716E"/>
    <w:rsid w:val="00D37227"/>
    <w:rsid w:val="00D3782C"/>
    <w:rsid w:val="00D4012B"/>
    <w:rsid w:val="00D4060A"/>
    <w:rsid w:val="00D4072B"/>
    <w:rsid w:val="00D41892"/>
    <w:rsid w:val="00D41A47"/>
    <w:rsid w:val="00D41A7D"/>
    <w:rsid w:val="00D41DA1"/>
    <w:rsid w:val="00D42A66"/>
    <w:rsid w:val="00D42A6C"/>
    <w:rsid w:val="00D42E1B"/>
    <w:rsid w:val="00D4334B"/>
    <w:rsid w:val="00D43A81"/>
    <w:rsid w:val="00D43D5F"/>
    <w:rsid w:val="00D44024"/>
    <w:rsid w:val="00D440E0"/>
    <w:rsid w:val="00D44676"/>
    <w:rsid w:val="00D44937"/>
    <w:rsid w:val="00D4510A"/>
    <w:rsid w:val="00D458BD"/>
    <w:rsid w:val="00D45F3B"/>
    <w:rsid w:val="00D4689E"/>
    <w:rsid w:val="00D471C2"/>
    <w:rsid w:val="00D4772B"/>
    <w:rsid w:val="00D47F27"/>
    <w:rsid w:val="00D47F43"/>
    <w:rsid w:val="00D50742"/>
    <w:rsid w:val="00D50AD5"/>
    <w:rsid w:val="00D50C1E"/>
    <w:rsid w:val="00D50C67"/>
    <w:rsid w:val="00D50D6A"/>
    <w:rsid w:val="00D50D6D"/>
    <w:rsid w:val="00D5103D"/>
    <w:rsid w:val="00D513AF"/>
    <w:rsid w:val="00D51561"/>
    <w:rsid w:val="00D51590"/>
    <w:rsid w:val="00D515C1"/>
    <w:rsid w:val="00D52000"/>
    <w:rsid w:val="00D52017"/>
    <w:rsid w:val="00D52917"/>
    <w:rsid w:val="00D52C0C"/>
    <w:rsid w:val="00D53299"/>
    <w:rsid w:val="00D53C3A"/>
    <w:rsid w:val="00D53E64"/>
    <w:rsid w:val="00D53F55"/>
    <w:rsid w:val="00D54226"/>
    <w:rsid w:val="00D54375"/>
    <w:rsid w:val="00D55252"/>
    <w:rsid w:val="00D55F63"/>
    <w:rsid w:val="00D563C3"/>
    <w:rsid w:val="00D564B8"/>
    <w:rsid w:val="00D5665A"/>
    <w:rsid w:val="00D568D4"/>
    <w:rsid w:val="00D56C84"/>
    <w:rsid w:val="00D56EE0"/>
    <w:rsid w:val="00D602EA"/>
    <w:rsid w:val="00D6034B"/>
    <w:rsid w:val="00D605E2"/>
    <w:rsid w:val="00D60736"/>
    <w:rsid w:val="00D609BB"/>
    <w:rsid w:val="00D61619"/>
    <w:rsid w:val="00D61BCC"/>
    <w:rsid w:val="00D61C03"/>
    <w:rsid w:val="00D61FE1"/>
    <w:rsid w:val="00D6228C"/>
    <w:rsid w:val="00D62950"/>
    <w:rsid w:val="00D63B75"/>
    <w:rsid w:val="00D63BF6"/>
    <w:rsid w:val="00D64085"/>
    <w:rsid w:val="00D6408C"/>
    <w:rsid w:val="00D640A2"/>
    <w:rsid w:val="00D640BE"/>
    <w:rsid w:val="00D641DB"/>
    <w:rsid w:val="00D64983"/>
    <w:rsid w:val="00D649DC"/>
    <w:rsid w:val="00D64C1F"/>
    <w:rsid w:val="00D64CFB"/>
    <w:rsid w:val="00D6502D"/>
    <w:rsid w:val="00D650B7"/>
    <w:rsid w:val="00D6523D"/>
    <w:rsid w:val="00D6529F"/>
    <w:rsid w:val="00D65481"/>
    <w:rsid w:val="00D660CC"/>
    <w:rsid w:val="00D663ED"/>
    <w:rsid w:val="00D66522"/>
    <w:rsid w:val="00D66611"/>
    <w:rsid w:val="00D667FF"/>
    <w:rsid w:val="00D6716A"/>
    <w:rsid w:val="00D67447"/>
    <w:rsid w:val="00D675D2"/>
    <w:rsid w:val="00D67993"/>
    <w:rsid w:val="00D67DE6"/>
    <w:rsid w:val="00D67F12"/>
    <w:rsid w:val="00D70023"/>
    <w:rsid w:val="00D70640"/>
    <w:rsid w:val="00D70647"/>
    <w:rsid w:val="00D70C14"/>
    <w:rsid w:val="00D710BB"/>
    <w:rsid w:val="00D713DE"/>
    <w:rsid w:val="00D71463"/>
    <w:rsid w:val="00D727CA"/>
    <w:rsid w:val="00D729C3"/>
    <w:rsid w:val="00D73BA1"/>
    <w:rsid w:val="00D73BF2"/>
    <w:rsid w:val="00D741D0"/>
    <w:rsid w:val="00D7422F"/>
    <w:rsid w:val="00D742D6"/>
    <w:rsid w:val="00D74448"/>
    <w:rsid w:val="00D74527"/>
    <w:rsid w:val="00D75455"/>
    <w:rsid w:val="00D75B50"/>
    <w:rsid w:val="00D75C92"/>
    <w:rsid w:val="00D76016"/>
    <w:rsid w:val="00D76147"/>
    <w:rsid w:val="00D76F6F"/>
    <w:rsid w:val="00D7739D"/>
    <w:rsid w:val="00D7745F"/>
    <w:rsid w:val="00D77876"/>
    <w:rsid w:val="00D77B73"/>
    <w:rsid w:val="00D77ED1"/>
    <w:rsid w:val="00D8011F"/>
    <w:rsid w:val="00D802BE"/>
    <w:rsid w:val="00D80B2B"/>
    <w:rsid w:val="00D80BFE"/>
    <w:rsid w:val="00D8124B"/>
    <w:rsid w:val="00D81340"/>
    <w:rsid w:val="00D81804"/>
    <w:rsid w:val="00D81C65"/>
    <w:rsid w:val="00D81D03"/>
    <w:rsid w:val="00D81DF3"/>
    <w:rsid w:val="00D82235"/>
    <w:rsid w:val="00D82257"/>
    <w:rsid w:val="00D832F8"/>
    <w:rsid w:val="00D83377"/>
    <w:rsid w:val="00D83E9A"/>
    <w:rsid w:val="00D84588"/>
    <w:rsid w:val="00D84C79"/>
    <w:rsid w:val="00D8517E"/>
    <w:rsid w:val="00D854F3"/>
    <w:rsid w:val="00D858AA"/>
    <w:rsid w:val="00D85A4E"/>
    <w:rsid w:val="00D85E34"/>
    <w:rsid w:val="00D85EBE"/>
    <w:rsid w:val="00D86084"/>
    <w:rsid w:val="00D862D3"/>
    <w:rsid w:val="00D8643F"/>
    <w:rsid w:val="00D87784"/>
    <w:rsid w:val="00D87835"/>
    <w:rsid w:val="00D87E89"/>
    <w:rsid w:val="00D87F10"/>
    <w:rsid w:val="00D9010F"/>
    <w:rsid w:val="00D908E5"/>
    <w:rsid w:val="00D90B5D"/>
    <w:rsid w:val="00D912C1"/>
    <w:rsid w:val="00D91736"/>
    <w:rsid w:val="00D91A76"/>
    <w:rsid w:val="00D9225B"/>
    <w:rsid w:val="00D92BC8"/>
    <w:rsid w:val="00D934B1"/>
    <w:rsid w:val="00D934D0"/>
    <w:rsid w:val="00D9364B"/>
    <w:rsid w:val="00D93C4A"/>
    <w:rsid w:val="00D93F3D"/>
    <w:rsid w:val="00D94032"/>
    <w:rsid w:val="00D942F1"/>
    <w:rsid w:val="00D943C4"/>
    <w:rsid w:val="00D94C97"/>
    <w:rsid w:val="00D94DA5"/>
    <w:rsid w:val="00D94FF3"/>
    <w:rsid w:val="00D956F8"/>
    <w:rsid w:val="00D95C06"/>
    <w:rsid w:val="00D96B00"/>
    <w:rsid w:val="00D96BDD"/>
    <w:rsid w:val="00D96D76"/>
    <w:rsid w:val="00D96FFF"/>
    <w:rsid w:val="00D973F2"/>
    <w:rsid w:val="00D978CC"/>
    <w:rsid w:val="00D97B7A"/>
    <w:rsid w:val="00DA000E"/>
    <w:rsid w:val="00DA091A"/>
    <w:rsid w:val="00DA0AA9"/>
    <w:rsid w:val="00DA0D64"/>
    <w:rsid w:val="00DA14E1"/>
    <w:rsid w:val="00DA1D14"/>
    <w:rsid w:val="00DA1F95"/>
    <w:rsid w:val="00DA22C2"/>
    <w:rsid w:val="00DA298C"/>
    <w:rsid w:val="00DA2C7B"/>
    <w:rsid w:val="00DA39B3"/>
    <w:rsid w:val="00DA3B8A"/>
    <w:rsid w:val="00DA4653"/>
    <w:rsid w:val="00DA4D52"/>
    <w:rsid w:val="00DA5007"/>
    <w:rsid w:val="00DA53A8"/>
    <w:rsid w:val="00DA5537"/>
    <w:rsid w:val="00DA57B1"/>
    <w:rsid w:val="00DA5836"/>
    <w:rsid w:val="00DA5A91"/>
    <w:rsid w:val="00DA685A"/>
    <w:rsid w:val="00DA6992"/>
    <w:rsid w:val="00DA6C40"/>
    <w:rsid w:val="00DA6C84"/>
    <w:rsid w:val="00DA6D2B"/>
    <w:rsid w:val="00DA7336"/>
    <w:rsid w:val="00DA7576"/>
    <w:rsid w:val="00DA7A09"/>
    <w:rsid w:val="00DA7ABF"/>
    <w:rsid w:val="00DA7D2B"/>
    <w:rsid w:val="00DA7DAD"/>
    <w:rsid w:val="00DB0034"/>
    <w:rsid w:val="00DB0052"/>
    <w:rsid w:val="00DB073E"/>
    <w:rsid w:val="00DB0923"/>
    <w:rsid w:val="00DB0A15"/>
    <w:rsid w:val="00DB0F37"/>
    <w:rsid w:val="00DB1B8B"/>
    <w:rsid w:val="00DB1BE3"/>
    <w:rsid w:val="00DB1EF0"/>
    <w:rsid w:val="00DB3113"/>
    <w:rsid w:val="00DB3435"/>
    <w:rsid w:val="00DB34D4"/>
    <w:rsid w:val="00DB385E"/>
    <w:rsid w:val="00DB459B"/>
    <w:rsid w:val="00DB4872"/>
    <w:rsid w:val="00DB4ABE"/>
    <w:rsid w:val="00DB4B85"/>
    <w:rsid w:val="00DB5064"/>
    <w:rsid w:val="00DB5391"/>
    <w:rsid w:val="00DB560D"/>
    <w:rsid w:val="00DB57E2"/>
    <w:rsid w:val="00DB58B4"/>
    <w:rsid w:val="00DB66BB"/>
    <w:rsid w:val="00DB67AA"/>
    <w:rsid w:val="00DB67C3"/>
    <w:rsid w:val="00DB6C73"/>
    <w:rsid w:val="00DB6F28"/>
    <w:rsid w:val="00DB7AD4"/>
    <w:rsid w:val="00DB7D23"/>
    <w:rsid w:val="00DB7FE3"/>
    <w:rsid w:val="00DC0136"/>
    <w:rsid w:val="00DC060B"/>
    <w:rsid w:val="00DC10B7"/>
    <w:rsid w:val="00DC13A3"/>
    <w:rsid w:val="00DC20E4"/>
    <w:rsid w:val="00DC221E"/>
    <w:rsid w:val="00DC2BD4"/>
    <w:rsid w:val="00DC3554"/>
    <w:rsid w:val="00DC3F8C"/>
    <w:rsid w:val="00DC4485"/>
    <w:rsid w:val="00DC4610"/>
    <w:rsid w:val="00DC5CB5"/>
    <w:rsid w:val="00DC6556"/>
    <w:rsid w:val="00DC68BB"/>
    <w:rsid w:val="00DC6B11"/>
    <w:rsid w:val="00DC6C51"/>
    <w:rsid w:val="00DC6F6A"/>
    <w:rsid w:val="00DC7000"/>
    <w:rsid w:val="00DC707A"/>
    <w:rsid w:val="00DC731C"/>
    <w:rsid w:val="00DC7C88"/>
    <w:rsid w:val="00DD010F"/>
    <w:rsid w:val="00DD0B64"/>
    <w:rsid w:val="00DD1CFE"/>
    <w:rsid w:val="00DD3878"/>
    <w:rsid w:val="00DD38C7"/>
    <w:rsid w:val="00DD43C4"/>
    <w:rsid w:val="00DD53E3"/>
    <w:rsid w:val="00DD613A"/>
    <w:rsid w:val="00DD6732"/>
    <w:rsid w:val="00DD7108"/>
    <w:rsid w:val="00DD77A7"/>
    <w:rsid w:val="00DE0579"/>
    <w:rsid w:val="00DE0681"/>
    <w:rsid w:val="00DE093D"/>
    <w:rsid w:val="00DE0C1E"/>
    <w:rsid w:val="00DE0FFC"/>
    <w:rsid w:val="00DE1651"/>
    <w:rsid w:val="00DE1B8A"/>
    <w:rsid w:val="00DE236F"/>
    <w:rsid w:val="00DE24DC"/>
    <w:rsid w:val="00DE2BA2"/>
    <w:rsid w:val="00DE2BCB"/>
    <w:rsid w:val="00DE2D42"/>
    <w:rsid w:val="00DE30FD"/>
    <w:rsid w:val="00DE31DB"/>
    <w:rsid w:val="00DE3670"/>
    <w:rsid w:val="00DE36B9"/>
    <w:rsid w:val="00DE389E"/>
    <w:rsid w:val="00DE44E8"/>
    <w:rsid w:val="00DE472C"/>
    <w:rsid w:val="00DE4962"/>
    <w:rsid w:val="00DE4DFB"/>
    <w:rsid w:val="00DE5516"/>
    <w:rsid w:val="00DE5B7E"/>
    <w:rsid w:val="00DE5E20"/>
    <w:rsid w:val="00DE607E"/>
    <w:rsid w:val="00DE73B3"/>
    <w:rsid w:val="00DE765A"/>
    <w:rsid w:val="00DE7BB6"/>
    <w:rsid w:val="00DE7DC3"/>
    <w:rsid w:val="00DF0262"/>
    <w:rsid w:val="00DF06D5"/>
    <w:rsid w:val="00DF0AE2"/>
    <w:rsid w:val="00DF13AD"/>
    <w:rsid w:val="00DF19B4"/>
    <w:rsid w:val="00DF19CC"/>
    <w:rsid w:val="00DF1A77"/>
    <w:rsid w:val="00DF2185"/>
    <w:rsid w:val="00DF2658"/>
    <w:rsid w:val="00DF27A3"/>
    <w:rsid w:val="00DF3173"/>
    <w:rsid w:val="00DF334A"/>
    <w:rsid w:val="00DF33E9"/>
    <w:rsid w:val="00DF3664"/>
    <w:rsid w:val="00DF3A65"/>
    <w:rsid w:val="00DF543D"/>
    <w:rsid w:val="00DF5B4C"/>
    <w:rsid w:val="00DF5CB5"/>
    <w:rsid w:val="00DF5EAC"/>
    <w:rsid w:val="00DF6B6C"/>
    <w:rsid w:val="00DF73F6"/>
    <w:rsid w:val="00E00F24"/>
    <w:rsid w:val="00E01562"/>
    <w:rsid w:val="00E01BF8"/>
    <w:rsid w:val="00E02082"/>
    <w:rsid w:val="00E02112"/>
    <w:rsid w:val="00E02184"/>
    <w:rsid w:val="00E025CC"/>
    <w:rsid w:val="00E03333"/>
    <w:rsid w:val="00E03E04"/>
    <w:rsid w:val="00E03E59"/>
    <w:rsid w:val="00E0400B"/>
    <w:rsid w:val="00E04669"/>
    <w:rsid w:val="00E04D75"/>
    <w:rsid w:val="00E053CC"/>
    <w:rsid w:val="00E05964"/>
    <w:rsid w:val="00E05B89"/>
    <w:rsid w:val="00E0603B"/>
    <w:rsid w:val="00E0625D"/>
    <w:rsid w:val="00E06F1D"/>
    <w:rsid w:val="00E075B8"/>
    <w:rsid w:val="00E07632"/>
    <w:rsid w:val="00E077C8"/>
    <w:rsid w:val="00E07B14"/>
    <w:rsid w:val="00E07ECA"/>
    <w:rsid w:val="00E10D79"/>
    <w:rsid w:val="00E10EEF"/>
    <w:rsid w:val="00E11D77"/>
    <w:rsid w:val="00E1237E"/>
    <w:rsid w:val="00E12711"/>
    <w:rsid w:val="00E131BD"/>
    <w:rsid w:val="00E13617"/>
    <w:rsid w:val="00E13B33"/>
    <w:rsid w:val="00E14274"/>
    <w:rsid w:val="00E143A4"/>
    <w:rsid w:val="00E1469F"/>
    <w:rsid w:val="00E14AA5"/>
    <w:rsid w:val="00E1514A"/>
    <w:rsid w:val="00E152A9"/>
    <w:rsid w:val="00E15437"/>
    <w:rsid w:val="00E161EC"/>
    <w:rsid w:val="00E16500"/>
    <w:rsid w:val="00E169DB"/>
    <w:rsid w:val="00E17201"/>
    <w:rsid w:val="00E17555"/>
    <w:rsid w:val="00E17768"/>
    <w:rsid w:val="00E2021C"/>
    <w:rsid w:val="00E2035A"/>
    <w:rsid w:val="00E2098E"/>
    <w:rsid w:val="00E21079"/>
    <w:rsid w:val="00E21BF7"/>
    <w:rsid w:val="00E21C13"/>
    <w:rsid w:val="00E21C88"/>
    <w:rsid w:val="00E21EA6"/>
    <w:rsid w:val="00E224BA"/>
    <w:rsid w:val="00E2252B"/>
    <w:rsid w:val="00E237BF"/>
    <w:rsid w:val="00E239E7"/>
    <w:rsid w:val="00E24372"/>
    <w:rsid w:val="00E247E3"/>
    <w:rsid w:val="00E24BA1"/>
    <w:rsid w:val="00E24BD9"/>
    <w:rsid w:val="00E252EB"/>
    <w:rsid w:val="00E25939"/>
    <w:rsid w:val="00E259AF"/>
    <w:rsid w:val="00E26227"/>
    <w:rsid w:val="00E2651C"/>
    <w:rsid w:val="00E275BF"/>
    <w:rsid w:val="00E277C5"/>
    <w:rsid w:val="00E2795F"/>
    <w:rsid w:val="00E3043E"/>
    <w:rsid w:val="00E30A80"/>
    <w:rsid w:val="00E30DF8"/>
    <w:rsid w:val="00E30FA7"/>
    <w:rsid w:val="00E312A9"/>
    <w:rsid w:val="00E313F2"/>
    <w:rsid w:val="00E3157B"/>
    <w:rsid w:val="00E31CE5"/>
    <w:rsid w:val="00E31E3D"/>
    <w:rsid w:val="00E3254A"/>
    <w:rsid w:val="00E325D0"/>
    <w:rsid w:val="00E32BCE"/>
    <w:rsid w:val="00E32CDB"/>
    <w:rsid w:val="00E332DD"/>
    <w:rsid w:val="00E342EC"/>
    <w:rsid w:val="00E34B04"/>
    <w:rsid w:val="00E3531B"/>
    <w:rsid w:val="00E35FBD"/>
    <w:rsid w:val="00E3651A"/>
    <w:rsid w:val="00E36C38"/>
    <w:rsid w:val="00E36E40"/>
    <w:rsid w:val="00E36EAE"/>
    <w:rsid w:val="00E371DD"/>
    <w:rsid w:val="00E37428"/>
    <w:rsid w:val="00E37525"/>
    <w:rsid w:val="00E37838"/>
    <w:rsid w:val="00E37ADE"/>
    <w:rsid w:val="00E37B09"/>
    <w:rsid w:val="00E40624"/>
    <w:rsid w:val="00E4063E"/>
    <w:rsid w:val="00E41653"/>
    <w:rsid w:val="00E4209D"/>
    <w:rsid w:val="00E42311"/>
    <w:rsid w:val="00E428A8"/>
    <w:rsid w:val="00E4307B"/>
    <w:rsid w:val="00E430CF"/>
    <w:rsid w:val="00E434D0"/>
    <w:rsid w:val="00E43534"/>
    <w:rsid w:val="00E43B86"/>
    <w:rsid w:val="00E43C49"/>
    <w:rsid w:val="00E43E8A"/>
    <w:rsid w:val="00E43F34"/>
    <w:rsid w:val="00E43F53"/>
    <w:rsid w:val="00E440E7"/>
    <w:rsid w:val="00E444ED"/>
    <w:rsid w:val="00E4465F"/>
    <w:rsid w:val="00E45282"/>
    <w:rsid w:val="00E45529"/>
    <w:rsid w:val="00E45652"/>
    <w:rsid w:val="00E4591D"/>
    <w:rsid w:val="00E45B81"/>
    <w:rsid w:val="00E45BD5"/>
    <w:rsid w:val="00E46297"/>
    <w:rsid w:val="00E466EA"/>
    <w:rsid w:val="00E46755"/>
    <w:rsid w:val="00E46FEC"/>
    <w:rsid w:val="00E4745B"/>
    <w:rsid w:val="00E47AEB"/>
    <w:rsid w:val="00E47C27"/>
    <w:rsid w:val="00E47D8C"/>
    <w:rsid w:val="00E501BA"/>
    <w:rsid w:val="00E50357"/>
    <w:rsid w:val="00E507EB"/>
    <w:rsid w:val="00E50F1E"/>
    <w:rsid w:val="00E50FFF"/>
    <w:rsid w:val="00E5117B"/>
    <w:rsid w:val="00E512CE"/>
    <w:rsid w:val="00E51467"/>
    <w:rsid w:val="00E518C7"/>
    <w:rsid w:val="00E519FB"/>
    <w:rsid w:val="00E51B32"/>
    <w:rsid w:val="00E52741"/>
    <w:rsid w:val="00E527A9"/>
    <w:rsid w:val="00E529D5"/>
    <w:rsid w:val="00E529E7"/>
    <w:rsid w:val="00E52B57"/>
    <w:rsid w:val="00E5316A"/>
    <w:rsid w:val="00E53439"/>
    <w:rsid w:val="00E5359F"/>
    <w:rsid w:val="00E53610"/>
    <w:rsid w:val="00E5389F"/>
    <w:rsid w:val="00E539BB"/>
    <w:rsid w:val="00E53A71"/>
    <w:rsid w:val="00E53AFD"/>
    <w:rsid w:val="00E545AB"/>
    <w:rsid w:val="00E54B03"/>
    <w:rsid w:val="00E54B87"/>
    <w:rsid w:val="00E55001"/>
    <w:rsid w:val="00E55348"/>
    <w:rsid w:val="00E56626"/>
    <w:rsid w:val="00E56820"/>
    <w:rsid w:val="00E56BA1"/>
    <w:rsid w:val="00E57F37"/>
    <w:rsid w:val="00E612AF"/>
    <w:rsid w:val="00E61BD8"/>
    <w:rsid w:val="00E62AFC"/>
    <w:rsid w:val="00E63297"/>
    <w:rsid w:val="00E632BF"/>
    <w:rsid w:val="00E63755"/>
    <w:rsid w:val="00E63B4E"/>
    <w:rsid w:val="00E64899"/>
    <w:rsid w:val="00E6495E"/>
    <w:rsid w:val="00E64C4F"/>
    <w:rsid w:val="00E64CC9"/>
    <w:rsid w:val="00E65F5C"/>
    <w:rsid w:val="00E66031"/>
    <w:rsid w:val="00E66380"/>
    <w:rsid w:val="00E669FB"/>
    <w:rsid w:val="00E66E6A"/>
    <w:rsid w:val="00E67347"/>
    <w:rsid w:val="00E674FB"/>
    <w:rsid w:val="00E67619"/>
    <w:rsid w:val="00E7006C"/>
    <w:rsid w:val="00E70604"/>
    <w:rsid w:val="00E706BF"/>
    <w:rsid w:val="00E70E8D"/>
    <w:rsid w:val="00E70EDB"/>
    <w:rsid w:val="00E711C9"/>
    <w:rsid w:val="00E714D1"/>
    <w:rsid w:val="00E71958"/>
    <w:rsid w:val="00E721CB"/>
    <w:rsid w:val="00E72BDA"/>
    <w:rsid w:val="00E73651"/>
    <w:rsid w:val="00E740A0"/>
    <w:rsid w:val="00E745FD"/>
    <w:rsid w:val="00E7460F"/>
    <w:rsid w:val="00E74665"/>
    <w:rsid w:val="00E74839"/>
    <w:rsid w:val="00E748EF"/>
    <w:rsid w:val="00E74DAE"/>
    <w:rsid w:val="00E74DB3"/>
    <w:rsid w:val="00E7524A"/>
    <w:rsid w:val="00E75781"/>
    <w:rsid w:val="00E75F0A"/>
    <w:rsid w:val="00E7741C"/>
    <w:rsid w:val="00E778E5"/>
    <w:rsid w:val="00E77BEE"/>
    <w:rsid w:val="00E80335"/>
    <w:rsid w:val="00E81C03"/>
    <w:rsid w:val="00E81CD0"/>
    <w:rsid w:val="00E8237A"/>
    <w:rsid w:val="00E82A42"/>
    <w:rsid w:val="00E82B66"/>
    <w:rsid w:val="00E83462"/>
    <w:rsid w:val="00E83962"/>
    <w:rsid w:val="00E840D2"/>
    <w:rsid w:val="00E84BD3"/>
    <w:rsid w:val="00E84C1E"/>
    <w:rsid w:val="00E84E04"/>
    <w:rsid w:val="00E8560B"/>
    <w:rsid w:val="00E857A0"/>
    <w:rsid w:val="00E861EE"/>
    <w:rsid w:val="00E86DD9"/>
    <w:rsid w:val="00E86F15"/>
    <w:rsid w:val="00E87725"/>
    <w:rsid w:val="00E905A9"/>
    <w:rsid w:val="00E906E7"/>
    <w:rsid w:val="00E90A9C"/>
    <w:rsid w:val="00E90B65"/>
    <w:rsid w:val="00E90C1E"/>
    <w:rsid w:val="00E90CAF"/>
    <w:rsid w:val="00E90F72"/>
    <w:rsid w:val="00E910B2"/>
    <w:rsid w:val="00E91557"/>
    <w:rsid w:val="00E91609"/>
    <w:rsid w:val="00E91663"/>
    <w:rsid w:val="00E91B60"/>
    <w:rsid w:val="00E91BA1"/>
    <w:rsid w:val="00E938CA"/>
    <w:rsid w:val="00E93D71"/>
    <w:rsid w:val="00E94275"/>
    <w:rsid w:val="00E94635"/>
    <w:rsid w:val="00E95060"/>
    <w:rsid w:val="00E95500"/>
    <w:rsid w:val="00E95680"/>
    <w:rsid w:val="00E957F1"/>
    <w:rsid w:val="00E95EFD"/>
    <w:rsid w:val="00E9697F"/>
    <w:rsid w:val="00E96DB8"/>
    <w:rsid w:val="00E9728C"/>
    <w:rsid w:val="00E9768A"/>
    <w:rsid w:val="00E977C8"/>
    <w:rsid w:val="00E97927"/>
    <w:rsid w:val="00E97A66"/>
    <w:rsid w:val="00E97B82"/>
    <w:rsid w:val="00E97C4C"/>
    <w:rsid w:val="00EA07B3"/>
    <w:rsid w:val="00EA0BA7"/>
    <w:rsid w:val="00EA1054"/>
    <w:rsid w:val="00EA1300"/>
    <w:rsid w:val="00EA192F"/>
    <w:rsid w:val="00EA20E0"/>
    <w:rsid w:val="00EA2A6F"/>
    <w:rsid w:val="00EA2B5E"/>
    <w:rsid w:val="00EA2B75"/>
    <w:rsid w:val="00EA3345"/>
    <w:rsid w:val="00EA3554"/>
    <w:rsid w:val="00EA36CD"/>
    <w:rsid w:val="00EA3C2A"/>
    <w:rsid w:val="00EA3E85"/>
    <w:rsid w:val="00EA3E88"/>
    <w:rsid w:val="00EA451B"/>
    <w:rsid w:val="00EA48B5"/>
    <w:rsid w:val="00EA493C"/>
    <w:rsid w:val="00EA4A06"/>
    <w:rsid w:val="00EA4CD9"/>
    <w:rsid w:val="00EA542E"/>
    <w:rsid w:val="00EA5488"/>
    <w:rsid w:val="00EA5BAB"/>
    <w:rsid w:val="00EA6341"/>
    <w:rsid w:val="00EA75E2"/>
    <w:rsid w:val="00EA78B6"/>
    <w:rsid w:val="00EA78EE"/>
    <w:rsid w:val="00EA797C"/>
    <w:rsid w:val="00EA7E16"/>
    <w:rsid w:val="00EB04BF"/>
    <w:rsid w:val="00EB0703"/>
    <w:rsid w:val="00EB08B3"/>
    <w:rsid w:val="00EB08BB"/>
    <w:rsid w:val="00EB131B"/>
    <w:rsid w:val="00EB13A4"/>
    <w:rsid w:val="00EB1861"/>
    <w:rsid w:val="00EB1E29"/>
    <w:rsid w:val="00EB2024"/>
    <w:rsid w:val="00EB252F"/>
    <w:rsid w:val="00EB2CF2"/>
    <w:rsid w:val="00EB3993"/>
    <w:rsid w:val="00EB3A36"/>
    <w:rsid w:val="00EB3C9E"/>
    <w:rsid w:val="00EB44FB"/>
    <w:rsid w:val="00EB4BFD"/>
    <w:rsid w:val="00EB4FEE"/>
    <w:rsid w:val="00EB589E"/>
    <w:rsid w:val="00EB5B4F"/>
    <w:rsid w:val="00EB5F75"/>
    <w:rsid w:val="00EB60BF"/>
    <w:rsid w:val="00EB64EB"/>
    <w:rsid w:val="00EB739C"/>
    <w:rsid w:val="00EC02A5"/>
    <w:rsid w:val="00EC08E0"/>
    <w:rsid w:val="00EC11C9"/>
    <w:rsid w:val="00EC1635"/>
    <w:rsid w:val="00EC17C0"/>
    <w:rsid w:val="00EC1C87"/>
    <w:rsid w:val="00EC1F1D"/>
    <w:rsid w:val="00EC1F43"/>
    <w:rsid w:val="00EC211B"/>
    <w:rsid w:val="00EC2192"/>
    <w:rsid w:val="00EC2C5A"/>
    <w:rsid w:val="00EC2F4F"/>
    <w:rsid w:val="00EC3B22"/>
    <w:rsid w:val="00EC4745"/>
    <w:rsid w:val="00EC486F"/>
    <w:rsid w:val="00EC4981"/>
    <w:rsid w:val="00EC499F"/>
    <w:rsid w:val="00EC4BC5"/>
    <w:rsid w:val="00EC4D17"/>
    <w:rsid w:val="00EC504A"/>
    <w:rsid w:val="00EC5E77"/>
    <w:rsid w:val="00EC6190"/>
    <w:rsid w:val="00EC6829"/>
    <w:rsid w:val="00EC704C"/>
    <w:rsid w:val="00EC75A4"/>
    <w:rsid w:val="00EC7733"/>
    <w:rsid w:val="00EC77AC"/>
    <w:rsid w:val="00EC79FD"/>
    <w:rsid w:val="00EC7B0E"/>
    <w:rsid w:val="00EC7DD4"/>
    <w:rsid w:val="00ED0185"/>
    <w:rsid w:val="00ED080E"/>
    <w:rsid w:val="00ED08AA"/>
    <w:rsid w:val="00ED11CF"/>
    <w:rsid w:val="00ED21B7"/>
    <w:rsid w:val="00ED258F"/>
    <w:rsid w:val="00ED25A1"/>
    <w:rsid w:val="00ED2798"/>
    <w:rsid w:val="00ED27BB"/>
    <w:rsid w:val="00ED31AF"/>
    <w:rsid w:val="00ED32D5"/>
    <w:rsid w:val="00ED32F5"/>
    <w:rsid w:val="00ED3398"/>
    <w:rsid w:val="00ED37A3"/>
    <w:rsid w:val="00ED38C0"/>
    <w:rsid w:val="00ED393E"/>
    <w:rsid w:val="00ED43A8"/>
    <w:rsid w:val="00ED4592"/>
    <w:rsid w:val="00ED45CA"/>
    <w:rsid w:val="00ED490D"/>
    <w:rsid w:val="00ED4947"/>
    <w:rsid w:val="00ED4A22"/>
    <w:rsid w:val="00ED4D55"/>
    <w:rsid w:val="00ED5017"/>
    <w:rsid w:val="00ED62DC"/>
    <w:rsid w:val="00ED686E"/>
    <w:rsid w:val="00ED6988"/>
    <w:rsid w:val="00ED6AEE"/>
    <w:rsid w:val="00ED7DFE"/>
    <w:rsid w:val="00ED7FB6"/>
    <w:rsid w:val="00EE0557"/>
    <w:rsid w:val="00EE12B0"/>
    <w:rsid w:val="00EE1795"/>
    <w:rsid w:val="00EE1E4A"/>
    <w:rsid w:val="00EE212D"/>
    <w:rsid w:val="00EE28DE"/>
    <w:rsid w:val="00EE2B4E"/>
    <w:rsid w:val="00EE2BF5"/>
    <w:rsid w:val="00EE2C68"/>
    <w:rsid w:val="00EE32AD"/>
    <w:rsid w:val="00EE362C"/>
    <w:rsid w:val="00EE38E9"/>
    <w:rsid w:val="00EE39BC"/>
    <w:rsid w:val="00EE3B38"/>
    <w:rsid w:val="00EE3BBA"/>
    <w:rsid w:val="00EE3FBF"/>
    <w:rsid w:val="00EE4B06"/>
    <w:rsid w:val="00EE4FBB"/>
    <w:rsid w:val="00EE55C7"/>
    <w:rsid w:val="00EE5A3F"/>
    <w:rsid w:val="00EE5ABA"/>
    <w:rsid w:val="00EE5B9B"/>
    <w:rsid w:val="00EE5D29"/>
    <w:rsid w:val="00EE699A"/>
    <w:rsid w:val="00EE70AB"/>
    <w:rsid w:val="00EE71D8"/>
    <w:rsid w:val="00EE7560"/>
    <w:rsid w:val="00EE769F"/>
    <w:rsid w:val="00EE794F"/>
    <w:rsid w:val="00EE7F7F"/>
    <w:rsid w:val="00EE7F97"/>
    <w:rsid w:val="00EE7FCF"/>
    <w:rsid w:val="00EF1149"/>
    <w:rsid w:val="00EF1ACF"/>
    <w:rsid w:val="00EF2472"/>
    <w:rsid w:val="00EF2AB7"/>
    <w:rsid w:val="00EF2FF0"/>
    <w:rsid w:val="00EF3313"/>
    <w:rsid w:val="00EF3402"/>
    <w:rsid w:val="00EF39A7"/>
    <w:rsid w:val="00EF3B1E"/>
    <w:rsid w:val="00EF3D3A"/>
    <w:rsid w:val="00EF42A1"/>
    <w:rsid w:val="00EF435A"/>
    <w:rsid w:val="00EF47DD"/>
    <w:rsid w:val="00EF4A3C"/>
    <w:rsid w:val="00EF5858"/>
    <w:rsid w:val="00EF587E"/>
    <w:rsid w:val="00EF5EDB"/>
    <w:rsid w:val="00EF62B2"/>
    <w:rsid w:val="00EF63A9"/>
    <w:rsid w:val="00EF677C"/>
    <w:rsid w:val="00EF6C2E"/>
    <w:rsid w:val="00EF7C54"/>
    <w:rsid w:val="00EF7CBA"/>
    <w:rsid w:val="00F004AE"/>
    <w:rsid w:val="00F00571"/>
    <w:rsid w:val="00F008EC"/>
    <w:rsid w:val="00F011A0"/>
    <w:rsid w:val="00F011BD"/>
    <w:rsid w:val="00F01211"/>
    <w:rsid w:val="00F0222D"/>
    <w:rsid w:val="00F026E2"/>
    <w:rsid w:val="00F029D2"/>
    <w:rsid w:val="00F029E3"/>
    <w:rsid w:val="00F02D58"/>
    <w:rsid w:val="00F0317E"/>
    <w:rsid w:val="00F0357C"/>
    <w:rsid w:val="00F03B39"/>
    <w:rsid w:val="00F04FC0"/>
    <w:rsid w:val="00F0517B"/>
    <w:rsid w:val="00F05394"/>
    <w:rsid w:val="00F054E6"/>
    <w:rsid w:val="00F05DFA"/>
    <w:rsid w:val="00F05FC1"/>
    <w:rsid w:val="00F06AA4"/>
    <w:rsid w:val="00F06B35"/>
    <w:rsid w:val="00F06CC3"/>
    <w:rsid w:val="00F06F1E"/>
    <w:rsid w:val="00F07449"/>
    <w:rsid w:val="00F075F6"/>
    <w:rsid w:val="00F10218"/>
    <w:rsid w:val="00F105B2"/>
    <w:rsid w:val="00F10693"/>
    <w:rsid w:val="00F10D25"/>
    <w:rsid w:val="00F111BF"/>
    <w:rsid w:val="00F1320C"/>
    <w:rsid w:val="00F1353D"/>
    <w:rsid w:val="00F13E73"/>
    <w:rsid w:val="00F14B4F"/>
    <w:rsid w:val="00F14B8C"/>
    <w:rsid w:val="00F14C3A"/>
    <w:rsid w:val="00F14FD4"/>
    <w:rsid w:val="00F15575"/>
    <w:rsid w:val="00F1592D"/>
    <w:rsid w:val="00F15975"/>
    <w:rsid w:val="00F15C11"/>
    <w:rsid w:val="00F15CF6"/>
    <w:rsid w:val="00F1625E"/>
    <w:rsid w:val="00F17070"/>
    <w:rsid w:val="00F17C7F"/>
    <w:rsid w:val="00F2092D"/>
    <w:rsid w:val="00F20A34"/>
    <w:rsid w:val="00F21092"/>
    <w:rsid w:val="00F2162E"/>
    <w:rsid w:val="00F21B35"/>
    <w:rsid w:val="00F21C4E"/>
    <w:rsid w:val="00F21F14"/>
    <w:rsid w:val="00F225D0"/>
    <w:rsid w:val="00F228D8"/>
    <w:rsid w:val="00F22D21"/>
    <w:rsid w:val="00F23B1D"/>
    <w:rsid w:val="00F23C3E"/>
    <w:rsid w:val="00F23E78"/>
    <w:rsid w:val="00F24111"/>
    <w:rsid w:val="00F24C77"/>
    <w:rsid w:val="00F2513C"/>
    <w:rsid w:val="00F25192"/>
    <w:rsid w:val="00F25650"/>
    <w:rsid w:val="00F25741"/>
    <w:rsid w:val="00F25799"/>
    <w:rsid w:val="00F25E47"/>
    <w:rsid w:val="00F265B8"/>
    <w:rsid w:val="00F2688B"/>
    <w:rsid w:val="00F2694F"/>
    <w:rsid w:val="00F26F7F"/>
    <w:rsid w:val="00F27192"/>
    <w:rsid w:val="00F2725C"/>
    <w:rsid w:val="00F30068"/>
    <w:rsid w:val="00F30615"/>
    <w:rsid w:val="00F306B9"/>
    <w:rsid w:val="00F313BA"/>
    <w:rsid w:val="00F32D83"/>
    <w:rsid w:val="00F32DE9"/>
    <w:rsid w:val="00F3310B"/>
    <w:rsid w:val="00F33389"/>
    <w:rsid w:val="00F33608"/>
    <w:rsid w:val="00F33917"/>
    <w:rsid w:val="00F339CC"/>
    <w:rsid w:val="00F341FB"/>
    <w:rsid w:val="00F34751"/>
    <w:rsid w:val="00F34B93"/>
    <w:rsid w:val="00F350E0"/>
    <w:rsid w:val="00F35C0F"/>
    <w:rsid w:val="00F35DD2"/>
    <w:rsid w:val="00F3679A"/>
    <w:rsid w:val="00F373A6"/>
    <w:rsid w:val="00F378AD"/>
    <w:rsid w:val="00F4045D"/>
    <w:rsid w:val="00F406F3"/>
    <w:rsid w:val="00F41657"/>
    <w:rsid w:val="00F41742"/>
    <w:rsid w:val="00F421B8"/>
    <w:rsid w:val="00F4334A"/>
    <w:rsid w:val="00F435C1"/>
    <w:rsid w:val="00F43908"/>
    <w:rsid w:val="00F439CC"/>
    <w:rsid w:val="00F43CC7"/>
    <w:rsid w:val="00F43CD0"/>
    <w:rsid w:val="00F4409E"/>
    <w:rsid w:val="00F44262"/>
    <w:rsid w:val="00F446FC"/>
    <w:rsid w:val="00F45796"/>
    <w:rsid w:val="00F46047"/>
    <w:rsid w:val="00F4694F"/>
    <w:rsid w:val="00F46FAA"/>
    <w:rsid w:val="00F47A95"/>
    <w:rsid w:val="00F47E0A"/>
    <w:rsid w:val="00F5066D"/>
    <w:rsid w:val="00F5084A"/>
    <w:rsid w:val="00F50930"/>
    <w:rsid w:val="00F50E4A"/>
    <w:rsid w:val="00F50F20"/>
    <w:rsid w:val="00F51219"/>
    <w:rsid w:val="00F51EBE"/>
    <w:rsid w:val="00F520E4"/>
    <w:rsid w:val="00F524EF"/>
    <w:rsid w:val="00F52950"/>
    <w:rsid w:val="00F52958"/>
    <w:rsid w:val="00F52996"/>
    <w:rsid w:val="00F529B8"/>
    <w:rsid w:val="00F52BBB"/>
    <w:rsid w:val="00F52BE9"/>
    <w:rsid w:val="00F53611"/>
    <w:rsid w:val="00F5366F"/>
    <w:rsid w:val="00F539A6"/>
    <w:rsid w:val="00F542EF"/>
    <w:rsid w:val="00F55600"/>
    <w:rsid w:val="00F558F7"/>
    <w:rsid w:val="00F55B2F"/>
    <w:rsid w:val="00F55E3F"/>
    <w:rsid w:val="00F55EC5"/>
    <w:rsid w:val="00F55EDE"/>
    <w:rsid w:val="00F55F3B"/>
    <w:rsid w:val="00F561D4"/>
    <w:rsid w:val="00F56209"/>
    <w:rsid w:val="00F5625E"/>
    <w:rsid w:val="00F562AD"/>
    <w:rsid w:val="00F563F9"/>
    <w:rsid w:val="00F5659C"/>
    <w:rsid w:val="00F56A01"/>
    <w:rsid w:val="00F56D8A"/>
    <w:rsid w:val="00F572A2"/>
    <w:rsid w:val="00F60628"/>
    <w:rsid w:val="00F60AA5"/>
    <w:rsid w:val="00F60D89"/>
    <w:rsid w:val="00F60FB4"/>
    <w:rsid w:val="00F612AE"/>
    <w:rsid w:val="00F618D3"/>
    <w:rsid w:val="00F61BC1"/>
    <w:rsid w:val="00F61CC1"/>
    <w:rsid w:val="00F620DC"/>
    <w:rsid w:val="00F626B2"/>
    <w:rsid w:val="00F63245"/>
    <w:rsid w:val="00F6349E"/>
    <w:rsid w:val="00F63C87"/>
    <w:rsid w:val="00F63D07"/>
    <w:rsid w:val="00F64009"/>
    <w:rsid w:val="00F640CD"/>
    <w:rsid w:val="00F640F7"/>
    <w:rsid w:val="00F64198"/>
    <w:rsid w:val="00F644B3"/>
    <w:rsid w:val="00F6468C"/>
    <w:rsid w:val="00F64789"/>
    <w:rsid w:val="00F649ED"/>
    <w:rsid w:val="00F655A1"/>
    <w:rsid w:val="00F658B8"/>
    <w:rsid w:val="00F65B4C"/>
    <w:rsid w:val="00F66305"/>
    <w:rsid w:val="00F664FC"/>
    <w:rsid w:val="00F6681F"/>
    <w:rsid w:val="00F66D2D"/>
    <w:rsid w:val="00F66F15"/>
    <w:rsid w:val="00F67087"/>
    <w:rsid w:val="00F67205"/>
    <w:rsid w:val="00F67D27"/>
    <w:rsid w:val="00F67E61"/>
    <w:rsid w:val="00F70182"/>
    <w:rsid w:val="00F70FB8"/>
    <w:rsid w:val="00F7103C"/>
    <w:rsid w:val="00F71526"/>
    <w:rsid w:val="00F71FA0"/>
    <w:rsid w:val="00F726DD"/>
    <w:rsid w:val="00F72EFF"/>
    <w:rsid w:val="00F7333B"/>
    <w:rsid w:val="00F73A31"/>
    <w:rsid w:val="00F73D60"/>
    <w:rsid w:val="00F74D0E"/>
    <w:rsid w:val="00F7529F"/>
    <w:rsid w:val="00F75C13"/>
    <w:rsid w:val="00F75EDF"/>
    <w:rsid w:val="00F76191"/>
    <w:rsid w:val="00F76374"/>
    <w:rsid w:val="00F772E9"/>
    <w:rsid w:val="00F77601"/>
    <w:rsid w:val="00F7796A"/>
    <w:rsid w:val="00F80044"/>
    <w:rsid w:val="00F8009E"/>
    <w:rsid w:val="00F80737"/>
    <w:rsid w:val="00F8087B"/>
    <w:rsid w:val="00F80999"/>
    <w:rsid w:val="00F81181"/>
    <w:rsid w:val="00F8184B"/>
    <w:rsid w:val="00F819FF"/>
    <w:rsid w:val="00F81F4C"/>
    <w:rsid w:val="00F820F0"/>
    <w:rsid w:val="00F8260A"/>
    <w:rsid w:val="00F82E9D"/>
    <w:rsid w:val="00F8362E"/>
    <w:rsid w:val="00F83A21"/>
    <w:rsid w:val="00F83EE9"/>
    <w:rsid w:val="00F84129"/>
    <w:rsid w:val="00F84C76"/>
    <w:rsid w:val="00F84E65"/>
    <w:rsid w:val="00F85394"/>
    <w:rsid w:val="00F85987"/>
    <w:rsid w:val="00F85BF9"/>
    <w:rsid w:val="00F85D79"/>
    <w:rsid w:val="00F86712"/>
    <w:rsid w:val="00F870F9"/>
    <w:rsid w:val="00F876BE"/>
    <w:rsid w:val="00F87BC6"/>
    <w:rsid w:val="00F905EC"/>
    <w:rsid w:val="00F9105C"/>
    <w:rsid w:val="00F91503"/>
    <w:rsid w:val="00F92B5E"/>
    <w:rsid w:val="00F92CEC"/>
    <w:rsid w:val="00F92D20"/>
    <w:rsid w:val="00F93111"/>
    <w:rsid w:val="00F9322F"/>
    <w:rsid w:val="00F93371"/>
    <w:rsid w:val="00F9395D"/>
    <w:rsid w:val="00F939B6"/>
    <w:rsid w:val="00F94057"/>
    <w:rsid w:val="00F94E1B"/>
    <w:rsid w:val="00F951B7"/>
    <w:rsid w:val="00F9577E"/>
    <w:rsid w:val="00F959DF"/>
    <w:rsid w:val="00F95F85"/>
    <w:rsid w:val="00F9635B"/>
    <w:rsid w:val="00F96479"/>
    <w:rsid w:val="00F96678"/>
    <w:rsid w:val="00F968BD"/>
    <w:rsid w:val="00F97E43"/>
    <w:rsid w:val="00FA0883"/>
    <w:rsid w:val="00FA0B7E"/>
    <w:rsid w:val="00FA0DC0"/>
    <w:rsid w:val="00FA0F24"/>
    <w:rsid w:val="00FA14C9"/>
    <w:rsid w:val="00FA16BF"/>
    <w:rsid w:val="00FA16D8"/>
    <w:rsid w:val="00FA19DA"/>
    <w:rsid w:val="00FA1C69"/>
    <w:rsid w:val="00FA1FBF"/>
    <w:rsid w:val="00FA21B0"/>
    <w:rsid w:val="00FA238A"/>
    <w:rsid w:val="00FA2A2A"/>
    <w:rsid w:val="00FA2E30"/>
    <w:rsid w:val="00FA35F8"/>
    <w:rsid w:val="00FA3908"/>
    <w:rsid w:val="00FA3E76"/>
    <w:rsid w:val="00FA42AF"/>
    <w:rsid w:val="00FA42F8"/>
    <w:rsid w:val="00FA4726"/>
    <w:rsid w:val="00FA4967"/>
    <w:rsid w:val="00FA4EC3"/>
    <w:rsid w:val="00FA5608"/>
    <w:rsid w:val="00FA5EBF"/>
    <w:rsid w:val="00FA7326"/>
    <w:rsid w:val="00FA75AE"/>
    <w:rsid w:val="00FA7643"/>
    <w:rsid w:val="00FA7E75"/>
    <w:rsid w:val="00FA7F8C"/>
    <w:rsid w:val="00FB0E4D"/>
    <w:rsid w:val="00FB1B5F"/>
    <w:rsid w:val="00FB1E28"/>
    <w:rsid w:val="00FB32DD"/>
    <w:rsid w:val="00FB34E4"/>
    <w:rsid w:val="00FB3C88"/>
    <w:rsid w:val="00FB3D9B"/>
    <w:rsid w:val="00FB3FC6"/>
    <w:rsid w:val="00FB403A"/>
    <w:rsid w:val="00FB47DC"/>
    <w:rsid w:val="00FB4945"/>
    <w:rsid w:val="00FB4E07"/>
    <w:rsid w:val="00FB5131"/>
    <w:rsid w:val="00FB55DD"/>
    <w:rsid w:val="00FB5695"/>
    <w:rsid w:val="00FB5933"/>
    <w:rsid w:val="00FB5AFF"/>
    <w:rsid w:val="00FB60F0"/>
    <w:rsid w:val="00FB6377"/>
    <w:rsid w:val="00FB6626"/>
    <w:rsid w:val="00FB6C5C"/>
    <w:rsid w:val="00FB7351"/>
    <w:rsid w:val="00FB7767"/>
    <w:rsid w:val="00FB7AB9"/>
    <w:rsid w:val="00FC0B90"/>
    <w:rsid w:val="00FC1BDB"/>
    <w:rsid w:val="00FC1CFD"/>
    <w:rsid w:val="00FC22D8"/>
    <w:rsid w:val="00FC2488"/>
    <w:rsid w:val="00FC2F5F"/>
    <w:rsid w:val="00FC316F"/>
    <w:rsid w:val="00FC3F35"/>
    <w:rsid w:val="00FC4106"/>
    <w:rsid w:val="00FC4174"/>
    <w:rsid w:val="00FC41E7"/>
    <w:rsid w:val="00FC4273"/>
    <w:rsid w:val="00FC4472"/>
    <w:rsid w:val="00FC47B4"/>
    <w:rsid w:val="00FC4F09"/>
    <w:rsid w:val="00FC4FA8"/>
    <w:rsid w:val="00FC54D4"/>
    <w:rsid w:val="00FC5E2D"/>
    <w:rsid w:val="00FC6423"/>
    <w:rsid w:val="00FC69FE"/>
    <w:rsid w:val="00FC6BA5"/>
    <w:rsid w:val="00FC6DF9"/>
    <w:rsid w:val="00FC705E"/>
    <w:rsid w:val="00FC734D"/>
    <w:rsid w:val="00FD042D"/>
    <w:rsid w:val="00FD0A7C"/>
    <w:rsid w:val="00FD1FA4"/>
    <w:rsid w:val="00FD2133"/>
    <w:rsid w:val="00FD24BC"/>
    <w:rsid w:val="00FD2643"/>
    <w:rsid w:val="00FD2DCE"/>
    <w:rsid w:val="00FD313D"/>
    <w:rsid w:val="00FD3BF5"/>
    <w:rsid w:val="00FD40E2"/>
    <w:rsid w:val="00FD48FD"/>
    <w:rsid w:val="00FD49FE"/>
    <w:rsid w:val="00FD4D3C"/>
    <w:rsid w:val="00FD4F57"/>
    <w:rsid w:val="00FD5B76"/>
    <w:rsid w:val="00FD5FD2"/>
    <w:rsid w:val="00FD684A"/>
    <w:rsid w:val="00FD6B9D"/>
    <w:rsid w:val="00FD6BEF"/>
    <w:rsid w:val="00FD6DBF"/>
    <w:rsid w:val="00FD7033"/>
    <w:rsid w:val="00FD721E"/>
    <w:rsid w:val="00FE0AF3"/>
    <w:rsid w:val="00FE0DB8"/>
    <w:rsid w:val="00FE111A"/>
    <w:rsid w:val="00FE1770"/>
    <w:rsid w:val="00FE1949"/>
    <w:rsid w:val="00FE267A"/>
    <w:rsid w:val="00FE295A"/>
    <w:rsid w:val="00FE2B6D"/>
    <w:rsid w:val="00FE2C94"/>
    <w:rsid w:val="00FE2DBD"/>
    <w:rsid w:val="00FE33BE"/>
    <w:rsid w:val="00FE348B"/>
    <w:rsid w:val="00FE35E3"/>
    <w:rsid w:val="00FE3731"/>
    <w:rsid w:val="00FE3D5C"/>
    <w:rsid w:val="00FE3EBE"/>
    <w:rsid w:val="00FE4036"/>
    <w:rsid w:val="00FE41E4"/>
    <w:rsid w:val="00FE447F"/>
    <w:rsid w:val="00FE475C"/>
    <w:rsid w:val="00FE5604"/>
    <w:rsid w:val="00FE621F"/>
    <w:rsid w:val="00FE64CC"/>
    <w:rsid w:val="00FE6625"/>
    <w:rsid w:val="00FE6DF6"/>
    <w:rsid w:val="00FE74FD"/>
    <w:rsid w:val="00FF0018"/>
    <w:rsid w:val="00FF04ED"/>
    <w:rsid w:val="00FF0C04"/>
    <w:rsid w:val="00FF0E40"/>
    <w:rsid w:val="00FF0FFA"/>
    <w:rsid w:val="00FF1305"/>
    <w:rsid w:val="00FF131F"/>
    <w:rsid w:val="00FF2724"/>
    <w:rsid w:val="00FF2EDA"/>
    <w:rsid w:val="00FF345A"/>
    <w:rsid w:val="00FF376A"/>
    <w:rsid w:val="00FF37A8"/>
    <w:rsid w:val="00FF51F6"/>
    <w:rsid w:val="00FF521B"/>
    <w:rsid w:val="00FF5E5A"/>
    <w:rsid w:val="00FF5F55"/>
    <w:rsid w:val="00FF6166"/>
    <w:rsid w:val="00FF6184"/>
    <w:rsid w:val="00FF63FB"/>
    <w:rsid w:val="00FF6565"/>
    <w:rsid w:val="00FF66D3"/>
    <w:rsid w:val="00FF6962"/>
    <w:rsid w:val="00FF6C0B"/>
    <w:rsid w:val="00FF7A00"/>
    <w:rsid w:val="00FF7A11"/>
    <w:rsid w:val="00FF7A9D"/>
    <w:rsid w:val="00FF7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7DB6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4D1"/>
    <w:pPr>
      <w:spacing w:after="240" w:line="260" w:lineRule="exact"/>
      <w:jc w:val="both"/>
    </w:pPr>
    <w:rPr>
      <w:rFonts w:ascii="Book Antiqua" w:hAnsi="Book Antiqua"/>
      <w:color w:val="000000"/>
      <w:sz w:val="22"/>
    </w:rPr>
  </w:style>
  <w:style w:type="paragraph" w:styleId="Heading1">
    <w:name w:val="heading 1"/>
    <w:basedOn w:val="HeadingBase"/>
    <w:next w:val="OutlineNumbered1"/>
    <w:link w:val="Heading1Char"/>
    <w:qFormat/>
    <w:rsid w:val="000A7BCF"/>
    <w:pPr>
      <w:spacing w:before="360" w:after="360"/>
      <w:outlineLvl w:val="0"/>
    </w:pPr>
    <w:rPr>
      <w:rFonts w:cs="Arial"/>
      <w:b/>
      <w:bCs/>
      <w:smallCaps/>
      <w:kern w:val="32"/>
      <w:sz w:val="36"/>
      <w:szCs w:val="36"/>
    </w:rPr>
  </w:style>
  <w:style w:type="paragraph" w:styleId="Heading2">
    <w:name w:val="heading 2"/>
    <w:basedOn w:val="HeadingBase"/>
    <w:next w:val="OutlineNumbered1"/>
    <w:link w:val="Heading2Char"/>
    <w:qFormat/>
    <w:rsid w:val="005750C6"/>
    <w:pPr>
      <w:spacing w:before="300" w:after="180"/>
      <w:outlineLvl w:val="1"/>
    </w:pPr>
    <w:rPr>
      <w:rFonts w:cs="Arial"/>
      <w:b/>
      <w:bCs/>
      <w:iCs/>
      <w:smallCaps/>
      <w:sz w:val="32"/>
      <w:szCs w:val="28"/>
    </w:rPr>
  </w:style>
  <w:style w:type="paragraph" w:styleId="Heading3">
    <w:name w:val="heading 3"/>
    <w:basedOn w:val="HeadingBase"/>
    <w:next w:val="OutlineNumbered1"/>
    <w:link w:val="Heading3Char"/>
    <w:qFormat/>
    <w:rsid w:val="000A7BCF"/>
    <w:pPr>
      <w:spacing w:before="120" w:after="240"/>
      <w:outlineLvl w:val="2"/>
    </w:pPr>
    <w:rPr>
      <w:rFonts w:cs="Arial"/>
      <w:b/>
      <w:bCs/>
      <w:sz w:val="26"/>
      <w:szCs w:val="26"/>
    </w:rPr>
  </w:style>
  <w:style w:type="paragraph" w:styleId="Heading4">
    <w:name w:val="heading 4"/>
    <w:basedOn w:val="HeadingBase"/>
    <w:next w:val="OutlineNumbered1"/>
    <w:link w:val="Heading4Char"/>
    <w:qFormat/>
    <w:rsid w:val="000A7BCF"/>
    <w:pPr>
      <w:spacing w:after="240"/>
      <w:outlineLvl w:val="3"/>
    </w:pPr>
    <w:rPr>
      <w:b/>
      <w:bCs/>
      <w:sz w:val="22"/>
      <w:szCs w:val="22"/>
    </w:rPr>
  </w:style>
  <w:style w:type="paragraph" w:styleId="Heading5">
    <w:name w:val="heading 5"/>
    <w:basedOn w:val="HeadingBase"/>
    <w:next w:val="OutlineNumbered1"/>
    <w:qFormat/>
    <w:rsid w:val="000A7BCF"/>
    <w:pPr>
      <w:spacing w:after="120"/>
      <w:outlineLvl w:val="4"/>
    </w:pPr>
    <w:rPr>
      <w:b/>
      <w:bCs/>
      <w:iCs/>
    </w:rPr>
  </w:style>
  <w:style w:type="paragraph" w:styleId="Heading6">
    <w:name w:val="heading 6"/>
    <w:basedOn w:val="HeadingBase"/>
    <w:next w:val="OutlineNumbered1"/>
    <w:link w:val="Heading6Char"/>
    <w:qFormat/>
    <w:rsid w:val="000A7BCF"/>
    <w:pPr>
      <w:spacing w:after="120"/>
      <w:outlineLvl w:val="5"/>
    </w:pPr>
    <w:rPr>
      <w:bCs/>
      <w:szCs w:val="22"/>
    </w:rPr>
  </w:style>
  <w:style w:type="paragraph" w:styleId="Heading7">
    <w:name w:val="heading 7"/>
    <w:basedOn w:val="HeadingBase"/>
    <w:next w:val="Normal"/>
    <w:qFormat/>
    <w:rsid w:val="000A7BCF"/>
    <w:pPr>
      <w:spacing w:after="120"/>
      <w:outlineLvl w:val="6"/>
    </w:pPr>
    <w:rPr>
      <w:szCs w:val="24"/>
    </w:rPr>
  </w:style>
  <w:style w:type="paragraph" w:styleId="Heading8">
    <w:name w:val="heading 8"/>
    <w:basedOn w:val="HeadingBase"/>
    <w:next w:val="Normal"/>
    <w:qFormat/>
    <w:rsid w:val="000A7BCF"/>
    <w:pPr>
      <w:spacing w:after="120"/>
      <w:outlineLvl w:val="7"/>
    </w:pPr>
    <w:rPr>
      <w:iCs/>
      <w:szCs w:val="24"/>
    </w:rPr>
  </w:style>
  <w:style w:type="paragraph" w:styleId="Heading9">
    <w:name w:val="heading 9"/>
    <w:basedOn w:val="HeadingBase"/>
    <w:next w:val="Normal"/>
    <w:qFormat/>
    <w:rsid w:val="000A7BCF"/>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link w:val="SingleParagraphChar"/>
    <w:rsid w:val="000A7BCF"/>
    <w:pPr>
      <w:spacing w:after="0"/>
    </w:pPr>
  </w:style>
  <w:style w:type="character" w:styleId="Hyperlink">
    <w:name w:val="Hyperlink"/>
    <w:basedOn w:val="DefaultParagraphFont"/>
    <w:uiPriority w:val="99"/>
    <w:rsid w:val="000A7BCF"/>
    <w:rPr>
      <w:color w:val="auto"/>
      <w:u w:val="none"/>
    </w:rPr>
  </w:style>
  <w:style w:type="character" w:customStyle="1" w:styleId="BoldandItalic">
    <w:name w:val="Bold and Italic"/>
    <w:basedOn w:val="DefaultParagraphFont"/>
    <w:rsid w:val="000A7BCF"/>
    <w:rPr>
      <w:rFonts w:ascii="Arial" w:hAnsi="Arial"/>
      <w:b/>
      <w:i/>
    </w:rPr>
  </w:style>
  <w:style w:type="table" w:styleId="TableGrid">
    <w:name w:val="Table Grid"/>
    <w:basedOn w:val="TableNormal"/>
    <w:uiPriority w:val="59"/>
    <w:rsid w:val="000A7BCF"/>
    <w:pPr>
      <w:spacing w:after="240" w:line="260" w:lineRule="exact"/>
      <w:jc w:val="both"/>
    </w:pPr>
    <w:tblPr/>
    <w:tcPr>
      <w:shd w:val="clear" w:color="auto" w:fill="E6E6E6"/>
    </w:tcPr>
  </w:style>
  <w:style w:type="character" w:styleId="PageNumber">
    <w:name w:val="page number"/>
    <w:basedOn w:val="DefaultParagraphFont"/>
    <w:rsid w:val="0056559F"/>
    <w:rPr>
      <w:rFonts w:ascii="Book Antiqua" w:hAnsi="Book Antiqua"/>
      <w:sz w:val="18"/>
    </w:rPr>
  </w:style>
  <w:style w:type="paragraph" w:styleId="FootnoteText">
    <w:name w:val="footnote text"/>
    <w:basedOn w:val="Normal"/>
    <w:link w:val="FootnoteTextChar"/>
    <w:uiPriority w:val="99"/>
    <w:qFormat/>
    <w:rsid w:val="00E714D1"/>
    <w:pPr>
      <w:tabs>
        <w:tab w:val="left" w:pos="284"/>
      </w:tabs>
      <w:spacing w:after="0"/>
      <w:ind w:left="284" w:hanging="284"/>
    </w:pPr>
    <w:rPr>
      <w:sz w:val="18"/>
    </w:rPr>
  </w:style>
  <w:style w:type="paragraph" w:customStyle="1" w:styleId="Bullet">
    <w:name w:val="Bullet"/>
    <w:aliases w:val="b,b1,b + line,Body,level 1,Bullet + line"/>
    <w:basedOn w:val="Normal"/>
    <w:link w:val="BulletChar"/>
    <w:qFormat/>
    <w:rsid w:val="000A7BCF"/>
    <w:pPr>
      <w:numPr>
        <w:numId w:val="1"/>
      </w:numPr>
    </w:pPr>
  </w:style>
  <w:style w:type="paragraph" w:customStyle="1" w:styleId="Dash">
    <w:name w:val="Dash"/>
    <w:basedOn w:val="Normal"/>
    <w:link w:val="DashChar"/>
    <w:qFormat/>
    <w:rsid w:val="000A7BCF"/>
    <w:pPr>
      <w:numPr>
        <w:ilvl w:val="1"/>
        <w:numId w:val="1"/>
      </w:numPr>
    </w:pPr>
  </w:style>
  <w:style w:type="paragraph" w:customStyle="1" w:styleId="DoubleDot">
    <w:name w:val="Double Dot"/>
    <w:basedOn w:val="Normal"/>
    <w:link w:val="DoubleDotChar"/>
    <w:qFormat/>
    <w:rsid w:val="000A7BCF"/>
    <w:pPr>
      <w:numPr>
        <w:ilvl w:val="2"/>
        <w:numId w:val="1"/>
      </w:numPr>
    </w:pPr>
  </w:style>
  <w:style w:type="paragraph" w:customStyle="1" w:styleId="OutlineNumbered1">
    <w:name w:val="Outline Numbered 1"/>
    <w:basedOn w:val="Normal"/>
    <w:link w:val="OutlineNumbered1Char"/>
    <w:rsid w:val="001E43D3"/>
    <w:pPr>
      <w:numPr>
        <w:numId w:val="7"/>
      </w:numPr>
    </w:pPr>
  </w:style>
  <w:style w:type="paragraph" w:customStyle="1" w:styleId="OutlineNumbered2">
    <w:name w:val="Outline Numbered 2"/>
    <w:basedOn w:val="Normal"/>
    <w:rsid w:val="001E43D3"/>
    <w:pPr>
      <w:numPr>
        <w:ilvl w:val="1"/>
        <w:numId w:val="7"/>
      </w:numPr>
    </w:pPr>
  </w:style>
  <w:style w:type="paragraph" w:customStyle="1" w:styleId="OutlineNumbered3">
    <w:name w:val="Outline Numbered 3"/>
    <w:basedOn w:val="Normal"/>
    <w:rsid w:val="001E43D3"/>
    <w:pPr>
      <w:numPr>
        <w:ilvl w:val="2"/>
        <w:numId w:val="7"/>
      </w:numPr>
    </w:pPr>
  </w:style>
  <w:style w:type="paragraph" w:customStyle="1" w:styleId="AlphaParagraph">
    <w:name w:val="Alpha Paragraph"/>
    <w:basedOn w:val="Normal"/>
    <w:rsid w:val="000A7BCF"/>
    <w:pPr>
      <w:numPr>
        <w:numId w:val="2"/>
      </w:numPr>
      <w:tabs>
        <w:tab w:val="clear" w:pos="567"/>
        <w:tab w:val="num" w:pos="283"/>
      </w:tabs>
      <w:ind w:left="283" w:hanging="283"/>
    </w:pPr>
  </w:style>
  <w:style w:type="paragraph" w:customStyle="1" w:styleId="HeadingBase">
    <w:name w:val="Heading Base"/>
    <w:next w:val="Normal"/>
    <w:rsid w:val="0056559F"/>
    <w:pPr>
      <w:keepNext/>
    </w:pPr>
    <w:rPr>
      <w:rFonts w:ascii="Century Gothic" w:hAnsi="Century Gothic"/>
      <w:color w:val="1F497D" w:themeColor="text2"/>
    </w:rPr>
  </w:style>
  <w:style w:type="paragraph" w:customStyle="1" w:styleId="AppendixHeading">
    <w:name w:val="Appendix Heading"/>
    <w:basedOn w:val="HeadingBase"/>
    <w:next w:val="Normal"/>
    <w:rsid w:val="000A7BCF"/>
    <w:pPr>
      <w:spacing w:before="720" w:after="360"/>
    </w:pPr>
    <w:rPr>
      <w:rFonts w:ascii="Arial Bold" w:hAnsi="Arial Bold"/>
      <w:b/>
      <w:smallCaps/>
      <w:sz w:val="36"/>
      <w:szCs w:val="36"/>
    </w:rPr>
  </w:style>
  <w:style w:type="character" w:customStyle="1" w:styleId="Bold">
    <w:name w:val="Bold"/>
    <w:basedOn w:val="DefaultParagraphFont"/>
    <w:rsid w:val="000A7BCF"/>
    <w:rPr>
      <w:b/>
    </w:rPr>
  </w:style>
  <w:style w:type="paragraph" w:customStyle="1" w:styleId="BoxHeading">
    <w:name w:val="Box Heading"/>
    <w:basedOn w:val="HeadingBase"/>
    <w:next w:val="BoxText"/>
    <w:rsid w:val="00CA601E"/>
    <w:pPr>
      <w:numPr>
        <w:numId w:val="8"/>
      </w:numPr>
      <w:spacing w:before="120" w:after="120"/>
    </w:pPr>
    <w:rPr>
      <w:b/>
      <w:sz w:val="22"/>
    </w:rPr>
  </w:style>
  <w:style w:type="paragraph" w:customStyle="1" w:styleId="BoxTextBase">
    <w:name w:val="Box Text Base"/>
    <w:basedOn w:val="Normal"/>
    <w:rsid w:val="000A7BCF"/>
    <w:pPr>
      <w:spacing w:line="240" w:lineRule="auto"/>
    </w:pPr>
    <w:rPr>
      <w:color w:val="000080"/>
    </w:rPr>
  </w:style>
  <w:style w:type="paragraph" w:customStyle="1" w:styleId="ChartandTableFootnoteAlpha">
    <w:name w:val="Chart and Table Footnote Alpha"/>
    <w:rsid w:val="000A7BCF"/>
    <w:pPr>
      <w:numPr>
        <w:numId w:val="3"/>
      </w:numPr>
      <w:jc w:val="both"/>
    </w:pPr>
    <w:rPr>
      <w:rFonts w:ascii="Arial" w:hAnsi="Arial"/>
      <w:color w:val="000000"/>
      <w:sz w:val="16"/>
      <w:szCs w:val="16"/>
    </w:rPr>
  </w:style>
  <w:style w:type="paragraph" w:customStyle="1" w:styleId="ChartGraphic">
    <w:name w:val="Chart Graphic"/>
    <w:basedOn w:val="HeadingBase"/>
    <w:rsid w:val="000A7BCF"/>
    <w:pPr>
      <w:jc w:val="center"/>
    </w:pPr>
  </w:style>
  <w:style w:type="paragraph" w:customStyle="1" w:styleId="ChartMainHeading">
    <w:name w:val="Chart Main Heading"/>
    <w:basedOn w:val="HeadingBase"/>
    <w:next w:val="ChartGraphic"/>
    <w:rsid w:val="000A7BCF"/>
    <w:pPr>
      <w:spacing w:after="20"/>
      <w:jc w:val="center"/>
    </w:pPr>
    <w:rPr>
      <w:b/>
      <w:sz w:val="22"/>
    </w:rPr>
  </w:style>
  <w:style w:type="paragraph" w:customStyle="1" w:styleId="ChartorTableNote">
    <w:name w:val="Chart or Table Note"/>
    <w:next w:val="Normal"/>
    <w:rsid w:val="000A7BCF"/>
    <w:pPr>
      <w:jc w:val="both"/>
    </w:pPr>
    <w:rPr>
      <w:rFonts w:ascii="Arial" w:hAnsi="Arial"/>
      <w:color w:val="000000"/>
      <w:sz w:val="16"/>
    </w:rPr>
  </w:style>
  <w:style w:type="paragraph" w:customStyle="1" w:styleId="ChartSecondHeading">
    <w:name w:val="Chart Second Heading"/>
    <w:basedOn w:val="HeadingBase"/>
    <w:next w:val="ChartGraphic"/>
    <w:rsid w:val="000A7BCF"/>
    <w:pPr>
      <w:spacing w:after="20"/>
      <w:jc w:val="center"/>
    </w:pPr>
  </w:style>
  <w:style w:type="paragraph" w:customStyle="1" w:styleId="Classification">
    <w:name w:val="Classification"/>
    <w:basedOn w:val="HeadingBase"/>
    <w:next w:val="Footer"/>
    <w:rsid w:val="000A7BCF"/>
    <w:pPr>
      <w:spacing w:after="120"/>
      <w:jc w:val="center"/>
    </w:pPr>
    <w:rPr>
      <w:b/>
      <w:smallCaps/>
    </w:rPr>
  </w:style>
  <w:style w:type="paragraph" w:styleId="Footer">
    <w:name w:val="footer"/>
    <w:basedOn w:val="HeadingBase"/>
    <w:rsid w:val="000A7BCF"/>
    <w:rPr>
      <w:sz w:val="18"/>
    </w:rPr>
  </w:style>
  <w:style w:type="paragraph" w:customStyle="1" w:styleId="ContentsHeading">
    <w:name w:val="Contents Heading"/>
    <w:basedOn w:val="HeadingBase"/>
    <w:next w:val="Normal"/>
    <w:rsid w:val="0056559F"/>
    <w:pPr>
      <w:spacing w:after="360"/>
      <w:jc w:val="center"/>
    </w:pPr>
    <w:rPr>
      <w:smallCaps/>
      <w:sz w:val="36"/>
      <w:szCs w:val="36"/>
    </w:rPr>
  </w:style>
  <w:style w:type="paragraph" w:customStyle="1" w:styleId="CoverTitleMain">
    <w:name w:val="Cover Title Main"/>
    <w:basedOn w:val="HeadingBase"/>
    <w:next w:val="Normal"/>
    <w:rsid w:val="000A7BCF"/>
    <w:pPr>
      <w:spacing w:after="480"/>
      <w:jc w:val="center"/>
    </w:pPr>
    <w:rPr>
      <w:b/>
      <w:sz w:val="48"/>
    </w:rPr>
  </w:style>
  <w:style w:type="paragraph" w:customStyle="1" w:styleId="CoverTitleSub">
    <w:name w:val="Cover Title Sub"/>
    <w:basedOn w:val="HeadingBase"/>
    <w:rsid w:val="000A7BCF"/>
    <w:pPr>
      <w:spacing w:after="360"/>
      <w:jc w:val="center"/>
    </w:pPr>
    <w:rPr>
      <w:sz w:val="36"/>
    </w:rPr>
  </w:style>
  <w:style w:type="paragraph" w:customStyle="1" w:styleId="FooterCentered">
    <w:name w:val="Footer Centered"/>
    <w:basedOn w:val="Footer"/>
    <w:rsid w:val="000A7BCF"/>
    <w:pPr>
      <w:jc w:val="center"/>
    </w:pPr>
    <w:rPr>
      <w:rFonts w:ascii="Book Antiqua" w:hAnsi="Book Antiqua"/>
      <w:sz w:val="22"/>
    </w:rPr>
  </w:style>
  <w:style w:type="paragraph" w:customStyle="1" w:styleId="FooterEven">
    <w:name w:val="Footer Even"/>
    <w:basedOn w:val="Footer"/>
    <w:rsid w:val="000A7BCF"/>
  </w:style>
  <w:style w:type="paragraph" w:customStyle="1" w:styleId="FooterOdd">
    <w:name w:val="Footer Odd"/>
    <w:basedOn w:val="Footer"/>
    <w:rsid w:val="000A7BCF"/>
    <w:pPr>
      <w:jc w:val="right"/>
    </w:pPr>
  </w:style>
  <w:style w:type="character" w:customStyle="1" w:styleId="FramedFooter">
    <w:name w:val="Framed Footer"/>
    <w:rsid w:val="000A7BCF"/>
    <w:rPr>
      <w:rFonts w:ascii="Arial" w:hAnsi="Arial"/>
      <w:sz w:val="18"/>
    </w:rPr>
  </w:style>
  <w:style w:type="character" w:customStyle="1" w:styleId="FramedHeader">
    <w:name w:val="Framed Header"/>
    <w:basedOn w:val="DefaultParagraphFont"/>
    <w:rsid w:val="000A7BCF"/>
    <w:rPr>
      <w:rFonts w:ascii="Arial" w:hAnsi="Arial"/>
      <w:dstrike w:val="0"/>
      <w:color w:val="auto"/>
      <w:sz w:val="18"/>
      <w:vertAlign w:val="baseline"/>
    </w:rPr>
  </w:style>
  <w:style w:type="paragraph" w:styleId="Header">
    <w:name w:val="header"/>
    <w:basedOn w:val="HeadingBase"/>
    <w:rsid w:val="000A7BCF"/>
    <w:rPr>
      <w:sz w:val="18"/>
    </w:rPr>
  </w:style>
  <w:style w:type="paragraph" w:customStyle="1" w:styleId="HeaderEven">
    <w:name w:val="Header Even"/>
    <w:basedOn w:val="Header"/>
    <w:rsid w:val="000A7BCF"/>
  </w:style>
  <w:style w:type="paragraph" w:customStyle="1" w:styleId="HeaderOdd">
    <w:name w:val="Header Odd"/>
    <w:basedOn w:val="Header"/>
    <w:rsid w:val="000A7BCF"/>
    <w:pPr>
      <w:jc w:val="right"/>
    </w:pPr>
  </w:style>
  <w:style w:type="paragraph" w:styleId="NormalIndent">
    <w:name w:val="Normal Indent"/>
    <w:basedOn w:val="Normal"/>
    <w:rsid w:val="000A7BCF"/>
    <w:pPr>
      <w:ind w:left="567"/>
    </w:pPr>
  </w:style>
  <w:style w:type="paragraph" w:customStyle="1" w:styleId="RecommendationHeading">
    <w:name w:val="Recommendation Heading"/>
    <w:basedOn w:val="HeadingBase"/>
    <w:next w:val="RecommendationText"/>
    <w:rsid w:val="000A7BCF"/>
    <w:pPr>
      <w:tabs>
        <w:tab w:val="num" w:pos="472"/>
      </w:tabs>
      <w:spacing w:before="120" w:after="240"/>
      <w:ind w:left="472" w:hanging="472"/>
    </w:pPr>
    <w:rPr>
      <w:b/>
      <w:sz w:val="22"/>
    </w:rPr>
  </w:style>
  <w:style w:type="paragraph" w:customStyle="1" w:styleId="RecommendationTextBase">
    <w:name w:val="Recommendation Text Base"/>
    <w:basedOn w:val="Normal"/>
    <w:rsid w:val="000A7BCF"/>
  </w:style>
  <w:style w:type="paragraph" w:customStyle="1" w:styleId="RecommendationText">
    <w:name w:val="Recommendation Text"/>
    <w:basedOn w:val="RecommendationTextBase"/>
    <w:rsid w:val="000A7BCF"/>
  </w:style>
  <w:style w:type="paragraph" w:customStyle="1" w:styleId="TableTextBase">
    <w:name w:val="Table Text Base"/>
    <w:rsid w:val="000A7BCF"/>
    <w:pPr>
      <w:spacing w:before="40" w:after="40"/>
    </w:pPr>
    <w:rPr>
      <w:rFonts w:ascii="Arial" w:hAnsi="Arial"/>
      <w:color w:val="000000"/>
      <w:sz w:val="16"/>
    </w:rPr>
  </w:style>
  <w:style w:type="paragraph" w:customStyle="1" w:styleId="TableColumnHeadingCentred">
    <w:name w:val="Table Column Heading Centred"/>
    <w:basedOn w:val="TableTextBase"/>
    <w:rsid w:val="000A7BCF"/>
    <w:pPr>
      <w:jc w:val="center"/>
    </w:pPr>
    <w:rPr>
      <w:b/>
    </w:rPr>
  </w:style>
  <w:style w:type="paragraph" w:customStyle="1" w:styleId="TableColumnHeadingLeft">
    <w:name w:val="Table Column Heading Left"/>
    <w:basedOn w:val="TableTextBase"/>
    <w:rsid w:val="000A7BCF"/>
    <w:rPr>
      <w:b/>
    </w:rPr>
  </w:style>
  <w:style w:type="paragraph" w:customStyle="1" w:styleId="TableColumnHeadingRight">
    <w:name w:val="Table Column Heading Right"/>
    <w:basedOn w:val="TableTextBase"/>
    <w:rsid w:val="000A7BCF"/>
    <w:pPr>
      <w:jc w:val="right"/>
    </w:pPr>
    <w:rPr>
      <w:b/>
    </w:rPr>
  </w:style>
  <w:style w:type="paragraph" w:customStyle="1" w:styleId="TableGraphic">
    <w:name w:val="Table Graphic"/>
    <w:basedOn w:val="HeadingBase"/>
    <w:next w:val="Normal"/>
    <w:rsid w:val="000A7BCF"/>
  </w:style>
  <w:style w:type="paragraph" w:customStyle="1" w:styleId="TableMainHeading">
    <w:name w:val="Table Main Heading"/>
    <w:basedOn w:val="HeadingBase"/>
    <w:next w:val="TableGraphic"/>
    <w:rsid w:val="000A7BCF"/>
    <w:pPr>
      <w:spacing w:after="20"/>
    </w:pPr>
    <w:rPr>
      <w:b/>
      <w:sz w:val="22"/>
    </w:rPr>
  </w:style>
  <w:style w:type="paragraph" w:customStyle="1" w:styleId="TableMainHeadingContd">
    <w:name w:val="Table Main Heading Contd"/>
    <w:basedOn w:val="HeadingBase"/>
    <w:next w:val="TableGraphic"/>
    <w:rsid w:val="000A7BCF"/>
    <w:pPr>
      <w:spacing w:after="20"/>
    </w:pPr>
    <w:rPr>
      <w:b/>
      <w:sz w:val="22"/>
    </w:rPr>
  </w:style>
  <w:style w:type="paragraph" w:customStyle="1" w:styleId="TableSecondHeading">
    <w:name w:val="Table Second Heading"/>
    <w:basedOn w:val="HeadingBase"/>
    <w:next w:val="TableGraphic"/>
    <w:rsid w:val="000A7BCF"/>
    <w:pPr>
      <w:spacing w:after="20"/>
    </w:pPr>
  </w:style>
  <w:style w:type="paragraph" w:customStyle="1" w:styleId="TableTextCentered">
    <w:name w:val="Table Text Centered"/>
    <w:basedOn w:val="TableTextBase"/>
    <w:rsid w:val="000A7BCF"/>
    <w:pPr>
      <w:jc w:val="center"/>
    </w:pPr>
  </w:style>
  <w:style w:type="paragraph" w:customStyle="1" w:styleId="TableTextIndented">
    <w:name w:val="Table Text Indented"/>
    <w:basedOn w:val="TableTextBase"/>
    <w:rsid w:val="000A7BCF"/>
    <w:pPr>
      <w:ind w:left="284"/>
    </w:pPr>
  </w:style>
  <w:style w:type="paragraph" w:customStyle="1" w:styleId="TableTextLeft">
    <w:name w:val="Table Text Left"/>
    <w:basedOn w:val="TableTextBase"/>
    <w:rsid w:val="000A7BCF"/>
  </w:style>
  <w:style w:type="paragraph" w:customStyle="1" w:styleId="TableTextRight">
    <w:name w:val="Table Text Right"/>
    <w:basedOn w:val="TableTextBase"/>
    <w:rsid w:val="000A7BCF"/>
    <w:pPr>
      <w:jc w:val="right"/>
    </w:pPr>
  </w:style>
  <w:style w:type="paragraph" w:styleId="TOC1">
    <w:name w:val="toc 1"/>
    <w:basedOn w:val="HeadingBase"/>
    <w:next w:val="Normal"/>
    <w:uiPriority w:val="39"/>
    <w:rsid w:val="0056559F"/>
    <w:pPr>
      <w:tabs>
        <w:tab w:val="right" w:leader="dot" w:pos="9072"/>
      </w:tabs>
      <w:spacing w:before="180" w:after="60"/>
      <w:ind w:right="851"/>
    </w:pPr>
    <w:rPr>
      <w:b/>
      <w:sz w:val="24"/>
      <w:szCs w:val="22"/>
    </w:rPr>
  </w:style>
  <w:style w:type="paragraph" w:styleId="TOC2">
    <w:name w:val="toc 2"/>
    <w:basedOn w:val="HeadingBase"/>
    <w:next w:val="Normal"/>
    <w:uiPriority w:val="39"/>
    <w:rsid w:val="0056559F"/>
    <w:pPr>
      <w:tabs>
        <w:tab w:val="right" w:leader="dot" w:pos="9072"/>
      </w:tabs>
      <w:spacing w:before="60"/>
      <w:ind w:right="851"/>
    </w:pPr>
    <w:rPr>
      <w:sz w:val="22"/>
    </w:rPr>
  </w:style>
  <w:style w:type="paragraph" w:styleId="TOC3">
    <w:name w:val="toc 3"/>
    <w:basedOn w:val="Normal"/>
    <w:next w:val="Normal"/>
    <w:uiPriority w:val="39"/>
    <w:rsid w:val="00813AC3"/>
    <w:pPr>
      <w:tabs>
        <w:tab w:val="right" w:leader="dot" w:pos="9072"/>
      </w:tabs>
      <w:spacing w:before="40" w:after="0" w:line="240" w:lineRule="auto"/>
      <w:ind w:right="851"/>
    </w:pPr>
    <w:rPr>
      <w:rFonts w:ascii="Century Gothic" w:hAnsi="Century Gothic"/>
    </w:rPr>
  </w:style>
  <w:style w:type="paragraph" w:styleId="TOC4">
    <w:name w:val="toc 4"/>
    <w:basedOn w:val="Normal"/>
    <w:next w:val="Normal"/>
    <w:uiPriority w:val="39"/>
    <w:rsid w:val="000A7BCF"/>
    <w:pPr>
      <w:tabs>
        <w:tab w:val="right" w:leader="dot" w:pos="9072"/>
      </w:tabs>
      <w:spacing w:after="0" w:line="240" w:lineRule="auto"/>
      <w:ind w:left="284" w:right="851"/>
    </w:pPr>
  </w:style>
  <w:style w:type="character" w:customStyle="1" w:styleId="italic">
    <w:name w:val="italic"/>
    <w:basedOn w:val="DefaultParagraphFont"/>
    <w:rsid w:val="000A7BCF"/>
    <w:rPr>
      <w:i/>
    </w:rPr>
  </w:style>
  <w:style w:type="paragraph" w:customStyle="1" w:styleId="OneLevelNumberedParagraph">
    <w:name w:val="One Level Numbered Paragraph"/>
    <w:basedOn w:val="Normal"/>
    <w:rsid w:val="000A7BCF"/>
    <w:pPr>
      <w:numPr>
        <w:numId w:val="5"/>
      </w:numPr>
    </w:pPr>
  </w:style>
  <w:style w:type="paragraph" w:customStyle="1" w:styleId="BoxText">
    <w:name w:val="Box Text"/>
    <w:basedOn w:val="BoxTextBase"/>
    <w:rsid w:val="000A7BCF"/>
  </w:style>
  <w:style w:type="paragraph" w:customStyle="1" w:styleId="BoxBullet">
    <w:name w:val="Box Bullet"/>
    <w:basedOn w:val="BoxTextBase"/>
    <w:rsid w:val="000A7BCF"/>
    <w:pPr>
      <w:numPr>
        <w:numId w:val="4"/>
      </w:numPr>
    </w:pPr>
  </w:style>
  <w:style w:type="paragraph" w:customStyle="1" w:styleId="BoxDash">
    <w:name w:val="Box Dash"/>
    <w:basedOn w:val="BoxTextBase"/>
    <w:rsid w:val="000A7BCF"/>
    <w:pPr>
      <w:numPr>
        <w:ilvl w:val="1"/>
        <w:numId w:val="4"/>
      </w:numPr>
    </w:pPr>
  </w:style>
  <w:style w:type="paragraph" w:customStyle="1" w:styleId="BoxDoubleDot">
    <w:name w:val="Box Double Dot"/>
    <w:basedOn w:val="BoxTextBase"/>
    <w:rsid w:val="000A7BCF"/>
    <w:pPr>
      <w:numPr>
        <w:ilvl w:val="2"/>
        <w:numId w:val="4"/>
      </w:numPr>
    </w:pPr>
  </w:style>
  <w:style w:type="paragraph" w:customStyle="1" w:styleId="RecommendationBullet">
    <w:name w:val="Recommendation Bullet"/>
    <w:basedOn w:val="RecommendationTextBase"/>
    <w:rsid w:val="000A7BCF"/>
    <w:pPr>
      <w:numPr>
        <w:numId w:val="6"/>
      </w:numPr>
    </w:pPr>
  </w:style>
  <w:style w:type="paragraph" w:customStyle="1" w:styleId="RecommendationDash">
    <w:name w:val="Recommendation Dash"/>
    <w:basedOn w:val="RecommendationTextBase"/>
    <w:rsid w:val="000A7BCF"/>
    <w:pPr>
      <w:numPr>
        <w:ilvl w:val="1"/>
        <w:numId w:val="6"/>
      </w:numPr>
    </w:pPr>
  </w:style>
  <w:style w:type="paragraph" w:customStyle="1" w:styleId="RecommendationDoubleDot">
    <w:name w:val="Recommendation Double Dot"/>
    <w:basedOn w:val="RecommendationTextBase"/>
    <w:rsid w:val="000A7BCF"/>
    <w:pPr>
      <w:numPr>
        <w:ilvl w:val="2"/>
        <w:numId w:val="6"/>
      </w:numPr>
    </w:pPr>
  </w:style>
  <w:style w:type="character" w:styleId="FollowedHyperlink">
    <w:name w:val="FollowedHyperlink"/>
    <w:basedOn w:val="DefaultParagraphFont"/>
    <w:rsid w:val="000A7BCF"/>
    <w:rPr>
      <w:color w:val="auto"/>
      <w:u w:val="none"/>
    </w:rPr>
  </w:style>
  <w:style w:type="paragraph" w:customStyle="1" w:styleId="Disclaimer">
    <w:name w:val="Disclaimer"/>
    <w:basedOn w:val="HeadingBase"/>
    <w:rsid w:val="000A7BCF"/>
    <w:pPr>
      <w:spacing w:after="240"/>
    </w:pPr>
    <w:rPr>
      <w:b/>
      <w:sz w:val="22"/>
    </w:rPr>
  </w:style>
  <w:style w:type="paragraph" w:customStyle="1" w:styleId="SecurityClassificationHeader">
    <w:name w:val="Security Classification Header"/>
    <w:rsid w:val="000A7BCF"/>
    <w:pPr>
      <w:spacing w:after="240"/>
      <w:jc w:val="center"/>
    </w:pPr>
    <w:rPr>
      <w:rFonts w:ascii="Book Antiqua" w:hAnsi="Book Antiqua"/>
      <w:b/>
      <w:caps/>
      <w:color w:val="000080"/>
      <w:sz w:val="22"/>
    </w:rPr>
  </w:style>
  <w:style w:type="paragraph" w:customStyle="1" w:styleId="SecurityClassificationFooter">
    <w:name w:val="Security Classification Footer"/>
    <w:rsid w:val="000A7BCF"/>
    <w:pPr>
      <w:spacing w:before="240"/>
      <w:jc w:val="center"/>
    </w:pPr>
    <w:rPr>
      <w:rFonts w:ascii="Book Antiqua" w:hAnsi="Book Antiqua"/>
      <w:b/>
      <w:caps/>
      <w:color w:val="000080"/>
      <w:sz w:val="22"/>
    </w:rPr>
  </w:style>
  <w:style w:type="character" w:customStyle="1" w:styleId="EmailStyle84">
    <w:name w:val="EmailStyle84"/>
    <w:basedOn w:val="DefaultParagraphFont"/>
    <w:semiHidden/>
    <w:rsid w:val="000A7BCF"/>
    <w:rPr>
      <w:rFonts w:ascii="Arial" w:hAnsi="Arial" w:cs="Arial"/>
      <w:color w:val="auto"/>
      <w:sz w:val="20"/>
      <w:szCs w:val="20"/>
    </w:rPr>
  </w:style>
  <w:style w:type="character" w:customStyle="1" w:styleId="Italics">
    <w:name w:val="Italics"/>
    <w:basedOn w:val="DefaultParagraphFont"/>
    <w:rsid w:val="000A7BCF"/>
    <w:rPr>
      <w:i/>
    </w:rPr>
  </w:style>
  <w:style w:type="paragraph" w:customStyle="1" w:styleId="NotesHeading">
    <w:name w:val="Notes Heading"/>
    <w:basedOn w:val="ContentsHeading"/>
    <w:rsid w:val="000A7BCF"/>
    <w:pPr>
      <w:spacing w:before="240"/>
    </w:pPr>
  </w:style>
  <w:style w:type="paragraph" w:customStyle="1" w:styleId="BoxHeadingnonumber">
    <w:name w:val="Box Heading no number"/>
    <w:basedOn w:val="BoxHeading"/>
    <w:next w:val="BoxText"/>
    <w:qFormat/>
    <w:rsid w:val="00EA2B5E"/>
    <w:pPr>
      <w:numPr>
        <w:numId w:val="0"/>
      </w:numPr>
    </w:pPr>
  </w:style>
  <w:style w:type="paragraph" w:styleId="BalloonText">
    <w:name w:val="Balloon Text"/>
    <w:basedOn w:val="Normal"/>
    <w:link w:val="BalloonTextChar"/>
    <w:uiPriority w:val="99"/>
    <w:semiHidden/>
    <w:unhideWhenUsed/>
    <w:rsid w:val="00C76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F10"/>
    <w:rPr>
      <w:rFonts w:ascii="Tahoma" w:hAnsi="Tahoma" w:cs="Tahoma"/>
      <w:color w:val="000000"/>
      <w:sz w:val="16"/>
      <w:szCs w:val="16"/>
    </w:rPr>
  </w:style>
  <w:style w:type="numbering" w:customStyle="1" w:styleId="Outlinenumbering">
    <w:name w:val="Outline numbering"/>
    <w:uiPriority w:val="99"/>
    <w:rsid w:val="001E43D3"/>
  </w:style>
  <w:style w:type="numbering" w:customStyle="1" w:styleId="Optionboxheading">
    <w:name w:val="Option box heading"/>
    <w:uiPriority w:val="99"/>
    <w:rsid w:val="00CA601E"/>
    <w:pPr>
      <w:numPr>
        <w:numId w:val="8"/>
      </w:numPr>
    </w:pPr>
  </w:style>
  <w:style w:type="character" w:customStyle="1" w:styleId="A5">
    <w:name w:val="A5"/>
    <w:uiPriority w:val="99"/>
    <w:rsid w:val="0011462E"/>
    <w:rPr>
      <w:rFonts w:cs="Swiss 721 BT"/>
      <w:color w:val="000000"/>
      <w:sz w:val="20"/>
      <w:szCs w:val="20"/>
    </w:rPr>
  </w:style>
  <w:style w:type="paragraph" w:customStyle="1" w:styleId="Heading2NotNumbered">
    <w:name w:val="Heading 2 Not Numbered"/>
    <w:basedOn w:val="Heading2"/>
    <w:next w:val="Normal"/>
    <w:rsid w:val="005750C6"/>
  </w:style>
  <w:style w:type="character" w:customStyle="1" w:styleId="SingleParagraphChar">
    <w:name w:val="Single Paragraph Char"/>
    <w:basedOn w:val="DefaultParagraphFont"/>
    <w:link w:val="SingleParagraph"/>
    <w:rsid w:val="00F30068"/>
    <w:rPr>
      <w:rFonts w:ascii="Book Antiqua" w:hAnsi="Book Antiqua"/>
      <w:color w:val="000000"/>
      <w:sz w:val="22"/>
    </w:rPr>
  </w:style>
  <w:style w:type="paragraph" w:styleId="NoSpacing">
    <w:name w:val="No Spacing"/>
    <w:uiPriority w:val="1"/>
    <w:qFormat/>
    <w:rsid w:val="004925B5"/>
    <w:pPr>
      <w:jc w:val="both"/>
    </w:pPr>
    <w:rPr>
      <w:rFonts w:ascii="Book Antiqua" w:hAnsi="Book Antiqua"/>
      <w:color w:val="000000"/>
      <w:sz w:val="22"/>
    </w:rPr>
  </w:style>
  <w:style w:type="paragraph" w:styleId="Quote">
    <w:name w:val="Quote"/>
    <w:basedOn w:val="Normal"/>
    <w:next w:val="Normal"/>
    <w:link w:val="QuoteChar"/>
    <w:uiPriority w:val="29"/>
    <w:qFormat/>
    <w:rsid w:val="004925B5"/>
    <w:rPr>
      <w:i/>
      <w:iCs/>
      <w:color w:val="000000" w:themeColor="text1"/>
    </w:rPr>
  </w:style>
  <w:style w:type="character" w:customStyle="1" w:styleId="QuoteChar">
    <w:name w:val="Quote Char"/>
    <w:basedOn w:val="DefaultParagraphFont"/>
    <w:link w:val="Quote"/>
    <w:uiPriority w:val="29"/>
    <w:rsid w:val="004925B5"/>
    <w:rPr>
      <w:rFonts w:ascii="Book Antiqua" w:hAnsi="Book Antiqua"/>
      <w:i/>
      <w:iCs/>
      <w:color w:val="000000" w:themeColor="text1"/>
      <w:sz w:val="22"/>
    </w:rPr>
  </w:style>
  <w:style w:type="paragraph" w:styleId="ListParagraph">
    <w:name w:val="List Paragraph"/>
    <w:basedOn w:val="Normal"/>
    <w:uiPriority w:val="34"/>
    <w:qFormat/>
    <w:rsid w:val="004C28BE"/>
    <w:pPr>
      <w:ind w:left="720"/>
      <w:contextualSpacing/>
    </w:pPr>
  </w:style>
  <w:style w:type="character" w:customStyle="1" w:styleId="FootnoteTextChar">
    <w:name w:val="Footnote Text Char"/>
    <w:basedOn w:val="DefaultParagraphFont"/>
    <w:link w:val="FootnoteText"/>
    <w:uiPriority w:val="99"/>
    <w:rsid w:val="00E714D1"/>
    <w:rPr>
      <w:rFonts w:ascii="Book Antiqua" w:hAnsi="Book Antiqua"/>
      <w:color w:val="000000"/>
      <w:sz w:val="18"/>
    </w:rPr>
  </w:style>
  <w:style w:type="character" w:styleId="FootnoteReference">
    <w:name w:val="footnote reference"/>
    <w:basedOn w:val="DefaultParagraphFont"/>
    <w:uiPriority w:val="99"/>
    <w:unhideWhenUsed/>
    <w:rsid w:val="00112041"/>
    <w:rPr>
      <w:vertAlign w:val="superscript"/>
    </w:rPr>
  </w:style>
  <w:style w:type="table" w:customStyle="1" w:styleId="TableGrid2">
    <w:name w:val="Table Grid2"/>
    <w:basedOn w:val="TableNormal"/>
    <w:next w:val="TableGrid"/>
    <w:uiPriority w:val="59"/>
    <w:rsid w:val="00AB00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004AE"/>
    <w:pPr>
      <w:spacing w:after="240" w:line="260" w:lineRule="exact"/>
      <w:jc w:val="both"/>
    </w:pPr>
    <w:tblPr/>
    <w:tcPr>
      <w:shd w:val="clear" w:color="auto" w:fill="E6E6E6"/>
    </w:tcPr>
  </w:style>
  <w:style w:type="table" w:customStyle="1" w:styleId="TableGrid1">
    <w:name w:val="Table Grid1"/>
    <w:basedOn w:val="TableNormal"/>
    <w:next w:val="TableGrid"/>
    <w:rsid w:val="00BC3931"/>
    <w:pPr>
      <w:spacing w:after="240" w:line="260" w:lineRule="exact"/>
      <w:jc w:val="both"/>
    </w:pPr>
    <w:tblPr/>
    <w:tcPr>
      <w:shd w:val="clear" w:color="auto" w:fill="E6E6E6"/>
    </w:tcPr>
  </w:style>
  <w:style w:type="paragraph" w:styleId="TOC5">
    <w:name w:val="toc 5"/>
    <w:basedOn w:val="Normal"/>
    <w:next w:val="Normal"/>
    <w:autoRedefine/>
    <w:uiPriority w:val="39"/>
    <w:unhideWhenUsed/>
    <w:rsid w:val="009C2A72"/>
    <w:pPr>
      <w:spacing w:after="100" w:line="276" w:lineRule="auto"/>
      <w:ind w:left="880"/>
      <w:jc w:val="left"/>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9C2A72"/>
    <w:pPr>
      <w:spacing w:after="100" w:line="276" w:lineRule="auto"/>
      <w:ind w:left="1100"/>
      <w:jc w:val="left"/>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9C2A72"/>
    <w:pPr>
      <w:spacing w:after="100" w:line="276" w:lineRule="auto"/>
      <w:ind w:left="1320"/>
      <w:jc w:val="left"/>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9C2A72"/>
    <w:pPr>
      <w:spacing w:after="100" w:line="276" w:lineRule="auto"/>
      <w:ind w:left="1540"/>
      <w:jc w:val="left"/>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9C2A72"/>
    <w:pPr>
      <w:spacing w:after="100" w:line="276" w:lineRule="auto"/>
      <w:ind w:left="1760"/>
      <w:jc w:val="left"/>
    </w:pPr>
    <w:rPr>
      <w:rFonts w:asciiTheme="minorHAnsi" w:eastAsiaTheme="minorEastAsia" w:hAnsiTheme="minorHAnsi" w:cstheme="minorBidi"/>
      <w:color w:val="auto"/>
      <w:szCs w:val="22"/>
    </w:rPr>
  </w:style>
  <w:style w:type="character" w:styleId="CommentReference">
    <w:name w:val="annotation reference"/>
    <w:basedOn w:val="DefaultParagraphFont"/>
    <w:uiPriority w:val="99"/>
    <w:semiHidden/>
    <w:unhideWhenUsed/>
    <w:rsid w:val="00A62A93"/>
    <w:rPr>
      <w:sz w:val="16"/>
      <w:szCs w:val="16"/>
    </w:rPr>
  </w:style>
  <w:style w:type="paragraph" w:styleId="CommentText">
    <w:name w:val="annotation text"/>
    <w:basedOn w:val="Normal"/>
    <w:link w:val="CommentTextChar"/>
    <w:uiPriority w:val="99"/>
    <w:unhideWhenUsed/>
    <w:rsid w:val="00A62A93"/>
    <w:pPr>
      <w:spacing w:line="240" w:lineRule="auto"/>
    </w:pPr>
    <w:rPr>
      <w:sz w:val="20"/>
    </w:rPr>
  </w:style>
  <w:style w:type="character" w:customStyle="1" w:styleId="CommentTextChar">
    <w:name w:val="Comment Text Char"/>
    <w:basedOn w:val="DefaultParagraphFont"/>
    <w:link w:val="CommentText"/>
    <w:uiPriority w:val="99"/>
    <w:rsid w:val="00A62A93"/>
    <w:rPr>
      <w:rFonts w:ascii="Book Antiqua" w:hAnsi="Book Antiqua"/>
      <w:color w:val="000000"/>
    </w:rPr>
  </w:style>
  <w:style w:type="paragraph" w:styleId="CommentSubject">
    <w:name w:val="annotation subject"/>
    <w:basedOn w:val="CommentText"/>
    <w:next w:val="CommentText"/>
    <w:link w:val="CommentSubjectChar"/>
    <w:uiPriority w:val="99"/>
    <w:semiHidden/>
    <w:unhideWhenUsed/>
    <w:rsid w:val="00A62A93"/>
    <w:rPr>
      <w:b/>
      <w:bCs/>
    </w:rPr>
  </w:style>
  <w:style w:type="character" w:customStyle="1" w:styleId="CommentSubjectChar">
    <w:name w:val="Comment Subject Char"/>
    <w:basedOn w:val="CommentTextChar"/>
    <w:link w:val="CommentSubject"/>
    <w:uiPriority w:val="99"/>
    <w:semiHidden/>
    <w:rsid w:val="00A62A93"/>
    <w:rPr>
      <w:rFonts w:ascii="Book Antiqua" w:hAnsi="Book Antiqua"/>
      <w:b/>
      <w:bCs/>
      <w:color w:val="000000"/>
    </w:rPr>
  </w:style>
  <w:style w:type="paragraph" w:customStyle="1" w:styleId="Default">
    <w:name w:val="Default"/>
    <w:rsid w:val="00A62A93"/>
    <w:pPr>
      <w:autoSpaceDE w:val="0"/>
      <w:autoSpaceDN w:val="0"/>
      <w:adjustRightInd w:val="0"/>
    </w:pPr>
    <w:rPr>
      <w:rFonts w:ascii="Arial" w:hAnsi="Arial" w:cs="Arial"/>
      <w:color w:val="000000"/>
      <w:sz w:val="24"/>
      <w:szCs w:val="24"/>
    </w:rPr>
  </w:style>
  <w:style w:type="character" w:customStyle="1" w:styleId="OutlineNumbered1Char">
    <w:name w:val="Outline Numbered 1 Char"/>
    <w:basedOn w:val="DefaultParagraphFont"/>
    <w:link w:val="OutlineNumbered1"/>
    <w:rsid w:val="00E14274"/>
    <w:rPr>
      <w:rFonts w:ascii="Book Antiqua" w:hAnsi="Book Antiqua"/>
      <w:color w:val="000000"/>
      <w:sz w:val="22"/>
    </w:rPr>
  </w:style>
  <w:style w:type="character" w:styleId="HTMLCite">
    <w:name w:val="HTML Cite"/>
    <w:basedOn w:val="DefaultParagraphFont"/>
    <w:uiPriority w:val="99"/>
    <w:semiHidden/>
    <w:unhideWhenUsed/>
    <w:rsid w:val="0067026D"/>
    <w:rPr>
      <w:i/>
      <w:iCs/>
    </w:rPr>
  </w:style>
  <w:style w:type="character" w:customStyle="1" w:styleId="BulletChar">
    <w:name w:val="Bullet Char"/>
    <w:aliases w:val="b Char,b Char Char,b + line Char Char,b1 Char,b + line Char,Body Char,level 1 Char"/>
    <w:basedOn w:val="DefaultParagraphFont"/>
    <w:link w:val="Bullet"/>
    <w:rsid w:val="00C909F0"/>
    <w:rPr>
      <w:rFonts w:ascii="Book Antiqua" w:hAnsi="Book Antiqua"/>
      <w:color w:val="000000"/>
      <w:sz w:val="22"/>
    </w:rPr>
  </w:style>
  <w:style w:type="character" w:customStyle="1" w:styleId="DoubleDotChar">
    <w:name w:val="Double Dot Char"/>
    <w:basedOn w:val="DefaultParagraphFont"/>
    <w:link w:val="DoubleDot"/>
    <w:rsid w:val="00C909F0"/>
    <w:rPr>
      <w:rFonts w:ascii="Book Antiqua" w:hAnsi="Book Antiqua"/>
      <w:color w:val="000000"/>
      <w:sz w:val="22"/>
    </w:rPr>
  </w:style>
  <w:style w:type="character" w:customStyle="1" w:styleId="DashChar">
    <w:name w:val="Dash Char"/>
    <w:basedOn w:val="DefaultParagraphFont"/>
    <w:link w:val="Dash"/>
    <w:rsid w:val="005333A3"/>
    <w:rPr>
      <w:rFonts w:ascii="Book Antiqua" w:hAnsi="Book Antiqua"/>
      <w:color w:val="000000"/>
      <w:sz w:val="22"/>
    </w:rPr>
  </w:style>
  <w:style w:type="paragraph" w:customStyle="1" w:styleId="ChapterHeading">
    <w:name w:val="Chapter Heading"/>
    <w:next w:val="Heading2"/>
    <w:rsid w:val="00436749"/>
    <w:pPr>
      <w:numPr>
        <w:numId w:val="17"/>
      </w:numPr>
      <w:pBdr>
        <w:top w:val="single" w:sz="4" w:space="1" w:color="auto"/>
        <w:bottom w:val="single" w:sz="4" w:space="1" w:color="auto"/>
      </w:pBdr>
      <w:spacing w:before="240" w:line="260" w:lineRule="atLeast"/>
    </w:pPr>
    <w:rPr>
      <w:rFonts w:ascii="Helvetica" w:hAnsi="Helvetica"/>
      <w:b/>
      <w:i/>
      <w:sz w:val="38"/>
    </w:rPr>
  </w:style>
  <w:style w:type="paragraph" w:customStyle="1" w:styleId="TableHeadingoutsidetable">
    <w:name w:val="Table Heading (outside table)"/>
    <w:basedOn w:val="Heading4"/>
    <w:rsid w:val="00B20B49"/>
    <w:pPr>
      <w:numPr>
        <w:ilvl w:val="4"/>
        <w:numId w:val="14"/>
      </w:numPr>
      <w:spacing w:before="120" w:after="120"/>
    </w:pPr>
    <w:rPr>
      <w:rFonts w:ascii="Times New Roman" w:hAnsi="Times New Roman"/>
      <w:bCs w:val="0"/>
      <w:color w:val="auto"/>
      <w:szCs w:val="20"/>
    </w:rPr>
  </w:style>
  <w:style w:type="paragraph" w:customStyle="1" w:styleId="base-text-paragraph">
    <w:name w:val="base-text-paragraph"/>
    <w:basedOn w:val="Normal"/>
    <w:link w:val="base-text-paragraphChar"/>
    <w:rsid w:val="00436749"/>
    <w:pPr>
      <w:numPr>
        <w:ilvl w:val="1"/>
        <w:numId w:val="17"/>
      </w:numPr>
      <w:spacing w:before="120" w:after="120" w:line="240" w:lineRule="auto"/>
      <w:jc w:val="left"/>
    </w:pPr>
    <w:rPr>
      <w:rFonts w:ascii="Times New Roman" w:hAnsi="Times New Roman"/>
      <w:color w:val="auto"/>
    </w:rPr>
  </w:style>
  <w:style w:type="paragraph" w:customStyle="1" w:styleId="ExampleHeading">
    <w:name w:val="Example Heading"/>
    <w:basedOn w:val="Normal"/>
    <w:next w:val="Normal"/>
    <w:rsid w:val="00B20B49"/>
    <w:pPr>
      <w:keepNext/>
      <w:numPr>
        <w:ilvl w:val="3"/>
        <w:numId w:val="14"/>
      </w:numPr>
      <w:spacing w:before="120" w:after="120" w:line="240" w:lineRule="auto"/>
      <w:jc w:val="left"/>
    </w:pPr>
    <w:rPr>
      <w:rFonts w:ascii="Times New Roman" w:hAnsi="Times New Roman"/>
      <w:b/>
      <w:color w:val="auto"/>
    </w:rPr>
  </w:style>
  <w:style w:type="paragraph" w:customStyle="1" w:styleId="Diagram">
    <w:name w:val="Diagram"/>
    <w:basedOn w:val="Normal"/>
    <w:next w:val="Normal"/>
    <w:rsid w:val="00B20B49"/>
    <w:pPr>
      <w:keepNext/>
      <w:numPr>
        <w:ilvl w:val="2"/>
        <w:numId w:val="14"/>
      </w:numPr>
      <w:tabs>
        <w:tab w:val="num" w:pos="1416"/>
      </w:tabs>
      <w:spacing w:after="0" w:line="240" w:lineRule="auto"/>
      <w:ind w:left="1416" w:hanging="472"/>
      <w:jc w:val="left"/>
    </w:pPr>
    <w:rPr>
      <w:rFonts w:ascii="Times New Roman" w:hAnsi="Times New Roman"/>
      <w:b/>
      <w:color w:val="auto"/>
    </w:rPr>
  </w:style>
  <w:style w:type="character" w:customStyle="1" w:styleId="base-text-paragraphChar">
    <w:name w:val="base-text-paragraph Char"/>
    <w:basedOn w:val="DefaultParagraphFont"/>
    <w:link w:val="base-text-paragraph"/>
    <w:rsid w:val="00B20B49"/>
    <w:rPr>
      <w:sz w:val="22"/>
    </w:rPr>
  </w:style>
  <w:style w:type="numbering" w:customStyle="1" w:styleId="ChapterList">
    <w:name w:val="ChapterList"/>
    <w:uiPriority w:val="99"/>
    <w:rsid w:val="00436749"/>
    <w:pPr>
      <w:numPr>
        <w:numId w:val="17"/>
      </w:numPr>
    </w:pPr>
  </w:style>
  <w:style w:type="character" w:customStyle="1" w:styleId="Referencingstyle">
    <w:name w:val="Referencing style"/>
    <w:basedOn w:val="DefaultParagraphFont"/>
    <w:rsid w:val="00B20B49"/>
    <w:rPr>
      <w:b/>
      <w:i/>
      <w:sz w:val="18"/>
    </w:rPr>
  </w:style>
  <w:style w:type="numbering" w:customStyle="1" w:styleId="Outlinenumbering1">
    <w:name w:val="Outline numbering1"/>
    <w:uiPriority w:val="99"/>
    <w:rsid w:val="00F0517B"/>
  </w:style>
  <w:style w:type="paragraph" w:styleId="Revision">
    <w:name w:val="Revision"/>
    <w:hidden/>
    <w:uiPriority w:val="99"/>
    <w:semiHidden/>
    <w:rsid w:val="00D9225B"/>
    <w:rPr>
      <w:rFonts w:ascii="Book Antiqua" w:hAnsi="Book Antiqua"/>
      <w:color w:val="000000"/>
      <w:sz w:val="22"/>
    </w:rPr>
  </w:style>
  <w:style w:type="table" w:customStyle="1" w:styleId="TableGrid4">
    <w:name w:val="Table Grid4"/>
    <w:basedOn w:val="TableNormal"/>
    <w:next w:val="TableGrid"/>
    <w:uiPriority w:val="59"/>
    <w:rsid w:val="004C0F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17A9C"/>
    <w:rPr>
      <w:rFonts w:ascii="Century Gothic" w:hAnsi="Century Gothic" w:cs="Arial"/>
      <w:b/>
      <w:bCs/>
      <w:iCs/>
      <w:smallCaps/>
      <w:color w:val="1F497D" w:themeColor="text2"/>
      <w:sz w:val="32"/>
      <w:szCs w:val="28"/>
    </w:rPr>
  </w:style>
  <w:style w:type="character" w:customStyle="1" w:styleId="Heading3Char">
    <w:name w:val="Heading 3 Char"/>
    <w:basedOn w:val="DefaultParagraphFont"/>
    <w:link w:val="Heading3"/>
    <w:rsid w:val="00217A9C"/>
    <w:rPr>
      <w:rFonts w:ascii="Century Gothic" w:hAnsi="Century Gothic" w:cs="Arial"/>
      <w:b/>
      <w:bCs/>
      <w:color w:val="1F497D" w:themeColor="text2"/>
      <w:sz w:val="26"/>
      <w:szCs w:val="26"/>
    </w:rPr>
  </w:style>
  <w:style w:type="character" w:customStyle="1" w:styleId="Heading4Char">
    <w:name w:val="Heading 4 Char"/>
    <w:basedOn w:val="DefaultParagraphFont"/>
    <w:link w:val="Heading4"/>
    <w:rsid w:val="00217A9C"/>
    <w:rPr>
      <w:rFonts w:ascii="Century Gothic" w:hAnsi="Century Gothic"/>
      <w:b/>
      <w:bCs/>
      <w:color w:val="1F497D" w:themeColor="text2"/>
      <w:sz w:val="22"/>
      <w:szCs w:val="22"/>
    </w:rPr>
  </w:style>
  <w:style w:type="character" w:customStyle="1" w:styleId="Heading1Char">
    <w:name w:val="Heading 1 Char"/>
    <w:basedOn w:val="DefaultParagraphFont"/>
    <w:link w:val="Heading1"/>
    <w:rsid w:val="00331C8A"/>
    <w:rPr>
      <w:rFonts w:ascii="Century Gothic" w:hAnsi="Century Gothic" w:cs="Arial"/>
      <w:b/>
      <w:bCs/>
      <w:smallCaps/>
      <w:color w:val="1F497D" w:themeColor="text2"/>
      <w:kern w:val="32"/>
      <w:sz w:val="36"/>
      <w:szCs w:val="36"/>
    </w:rPr>
  </w:style>
  <w:style w:type="character" w:styleId="Emphasis">
    <w:name w:val="Emphasis"/>
    <w:basedOn w:val="DefaultParagraphFont"/>
    <w:uiPriority w:val="20"/>
    <w:qFormat/>
    <w:rsid w:val="00C76C6B"/>
    <w:rPr>
      <w:i/>
      <w:iCs/>
    </w:rPr>
  </w:style>
  <w:style w:type="paragraph" w:customStyle="1" w:styleId="Copyrightheading">
    <w:name w:val="Copyright heading"/>
    <w:basedOn w:val="Normal"/>
    <w:qFormat/>
    <w:rsid w:val="00171D10"/>
    <w:pPr>
      <w:spacing w:before="200" w:after="120" w:line="240" w:lineRule="auto"/>
      <w:jc w:val="left"/>
    </w:pPr>
    <w:rPr>
      <w:rFonts w:eastAsiaTheme="minorHAnsi" w:cstheme="minorBidi"/>
      <w:b/>
      <w:color w:val="auto"/>
      <w:szCs w:val="22"/>
      <w:lang w:eastAsia="en-US"/>
    </w:rPr>
  </w:style>
  <w:style w:type="character" w:styleId="Strong">
    <w:name w:val="Strong"/>
    <w:basedOn w:val="DefaultParagraphFont"/>
    <w:uiPriority w:val="22"/>
    <w:qFormat/>
    <w:rsid w:val="009377E9"/>
    <w:rPr>
      <w:b/>
      <w:bCs/>
    </w:rPr>
  </w:style>
  <w:style w:type="table" w:styleId="LightList-Accent1">
    <w:name w:val="Light List Accent 1"/>
    <w:basedOn w:val="TableNormal"/>
    <w:uiPriority w:val="61"/>
    <w:rsid w:val="00D22101"/>
    <w:rPr>
      <w:rFonts w:ascii="Courier" w:eastAsiaTheme="minorHAnsi" w:hAnsi="Courie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6Char">
    <w:name w:val="Heading 6 Char"/>
    <w:basedOn w:val="DefaultParagraphFont"/>
    <w:link w:val="Heading6"/>
    <w:rsid w:val="007522BD"/>
    <w:rPr>
      <w:rFonts w:ascii="Century Gothic" w:hAnsi="Century Gothic"/>
      <w:bCs/>
      <w:color w:val="1F497D" w:themeColor="text2"/>
      <w:szCs w:val="22"/>
    </w:rPr>
  </w:style>
  <w:style w:type="paragraph" w:styleId="PlainText">
    <w:name w:val="Plain Text"/>
    <w:basedOn w:val="Normal"/>
    <w:link w:val="PlainTextChar"/>
    <w:uiPriority w:val="99"/>
    <w:semiHidden/>
    <w:unhideWhenUsed/>
    <w:rsid w:val="00944959"/>
    <w:pPr>
      <w:spacing w:after="0" w:line="240" w:lineRule="auto"/>
      <w:jc w:val="left"/>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semiHidden/>
    <w:rsid w:val="00944959"/>
    <w:rPr>
      <w:rFonts w:ascii="Calibri" w:eastAsiaTheme="minorHAnsi" w:hAnsi="Calibri" w:cstheme="minorBidi"/>
      <w:sz w:val="22"/>
      <w:szCs w:val="21"/>
      <w:lang w:eastAsia="en-US"/>
    </w:rPr>
  </w:style>
  <w:style w:type="paragraph" w:styleId="NormalWeb">
    <w:name w:val="Normal (Web)"/>
    <w:basedOn w:val="Normal"/>
    <w:uiPriority w:val="99"/>
    <w:semiHidden/>
    <w:unhideWhenUsed/>
    <w:rsid w:val="005D6F39"/>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4D1"/>
    <w:pPr>
      <w:spacing w:after="240" w:line="260" w:lineRule="exact"/>
      <w:jc w:val="both"/>
    </w:pPr>
    <w:rPr>
      <w:rFonts w:ascii="Book Antiqua" w:hAnsi="Book Antiqua"/>
      <w:color w:val="000000"/>
      <w:sz w:val="22"/>
    </w:rPr>
  </w:style>
  <w:style w:type="paragraph" w:styleId="Heading1">
    <w:name w:val="heading 1"/>
    <w:basedOn w:val="HeadingBase"/>
    <w:next w:val="OutlineNumbered1"/>
    <w:link w:val="Heading1Char"/>
    <w:qFormat/>
    <w:rsid w:val="000A7BCF"/>
    <w:pPr>
      <w:spacing w:before="360" w:after="360"/>
      <w:outlineLvl w:val="0"/>
    </w:pPr>
    <w:rPr>
      <w:rFonts w:cs="Arial"/>
      <w:b/>
      <w:bCs/>
      <w:smallCaps/>
      <w:kern w:val="32"/>
      <w:sz w:val="36"/>
      <w:szCs w:val="36"/>
    </w:rPr>
  </w:style>
  <w:style w:type="paragraph" w:styleId="Heading2">
    <w:name w:val="heading 2"/>
    <w:basedOn w:val="HeadingBase"/>
    <w:next w:val="OutlineNumbered1"/>
    <w:link w:val="Heading2Char"/>
    <w:qFormat/>
    <w:rsid w:val="005750C6"/>
    <w:pPr>
      <w:spacing w:before="300" w:after="180"/>
      <w:outlineLvl w:val="1"/>
    </w:pPr>
    <w:rPr>
      <w:rFonts w:cs="Arial"/>
      <w:b/>
      <w:bCs/>
      <w:iCs/>
      <w:smallCaps/>
      <w:sz w:val="32"/>
      <w:szCs w:val="28"/>
    </w:rPr>
  </w:style>
  <w:style w:type="paragraph" w:styleId="Heading3">
    <w:name w:val="heading 3"/>
    <w:basedOn w:val="HeadingBase"/>
    <w:next w:val="OutlineNumbered1"/>
    <w:link w:val="Heading3Char"/>
    <w:qFormat/>
    <w:rsid w:val="000A7BCF"/>
    <w:pPr>
      <w:spacing w:before="120" w:after="240"/>
      <w:outlineLvl w:val="2"/>
    </w:pPr>
    <w:rPr>
      <w:rFonts w:cs="Arial"/>
      <w:b/>
      <w:bCs/>
      <w:sz w:val="26"/>
      <w:szCs w:val="26"/>
    </w:rPr>
  </w:style>
  <w:style w:type="paragraph" w:styleId="Heading4">
    <w:name w:val="heading 4"/>
    <w:basedOn w:val="HeadingBase"/>
    <w:next w:val="OutlineNumbered1"/>
    <w:link w:val="Heading4Char"/>
    <w:qFormat/>
    <w:rsid w:val="000A7BCF"/>
    <w:pPr>
      <w:spacing w:after="240"/>
      <w:outlineLvl w:val="3"/>
    </w:pPr>
    <w:rPr>
      <w:b/>
      <w:bCs/>
      <w:sz w:val="22"/>
      <w:szCs w:val="22"/>
    </w:rPr>
  </w:style>
  <w:style w:type="paragraph" w:styleId="Heading5">
    <w:name w:val="heading 5"/>
    <w:basedOn w:val="HeadingBase"/>
    <w:next w:val="OutlineNumbered1"/>
    <w:qFormat/>
    <w:rsid w:val="000A7BCF"/>
    <w:pPr>
      <w:spacing w:after="120"/>
      <w:outlineLvl w:val="4"/>
    </w:pPr>
    <w:rPr>
      <w:b/>
      <w:bCs/>
      <w:iCs/>
    </w:rPr>
  </w:style>
  <w:style w:type="paragraph" w:styleId="Heading6">
    <w:name w:val="heading 6"/>
    <w:basedOn w:val="HeadingBase"/>
    <w:next w:val="OutlineNumbered1"/>
    <w:link w:val="Heading6Char"/>
    <w:qFormat/>
    <w:rsid w:val="000A7BCF"/>
    <w:pPr>
      <w:spacing w:after="120"/>
      <w:outlineLvl w:val="5"/>
    </w:pPr>
    <w:rPr>
      <w:bCs/>
      <w:szCs w:val="22"/>
    </w:rPr>
  </w:style>
  <w:style w:type="paragraph" w:styleId="Heading7">
    <w:name w:val="heading 7"/>
    <w:basedOn w:val="HeadingBase"/>
    <w:next w:val="Normal"/>
    <w:qFormat/>
    <w:rsid w:val="000A7BCF"/>
    <w:pPr>
      <w:spacing w:after="120"/>
      <w:outlineLvl w:val="6"/>
    </w:pPr>
    <w:rPr>
      <w:szCs w:val="24"/>
    </w:rPr>
  </w:style>
  <w:style w:type="paragraph" w:styleId="Heading8">
    <w:name w:val="heading 8"/>
    <w:basedOn w:val="HeadingBase"/>
    <w:next w:val="Normal"/>
    <w:qFormat/>
    <w:rsid w:val="000A7BCF"/>
    <w:pPr>
      <w:spacing w:after="120"/>
      <w:outlineLvl w:val="7"/>
    </w:pPr>
    <w:rPr>
      <w:iCs/>
      <w:szCs w:val="24"/>
    </w:rPr>
  </w:style>
  <w:style w:type="paragraph" w:styleId="Heading9">
    <w:name w:val="heading 9"/>
    <w:basedOn w:val="HeadingBase"/>
    <w:next w:val="Normal"/>
    <w:qFormat/>
    <w:rsid w:val="000A7BCF"/>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link w:val="SingleParagraphChar"/>
    <w:rsid w:val="000A7BCF"/>
    <w:pPr>
      <w:spacing w:after="0"/>
    </w:pPr>
  </w:style>
  <w:style w:type="character" w:styleId="Hyperlink">
    <w:name w:val="Hyperlink"/>
    <w:basedOn w:val="DefaultParagraphFont"/>
    <w:uiPriority w:val="99"/>
    <w:rsid w:val="000A7BCF"/>
    <w:rPr>
      <w:color w:val="auto"/>
      <w:u w:val="none"/>
    </w:rPr>
  </w:style>
  <w:style w:type="character" w:customStyle="1" w:styleId="BoldandItalic">
    <w:name w:val="Bold and Italic"/>
    <w:basedOn w:val="DefaultParagraphFont"/>
    <w:rsid w:val="000A7BCF"/>
    <w:rPr>
      <w:rFonts w:ascii="Arial" w:hAnsi="Arial"/>
      <w:b/>
      <w:i/>
    </w:rPr>
  </w:style>
  <w:style w:type="table" w:styleId="TableGrid">
    <w:name w:val="Table Grid"/>
    <w:basedOn w:val="TableNormal"/>
    <w:uiPriority w:val="59"/>
    <w:rsid w:val="000A7BCF"/>
    <w:pPr>
      <w:spacing w:after="240" w:line="260" w:lineRule="exact"/>
      <w:jc w:val="both"/>
    </w:pPr>
    <w:tblPr/>
    <w:tcPr>
      <w:shd w:val="clear" w:color="auto" w:fill="E6E6E6"/>
    </w:tcPr>
  </w:style>
  <w:style w:type="character" w:styleId="PageNumber">
    <w:name w:val="page number"/>
    <w:basedOn w:val="DefaultParagraphFont"/>
    <w:rsid w:val="0056559F"/>
    <w:rPr>
      <w:rFonts w:ascii="Book Antiqua" w:hAnsi="Book Antiqua"/>
      <w:sz w:val="18"/>
    </w:rPr>
  </w:style>
  <w:style w:type="paragraph" w:styleId="FootnoteText">
    <w:name w:val="footnote text"/>
    <w:basedOn w:val="Normal"/>
    <w:link w:val="FootnoteTextChar"/>
    <w:uiPriority w:val="99"/>
    <w:qFormat/>
    <w:rsid w:val="00E714D1"/>
    <w:pPr>
      <w:tabs>
        <w:tab w:val="left" w:pos="284"/>
      </w:tabs>
      <w:spacing w:after="0"/>
      <w:ind w:left="284" w:hanging="284"/>
    </w:pPr>
    <w:rPr>
      <w:sz w:val="18"/>
    </w:rPr>
  </w:style>
  <w:style w:type="paragraph" w:customStyle="1" w:styleId="Bullet">
    <w:name w:val="Bullet"/>
    <w:aliases w:val="b,b1,b + line,Body,level 1,Bullet + line"/>
    <w:basedOn w:val="Normal"/>
    <w:link w:val="BulletChar"/>
    <w:qFormat/>
    <w:rsid w:val="000A7BCF"/>
    <w:pPr>
      <w:numPr>
        <w:numId w:val="1"/>
      </w:numPr>
    </w:pPr>
  </w:style>
  <w:style w:type="paragraph" w:customStyle="1" w:styleId="Dash">
    <w:name w:val="Dash"/>
    <w:basedOn w:val="Normal"/>
    <w:link w:val="DashChar"/>
    <w:qFormat/>
    <w:rsid w:val="000A7BCF"/>
    <w:pPr>
      <w:numPr>
        <w:ilvl w:val="1"/>
        <w:numId w:val="1"/>
      </w:numPr>
    </w:pPr>
  </w:style>
  <w:style w:type="paragraph" w:customStyle="1" w:styleId="DoubleDot">
    <w:name w:val="Double Dot"/>
    <w:basedOn w:val="Normal"/>
    <w:link w:val="DoubleDotChar"/>
    <w:qFormat/>
    <w:rsid w:val="000A7BCF"/>
    <w:pPr>
      <w:numPr>
        <w:ilvl w:val="2"/>
        <w:numId w:val="1"/>
      </w:numPr>
    </w:pPr>
  </w:style>
  <w:style w:type="paragraph" w:customStyle="1" w:styleId="OutlineNumbered1">
    <w:name w:val="Outline Numbered 1"/>
    <w:basedOn w:val="Normal"/>
    <w:link w:val="OutlineNumbered1Char"/>
    <w:rsid w:val="001E43D3"/>
    <w:pPr>
      <w:numPr>
        <w:numId w:val="7"/>
      </w:numPr>
    </w:pPr>
  </w:style>
  <w:style w:type="paragraph" w:customStyle="1" w:styleId="OutlineNumbered2">
    <w:name w:val="Outline Numbered 2"/>
    <w:basedOn w:val="Normal"/>
    <w:rsid w:val="001E43D3"/>
    <w:pPr>
      <w:numPr>
        <w:ilvl w:val="1"/>
        <w:numId w:val="7"/>
      </w:numPr>
    </w:pPr>
  </w:style>
  <w:style w:type="paragraph" w:customStyle="1" w:styleId="OutlineNumbered3">
    <w:name w:val="Outline Numbered 3"/>
    <w:basedOn w:val="Normal"/>
    <w:rsid w:val="001E43D3"/>
    <w:pPr>
      <w:numPr>
        <w:ilvl w:val="2"/>
        <w:numId w:val="7"/>
      </w:numPr>
    </w:pPr>
  </w:style>
  <w:style w:type="paragraph" w:customStyle="1" w:styleId="AlphaParagraph">
    <w:name w:val="Alpha Paragraph"/>
    <w:basedOn w:val="Normal"/>
    <w:rsid w:val="000A7BCF"/>
    <w:pPr>
      <w:numPr>
        <w:numId w:val="2"/>
      </w:numPr>
      <w:tabs>
        <w:tab w:val="clear" w:pos="567"/>
        <w:tab w:val="num" w:pos="283"/>
      </w:tabs>
      <w:ind w:left="283" w:hanging="283"/>
    </w:pPr>
  </w:style>
  <w:style w:type="paragraph" w:customStyle="1" w:styleId="HeadingBase">
    <w:name w:val="Heading Base"/>
    <w:next w:val="Normal"/>
    <w:rsid w:val="0056559F"/>
    <w:pPr>
      <w:keepNext/>
    </w:pPr>
    <w:rPr>
      <w:rFonts w:ascii="Century Gothic" w:hAnsi="Century Gothic"/>
      <w:color w:val="1F497D" w:themeColor="text2"/>
    </w:rPr>
  </w:style>
  <w:style w:type="paragraph" w:customStyle="1" w:styleId="AppendixHeading">
    <w:name w:val="Appendix Heading"/>
    <w:basedOn w:val="HeadingBase"/>
    <w:next w:val="Normal"/>
    <w:rsid w:val="000A7BCF"/>
    <w:pPr>
      <w:spacing w:before="720" w:after="360"/>
    </w:pPr>
    <w:rPr>
      <w:rFonts w:ascii="Arial Bold" w:hAnsi="Arial Bold"/>
      <w:b/>
      <w:smallCaps/>
      <w:sz w:val="36"/>
      <w:szCs w:val="36"/>
    </w:rPr>
  </w:style>
  <w:style w:type="character" w:customStyle="1" w:styleId="Bold">
    <w:name w:val="Bold"/>
    <w:basedOn w:val="DefaultParagraphFont"/>
    <w:rsid w:val="000A7BCF"/>
    <w:rPr>
      <w:b/>
    </w:rPr>
  </w:style>
  <w:style w:type="paragraph" w:customStyle="1" w:styleId="BoxHeading">
    <w:name w:val="Box Heading"/>
    <w:basedOn w:val="HeadingBase"/>
    <w:next w:val="BoxText"/>
    <w:rsid w:val="00CA601E"/>
    <w:pPr>
      <w:numPr>
        <w:numId w:val="8"/>
      </w:numPr>
      <w:spacing w:before="120" w:after="120"/>
    </w:pPr>
    <w:rPr>
      <w:b/>
      <w:sz w:val="22"/>
    </w:rPr>
  </w:style>
  <w:style w:type="paragraph" w:customStyle="1" w:styleId="BoxTextBase">
    <w:name w:val="Box Text Base"/>
    <w:basedOn w:val="Normal"/>
    <w:rsid w:val="000A7BCF"/>
    <w:pPr>
      <w:spacing w:line="240" w:lineRule="auto"/>
    </w:pPr>
    <w:rPr>
      <w:color w:val="000080"/>
    </w:rPr>
  </w:style>
  <w:style w:type="paragraph" w:customStyle="1" w:styleId="ChartandTableFootnoteAlpha">
    <w:name w:val="Chart and Table Footnote Alpha"/>
    <w:rsid w:val="000A7BCF"/>
    <w:pPr>
      <w:numPr>
        <w:numId w:val="3"/>
      </w:numPr>
      <w:jc w:val="both"/>
    </w:pPr>
    <w:rPr>
      <w:rFonts w:ascii="Arial" w:hAnsi="Arial"/>
      <w:color w:val="000000"/>
      <w:sz w:val="16"/>
      <w:szCs w:val="16"/>
    </w:rPr>
  </w:style>
  <w:style w:type="paragraph" w:customStyle="1" w:styleId="ChartGraphic">
    <w:name w:val="Chart Graphic"/>
    <w:basedOn w:val="HeadingBase"/>
    <w:rsid w:val="000A7BCF"/>
    <w:pPr>
      <w:jc w:val="center"/>
    </w:pPr>
  </w:style>
  <w:style w:type="paragraph" w:customStyle="1" w:styleId="ChartMainHeading">
    <w:name w:val="Chart Main Heading"/>
    <w:basedOn w:val="HeadingBase"/>
    <w:next w:val="ChartGraphic"/>
    <w:rsid w:val="000A7BCF"/>
    <w:pPr>
      <w:spacing w:after="20"/>
      <w:jc w:val="center"/>
    </w:pPr>
    <w:rPr>
      <w:b/>
      <w:sz w:val="22"/>
    </w:rPr>
  </w:style>
  <w:style w:type="paragraph" w:customStyle="1" w:styleId="ChartorTableNote">
    <w:name w:val="Chart or Table Note"/>
    <w:next w:val="Normal"/>
    <w:rsid w:val="000A7BCF"/>
    <w:pPr>
      <w:jc w:val="both"/>
    </w:pPr>
    <w:rPr>
      <w:rFonts w:ascii="Arial" w:hAnsi="Arial"/>
      <w:color w:val="000000"/>
      <w:sz w:val="16"/>
    </w:rPr>
  </w:style>
  <w:style w:type="paragraph" w:customStyle="1" w:styleId="ChartSecondHeading">
    <w:name w:val="Chart Second Heading"/>
    <w:basedOn w:val="HeadingBase"/>
    <w:next w:val="ChartGraphic"/>
    <w:rsid w:val="000A7BCF"/>
    <w:pPr>
      <w:spacing w:after="20"/>
      <w:jc w:val="center"/>
    </w:pPr>
  </w:style>
  <w:style w:type="paragraph" w:customStyle="1" w:styleId="Classification">
    <w:name w:val="Classification"/>
    <w:basedOn w:val="HeadingBase"/>
    <w:next w:val="Footer"/>
    <w:rsid w:val="000A7BCF"/>
    <w:pPr>
      <w:spacing w:after="120"/>
      <w:jc w:val="center"/>
    </w:pPr>
    <w:rPr>
      <w:b/>
      <w:smallCaps/>
    </w:rPr>
  </w:style>
  <w:style w:type="paragraph" w:styleId="Footer">
    <w:name w:val="footer"/>
    <w:basedOn w:val="HeadingBase"/>
    <w:rsid w:val="000A7BCF"/>
    <w:rPr>
      <w:sz w:val="18"/>
    </w:rPr>
  </w:style>
  <w:style w:type="paragraph" w:customStyle="1" w:styleId="ContentsHeading">
    <w:name w:val="Contents Heading"/>
    <w:basedOn w:val="HeadingBase"/>
    <w:next w:val="Normal"/>
    <w:rsid w:val="0056559F"/>
    <w:pPr>
      <w:spacing w:after="360"/>
      <w:jc w:val="center"/>
    </w:pPr>
    <w:rPr>
      <w:smallCaps/>
      <w:sz w:val="36"/>
      <w:szCs w:val="36"/>
    </w:rPr>
  </w:style>
  <w:style w:type="paragraph" w:customStyle="1" w:styleId="CoverTitleMain">
    <w:name w:val="Cover Title Main"/>
    <w:basedOn w:val="HeadingBase"/>
    <w:next w:val="Normal"/>
    <w:rsid w:val="000A7BCF"/>
    <w:pPr>
      <w:spacing w:after="480"/>
      <w:jc w:val="center"/>
    </w:pPr>
    <w:rPr>
      <w:b/>
      <w:sz w:val="48"/>
    </w:rPr>
  </w:style>
  <w:style w:type="paragraph" w:customStyle="1" w:styleId="CoverTitleSub">
    <w:name w:val="Cover Title Sub"/>
    <w:basedOn w:val="HeadingBase"/>
    <w:rsid w:val="000A7BCF"/>
    <w:pPr>
      <w:spacing w:after="360"/>
      <w:jc w:val="center"/>
    </w:pPr>
    <w:rPr>
      <w:sz w:val="36"/>
    </w:rPr>
  </w:style>
  <w:style w:type="paragraph" w:customStyle="1" w:styleId="FooterCentered">
    <w:name w:val="Footer Centered"/>
    <w:basedOn w:val="Footer"/>
    <w:rsid w:val="000A7BCF"/>
    <w:pPr>
      <w:jc w:val="center"/>
    </w:pPr>
    <w:rPr>
      <w:rFonts w:ascii="Book Antiqua" w:hAnsi="Book Antiqua"/>
      <w:sz w:val="22"/>
    </w:rPr>
  </w:style>
  <w:style w:type="paragraph" w:customStyle="1" w:styleId="FooterEven">
    <w:name w:val="Footer Even"/>
    <w:basedOn w:val="Footer"/>
    <w:rsid w:val="000A7BCF"/>
  </w:style>
  <w:style w:type="paragraph" w:customStyle="1" w:styleId="FooterOdd">
    <w:name w:val="Footer Odd"/>
    <w:basedOn w:val="Footer"/>
    <w:rsid w:val="000A7BCF"/>
    <w:pPr>
      <w:jc w:val="right"/>
    </w:pPr>
  </w:style>
  <w:style w:type="character" w:customStyle="1" w:styleId="FramedFooter">
    <w:name w:val="Framed Footer"/>
    <w:rsid w:val="000A7BCF"/>
    <w:rPr>
      <w:rFonts w:ascii="Arial" w:hAnsi="Arial"/>
      <w:sz w:val="18"/>
    </w:rPr>
  </w:style>
  <w:style w:type="character" w:customStyle="1" w:styleId="FramedHeader">
    <w:name w:val="Framed Header"/>
    <w:basedOn w:val="DefaultParagraphFont"/>
    <w:rsid w:val="000A7BCF"/>
    <w:rPr>
      <w:rFonts w:ascii="Arial" w:hAnsi="Arial"/>
      <w:dstrike w:val="0"/>
      <w:color w:val="auto"/>
      <w:sz w:val="18"/>
      <w:vertAlign w:val="baseline"/>
    </w:rPr>
  </w:style>
  <w:style w:type="paragraph" w:styleId="Header">
    <w:name w:val="header"/>
    <w:basedOn w:val="HeadingBase"/>
    <w:rsid w:val="000A7BCF"/>
    <w:rPr>
      <w:sz w:val="18"/>
    </w:rPr>
  </w:style>
  <w:style w:type="paragraph" w:customStyle="1" w:styleId="HeaderEven">
    <w:name w:val="Header Even"/>
    <w:basedOn w:val="Header"/>
    <w:rsid w:val="000A7BCF"/>
  </w:style>
  <w:style w:type="paragraph" w:customStyle="1" w:styleId="HeaderOdd">
    <w:name w:val="Header Odd"/>
    <w:basedOn w:val="Header"/>
    <w:rsid w:val="000A7BCF"/>
    <w:pPr>
      <w:jc w:val="right"/>
    </w:pPr>
  </w:style>
  <w:style w:type="paragraph" w:styleId="NormalIndent">
    <w:name w:val="Normal Indent"/>
    <w:basedOn w:val="Normal"/>
    <w:rsid w:val="000A7BCF"/>
    <w:pPr>
      <w:ind w:left="567"/>
    </w:pPr>
  </w:style>
  <w:style w:type="paragraph" w:customStyle="1" w:styleId="RecommendationHeading">
    <w:name w:val="Recommendation Heading"/>
    <w:basedOn w:val="HeadingBase"/>
    <w:next w:val="RecommendationText"/>
    <w:rsid w:val="000A7BCF"/>
    <w:pPr>
      <w:tabs>
        <w:tab w:val="num" w:pos="472"/>
      </w:tabs>
      <w:spacing w:before="120" w:after="240"/>
      <w:ind w:left="472" w:hanging="472"/>
    </w:pPr>
    <w:rPr>
      <w:b/>
      <w:sz w:val="22"/>
    </w:rPr>
  </w:style>
  <w:style w:type="paragraph" w:customStyle="1" w:styleId="RecommendationTextBase">
    <w:name w:val="Recommendation Text Base"/>
    <w:basedOn w:val="Normal"/>
    <w:rsid w:val="000A7BCF"/>
  </w:style>
  <w:style w:type="paragraph" w:customStyle="1" w:styleId="RecommendationText">
    <w:name w:val="Recommendation Text"/>
    <w:basedOn w:val="RecommendationTextBase"/>
    <w:rsid w:val="000A7BCF"/>
  </w:style>
  <w:style w:type="paragraph" w:customStyle="1" w:styleId="TableTextBase">
    <w:name w:val="Table Text Base"/>
    <w:rsid w:val="000A7BCF"/>
    <w:pPr>
      <w:spacing w:before="40" w:after="40"/>
    </w:pPr>
    <w:rPr>
      <w:rFonts w:ascii="Arial" w:hAnsi="Arial"/>
      <w:color w:val="000000"/>
      <w:sz w:val="16"/>
    </w:rPr>
  </w:style>
  <w:style w:type="paragraph" w:customStyle="1" w:styleId="TableColumnHeadingCentred">
    <w:name w:val="Table Column Heading Centred"/>
    <w:basedOn w:val="TableTextBase"/>
    <w:rsid w:val="000A7BCF"/>
    <w:pPr>
      <w:jc w:val="center"/>
    </w:pPr>
    <w:rPr>
      <w:b/>
    </w:rPr>
  </w:style>
  <w:style w:type="paragraph" w:customStyle="1" w:styleId="TableColumnHeadingLeft">
    <w:name w:val="Table Column Heading Left"/>
    <w:basedOn w:val="TableTextBase"/>
    <w:rsid w:val="000A7BCF"/>
    <w:rPr>
      <w:b/>
    </w:rPr>
  </w:style>
  <w:style w:type="paragraph" w:customStyle="1" w:styleId="TableColumnHeadingRight">
    <w:name w:val="Table Column Heading Right"/>
    <w:basedOn w:val="TableTextBase"/>
    <w:rsid w:val="000A7BCF"/>
    <w:pPr>
      <w:jc w:val="right"/>
    </w:pPr>
    <w:rPr>
      <w:b/>
    </w:rPr>
  </w:style>
  <w:style w:type="paragraph" w:customStyle="1" w:styleId="TableGraphic">
    <w:name w:val="Table Graphic"/>
    <w:basedOn w:val="HeadingBase"/>
    <w:next w:val="Normal"/>
    <w:rsid w:val="000A7BCF"/>
  </w:style>
  <w:style w:type="paragraph" w:customStyle="1" w:styleId="TableMainHeading">
    <w:name w:val="Table Main Heading"/>
    <w:basedOn w:val="HeadingBase"/>
    <w:next w:val="TableGraphic"/>
    <w:rsid w:val="000A7BCF"/>
    <w:pPr>
      <w:spacing w:after="20"/>
    </w:pPr>
    <w:rPr>
      <w:b/>
      <w:sz w:val="22"/>
    </w:rPr>
  </w:style>
  <w:style w:type="paragraph" w:customStyle="1" w:styleId="TableMainHeadingContd">
    <w:name w:val="Table Main Heading Contd"/>
    <w:basedOn w:val="HeadingBase"/>
    <w:next w:val="TableGraphic"/>
    <w:rsid w:val="000A7BCF"/>
    <w:pPr>
      <w:spacing w:after="20"/>
    </w:pPr>
    <w:rPr>
      <w:b/>
      <w:sz w:val="22"/>
    </w:rPr>
  </w:style>
  <w:style w:type="paragraph" w:customStyle="1" w:styleId="TableSecondHeading">
    <w:name w:val="Table Second Heading"/>
    <w:basedOn w:val="HeadingBase"/>
    <w:next w:val="TableGraphic"/>
    <w:rsid w:val="000A7BCF"/>
    <w:pPr>
      <w:spacing w:after="20"/>
    </w:pPr>
  </w:style>
  <w:style w:type="paragraph" w:customStyle="1" w:styleId="TableTextCentered">
    <w:name w:val="Table Text Centered"/>
    <w:basedOn w:val="TableTextBase"/>
    <w:rsid w:val="000A7BCF"/>
    <w:pPr>
      <w:jc w:val="center"/>
    </w:pPr>
  </w:style>
  <w:style w:type="paragraph" w:customStyle="1" w:styleId="TableTextIndented">
    <w:name w:val="Table Text Indented"/>
    <w:basedOn w:val="TableTextBase"/>
    <w:rsid w:val="000A7BCF"/>
    <w:pPr>
      <w:ind w:left="284"/>
    </w:pPr>
  </w:style>
  <w:style w:type="paragraph" w:customStyle="1" w:styleId="TableTextLeft">
    <w:name w:val="Table Text Left"/>
    <w:basedOn w:val="TableTextBase"/>
    <w:rsid w:val="000A7BCF"/>
  </w:style>
  <w:style w:type="paragraph" w:customStyle="1" w:styleId="TableTextRight">
    <w:name w:val="Table Text Right"/>
    <w:basedOn w:val="TableTextBase"/>
    <w:rsid w:val="000A7BCF"/>
    <w:pPr>
      <w:jc w:val="right"/>
    </w:pPr>
  </w:style>
  <w:style w:type="paragraph" w:styleId="TOC1">
    <w:name w:val="toc 1"/>
    <w:basedOn w:val="HeadingBase"/>
    <w:next w:val="Normal"/>
    <w:uiPriority w:val="39"/>
    <w:rsid w:val="0056559F"/>
    <w:pPr>
      <w:tabs>
        <w:tab w:val="right" w:leader="dot" w:pos="9072"/>
      </w:tabs>
      <w:spacing w:before="180" w:after="60"/>
      <w:ind w:right="851"/>
    </w:pPr>
    <w:rPr>
      <w:b/>
      <w:sz w:val="24"/>
      <w:szCs w:val="22"/>
    </w:rPr>
  </w:style>
  <w:style w:type="paragraph" w:styleId="TOC2">
    <w:name w:val="toc 2"/>
    <w:basedOn w:val="HeadingBase"/>
    <w:next w:val="Normal"/>
    <w:uiPriority w:val="39"/>
    <w:rsid w:val="0056559F"/>
    <w:pPr>
      <w:tabs>
        <w:tab w:val="right" w:leader="dot" w:pos="9072"/>
      </w:tabs>
      <w:spacing w:before="60"/>
      <w:ind w:right="851"/>
    </w:pPr>
    <w:rPr>
      <w:sz w:val="22"/>
    </w:rPr>
  </w:style>
  <w:style w:type="paragraph" w:styleId="TOC3">
    <w:name w:val="toc 3"/>
    <w:basedOn w:val="Normal"/>
    <w:next w:val="Normal"/>
    <w:uiPriority w:val="39"/>
    <w:rsid w:val="00813AC3"/>
    <w:pPr>
      <w:tabs>
        <w:tab w:val="right" w:leader="dot" w:pos="9072"/>
      </w:tabs>
      <w:spacing w:before="40" w:after="0" w:line="240" w:lineRule="auto"/>
      <w:ind w:right="851"/>
    </w:pPr>
    <w:rPr>
      <w:rFonts w:ascii="Century Gothic" w:hAnsi="Century Gothic"/>
    </w:rPr>
  </w:style>
  <w:style w:type="paragraph" w:styleId="TOC4">
    <w:name w:val="toc 4"/>
    <w:basedOn w:val="Normal"/>
    <w:next w:val="Normal"/>
    <w:uiPriority w:val="39"/>
    <w:rsid w:val="000A7BCF"/>
    <w:pPr>
      <w:tabs>
        <w:tab w:val="right" w:leader="dot" w:pos="9072"/>
      </w:tabs>
      <w:spacing w:after="0" w:line="240" w:lineRule="auto"/>
      <w:ind w:left="284" w:right="851"/>
    </w:pPr>
  </w:style>
  <w:style w:type="character" w:customStyle="1" w:styleId="italic">
    <w:name w:val="italic"/>
    <w:basedOn w:val="DefaultParagraphFont"/>
    <w:rsid w:val="000A7BCF"/>
    <w:rPr>
      <w:i/>
    </w:rPr>
  </w:style>
  <w:style w:type="paragraph" w:customStyle="1" w:styleId="OneLevelNumberedParagraph">
    <w:name w:val="One Level Numbered Paragraph"/>
    <w:basedOn w:val="Normal"/>
    <w:rsid w:val="000A7BCF"/>
    <w:pPr>
      <w:numPr>
        <w:numId w:val="5"/>
      </w:numPr>
    </w:pPr>
  </w:style>
  <w:style w:type="paragraph" w:customStyle="1" w:styleId="BoxText">
    <w:name w:val="Box Text"/>
    <w:basedOn w:val="BoxTextBase"/>
    <w:rsid w:val="000A7BCF"/>
  </w:style>
  <w:style w:type="paragraph" w:customStyle="1" w:styleId="BoxBullet">
    <w:name w:val="Box Bullet"/>
    <w:basedOn w:val="BoxTextBase"/>
    <w:rsid w:val="000A7BCF"/>
    <w:pPr>
      <w:numPr>
        <w:numId w:val="4"/>
      </w:numPr>
    </w:pPr>
  </w:style>
  <w:style w:type="paragraph" w:customStyle="1" w:styleId="BoxDash">
    <w:name w:val="Box Dash"/>
    <w:basedOn w:val="BoxTextBase"/>
    <w:rsid w:val="000A7BCF"/>
    <w:pPr>
      <w:numPr>
        <w:ilvl w:val="1"/>
        <w:numId w:val="4"/>
      </w:numPr>
    </w:pPr>
  </w:style>
  <w:style w:type="paragraph" w:customStyle="1" w:styleId="BoxDoubleDot">
    <w:name w:val="Box Double Dot"/>
    <w:basedOn w:val="BoxTextBase"/>
    <w:rsid w:val="000A7BCF"/>
    <w:pPr>
      <w:numPr>
        <w:ilvl w:val="2"/>
        <w:numId w:val="4"/>
      </w:numPr>
    </w:pPr>
  </w:style>
  <w:style w:type="paragraph" w:customStyle="1" w:styleId="RecommendationBullet">
    <w:name w:val="Recommendation Bullet"/>
    <w:basedOn w:val="RecommendationTextBase"/>
    <w:rsid w:val="000A7BCF"/>
    <w:pPr>
      <w:numPr>
        <w:numId w:val="6"/>
      </w:numPr>
    </w:pPr>
  </w:style>
  <w:style w:type="paragraph" w:customStyle="1" w:styleId="RecommendationDash">
    <w:name w:val="Recommendation Dash"/>
    <w:basedOn w:val="RecommendationTextBase"/>
    <w:rsid w:val="000A7BCF"/>
    <w:pPr>
      <w:numPr>
        <w:ilvl w:val="1"/>
        <w:numId w:val="6"/>
      </w:numPr>
    </w:pPr>
  </w:style>
  <w:style w:type="paragraph" w:customStyle="1" w:styleId="RecommendationDoubleDot">
    <w:name w:val="Recommendation Double Dot"/>
    <w:basedOn w:val="RecommendationTextBase"/>
    <w:rsid w:val="000A7BCF"/>
    <w:pPr>
      <w:numPr>
        <w:ilvl w:val="2"/>
        <w:numId w:val="6"/>
      </w:numPr>
    </w:pPr>
  </w:style>
  <w:style w:type="character" w:styleId="FollowedHyperlink">
    <w:name w:val="FollowedHyperlink"/>
    <w:basedOn w:val="DefaultParagraphFont"/>
    <w:rsid w:val="000A7BCF"/>
    <w:rPr>
      <w:color w:val="auto"/>
      <w:u w:val="none"/>
    </w:rPr>
  </w:style>
  <w:style w:type="paragraph" w:customStyle="1" w:styleId="Disclaimer">
    <w:name w:val="Disclaimer"/>
    <w:basedOn w:val="HeadingBase"/>
    <w:rsid w:val="000A7BCF"/>
    <w:pPr>
      <w:spacing w:after="240"/>
    </w:pPr>
    <w:rPr>
      <w:b/>
      <w:sz w:val="22"/>
    </w:rPr>
  </w:style>
  <w:style w:type="paragraph" w:customStyle="1" w:styleId="SecurityClassificationHeader">
    <w:name w:val="Security Classification Header"/>
    <w:rsid w:val="000A7BCF"/>
    <w:pPr>
      <w:spacing w:after="240"/>
      <w:jc w:val="center"/>
    </w:pPr>
    <w:rPr>
      <w:rFonts w:ascii="Book Antiqua" w:hAnsi="Book Antiqua"/>
      <w:b/>
      <w:caps/>
      <w:color w:val="000080"/>
      <w:sz w:val="22"/>
    </w:rPr>
  </w:style>
  <w:style w:type="paragraph" w:customStyle="1" w:styleId="SecurityClassificationFooter">
    <w:name w:val="Security Classification Footer"/>
    <w:rsid w:val="000A7BCF"/>
    <w:pPr>
      <w:spacing w:before="240"/>
      <w:jc w:val="center"/>
    </w:pPr>
    <w:rPr>
      <w:rFonts w:ascii="Book Antiqua" w:hAnsi="Book Antiqua"/>
      <w:b/>
      <w:caps/>
      <w:color w:val="000080"/>
      <w:sz w:val="22"/>
    </w:rPr>
  </w:style>
  <w:style w:type="character" w:customStyle="1" w:styleId="EmailStyle84">
    <w:name w:val="EmailStyle84"/>
    <w:basedOn w:val="DefaultParagraphFont"/>
    <w:semiHidden/>
    <w:rsid w:val="000A7BCF"/>
    <w:rPr>
      <w:rFonts w:ascii="Arial" w:hAnsi="Arial" w:cs="Arial"/>
      <w:color w:val="auto"/>
      <w:sz w:val="20"/>
      <w:szCs w:val="20"/>
    </w:rPr>
  </w:style>
  <w:style w:type="character" w:customStyle="1" w:styleId="Italics">
    <w:name w:val="Italics"/>
    <w:basedOn w:val="DefaultParagraphFont"/>
    <w:rsid w:val="000A7BCF"/>
    <w:rPr>
      <w:i/>
    </w:rPr>
  </w:style>
  <w:style w:type="paragraph" w:customStyle="1" w:styleId="NotesHeading">
    <w:name w:val="Notes Heading"/>
    <w:basedOn w:val="ContentsHeading"/>
    <w:rsid w:val="000A7BCF"/>
    <w:pPr>
      <w:spacing w:before="240"/>
    </w:pPr>
  </w:style>
  <w:style w:type="paragraph" w:customStyle="1" w:styleId="BoxHeadingnonumber">
    <w:name w:val="Box Heading no number"/>
    <w:basedOn w:val="BoxHeading"/>
    <w:next w:val="BoxText"/>
    <w:qFormat/>
    <w:rsid w:val="00EA2B5E"/>
    <w:pPr>
      <w:numPr>
        <w:numId w:val="0"/>
      </w:numPr>
    </w:pPr>
  </w:style>
  <w:style w:type="paragraph" w:styleId="BalloonText">
    <w:name w:val="Balloon Text"/>
    <w:basedOn w:val="Normal"/>
    <w:link w:val="BalloonTextChar"/>
    <w:uiPriority w:val="99"/>
    <w:semiHidden/>
    <w:unhideWhenUsed/>
    <w:rsid w:val="00C76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F10"/>
    <w:rPr>
      <w:rFonts w:ascii="Tahoma" w:hAnsi="Tahoma" w:cs="Tahoma"/>
      <w:color w:val="000000"/>
      <w:sz w:val="16"/>
      <w:szCs w:val="16"/>
    </w:rPr>
  </w:style>
  <w:style w:type="numbering" w:customStyle="1" w:styleId="Outlinenumbering">
    <w:name w:val="Outline numbering"/>
    <w:uiPriority w:val="99"/>
    <w:rsid w:val="001E43D3"/>
  </w:style>
  <w:style w:type="numbering" w:customStyle="1" w:styleId="Optionboxheading">
    <w:name w:val="Option box heading"/>
    <w:uiPriority w:val="99"/>
    <w:rsid w:val="00CA601E"/>
    <w:pPr>
      <w:numPr>
        <w:numId w:val="8"/>
      </w:numPr>
    </w:pPr>
  </w:style>
  <w:style w:type="character" w:customStyle="1" w:styleId="A5">
    <w:name w:val="A5"/>
    <w:uiPriority w:val="99"/>
    <w:rsid w:val="0011462E"/>
    <w:rPr>
      <w:rFonts w:cs="Swiss 721 BT"/>
      <w:color w:val="000000"/>
      <w:sz w:val="20"/>
      <w:szCs w:val="20"/>
    </w:rPr>
  </w:style>
  <w:style w:type="paragraph" w:customStyle="1" w:styleId="Heading2NotNumbered">
    <w:name w:val="Heading 2 Not Numbered"/>
    <w:basedOn w:val="Heading2"/>
    <w:next w:val="Normal"/>
    <w:rsid w:val="005750C6"/>
  </w:style>
  <w:style w:type="character" w:customStyle="1" w:styleId="SingleParagraphChar">
    <w:name w:val="Single Paragraph Char"/>
    <w:basedOn w:val="DefaultParagraphFont"/>
    <w:link w:val="SingleParagraph"/>
    <w:rsid w:val="00F30068"/>
    <w:rPr>
      <w:rFonts w:ascii="Book Antiqua" w:hAnsi="Book Antiqua"/>
      <w:color w:val="000000"/>
      <w:sz w:val="22"/>
    </w:rPr>
  </w:style>
  <w:style w:type="paragraph" w:styleId="NoSpacing">
    <w:name w:val="No Spacing"/>
    <w:uiPriority w:val="1"/>
    <w:qFormat/>
    <w:rsid w:val="004925B5"/>
    <w:pPr>
      <w:jc w:val="both"/>
    </w:pPr>
    <w:rPr>
      <w:rFonts w:ascii="Book Antiqua" w:hAnsi="Book Antiqua"/>
      <w:color w:val="000000"/>
      <w:sz w:val="22"/>
    </w:rPr>
  </w:style>
  <w:style w:type="paragraph" w:styleId="Quote">
    <w:name w:val="Quote"/>
    <w:basedOn w:val="Normal"/>
    <w:next w:val="Normal"/>
    <w:link w:val="QuoteChar"/>
    <w:uiPriority w:val="29"/>
    <w:qFormat/>
    <w:rsid w:val="004925B5"/>
    <w:rPr>
      <w:i/>
      <w:iCs/>
      <w:color w:val="000000" w:themeColor="text1"/>
    </w:rPr>
  </w:style>
  <w:style w:type="character" w:customStyle="1" w:styleId="QuoteChar">
    <w:name w:val="Quote Char"/>
    <w:basedOn w:val="DefaultParagraphFont"/>
    <w:link w:val="Quote"/>
    <w:uiPriority w:val="29"/>
    <w:rsid w:val="004925B5"/>
    <w:rPr>
      <w:rFonts w:ascii="Book Antiqua" w:hAnsi="Book Antiqua"/>
      <w:i/>
      <w:iCs/>
      <w:color w:val="000000" w:themeColor="text1"/>
      <w:sz w:val="22"/>
    </w:rPr>
  </w:style>
  <w:style w:type="paragraph" w:styleId="ListParagraph">
    <w:name w:val="List Paragraph"/>
    <w:basedOn w:val="Normal"/>
    <w:uiPriority w:val="34"/>
    <w:qFormat/>
    <w:rsid w:val="004C28BE"/>
    <w:pPr>
      <w:ind w:left="720"/>
      <w:contextualSpacing/>
    </w:pPr>
  </w:style>
  <w:style w:type="character" w:customStyle="1" w:styleId="FootnoteTextChar">
    <w:name w:val="Footnote Text Char"/>
    <w:basedOn w:val="DefaultParagraphFont"/>
    <w:link w:val="FootnoteText"/>
    <w:uiPriority w:val="99"/>
    <w:rsid w:val="00E714D1"/>
    <w:rPr>
      <w:rFonts w:ascii="Book Antiqua" w:hAnsi="Book Antiqua"/>
      <w:color w:val="000000"/>
      <w:sz w:val="18"/>
    </w:rPr>
  </w:style>
  <w:style w:type="character" w:styleId="FootnoteReference">
    <w:name w:val="footnote reference"/>
    <w:basedOn w:val="DefaultParagraphFont"/>
    <w:uiPriority w:val="99"/>
    <w:unhideWhenUsed/>
    <w:rsid w:val="00112041"/>
    <w:rPr>
      <w:vertAlign w:val="superscript"/>
    </w:rPr>
  </w:style>
  <w:style w:type="table" w:customStyle="1" w:styleId="TableGrid2">
    <w:name w:val="Table Grid2"/>
    <w:basedOn w:val="TableNormal"/>
    <w:next w:val="TableGrid"/>
    <w:uiPriority w:val="59"/>
    <w:rsid w:val="00AB00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004AE"/>
    <w:pPr>
      <w:spacing w:after="240" w:line="260" w:lineRule="exact"/>
      <w:jc w:val="both"/>
    </w:pPr>
    <w:tblPr/>
    <w:tcPr>
      <w:shd w:val="clear" w:color="auto" w:fill="E6E6E6"/>
    </w:tcPr>
  </w:style>
  <w:style w:type="table" w:customStyle="1" w:styleId="TableGrid1">
    <w:name w:val="Table Grid1"/>
    <w:basedOn w:val="TableNormal"/>
    <w:next w:val="TableGrid"/>
    <w:rsid w:val="00BC3931"/>
    <w:pPr>
      <w:spacing w:after="240" w:line="260" w:lineRule="exact"/>
      <w:jc w:val="both"/>
    </w:pPr>
    <w:tblPr/>
    <w:tcPr>
      <w:shd w:val="clear" w:color="auto" w:fill="E6E6E6"/>
    </w:tcPr>
  </w:style>
  <w:style w:type="paragraph" w:styleId="TOC5">
    <w:name w:val="toc 5"/>
    <w:basedOn w:val="Normal"/>
    <w:next w:val="Normal"/>
    <w:autoRedefine/>
    <w:uiPriority w:val="39"/>
    <w:unhideWhenUsed/>
    <w:rsid w:val="009C2A72"/>
    <w:pPr>
      <w:spacing w:after="100" w:line="276" w:lineRule="auto"/>
      <w:ind w:left="880"/>
      <w:jc w:val="left"/>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9C2A72"/>
    <w:pPr>
      <w:spacing w:after="100" w:line="276" w:lineRule="auto"/>
      <w:ind w:left="1100"/>
      <w:jc w:val="left"/>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9C2A72"/>
    <w:pPr>
      <w:spacing w:after="100" w:line="276" w:lineRule="auto"/>
      <w:ind w:left="1320"/>
      <w:jc w:val="left"/>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9C2A72"/>
    <w:pPr>
      <w:spacing w:after="100" w:line="276" w:lineRule="auto"/>
      <w:ind w:left="1540"/>
      <w:jc w:val="left"/>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9C2A72"/>
    <w:pPr>
      <w:spacing w:after="100" w:line="276" w:lineRule="auto"/>
      <w:ind w:left="1760"/>
      <w:jc w:val="left"/>
    </w:pPr>
    <w:rPr>
      <w:rFonts w:asciiTheme="minorHAnsi" w:eastAsiaTheme="minorEastAsia" w:hAnsiTheme="minorHAnsi" w:cstheme="minorBidi"/>
      <w:color w:val="auto"/>
      <w:szCs w:val="22"/>
    </w:rPr>
  </w:style>
  <w:style w:type="character" w:styleId="CommentReference">
    <w:name w:val="annotation reference"/>
    <w:basedOn w:val="DefaultParagraphFont"/>
    <w:uiPriority w:val="99"/>
    <w:semiHidden/>
    <w:unhideWhenUsed/>
    <w:rsid w:val="00A62A93"/>
    <w:rPr>
      <w:sz w:val="16"/>
      <w:szCs w:val="16"/>
    </w:rPr>
  </w:style>
  <w:style w:type="paragraph" w:styleId="CommentText">
    <w:name w:val="annotation text"/>
    <w:basedOn w:val="Normal"/>
    <w:link w:val="CommentTextChar"/>
    <w:uiPriority w:val="99"/>
    <w:unhideWhenUsed/>
    <w:rsid w:val="00A62A93"/>
    <w:pPr>
      <w:spacing w:line="240" w:lineRule="auto"/>
    </w:pPr>
    <w:rPr>
      <w:sz w:val="20"/>
    </w:rPr>
  </w:style>
  <w:style w:type="character" w:customStyle="1" w:styleId="CommentTextChar">
    <w:name w:val="Comment Text Char"/>
    <w:basedOn w:val="DefaultParagraphFont"/>
    <w:link w:val="CommentText"/>
    <w:uiPriority w:val="99"/>
    <w:rsid w:val="00A62A93"/>
    <w:rPr>
      <w:rFonts w:ascii="Book Antiqua" w:hAnsi="Book Antiqua"/>
      <w:color w:val="000000"/>
    </w:rPr>
  </w:style>
  <w:style w:type="paragraph" w:styleId="CommentSubject">
    <w:name w:val="annotation subject"/>
    <w:basedOn w:val="CommentText"/>
    <w:next w:val="CommentText"/>
    <w:link w:val="CommentSubjectChar"/>
    <w:uiPriority w:val="99"/>
    <w:semiHidden/>
    <w:unhideWhenUsed/>
    <w:rsid w:val="00A62A93"/>
    <w:rPr>
      <w:b/>
      <w:bCs/>
    </w:rPr>
  </w:style>
  <w:style w:type="character" w:customStyle="1" w:styleId="CommentSubjectChar">
    <w:name w:val="Comment Subject Char"/>
    <w:basedOn w:val="CommentTextChar"/>
    <w:link w:val="CommentSubject"/>
    <w:uiPriority w:val="99"/>
    <w:semiHidden/>
    <w:rsid w:val="00A62A93"/>
    <w:rPr>
      <w:rFonts w:ascii="Book Antiqua" w:hAnsi="Book Antiqua"/>
      <w:b/>
      <w:bCs/>
      <w:color w:val="000000"/>
    </w:rPr>
  </w:style>
  <w:style w:type="paragraph" w:customStyle="1" w:styleId="Default">
    <w:name w:val="Default"/>
    <w:rsid w:val="00A62A93"/>
    <w:pPr>
      <w:autoSpaceDE w:val="0"/>
      <w:autoSpaceDN w:val="0"/>
      <w:adjustRightInd w:val="0"/>
    </w:pPr>
    <w:rPr>
      <w:rFonts w:ascii="Arial" w:hAnsi="Arial" w:cs="Arial"/>
      <w:color w:val="000000"/>
      <w:sz w:val="24"/>
      <w:szCs w:val="24"/>
    </w:rPr>
  </w:style>
  <w:style w:type="character" w:customStyle="1" w:styleId="OutlineNumbered1Char">
    <w:name w:val="Outline Numbered 1 Char"/>
    <w:basedOn w:val="DefaultParagraphFont"/>
    <w:link w:val="OutlineNumbered1"/>
    <w:rsid w:val="00E14274"/>
    <w:rPr>
      <w:rFonts w:ascii="Book Antiqua" w:hAnsi="Book Antiqua"/>
      <w:color w:val="000000"/>
      <w:sz w:val="22"/>
    </w:rPr>
  </w:style>
  <w:style w:type="character" w:styleId="HTMLCite">
    <w:name w:val="HTML Cite"/>
    <w:basedOn w:val="DefaultParagraphFont"/>
    <w:uiPriority w:val="99"/>
    <w:semiHidden/>
    <w:unhideWhenUsed/>
    <w:rsid w:val="0067026D"/>
    <w:rPr>
      <w:i/>
      <w:iCs/>
    </w:rPr>
  </w:style>
  <w:style w:type="character" w:customStyle="1" w:styleId="BulletChar">
    <w:name w:val="Bullet Char"/>
    <w:aliases w:val="b Char,b Char Char,b + line Char Char,b1 Char,b + line Char,Body Char,level 1 Char"/>
    <w:basedOn w:val="DefaultParagraphFont"/>
    <w:link w:val="Bullet"/>
    <w:rsid w:val="00C909F0"/>
    <w:rPr>
      <w:rFonts w:ascii="Book Antiqua" w:hAnsi="Book Antiqua"/>
      <w:color w:val="000000"/>
      <w:sz w:val="22"/>
    </w:rPr>
  </w:style>
  <w:style w:type="character" w:customStyle="1" w:styleId="DoubleDotChar">
    <w:name w:val="Double Dot Char"/>
    <w:basedOn w:val="DefaultParagraphFont"/>
    <w:link w:val="DoubleDot"/>
    <w:rsid w:val="00C909F0"/>
    <w:rPr>
      <w:rFonts w:ascii="Book Antiqua" w:hAnsi="Book Antiqua"/>
      <w:color w:val="000000"/>
      <w:sz w:val="22"/>
    </w:rPr>
  </w:style>
  <w:style w:type="character" w:customStyle="1" w:styleId="DashChar">
    <w:name w:val="Dash Char"/>
    <w:basedOn w:val="DefaultParagraphFont"/>
    <w:link w:val="Dash"/>
    <w:rsid w:val="005333A3"/>
    <w:rPr>
      <w:rFonts w:ascii="Book Antiqua" w:hAnsi="Book Antiqua"/>
      <w:color w:val="000000"/>
      <w:sz w:val="22"/>
    </w:rPr>
  </w:style>
  <w:style w:type="paragraph" w:customStyle="1" w:styleId="ChapterHeading">
    <w:name w:val="Chapter Heading"/>
    <w:next w:val="Heading2"/>
    <w:rsid w:val="00436749"/>
    <w:pPr>
      <w:numPr>
        <w:numId w:val="17"/>
      </w:numPr>
      <w:pBdr>
        <w:top w:val="single" w:sz="4" w:space="1" w:color="auto"/>
        <w:bottom w:val="single" w:sz="4" w:space="1" w:color="auto"/>
      </w:pBdr>
      <w:spacing w:before="240" w:line="260" w:lineRule="atLeast"/>
    </w:pPr>
    <w:rPr>
      <w:rFonts w:ascii="Helvetica" w:hAnsi="Helvetica"/>
      <w:b/>
      <w:i/>
      <w:sz w:val="38"/>
    </w:rPr>
  </w:style>
  <w:style w:type="paragraph" w:customStyle="1" w:styleId="TableHeadingoutsidetable">
    <w:name w:val="Table Heading (outside table)"/>
    <w:basedOn w:val="Heading4"/>
    <w:rsid w:val="00B20B49"/>
    <w:pPr>
      <w:numPr>
        <w:ilvl w:val="4"/>
        <w:numId w:val="14"/>
      </w:numPr>
      <w:spacing w:before="120" w:after="120"/>
    </w:pPr>
    <w:rPr>
      <w:rFonts w:ascii="Times New Roman" w:hAnsi="Times New Roman"/>
      <w:bCs w:val="0"/>
      <w:color w:val="auto"/>
      <w:szCs w:val="20"/>
    </w:rPr>
  </w:style>
  <w:style w:type="paragraph" w:customStyle="1" w:styleId="base-text-paragraph">
    <w:name w:val="base-text-paragraph"/>
    <w:basedOn w:val="Normal"/>
    <w:link w:val="base-text-paragraphChar"/>
    <w:rsid w:val="00436749"/>
    <w:pPr>
      <w:numPr>
        <w:ilvl w:val="1"/>
        <w:numId w:val="17"/>
      </w:numPr>
      <w:spacing w:before="120" w:after="120" w:line="240" w:lineRule="auto"/>
      <w:jc w:val="left"/>
    </w:pPr>
    <w:rPr>
      <w:rFonts w:ascii="Times New Roman" w:hAnsi="Times New Roman"/>
      <w:color w:val="auto"/>
    </w:rPr>
  </w:style>
  <w:style w:type="paragraph" w:customStyle="1" w:styleId="ExampleHeading">
    <w:name w:val="Example Heading"/>
    <w:basedOn w:val="Normal"/>
    <w:next w:val="Normal"/>
    <w:rsid w:val="00B20B49"/>
    <w:pPr>
      <w:keepNext/>
      <w:numPr>
        <w:ilvl w:val="3"/>
        <w:numId w:val="14"/>
      </w:numPr>
      <w:spacing w:before="120" w:after="120" w:line="240" w:lineRule="auto"/>
      <w:jc w:val="left"/>
    </w:pPr>
    <w:rPr>
      <w:rFonts w:ascii="Times New Roman" w:hAnsi="Times New Roman"/>
      <w:b/>
      <w:color w:val="auto"/>
    </w:rPr>
  </w:style>
  <w:style w:type="paragraph" w:customStyle="1" w:styleId="Diagram">
    <w:name w:val="Diagram"/>
    <w:basedOn w:val="Normal"/>
    <w:next w:val="Normal"/>
    <w:rsid w:val="00B20B49"/>
    <w:pPr>
      <w:keepNext/>
      <w:numPr>
        <w:ilvl w:val="2"/>
        <w:numId w:val="14"/>
      </w:numPr>
      <w:tabs>
        <w:tab w:val="num" w:pos="1416"/>
      </w:tabs>
      <w:spacing w:after="0" w:line="240" w:lineRule="auto"/>
      <w:ind w:left="1416" w:hanging="472"/>
      <w:jc w:val="left"/>
    </w:pPr>
    <w:rPr>
      <w:rFonts w:ascii="Times New Roman" w:hAnsi="Times New Roman"/>
      <w:b/>
      <w:color w:val="auto"/>
    </w:rPr>
  </w:style>
  <w:style w:type="character" w:customStyle="1" w:styleId="base-text-paragraphChar">
    <w:name w:val="base-text-paragraph Char"/>
    <w:basedOn w:val="DefaultParagraphFont"/>
    <w:link w:val="base-text-paragraph"/>
    <w:rsid w:val="00B20B49"/>
    <w:rPr>
      <w:sz w:val="22"/>
    </w:rPr>
  </w:style>
  <w:style w:type="numbering" w:customStyle="1" w:styleId="ChapterList">
    <w:name w:val="ChapterList"/>
    <w:uiPriority w:val="99"/>
    <w:rsid w:val="00436749"/>
    <w:pPr>
      <w:numPr>
        <w:numId w:val="17"/>
      </w:numPr>
    </w:pPr>
  </w:style>
  <w:style w:type="character" w:customStyle="1" w:styleId="Referencingstyle">
    <w:name w:val="Referencing style"/>
    <w:basedOn w:val="DefaultParagraphFont"/>
    <w:rsid w:val="00B20B49"/>
    <w:rPr>
      <w:b/>
      <w:i/>
      <w:sz w:val="18"/>
    </w:rPr>
  </w:style>
  <w:style w:type="numbering" w:customStyle="1" w:styleId="Outlinenumbering1">
    <w:name w:val="Outline numbering1"/>
    <w:uiPriority w:val="99"/>
    <w:rsid w:val="00F0517B"/>
  </w:style>
  <w:style w:type="paragraph" w:styleId="Revision">
    <w:name w:val="Revision"/>
    <w:hidden/>
    <w:uiPriority w:val="99"/>
    <w:semiHidden/>
    <w:rsid w:val="00D9225B"/>
    <w:rPr>
      <w:rFonts w:ascii="Book Antiqua" w:hAnsi="Book Antiqua"/>
      <w:color w:val="000000"/>
      <w:sz w:val="22"/>
    </w:rPr>
  </w:style>
  <w:style w:type="table" w:customStyle="1" w:styleId="TableGrid4">
    <w:name w:val="Table Grid4"/>
    <w:basedOn w:val="TableNormal"/>
    <w:next w:val="TableGrid"/>
    <w:uiPriority w:val="59"/>
    <w:rsid w:val="004C0F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17A9C"/>
    <w:rPr>
      <w:rFonts w:ascii="Century Gothic" w:hAnsi="Century Gothic" w:cs="Arial"/>
      <w:b/>
      <w:bCs/>
      <w:iCs/>
      <w:smallCaps/>
      <w:color w:val="1F497D" w:themeColor="text2"/>
      <w:sz w:val="32"/>
      <w:szCs w:val="28"/>
    </w:rPr>
  </w:style>
  <w:style w:type="character" w:customStyle="1" w:styleId="Heading3Char">
    <w:name w:val="Heading 3 Char"/>
    <w:basedOn w:val="DefaultParagraphFont"/>
    <w:link w:val="Heading3"/>
    <w:rsid w:val="00217A9C"/>
    <w:rPr>
      <w:rFonts w:ascii="Century Gothic" w:hAnsi="Century Gothic" w:cs="Arial"/>
      <w:b/>
      <w:bCs/>
      <w:color w:val="1F497D" w:themeColor="text2"/>
      <w:sz w:val="26"/>
      <w:szCs w:val="26"/>
    </w:rPr>
  </w:style>
  <w:style w:type="character" w:customStyle="1" w:styleId="Heading4Char">
    <w:name w:val="Heading 4 Char"/>
    <w:basedOn w:val="DefaultParagraphFont"/>
    <w:link w:val="Heading4"/>
    <w:rsid w:val="00217A9C"/>
    <w:rPr>
      <w:rFonts w:ascii="Century Gothic" w:hAnsi="Century Gothic"/>
      <w:b/>
      <w:bCs/>
      <w:color w:val="1F497D" w:themeColor="text2"/>
      <w:sz w:val="22"/>
      <w:szCs w:val="22"/>
    </w:rPr>
  </w:style>
  <w:style w:type="character" w:customStyle="1" w:styleId="Heading1Char">
    <w:name w:val="Heading 1 Char"/>
    <w:basedOn w:val="DefaultParagraphFont"/>
    <w:link w:val="Heading1"/>
    <w:rsid w:val="00331C8A"/>
    <w:rPr>
      <w:rFonts w:ascii="Century Gothic" w:hAnsi="Century Gothic" w:cs="Arial"/>
      <w:b/>
      <w:bCs/>
      <w:smallCaps/>
      <w:color w:val="1F497D" w:themeColor="text2"/>
      <w:kern w:val="32"/>
      <w:sz w:val="36"/>
      <w:szCs w:val="36"/>
    </w:rPr>
  </w:style>
  <w:style w:type="character" w:styleId="Emphasis">
    <w:name w:val="Emphasis"/>
    <w:basedOn w:val="DefaultParagraphFont"/>
    <w:uiPriority w:val="20"/>
    <w:qFormat/>
    <w:rsid w:val="00C76C6B"/>
    <w:rPr>
      <w:i/>
      <w:iCs/>
    </w:rPr>
  </w:style>
  <w:style w:type="paragraph" w:customStyle="1" w:styleId="Copyrightheading">
    <w:name w:val="Copyright heading"/>
    <w:basedOn w:val="Normal"/>
    <w:qFormat/>
    <w:rsid w:val="00171D10"/>
    <w:pPr>
      <w:spacing w:before="200" w:after="120" w:line="240" w:lineRule="auto"/>
      <w:jc w:val="left"/>
    </w:pPr>
    <w:rPr>
      <w:rFonts w:eastAsiaTheme="minorHAnsi" w:cstheme="minorBidi"/>
      <w:b/>
      <w:color w:val="auto"/>
      <w:szCs w:val="22"/>
      <w:lang w:eastAsia="en-US"/>
    </w:rPr>
  </w:style>
  <w:style w:type="character" w:styleId="Strong">
    <w:name w:val="Strong"/>
    <w:basedOn w:val="DefaultParagraphFont"/>
    <w:uiPriority w:val="22"/>
    <w:qFormat/>
    <w:rsid w:val="009377E9"/>
    <w:rPr>
      <w:b/>
      <w:bCs/>
    </w:rPr>
  </w:style>
  <w:style w:type="table" w:styleId="LightList-Accent1">
    <w:name w:val="Light List Accent 1"/>
    <w:basedOn w:val="TableNormal"/>
    <w:uiPriority w:val="61"/>
    <w:rsid w:val="00D22101"/>
    <w:rPr>
      <w:rFonts w:ascii="Courier" w:eastAsiaTheme="minorHAnsi" w:hAnsi="Courie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6Char">
    <w:name w:val="Heading 6 Char"/>
    <w:basedOn w:val="DefaultParagraphFont"/>
    <w:link w:val="Heading6"/>
    <w:rsid w:val="007522BD"/>
    <w:rPr>
      <w:rFonts w:ascii="Century Gothic" w:hAnsi="Century Gothic"/>
      <w:bCs/>
      <w:color w:val="1F497D" w:themeColor="text2"/>
      <w:szCs w:val="22"/>
    </w:rPr>
  </w:style>
  <w:style w:type="paragraph" w:styleId="PlainText">
    <w:name w:val="Plain Text"/>
    <w:basedOn w:val="Normal"/>
    <w:link w:val="PlainTextChar"/>
    <w:uiPriority w:val="99"/>
    <w:semiHidden/>
    <w:unhideWhenUsed/>
    <w:rsid w:val="00944959"/>
    <w:pPr>
      <w:spacing w:after="0" w:line="240" w:lineRule="auto"/>
      <w:jc w:val="left"/>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semiHidden/>
    <w:rsid w:val="00944959"/>
    <w:rPr>
      <w:rFonts w:ascii="Calibri" w:eastAsiaTheme="minorHAnsi" w:hAnsi="Calibri" w:cstheme="minorBidi"/>
      <w:sz w:val="22"/>
      <w:szCs w:val="21"/>
      <w:lang w:eastAsia="en-US"/>
    </w:rPr>
  </w:style>
  <w:style w:type="paragraph" w:styleId="NormalWeb">
    <w:name w:val="Normal (Web)"/>
    <w:basedOn w:val="Normal"/>
    <w:uiPriority w:val="99"/>
    <w:semiHidden/>
    <w:unhideWhenUsed/>
    <w:rsid w:val="005D6F3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9294">
      <w:bodyDiv w:val="1"/>
      <w:marLeft w:val="0"/>
      <w:marRight w:val="0"/>
      <w:marTop w:val="0"/>
      <w:marBottom w:val="0"/>
      <w:divBdr>
        <w:top w:val="none" w:sz="0" w:space="0" w:color="auto"/>
        <w:left w:val="none" w:sz="0" w:space="0" w:color="auto"/>
        <w:bottom w:val="none" w:sz="0" w:space="0" w:color="auto"/>
        <w:right w:val="none" w:sz="0" w:space="0" w:color="auto"/>
      </w:divBdr>
    </w:div>
    <w:div w:id="153495320">
      <w:bodyDiv w:val="1"/>
      <w:marLeft w:val="0"/>
      <w:marRight w:val="0"/>
      <w:marTop w:val="0"/>
      <w:marBottom w:val="0"/>
      <w:divBdr>
        <w:top w:val="none" w:sz="0" w:space="0" w:color="auto"/>
        <w:left w:val="none" w:sz="0" w:space="0" w:color="auto"/>
        <w:bottom w:val="none" w:sz="0" w:space="0" w:color="auto"/>
        <w:right w:val="none" w:sz="0" w:space="0" w:color="auto"/>
      </w:divBdr>
    </w:div>
    <w:div w:id="188645148">
      <w:bodyDiv w:val="1"/>
      <w:marLeft w:val="0"/>
      <w:marRight w:val="0"/>
      <w:marTop w:val="0"/>
      <w:marBottom w:val="0"/>
      <w:divBdr>
        <w:top w:val="none" w:sz="0" w:space="0" w:color="auto"/>
        <w:left w:val="none" w:sz="0" w:space="0" w:color="auto"/>
        <w:bottom w:val="none" w:sz="0" w:space="0" w:color="auto"/>
        <w:right w:val="none" w:sz="0" w:space="0" w:color="auto"/>
      </w:divBdr>
    </w:div>
    <w:div w:id="315688517">
      <w:bodyDiv w:val="1"/>
      <w:marLeft w:val="0"/>
      <w:marRight w:val="0"/>
      <w:marTop w:val="0"/>
      <w:marBottom w:val="0"/>
      <w:divBdr>
        <w:top w:val="none" w:sz="0" w:space="0" w:color="auto"/>
        <w:left w:val="none" w:sz="0" w:space="0" w:color="auto"/>
        <w:bottom w:val="none" w:sz="0" w:space="0" w:color="auto"/>
        <w:right w:val="none" w:sz="0" w:space="0" w:color="auto"/>
      </w:divBdr>
    </w:div>
    <w:div w:id="746733652">
      <w:bodyDiv w:val="1"/>
      <w:marLeft w:val="0"/>
      <w:marRight w:val="0"/>
      <w:marTop w:val="0"/>
      <w:marBottom w:val="0"/>
      <w:divBdr>
        <w:top w:val="none" w:sz="0" w:space="0" w:color="auto"/>
        <w:left w:val="none" w:sz="0" w:space="0" w:color="auto"/>
        <w:bottom w:val="none" w:sz="0" w:space="0" w:color="auto"/>
        <w:right w:val="none" w:sz="0" w:space="0" w:color="auto"/>
      </w:divBdr>
    </w:div>
    <w:div w:id="767313516">
      <w:bodyDiv w:val="1"/>
      <w:marLeft w:val="0"/>
      <w:marRight w:val="0"/>
      <w:marTop w:val="0"/>
      <w:marBottom w:val="0"/>
      <w:divBdr>
        <w:top w:val="none" w:sz="0" w:space="0" w:color="auto"/>
        <w:left w:val="none" w:sz="0" w:space="0" w:color="auto"/>
        <w:bottom w:val="none" w:sz="0" w:space="0" w:color="auto"/>
        <w:right w:val="none" w:sz="0" w:space="0" w:color="auto"/>
      </w:divBdr>
    </w:div>
    <w:div w:id="802501505">
      <w:bodyDiv w:val="1"/>
      <w:marLeft w:val="0"/>
      <w:marRight w:val="0"/>
      <w:marTop w:val="0"/>
      <w:marBottom w:val="0"/>
      <w:divBdr>
        <w:top w:val="none" w:sz="0" w:space="0" w:color="auto"/>
        <w:left w:val="none" w:sz="0" w:space="0" w:color="auto"/>
        <w:bottom w:val="none" w:sz="0" w:space="0" w:color="auto"/>
        <w:right w:val="none" w:sz="0" w:space="0" w:color="auto"/>
      </w:divBdr>
    </w:div>
    <w:div w:id="911085781">
      <w:bodyDiv w:val="1"/>
      <w:marLeft w:val="0"/>
      <w:marRight w:val="0"/>
      <w:marTop w:val="0"/>
      <w:marBottom w:val="0"/>
      <w:divBdr>
        <w:top w:val="none" w:sz="0" w:space="0" w:color="auto"/>
        <w:left w:val="none" w:sz="0" w:space="0" w:color="auto"/>
        <w:bottom w:val="none" w:sz="0" w:space="0" w:color="auto"/>
        <w:right w:val="none" w:sz="0" w:space="0" w:color="auto"/>
      </w:divBdr>
    </w:div>
    <w:div w:id="976835803">
      <w:bodyDiv w:val="1"/>
      <w:marLeft w:val="0"/>
      <w:marRight w:val="0"/>
      <w:marTop w:val="0"/>
      <w:marBottom w:val="0"/>
      <w:divBdr>
        <w:top w:val="none" w:sz="0" w:space="0" w:color="auto"/>
        <w:left w:val="none" w:sz="0" w:space="0" w:color="auto"/>
        <w:bottom w:val="none" w:sz="0" w:space="0" w:color="auto"/>
        <w:right w:val="none" w:sz="0" w:space="0" w:color="auto"/>
      </w:divBdr>
    </w:div>
    <w:div w:id="1008214682">
      <w:bodyDiv w:val="1"/>
      <w:marLeft w:val="0"/>
      <w:marRight w:val="0"/>
      <w:marTop w:val="0"/>
      <w:marBottom w:val="0"/>
      <w:divBdr>
        <w:top w:val="none" w:sz="0" w:space="0" w:color="auto"/>
        <w:left w:val="none" w:sz="0" w:space="0" w:color="auto"/>
        <w:bottom w:val="none" w:sz="0" w:space="0" w:color="auto"/>
        <w:right w:val="none" w:sz="0" w:space="0" w:color="auto"/>
      </w:divBdr>
    </w:div>
    <w:div w:id="1174567571">
      <w:bodyDiv w:val="1"/>
      <w:marLeft w:val="0"/>
      <w:marRight w:val="0"/>
      <w:marTop w:val="0"/>
      <w:marBottom w:val="0"/>
      <w:divBdr>
        <w:top w:val="none" w:sz="0" w:space="0" w:color="auto"/>
        <w:left w:val="none" w:sz="0" w:space="0" w:color="auto"/>
        <w:bottom w:val="none" w:sz="0" w:space="0" w:color="auto"/>
        <w:right w:val="none" w:sz="0" w:space="0" w:color="auto"/>
      </w:divBdr>
    </w:div>
    <w:div w:id="1202549246">
      <w:bodyDiv w:val="1"/>
      <w:marLeft w:val="30"/>
      <w:marRight w:val="30"/>
      <w:marTop w:val="0"/>
      <w:marBottom w:val="0"/>
      <w:divBdr>
        <w:top w:val="none" w:sz="0" w:space="0" w:color="auto"/>
        <w:left w:val="none" w:sz="0" w:space="0" w:color="auto"/>
        <w:bottom w:val="none" w:sz="0" w:space="0" w:color="auto"/>
        <w:right w:val="none" w:sz="0" w:space="0" w:color="auto"/>
      </w:divBdr>
      <w:divsChild>
        <w:div w:id="1664115754">
          <w:marLeft w:val="0"/>
          <w:marRight w:val="0"/>
          <w:marTop w:val="0"/>
          <w:marBottom w:val="0"/>
          <w:divBdr>
            <w:top w:val="none" w:sz="0" w:space="0" w:color="auto"/>
            <w:left w:val="none" w:sz="0" w:space="0" w:color="auto"/>
            <w:bottom w:val="none" w:sz="0" w:space="0" w:color="auto"/>
            <w:right w:val="none" w:sz="0" w:space="0" w:color="auto"/>
          </w:divBdr>
          <w:divsChild>
            <w:div w:id="1143504177">
              <w:marLeft w:val="0"/>
              <w:marRight w:val="0"/>
              <w:marTop w:val="0"/>
              <w:marBottom w:val="0"/>
              <w:divBdr>
                <w:top w:val="none" w:sz="0" w:space="0" w:color="auto"/>
                <w:left w:val="none" w:sz="0" w:space="0" w:color="auto"/>
                <w:bottom w:val="none" w:sz="0" w:space="0" w:color="auto"/>
                <w:right w:val="none" w:sz="0" w:space="0" w:color="auto"/>
              </w:divBdr>
              <w:divsChild>
                <w:div w:id="1352561360">
                  <w:marLeft w:val="180"/>
                  <w:marRight w:val="0"/>
                  <w:marTop w:val="0"/>
                  <w:marBottom w:val="0"/>
                  <w:divBdr>
                    <w:top w:val="none" w:sz="0" w:space="0" w:color="auto"/>
                    <w:left w:val="none" w:sz="0" w:space="0" w:color="auto"/>
                    <w:bottom w:val="none" w:sz="0" w:space="0" w:color="auto"/>
                    <w:right w:val="none" w:sz="0" w:space="0" w:color="auto"/>
                  </w:divBdr>
                  <w:divsChild>
                    <w:div w:id="14033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738125">
      <w:bodyDiv w:val="1"/>
      <w:marLeft w:val="0"/>
      <w:marRight w:val="0"/>
      <w:marTop w:val="0"/>
      <w:marBottom w:val="0"/>
      <w:divBdr>
        <w:top w:val="none" w:sz="0" w:space="0" w:color="auto"/>
        <w:left w:val="none" w:sz="0" w:space="0" w:color="auto"/>
        <w:bottom w:val="none" w:sz="0" w:space="0" w:color="auto"/>
        <w:right w:val="none" w:sz="0" w:space="0" w:color="auto"/>
      </w:divBdr>
    </w:div>
    <w:div w:id="1310482308">
      <w:bodyDiv w:val="1"/>
      <w:marLeft w:val="0"/>
      <w:marRight w:val="0"/>
      <w:marTop w:val="0"/>
      <w:marBottom w:val="0"/>
      <w:divBdr>
        <w:top w:val="none" w:sz="0" w:space="0" w:color="auto"/>
        <w:left w:val="none" w:sz="0" w:space="0" w:color="auto"/>
        <w:bottom w:val="none" w:sz="0" w:space="0" w:color="auto"/>
        <w:right w:val="none" w:sz="0" w:space="0" w:color="auto"/>
      </w:divBdr>
    </w:div>
    <w:div w:id="1379549269">
      <w:bodyDiv w:val="1"/>
      <w:marLeft w:val="0"/>
      <w:marRight w:val="0"/>
      <w:marTop w:val="0"/>
      <w:marBottom w:val="0"/>
      <w:divBdr>
        <w:top w:val="none" w:sz="0" w:space="0" w:color="auto"/>
        <w:left w:val="none" w:sz="0" w:space="0" w:color="auto"/>
        <w:bottom w:val="none" w:sz="0" w:space="0" w:color="auto"/>
        <w:right w:val="none" w:sz="0" w:space="0" w:color="auto"/>
      </w:divBdr>
    </w:div>
    <w:div w:id="1488785211">
      <w:bodyDiv w:val="1"/>
      <w:marLeft w:val="0"/>
      <w:marRight w:val="0"/>
      <w:marTop w:val="0"/>
      <w:marBottom w:val="0"/>
      <w:divBdr>
        <w:top w:val="none" w:sz="0" w:space="0" w:color="auto"/>
        <w:left w:val="none" w:sz="0" w:space="0" w:color="auto"/>
        <w:bottom w:val="none" w:sz="0" w:space="0" w:color="auto"/>
        <w:right w:val="none" w:sz="0" w:space="0" w:color="auto"/>
      </w:divBdr>
    </w:div>
    <w:div w:id="1514150997">
      <w:bodyDiv w:val="1"/>
      <w:marLeft w:val="0"/>
      <w:marRight w:val="0"/>
      <w:marTop w:val="0"/>
      <w:marBottom w:val="0"/>
      <w:divBdr>
        <w:top w:val="none" w:sz="0" w:space="0" w:color="auto"/>
        <w:left w:val="none" w:sz="0" w:space="0" w:color="auto"/>
        <w:bottom w:val="none" w:sz="0" w:space="0" w:color="auto"/>
        <w:right w:val="none" w:sz="0" w:space="0" w:color="auto"/>
      </w:divBdr>
    </w:div>
    <w:div w:id="1699158242">
      <w:bodyDiv w:val="1"/>
      <w:marLeft w:val="0"/>
      <w:marRight w:val="0"/>
      <w:marTop w:val="0"/>
      <w:marBottom w:val="0"/>
      <w:divBdr>
        <w:top w:val="none" w:sz="0" w:space="0" w:color="auto"/>
        <w:left w:val="none" w:sz="0" w:space="0" w:color="auto"/>
        <w:bottom w:val="none" w:sz="0" w:space="0" w:color="auto"/>
        <w:right w:val="none" w:sz="0" w:space="0" w:color="auto"/>
      </w:divBdr>
    </w:div>
    <w:div w:id="1745368549">
      <w:bodyDiv w:val="1"/>
      <w:marLeft w:val="0"/>
      <w:marRight w:val="0"/>
      <w:marTop w:val="0"/>
      <w:marBottom w:val="0"/>
      <w:divBdr>
        <w:top w:val="none" w:sz="0" w:space="0" w:color="auto"/>
        <w:left w:val="none" w:sz="0" w:space="0" w:color="auto"/>
        <w:bottom w:val="none" w:sz="0" w:space="0" w:color="auto"/>
        <w:right w:val="none" w:sz="0" w:space="0" w:color="auto"/>
      </w:divBdr>
    </w:div>
    <w:div w:id="1761486763">
      <w:bodyDiv w:val="1"/>
      <w:marLeft w:val="0"/>
      <w:marRight w:val="0"/>
      <w:marTop w:val="0"/>
      <w:marBottom w:val="0"/>
      <w:divBdr>
        <w:top w:val="none" w:sz="0" w:space="0" w:color="auto"/>
        <w:left w:val="none" w:sz="0" w:space="0" w:color="auto"/>
        <w:bottom w:val="none" w:sz="0" w:space="0" w:color="auto"/>
        <w:right w:val="none" w:sz="0" w:space="0" w:color="auto"/>
      </w:divBdr>
      <w:divsChild>
        <w:div w:id="1290237186">
          <w:marLeft w:val="0"/>
          <w:marRight w:val="0"/>
          <w:marTop w:val="0"/>
          <w:marBottom w:val="0"/>
          <w:divBdr>
            <w:top w:val="none" w:sz="0" w:space="0" w:color="auto"/>
            <w:left w:val="none" w:sz="0" w:space="0" w:color="auto"/>
            <w:bottom w:val="none" w:sz="0" w:space="0" w:color="auto"/>
            <w:right w:val="none" w:sz="0" w:space="0" w:color="auto"/>
          </w:divBdr>
          <w:divsChild>
            <w:div w:id="2016372255">
              <w:marLeft w:val="375"/>
              <w:marRight w:val="375"/>
              <w:marTop w:val="0"/>
              <w:marBottom w:val="0"/>
              <w:divBdr>
                <w:top w:val="none" w:sz="0" w:space="0" w:color="auto"/>
                <w:left w:val="none" w:sz="0" w:space="0" w:color="auto"/>
                <w:bottom w:val="none" w:sz="0" w:space="0" w:color="auto"/>
                <w:right w:val="none" w:sz="0" w:space="0" w:color="auto"/>
              </w:divBdr>
              <w:divsChild>
                <w:div w:id="2057003038">
                  <w:marLeft w:val="0"/>
                  <w:marRight w:val="0"/>
                  <w:marTop w:val="0"/>
                  <w:marBottom w:val="0"/>
                  <w:divBdr>
                    <w:top w:val="none" w:sz="0" w:space="0" w:color="auto"/>
                    <w:left w:val="none" w:sz="0" w:space="0" w:color="auto"/>
                    <w:bottom w:val="none" w:sz="0" w:space="0" w:color="auto"/>
                    <w:right w:val="none" w:sz="0" w:space="0" w:color="auto"/>
                  </w:divBdr>
                  <w:divsChild>
                    <w:div w:id="15543726">
                      <w:marLeft w:val="0"/>
                      <w:marRight w:val="0"/>
                      <w:marTop w:val="0"/>
                      <w:marBottom w:val="0"/>
                      <w:divBdr>
                        <w:top w:val="none" w:sz="0" w:space="0" w:color="auto"/>
                        <w:left w:val="none" w:sz="0" w:space="0" w:color="auto"/>
                        <w:bottom w:val="none" w:sz="0" w:space="0" w:color="auto"/>
                        <w:right w:val="none" w:sz="0" w:space="0" w:color="auto"/>
                      </w:divBdr>
                      <w:divsChild>
                        <w:div w:id="17397024">
                          <w:marLeft w:val="-300"/>
                          <w:marRight w:val="0"/>
                          <w:marTop w:val="0"/>
                          <w:marBottom w:val="0"/>
                          <w:divBdr>
                            <w:top w:val="none" w:sz="0" w:space="0" w:color="auto"/>
                            <w:left w:val="none" w:sz="0" w:space="0" w:color="auto"/>
                            <w:bottom w:val="none" w:sz="0" w:space="0" w:color="auto"/>
                            <w:right w:val="none" w:sz="0" w:space="0" w:color="auto"/>
                          </w:divBdr>
                          <w:divsChild>
                            <w:div w:id="10479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191736">
      <w:bodyDiv w:val="1"/>
      <w:marLeft w:val="0"/>
      <w:marRight w:val="0"/>
      <w:marTop w:val="0"/>
      <w:marBottom w:val="0"/>
      <w:divBdr>
        <w:top w:val="none" w:sz="0" w:space="0" w:color="auto"/>
        <w:left w:val="none" w:sz="0" w:space="0" w:color="auto"/>
        <w:bottom w:val="none" w:sz="0" w:space="0" w:color="auto"/>
        <w:right w:val="none" w:sz="0" w:space="0" w:color="auto"/>
      </w:divBdr>
    </w:div>
    <w:div w:id="1824423246">
      <w:bodyDiv w:val="1"/>
      <w:marLeft w:val="0"/>
      <w:marRight w:val="0"/>
      <w:marTop w:val="0"/>
      <w:marBottom w:val="0"/>
      <w:divBdr>
        <w:top w:val="none" w:sz="0" w:space="0" w:color="auto"/>
        <w:left w:val="none" w:sz="0" w:space="0" w:color="auto"/>
        <w:bottom w:val="none" w:sz="0" w:space="0" w:color="auto"/>
        <w:right w:val="none" w:sz="0" w:space="0" w:color="auto"/>
      </w:divBdr>
    </w:div>
    <w:div w:id="2025742783">
      <w:bodyDiv w:val="1"/>
      <w:marLeft w:val="0"/>
      <w:marRight w:val="0"/>
      <w:marTop w:val="0"/>
      <w:marBottom w:val="0"/>
      <w:divBdr>
        <w:top w:val="none" w:sz="0" w:space="0" w:color="auto"/>
        <w:left w:val="none" w:sz="0" w:space="0" w:color="auto"/>
        <w:bottom w:val="none" w:sz="0" w:space="0" w:color="auto"/>
        <w:right w:val="none" w:sz="0" w:space="0" w:color="auto"/>
      </w:divBdr>
    </w:div>
    <w:div w:id="2041318263">
      <w:bodyDiv w:val="1"/>
      <w:marLeft w:val="0"/>
      <w:marRight w:val="0"/>
      <w:marTop w:val="0"/>
      <w:marBottom w:val="0"/>
      <w:divBdr>
        <w:top w:val="none" w:sz="0" w:space="0" w:color="auto"/>
        <w:left w:val="none" w:sz="0" w:space="0" w:color="auto"/>
        <w:bottom w:val="none" w:sz="0" w:space="0" w:color="auto"/>
        <w:right w:val="none" w:sz="0" w:space="0" w:color="auto"/>
      </w:divBdr>
    </w:div>
    <w:div w:id="20793289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26" Type="http://schemas.openxmlformats.org/officeDocument/2006/relationships/hyperlink" Target="http://treasury.gov.au/ConsultationsandReviews/Reviews/2016/Review-of-the-Petroleum-Resource-Rent-Tax/Consultation" TargetMode="External"/><Relationship Id="rId117" Type="http://schemas.openxmlformats.org/officeDocument/2006/relationships/image" Target="media/image41.emf"/><Relationship Id="rId21" Type="http://schemas.openxmlformats.org/officeDocument/2006/relationships/header" Target="header1.xml"/><Relationship Id="rId42" Type="http://schemas.openxmlformats.org/officeDocument/2006/relationships/image" Target="media/image12.emf"/><Relationship Id="rId47" Type="http://schemas.openxmlformats.org/officeDocument/2006/relationships/oleObject" Target="http://tweb/sites/rg/prrtsecretariat/03%20Final%20Report/Charts/Chart%20-%20deductible%20expenditure.xlsx!Sheet2!%5bChart%20-%20deductible%20expenditure.xlsx%5dSheet2%20Chart%203" TargetMode="External"/><Relationship Id="rId63" Type="http://schemas.openxmlformats.org/officeDocument/2006/relationships/image" Target="media/image25.emf"/><Relationship Id="rId68" Type="http://schemas.openxmlformats.org/officeDocument/2006/relationships/oleObject" Target="http://tweb/sites/rg/prrtsecretariat/03%20Final%20Report/Charts/Chart%20-%20Changing%20Exploration%20From%2015%20to%205.xlsx!Sheet1!%5bChart%20-%20Changing%20Exploration%20From%2015%20to%205.xlsx%5dSheet1%20Chart%201" TargetMode="External"/><Relationship Id="rId84" Type="http://schemas.openxmlformats.org/officeDocument/2006/relationships/oleObject" Target="Book2!Don%20Spectre!%5bBook2%5dDon%20Spectre%20Chart%201" TargetMode="External"/><Relationship Id="rId89" Type="http://schemas.openxmlformats.org/officeDocument/2006/relationships/hyperlink" Target="http://www.albertacanada.com/business/statistics/oil-and-gas-quarterly.aspx" TargetMode="External"/><Relationship Id="rId112" Type="http://schemas.openxmlformats.org/officeDocument/2006/relationships/hyperlink" Target="http://www.pc.gov.au/inquiries/completed/upstream-petroleum/report/upstream-petroleum.pdf" TargetMode="External"/><Relationship Id="rId16" Type="http://schemas.openxmlformats.org/officeDocument/2006/relationships/hyperlink" Target="http://creativecommons.org/licenses/by/3.0/au/legalcode" TargetMode="External"/><Relationship Id="rId107" Type="http://schemas.openxmlformats.org/officeDocument/2006/relationships/hyperlink" Target="https://www.imf.org/external/np/pp/eng/2012/081512.pdf" TargetMode="External"/><Relationship Id="rId11" Type="http://schemas.openxmlformats.org/officeDocument/2006/relationships/webSettings" Target="webSettings.xml"/><Relationship Id="rId32" Type="http://schemas.openxmlformats.org/officeDocument/2006/relationships/image" Target="media/image5.png"/><Relationship Id="rId37" Type="http://schemas.openxmlformats.org/officeDocument/2006/relationships/image" Target="media/image8.emf"/><Relationship Id="rId53" Type="http://schemas.openxmlformats.org/officeDocument/2006/relationships/chart" Target="charts/chart2.xml"/><Relationship Id="rId58" Type="http://schemas.openxmlformats.org/officeDocument/2006/relationships/image" Target="media/image20.png"/><Relationship Id="rId74" Type="http://schemas.openxmlformats.org/officeDocument/2006/relationships/oleObject" Target="http://tweb/sites/rg/prrtsecretariat/03%20Final%20Report/Charts/Chart%20-%20Changing%20Exploration%20From%2015%20to%205.xlsx!Sheet1!%5bChart%20-%20Changing%20Exploration%20From%2015%20to%205.xlsx%5dSheet1%20Chart%202" TargetMode="External"/><Relationship Id="rId79" Type="http://schemas.openxmlformats.org/officeDocument/2006/relationships/chart" Target="charts/chart3.xml"/><Relationship Id="rId102" Type="http://schemas.openxmlformats.org/officeDocument/2006/relationships/hyperlink" Target="http://www.fraserinstitute.org/studies/global-petroleum-survey-2016" TargetMode="External"/><Relationship Id="rId123" Type="http://schemas.openxmlformats.org/officeDocument/2006/relationships/image" Target="media/image47.emf"/><Relationship Id="rId128"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yperlink" Target="http://taxreview.treasury.gov.au/" TargetMode="External"/><Relationship Id="rId95" Type="http://schemas.openxmlformats.org/officeDocument/2006/relationships/hyperlink" Target="https://www.ato.gov.au/Forms/Timor-Sea-Treaty---Joint-Petroleum-Development-Area-instructions-2016/?page=2" TargetMode="External"/><Relationship Id="rId19" Type="http://schemas.openxmlformats.org/officeDocument/2006/relationships/hyperlink" Target="http://www.itsanhonour.gov.au" TargetMode="External"/><Relationship Id="rId14" Type="http://schemas.openxmlformats.org/officeDocument/2006/relationships/image" Target="media/image1.jpg"/><Relationship Id="rId22" Type="http://schemas.openxmlformats.org/officeDocument/2006/relationships/footer" Target="footer1.xml"/><Relationship Id="rId27" Type="http://schemas.openxmlformats.org/officeDocument/2006/relationships/image" Target="media/image3.emf"/><Relationship Id="rId30" Type="http://schemas.openxmlformats.org/officeDocument/2006/relationships/image" Target="media/image4.emf"/><Relationship Id="rId35" Type="http://schemas.openxmlformats.org/officeDocument/2006/relationships/image" Target="media/image7.emf"/><Relationship Id="rId43" Type="http://schemas.openxmlformats.org/officeDocument/2006/relationships/oleObject" Target="http://tweb/sites/rg/prrtsecretariat/03%20Final%20Report/Chart%20-%20revenue%20collections.xlsx!Sheet1!%5bChart%20-%20revenue%20collections.xlsx%5dSheet1%20Chart%201" TargetMode="External"/><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file:///\\FS2\Indiv$\WMA\Documents\PRRT\Modelling\PRRT4.2(a).xlsm!Charts!%5bPRRT4.2(a).xlsm%5dCharts%20Chart%2022" TargetMode="External"/><Relationship Id="rId69" Type="http://schemas.openxmlformats.org/officeDocument/2006/relationships/image" Target="media/image28.emf"/><Relationship Id="rId77" Type="http://schemas.openxmlformats.org/officeDocument/2006/relationships/image" Target="media/image32.emf"/><Relationship Id="rId100" Type="http://schemas.openxmlformats.org/officeDocument/2006/relationships/hyperlink" Target="http://www.industry.gov.au/Office-of-the-Chief-Economist/Publications/Pages/Gas-market-report.aspx" TargetMode="External"/><Relationship Id="rId105" Type="http://schemas.openxmlformats.org/officeDocument/2006/relationships/hyperlink" Target="http://www.taxwatch.org.au/ssl/CMS/files_cms/186_MRRT%20Report.pdf" TargetMode="External"/><Relationship Id="rId113" Type="http://schemas.openxmlformats.org/officeDocument/2006/relationships/image" Target="media/image37.png"/><Relationship Id="rId118" Type="http://schemas.openxmlformats.org/officeDocument/2006/relationships/image" Target="media/image42.emf"/><Relationship Id="rId126" Type="http://schemas.openxmlformats.org/officeDocument/2006/relationships/chart" Target="charts/chart5.xml"/><Relationship Id="rId8" Type="http://schemas.openxmlformats.org/officeDocument/2006/relationships/styles" Target="styles.xml"/><Relationship Id="rId51" Type="http://schemas.openxmlformats.org/officeDocument/2006/relationships/oleObject" Target="http://tweb/sites/rg/prrtsecretariat/03%20Final%20Report/Charts/Chart%20-%20Unadjusted%20Wood%20Mackenzie.xlsx!Sheet1!%5bChart%20-%20Unadjusted%20Wood%20Mackenzie.xlsx%5dSheet1%20Chart%201" TargetMode="External"/><Relationship Id="rId72" Type="http://schemas.openxmlformats.org/officeDocument/2006/relationships/oleObject" Target="file:///\\FS2\Indiv$\WMA\Documents\PRRT\Modelling\PRRT4.4.xlsm!Charts!%5bPRRT4.4.xlsm%5dCharts%20Chart%2022" TargetMode="External"/><Relationship Id="rId80" Type="http://schemas.openxmlformats.org/officeDocument/2006/relationships/image" Target="media/image33.emf"/><Relationship Id="rId85" Type="http://schemas.openxmlformats.org/officeDocument/2006/relationships/image" Target="media/image36.emf"/><Relationship Id="rId93" Type="http://schemas.openxmlformats.org/officeDocument/2006/relationships/hyperlink" Target="https://www.aemo.com.au/-/media/Files/Gas/National_Planning_and_Forecasting/WA_GSOO/2016/2016-WA-Gas-Statement-of-Opportunities.pdf" TargetMode="External"/><Relationship Id="rId98" Type="http://schemas.openxmlformats.org/officeDocument/2006/relationships/hyperlink" Target="http://www.industry.gov.au/Office-of-the-Chief-Economist/Publications/Pages/Energy-in-Australia.aspx" TargetMode="External"/><Relationship Id="rId121"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header" Target="header2.xml"/><Relationship Id="rId33" Type="http://schemas.openxmlformats.org/officeDocument/2006/relationships/image" Target="media/image6.emf"/><Relationship Id="rId38" Type="http://schemas.openxmlformats.org/officeDocument/2006/relationships/oleObject" Target="http://tweb/sites/rg/prrtsecretariat/03%20Final%20Report/Format%20copy%20-%20Chapter%201%20data.xlsx!Prices!%5bFormat%20copy%20-%20Chapter%201%20data.xlsx%5dPrices%20Chart%202" TargetMode="External"/><Relationship Id="rId46" Type="http://schemas.openxmlformats.org/officeDocument/2006/relationships/image" Target="media/image14.emf"/><Relationship Id="rId59" Type="http://schemas.openxmlformats.org/officeDocument/2006/relationships/image" Target="media/image21.png"/><Relationship Id="rId67" Type="http://schemas.openxmlformats.org/officeDocument/2006/relationships/image" Target="media/image27.emf"/><Relationship Id="rId103" Type="http://schemas.openxmlformats.org/officeDocument/2006/relationships/hyperlink" Target="https://www.fraserinstitute.org/sites/default/files/global-petroleum-survey-2016-news%20release.pdf" TargetMode="External"/><Relationship Id="rId108" Type="http://schemas.openxmlformats.org/officeDocument/2006/relationships/hyperlink" Target="https://static1.squarespace.com/static/574507cde707eb3324%2024b26a/t/582d44d3b3db2bc03f850780/1479361749065/ITF+PRRT+Brief+2+Qatar++Sept2016.pdf" TargetMode="External"/><Relationship Id="rId116" Type="http://schemas.openxmlformats.org/officeDocument/2006/relationships/image" Target="media/image40.emf"/><Relationship Id="rId124" Type="http://schemas.openxmlformats.org/officeDocument/2006/relationships/oleObject" Target="http://tweb/sites/rg/prrtsecretariat/03%20Final%20Report/Format%20copy%20-%20Chapter%201%20data.xlsx!Global%20LNG%20capacity!%5bFormat%20copy%20-%20Chapter%201%20data.xlsx%5dGlobal%20LNG%20capacity%20Chart%201" TargetMode="External"/><Relationship Id="rId129" Type="http://schemas.openxmlformats.org/officeDocument/2006/relationships/fontTable" Target="fontTable.xml"/><Relationship Id="rId20" Type="http://schemas.openxmlformats.org/officeDocument/2006/relationships/hyperlink" Target="mailto:medialiaison@treasury.gov.au" TargetMode="External"/><Relationship Id="rId41" Type="http://schemas.openxmlformats.org/officeDocument/2006/relationships/image" Target="media/image11.emf"/><Relationship Id="rId54" Type="http://schemas.openxmlformats.org/officeDocument/2006/relationships/image" Target="media/image18.emf"/><Relationship Id="rId62" Type="http://schemas.openxmlformats.org/officeDocument/2006/relationships/image" Target="media/image24.png"/><Relationship Id="rId70" Type="http://schemas.openxmlformats.org/officeDocument/2006/relationships/oleObject" Target="file:///\\FS2\Indiv$\WMA\Documents\PRRT\Modelling\PRRTmultipleHypotheticalc.xlsm!Charts!%5bPRRTmultipleHypotheticalc.xlsm%5dCharts%20Chart%2022" TargetMode="External"/><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hyperlink" Target="http://dor.alaska.gov/Oil-Gas-Competitiveness-Review-Board.aspx" TargetMode="External"/><Relationship Id="rId91" Type="http://schemas.openxmlformats.org/officeDocument/2006/relationships/hyperlink" Target="https://www.accc.gov.au/regulated-infrastructure/energy/east-coast-gas-inquiry-2015" TargetMode="External"/><Relationship Id="rId96" Type="http://schemas.openxmlformats.org/officeDocument/2006/relationships/hyperlink" Target="https://www.ampla.org/conference-information/5b2-barrymore/2015-annual-conference---perth" TargetMode="External"/><Relationship Id="rId111" Type="http://schemas.openxmlformats.org/officeDocument/2006/relationships/hyperlink" Target="http://dx.doi.org/10.1787/tpg-2010-en"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openxmlformats.org/officeDocument/2006/relationships/oleObject" Target="http://tweb/sites/rg/prrtsecretariat/03%20Final%20Report/Format%20copy%20-%20Chapter%201%20data.xlsx!Oil%20and%20gas%20production!%5bFormat%20copy%20-%20Chapter%201%20data.xlsx%5dOil%20and%20gas%20production%20Chart%209" TargetMode="External"/><Relationship Id="rId36" Type="http://schemas.openxmlformats.org/officeDocument/2006/relationships/oleObject" Target="http://tweb/sites/rg/prrtsecretariat/Format%20copy%20-%20Chapter%201%20data.xlsx!Prices!%5bFormat%20copy%20-%20Chapter%201%20data.xlsx%5dPrices%20Chart%204" TargetMode="External"/><Relationship Id="rId49" Type="http://schemas.openxmlformats.org/officeDocument/2006/relationships/oleObject" Target="http://tweb/sites/rg/prrtsecretariat/03%20Final%20Report/Charts/Chart%20-%20state%20royalties.xlsx!Sheet1!%5bChart%20-%20state%20royalties.xlsx%5dSheet1%20Chart%201" TargetMode="External"/><Relationship Id="rId57" Type="http://schemas.openxmlformats.org/officeDocument/2006/relationships/oleObject" Target="http://tweb/sites/rg/prrtsecretariat/03%20Final%20Report/Charts/Chart%20-%20Oil%20Price%20Scenarios.xlsx!Sheet1!%5bChart%20-%20Oil%20Price%20Scenarios.xlsx%5dSheet1%20Chart%204" TargetMode="External"/><Relationship Id="rId106" Type="http://schemas.openxmlformats.org/officeDocument/2006/relationships/hyperlink" Target="http://www.worldenergyoutlook.org/weo2013/" TargetMode="External"/><Relationship Id="rId114" Type="http://schemas.openxmlformats.org/officeDocument/2006/relationships/image" Target="media/image38.png"/><Relationship Id="rId119" Type="http://schemas.openxmlformats.org/officeDocument/2006/relationships/image" Target="media/image43.emf"/><Relationship Id="rId127" Type="http://schemas.openxmlformats.org/officeDocument/2006/relationships/image" Target="media/image48.png"/><Relationship Id="rId10" Type="http://schemas.openxmlformats.org/officeDocument/2006/relationships/settings" Target="settings.xml"/><Relationship Id="rId31" Type="http://schemas.openxmlformats.org/officeDocument/2006/relationships/oleObject" Target="http://tweb/sites/rg/prrtsecretariat/Format%20copy%20-%20Chapter%201%20data.xlsx!Oil%20and%20gas%20production!%5bFormat%20copy%20-%20Chapter%201%20data.xlsx%5dOil%20and%20gas%20production%20Chart%206" TargetMode="External"/><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2.png"/><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http://tweb/sites/rg/prrtsecretariat/03%20Final%20Report/Charts/Chart%20-%20GTP.xlsx!Sheet1!%5bChart%20-%20GTP.xlsx%5dSheet1Chart%201" TargetMode="External"/><Relationship Id="rId81" Type="http://schemas.openxmlformats.org/officeDocument/2006/relationships/image" Target="media/image34.emf"/><Relationship Id="rId86" Type="http://schemas.openxmlformats.org/officeDocument/2006/relationships/oleObject" Target="http://tweb/sites/rg/prrtsecretariat/03%20Final%20Report/Charts/Charts%20-%20chapter%206%20royalties.xlsx!Royalty%20commencing%20after%2010%20yrs!%5bCharts%20-%20chapter%206%20royalties.xlsx%5dRoyalty%20commencing%20after%2010%20yrs%20Chart%201" TargetMode="External"/><Relationship Id="rId94" Type="http://schemas.openxmlformats.org/officeDocument/2006/relationships/hyperlink" Target="https://www.anao.gov.au/work/performance-audit/administration-petroleum-resource-rent-tax" TargetMode="External"/><Relationship Id="rId99" Type="http://schemas.openxmlformats.org/officeDocument/2006/relationships/hyperlink" Target="http://www.industry.gov.au/Office-of-the-Chief-Economist/Publications/Documents/req/Resources-and-Energy-Major-Projects-December-2016.pdf" TargetMode="External"/><Relationship Id="rId101" Type="http://schemas.openxmlformats.org/officeDocument/2006/relationships/hyperlink" Target="https://industry.gov.au/resource/Enhancing/ResourcesTaxation/PetroleumResourceRentTax/Pages/PRRTHistory.aspx" TargetMode="External"/><Relationship Id="rId122" Type="http://schemas.openxmlformats.org/officeDocument/2006/relationships/image" Target="media/image46.emf"/><Relationship Id="rId130"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39" Type="http://schemas.openxmlformats.org/officeDocument/2006/relationships/image" Target="media/image9.emf"/><Relationship Id="rId109" Type="http://schemas.openxmlformats.org/officeDocument/2006/relationships/hyperlink" Target="http://www.macrobusiness.com.au/2014/03/iea-nobody-will-invest-in-australian-lng/" TargetMode="External"/><Relationship Id="rId34" Type="http://schemas.openxmlformats.org/officeDocument/2006/relationships/oleObject" Target="http://tweb/sites/rg/prrtsecretariat/03%20Final%20Report/Format%20copy%20-%20Chapter%201%20data.xlsx!Aust%20LNG%20capacity!%5bFormat%20copy%20-%20Chapter%201%20data.xlsx%5dAust%20LNG%20capacity%20Chart%2033" TargetMode="External"/><Relationship Id="rId50" Type="http://schemas.openxmlformats.org/officeDocument/2006/relationships/image" Target="media/image16.emf"/><Relationship Id="rId55" Type="http://schemas.openxmlformats.org/officeDocument/2006/relationships/oleObject" Target="http://tweb/sites/rg/prrtsecretariat/03%20Final%20Report/Charts/Chart%20-%20real%20historic%20oil%20price.xlsx!Sheet1!%5bChart%20-%20real%20historic%20oil%20price.xlsx%5dSheet1%20Chart%201" TargetMode="External"/><Relationship Id="rId76" Type="http://schemas.openxmlformats.org/officeDocument/2006/relationships/oleObject" Target="http://tweb/sites/rg/prrtsecretariat/03%20Final%20Report/Charts/Chart%20-%20Tapis%20Oil%20Price%20(2000-2016).xlsx!Sheet1!%5bChart%20-%20Tapis%20Oil%20Price%20(2000-2016).xlsx%5dSheet1%20Chart%201" TargetMode="External"/><Relationship Id="rId97" Type="http://schemas.openxmlformats.org/officeDocument/2006/relationships/hyperlink" Target="http://www.rba.gov.au/publications/bulletin/2015/mar/pdf/bu-0315-4.pdf" TargetMode="External"/><Relationship Id="rId104" Type="http://schemas.openxmlformats.org/officeDocument/2006/relationships/hyperlink" Target="http://www.ga.gov.au/aera" TargetMode="External"/><Relationship Id="rId120" Type="http://schemas.openxmlformats.org/officeDocument/2006/relationships/image" Target="media/image44.emf"/><Relationship Id="rId125" Type="http://schemas.openxmlformats.org/officeDocument/2006/relationships/chart" Target="charts/chart4.xml"/><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hyperlink" Target="https://www.aemo.com.au/-/media/Files/PDF/2016-Gas-Statement-of-Opportunities.pdf" TargetMode="Externa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footer" Target="footer3.xml"/><Relationship Id="rId40" Type="http://schemas.openxmlformats.org/officeDocument/2006/relationships/image" Target="media/image10.png"/><Relationship Id="rId45" Type="http://schemas.openxmlformats.org/officeDocument/2006/relationships/oleObject" Target="http://tweb/sites/rg/prrtsecretariat/03%20Final%20Report/Charts/Production%20Type%20v%20PRRT%20Chart.xlsx!Sheet2!%5bProduction%20Type%20v%20PRRT%20Chart.xlsx%5dSheet2%20Chart%207" TargetMode="External"/><Relationship Id="rId66" Type="http://schemas.openxmlformats.org/officeDocument/2006/relationships/oleObject" Target="file:///\\FS2\Indiv$\WMA\Documents\PRRT\Modelling\PRRT4.2(b).xlsm!Charts!%5bPRRT4.2(b).xlsm%5dCharts%20Chart%2022" TargetMode="External"/><Relationship Id="rId87" Type="http://schemas.openxmlformats.org/officeDocument/2006/relationships/hyperlink" Target="https://www.energy.senate.gov/public/index.cfm/files/serve?File_id=d174971c-4682-4d96-b194-a85fa2b86774" TargetMode="External"/><Relationship Id="rId110" Type="http://schemas.openxmlformats.org/officeDocument/2006/relationships/hyperlink" Target="https://mckellinstitute.org.au/research/reports/harnessing-the-boom/" TargetMode="External"/><Relationship Id="rId115" Type="http://schemas.openxmlformats.org/officeDocument/2006/relationships/image" Target="media/image39.emf"/><Relationship Id="rId61" Type="http://schemas.openxmlformats.org/officeDocument/2006/relationships/image" Target="media/image23.png"/><Relationship Id="rId82" Type="http://schemas.openxmlformats.org/officeDocument/2006/relationships/oleObject" Target="http://tweb/sites/rg/prrtsecretariat/03%20Final%20Report/Charts/Charts%20-%2010%20per%20cent%20royalty.xlsx!10%25%20offshore%20royalty!%5bCharts%20-%2010%20per%20cent%20royalty.xlsx%5d10%25%20offshore%20royalty%20Chart%20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ax.alaska.gov/programs/programs/reports/Historical.aspx?606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tweb/sites/rg/prrtsecretariat/03%20Final%20Report/Charts/Chart%20-%20Baseline%20Scenario%20(Adjusted%20Wood%20Mackenzie%20with%20No%20Exploration%20Transfers)%20at%20$US65.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tweb/sites/rg/prrtsecretariat/03%20Final%20Report/Charts/Format%20copy%20-%20Chapter%201%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4.6680154564012824E-2"/>
          <c:w val="0.93888888888888888"/>
          <c:h val="0.72159922717993585"/>
        </c:manualLayout>
      </c:layout>
      <c:barChart>
        <c:barDir val="col"/>
        <c:grouping val="clustered"/>
        <c:varyColors val="0"/>
        <c:ser>
          <c:idx val="0"/>
          <c:order val="0"/>
          <c:tx>
            <c:strRef>
              <c:f>'Oil and gas production'!$N$31</c:f>
              <c:strCache>
                <c:ptCount val="1"/>
                <c:pt idx="0">
                  <c:v>1987-88</c:v>
                </c:pt>
              </c:strCache>
            </c:strRef>
          </c:tx>
          <c:invertIfNegative val="0"/>
          <c:cat>
            <c:strRef>
              <c:f>'Oil and gas production'!$O$30:$P$30</c:f>
              <c:strCache>
                <c:ptCount val="2"/>
                <c:pt idx="0">
                  <c:v>Oil and Condensate (million litres)</c:v>
                </c:pt>
                <c:pt idx="1">
                  <c:v>Gas (million cubic metres)</c:v>
                </c:pt>
              </c:strCache>
            </c:strRef>
          </c:cat>
          <c:val>
            <c:numRef>
              <c:f>'Oil and gas production'!$O$31:$P$31</c:f>
              <c:numCache>
                <c:formatCode>General</c:formatCode>
                <c:ptCount val="2"/>
                <c:pt idx="0">
                  <c:v>31264</c:v>
                </c:pt>
                <c:pt idx="1">
                  <c:v>15679</c:v>
                </c:pt>
              </c:numCache>
            </c:numRef>
          </c:val>
        </c:ser>
        <c:ser>
          <c:idx val="1"/>
          <c:order val="1"/>
          <c:tx>
            <c:strRef>
              <c:f>'Oil and gas production'!$N$32</c:f>
              <c:strCache>
                <c:ptCount val="1"/>
                <c:pt idx="0">
                  <c:v>2015-16</c:v>
                </c:pt>
              </c:strCache>
            </c:strRef>
          </c:tx>
          <c:invertIfNegative val="0"/>
          <c:cat>
            <c:strRef>
              <c:f>'Oil and gas production'!$O$30:$P$30</c:f>
              <c:strCache>
                <c:ptCount val="2"/>
                <c:pt idx="0">
                  <c:v>Oil and Condensate (million litres)</c:v>
                </c:pt>
                <c:pt idx="1">
                  <c:v>Gas (million cubic metres)</c:v>
                </c:pt>
              </c:strCache>
            </c:strRef>
          </c:cat>
          <c:val>
            <c:numRef>
              <c:f>'Oil and gas production'!$O$32:$P$32</c:f>
              <c:numCache>
                <c:formatCode>General</c:formatCode>
                <c:ptCount val="2"/>
                <c:pt idx="0">
                  <c:v>18395</c:v>
                </c:pt>
                <c:pt idx="1">
                  <c:v>81186</c:v>
                </c:pt>
              </c:numCache>
            </c:numRef>
          </c:val>
        </c:ser>
        <c:dLbls>
          <c:showLegendKey val="0"/>
          <c:showVal val="1"/>
          <c:showCatName val="0"/>
          <c:showSerName val="0"/>
          <c:showPercent val="0"/>
          <c:showBubbleSize val="0"/>
        </c:dLbls>
        <c:gapWidth val="150"/>
        <c:overlap val="-25"/>
        <c:axId val="63165568"/>
        <c:axId val="63167104"/>
      </c:barChart>
      <c:catAx>
        <c:axId val="63165568"/>
        <c:scaling>
          <c:orientation val="minMax"/>
        </c:scaling>
        <c:delete val="0"/>
        <c:axPos val="b"/>
        <c:majorTickMark val="none"/>
        <c:minorTickMark val="none"/>
        <c:tickLblPos val="nextTo"/>
        <c:crossAx val="63167104"/>
        <c:crosses val="autoZero"/>
        <c:auto val="1"/>
        <c:lblAlgn val="ctr"/>
        <c:lblOffset val="100"/>
        <c:noMultiLvlLbl val="0"/>
      </c:catAx>
      <c:valAx>
        <c:axId val="63167104"/>
        <c:scaling>
          <c:orientation val="minMax"/>
        </c:scaling>
        <c:delete val="1"/>
        <c:axPos val="l"/>
        <c:numFmt formatCode="General" sourceLinked="1"/>
        <c:majorTickMark val="none"/>
        <c:minorTickMark val="none"/>
        <c:tickLblPos val="nextTo"/>
        <c:crossAx val="63165568"/>
        <c:crosses val="autoZero"/>
        <c:crossBetween val="between"/>
      </c:valAx>
    </c:plotArea>
    <c:legend>
      <c:legendPos val="t"/>
      <c:layout>
        <c:manualLayout>
          <c:xMode val="edge"/>
          <c:yMode val="edge"/>
          <c:x val="0.35178499562554683"/>
          <c:y val="0.90277777777777779"/>
          <c:w val="0.2964297900262467"/>
          <c:h val="8.3717191601049873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48745519713258E-2"/>
          <c:y val="7.7026736111111119E-2"/>
          <c:w val="0.84263440860215055"/>
          <c:h val="0.79315625000000001"/>
        </c:manualLayout>
      </c:layout>
      <c:lineChart>
        <c:grouping val="standard"/>
        <c:varyColors val="0"/>
        <c:ser>
          <c:idx val="0"/>
          <c:order val="0"/>
          <c:tx>
            <c:strRef>
              <c:f>Sheet1!$A$3</c:f>
              <c:strCache>
                <c:ptCount val="1"/>
                <c:pt idx="0">
                  <c:v>Baseline Scenario (No Exploration Transfers) at $US65 </c:v>
                </c:pt>
              </c:strCache>
            </c:strRef>
          </c:tx>
          <c:marker>
            <c:symbol val="none"/>
          </c:marker>
          <c:cat>
            <c:strRef>
              <c:f>Sheet1!$B$2:$AH$2</c:f>
              <c:strCach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strCache>
            </c:strRef>
          </c:cat>
          <c:val>
            <c:numRef>
              <c:f>Sheet1!$B$3:$AH$3</c:f>
              <c:numCache>
                <c:formatCode>#,##0</c:formatCode>
                <c:ptCount val="33"/>
                <c:pt idx="0">
                  <c:v>1000</c:v>
                </c:pt>
                <c:pt idx="1">
                  <c:v>1000</c:v>
                </c:pt>
                <c:pt idx="2">
                  <c:v>1000</c:v>
                </c:pt>
                <c:pt idx="3">
                  <c:v>1200</c:v>
                </c:pt>
                <c:pt idx="4">
                  <c:v>1100</c:v>
                </c:pt>
                <c:pt idx="5">
                  <c:v>1100</c:v>
                </c:pt>
                <c:pt idx="6">
                  <c:v>1050</c:v>
                </c:pt>
                <c:pt idx="7">
                  <c:v>1950</c:v>
                </c:pt>
                <c:pt idx="8">
                  <c:v>2700</c:v>
                </c:pt>
                <c:pt idx="9">
                  <c:v>2800</c:v>
                </c:pt>
                <c:pt idx="10">
                  <c:v>2850</c:v>
                </c:pt>
                <c:pt idx="11">
                  <c:v>4750</c:v>
                </c:pt>
                <c:pt idx="12">
                  <c:v>4800</c:v>
                </c:pt>
                <c:pt idx="13">
                  <c:v>4700</c:v>
                </c:pt>
                <c:pt idx="14">
                  <c:v>4600</c:v>
                </c:pt>
                <c:pt idx="15">
                  <c:v>4700</c:v>
                </c:pt>
                <c:pt idx="16">
                  <c:v>4300</c:v>
                </c:pt>
                <c:pt idx="17">
                  <c:v>3850</c:v>
                </c:pt>
                <c:pt idx="18">
                  <c:v>4000</c:v>
                </c:pt>
                <c:pt idx="19">
                  <c:v>3950</c:v>
                </c:pt>
                <c:pt idx="20">
                  <c:v>3850</c:v>
                </c:pt>
                <c:pt idx="21">
                  <c:v>3500</c:v>
                </c:pt>
                <c:pt idx="22">
                  <c:v>2800</c:v>
                </c:pt>
                <c:pt idx="23">
                  <c:v>2000</c:v>
                </c:pt>
                <c:pt idx="24">
                  <c:v>1300</c:v>
                </c:pt>
                <c:pt idx="25">
                  <c:v>350</c:v>
                </c:pt>
                <c:pt idx="26">
                  <c:v>-1400</c:v>
                </c:pt>
                <c:pt idx="27">
                  <c:v>-1800</c:v>
                </c:pt>
                <c:pt idx="28">
                  <c:v>-1900</c:v>
                </c:pt>
                <c:pt idx="29">
                  <c:v>-1550</c:v>
                </c:pt>
                <c:pt idx="30">
                  <c:v>1000</c:v>
                </c:pt>
                <c:pt idx="31">
                  <c:v>2600</c:v>
                </c:pt>
                <c:pt idx="32">
                  <c:v>3500</c:v>
                </c:pt>
              </c:numCache>
            </c:numRef>
          </c:val>
          <c:smooth val="0"/>
        </c:ser>
        <c:dLbls>
          <c:showLegendKey val="0"/>
          <c:showVal val="0"/>
          <c:showCatName val="0"/>
          <c:showSerName val="0"/>
          <c:showPercent val="0"/>
          <c:showBubbleSize val="0"/>
        </c:dLbls>
        <c:marker val="1"/>
        <c:smooth val="0"/>
        <c:axId val="64538112"/>
        <c:axId val="64539648"/>
      </c:lineChart>
      <c:lineChart>
        <c:grouping val="standard"/>
        <c:varyColors val="0"/>
        <c:ser>
          <c:idx val="1"/>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65317888"/>
        <c:axId val="65315968"/>
      </c:lineChart>
      <c:catAx>
        <c:axId val="64538112"/>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4539648"/>
        <c:crosses val="autoZero"/>
        <c:auto val="1"/>
        <c:lblAlgn val="ctr"/>
        <c:lblOffset val="100"/>
        <c:tickLblSkip val="2"/>
        <c:noMultiLvlLbl val="0"/>
      </c:catAx>
      <c:valAx>
        <c:axId val="64539648"/>
        <c:scaling>
          <c:orientation val="minMax"/>
        </c:scaling>
        <c:delete val="0"/>
        <c:axPos val="l"/>
        <c:title>
          <c:tx>
            <c:rich>
              <a:bodyPr rot="0" vert="horz"/>
              <a:lstStyle/>
              <a:p>
                <a:pPr>
                  <a:defRPr sz="800" b="0" i="0">
                    <a:solidFill>
                      <a:srgbClr val="000000"/>
                    </a:solidFill>
                    <a:latin typeface="Arial"/>
                    <a:ea typeface="Arial"/>
                    <a:cs typeface="Arial"/>
                  </a:defRPr>
                </a:pPr>
                <a:r>
                  <a:rPr lang="en-US"/>
                  <a:t>$million</a:t>
                </a:r>
              </a:p>
            </c:rich>
          </c:tx>
          <c:layout>
            <c:manualLayout>
              <c:xMode val="edge"/>
              <c:yMode val="edge"/>
              <c:x val="8.1935483870967746E-2"/>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4538112"/>
        <c:crosses val="autoZero"/>
        <c:crossBetween val="between"/>
      </c:valAx>
      <c:valAx>
        <c:axId val="65315968"/>
        <c:scaling>
          <c:orientation val="minMax"/>
          <c:max val="6000"/>
          <c:min val="-3000"/>
        </c:scaling>
        <c:delete val="0"/>
        <c:axPos val="r"/>
        <c:title>
          <c:tx>
            <c:rich>
              <a:bodyPr rot="0" vert="horz"/>
              <a:lstStyle/>
              <a:p>
                <a:pPr>
                  <a:defRPr sz="800" b="0" i="0">
                    <a:solidFill>
                      <a:srgbClr val="000000"/>
                    </a:solidFill>
                    <a:latin typeface="Arial"/>
                    <a:ea typeface="Arial"/>
                    <a:cs typeface="Arial"/>
                  </a:defRPr>
                </a:pPr>
                <a:r>
                  <a:rPr lang="en-US"/>
                  <a:t>$million</a:t>
                </a:r>
              </a:p>
            </c:rich>
          </c:tx>
          <c:layout>
            <c:manualLayout>
              <c:xMode val="edge"/>
              <c:yMode val="edge"/>
              <c:x val="0.8500125448028673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5317888"/>
        <c:crosses val="max"/>
        <c:crossBetween val="between"/>
        <c:majorUnit val="1000"/>
        <c:minorUnit val="200"/>
      </c:valAx>
      <c:catAx>
        <c:axId val="65317888"/>
        <c:scaling>
          <c:orientation val="minMax"/>
        </c:scaling>
        <c:delete val="1"/>
        <c:axPos val="b"/>
        <c:majorTickMark val="out"/>
        <c:minorTickMark val="none"/>
        <c:tickLblPos val="nextTo"/>
        <c:crossAx val="6531596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1"/>
        <c:delete val="1"/>
      </c:legendEntry>
      <c:layout>
        <c:manualLayout>
          <c:xMode val="edge"/>
          <c:yMode val="edge"/>
          <c:x val="0.19637293906810036"/>
          <c:y val="0.93012534722222218"/>
          <c:w val="0.60725412186379923"/>
          <c:h val="6.5464930555555551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60573476702505E-2"/>
          <c:y val="5.938784722222222E-2"/>
          <c:w val="0.85048673835125443"/>
          <c:h val="0.70996701388888894"/>
        </c:manualLayout>
      </c:layout>
      <c:lineChart>
        <c:grouping val="standard"/>
        <c:varyColors val="0"/>
        <c:ser>
          <c:idx val="0"/>
          <c:order val="0"/>
          <c:tx>
            <c:strRef>
              <c:f>Sheet2!$A$2</c:f>
              <c:strCache>
                <c:ptCount val="1"/>
                <c:pt idx="0">
                  <c:v>Baseline</c:v>
                </c:pt>
              </c:strCache>
            </c:strRef>
          </c:tx>
          <c:marker>
            <c:symbol val="none"/>
          </c:marker>
          <c:cat>
            <c:strRef>
              <c:f>Sheet2!$B$1:$AH$1</c:f>
              <c:strCach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strCache>
            </c:strRef>
          </c:cat>
          <c:val>
            <c:numRef>
              <c:f>Sheet2!$B$2:$AH$2</c:f>
              <c:numCache>
                <c:formatCode>General</c:formatCode>
                <c:ptCount val="33"/>
                <c:pt idx="0">
                  <c:v>1000</c:v>
                </c:pt>
                <c:pt idx="1">
                  <c:v>1000</c:v>
                </c:pt>
                <c:pt idx="2">
                  <c:v>1000</c:v>
                </c:pt>
                <c:pt idx="3">
                  <c:v>1200</c:v>
                </c:pt>
                <c:pt idx="4">
                  <c:v>1100</c:v>
                </c:pt>
                <c:pt idx="5">
                  <c:v>1100</c:v>
                </c:pt>
                <c:pt idx="6">
                  <c:v>1050</c:v>
                </c:pt>
                <c:pt idx="7">
                  <c:v>1350</c:v>
                </c:pt>
                <c:pt idx="8">
                  <c:v>1800</c:v>
                </c:pt>
                <c:pt idx="9">
                  <c:v>1700</c:v>
                </c:pt>
                <c:pt idx="10">
                  <c:v>2550</c:v>
                </c:pt>
                <c:pt idx="11">
                  <c:v>4950</c:v>
                </c:pt>
                <c:pt idx="12">
                  <c:v>7000</c:v>
                </c:pt>
                <c:pt idx="13">
                  <c:v>6900</c:v>
                </c:pt>
                <c:pt idx="14">
                  <c:v>6900</c:v>
                </c:pt>
                <c:pt idx="15">
                  <c:v>6600</c:v>
                </c:pt>
                <c:pt idx="16">
                  <c:v>6300</c:v>
                </c:pt>
                <c:pt idx="17">
                  <c:v>5850</c:v>
                </c:pt>
                <c:pt idx="18">
                  <c:v>6000</c:v>
                </c:pt>
                <c:pt idx="19">
                  <c:v>6050</c:v>
                </c:pt>
                <c:pt idx="20">
                  <c:v>6050</c:v>
                </c:pt>
                <c:pt idx="21">
                  <c:v>5700</c:v>
                </c:pt>
                <c:pt idx="22">
                  <c:v>5100</c:v>
                </c:pt>
                <c:pt idx="23">
                  <c:v>4400</c:v>
                </c:pt>
                <c:pt idx="24">
                  <c:v>3700</c:v>
                </c:pt>
                <c:pt idx="25">
                  <c:v>2650</c:v>
                </c:pt>
                <c:pt idx="26">
                  <c:v>300</c:v>
                </c:pt>
                <c:pt idx="27">
                  <c:v>-400</c:v>
                </c:pt>
                <c:pt idx="28">
                  <c:v>-400</c:v>
                </c:pt>
                <c:pt idx="29">
                  <c:v>50</c:v>
                </c:pt>
                <c:pt idx="30">
                  <c:v>1900</c:v>
                </c:pt>
                <c:pt idx="31">
                  <c:v>2600</c:v>
                </c:pt>
                <c:pt idx="32">
                  <c:v>3500</c:v>
                </c:pt>
              </c:numCache>
            </c:numRef>
          </c:val>
          <c:smooth val="0"/>
        </c:ser>
        <c:dLbls>
          <c:showLegendKey val="0"/>
          <c:showVal val="0"/>
          <c:showCatName val="0"/>
          <c:showSerName val="0"/>
          <c:showPercent val="0"/>
          <c:showBubbleSize val="0"/>
        </c:dLbls>
        <c:marker val="1"/>
        <c:smooth val="0"/>
        <c:axId val="65491328"/>
        <c:axId val="65492864"/>
      </c:lineChart>
      <c:lineChart>
        <c:grouping val="standard"/>
        <c:varyColors val="0"/>
        <c:ser>
          <c:idx val="1"/>
          <c:order val="1"/>
          <c:tx>
            <c:strRef>
              <c:f>Sheet2!$A$3</c:f>
              <c:strCache>
                <c:ptCount val="1"/>
                <c:pt idx="0">
                  <c:v>Excise (remove 30 million barrel threshold; apply offshore)</c:v>
                </c:pt>
              </c:strCache>
            </c:strRef>
          </c:tx>
          <c:marker>
            <c:symbol val="none"/>
          </c:marker>
          <c:cat>
            <c:strRef>
              <c:f>Sheet2!$B$1:$AH$1</c:f>
              <c:strCach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strCache>
            </c:strRef>
          </c:cat>
          <c:val>
            <c:numRef>
              <c:f>Sheet2!$B$3:$AH$3</c:f>
              <c:numCache>
                <c:formatCode>General</c:formatCode>
                <c:ptCount val="33"/>
                <c:pt idx="0">
                  <c:v>1800</c:v>
                </c:pt>
                <c:pt idx="1">
                  <c:v>2200</c:v>
                </c:pt>
                <c:pt idx="2">
                  <c:v>2600</c:v>
                </c:pt>
                <c:pt idx="3">
                  <c:v>3100</c:v>
                </c:pt>
                <c:pt idx="4">
                  <c:v>2700</c:v>
                </c:pt>
                <c:pt idx="5">
                  <c:v>2500</c:v>
                </c:pt>
                <c:pt idx="6">
                  <c:v>2350</c:v>
                </c:pt>
                <c:pt idx="7">
                  <c:v>2150</c:v>
                </c:pt>
                <c:pt idx="8">
                  <c:v>2300</c:v>
                </c:pt>
                <c:pt idx="9">
                  <c:v>2600</c:v>
                </c:pt>
                <c:pt idx="10">
                  <c:v>2350</c:v>
                </c:pt>
                <c:pt idx="11">
                  <c:v>2550</c:v>
                </c:pt>
                <c:pt idx="12">
                  <c:v>3800</c:v>
                </c:pt>
                <c:pt idx="13">
                  <c:v>4800</c:v>
                </c:pt>
                <c:pt idx="14">
                  <c:v>5200</c:v>
                </c:pt>
                <c:pt idx="15">
                  <c:v>4800</c:v>
                </c:pt>
                <c:pt idx="16">
                  <c:v>4400</c:v>
                </c:pt>
                <c:pt idx="17">
                  <c:v>3950</c:v>
                </c:pt>
                <c:pt idx="18">
                  <c:v>4200</c:v>
                </c:pt>
                <c:pt idx="19">
                  <c:v>4250</c:v>
                </c:pt>
                <c:pt idx="20">
                  <c:v>4250</c:v>
                </c:pt>
                <c:pt idx="21">
                  <c:v>4000</c:v>
                </c:pt>
                <c:pt idx="22">
                  <c:v>3600</c:v>
                </c:pt>
                <c:pt idx="23">
                  <c:v>3000</c:v>
                </c:pt>
                <c:pt idx="24">
                  <c:v>2500</c:v>
                </c:pt>
                <c:pt idx="25">
                  <c:v>1850</c:v>
                </c:pt>
                <c:pt idx="26">
                  <c:v>-100</c:v>
                </c:pt>
                <c:pt idx="27">
                  <c:v>-400</c:v>
                </c:pt>
                <c:pt idx="28">
                  <c:v>1150</c:v>
                </c:pt>
                <c:pt idx="29">
                  <c:v>1600</c:v>
                </c:pt>
                <c:pt idx="30">
                  <c:v>1600</c:v>
                </c:pt>
                <c:pt idx="31">
                  <c:v>1900</c:v>
                </c:pt>
                <c:pt idx="32">
                  <c:v>2600</c:v>
                </c:pt>
              </c:numCache>
            </c:numRef>
          </c:val>
          <c:smooth val="0"/>
        </c:ser>
        <c:ser>
          <c:idx val="2"/>
          <c:order val="2"/>
          <c:tx>
            <c:strRef>
              <c:f>Sheet2!$A$4</c:f>
              <c:strCache>
                <c:ptCount val="1"/>
                <c:pt idx="0">
                  <c:v>Excise (remove 30 million barrel threshold)</c:v>
                </c:pt>
              </c:strCache>
            </c:strRef>
          </c:tx>
          <c:marker>
            <c:symbol val="none"/>
          </c:marker>
          <c:cat>
            <c:strRef>
              <c:f>Sheet2!$B$1:$AH$1</c:f>
              <c:strCach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strCache>
            </c:strRef>
          </c:cat>
          <c:val>
            <c:numRef>
              <c:f>Sheet2!$B$4:$AH$4</c:f>
              <c:numCache>
                <c:formatCode>General</c:formatCode>
                <c:ptCount val="33"/>
                <c:pt idx="0">
                  <c:v>1200</c:v>
                </c:pt>
                <c:pt idx="1">
                  <c:v>1200</c:v>
                </c:pt>
                <c:pt idx="2">
                  <c:v>1200</c:v>
                </c:pt>
                <c:pt idx="3">
                  <c:v>1400</c:v>
                </c:pt>
                <c:pt idx="4">
                  <c:v>1300</c:v>
                </c:pt>
                <c:pt idx="5">
                  <c:v>1200</c:v>
                </c:pt>
                <c:pt idx="6">
                  <c:v>1150</c:v>
                </c:pt>
                <c:pt idx="7">
                  <c:v>1450</c:v>
                </c:pt>
                <c:pt idx="8">
                  <c:v>1900</c:v>
                </c:pt>
                <c:pt idx="9">
                  <c:v>1800</c:v>
                </c:pt>
                <c:pt idx="10">
                  <c:v>2650</c:v>
                </c:pt>
                <c:pt idx="11">
                  <c:v>5050</c:v>
                </c:pt>
                <c:pt idx="12">
                  <c:v>7100</c:v>
                </c:pt>
                <c:pt idx="13">
                  <c:v>6900</c:v>
                </c:pt>
                <c:pt idx="14">
                  <c:v>6900</c:v>
                </c:pt>
                <c:pt idx="15">
                  <c:v>6600</c:v>
                </c:pt>
                <c:pt idx="16">
                  <c:v>6300</c:v>
                </c:pt>
                <c:pt idx="17">
                  <c:v>5850</c:v>
                </c:pt>
                <c:pt idx="18">
                  <c:v>6000</c:v>
                </c:pt>
                <c:pt idx="19">
                  <c:v>6050</c:v>
                </c:pt>
                <c:pt idx="20">
                  <c:v>6050</c:v>
                </c:pt>
                <c:pt idx="21">
                  <c:v>5700</c:v>
                </c:pt>
                <c:pt idx="22">
                  <c:v>5100</c:v>
                </c:pt>
                <c:pt idx="23">
                  <c:v>4400</c:v>
                </c:pt>
                <c:pt idx="24">
                  <c:v>3700</c:v>
                </c:pt>
                <c:pt idx="25">
                  <c:v>2650</c:v>
                </c:pt>
                <c:pt idx="26">
                  <c:v>300</c:v>
                </c:pt>
                <c:pt idx="27">
                  <c:v>-400</c:v>
                </c:pt>
                <c:pt idx="28">
                  <c:v>-400</c:v>
                </c:pt>
                <c:pt idx="29">
                  <c:v>50</c:v>
                </c:pt>
                <c:pt idx="30">
                  <c:v>1900</c:v>
                </c:pt>
                <c:pt idx="31">
                  <c:v>2600</c:v>
                </c:pt>
                <c:pt idx="32">
                  <c:v>3500</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65501056"/>
        <c:axId val="65499136"/>
      </c:lineChart>
      <c:catAx>
        <c:axId val="65491328"/>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492864"/>
        <c:crosses val="autoZero"/>
        <c:auto val="1"/>
        <c:lblAlgn val="ctr"/>
        <c:lblOffset val="200"/>
        <c:tickLblSkip val="2"/>
        <c:noMultiLvlLbl val="0"/>
      </c:catAx>
      <c:valAx>
        <c:axId val="65492864"/>
        <c:scaling>
          <c:orientation val="minMax"/>
        </c:scaling>
        <c:delete val="0"/>
        <c:axPos val="l"/>
        <c:title>
          <c:tx>
            <c:rich>
              <a:bodyPr rot="0" vert="horz"/>
              <a:lstStyle/>
              <a:p>
                <a:pPr>
                  <a:defRPr sz="800" b="0" i="0">
                    <a:solidFill>
                      <a:srgbClr val="000000"/>
                    </a:solidFill>
                    <a:latin typeface="Arial"/>
                    <a:ea typeface="Arial"/>
                    <a:cs typeface="Arial"/>
                  </a:defRPr>
                </a:pPr>
                <a:r>
                  <a:rPr lang="en-AU"/>
                  <a:t>$million</a:t>
                </a:r>
              </a:p>
            </c:rich>
          </c:tx>
          <c:layout>
            <c:manualLayout>
              <c:xMode val="edge"/>
              <c:yMode val="edge"/>
              <c:x val="7.738351254480287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491328"/>
        <c:crosses val="autoZero"/>
        <c:crossBetween val="between"/>
      </c:valAx>
      <c:valAx>
        <c:axId val="65499136"/>
        <c:scaling>
          <c:orientation val="minMax"/>
          <c:max val="8000"/>
          <c:min val="-1000"/>
        </c:scaling>
        <c:delete val="0"/>
        <c:axPos val="r"/>
        <c:title>
          <c:tx>
            <c:rich>
              <a:bodyPr rot="0" vert="horz"/>
              <a:lstStyle/>
              <a:p>
                <a:pPr>
                  <a:defRPr sz="800" b="0" i="0">
                    <a:solidFill>
                      <a:srgbClr val="000000"/>
                    </a:solidFill>
                    <a:latin typeface="Arial"/>
                    <a:ea typeface="Arial"/>
                    <a:cs typeface="Arial"/>
                  </a:defRPr>
                </a:pPr>
                <a:r>
                  <a:rPr lang="en-AU"/>
                  <a:t>$million</a:t>
                </a:r>
              </a:p>
            </c:rich>
          </c:tx>
          <c:layout>
            <c:manualLayout>
              <c:xMode val="edge"/>
              <c:yMode val="edge"/>
              <c:x val="0.86545519713261654"/>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5501056"/>
        <c:crosses val="max"/>
        <c:crossBetween val="between"/>
        <c:majorUnit val="1000"/>
        <c:minorUnit val="200"/>
      </c:valAx>
      <c:catAx>
        <c:axId val="65501056"/>
        <c:scaling>
          <c:orientation val="minMax"/>
        </c:scaling>
        <c:delete val="1"/>
        <c:axPos val="b"/>
        <c:majorTickMark val="out"/>
        <c:minorTickMark val="none"/>
        <c:tickLblPos val="nextTo"/>
        <c:crossAx val="6549913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3"/>
        <c:delete val="1"/>
      </c:legendEntry>
      <c:layout>
        <c:manualLayout>
          <c:xMode val="edge"/>
          <c:yMode val="edge"/>
          <c:x val="3.985698924731184E-2"/>
          <c:y val="0.84990729166666668"/>
          <c:w val="0.90663010752688167"/>
          <c:h val="0.12363437499999998"/>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5931899641577062E-2"/>
          <c:y val="3.9687500000000001E-2"/>
          <c:w val="0.98406810035842296"/>
          <c:h val="0.88015624999999997"/>
        </c:manualLayout>
      </c:layout>
      <c:areaChart>
        <c:grouping val="stacked"/>
        <c:varyColors val="0"/>
        <c:ser>
          <c:idx val="0"/>
          <c:order val="0"/>
          <c:tx>
            <c:strRef>
              <c:f>'Global LNG capacity'!$B$27</c:f>
              <c:strCache>
                <c:ptCount val="1"/>
                <c:pt idx="0">
                  <c:v>Middle East</c:v>
                </c:pt>
              </c:strCache>
            </c:strRef>
          </c:tx>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capacity'!$C$27:$R$27</c:f>
              <c:numCache>
                <c:formatCode>0.0</c:formatCode>
                <c:ptCount val="16"/>
                <c:pt idx="0">
                  <c:v>44.71061538461538</c:v>
                </c:pt>
                <c:pt idx="1">
                  <c:v>50.364461538461541</c:v>
                </c:pt>
                <c:pt idx="2">
                  <c:v>55.330423076923076</c:v>
                </c:pt>
                <c:pt idx="3">
                  <c:v>59.847846153846156</c:v>
                </c:pt>
                <c:pt idx="4">
                  <c:v>65.919134615384621</c:v>
                </c:pt>
                <c:pt idx="5">
                  <c:v>95.202288461538473</c:v>
                </c:pt>
                <c:pt idx="6">
                  <c:v>128.41015384615383</c:v>
                </c:pt>
                <c:pt idx="7">
                  <c:v>126.69289230769228</c:v>
                </c:pt>
                <c:pt idx="8">
                  <c:v>133.94640000000004</c:v>
                </c:pt>
                <c:pt idx="9">
                  <c:v>128.62801538461537</c:v>
                </c:pt>
                <c:pt idx="10">
                  <c:v>121.97042307692307</c:v>
                </c:pt>
                <c:pt idx="11">
                  <c:v>124.11699999999998</c:v>
                </c:pt>
                <c:pt idx="12">
                  <c:v>128.41015384615383</c:v>
                </c:pt>
                <c:pt idx="13">
                  <c:v>128.41015384615383</c:v>
                </c:pt>
                <c:pt idx="14">
                  <c:v>128.41015384615383</c:v>
                </c:pt>
                <c:pt idx="15">
                  <c:v>128.41015384615383</c:v>
                </c:pt>
              </c:numCache>
            </c:numRef>
          </c:val>
        </c:ser>
        <c:ser>
          <c:idx val="1"/>
          <c:order val="1"/>
          <c:tx>
            <c:strRef>
              <c:f>'Global LNG capacity'!$B$28</c:f>
              <c:strCache>
                <c:ptCount val="1"/>
                <c:pt idx="0">
                  <c:v>S.E. Asia</c:v>
                </c:pt>
              </c:strCache>
            </c:strRef>
          </c:tx>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capacity'!$C$28:$R$28</c:f>
              <c:numCache>
                <c:formatCode>0.0</c:formatCode>
                <c:ptCount val="16"/>
                <c:pt idx="0">
                  <c:v>72.150615384615392</c:v>
                </c:pt>
                <c:pt idx="1">
                  <c:v>72.150615384615392</c:v>
                </c:pt>
                <c:pt idx="2">
                  <c:v>72.150615384615392</c:v>
                </c:pt>
                <c:pt idx="3">
                  <c:v>72.150615384615392</c:v>
                </c:pt>
                <c:pt idx="4">
                  <c:v>74.585538461538462</c:v>
                </c:pt>
                <c:pt idx="5">
                  <c:v>81.890307692307687</c:v>
                </c:pt>
                <c:pt idx="6">
                  <c:v>82.370884615384611</c:v>
                </c:pt>
                <c:pt idx="7">
                  <c:v>75.896369230769253</c:v>
                </c:pt>
                <c:pt idx="8">
                  <c:v>73.578249230769245</c:v>
                </c:pt>
                <c:pt idx="9">
                  <c:v>75.669249230769239</c:v>
                </c:pt>
                <c:pt idx="10">
                  <c:v>78.718003076923083</c:v>
                </c:pt>
                <c:pt idx="11">
                  <c:v>83.240630769230776</c:v>
                </c:pt>
                <c:pt idx="12">
                  <c:v>87.651215384615384</c:v>
                </c:pt>
                <c:pt idx="13">
                  <c:v>87.97761538461539</c:v>
                </c:pt>
                <c:pt idx="14">
                  <c:v>88.718815384615397</c:v>
                </c:pt>
                <c:pt idx="15">
                  <c:v>93.80521538461538</c:v>
                </c:pt>
              </c:numCache>
            </c:numRef>
          </c:val>
        </c:ser>
        <c:ser>
          <c:idx val="2"/>
          <c:order val="2"/>
          <c:tx>
            <c:strRef>
              <c:f>'Global LNG capacity'!$B$29</c:f>
              <c:strCache>
                <c:ptCount val="1"/>
                <c:pt idx="0">
                  <c:v>Africa</c:v>
                </c:pt>
              </c:strCache>
            </c:strRef>
          </c:tx>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capacity'!$C$29:$R$29</c:f>
              <c:numCache>
                <c:formatCode>0.0</c:formatCode>
                <c:ptCount val="16"/>
                <c:pt idx="0">
                  <c:v>47.614807692307693</c:v>
                </c:pt>
                <c:pt idx="1">
                  <c:v>57.765346153846167</c:v>
                </c:pt>
                <c:pt idx="2">
                  <c:v>65.550692307692316</c:v>
                </c:pt>
                <c:pt idx="3">
                  <c:v>68.049692307692311</c:v>
                </c:pt>
                <c:pt idx="4">
                  <c:v>75.546692307692325</c:v>
                </c:pt>
                <c:pt idx="5">
                  <c:v>76.315615384615398</c:v>
                </c:pt>
                <c:pt idx="6">
                  <c:v>77.212692307692322</c:v>
                </c:pt>
                <c:pt idx="7">
                  <c:v>58.515046153846164</c:v>
                </c:pt>
                <c:pt idx="8">
                  <c:v>52.150769230769242</c:v>
                </c:pt>
                <c:pt idx="9">
                  <c:v>56.051092307692315</c:v>
                </c:pt>
                <c:pt idx="10">
                  <c:v>64.492246153846153</c:v>
                </c:pt>
                <c:pt idx="11">
                  <c:v>71.279169230769227</c:v>
                </c:pt>
                <c:pt idx="12">
                  <c:v>75.738923076923072</c:v>
                </c:pt>
                <c:pt idx="13">
                  <c:v>75.738923076923072</c:v>
                </c:pt>
                <c:pt idx="14">
                  <c:v>75.820523076923067</c:v>
                </c:pt>
                <c:pt idx="15">
                  <c:v>77.051323076923069</c:v>
                </c:pt>
              </c:numCache>
            </c:numRef>
          </c:val>
        </c:ser>
        <c:ser>
          <c:idx val="3"/>
          <c:order val="3"/>
          <c:tx>
            <c:strRef>
              <c:f>'Global LNG capacity'!$B$30</c:f>
              <c:strCache>
                <c:ptCount val="1"/>
                <c:pt idx="0">
                  <c:v>Other</c:v>
                </c:pt>
              </c:strCache>
            </c:strRef>
          </c:tx>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capacity'!$C$30:$R$30</c:f>
              <c:numCache>
                <c:formatCode>0.0</c:formatCode>
                <c:ptCount val="16"/>
                <c:pt idx="0">
                  <c:v>14.841346153846153</c:v>
                </c:pt>
                <c:pt idx="1">
                  <c:v>19.863846153846158</c:v>
                </c:pt>
                <c:pt idx="2">
                  <c:v>20.965969230769236</c:v>
                </c:pt>
                <c:pt idx="3">
                  <c:v>24.27233846153846</c:v>
                </c:pt>
                <c:pt idx="4">
                  <c:v>27.883073076923075</c:v>
                </c:pt>
                <c:pt idx="5">
                  <c:v>38.487803846153852</c:v>
                </c:pt>
                <c:pt idx="6">
                  <c:v>43.193292692307693</c:v>
                </c:pt>
                <c:pt idx="7">
                  <c:v>44.037762461538463</c:v>
                </c:pt>
                <c:pt idx="8">
                  <c:v>45.455003030769241</c:v>
                </c:pt>
                <c:pt idx="9">
                  <c:v>45.455003030769241</c:v>
                </c:pt>
                <c:pt idx="10">
                  <c:v>44.478355384615384</c:v>
                </c:pt>
                <c:pt idx="11">
                  <c:v>44.51427173106601</c:v>
                </c:pt>
                <c:pt idx="12">
                  <c:v>45.532245773385718</c:v>
                </c:pt>
                <c:pt idx="13">
                  <c:v>46.080301913877229</c:v>
                </c:pt>
                <c:pt idx="14">
                  <c:v>51.690301913877235</c:v>
                </c:pt>
                <c:pt idx="15">
                  <c:v>63.226763452338773</c:v>
                </c:pt>
              </c:numCache>
            </c:numRef>
          </c:val>
        </c:ser>
        <c:ser>
          <c:idx val="4"/>
          <c:order val="4"/>
          <c:tx>
            <c:strRef>
              <c:f>'Global LNG capacity'!$B$31</c:f>
              <c:strCache>
                <c:ptCount val="1"/>
                <c:pt idx="0">
                  <c:v>Australia</c:v>
                </c:pt>
              </c:strCache>
            </c:strRef>
          </c:tx>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capacity'!$C$31:$R$31</c:f>
              <c:numCache>
                <c:formatCode>0.0</c:formatCode>
                <c:ptCount val="16"/>
                <c:pt idx="0">
                  <c:v>15.506615384615383</c:v>
                </c:pt>
                <c:pt idx="1">
                  <c:v>16.563884615384612</c:v>
                </c:pt>
                <c:pt idx="2">
                  <c:v>19.735692307692307</c:v>
                </c:pt>
                <c:pt idx="3">
                  <c:v>21.113346153846155</c:v>
                </c:pt>
                <c:pt idx="4">
                  <c:v>25.246307692307692</c:v>
                </c:pt>
                <c:pt idx="5">
                  <c:v>25.278346153846151</c:v>
                </c:pt>
                <c:pt idx="6">
                  <c:v>25.374461538461539</c:v>
                </c:pt>
                <c:pt idx="7">
                  <c:v>27.641476923076926</c:v>
                </c:pt>
                <c:pt idx="8">
                  <c:v>31.105292307692309</c:v>
                </c:pt>
                <c:pt idx="9">
                  <c:v>31.975692307692309</c:v>
                </c:pt>
                <c:pt idx="10">
                  <c:v>41.509292307692306</c:v>
                </c:pt>
                <c:pt idx="11">
                  <c:v>65.634123076923089</c:v>
                </c:pt>
                <c:pt idx="12">
                  <c:v>94.123246153846139</c:v>
                </c:pt>
                <c:pt idx="13">
                  <c:v>108.31380000000003</c:v>
                </c:pt>
                <c:pt idx="14">
                  <c:v>109.95600000000002</c:v>
                </c:pt>
                <c:pt idx="15">
                  <c:v>109.95600000000002</c:v>
                </c:pt>
              </c:numCache>
            </c:numRef>
          </c:val>
        </c:ser>
        <c:ser>
          <c:idx val="5"/>
          <c:order val="5"/>
          <c:tx>
            <c:strRef>
              <c:f>'Global LNG capacity'!$B$32</c:f>
              <c:strCache>
                <c:ptCount val="1"/>
                <c:pt idx="0">
                  <c:v>North America</c:v>
                </c:pt>
              </c:strCache>
            </c:strRef>
          </c:tx>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capacity'!$C$32:$R$32</c:f>
              <c:numCache>
                <c:formatCode>0.0</c:formatCode>
                <c:ptCount val="16"/>
                <c:pt idx="0">
                  <c:v>1.794153846153846</c:v>
                </c:pt>
                <c:pt idx="1">
                  <c:v>1.794153846153846</c:v>
                </c:pt>
                <c:pt idx="2">
                  <c:v>1.794153846153846</c:v>
                </c:pt>
                <c:pt idx="3">
                  <c:v>1.794153846153846</c:v>
                </c:pt>
                <c:pt idx="4">
                  <c:v>1.794153846153846</c:v>
                </c:pt>
                <c:pt idx="5">
                  <c:v>1.794153846153846</c:v>
                </c:pt>
                <c:pt idx="6">
                  <c:v>1.794153846153846</c:v>
                </c:pt>
                <c:pt idx="7">
                  <c:v>0.47599999999999998</c:v>
                </c:pt>
                <c:pt idx="8">
                  <c:v>0.44853846153846155</c:v>
                </c:pt>
                <c:pt idx="9">
                  <c:v>0.31397692307692304</c:v>
                </c:pt>
                <c:pt idx="10">
                  <c:v>0.31397692307692304</c:v>
                </c:pt>
                <c:pt idx="11">
                  <c:v>3.6720000000000002</c:v>
                </c:pt>
                <c:pt idx="12">
                  <c:v>14.593846153846155</c:v>
                </c:pt>
                <c:pt idx="13">
                  <c:v>27.433292307692309</c:v>
                </c:pt>
                <c:pt idx="14">
                  <c:v>58.299015384615387</c:v>
                </c:pt>
                <c:pt idx="15">
                  <c:v>82.733507692307697</c:v>
                </c:pt>
              </c:numCache>
            </c:numRef>
          </c:val>
        </c:ser>
        <c:dLbls>
          <c:showLegendKey val="0"/>
          <c:showVal val="0"/>
          <c:showCatName val="0"/>
          <c:showSerName val="0"/>
          <c:showPercent val="0"/>
          <c:showBubbleSize val="0"/>
        </c:dLbls>
        <c:axId val="59304192"/>
        <c:axId val="65724416"/>
      </c:areaChart>
      <c:areaChart>
        <c:grouping val="stacked"/>
        <c:varyColors val="0"/>
        <c:ser>
          <c:idx val="7"/>
          <c:order val="7"/>
          <c:tx>
            <c:v>Imports</c:v>
          </c:tx>
          <c:spPr>
            <a:solidFill>
              <a:sysClr val="windowText" lastClr="000000"/>
            </a:solidFill>
            <a:ln w="25400">
              <a:solidFill>
                <a:sysClr val="windowText" lastClr="000000"/>
              </a:solidFill>
            </a:ln>
            <a:effectLst>
              <a:glow>
                <a:srgbClr val="4F81BD">
                  <a:alpha val="40000"/>
                </a:srgbClr>
              </a:glow>
            </a:effectLst>
          </c:spPr>
        </c:ser>
        <c:dLbls>
          <c:showLegendKey val="0"/>
          <c:showVal val="0"/>
          <c:showCatName val="0"/>
          <c:showSerName val="0"/>
          <c:showPercent val="0"/>
          <c:showBubbleSize val="0"/>
        </c:dLbls>
        <c:axId val="65728512"/>
        <c:axId val="65726336"/>
      </c:areaChart>
      <c:lineChart>
        <c:grouping val="standard"/>
        <c:varyColors val="0"/>
        <c:ser>
          <c:idx val="6"/>
          <c:order val="6"/>
          <c:tx>
            <c:strRef>
              <c:f>'Global LNG capacity'!$B$33</c:f>
              <c:strCache>
                <c:ptCount val="1"/>
                <c:pt idx="0">
                  <c:v>Imports</c:v>
                </c:pt>
              </c:strCache>
            </c:strRef>
          </c:tx>
          <c:spPr>
            <a:ln>
              <a:solidFill>
                <a:schemeClr val="tx1"/>
              </a:solidFill>
            </a:ln>
          </c:spPr>
          <c:marker>
            <c:symbol val="none"/>
          </c:marker>
          <c:dPt>
            <c:idx val="0"/>
            <c:bubble3D val="0"/>
          </c:dPt>
          <c:cat>
            <c:numRef>
              <c:f>'Global LNG capacity'!$C$26:$R$26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'Global LNG capacity'!$C$33:$R$33</c:f>
              <c:numCache>
                <c:formatCode>0.0</c:formatCode>
                <c:ptCount val="16"/>
                <c:pt idx="0">
                  <c:v>193.32012120000002</c:v>
                </c:pt>
                <c:pt idx="1">
                  <c:v>217.29566540000002</c:v>
                </c:pt>
                <c:pt idx="2">
                  <c:v>230.78416025999999</c:v>
                </c:pt>
                <c:pt idx="3">
                  <c:v>237.14829895699998</c:v>
                </c:pt>
                <c:pt idx="4">
                  <c:v>253.61311372099999</c:v>
                </c:pt>
                <c:pt idx="5">
                  <c:v>303.95671439734247</c:v>
                </c:pt>
                <c:pt idx="6">
                  <c:v>328.39310295699994</c:v>
                </c:pt>
                <c:pt idx="7">
                  <c:v>325.38298535857996</c:v>
                </c:pt>
                <c:pt idx="8">
                  <c:v>322.0821088764788</c:v>
                </c:pt>
                <c:pt idx="9">
                  <c:v>323.87639315980692</c:v>
                </c:pt>
                <c:pt idx="10">
                  <c:v>326.88435374149662</c:v>
                </c:pt>
                <c:pt idx="11">
                  <c:v>352.43878276658921</c:v>
                </c:pt>
                <c:pt idx="12">
                  <c:v>391.24875453852223</c:v>
                </c:pt>
                <c:pt idx="13">
                  <c:v>412.7664498951072</c:v>
                </c:pt>
                <c:pt idx="14">
                  <c:v>434.41790251888943</c:v>
                </c:pt>
                <c:pt idx="15">
                  <c:v>457.50325545683086</c:v>
                </c:pt>
              </c:numCache>
            </c:numRef>
          </c:val>
          <c:smooth val="0"/>
        </c:ser>
        <c:dLbls>
          <c:showLegendKey val="0"/>
          <c:showVal val="0"/>
          <c:showCatName val="0"/>
          <c:showSerName val="0"/>
          <c:showPercent val="0"/>
          <c:showBubbleSize val="0"/>
        </c:dLbls>
        <c:marker val="1"/>
        <c:smooth val="0"/>
        <c:axId val="65728512"/>
        <c:axId val="65726336"/>
      </c:lineChart>
      <c:catAx>
        <c:axId val="5930419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724416"/>
        <c:crosses val="autoZero"/>
        <c:auto val="1"/>
        <c:lblAlgn val="ctr"/>
        <c:lblOffset val="100"/>
        <c:noMultiLvlLbl val="0"/>
      </c:catAx>
      <c:valAx>
        <c:axId val="65724416"/>
        <c:scaling>
          <c:orientation val="minMax"/>
        </c:scaling>
        <c:delete val="0"/>
        <c:axPos val="l"/>
        <c:title>
          <c:tx>
            <c:rich>
              <a:bodyPr rot="0" vert="horz"/>
              <a:lstStyle/>
              <a:p>
                <a:pPr>
                  <a:defRPr sz="800" b="0" i="0">
                    <a:latin typeface="Arial"/>
                    <a:ea typeface="Arial"/>
                    <a:cs typeface="Arial"/>
                  </a:defRPr>
                </a:pPr>
                <a:r>
                  <a:rPr lang="en-US"/>
                  <a:t>billion cubic metres</a:t>
                </a:r>
              </a:p>
            </c:rich>
          </c:tx>
          <c:layout>
            <c:manualLayout>
              <c:xMode val="edge"/>
              <c:yMode val="edge"/>
              <c:x val="6.145161290322580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9304192"/>
        <c:crosses val="autoZero"/>
        <c:crossBetween val="between"/>
      </c:valAx>
      <c:valAx>
        <c:axId val="65726336"/>
        <c:scaling>
          <c:orientation val="minMax"/>
          <c:max val="600"/>
          <c:min val="0"/>
        </c:scaling>
        <c:delete val="0"/>
        <c:axPos val="r"/>
        <c:title>
          <c:tx>
            <c:rich>
              <a:bodyPr rot="0" vert="horz"/>
              <a:lstStyle/>
              <a:p>
                <a:pPr>
                  <a:defRPr sz="800" b="0" i="0">
                    <a:latin typeface="Arial"/>
                    <a:ea typeface="Arial"/>
                    <a:cs typeface="Arial"/>
                  </a:defRPr>
                </a:pPr>
                <a:r>
                  <a:rPr lang="en-US"/>
                  <a:t>billion cubic metres</a:t>
                </a:r>
              </a:p>
            </c:rich>
          </c:tx>
          <c:layout>
            <c:manualLayout>
              <c:xMode val="edge"/>
              <c:yMode val="edge"/>
              <c:x val="0.78826505376344091"/>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5728512"/>
        <c:crosses val="max"/>
        <c:crossBetween val="between"/>
        <c:majorUnit val="100"/>
        <c:minorUnit val="20"/>
      </c:valAx>
      <c:catAx>
        <c:axId val="65728512"/>
        <c:scaling>
          <c:orientation val="minMax"/>
        </c:scaling>
        <c:delete val="1"/>
        <c:axPos val="b"/>
        <c:numFmt formatCode="General" sourceLinked="1"/>
        <c:majorTickMark val="out"/>
        <c:minorTickMark val="none"/>
        <c:tickLblPos val="nextTo"/>
        <c:crossAx val="6572633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7"/>
        <c:delete val="1"/>
      </c:legendEntry>
      <c:overlay val="0"/>
      <c:spPr>
        <a:noFill/>
        <a:ln w="25400">
          <a:noFill/>
        </a:ln>
      </c:spPr>
      <c:txPr>
        <a:bodyPr/>
        <a:lstStyle/>
        <a:p>
          <a:pPr>
            <a:defRPr sz="800">
              <a:latin typeface="Arial"/>
              <a:ea typeface="Arial"/>
              <a:cs typeface="Arial"/>
            </a:defRPr>
          </a:pPr>
          <a:endParaRPr lang="en-US"/>
        </a:p>
      </c:txPr>
    </c:legend>
    <c:plotVisOnly val="1"/>
    <c:dispBlanksAs val="zero"/>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87810156403359"/>
          <c:y val="4.813137941090697E-2"/>
          <c:w val="0.64118425179980532"/>
          <c:h val="0.82040427238261882"/>
        </c:manualLayout>
      </c:layout>
      <c:pieChart>
        <c:varyColors val="1"/>
        <c:ser>
          <c:idx val="0"/>
          <c:order val="0"/>
          <c:dPt>
            <c:idx val="2"/>
            <c:bubble3D val="0"/>
            <c:spPr>
              <a:solidFill>
                <a:srgbClr val="F79646"/>
              </a:solidFill>
            </c:spPr>
          </c:dPt>
          <c:dLbls>
            <c:showLegendKey val="0"/>
            <c:showVal val="1"/>
            <c:showCatName val="0"/>
            <c:showSerName val="0"/>
            <c:showPercent val="0"/>
            <c:showBubbleSize val="0"/>
            <c:showLeaderLines val="1"/>
          </c:dLbls>
          <c:cat>
            <c:strRef>
              <c:f>'Energy Mix'!$A$2:$A$5</c:f>
              <c:strCache>
                <c:ptCount val="4"/>
                <c:pt idx="0">
                  <c:v>Coal</c:v>
                </c:pt>
                <c:pt idx="1">
                  <c:v>Oil</c:v>
                </c:pt>
                <c:pt idx="2">
                  <c:v>Gas</c:v>
                </c:pt>
                <c:pt idx="3">
                  <c:v>Renewables</c:v>
                </c:pt>
              </c:strCache>
            </c:strRef>
          </c:cat>
          <c:val>
            <c:numRef>
              <c:f>'Energy Mix'!$B$2:$B$5</c:f>
              <c:numCache>
                <c:formatCode>0.0%</c:formatCode>
                <c:ptCount val="4"/>
                <c:pt idx="0">
                  <c:v>0.32200000000000001</c:v>
                </c:pt>
                <c:pt idx="1">
                  <c:v>0.378</c:v>
                </c:pt>
                <c:pt idx="2">
                  <c:v>0.24199999999999999</c:v>
                </c:pt>
                <c:pt idx="3">
                  <c:v>5.8000000000000003E-2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1.9518724271452501E-3"/>
          <c:y val="0.87423228346456694"/>
          <c:w val="0.97599917719930385"/>
          <c:h val="0.11727617381160686"/>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0.701</cdr:x>
      <cdr:y>0.05939</cdr:y>
    </cdr:from>
    <cdr:to>
      <cdr:x>0.701</cdr:x>
      <cdr:y>0.85254</cdr:y>
    </cdr:to>
    <cdr:cxnSp macro="">
      <cdr:nvCxnSpPr>
        <cdr:cNvPr id="2" name="Straight Connector 1"/>
        <cdr:cNvCxnSpPr/>
      </cdr:nvCxnSpPr>
      <cdr:spPr>
        <a:xfrm xmlns:a="http://schemas.openxmlformats.org/drawingml/2006/main">
          <a:off x="3911600" y="171037"/>
          <a:ext cx="0" cy="228429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0.701</cdr:x>
      <cdr:y>0.05939</cdr:y>
    </cdr:from>
    <cdr:to>
      <cdr:x>0.701</cdr:x>
      <cdr:y>0.85254</cdr:y>
    </cdr:to>
    <cdr:cxnSp macro="">
      <cdr:nvCxnSpPr>
        <cdr:cNvPr id="4" name="Straight Connector 1"/>
        <cdr:cNvCxnSpPr/>
      </cdr:nvCxnSpPr>
      <cdr:spPr>
        <a:xfrm xmlns:a="http://schemas.openxmlformats.org/drawingml/2006/main">
          <a:off x="3911600" y="171037"/>
          <a:ext cx="0" cy="228429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0.701</cdr:x>
      <cdr:y>0.05939</cdr:y>
    </cdr:from>
    <cdr:to>
      <cdr:x>0.701</cdr:x>
      <cdr:y>0.85254</cdr:y>
    </cdr:to>
    <cdr:cxnSp macro="">
      <cdr:nvCxnSpPr>
        <cdr:cNvPr id="5" name="Straight Connector 1"/>
        <cdr:cNvCxnSpPr/>
      </cdr:nvCxnSpPr>
      <cdr:spPr>
        <a:xfrm xmlns:a="http://schemas.openxmlformats.org/drawingml/2006/main">
          <a:off x="3911600" y="171037"/>
          <a:ext cx="0" cy="228429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0.701</cdr:x>
      <cdr:y>0.05939</cdr:y>
    </cdr:from>
    <cdr:to>
      <cdr:x>0.701</cdr:x>
      <cdr:y>0.85254</cdr:y>
    </cdr:to>
    <cdr:cxnSp macro="">
      <cdr:nvCxnSpPr>
        <cdr:cNvPr id="6" name="Straight Connector 1"/>
        <cdr:cNvCxnSpPr/>
      </cdr:nvCxnSpPr>
      <cdr:spPr>
        <a:xfrm xmlns:a="http://schemas.openxmlformats.org/drawingml/2006/main">
          <a:off x="3911600" y="171037"/>
          <a:ext cx="0" cy="228429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0.69304</cdr:x>
      <cdr:y>0.12898</cdr:y>
    </cdr:from>
    <cdr:to>
      <cdr:x>0.83642</cdr:x>
      <cdr:y>0.20836</cdr:y>
    </cdr:to>
    <cdr:sp macro="" textlink="">
      <cdr:nvSpPr>
        <cdr:cNvPr id="8" name="TextBox 7"/>
        <cdr:cNvSpPr txBox="1"/>
      </cdr:nvSpPr>
      <cdr:spPr>
        <a:xfrm xmlns:a="http://schemas.openxmlformats.org/drawingml/2006/main">
          <a:off x="3867150" y="371475"/>
          <a:ext cx="8001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forecast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AE-20342-Destroy 7 years after action completed</TermName>
          <TermId xmlns="http://schemas.microsoft.com/office/infopath/2007/PartnerControls">58dc89db-e50e-4eb6-9bc2-a9abbbb699f4</TermId>
        </TermInfo>
      </Terms>
    </lb508a4dc5e84436a0fe496b536466aa>
    <IconOverlay xmlns="http://schemas.microsoft.com/sharepoint/v4" xsi:nil="true"/>
    <TaxCatchAll xmlns="9f7bc583-7cbe-45b9-a2bd-8bbb6543b37e">
      <Value>14</Value>
    </TaxCatchAll>
    <_dlc_DocId xmlns="9f7bc583-7cbe-45b9-a2bd-8bbb6543b37e">2017RG-404-615</_dlc_DocId>
    <_dlc_DocIdUrl xmlns="9f7bc583-7cbe-45b9-a2bd-8bbb6543b37e">
      <Url>http://tweb/sites/rg/_layouts/15/DocIdRedir.aspx?ID=2017RG-404-615</Url>
      <Description>2017RG-404-615</Description>
    </_dlc_DocIdUrl>
  </documentManagement>
</p:properti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069e7114-c113-40ac-b5d9-743a6101772e">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6C5C719F1953874BAB8E629A36CAF34D" ma:contentTypeVersion="2095" ma:contentTypeDescription="" ma:contentTypeScope="" ma:versionID="8de8d01616bb2ad77e5803ac567611f9">
  <xsd:schema xmlns:xsd="http://www.w3.org/2001/XMLSchema" xmlns:xs="http://www.w3.org/2001/XMLSchema" xmlns:p="http://schemas.microsoft.com/office/2006/metadata/properties" xmlns:ns1="http://schemas.microsoft.com/sharepoint/v3" xmlns:ns2="9f7bc583-7cbe-45b9-a2bd-8bbb6543b37e" xmlns:ns4="http://schemas.microsoft.com/sharepoint/v4" targetNamespace="http://schemas.microsoft.com/office/2006/metadata/properties" ma:root="true" ma:fieldsID="a226692a9fb9c7795506be3f95c04e80" ns1:_="" ns2:_="" ns4:_="">
    <xsd:import namespace="http://schemas.microsoft.com/sharepoint/v3"/>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14;#AE-20342-Destroy 7 years after action completed|58dc89db-e50e-4eb6-9bc2-a9abbbb699f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FD700-3427-45E4-9324-9BD858C8F08D}">
  <ds:schemaRefs>
    <ds:schemaRef ds:uri="http://schemas.microsoft.com/sharepoint/v3/contenttype/forms"/>
  </ds:schemaRefs>
</ds:datastoreItem>
</file>

<file path=customXml/itemProps2.xml><?xml version="1.0" encoding="utf-8"?>
<ds:datastoreItem xmlns:ds="http://schemas.openxmlformats.org/officeDocument/2006/customXml" ds:itemID="{9544A412-497D-445D-AE18-286052CAFC64}">
  <ds:schemaRefs>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sharepoint/v4"/>
    <ds:schemaRef ds:uri="9f7bc583-7cbe-45b9-a2bd-8bbb6543b37e"/>
    <ds:schemaRef ds:uri="http://schemas.microsoft.com/sharepoint/v3"/>
    <ds:schemaRef ds:uri="http://purl.org/dc/dcmitype/"/>
  </ds:schemaRefs>
</ds:datastoreItem>
</file>

<file path=customXml/itemProps3.xml><?xml version="1.0" encoding="utf-8"?>
<ds:datastoreItem xmlns:ds="http://schemas.openxmlformats.org/officeDocument/2006/customXml" ds:itemID="{95A3FE4B-D0C2-407C-90AF-47CDF89C72E1}">
  <ds:schemaRefs>
    <ds:schemaRef ds:uri="office.server.policy"/>
  </ds:schemaRefs>
</ds:datastoreItem>
</file>

<file path=customXml/itemProps4.xml><?xml version="1.0" encoding="utf-8"?>
<ds:datastoreItem xmlns:ds="http://schemas.openxmlformats.org/officeDocument/2006/customXml" ds:itemID="{02C8296F-A95B-4C5F-A991-62E8E449FFDB}">
  <ds:schemaRefs>
    <ds:schemaRef ds:uri="http://schemas.microsoft.com/sharepoint/events"/>
  </ds:schemaRefs>
</ds:datastoreItem>
</file>

<file path=customXml/itemProps5.xml><?xml version="1.0" encoding="utf-8"?>
<ds:datastoreItem xmlns:ds="http://schemas.openxmlformats.org/officeDocument/2006/customXml" ds:itemID="{B7294A5E-E9A2-4B8D-8B2C-60B54DEE3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CCAD1BD-065E-43E6-9728-D21B35219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TotalTime>
  <Pages>190</Pages>
  <Words>74377</Words>
  <Characters>423955</Characters>
  <Application>Microsoft Office Word</Application>
  <DocSecurity>0</DocSecurity>
  <Lines>3532</Lines>
  <Paragraphs>994</Paragraphs>
  <ScaleCrop>false</ScaleCrop>
  <HeadingPairs>
    <vt:vector size="2" baseType="variant">
      <vt:variant>
        <vt:lpstr>Title</vt:lpstr>
      </vt:variant>
      <vt:variant>
        <vt:i4>1</vt:i4>
      </vt:variant>
    </vt:vector>
  </HeadingPairs>
  <TitlesOfParts>
    <vt:vector size="1" baseType="lpstr">
      <vt:lpstr>Petroleum Resource Rent Tax Review - Final Report</vt:lpstr>
    </vt:vector>
  </TitlesOfParts>
  <Company>The Treasury</Company>
  <LinksUpToDate>false</LinksUpToDate>
  <CharactersWithSpaces>497338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Petroleum Resource Rent Tax Review - Final Report</dc:title>
  <dc:creator>The Treasury</dc:creator>
  <cp:lastModifiedBy>Hill, Christine</cp:lastModifiedBy>
  <cp:revision>2</cp:revision>
  <cp:lastPrinted>2017-04-12T23:36:00Z</cp:lastPrinted>
  <dcterms:created xsi:type="dcterms:W3CDTF">2017-04-28T06:41:00Z</dcterms:created>
  <dcterms:modified xsi:type="dcterms:W3CDTF">2017-04-28T06:41:00Z</dcterms:modified>
</cp:coreProperties>
</file>