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B04" w:rsidRDefault="00B20074">
      <w:pPr>
        <w:ind w:right="91"/>
        <w:jc w:val="center"/>
      </w:pPr>
      <w:r>
        <w:rPr>
          <w:b/>
          <w:u w:val="single"/>
        </w:rPr>
        <w:t>EXPLANATORY M</w:t>
      </w:r>
      <w:bookmarkStart w:id="0" w:name="_GoBack"/>
      <w:bookmarkEnd w:id="0"/>
      <w:r>
        <w:rPr>
          <w:b/>
          <w:u w:val="single"/>
        </w:rPr>
        <w:t>EMORANDUM</w:t>
      </w:r>
    </w:p>
    <w:p w:rsidR="00362B04" w:rsidRDefault="00362B04">
      <w:pPr>
        <w:ind w:right="91"/>
        <w:jc w:val="center"/>
      </w:pPr>
    </w:p>
    <w:p w:rsidR="005B5CDF" w:rsidRDefault="005B5CDF" w:rsidP="005B5CDF">
      <w:pPr>
        <w:pStyle w:val="Heading6"/>
        <w:spacing w:before="0"/>
      </w:pPr>
      <w:r>
        <w:t xml:space="preserve">Minute No.            </w:t>
      </w:r>
      <w:proofErr w:type="gramStart"/>
      <w:r>
        <w:t>of</w:t>
      </w:r>
      <w:proofErr w:type="gramEnd"/>
      <w:r>
        <w:t xml:space="preserve"> 2012 - Minister for Financial Services and Superannuation</w:t>
      </w:r>
    </w:p>
    <w:p w:rsidR="005B5CDF" w:rsidRDefault="005B5CDF" w:rsidP="005B5CDF">
      <w:pPr>
        <w:ind w:right="91"/>
      </w:pPr>
    </w:p>
    <w:p w:rsidR="005B5CDF" w:rsidRDefault="005B5CDF" w:rsidP="00196FA5">
      <w:pPr>
        <w:ind w:left="1440" w:right="91" w:hanging="1440"/>
      </w:pPr>
      <w:r>
        <w:t>Subject -</w:t>
      </w:r>
      <w:r>
        <w:tab/>
      </w:r>
      <w:r w:rsidR="00196FA5" w:rsidRPr="005C2E8D">
        <w:rPr>
          <w:i/>
          <w:szCs w:val="22"/>
        </w:rPr>
        <w:t xml:space="preserve">Superannuation Industry (Supervision) </w:t>
      </w:r>
      <w:r w:rsidR="00196FA5">
        <w:rPr>
          <w:i/>
          <w:szCs w:val="22"/>
        </w:rPr>
        <w:t xml:space="preserve">Regulations </w:t>
      </w:r>
      <w:r w:rsidR="00196FA5" w:rsidRPr="005C2E8D">
        <w:rPr>
          <w:i/>
          <w:szCs w:val="22"/>
        </w:rPr>
        <w:t>199</w:t>
      </w:r>
      <w:r w:rsidR="00196FA5">
        <w:rPr>
          <w:i/>
          <w:szCs w:val="22"/>
        </w:rPr>
        <w:t>4</w:t>
      </w:r>
      <w:r w:rsidR="00196FA5" w:rsidRPr="00271D9C">
        <w:rPr>
          <w:szCs w:val="22"/>
        </w:rPr>
        <w:t xml:space="preserve"> </w:t>
      </w:r>
    </w:p>
    <w:p w:rsidR="005B5CDF" w:rsidRPr="00547901" w:rsidRDefault="006D677A" w:rsidP="006D677A">
      <w:pPr>
        <w:ind w:left="1440" w:right="91"/>
        <w:rPr>
          <w:i/>
        </w:rPr>
      </w:pPr>
      <w:r w:rsidRPr="005C2E8D">
        <w:rPr>
          <w:i/>
          <w:szCs w:val="22"/>
        </w:rPr>
        <w:t xml:space="preserve">Superannuation Industry (Supervision) </w:t>
      </w:r>
      <w:r>
        <w:rPr>
          <w:i/>
          <w:szCs w:val="22"/>
        </w:rPr>
        <w:t xml:space="preserve">Amendment </w:t>
      </w:r>
      <w:r w:rsidR="005B5CDF">
        <w:rPr>
          <w:i/>
        </w:rPr>
        <w:t>Regulation 2012</w:t>
      </w:r>
      <w:r>
        <w:rPr>
          <w:i/>
        </w:rPr>
        <w:t xml:space="preserve"> </w:t>
      </w:r>
      <w:r w:rsidR="005B5CDF">
        <w:rPr>
          <w:i/>
        </w:rPr>
        <w:t>(No</w:t>
      </w:r>
      <w:proofErr w:type="gramStart"/>
      <w:r>
        <w:rPr>
          <w:i/>
        </w:rPr>
        <w:t xml:space="preserve">. </w:t>
      </w:r>
      <w:r w:rsidR="005B5CDF" w:rsidRPr="00547901">
        <w:rPr>
          <w:i/>
        </w:rPr>
        <w:t>)</w:t>
      </w:r>
      <w:proofErr w:type="gramEnd"/>
    </w:p>
    <w:p w:rsidR="005B5CDF" w:rsidRDefault="005B5CDF"/>
    <w:p w:rsidR="00022D31" w:rsidRDefault="00022D31" w:rsidP="007836A4">
      <w:pPr>
        <w:ind w:right="91"/>
      </w:pPr>
    </w:p>
    <w:p w:rsidR="00DB713E" w:rsidRDefault="0093626D" w:rsidP="007836A4">
      <w:pPr>
        <w:ind w:right="91"/>
      </w:pPr>
      <w:r>
        <w:t>Subsection 292-</w:t>
      </w:r>
      <w:r w:rsidR="00135A4F">
        <w:t>420</w:t>
      </w:r>
      <w:r>
        <w:t>(</w:t>
      </w:r>
      <w:r w:rsidR="008D619B">
        <w:t>1</w:t>
      </w:r>
      <w:r>
        <w:t>)</w:t>
      </w:r>
      <w:r w:rsidR="00135A4F">
        <w:t xml:space="preserve"> </w:t>
      </w:r>
      <w:r>
        <w:t xml:space="preserve">of the </w:t>
      </w:r>
      <w:r w:rsidR="004D16CF">
        <w:rPr>
          <w:i/>
          <w:iCs/>
          <w:szCs w:val="24"/>
        </w:rPr>
        <w:t xml:space="preserve">Income Tax Assessment Act </w:t>
      </w:r>
      <w:r w:rsidR="004D16CF" w:rsidRPr="004D16CF">
        <w:rPr>
          <w:iCs/>
          <w:szCs w:val="24"/>
        </w:rPr>
        <w:t>1997</w:t>
      </w:r>
      <w:r w:rsidR="004D16CF">
        <w:rPr>
          <w:iCs/>
          <w:szCs w:val="24"/>
        </w:rPr>
        <w:t xml:space="preserve"> (ITAA 1997) </w:t>
      </w:r>
      <w:r>
        <w:t>provide</w:t>
      </w:r>
      <w:r w:rsidR="004D16CF">
        <w:t>s</w:t>
      </w:r>
      <w:r>
        <w:t xml:space="preserve"> that the</w:t>
      </w:r>
      <w:r w:rsidR="00022D31">
        <w:t xml:space="preserve"> Commissioner of Taxation (the Commissioner) may issue a release authority to a </w:t>
      </w:r>
      <w:r w:rsidR="008D619B">
        <w:t xml:space="preserve">superannuation provider </w:t>
      </w:r>
      <w:r w:rsidR="001E6C23">
        <w:t>for an amount in relation to the refund of excess concessional contributions</w:t>
      </w:r>
      <w:r w:rsidR="00663D7A">
        <w:t xml:space="preserve"> (the refund)</w:t>
      </w:r>
      <w:r w:rsidR="001E6C23">
        <w:t xml:space="preserve"> determination made in accordance with subsection 292</w:t>
      </w:r>
      <w:r w:rsidR="001E6C23">
        <w:noBreakHyphen/>
        <w:t>467(1) of ITAA 1997</w:t>
      </w:r>
      <w:r>
        <w:t xml:space="preserve">. </w:t>
      </w:r>
    </w:p>
    <w:p w:rsidR="00DB713E" w:rsidRDefault="00DB713E" w:rsidP="007836A4">
      <w:pPr>
        <w:ind w:right="91"/>
      </w:pPr>
    </w:p>
    <w:p w:rsidR="0093626D" w:rsidRDefault="001E6C23" w:rsidP="007836A4">
      <w:pPr>
        <w:ind w:right="91"/>
      </w:pPr>
      <w:r>
        <w:t xml:space="preserve">These amendments </w:t>
      </w:r>
      <w:r w:rsidR="00DD2F3E">
        <w:t xml:space="preserve">will </w:t>
      </w:r>
      <w:r>
        <w:t xml:space="preserve">insert additional provisions into the </w:t>
      </w:r>
      <w:r w:rsidRPr="001024EA">
        <w:rPr>
          <w:i/>
        </w:rPr>
        <w:t>Superannuation Industry (Supervision) Regulations 1994</w:t>
      </w:r>
      <w:r w:rsidRPr="008E11F1">
        <w:t xml:space="preserve"> (SISR 1994)</w:t>
      </w:r>
      <w:r w:rsidR="00FF741F">
        <w:t>.</w:t>
      </w:r>
      <w:r w:rsidR="002151CA">
        <w:t xml:space="preserve"> </w:t>
      </w:r>
      <w:r w:rsidR="00FF741F">
        <w:t>S</w:t>
      </w:r>
      <w:r w:rsidR="002151CA">
        <w:t xml:space="preserve">imilar </w:t>
      </w:r>
      <w:r w:rsidR="00FF741F">
        <w:t xml:space="preserve">amendments will </w:t>
      </w:r>
      <w:r w:rsidR="00FF741F" w:rsidRPr="00942937">
        <w:t xml:space="preserve">insert additional provisions into the </w:t>
      </w:r>
      <w:r w:rsidR="00FF741F" w:rsidRPr="001024EA">
        <w:rPr>
          <w:i/>
        </w:rPr>
        <w:t>Retirement Savings Accounts Regulations 1997</w:t>
      </w:r>
      <w:r w:rsidR="00FF741F" w:rsidRPr="00942937">
        <w:t xml:space="preserve"> (RSAR 1997)</w:t>
      </w:r>
      <w:r w:rsidR="0093626D">
        <w:t>.</w:t>
      </w:r>
      <w:r>
        <w:t xml:space="preserve"> </w:t>
      </w:r>
    </w:p>
    <w:p w:rsidR="002F20AC" w:rsidRDefault="0093626D" w:rsidP="002F20AC">
      <w:r>
        <w:br/>
      </w:r>
      <w:r w:rsidR="00AA378E">
        <w:t xml:space="preserve">The purpose of these </w:t>
      </w:r>
      <w:r w:rsidR="008E11F1">
        <w:t>amendments</w:t>
      </w:r>
      <w:r w:rsidR="00AA378E">
        <w:t xml:space="preserve"> is to </w:t>
      </w:r>
      <w:r w:rsidR="0002369A">
        <w:t xml:space="preserve">enable superannuation providers to comply with the </w:t>
      </w:r>
      <w:r w:rsidR="00377ABE">
        <w:t xml:space="preserve">refund </w:t>
      </w:r>
      <w:r w:rsidR="0002369A">
        <w:t>release authority issued by the Commissioner and removing the effect of some of the cashing restrictions that would</w:t>
      </w:r>
      <w:r w:rsidR="00377ABE">
        <w:t xml:space="preserve"> otherwise apply to the payment</w:t>
      </w:r>
      <w:r w:rsidR="00B679FE">
        <w:t>.</w:t>
      </w:r>
    </w:p>
    <w:p w:rsidR="002F20AC" w:rsidRDefault="002F20AC" w:rsidP="00DB5677"/>
    <w:p w:rsidR="009F55DD" w:rsidRDefault="009F55DD" w:rsidP="009F55DD">
      <w:r>
        <w:t>The Government announced the refund of excess concessional contributions measure</w:t>
      </w:r>
      <w:r w:rsidRPr="001E696A">
        <w:t xml:space="preserve"> </w:t>
      </w:r>
      <w:r>
        <w:t>in the 2011</w:t>
      </w:r>
      <w:r>
        <w:noBreakHyphen/>
        <w:t>12 Budget. This measure is designed to give eligible individuals the option to have excess concessional contributions of $10,000 or less effectively refunded to them. The excess concessional contributions will be assessed as income at their marginal tax rate, rather than incurring excess contributions tax.</w:t>
      </w:r>
    </w:p>
    <w:p w:rsidR="009F55DD" w:rsidRDefault="009F55DD" w:rsidP="009F55DD"/>
    <w:p w:rsidR="009F55DD" w:rsidRDefault="009F55DD" w:rsidP="009F55DD">
      <w:r>
        <w:t>If all of the following conditions are met, the Commissioner may issue an individual with the notice of offer for a refund:</w:t>
      </w:r>
    </w:p>
    <w:p w:rsidR="009F55DD" w:rsidRDefault="009F55DD" w:rsidP="009F55DD"/>
    <w:p w:rsidR="009F55DD" w:rsidRDefault="009F55DD" w:rsidP="009F55DD">
      <w:pPr>
        <w:pStyle w:val="Bullet"/>
        <w:numPr>
          <w:ilvl w:val="0"/>
          <w:numId w:val="4"/>
        </w:numPr>
        <w:spacing w:after="200" w:line="276" w:lineRule="auto"/>
      </w:pPr>
      <w:r>
        <w:t xml:space="preserve">the Commissioner is satisfied that the individual has excess concessional contributions for a financial year commencing on or after 1 July 2011; </w:t>
      </w:r>
    </w:p>
    <w:p w:rsidR="009F55DD" w:rsidRDefault="009F55DD" w:rsidP="009F55DD">
      <w:pPr>
        <w:pStyle w:val="Bullet"/>
        <w:numPr>
          <w:ilvl w:val="0"/>
          <w:numId w:val="4"/>
        </w:numPr>
        <w:spacing w:after="200" w:line="276" w:lineRule="auto"/>
      </w:pPr>
      <w:r>
        <w:t xml:space="preserve">the amount of those excess concessional contributions is $10,000 or less; </w:t>
      </w:r>
    </w:p>
    <w:p w:rsidR="009F55DD" w:rsidRDefault="009F55DD" w:rsidP="009F55DD">
      <w:pPr>
        <w:pStyle w:val="Bullet"/>
        <w:numPr>
          <w:ilvl w:val="0"/>
          <w:numId w:val="4"/>
        </w:numPr>
        <w:spacing w:after="200" w:line="276" w:lineRule="auto"/>
      </w:pPr>
      <w:r>
        <w:t>the individual does not have excess concessional contributions for an earlier financial year starting from 1 July 2011 (disregarding any previous application of this measure); and</w:t>
      </w:r>
    </w:p>
    <w:p w:rsidR="009F55DD" w:rsidRDefault="009F55DD" w:rsidP="009F55DD">
      <w:pPr>
        <w:pStyle w:val="Bullet"/>
        <w:numPr>
          <w:ilvl w:val="0"/>
          <w:numId w:val="4"/>
        </w:numPr>
        <w:spacing w:after="200" w:line="276" w:lineRule="auto"/>
      </w:pPr>
      <w:proofErr w:type="gramStart"/>
      <w:r>
        <w:t>the</w:t>
      </w:r>
      <w:proofErr w:type="gramEnd"/>
      <w:r>
        <w:t xml:space="preserve"> individual has lodged an income tax return for the income year that corresponds to the financial year within 12 months of the end of that year, or within such longer period as the Commissioner allows.  </w:t>
      </w:r>
    </w:p>
    <w:p w:rsidR="009F55DD" w:rsidRDefault="009F55DD" w:rsidP="009F55DD">
      <w:pPr>
        <w:ind w:right="-154"/>
      </w:pPr>
      <w:r>
        <w:t xml:space="preserve">If the individual accepts the refund offer, the Commissioner </w:t>
      </w:r>
      <w:r w:rsidR="00603D2C">
        <w:t>will</w:t>
      </w:r>
      <w:r>
        <w:t xml:space="preserve"> make a written determination that the individual’s excess concessional contributions for the financial year are to be disregarded (for the purposes of the provisions in the income tax law dealing with excess contributions tax). The amount of the excess will be included in the individual’s assessable income for the corresponding income year.</w:t>
      </w:r>
    </w:p>
    <w:p w:rsidR="009F55DD" w:rsidRDefault="009F55DD" w:rsidP="009F55DD"/>
    <w:p w:rsidR="009F55DD" w:rsidRDefault="009F55DD" w:rsidP="009F55DD">
      <w:r>
        <w:t xml:space="preserve">The Commissioner will issue a release authority to a superannuation provider. The release authority will generally state an amount equal to 85% of the amount of the excess concessional contributions (unless an amount has already been released under a previous release authority in relation to excess concessional contributions for the individual for the relevant financial year). </w:t>
      </w:r>
    </w:p>
    <w:p w:rsidR="009F55DD" w:rsidRDefault="009F55DD" w:rsidP="009F55DD"/>
    <w:p w:rsidR="009F55DD" w:rsidRDefault="009F55DD" w:rsidP="009F55DD">
      <w:r>
        <w:t xml:space="preserve">The superannuation provider must comply with the release authority, by paying the amount stated in the release authority to the Commissioner within 30 days of it issuing (and providing a statement in the approved form advising the Commissioner of the payment), unless certain conditions exist as specified in the law that remove their obligation to comply.  </w:t>
      </w:r>
    </w:p>
    <w:p w:rsidR="00EE130A" w:rsidRDefault="00EE130A" w:rsidP="00DB5677"/>
    <w:p w:rsidR="00DD34B3" w:rsidRPr="00DD34B3" w:rsidRDefault="00DD34B3" w:rsidP="00E10840">
      <w:pPr>
        <w:ind w:right="91"/>
      </w:pPr>
      <w:r>
        <w:t xml:space="preserve">The refund measure is given effect by Schedule 4 of the </w:t>
      </w:r>
      <w:r>
        <w:rPr>
          <w:i/>
        </w:rPr>
        <w:t>Tax and Superannuation Laws Amendment (2</w:t>
      </w:r>
      <w:r w:rsidR="002079A3">
        <w:rPr>
          <w:i/>
        </w:rPr>
        <w:t>0</w:t>
      </w:r>
      <w:r>
        <w:rPr>
          <w:i/>
        </w:rPr>
        <w:t>12 Measures No. 1) Act 2012</w:t>
      </w:r>
      <w:r>
        <w:t>.</w:t>
      </w:r>
    </w:p>
    <w:p w:rsidR="00DD34B3" w:rsidRDefault="00DD34B3" w:rsidP="00E10840">
      <w:pPr>
        <w:ind w:right="91"/>
      </w:pPr>
    </w:p>
    <w:p w:rsidR="00E10840" w:rsidRDefault="007F3CF9" w:rsidP="00E10840">
      <w:pPr>
        <w:ind w:right="91"/>
      </w:pPr>
      <w:r>
        <w:t xml:space="preserve">Details of the amendments to the </w:t>
      </w:r>
      <w:r w:rsidR="00E04FCE">
        <w:t xml:space="preserve">SISR 1994 </w:t>
      </w:r>
      <w:r>
        <w:t xml:space="preserve">are set out in </w:t>
      </w:r>
      <w:r>
        <w:rPr>
          <w:u w:val="single"/>
        </w:rPr>
        <w:t>Attachment</w:t>
      </w:r>
      <w:r>
        <w:t>.</w:t>
      </w:r>
    </w:p>
    <w:p w:rsidR="00E10840" w:rsidRDefault="00E10840" w:rsidP="00E10840">
      <w:pPr>
        <w:ind w:right="91"/>
      </w:pPr>
    </w:p>
    <w:p w:rsidR="00E10840" w:rsidRDefault="00E10840" w:rsidP="00E10840">
      <w:pPr>
        <w:ind w:right="91"/>
      </w:pPr>
      <w:r>
        <w:t xml:space="preserve">The </w:t>
      </w:r>
      <w:r w:rsidR="00A86322">
        <w:t>ITAA 1997</w:t>
      </w:r>
      <w:r>
        <w:t xml:space="preserve"> </w:t>
      </w:r>
      <w:r w:rsidR="007F3CF9">
        <w:t>specifies</w:t>
      </w:r>
      <w:r>
        <w:t xml:space="preserve"> no conditions that need to be me</w:t>
      </w:r>
      <w:r w:rsidR="00F011CA">
        <w:t>t before the power to make the R</w:t>
      </w:r>
      <w:r>
        <w:t xml:space="preserve">egulation may be exercised. </w:t>
      </w:r>
    </w:p>
    <w:p w:rsidR="00E10840" w:rsidRDefault="00E10840" w:rsidP="00E10840">
      <w:pPr>
        <w:ind w:right="91"/>
      </w:pPr>
    </w:p>
    <w:p w:rsidR="00E10840" w:rsidRDefault="00E10840" w:rsidP="00E10840">
      <w:pPr>
        <w:ind w:right="91"/>
      </w:pPr>
      <w:r>
        <w:t xml:space="preserve">The proposed Regulation would be a legislative instrument for the purposes of the </w:t>
      </w:r>
      <w:r>
        <w:rPr>
          <w:i/>
        </w:rPr>
        <w:t>Legislative Instruments Act 2003</w:t>
      </w:r>
      <w:r>
        <w:t xml:space="preserve">. </w:t>
      </w:r>
    </w:p>
    <w:p w:rsidR="00E10840" w:rsidRDefault="00E10840" w:rsidP="00E10840">
      <w:pPr>
        <w:ind w:right="91"/>
      </w:pPr>
    </w:p>
    <w:p w:rsidR="00E10840" w:rsidRPr="00133520" w:rsidRDefault="00E10840" w:rsidP="00E10840">
      <w:pPr>
        <w:ind w:right="91"/>
      </w:pPr>
      <w:r>
        <w:t>The proposed Regulation would commence on</w:t>
      </w:r>
      <w:r w:rsidR="0037232D">
        <w:t xml:space="preserve"> the day after they are registered on the Federal Register of Legislative Instruments.</w:t>
      </w:r>
      <w:r>
        <w:t xml:space="preserve">  </w:t>
      </w:r>
    </w:p>
    <w:p w:rsidR="00E10840" w:rsidRDefault="00E10840" w:rsidP="00E10840">
      <w:pPr>
        <w:tabs>
          <w:tab w:val="left" w:pos="6521"/>
        </w:tabs>
        <w:ind w:right="91"/>
      </w:pPr>
    </w:p>
    <w:p w:rsidR="00E10840" w:rsidRDefault="00E10840" w:rsidP="00E10840">
      <w:pPr>
        <w:tabs>
          <w:tab w:val="left" w:pos="6521"/>
        </w:tabs>
        <w:ind w:right="91"/>
      </w:pPr>
      <w:r>
        <w:t>The Minute recommends that Regulation be made in the form proposed.</w:t>
      </w:r>
    </w:p>
    <w:p w:rsidR="00E10840" w:rsidRDefault="00E10840" w:rsidP="00E10840">
      <w:pPr>
        <w:tabs>
          <w:tab w:val="left" w:pos="6521"/>
        </w:tabs>
        <w:ind w:right="91"/>
      </w:pPr>
    </w:p>
    <w:p w:rsidR="00E10840" w:rsidRDefault="00E10840" w:rsidP="00E10840">
      <w:pPr>
        <w:tabs>
          <w:tab w:val="left" w:pos="6521"/>
        </w:tabs>
        <w:ind w:right="91"/>
      </w:pPr>
    </w:p>
    <w:p w:rsidR="00E10840" w:rsidRDefault="00E10840" w:rsidP="00E10840">
      <w:pPr>
        <w:tabs>
          <w:tab w:val="left" w:pos="6521"/>
        </w:tabs>
        <w:ind w:right="91"/>
      </w:pPr>
    </w:p>
    <w:p w:rsidR="00E10840" w:rsidRDefault="00E10840" w:rsidP="00E10840">
      <w:pPr>
        <w:tabs>
          <w:tab w:val="left" w:pos="3969"/>
          <w:tab w:val="left" w:pos="4536"/>
        </w:tabs>
        <w:ind w:left="4536" w:right="91" w:hanging="4536"/>
        <w:jc w:val="right"/>
        <w:rPr>
          <w:i/>
        </w:rPr>
      </w:pPr>
      <w:r>
        <w:tab/>
      </w:r>
      <w:r>
        <w:rPr>
          <w:u w:val="single"/>
        </w:rPr>
        <w:t>Authority:</w:t>
      </w:r>
      <w:r>
        <w:tab/>
      </w:r>
      <w:r w:rsidR="00D86446">
        <w:t>Subsection 292-</w:t>
      </w:r>
      <w:r w:rsidR="00554B31">
        <w:t>42</w:t>
      </w:r>
      <w:r w:rsidR="00D86446">
        <w:t>0(</w:t>
      </w:r>
      <w:r w:rsidR="00554B31">
        <w:t>1</w:t>
      </w:r>
      <w:r w:rsidR="00D86446">
        <w:t xml:space="preserve">) </w:t>
      </w:r>
      <w:r w:rsidR="007C1808">
        <w:t xml:space="preserve">of the </w:t>
      </w:r>
      <w:r w:rsidR="00D86446">
        <w:rPr>
          <w:i/>
          <w:iCs/>
          <w:szCs w:val="24"/>
        </w:rPr>
        <w:t xml:space="preserve">Income Tax Assessment Act </w:t>
      </w:r>
      <w:r w:rsidR="00D86446" w:rsidRPr="00E95AD5">
        <w:rPr>
          <w:i/>
          <w:iCs/>
          <w:szCs w:val="24"/>
        </w:rPr>
        <w:t>1997</w:t>
      </w:r>
      <w:r w:rsidR="00D86446">
        <w:rPr>
          <w:iCs/>
          <w:szCs w:val="24"/>
        </w:rPr>
        <w:t>.</w:t>
      </w:r>
    </w:p>
    <w:p w:rsidR="00473024" w:rsidRDefault="00473024" w:rsidP="00473024">
      <w:pPr>
        <w:ind w:right="91"/>
      </w:pPr>
    </w:p>
    <w:p w:rsidR="00E10840" w:rsidRDefault="00E10840" w:rsidP="00473024">
      <w:pPr>
        <w:ind w:right="91"/>
      </w:pPr>
    </w:p>
    <w:p w:rsidR="00473024" w:rsidRPr="007F3CF9" w:rsidRDefault="00473024" w:rsidP="00473024">
      <w:pPr>
        <w:ind w:right="91"/>
        <w:rPr>
          <w:b/>
        </w:rPr>
      </w:pPr>
    </w:p>
    <w:p w:rsidR="00473024" w:rsidRDefault="00473024" w:rsidP="00473024">
      <w:pPr>
        <w:ind w:right="91"/>
      </w:pPr>
    </w:p>
    <w:p w:rsidR="00362B04" w:rsidRDefault="00362B04">
      <w:pPr>
        <w:ind w:right="91"/>
      </w:pPr>
    </w:p>
    <w:p w:rsidR="00362B04" w:rsidRDefault="00362B04">
      <w:pPr>
        <w:ind w:right="91"/>
      </w:pPr>
    </w:p>
    <w:p w:rsidR="00362B04" w:rsidRDefault="00362B04">
      <w:pPr>
        <w:ind w:right="91"/>
      </w:pPr>
    </w:p>
    <w:p w:rsidR="00362B04" w:rsidRDefault="00362B04">
      <w:pPr>
        <w:ind w:right="91"/>
      </w:pPr>
    </w:p>
    <w:p w:rsidR="00362B04" w:rsidRDefault="00362B04">
      <w:pPr>
        <w:ind w:right="91"/>
      </w:pPr>
    </w:p>
    <w:p w:rsidR="00362B04" w:rsidRDefault="00B20074">
      <w:pPr>
        <w:ind w:right="91"/>
        <w:jc w:val="right"/>
      </w:pPr>
      <w:r>
        <w:t>[Minister’s initials]</w:t>
      </w:r>
    </w:p>
    <w:p w:rsidR="00362B04" w:rsidRDefault="00B20074" w:rsidP="00E20B1B">
      <w:pPr>
        <w:tabs>
          <w:tab w:val="center" w:pos="4111"/>
          <w:tab w:val="left" w:pos="4536"/>
        </w:tabs>
        <w:ind w:right="91"/>
      </w:pPr>
      <w:r>
        <w:rPr>
          <w:b/>
        </w:rPr>
        <w:br w:type="page"/>
      </w:r>
      <w:r>
        <w:lastRenderedPageBreak/>
        <w:tab/>
      </w:r>
    </w:p>
    <w:p w:rsidR="00362B04" w:rsidRPr="009C7A63" w:rsidRDefault="00B20074">
      <w:pPr>
        <w:ind w:right="91"/>
        <w:jc w:val="right"/>
        <w:rPr>
          <w:u w:val="single"/>
        </w:rPr>
      </w:pPr>
      <w:r w:rsidRPr="009C7A63">
        <w:rPr>
          <w:b/>
          <w:u w:val="single"/>
        </w:rPr>
        <w:t>ATTACHMENT</w:t>
      </w:r>
    </w:p>
    <w:p w:rsidR="00362B04" w:rsidRDefault="00362B04">
      <w:pPr>
        <w:ind w:right="91"/>
        <w:jc w:val="right"/>
      </w:pPr>
    </w:p>
    <w:p w:rsidR="00FC5C16" w:rsidRPr="007373CA" w:rsidRDefault="00FC5C16" w:rsidP="00FC5C16">
      <w:pPr>
        <w:ind w:right="91"/>
        <w:rPr>
          <w:u w:val="single"/>
        </w:rPr>
      </w:pPr>
      <w:r w:rsidRPr="007373CA">
        <w:rPr>
          <w:b/>
        </w:rPr>
        <w:t xml:space="preserve">Details of the </w:t>
      </w:r>
      <w:r w:rsidR="00AB51A5" w:rsidRPr="001024EA">
        <w:rPr>
          <w:b/>
          <w:i/>
        </w:rPr>
        <w:t>Superannuation Industry (Supervision) Amendment</w:t>
      </w:r>
      <w:r w:rsidRPr="001024EA">
        <w:rPr>
          <w:b/>
          <w:i/>
        </w:rPr>
        <w:t xml:space="preserve"> Regulation</w:t>
      </w:r>
      <w:r w:rsidR="00AB51A5" w:rsidRPr="001024EA">
        <w:rPr>
          <w:b/>
          <w:i/>
        </w:rPr>
        <w:t xml:space="preserve"> </w:t>
      </w:r>
      <w:r w:rsidR="000B284C" w:rsidRPr="001024EA">
        <w:rPr>
          <w:b/>
          <w:i/>
        </w:rPr>
        <w:t>2012 (No</w:t>
      </w:r>
      <w:proofErr w:type="gramStart"/>
      <w:r w:rsidR="000B284C" w:rsidRPr="001024EA">
        <w:rPr>
          <w:b/>
          <w:i/>
        </w:rPr>
        <w:t>.</w:t>
      </w:r>
      <w:r w:rsidRPr="001024EA">
        <w:rPr>
          <w:b/>
          <w:i/>
        </w:rPr>
        <w:t xml:space="preserve"> )</w:t>
      </w:r>
      <w:proofErr w:type="gramEnd"/>
    </w:p>
    <w:p w:rsidR="00FC5C16" w:rsidRDefault="00FC5C16" w:rsidP="00FC5C16">
      <w:pPr>
        <w:ind w:right="91"/>
      </w:pPr>
    </w:p>
    <w:p w:rsidR="00FC5C16" w:rsidRDefault="00FC5C16" w:rsidP="00FC5C16">
      <w:pPr>
        <w:ind w:right="91"/>
      </w:pPr>
    </w:p>
    <w:p w:rsidR="00FC5C16" w:rsidRPr="008A50A4" w:rsidRDefault="00252D38" w:rsidP="00FC5C16">
      <w:pPr>
        <w:spacing w:after="240"/>
        <w:ind w:right="91"/>
        <w:rPr>
          <w:u w:val="single"/>
        </w:rPr>
      </w:pPr>
      <w:r>
        <w:rPr>
          <w:u w:val="single"/>
        </w:rPr>
        <w:t>Section</w:t>
      </w:r>
      <w:r w:rsidR="00FC5C16" w:rsidRPr="008A50A4">
        <w:rPr>
          <w:u w:val="single"/>
        </w:rPr>
        <w:t xml:space="preserve"> 1 – Name of Regulation</w:t>
      </w:r>
    </w:p>
    <w:p w:rsidR="00FC5C16" w:rsidRPr="007373CA" w:rsidRDefault="00FC5C16" w:rsidP="00FC5C16">
      <w:pPr>
        <w:ind w:right="91"/>
      </w:pPr>
      <w:r w:rsidRPr="007373CA">
        <w:t xml:space="preserve">This </w:t>
      </w:r>
      <w:r w:rsidR="007373CA" w:rsidRPr="007373CA">
        <w:t>section</w:t>
      </w:r>
      <w:r w:rsidRPr="007373CA">
        <w:t xml:space="preserve"> specifies that the title of the Regulation is the </w:t>
      </w:r>
      <w:r w:rsidR="005D0FF2" w:rsidRPr="001024EA">
        <w:rPr>
          <w:i/>
        </w:rPr>
        <w:t>Superannuation Industry (Supervision) Amendment</w:t>
      </w:r>
      <w:r w:rsidR="003B0F24" w:rsidRPr="001024EA">
        <w:rPr>
          <w:i/>
        </w:rPr>
        <w:t xml:space="preserve"> </w:t>
      </w:r>
      <w:r w:rsidRPr="001024EA">
        <w:rPr>
          <w:i/>
        </w:rPr>
        <w:t>Regulation 2012</w:t>
      </w:r>
      <w:r w:rsidR="007E0E79" w:rsidRPr="001024EA">
        <w:rPr>
          <w:i/>
        </w:rPr>
        <w:t xml:space="preserve"> (No</w:t>
      </w:r>
      <w:proofErr w:type="gramStart"/>
      <w:r w:rsidR="007E0E79" w:rsidRPr="001024EA">
        <w:rPr>
          <w:i/>
        </w:rPr>
        <w:t>.</w:t>
      </w:r>
      <w:r w:rsidRPr="001024EA">
        <w:rPr>
          <w:i/>
        </w:rPr>
        <w:t xml:space="preserve"> )</w:t>
      </w:r>
      <w:proofErr w:type="gramEnd"/>
      <w:r w:rsidRPr="007373CA">
        <w:t>.</w:t>
      </w:r>
    </w:p>
    <w:p w:rsidR="00FC5C16" w:rsidRPr="00E27AE8" w:rsidRDefault="00FC5C16" w:rsidP="00FC5C16">
      <w:pPr>
        <w:ind w:right="91"/>
        <w:rPr>
          <w:highlight w:val="yellow"/>
        </w:rPr>
      </w:pPr>
    </w:p>
    <w:p w:rsidR="00FC5C16" w:rsidRPr="008A50A4" w:rsidRDefault="00252D38" w:rsidP="00FC5C16">
      <w:pPr>
        <w:spacing w:after="240"/>
        <w:ind w:right="91"/>
        <w:rPr>
          <w:u w:val="single"/>
        </w:rPr>
      </w:pPr>
      <w:r>
        <w:rPr>
          <w:u w:val="single"/>
        </w:rPr>
        <w:t>Section</w:t>
      </w:r>
      <w:r w:rsidR="00FC5C16" w:rsidRPr="008A50A4">
        <w:rPr>
          <w:u w:val="single"/>
        </w:rPr>
        <w:t xml:space="preserve"> 2 – Commencement</w:t>
      </w:r>
    </w:p>
    <w:p w:rsidR="00FC5C16" w:rsidRPr="00224C83" w:rsidRDefault="00FC5C16" w:rsidP="00FC5C16">
      <w:pPr>
        <w:ind w:right="91"/>
      </w:pPr>
      <w:r>
        <w:t xml:space="preserve">This </w:t>
      </w:r>
      <w:r w:rsidR="007373CA">
        <w:t>section</w:t>
      </w:r>
      <w:r>
        <w:t xml:space="preserve"> </w:t>
      </w:r>
      <w:r w:rsidR="007373CA">
        <w:t>provides for the Regulation</w:t>
      </w:r>
      <w:r w:rsidRPr="00224C83">
        <w:t xml:space="preserve"> </w:t>
      </w:r>
      <w:r w:rsidR="00C9366C">
        <w:t>to commence on the day after it is registered</w:t>
      </w:r>
      <w:r w:rsidRPr="00224C83">
        <w:t xml:space="preserve">. </w:t>
      </w:r>
    </w:p>
    <w:p w:rsidR="00FC5C16" w:rsidRPr="00E27AE8" w:rsidRDefault="00FC5C16" w:rsidP="00FC5C16">
      <w:pPr>
        <w:ind w:right="91"/>
        <w:rPr>
          <w:highlight w:val="yellow"/>
        </w:rPr>
      </w:pPr>
    </w:p>
    <w:p w:rsidR="00FC5C16" w:rsidRPr="00C9366C" w:rsidRDefault="00252D38" w:rsidP="00FC5C16">
      <w:pPr>
        <w:spacing w:after="240"/>
        <w:ind w:right="91"/>
        <w:rPr>
          <w:u w:val="single"/>
        </w:rPr>
      </w:pPr>
      <w:r>
        <w:rPr>
          <w:u w:val="single"/>
        </w:rPr>
        <w:t>Section</w:t>
      </w:r>
      <w:r w:rsidR="00FC5C16" w:rsidRPr="00C9366C">
        <w:rPr>
          <w:u w:val="single"/>
        </w:rPr>
        <w:t xml:space="preserve"> 3 – Amendment of </w:t>
      </w:r>
      <w:r w:rsidR="00C9366C" w:rsidRPr="00C9366C">
        <w:rPr>
          <w:i/>
          <w:u w:val="single"/>
        </w:rPr>
        <w:t xml:space="preserve">Superannuation Industry (Supervision) </w:t>
      </w:r>
      <w:r w:rsidR="00FC5C16" w:rsidRPr="00C9366C">
        <w:rPr>
          <w:i/>
          <w:u w:val="single"/>
        </w:rPr>
        <w:t>Regulation</w:t>
      </w:r>
      <w:r w:rsidR="00C9366C">
        <w:rPr>
          <w:i/>
          <w:u w:val="single"/>
        </w:rPr>
        <w:t>s</w:t>
      </w:r>
      <w:r w:rsidR="00FC5C16" w:rsidRPr="00C9366C">
        <w:rPr>
          <w:i/>
          <w:u w:val="single"/>
        </w:rPr>
        <w:t xml:space="preserve"> </w:t>
      </w:r>
      <w:r w:rsidR="00C9366C">
        <w:rPr>
          <w:i/>
          <w:u w:val="single"/>
        </w:rPr>
        <w:t>1994</w:t>
      </w:r>
    </w:p>
    <w:p w:rsidR="00FC5C16" w:rsidRPr="007373CA" w:rsidRDefault="00FC5C16" w:rsidP="00FC5C16">
      <w:pPr>
        <w:ind w:right="91"/>
      </w:pPr>
      <w:r w:rsidRPr="008A50A4">
        <w:t xml:space="preserve">This </w:t>
      </w:r>
      <w:r w:rsidR="007373CA">
        <w:t>section</w:t>
      </w:r>
      <w:r>
        <w:rPr>
          <w:b/>
        </w:rPr>
        <w:t xml:space="preserve"> </w:t>
      </w:r>
      <w:r w:rsidRPr="00224C83">
        <w:t xml:space="preserve">provides that Schedule 1 </w:t>
      </w:r>
      <w:r>
        <w:t xml:space="preserve">to </w:t>
      </w:r>
      <w:r w:rsidR="007373CA">
        <w:t>the proposed</w:t>
      </w:r>
      <w:r>
        <w:t xml:space="preserve"> Regulation </w:t>
      </w:r>
      <w:r w:rsidRPr="00224C83">
        <w:t xml:space="preserve">amends the </w:t>
      </w:r>
      <w:r w:rsidR="00350A37" w:rsidRPr="001024EA">
        <w:rPr>
          <w:i/>
        </w:rPr>
        <w:t>Superannuation Industry (Supervision) Regulations 1994</w:t>
      </w:r>
      <w:r w:rsidR="00350A37" w:rsidRPr="007373CA">
        <w:t>.</w:t>
      </w:r>
    </w:p>
    <w:p w:rsidR="00FC5C16" w:rsidRPr="00224C83" w:rsidRDefault="00FC5C16" w:rsidP="00FC5C16">
      <w:pPr>
        <w:ind w:right="91"/>
      </w:pPr>
    </w:p>
    <w:p w:rsidR="00FC5C16" w:rsidRPr="008A50A4" w:rsidRDefault="00FC5C16" w:rsidP="00FC5C16">
      <w:pPr>
        <w:spacing w:after="240"/>
        <w:ind w:right="91"/>
        <w:rPr>
          <w:u w:val="single"/>
        </w:rPr>
      </w:pPr>
      <w:r w:rsidRPr="008A50A4">
        <w:rPr>
          <w:u w:val="single"/>
        </w:rPr>
        <w:t>Schedule 1 – Amendments</w:t>
      </w:r>
    </w:p>
    <w:p w:rsidR="00FC5C16" w:rsidRPr="008A50A4" w:rsidRDefault="00FC5C16" w:rsidP="00FC5C16">
      <w:pPr>
        <w:spacing w:after="240"/>
        <w:ind w:right="91"/>
        <w:rPr>
          <w:u w:val="single"/>
        </w:rPr>
      </w:pPr>
      <w:r w:rsidRPr="00224C83">
        <w:rPr>
          <w:b/>
        </w:rPr>
        <w:t>Item</w:t>
      </w:r>
      <w:r w:rsidR="007B2B6D">
        <w:rPr>
          <w:b/>
        </w:rPr>
        <w:t>s</w:t>
      </w:r>
      <w:r w:rsidRPr="00224C83">
        <w:rPr>
          <w:b/>
        </w:rPr>
        <w:t xml:space="preserve"> </w:t>
      </w:r>
      <w:r>
        <w:rPr>
          <w:b/>
        </w:rPr>
        <w:t>[</w:t>
      </w:r>
      <w:r w:rsidRPr="00224C83">
        <w:rPr>
          <w:b/>
        </w:rPr>
        <w:t>1</w:t>
      </w:r>
      <w:r>
        <w:rPr>
          <w:b/>
        </w:rPr>
        <w:t>]</w:t>
      </w:r>
    </w:p>
    <w:p w:rsidR="00FC5C16" w:rsidRDefault="00AE4F21" w:rsidP="00FC5C16">
      <w:pPr>
        <w:spacing w:after="240"/>
        <w:ind w:right="91"/>
      </w:pPr>
      <w:r>
        <w:t>Th</w:t>
      </w:r>
      <w:r w:rsidR="00585DA6">
        <w:t>is</w:t>
      </w:r>
      <w:r w:rsidR="00FC5C16">
        <w:t xml:space="preserve"> item </w:t>
      </w:r>
      <w:r w:rsidR="00D351C9">
        <w:t xml:space="preserve">will </w:t>
      </w:r>
      <w:r>
        <w:t>insert</w:t>
      </w:r>
      <w:r w:rsidR="00FC5C16" w:rsidRPr="00224C83">
        <w:t xml:space="preserve"> </w:t>
      </w:r>
      <w:r w:rsidR="00585DA6">
        <w:t xml:space="preserve">the </w:t>
      </w:r>
      <w:r w:rsidR="00FC5C16" w:rsidRPr="00224C83">
        <w:t>new</w:t>
      </w:r>
      <w:r w:rsidR="00585DA6">
        <w:t xml:space="preserve"> items 112A and 209A</w:t>
      </w:r>
      <w:r w:rsidR="00FC5C16">
        <w:t>.</w:t>
      </w:r>
      <w:r>
        <w:t xml:space="preserve">  </w:t>
      </w:r>
      <w:r w:rsidR="00585DA6">
        <w:t>I</w:t>
      </w:r>
      <w:r>
        <w:t>nserting the</w:t>
      </w:r>
      <w:r w:rsidR="00FC5C16">
        <w:t>s</w:t>
      </w:r>
      <w:r>
        <w:t>e</w:t>
      </w:r>
      <w:r w:rsidR="00585DA6">
        <w:t xml:space="preserve"> items</w:t>
      </w:r>
      <w:r w:rsidR="000B15EA">
        <w:t xml:space="preserve"> will</w:t>
      </w:r>
      <w:r w:rsidR="00585DA6">
        <w:t xml:space="preserve"> enable superannuation providers to pay the amount specified in a release authority </w:t>
      </w:r>
      <w:r w:rsidR="00BF3162">
        <w:t xml:space="preserve">issued under subsection 292-420(1) of the ITAA 1997 </w:t>
      </w:r>
      <w:r w:rsidR="00585DA6">
        <w:t xml:space="preserve">to the Commissioner in </w:t>
      </w:r>
      <w:r w:rsidR="00617609">
        <w:t>respect of a temporary resident</w:t>
      </w:r>
      <w:r w:rsidR="00FC5C16">
        <w:t xml:space="preserve">. </w:t>
      </w:r>
    </w:p>
    <w:p w:rsidR="00F2398A" w:rsidRPr="008A50A4" w:rsidRDefault="00F2398A" w:rsidP="00F2398A">
      <w:pPr>
        <w:spacing w:after="240"/>
        <w:ind w:right="91"/>
        <w:rPr>
          <w:u w:val="single"/>
        </w:rPr>
      </w:pPr>
      <w:r w:rsidRPr="00224C83">
        <w:rPr>
          <w:b/>
        </w:rPr>
        <w:t>Item</w:t>
      </w:r>
      <w:r>
        <w:rPr>
          <w:b/>
        </w:rPr>
        <w:t>s</w:t>
      </w:r>
      <w:r w:rsidRPr="00224C83">
        <w:rPr>
          <w:b/>
        </w:rPr>
        <w:t xml:space="preserve"> </w:t>
      </w:r>
      <w:r>
        <w:rPr>
          <w:b/>
        </w:rPr>
        <w:t>[2]</w:t>
      </w:r>
      <w:r w:rsidR="00DA77B7">
        <w:rPr>
          <w:b/>
        </w:rPr>
        <w:t xml:space="preserve"> and [3]</w:t>
      </w:r>
    </w:p>
    <w:p w:rsidR="00F2398A" w:rsidRDefault="00F2398A" w:rsidP="00F2398A">
      <w:pPr>
        <w:spacing w:after="240"/>
        <w:ind w:right="91"/>
      </w:pPr>
      <w:r>
        <w:t xml:space="preserve">These items </w:t>
      </w:r>
      <w:r w:rsidR="00401AC6">
        <w:t xml:space="preserve">will </w:t>
      </w:r>
      <w:r w:rsidR="003B6DC3">
        <w:t>amend paragraphs 6.22(4</w:t>
      </w:r>
      <w:proofErr w:type="gramStart"/>
      <w:r w:rsidR="003B6DC3">
        <w:t>)(</w:t>
      </w:r>
      <w:proofErr w:type="gramEnd"/>
      <w:r w:rsidR="003B6DC3">
        <w:t xml:space="preserve">a) and 6.26(2)(a) to include </w:t>
      </w:r>
      <w:r w:rsidR="009C210B">
        <w:t xml:space="preserve">reference to </w:t>
      </w:r>
      <w:r w:rsidR="003B6DC3">
        <w:t>section 292-420</w:t>
      </w:r>
      <w:r w:rsidR="00634E6C">
        <w:t xml:space="preserve"> of the ITAA 1997</w:t>
      </w:r>
      <w:r>
        <w:t xml:space="preserve">.  </w:t>
      </w:r>
      <w:r w:rsidR="00B1755A">
        <w:t>These amendments</w:t>
      </w:r>
      <w:r w:rsidR="003B6DC3">
        <w:t xml:space="preserve"> </w:t>
      </w:r>
      <w:r w:rsidR="00401AC6">
        <w:t xml:space="preserve">will </w:t>
      </w:r>
      <w:r w:rsidR="003B6DC3">
        <w:t xml:space="preserve">remove the limitation on superannuation providers </w:t>
      </w:r>
      <w:r w:rsidR="001D413B">
        <w:t>when</w:t>
      </w:r>
      <w:r w:rsidR="00A434BD">
        <w:t xml:space="preserve"> </w:t>
      </w:r>
      <w:r w:rsidR="003B6DC3">
        <w:t xml:space="preserve">cashing benefits in favour of persons other than the member or their legal personal representative. </w:t>
      </w:r>
      <w:r w:rsidR="00B1755A">
        <w:t>These amendments</w:t>
      </w:r>
      <w:r w:rsidR="000B284C">
        <w:t xml:space="preserve"> </w:t>
      </w:r>
      <w:r w:rsidR="00CA6346">
        <w:t xml:space="preserve">will </w:t>
      </w:r>
      <w:r w:rsidR="00B1755A">
        <w:t>enable</w:t>
      </w:r>
      <w:r w:rsidR="00BF3162">
        <w:t>,</w:t>
      </w:r>
      <w:r w:rsidR="00EF1196">
        <w:t xml:space="preserve"> </w:t>
      </w:r>
      <w:r w:rsidR="000B284C">
        <w:t>w</w:t>
      </w:r>
      <w:r w:rsidR="003B6DC3">
        <w:t>here the trustee has received a release authority under subsection 292-420(1) of the ITAA 1997</w:t>
      </w:r>
      <w:r w:rsidR="00BF3162">
        <w:t>,</w:t>
      </w:r>
      <w:r w:rsidR="003B6DC3">
        <w:t xml:space="preserve"> the benefits </w:t>
      </w:r>
      <w:r w:rsidR="00BF3162">
        <w:t xml:space="preserve">to </w:t>
      </w:r>
      <w:r w:rsidR="009749C3">
        <w:t>be</w:t>
      </w:r>
      <w:r w:rsidR="003B6DC3">
        <w:t xml:space="preserve"> cashed in favour of the Commissioner in accordance with the authority.</w:t>
      </w:r>
    </w:p>
    <w:p w:rsidR="00FC5C16" w:rsidRDefault="00BB38CF" w:rsidP="00F2398A">
      <w:pPr>
        <w:spacing w:after="240"/>
        <w:ind w:right="91"/>
        <w:rPr>
          <w:b/>
        </w:rPr>
      </w:pPr>
      <w:r>
        <w:rPr>
          <w:b/>
        </w:rPr>
        <w:t>Item [</w:t>
      </w:r>
      <w:r w:rsidR="00DA77B7">
        <w:rPr>
          <w:b/>
        </w:rPr>
        <w:t>4</w:t>
      </w:r>
      <w:r>
        <w:rPr>
          <w:b/>
        </w:rPr>
        <w:t>]</w:t>
      </w:r>
      <w:r w:rsidR="00FC5C16">
        <w:rPr>
          <w:b/>
        </w:rPr>
        <w:t xml:space="preserve"> </w:t>
      </w:r>
    </w:p>
    <w:p w:rsidR="00DA77B7" w:rsidRDefault="00F46186" w:rsidP="00DA77B7">
      <w:r>
        <w:t xml:space="preserve">This item </w:t>
      </w:r>
      <w:r w:rsidR="002521F6">
        <w:t>will amend</w:t>
      </w:r>
      <w:r>
        <w:t xml:space="preserve"> paragraph 6.27(b) to include</w:t>
      </w:r>
      <w:r w:rsidR="009C210B">
        <w:t xml:space="preserve"> reference to</w:t>
      </w:r>
      <w:r>
        <w:t xml:space="preserve"> section 292-420 of the ITAA 1997. This </w:t>
      </w:r>
      <w:r w:rsidR="001B09F6">
        <w:t xml:space="preserve">will </w:t>
      </w:r>
      <w:r>
        <w:t xml:space="preserve">remove the limitation on approved deposit funds cashing benefits of less than $500, </w:t>
      </w:r>
      <w:r w:rsidR="00497705">
        <w:t>if</w:t>
      </w:r>
      <w:r>
        <w:t xml:space="preserve"> a member’s benefits are cashed to give effect to a release authority given by the Commissioner under subsection 292-420(1) of the ITAA 1997.</w:t>
      </w:r>
    </w:p>
    <w:p w:rsidR="00DA77B7" w:rsidRDefault="00DA77B7" w:rsidP="00DA77B7"/>
    <w:p w:rsidR="00DA77B7" w:rsidRDefault="00DA77B7" w:rsidP="00DA77B7">
      <w:r w:rsidRPr="00224C83">
        <w:rPr>
          <w:b/>
        </w:rPr>
        <w:t>Item</w:t>
      </w:r>
      <w:r>
        <w:rPr>
          <w:b/>
        </w:rPr>
        <w:t>s</w:t>
      </w:r>
      <w:r w:rsidRPr="00224C83">
        <w:rPr>
          <w:b/>
        </w:rPr>
        <w:t xml:space="preserve"> </w:t>
      </w:r>
      <w:r>
        <w:rPr>
          <w:b/>
        </w:rPr>
        <w:t>[5] and [6]</w:t>
      </w:r>
    </w:p>
    <w:p w:rsidR="00DA77B7" w:rsidRDefault="00DA77B7" w:rsidP="00DA77B7"/>
    <w:p w:rsidR="00DA77B7" w:rsidRDefault="00197D7E" w:rsidP="00DA77B7">
      <w:r>
        <w:t xml:space="preserve">These items </w:t>
      </w:r>
      <w:r w:rsidR="00E7642A">
        <w:t xml:space="preserve">will </w:t>
      </w:r>
      <w:r>
        <w:t xml:space="preserve">insert new items 112A and 209A to Schedule 1. </w:t>
      </w:r>
      <w:r w:rsidR="00CA2FD7">
        <w:t xml:space="preserve">Schedule 1 </w:t>
      </w:r>
      <w:r>
        <w:t>set</w:t>
      </w:r>
      <w:r w:rsidR="00CA2FD7">
        <w:t>s</w:t>
      </w:r>
      <w:r>
        <w:t xml:space="preserve"> out the ‘conditions of release’ that must be satisfied for the payment of a member’s benefits in a fund and the ‘cashing restrictions’ that apply to each condition to enable </w:t>
      </w:r>
      <w:r>
        <w:lastRenderedPageBreak/>
        <w:t xml:space="preserve">superannuation providers to pay the amount stated in the release authority to the Commissioner. </w:t>
      </w:r>
      <w:r w:rsidR="00CA2FD7">
        <w:t>The</w:t>
      </w:r>
      <w:r w:rsidR="00D63860">
        <w:t>se</w:t>
      </w:r>
      <w:r w:rsidR="00CA2FD7">
        <w:t xml:space="preserve"> new items </w:t>
      </w:r>
      <w:r w:rsidR="001E3AEF">
        <w:t xml:space="preserve">will </w:t>
      </w:r>
      <w:r w:rsidR="00CA2FD7">
        <w:t xml:space="preserve">allow </w:t>
      </w:r>
      <w:r>
        <w:t>the giving of a release authority to a superannuation provider under subsection 292-420(1) of the ITAA 1997</w:t>
      </w:r>
      <w:r w:rsidRPr="005579A8">
        <w:t xml:space="preserve"> </w:t>
      </w:r>
      <w:r w:rsidR="00CA2FD7">
        <w:t xml:space="preserve">to </w:t>
      </w:r>
      <w:r>
        <w:t>be a prescribed ‘condition of release’</w:t>
      </w:r>
      <w:r w:rsidRPr="0031345B">
        <w:t>, subject to</w:t>
      </w:r>
      <w:r>
        <w:t xml:space="preserve"> the r</w:t>
      </w:r>
      <w:r w:rsidRPr="0031345B">
        <w:t xml:space="preserve">estrictions </w:t>
      </w:r>
      <w:r>
        <w:t>in subsections 292-420(4)</w:t>
      </w:r>
      <w:r w:rsidR="00665E11">
        <w:t>,</w:t>
      </w:r>
      <w:r>
        <w:t xml:space="preserve"> (5)</w:t>
      </w:r>
      <w:r w:rsidR="000C5135">
        <w:t xml:space="preserve"> </w:t>
      </w:r>
      <w:r w:rsidR="00665E11">
        <w:t xml:space="preserve">and (7) </w:t>
      </w:r>
      <w:r w:rsidR="000C5135">
        <w:t>of the ITAA 1997</w:t>
      </w:r>
      <w:r>
        <w:t>.</w:t>
      </w:r>
    </w:p>
    <w:p w:rsidR="00FC5C16" w:rsidRDefault="00FC5C16" w:rsidP="00EC29C5"/>
    <w:sectPr w:rsidR="00FC5C16" w:rsidSect="00DC4AA9">
      <w:headerReference w:type="even" r:id="rId8"/>
      <w:headerReference w:type="default" r:id="rId9"/>
      <w:footerReference w:type="even" r:id="rId10"/>
      <w:footerReference w:type="default" r:id="rId11"/>
      <w:headerReference w:type="first" r:id="rId12"/>
      <w:footerReference w:type="first" r:id="rId13"/>
      <w:pgSz w:w="11906" w:h="16838" w:code="9"/>
      <w:pgMar w:top="1134" w:right="1797" w:bottom="1134" w:left="1797"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AA9" w:rsidRDefault="00DC4AA9" w:rsidP="00DC4AA9">
      <w:r>
        <w:separator/>
      </w:r>
    </w:p>
  </w:endnote>
  <w:endnote w:type="continuationSeparator" w:id="0">
    <w:p w:rsidR="00DC4AA9" w:rsidRDefault="00DC4AA9" w:rsidP="00DC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AA9" w:rsidRDefault="00DC4AA9" w:rsidP="00DC4AA9">
    <w:pPr>
      <w:pStyle w:val="SecurityClassificationFooter"/>
    </w:pPr>
    <w:fldSimple w:instr=" DOCPROPERTY WorkingDocStatus \* MERGEFORMAT ">
      <w:r>
        <w:t>DRAFT WORKING DOCUMENT</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AA9" w:rsidRDefault="00DC4AA9" w:rsidP="00DC4AA9">
    <w:pPr>
      <w:pStyle w:val="SecurityClassificationFooter"/>
    </w:pPr>
    <w:fldSimple w:instr=" DOCPROPERTY WorkingDocStatus \* MERGEFORMAT ">
      <w:r>
        <w:t>DRAFT WORKING DOCUMENT</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AA9" w:rsidRDefault="00DC4AA9" w:rsidP="00DC4AA9">
    <w:pPr>
      <w:pStyle w:val="SecurityClassificationFooter"/>
    </w:pPr>
    <w:fldSimple w:instr=" DOCPROPERTY WorkingDocStatus \* MERGEFORMAT ">
      <w:r>
        <w:t>DRAFT WORKING DOCUMENT</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AA9" w:rsidRDefault="00DC4AA9" w:rsidP="00DC4AA9">
      <w:r>
        <w:separator/>
      </w:r>
    </w:p>
  </w:footnote>
  <w:footnote w:type="continuationSeparator" w:id="0">
    <w:p w:rsidR="00DC4AA9" w:rsidRDefault="00DC4AA9" w:rsidP="00DC4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AA9" w:rsidRDefault="00DC4AA9" w:rsidP="00DC4AA9">
    <w:pPr>
      <w:pStyle w:val="SecurityClassificationHeader"/>
    </w:pPr>
    <w:fldSimple w:instr=" DOCPROPERTY WorkingDocStatus \* MERGEFORMAT ">
      <w:r>
        <w:t>DRAFT WORKING DOCUMENT</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AA9" w:rsidRDefault="00DC4AA9" w:rsidP="00DC4AA9">
    <w:pPr>
      <w:pStyle w:val="SecurityClassificationHeader"/>
    </w:pPr>
    <w:sdt>
      <w:sdtPr>
        <w:id w:val="-2040737215"/>
        <w:docPartObj>
          <w:docPartGallery w:val="Watermarks"/>
          <w:docPartUnique/>
        </w:docPartObj>
      </w:sdt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fldChar w:fldCharType="begin"/>
    </w:r>
    <w:r>
      <w:instrText xml:space="preserve"> DOCPROPERTY WorkingDocStatus \* MERGEFORMAT </w:instrText>
    </w:r>
    <w:r>
      <w:fldChar w:fldCharType="separate"/>
    </w:r>
    <w:r>
      <w:t>DRAFT WORKING DOCUMENT</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AA9" w:rsidRDefault="00DC4AA9" w:rsidP="00DC4AA9">
    <w:pPr>
      <w:pStyle w:val="SecurityClassificationHeader"/>
    </w:pPr>
    <w:fldSimple w:instr=" DOCPROPERTY WorkingDocStatus \* MERGEFORMAT ">
      <w:r>
        <w:t>DRAFT WORKING DOCUMENT</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47980F30"/>
    <w:name w:val="StandardBulletedList"/>
    <w:lvl w:ilvl="0">
      <w:start w:val="1"/>
      <w:numFmt w:val="bullet"/>
      <w:pStyle w:val="Bullet"/>
      <w:lvlText w:val="•"/>
      <w:lvlJc w:val="left"/>
      <w:pPr>
        <w:tabs>
          <w:tab w:val="num" w:pos="1707"/>
        </w:tabs>
        <w:ind w:left="1707" w:hanging="567"/>
      </w:pPr>
      <w:rPr>
        <w:rFonts w:ascii="Times New Roman" w:hAnsi="Times New Roman" w:cs="Times New Roman"/>
      </w:rPr>
    </w:lvl>
    <w:lvl w:ilvl="1">
      <w:start w:val="1"/>
      <w:numFmt w:val="bullet"/>
      <w:pStyle w:val="Dash"/>
      <w:lvlText w:val="–"/>
      <w:lvlJc w:val="left"/>
      <w:pPr>
        <w:tabs>
          <w:tab w:val="num" w:pos="2274"/>
        </w:tabs>
        <w:ind w:left="2274" w:hanging="567"/>
      </w:pPr>
      <w:rPr>
        <w:rFonts w:ascii="Times New Roman" w:hAnsi="Times New Roman" w:cs="Times New Roman"/>
      </w:rPr>
    </w:lvl>
    <w:lvl w:ilvl="2">
      <w:start w:val="1"/>
      <w:numFmt w:val="bullet"/>
      <w:pStyle w:val="DoubleDot"/>
      <w:lvlText w:val=":"/>
      <w:lvlJc w:val="left"/>
      <w:pPr>
        <w:tabs>
          <w:tab w:val="num" w:pos="2841"/>
        </w:tabs>
        <w:ind w:left="2841" w:hanging="567"/>
      </w:pPr>
      <w:rPr>
        <w:rFonts w:ascii="Times New Roman" w:hAnsi="Times New Roman" w:cs="Times New Roman"/>
      </w:rPr>
    </w:lvl>
    <w:lvl w:ilvl="3">
      <w:start w:val="1"/>
      <w:numFmt w:val="decimal"/>
      <w:lvlText w:val="(%4)"/>
      <w:lvlJc w:val="left"/>
      <w:pPr>
        <w:tabs>
          <w:tab w:val="num" w:pos="10860"/>
        </w:tabs>
        <w:ind w:left="10860" w:hanging="360"/>
      </w:pPr>
    </w:lvl>
    <w:lvl w:ilvl="4">
      <w:start w:val="1"/>
      <w:numFmt w:val="lowerLetter"/>
      <w:lvlText w:val="(%5)"/>
      <w:lvlJc w:val="left"/>
      <w:pPr>
        <w:tabs>
          <w:tab w:val="num" w:pos="11220"/>
        </w:tabs>
        <w:ind w:left="11220" w:hanging="360"/>
      </w:pPr>
    </w:lvl>
    <w:lvl w:ilvl="5">
      <w:start w:val="1"/>
      <w:numFmt w:val="lowerRoman"/>
      <w:lvlText w:val="(%6)"/>
      <w:lvlJc w:val="left"/>
      <w:pPr>
        <w:tabs>
          <w:tab w:val="num" w:pos="11580"/>
        </w:tabs>
        <w:ind w:left="11580" w:hanging="360"/>
      </w:pPr>
    </w:lvl>
    <w:lvl w:ilvl="6">
      <w:start w:val="1"/>
      <w:numFmt w:val="decimal"/>
      <w:lvlText w:val="%7."/>
      <w:lvlJc w:val="left"/>
      <w:pPr>
        <w:tabs>
          <w:tab w:val="num" w:pos="11940"/>
        </w:tabs>
        <w:ind w:left="11940" w:hanging="360"/>
      </w:pPr>
    </w:lvl>
    <w:lvl w:ilvl="7">
      <w:start w:val="1"/>
      <w:numFmt w:val="lowerLetter"/>
      <w:lvlText w:val="%8."/>
      <w:lvlJc w:val="left"/>
      <w:pPr>
        <w:tabs>
          <w:tab w:val="num" w:pos="12300"/>
        </w:tabs>
        <w:ind w:left="12300" w:hanging="360"/>
      </w:pPr>
    </w:lvl>
    <w:lvl w:ilvl="8">
      <w:start w:val="1"/>
      <w:numFmt w:val="lowerRoman"/>
      <w:lvlText w:val="%9."/>
      <w:lvlJc w:val="left"/>
      <w:pPr>
        <w:tabs>
          <w:tab w:val="num" w:pos="12660"/>
        </w:tabs>
        <w:ind w:left="12660" w:hanging="360"/>
      </w:pPr>
    </w:lvl>
  </w:abstractNum>
  <w:abstractNum w:abstractNumId="1">
    <w:nsid w:val="23B33750"/>
    <w:multiLevelType w:val="multilevel"/>
    <w:tmpl w:val="D26CFFB6"/>
    <w:lvl w:ilvl="0">
      <w:start w:val="1"/>
      <w:numFmt w:val="bullet"/>
      <w:lvlText w:val="•"/>
      <w:lvlJc w:val="left"/>
      <w:pPr>
        <w:tabs>
          <w:tab w:val="num" w:pos="520"/>
        </w:tabs>
        <w:ind w:left="520" w:hanging="520"/>
      </w:pPr>
      <w:rPr>
        <w:rFonts w:ascii="Times New Roman" w:hAnsi="Times New Roman"/>
      </w:rPr>
    </w:lvl>
    <w:lvl w:ilvl="1">
      <w:start w:val="1"/>
      <w:numFmt w:val="bullet"/>
      <w:lvlText w:val="–"/>
      <w:lvlJc w:val="left"/>
      <w:pPr>
        <w:tabs>
          <w:tab w:val="num" w:pos="1040"/>
        </w:tabs>
        <w:ind w:left="1040" w:hanging="520"/>
      </w:pPr>
      <w:rPr>
        <w:rFonts w:ascii="Times New Roman" w:hAnsi="Times New Roman"/>
      </w:rPr>
    </w:lvl>
    <w:lvl w:ilvl="2">
      <w:start w:val="1"/>
      <w:numFmt w:val="bullet"/>
      <w:lvlText w:val=":"/>
      <w:lvlJc w:val="left"/>
      <w:pPr>
        <w:tabs>
          <w:tab w:val="num" w:pos="1560"/>
        </w:tabs>
        <w:ind w:left="1560" w:hanging="520"/>
      </w:pPr>
      <w:rPr>
        <w:rFonts w:ascii="Times New Roman" w:hAnsi="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3">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True"/>
    <w:docVar w:name="SecurityClassificationInHeader" w:val="False"/>
  </w:docVars>
  <w:rsids>
    <w:rsidRoot w:val="00C559DD"/>
    <w:rsid w:val="00022D31"/>
    <w:rsid w:val="0002369A"/>
    <w:rsid w:val="00092A85"/>
    <w:rsid w:val="000A7236"/>
    <w:rsid w:val="000B15EA"/>
    <w:rsid w:val="000B284C"/>
    <w:rsid w:val="000C5135"/>
    <w:rsid w:val="000D35BA"/>
    <w:rsid w:val="000F3C66"/>
    <w:rsid w:val="001024EA"/>
    <w:rsid w:val="00135A4F"/>
    <w:rsid w:val="00161CA6"/>
    <w:rsid w:val="001875BE"/>
    <w:rsid w:val="00196FA5"/>
    <w:rsid w:val="00197D7E"/>
    <w:rsid w:val="001B09F6"/>
    <w:rsid w:val="001B359B"/>
    <w:rsid w:val="001D413B"/>
    <w:rsid w:val="001D4194"/>
    <w:rsid w:val="001E3AEF"/>
    <w:rsid w:val="001E6C23"/>
    <w:rsid w:val="001E6ECD"/>
    <w:rsid w:val="002079A3"/>
    <w:rsid w:val="002151CA"/>
    <w:rsid w:val="00241C05"/>
    <w:rsid w:val="00251EB4"/>
    <w:rsid w:val="002521F6"/>
    <w:rsid w:val="00252D38"/>
    <w:rsid w:val="0025301D"/>
    <w:rsid w:val="002B124E"/>
    <w:rsid w:val="002C4BD5"/>
    <w:rsid w:val="002D3344"/>
    <w:rsid w:val="002F20AC"/>
    <w:rsid w:val="00350A37"/>
    <w:rsid w:val="00362B04"/>
    <w:rsid w:val="0037232D"/>
    <w:rsid w:val="00377ABE"/>
    <w:rsid w:val="003A18A9"/>
    <w:rsid w:val="003B0F24"/>
    <w:rsid w:val="003B6DC3"/>
    <w:rsid w:val="00401AC6"/>
    <w:rsid w:val="004240A6"/>
    <w:rsid w:val="00434AA1"/>
    <w:rsid w:val="0044693B"/>
    <w:rsid w:val="00473024"/>
    <w:rsid w:val="00476551"/>
    <w:rsid w:val="00490FB2"/>
    <w:rsid w:val="0049175A"/>
    <w:rsid w:val="00497705"/>
    <w:rsid w:val="004D16CF"/>
    <w:rsid w:val="00554B31"/>
    <w:rsid w:val="00570CC9"/>
    <w:rsid w:val="00585DA6"/>
    <w:rsid w:val="005B5CDF"/>
    <w:rsid w:val="005D0FF2"/>
    <w:rsid w:val="005F6539"/>
    <w:rsid w:val="00603D2C"/>
    <w:rsid w:val="00617609"/>
    <w:rsid w:val="00634E6C"/>
    <w:rsid w:val="00640F1A"/>
    <w:rsid w:val="00663D7A"/>
    <w:rsid w:val="00665E11"/>
    <w:rsid w:val="006A6625"/>
    <w:rsid w:val="006D677A"/>
    <w:rsid w:val="006E5D5B"/>
    <w:rsid w:val="006F00DD"/>
    <w:rsid w:val="006F7732"/>
    <w:rsid w:val="0071628A"/>
    <w:rsid w:val="00734C43"/>
    <w:rsid w:val="00734DDB"/>
    <w:rsid w:val="007373CA"/>
    <w:rsid w:val="007836A4"/>
    <w:rsid w:val="00786AB5"/>
    <w:rsid w:val="00786CC8"/>
    <w:rsid w:val="007B2B6D"/>
    <w:rsid w:val="007B56B1"/>
    <w:rsid w:val="007C1808"/>
    <w:rsid w:val="007E0E79"/>
    <w:rsid w:val="007F3CF9"/>
    <w:rsid w:val="00823D11"/>
    <w:rsid w:val="008441E8"/>
    <w:rsid w:val="0085735C"/>
    <w:rsid w:val="0089315F"/>
    <w:rsid w:val="008C7D9A"/>
    <w:rsid w:val="008D619B"/>
    <w:rsid w:val="008D721E"/>
    <w:rsid w:val="008E11F1"/>
    <w:rsid w:val="0091507B"/>
    <w:rsid w:val="00930686"/>
    <w:rsid w:val="0093626D"/>
    <w:rsid w:val="009749C3"/>
    <w:rsid w:val="00976BF6"/>
    <w:rsid w:val="009823B7"/>
    <w:rsid w:val="009852BA"/>
    <w:rsid w:val="009A4C45"/>
    <w:rsid w:val="009C210B"/>
    <w:rsid w:val="009D611B"/>
    <w:rsid w:val="009F55DD"/>
    <w:rsid w:val="00A434BD"/>
    <w:rsid w:val="00A64A8A"/>
    <w:rsid w:val="00A86322"/>
    <w:rsid w:val="00AA378E"/>
    <w:rsid w:val="00AB51A5"/>
    <w:rsid w:val="00AD73AB"/>
    <w:rsid w:val="00AE4F21"/>
    <w:rsid w:val="00AE7ECD"/>
    <w:rsid w:val="00B05542"/>
    <w:rsid w:val="00B1755A"/>
    <w:rsid w:val="00B20074"/>
    <w:rsid w:val="00B46949"/>
    <w:rsid w:val="00B5598F"/>
    <w:rsid w:val="00B5650E"/>
    <w:rsid w:val="00B65261"/>
    <w:rsid w:val="00B679FE"/>
    <w:rsid w:val="00BA5921"/>
    <w:rsid w:val="00BB2EAC"/>
    <w:rsid w:val="00BB38CF"/>
    <w:rsid w:val="00BF3162"/>
    <w:rsid w:val="00C559DD"/>
    <w:rsid w:val="00C566E6"/>
    <w:rsid w:val="00C861E4"/>
    <w:rsid w:val="00C9366C"/>
    <w:rsid w:val="00C97C9F"/>
    <w:rsid w:val="00CA2FD7"/>
    <w:rsid w:val="00CA6346"/>
    <w:rsid w:val="00CD2B18"/>
    <w:rsid w:val="00D05C6F"/>
    <w:rsid w:val="00D136AB"/>
    <w:rsid w:val="00D351C9"/>
    <w:rsid w:val="00D512BE"/>
    <w:rsid w:val="00D63860"/>
    <w:rsid w:val="00D86446"/>
    <w:rsid w:val="00DA213A"/>
    <w:rsid w:val="00DA5F5B"/>
    <w:rsid w:val="00DA77B7"/>
    <w:rsid w:val="00DB4B98"/>
    <w:rsid w:val="00DB5677"/>
    <w:rsid w:val="00DB713E"/>
    <w:rsid w:val="00DB7B5A"/>
    <w:rsid w:val="00DC4AA9"/>
    <w:rsid w:val="00DD2F3E"/>
    <w:rsid w:val="00DD34B3"/>
    <w:rsid w:val="00E04FCE"/>
    <w:rsid w:val="00E10840"/>
    <w:rsid w:val="00E20B1B"/>
    <w:rsid w:val="00E50A4E"/>
    <w:rsid w:val="00E54198"/>
    <w:rsid w:val="00E7642A"/>
    <w:rsid w:val="00E842C3"/>
    <w:rsid w:val="00E9228A"/>
    <w:rsid w:val="00E95AD5"/>
    <w:rsid w:val="00EB4619"/>
    <w:rsid w:val="00EC29C5"/>
    <w:rsid w:val="00EE130A"/>
    <w:rsid w:val="00EE3F55"/>
    <w:rsid w:val="00EE4CAF"/>
    <w:rsid w:val="00EF1196"/>
    <w:rsid w:val="00F011CA"/>
    <w:rsid w:val="00F2398A"/>
    <w:rsid w:val="00F24814"/>
    <w:rsid w:val="00F46186"/>
    <w:rsid w:val="00F540C8"/>
    <w:rsid w:val="00F548D0"/>
    <w:rsid w:val="00F56C4D"/>
    <w:rsid w:val="00F7752F"/>
    <w:rsid w:val="00FB3667"/>
    <w:rsid w:val="00FC5C16"/>
    <w:rsid w:val="00FF74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360"/>
      <w:outlineLvl w:val="0"/>
    </w:pPr>
    <w:rPr>
      <w:b/>
      <w:caps/>
      <w:sz w:val="28"/>
    </w:rPr>
  </w:style>
  <w:style w:type="paragraph" w:styleId="Heading2">
    <w:name w:val="heading 2"/>
    <w:basedOn w:val="Normal"/>
    <w:next w:val="Normal"/>
    <w:qFormat/>
    <w:pPr>
      <w:keepNext/>
      <w:spacing w:before="120"/>
      <w:outlineLvl w:val="1"/>
    </w:pPr>
    <w:rPr>
      <w:b/>
      <w:caps/>
    </w:rPr>
  </w:style>
  <w:style w:type="paragraph" w:styleId="Heading3">
    <w:name w:val="heading 3"/>
    <w:basedOn w:val="Normal"/>
    <w:next w:val="Normal"/>
    <w:qFormat/>
    <w:pPr>
      <w:keepNext/>
      <w:spacing w:before="60"/>
      <w:outlineLvl w:val="2"/>
    </w:pPr>
    <w:rPr>
      <w:b/>
    </w:rPr>
  </w:style>
  <w:style w:type="paragraph" w:styleId="Heading4">
    <w:name w:val="heading 4"/>
    <w:basedOn w:val="Normal"/>
    <w:next w:val="Normal"/>
    <w:qFormat/>
    <w:pPr>
      <w:keepNext/>
      <w:outlineLvl w:val="3"/>
    </w:pPr>
    <w:rPr>
      <w:i/>
      <w:sz w:val="20"/>
    </w:rPr>
  </w:style>
  <w:style w:type="paragraph" w:styleId="Heading6">
    <w:name w:val="heading 6"/>
    <w:basedOn w:val="Normal"/>
    <w:next w:val="Normal"/>
    <w:qFormat/>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style>
  <w:style w:type="paragraph" w:customStyle="1" w:styleId="ChartMainHeading">
    <w:name w:val="Chart Main Heading"/>
    <w:basedOn w:val="SingleParagraph"/>
    <w:next w:val="Normal"/>
    <w:pPr>
      <w:jc w:val="center"/>
    </w:pPr>
    <w:rPr>
      <w:b/>
      <w:caps/>
    </w:rPr>
  </w:style>
  <w:style w:type="paragraph" w:customStyle="1" w:styleId="ChartSecondHeading">
    <w:name w:val="Chart Second Heading"/>
    <w:basedOn w:val="SingleParagraph"/>
    <w:next w:val="Normal"/>
    <w:pPr>
      <w:jc w:val="center"/>
    </w:pPr>
    <w:rPr>
      <w:b/>
    </w:rPr>
  </w:style>
  <w:style w:type="paragraph" w:customStyle="1" w:styleId="TableMainHeading">
    <w:name w:val="Table Main Heading"/>
    <w:basedOn w:val="Heading2"/>
    <w:next w:val="Normal"/>
    <w:pPr>
      <w:spacing w:before="240"/>
      <w:outlineLvl w:val="9"/>
    </w:pPr>
    <w:rPr>
      <w:rFonts w:ascii="Helvetica" w:hAnsi="Helvetica"/>
      <w:b w:val="0"/>
      <w:caps w:val="0"/>
      <w:spacing w:val="30"/>
      <w:sz w:val="22"/>
    </w:rPr>
  </w:style>
  <w:style w:type="paragraph" w:customStyle="1" w:styleId="Appendix">
    <w:name w:val="Appendix"/>
    <w:basedOn w:val="Normal"/>
    <w:link w:val="AppendixCharChar"/>
    <w:pPr>
      <w:jc w:val="right"/>
    </w:pPr>
    <w:rPr>
      <w:b/>
    </w:rPr>
  </w:style>
  <w:style w:type="character" w:customStyle="1" w:styleId="AppendixCharChar">
    <w:name w:val="Appendix Char Char"/>
    <w:basedOn w:val="DefaultParagraphFont"/>
    <w:link w:val="Appendix"/>
    <w:rPr>
      <w:b/>
      <w:sz w:val="24"/>
      <w:lang w:val="en-AU" w:eastAsia="en-AU" w:bidi="ar-SA"/>
    </w:rPr>
  </w:style>
  <w:style w:type="paragraph" w:customStyle="1" w:styleId="HB-dotpoint">
    <w:name w:val="HB - dotpoint"/>
    <w:basedOn w:val="Normal"/>
    <w:pPr>
      <w:numPr>
        <w:numId w:val="1"/>
      </w:numPr>
      <w:spacing w:before="180"/>
    </w:pPr>
  </w:style>
  <w:style w:type="paragraph" w:customStyle="1" w:styleId="CharCharCharCharCharChar">
    <w:name w:val="Char Char Char Char Char Char"/>
    <w:basedOn w:val="Normal"/>
    <w:rsid w:val="00734C43"/>
    <w:pPr>
      <w:spacing w:after="160" w:line="240" w:lineRule="exact"/>
    </w:pPr>
    <w:rPr>
      <w:rFonts w:ascii="Verdana" w:hAnsi="Verdana"/>
      <w:sz w:val="20"/>
      <w:szCs w:val="24"/>
      <w:lang w:val="en-US" w:eastAsia="en-US"/>
    </w:rPr>
  </w:style>
  <w:style w:type="paragraph" w:customStyle="1" w:styleId="Bullet">
    <w:name w:val="Bullet"/>
    <w:aliases w:val="b"/>
    <w:basedOn w:val="Normal"/>
    <w:link w:val="BulletChar"/>
    <w:uiPriority w:val="99"/>
    <w:qFormat/>
    <w:rsid w:val="009F55DD"/>
    <w:pPr>
      <w:numPr>
        <w:numId w:val="3"/>
      </w:numPr>
      <w:spacing w:after="240"/>
    </w:pPr>
  </w:style>
  <w:style w:type="paragraph" w:customStyle="1" w:styleId="Dash">
    <w:name w:val="Dash"/>
    <w:basedOn w:val="Normal"/>
    <w:uiPriority w:val="99"/>
    <w:rsid w:val="009F55DD"/>
    <w:pPr>
      <w:numPr>
        <w:ilvl w:val="1"/>
        <w:numId w:val="3"/>
      </w:numPr>
      <w:spacing w:after="240"/>
    </w:pPr>
  </w:style>
  <w:style w:type="paragraph" w:customStyle="1" w:styleId="DoubleDot">
    <w:name w:val="Double Dot"/>
    <w:basedOn w:val="Normal"/>
    <w:uiPriority w:val="99"/>
    <w:rsid w:val="009F55DD"/>
    <w:pPr>
      <w:numPr>
        <w:ilvl w:val="2"/>
        <w:numId w:val="3"/>
      </w:numPr>
      <w:spacing w:after="240"/>
    </w:pPr>
  </w:style>
  <w:style w:type="character" w:customStyle="1" w:styleId="BulletChar">
    <w:name w:val="Bullet Char"/>
    <w:aliases w:val="b Char"/>
    <w:basedOn w:val="DefaultParagraphFont"/>
    <w:link w:val="Bullet"/>
    <w:uiPriority w:val="99"/>
    <w:rsid w:val="009F55DD"/>
    <w:rPr>
      <w:sz w:val="24"/>
    </w:rPr>
  </w:style>
  <w:style w:type="paragraph" w:styleId="Header">
    <w:name w:val="header"/>
    <w:basedOn w:val="Normal"/>
    <w:link w:val="HeaderChar"/>
    <w:uiPriority w:val="99"/>
    <w:unhideWhenUsed/>
    <w:rsid w:val="00DC4AA9"/>
    <w:pPr>
      <w:tabs>
        <w:tab w:val="center" w:pos="4513"/>
        <w:tab w:val="right" w:pos="9026"/>
      </w:tabs>
    </w:pPr>
  </w:style>
  <w:style w:type="character" w:customStyle="1" w:styleId="HeaderChar">
    <w:name w:val="Header Char"/>
    <w:basedOn w:val="DefaultParagraphFont"/>
    <w:link w:val="Header"/>
    <w:uiPriority w:val="99"/>
    <w:rsid w:val="00DC4AA9"/>
    <w:rPr>
      <w:sz w:val="24"/>
    </w:rPr>
  </w:style>
  <w:style w:type="paragraph" w:styleId="Footer">
    <w:name w:val="footer"/>
    <w:basedOn w:val="Normal"/>
    <w:link w:val="FooterChar"/>
    <w:uiPriority w:val="99"/>
    <w:unhideWhenUsed/>
    <w:rsid w:val="00DC4AA9"/>
    <w:pPr>
      <w:tabs>
        <w:tab w:val="center" w:pos="4513"/>
        <w:tab w:val="right" w:pos="9026"/>
      </w:tabs>
    </w:pPr>
  </w:style>
  <w:style w:type="character" w:customStyle="1" w:styleId="FooterChar">
    <w:name w:val="Footer Char"/>
    <w:basedOn w:val="DefaultParagraphFont"/>
    <w:link w:val="Footer"/>
    <w:uiPriority w:val="99"/>
    <w:rsid w:val="00DC4AA9"/>
    <w:rPr>
      <w:sz w:val="24"/>
    </w:rPr>
  </w:style>
  <w:style w:type="paragraph" w:customStyle="1" w:styleId="SecurityClassificationHeader">
    <w:name w:val="Security Classification Header"/>
    <w:link w:val="SecurityClassificationHeaderChar"/>
    <w:rsid w:val="00DC4AA9"/>
    <w:pPr>
      <w:spacing w:after="240"/>
      <w:jc w:val="center"/>
    </w:pPr>
    <w:rPr>
      <w:b/>
      <w:caps/>
      <w:sz w:val="24"/>
    </w:rPr>
  </w:style>
  <w:style w:type="character" w:customStyle="1" w:styleId="SecurityClassificationHeaderChar">
    <w:name w:val="Security Classification Header Char"/>
    <w:basedOn w:val="HeaderChar"/>
    <w:link w:val="SecurityClassificationHeader"/>
    <w:rsid w:val="00DC4AA9"/>
    <w:rPr>
      <w:b/>
      <w:caps/>
      <w:sz w:val="24"/>
    </w:rPr>
  </w:style>
  <w:style w:type="paragraph" w:customStyle="1" w:styleId="SecurityClassificationFooter">
    <w:name w:val="Security Classification Footer"/>
    <w:link w:val="SecurityClassificationFooterChar"/>
    <w:rsid w:val="00DC4AA9"/>
    <w:pPr>
      <w:spacing w:before="240"/>
      <w:jc w:val="center"/>
    </w:pPr>
    <w:rPr>
      <w:b/>
      <w:caps/>
      <w:sz w:val="24"/>
    </w:rPr>
  </w:style>
  <w:style w:type="character" w:customStyle="1" w:styleId="SecurityClassificationFooterChar">
    <w:name w:val="Security Classification Footer Char"/>
    <w:basedOn w:val="HeaderChar"/>
    <w:link w:val="SecurityClassificationFooter"/>
    <w:rsid w:val="00DC4AA9"/>
    <w:rPr>
      <w:b/>
      <w: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360"/>
      <w:outlineLvl w:val="0"/>
    </w:pPr>
    <w:rPr>
      <w:b/>
      <w:caps/>
      <w:sz w:val="28"/>
    </w:rPr>
  </w:style>
  <w:style w:type="paragraph" w:styleId="Heading2">
    <w:name w:val="heading 2"/>
    <w:basedOn w:val="Normal"/>
    <w:next w:val="Normal"/>
    <w:qFormat/>
    <w:pPr>
      <w:keepNext/>
      <w:spacing w:before="120"/>
      <w:outlineLvl w:val="1"/>
    </w:pPr>
    <w:rPr>
      <w:b/>
      <w:caps/>
    </w:rPr>
  </w:style>
  <w:style w:type="paragraph" w:styleId="Heading3">
    <w:name w:val="heading 3"/>
    <w:basedOn w:val="Normal"/>
    <w:next w:val="Normal"/>
    <w:qFormat/>
    <w:pPr>
      <w:keepNext/>
      <w:spacing w:before="60"/>
      <w:outlineLvl w:val="2"/>
    </w:pPr>
    <w:rPr>
      <w:b/>
    </w:rPr>
  </w:style>
  <w:style w:type="paragraph" w:styleId="Heading4">
    <w:name w:val="heading 4"/>
    <w:basedOn w:val="Normal"/>
    <w:next w:val="Normal"/>
    <w:qFormat/>
    <w:pPr>
      <w:keepNext/>
      <w:outlineLvl w:val="3"/>
    </w:pPr>
    <w:rPr>
      <w:i/>
      <w:sz w:val="20"/>
    </w:rPr>
  </w:style>
  <w:style w:type="paragraph" w:styleId="Heading6">
    <w:name w:val="heading 6"/>
    <w:basedOn w:val="Normal"/>
    <w:next w:val="Normal"/>
    <w:qFormat/>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style>
  <w:style w:type="paragraph" w:customStyle="1" w:styleId="ChartMainHeading">
    <w:name w:val="Chart Main Heading"/>
    <w:basedOn w:val="SingleParagraph"/>
    <w:next w:val="Normal"/>
    <w:pPr>
      <w:jc w:val="center"/>
    </w:pPr>
    <w:rPr>
      <w:b/>
      <w:caps/>
    </w:rPr>
  </w:style>
  <w:style w:type="paragraph" w:customStyle="1" w:styleId="ChartSecondHeading">
    <w:name w:val="Chart Second Heading"/>
    <w:basedOn w:val="SingleParagraph"/>
    <w:next w:val="Normal"/>
    <w:pPr>
      <w:jc w:val="center"/>
    </w:pPr>
    <w:rPr>
      <w:b/>
    </w:rPr>
  </w:style>
  <w:style w:type="paragraph" w:customStyle="1" w:styleId="TableMainHeading">
    <w:name w:val="Table Main Heading"/>
    <w:basedOn w:val="Heading2"/>
    <w:next w:val="Normal"/>
    <w:pPr>
      <w:spacing w:before="240"/>
      <w:outlineLvl w:val="9"/>
    </w:pPr>
    <w:rPr>
      <w:rFonts w:ascii="Helvetica" w:hAnsi="Helvetica"/>
      <w:b w:val="0"/>
      <w:caps w:val="0"/>
      <w:spacing w:val="30"/>
      <w:sz w:val="22"/>
    </w:rPr>
  </w:style>
  <w:style w:type="paragraph" w:customStyle="1" w:styleId="Appendix">
    <w:name w:val="Appendix"/>
    <w:basedOn w:val="Normal"/>
    <w:link w:val="AppendixCharChar"/>
    <w:pPr>
      <w:jc w:val="right"/>
    </w:pPr>
    <w:rPr>
      <w:b/>
    </w:rPr>
  </w:style>
  <w:style w:type="character" w:customStyle="1" w:styleId="AppendixCharChar">
    <w:name w:val="Appendix Char Char"/>
    <w:basedOn w:val="DefaultParagraphFont"/>
    <w:link w:val="Appendix"/>
    <w:rPr>
      <w:b/>
      <w:sz w:val="24"/>
      <w:lang w:val="en-AU" w:eastAsia="en-AU" w:bidi="ar-SA"/>
    </w:rPr>
  </w:style>
  <w:style w:type="paragraph" w:customStyle="1" w:styleId="HB-dotpoint">
    <w:name w:val="HB - dotpoint"/>
    <w:basedOn w:val="Normal"/>
    <w:pPr>
      <w:numPr>
        <w:numId w:val="1"/>
      </w:numPr>
      <w:spacing w:before="180"/>
    </w:pPr>
  </w:style>
  <w:style w:type="paragraph" w:customStyle="1" w:styleId="CharCharCharCharCharChar">
    <w:name w:val="Char Char Char Char Char Char"/>
    <w:basedOn w:val="Normal"/>
    <w:rsid w:val="00734C43"/>
    <w:pPr>
      <w:spacing w:after="160" w:line="240" w:lineRule="exact"/>
    </w:pPr>
    <w:rPr>
      <w:rFonts w:ascii="Verdana" w:hAnsi="Verdana"/>
      <w:sz w:val="20"/>
      <w:szCs w:val="24"/>
      <w:lang w:val="en-US" w:eastAsia="en-US"/>
    </w:rPr>
  </w:style>
  <w:style w:type="paragraph" w:customStyle="1" w:styleId="Bullet">
    <w:name w:val="Bullet"/>
    <w:aliases w:val="b"/>
    <w:basedOn w:val="Normal"/>
    <w:link w:val="BulletChar"/>
    <w:uiPriority w:val="99"/>
    <w:qFormat/>
    <w:rsid w:val="009F55DD"/>
    <w:pPr>
      <w:numPr>
        <w:numId w:val="3"/>
      </w:numPr>
      <w:spacing w:after="240"/>
    </w:pPr>
  </w:style>
  <w:style w:type="paragraph" w:customStyle="1" w:styleId="Dash">
    <w:name w:val="Dash"/>
    <w:basedOn w:val="Normal"/>
    <w:uiPriority w:val="99"/>
    <w:rsid w:val="009F55DD"/>
    <w:pPr>
      <w:numPr>
        <w:ilvl w:val="1"/>
        <w:numId w:val="3"/>
      </w:numPr>
      <w:spacing w:after="240"/>
    </w:pPr>
  </w:style>
  <w:style w:type="paragraph" w:customStyle="1" w:styleId="DoubleDot">
    <w:name w:val="Double Dot"/>
    <w:basedOn w:val="Normal"/>
    <w:uiPriority w:val="99"/>
    <w:rsid w:val="009F55DD"/>
    <w:pPr>
      <w:numPr>
        <w:ilvl w:val="2"/>
        <w:numId w:val="3"/>
      </w:numPr>
      <w:spacing w:after="240"/>
    </w:pPr>
  </w:style>
  <w:style w:type="character" w:customStyle="1" w:styleId="BulletChar">
    <w:name w:val="Bullet Char"/>
    <w:aliases w:val="b Char"/>
    <w:basedOn w:val="DefaultParagraphFont"/>
    <w:link w:val="Bullet"/>
    <w:uiPriority w:val="99"/>
    <w:rsid w:val="009F55DD"/>
    <w:rPr>
      <w:sz w:val="24"/>
    </w:rPr>
  </w:style>
  <w:style w:type="paragraph" w:styleId="Header">
    <w:name w:val="header"/>
    <w:basedOn w:val="Normal"/>
    <w:link w:val="HeaderChar"/>
    <w:uiPriority w:val="99"/>
    <w:unhideWhenUsed/>
    <w:rsid w:val="00DC4AA9"/>
    <w:pPr>
      <w:tabs>
        <w:tab w:val="center" w:pos="4513"/>
        <w:tab w:val="right" w:pos="9026"/>
      </w:tabs>
    </w:pPr>
  </w:style>
  <w:style w:type="character" w:customStyle="1" w:styleId="HeaderChar">
    <w:name w:val="Header Char"/>
    <w:basedOn w:val="DefaultParagraphFont"/>
    <w:link w:val="Header"/>
    <w:uiPriority w:val="99"/>
    <w:rsid w:val="00DC4AA9"/>
    <w:rPr>
      <w:sz w:val="24"/>
    </w:rPr>
  </w:style>
  <w:style w:type="paragraph" w:styleId="Footer">
    <w:name w:val="footer"/>
    <w:basedOn w:val="Normal"/>
    <w:link w:val="FooterChar"/>
    <w:uiPriority w:val="99"/>
    <w:unhideWhenUsed/>
    <w:rsid w:val="00DC4AA9"/>
    <w:pPr>
      <w:tabs>
        <w:tab w:val="center" w:pos="4513"/>
        <w:tab w:val="right" w:pos="9026"/>
      </w:tabs>
    </w:pPr>
  </w:style>
  <w:style w:type="character" w:customStyle="1" w:styleId="FooterChar">
    <w:name w:val="Footer Char"/>
    <w:basedOn w:val="DefaultParagraphFont"/>
    <w:link w:val="Footer"/>
    <w:uiPriority w:val="99"/>
    <w:rsid w:val="00DC4AA9"/>
    <w:rPr>
      <w:sz w:val="24"/>
    </w:rPr>
  </w:style>
  <w:style w:type="paragraph" w:customStyle="1" w:styleId="SecurityClassificationHeader">
    <w:name w:val="Security Classification Header"/>
    <w:link w:val="SecurityClassificationHeaderChar"/>
    <w:rsid w:val="00DC4AA9"/>
    <w:pPr>
      <w:spacing w:after="240"/>
      <w:jc w:val="center"/>
    </w:pPr>
    <w:rPr>
      <w:b/>
      <w:caps/>
      <w:sz w:val="24"/>
    </w:rPr>
  </w:style>
  <w:style w:type="character" w:customStyle="1" w:styleId="SecurityClassificationHeaderChar">
    <w:name w:val="Security Classification Header Char"/>
    <w:basedOn w:val="HeaderChar"/>
    <w:link w:val="SecurityClassificationHeader"/>
    <w:rsid w:val="00DC4AA9"/>
    <w:rPr>
      <w:b/>
      <w:caps/>
      <w:sz w:val="24"/>
    </w:rPr>
  </w:style>
  <w:style w:type="paragraph" w:customStyle="1" w:styleId="SecurityClassificationFooter">
    <w:name w:val="Security Classification Footer"/>
    <w:link w:val="SecurityClassificationFooterChar"/>
    <w:rsid w:val="00DC4AA9"/>
    <w:pPr>
      <w:spacing w:before="240"/>
      <w:jc w:val="center"/>
    </w:pPr>
    <w:rPr>
      <w:b/>
      <w:caps/>
      <w:sz w:val="24"/>
    </w:rPr>
  </w:style>
  <w:style w:type="character" w:customStyle="1" w:styleId="SecurityClassificationFooterChar">
    <w:name w:val="Security Classification Footer Char"/>
    <w:basedOn w:val="HeaderChar"/>
    <w:link w:val="SecurityClassificationFooter"/>
    <w:rsid w:val="00DC4AA9"/>
    <w:rPr>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25685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XCo%20Example%20EM%20-%20Regul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XCo Example EM - Regulations.dotx</Template>
  <TotalTime>95</TotalTime>
  <Pages>4</Pages>
  <Words>983</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The Treasury</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Sturgiss, Heather</dc:creator>
  <cp:lastModifiedBy>Li, Taike</cp:lastModifiedBy>
  <cp:revision>38</cp:revision>
  <cp:lastPrinted>1900-12-31T14:00:00Z</cp:lastPrinted>
  <dcterms:created xsi:type="dcterms:W3CDTF">2012-05-15T06:04:00Z</dcterms:created>
  <dcterms:modified xsi:type="dcterms:W3CDTF">2012-05-30T23:58:00Z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-1850420473</vt:i4>
  </property>
  <property fmtid="{D5CDD505-2E9C-101B-9397-08002B2CF9AE}" pid="3" name="_NewReviewCycle">
    <vt:lpwstr/>
  </property>
  <property fmtid="{D5CDD505-2E9C-101B-9397-08002B2CF9AE}" pid="4" name="_EmailSubject">
    <vt:lpwstr>RE: Exposure draft - refund of excess concessional contributions regulations</vt:lpwstr>
  </property>
  <property fmtid="{D5CDD505-2E9C-101B-9397-08002B2CF9AE}" pid="5" name="_AuthorEmail">
    <vt:lpwstr>Taike.Li@TREASURY.GOV.AU</vt:lpwstr>
  </property>
  <property fmtid="{D5CDD505-2E9C-101B-9397-08002B2CF9AE}" pid="6" name="_AuthorEmailDisplayName">
    <vt:lpwstr>Li, Taike</vt:lpwstr>
  </property>
  <property fmtid="{D5CDD505-2E9C-101B-9397-08002B2CF9AE}" pid="8" name="WorkingDocStatus">
    <vt:lpwstr>DRAFT WORKING DOCUMENT</vt:lpwstr>
  </property>
  <property fmtid="{D5CDD505-2E9C-101B-9397-08002B2CF9AE}" pid="9" name="_PreviousAdHocReviewCycleID">
    <vt:i4>985494959</vt:i4>
  </property>
</Properties>
</file>