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0553" w:rsidRDefault="00DD68A2" w:rsidP="00DE08E5">
      <w:pPr>
        <w:spacing w:line="276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/>
      </w:r>
      <w:r w:rsidR="00520553">
        <w:rPr>
          <w:rFonts w:ascii="Arial" w:hAnsi="Arial"/>
          <w:sz w:val="20"/>
        </w:rPr>
        <w:instrText xml:space="preserve"> DATE \@ "d MMMM yyyy" </w:instrText>
      </w:r>
      <w:r>
        <w:rPr>
          <w:rFonts w:ascii="Arial" w:hAnsi="Arial"/>
          <w:sz w:val="20"/>
        </w:rPr>
        <w:fldChar w:fldCharType="separate"/>
      </w:r>
      <w:r w:rsidR="00133D7D">
        <w:rPr>
          <w:rFonts w:ascii="Arial" w:hAnsi="Arial"/>
          <w:noProof/>
          <w:sz w:val="20"/>
        </w:rPr>
        <w:t>12 October 2012</w:t>
      </w:r>
      <w:r>
        <w:rPr>
          <w:rFonts w:ascii="Arial" w:hAnsi="Arial"/>
          <w:sz w:val="20"/>
        </w:rPr>
        <w:fldChar w:fldCharType="end"/>
      </w:r>
    </w:p>
    <w:p w:rsidR="00520553" w:rsidRPr="001B63B2" w:rsidRDefault="00520553" w:rsidP="00DE08E5">
      <w:pPr>
        <w:spacing w:line="276" w:lineRule="auto"/>
        <w:rPr>
          <w:rFonts w:ascii="Arial" w:hAnsi="Arial"/>
          <w:sz w:val="20"/>
        </w:rPr>
      </w:pPr>
    </w:p>
    <w:p w:rsidR="00B178C6" w:rsidRPr="00B178C6" w:rsidRDefault="00B178C6" w:rsidP="00B178C6">
      <w:pPr>
        <w:spacing w:line="276" w:lineRule="auto"/>
        <w:rPr>
          <w:rFonts w:ascii="Arial" w:hAnsi="Arial"/>
          <w:sz w:val="20"/>
          <w:lang w:val="en-AU"/>
        </w:rPr>
      </w:pPr>
      <w:r w:rsidRPr="00B178C6">
        <w:rPr>
          <w:rFonts w:ascii="Arial" w:hAnsi="Arial"/>
          <w:sz w:val="20"/>
          <w:lang w:val="en-AU"/>
        </w:rPr>
        <w:t>General Manager</w:t>
      </w:r>
    </w:p>
    <w:p w:rsidR="00B178C6" w:rsidRPr="00B178C6" w:rsidRDefault="00B178C6" w:rsidP="00B178C6">
      <w:pPr>
        <w:spacing w:line="276" w:lineRule="auto"/>
        <w:rPr>
          <w:rFonts w:ascii="Arial" w:hAnsi="Arial"/>
          <w:sz w:val="20"/>
          <w:lang w:val="en-AU"/>
        </w:rPr>
      </w:pPr>
      <w:r w:rsidRPr="00B178C6">
        <w:rPr>
          <w:rFonts w:ascii="Arial" w:hAnsi="Arial"/>
          <w:sz w:val="20"/>
          <w:lang w:val="en-AU"/>
        </w:rPr>
        <w:t>Benefits and Regulations Unit</w:t>
      </w:r>
    </w:p>
    <w:p w:rsidR="00B178C6" w:rsidRPr="00B178C6" w:rsidRDefault="00B178C6" w:rsidP="00B178C6">
      <w:pPr>
        <w:spacing w:line="276" w:lineRule="auto"/>
        <w:rPr>
          <w:rFonts w:ascii="Arial" w:hAnsi="Arial"/>
          <w:sz w:val="20"/>
          <w:lang w:val="en-AU"/>
        </w:rPr>
      </w:pPr>
      <w:r w:rsidRPr="00B178C6">
        <w:rPr>
          <w:rFonts w:ascii="Arial" w:hAnsi="Arial"/>
          <w:sz w:val="20"/>
          <w:lang w:val="en-AU"/>
        </w:rPr>
        <w:t>Personal and Retirement Income Division</w:t>
      </w:r>
    </w:p>
    <w:p w:rsidR="00B178C6" w:rsidRPr="00B178C6" w:rsidRDefault="00B178C6" w:rsidP="00B178C6">
      <w:pPr>
        <w:spacing w:line="276" w:lineRule="auto"/>
        <w:rPr>
          <w:rFonts w:ascii="Arial" w:hAnsi="Arial"/>
          <w:sz w:val="20"/>
          <w:lang w:val="en-AU"/>
        </w:rPr>
      </w:pPr>
      <w:r w:rsidRPr="00B178C6">
        <w:rPr>
          <w:rFonts w:ascii="Arial" w:hAnsi="Arial"/>
          <w:sz w:val="20"/>
          <w:lang w:val="en-AU"/>
        </w:rPr>
        <w:t>The Treasury</w:t>
      </w:r>
    </w:p>
    <w:p w:rsidR="00B178C6" w:rsidRPr="00B178C6" w:rsidRDefault="00B178C6" w:rsidP="00B178C6">
      <w:pPr>
        <w:spacing w:line="276" w:lineRule="auto"/>
        <w:rPr>
          <w:rFonts w:ascii="Arial" w:hAnsi="Arial"/>
          <w:sz w:val="20"/>
          <w:lang w:val="en-AU"/>
        </w:rPr>
      </w:pPr>
      <w:r w:rsidRPr="00B178C6">
        <w:rPr>
          <w:rFonts w:ascii="Arial" w:hAnsi="Arial"/>
          <w:sz w:val="20"/>
          <w:lang w:val="en-AU"/>
        </w:rPr>
        <w:t>Langton Crescent</w:t>
      </w:r>
    </w:p>
    <w:p w:rsidR="00B178C6" w:rsidRPr="00B178C6" w:rsidRDefault="00B178C6" w:rsidP="00B178C6">
      <w:pPr>
        <w:spacing w:line="276" w:lineRule="auto"/>
        <w:rPr>
          <w:rFonts w:ascii="Arial" w:hAnsi="Arial"/>
          <w:sz w:val="20"/>
          <w:lang w:val="en-AU"/>
        </w:rPr>
      </w:pPr>
      <w:proofErr w:type="gramStart"/>
      <w:r w:rsidRPr="00B178C6">
        <w:rPr>
          <w:rFonts w:ascii="Arial" w:hAnsi="Arial"/>
          <w:sz w:val="20"/>
          <w:lang w:val="en-AU"/>
        </w:rPr>
        <w:t xml:space="preserve">PARKES </w:t>
      </w:r>
      <w:r>
        <w:rPr>
          <w:rFonts w:ascii="Arial" w:hAnsi="Arial"/>
          <w:sz w:val="20"/>
          <w:lang w:val="en-AU"/>
        </w:rPr>
        <w:t xml:space="preserve"> </w:t>
      </w:r>
      <w:r w:rsidRPr="00B178C6">
        <w:rPr>
          <w:rFonts w:ascii="Arial" w:hAnsi="Arial"/>
          <w:sz w:val="20"/>
          <w:lang w:val="en-AU"/>
        </w:rPr>
        <w:t>ACT</w:t>
      </w:r>
      <w:proofErr w:type="gramEnd"/>
      <w:r w:rsidRPr="00B178C6">
        <w:rPr>
          <w:rFonts w:ascii="Arial" w:hAnsi="Arial"/>
          <w:sz w:val="20"/>
          <w:lang w:val="en-AU"/>
        </w:rPr>
        <w:t xml:space="preserve"> </w:t>
      </w:r>
      <w:r>
        <w:rPr>
          <w:rFonts w:ascii="Arial" w:hAnsi="Arial"/>
          <w:sz w:val="20"/>
          <w:lang w:val="en-AU"/>
        </w:rPr>
        <w:t xml:space="preserve"> </w:t>
      </w:r>
      <w:r w:rsidRPr="00B178C6">
        <w:rPr>
          <w:rFonts w:ascii="Arial" w:hAnsi="Arial"/>
          <w:sz w:val="20"/>
          <w:lang w:val="en-AU"/>
        </w:rPr>
        <w:t>2600</w:t>
      </w:r>
    </w:p>
    <w:p w:rsidR="00B178C6" w:rsidRPr="00B178C6" w:rsidRDefault="00B178C6" w:rsidP="00B178C6">
      <w:pPr>
        <w:spacing w:line="276" w:lineRule="auto"/>
        <w:rPr>
          <w:rFonts w:ascii="Arial" w:hAnsi="Arial"/>
          <w:sz w:val="20"/>
          <w:lang w:val="en-AU"/>
        </w:rPr>
      </w:pPr>
    </w:p>
    <w:p w:rsidR="00520553" w:rsidRDefault="00B178C6" w:rsidP="00B178C6">
      <w:pPr>
        <w:spacing w:line="276" w:lineRule="auto"/>
        <w:rPr>
          <w:rFonts w:ascii="Arial" w:hAnsi="Arial"/>
          <w:sz w:val="20"/>
        </w:rPr>
      </w:pPr>
      <w:r w:rsidRPr="00B178C6">
        <w:rPr>
          <w:rFonts w:ascii="Arial" w:hAnsi="Arial"/>
          <w:sz w:val="20"/>
          <w:lang w:val="en-AU"/>
        </w:rPr>
        <w:t>Email: superamendments@treasury.gov.au</w:t>
      </w:r>
    </w:p>
    <w:p w:rsidR="00B178C6" w:rsidRDefault="00B178C6" w:rsidP="00DE08E5">
      <w:pPr>
        <w:spacing w:line="276" w:lineRule="auto"/>
        <w:rPr>
          <w:rFonts w:ascii="Arial" w:hAnsi="Arial"/>
          <w:sz w:val="20"/>
        </w:rPr>
      </w:pPr>
    </w:p>
    <w:p w:rsidR="00520553" w:rsidRDefault="00462CA4" w:rsidP="00DE08E5">
      <w:pPr>
        <w:spacing w:line="276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Dear </w:t>
      </w:r>
      <w:r w:rsidR="00B178C6">
        <w:rPr>
          <w:rFonts w:ascii="Arial" w:hAnsi="Arial"/>
          <w:sz w:val="20"/>
        </w:rPr>
        <w:t>Madam/Sir</w:t>
      </w:r>
      <w:r w:rsidR="00520553">
        <w:rPr>
          <w:rFonts w:ascii="Arial" w:hAnsi="Arial"/>
          <w:sz w:val="20"/>
        </w:rPr>
        <w:t>,</w:t>
      </w:r>
    </w:p>
    <w:p w:rsidR="00520553" w:rsidRDefault="00520553" w:rsidP="00DE08E5">
      <w:pPr>
        <w:spacing w:line="276" w:lineRule="auto"/>
        <w:rPr>
          <w:rFonts w:ascii="Arial" w:hAnsi="Arial"/>
          <w:sz w:val="20"/>
        </w:rPr>
      </w:pPr>
    </w:p>
    <w:p w:rsidR="005361DA" w:rsidRDefault="005361DA" w:rsidP="00DE08E5">
      <w:pPr>
        <w:spacing w:line="276" w:lineRule="auto"/>
        <w:rPr>
          <w:rFonts w:ascii="Arial" w:hAnsi="Arial"/>
          <w:sz w:val="20"/>
        </w:rPr>
      </w:pPr>
    </w:p>
    <w:p w:rsidR="00B178C6" w:rsidRPr="00B178C6" w:rsidRDefault="00B178C6" w:rsidP="0020787E">
      <w:pPr>
        <w:spacing w:line="360" w:lineRule="auto"/>
        <w:jc w:val="center"/>
        <w:rPr>
          <w:rFonts w:ascii="Arial" w:hAnsi="Arial"/>
          <w:b/>
          <w:bCs/>
          <w:u w:val="single"/>
          <w:lang w:val="en-AU"/>
        </w:rPr>
      </w:pPr>
      <w:r w:rsidRPr="00B178C6">
        <w:rPr>
          <w:rFonts w:ascii="Arial" w:hAnsi="Arial"/>
          <w:b/>
          <w:bCs/>
          <w:u w:val="single"/>
          <w:lang w:val="en-AU"/>
        </w:rPr>
        <w:t>Portability of superannuation between Australia and New Zealand</w:t>
      </w:r>
    </w:p>
    <w:p w:rsidR="005361DA" w:rsidRDefault="005361DA" w:rsidP="009E26E0">
      <w:pPr>
        <w:spacing w:line="276" w:lineRule="auto"/>
        <w:rPr>
          <w:rFonts w:ascii="Arial" w:hAnsi="Arial"/>
          <w:sz w:val="20"/>
        </w:rPr>
      </w:pPr>
    </w:p>
    <w:p w:rsidR="009E26E0" w:rsidRPr="008E109B" w:rsidRDefault="009E26E0" w:rsidP="009E26E0">
      <w:pPr>
        <w:spacing w:line="276" w:lineRule="auto"/>
        <w:rPr>
          <w:rFonts w:ascii="Arial" w:hAnsi="Arial"/>
          <w:sz w:val="20"/>
        </w:rPr>
      </w:pPr>
    </w:p>
    <w:p w:rsidR="00462CA4" w:rsidRDefault="00520553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  <w:bookmarkStart w:id="1" w:name="OLE_LINK3"/>
      <w:r w:rsidRPr="008E109B">
        <w:rPr>
          <w:rFonts w:ascii="Arial" w:hAnsi="Arial"/>
          <w:sz w:val="20"/>
          <w:lang w:val="en-GB"/>
        </w:rPr>
        <w:t xml:space="preserve">The </w:t>
      </w:r>
      <w:proofErr w:type="spellStart"/>
      <w:r w:rsidRPr="008E109B">
        <w:rPr>
          <w:rFonts w:ascii="Arial" w:hAnsi="Arial"/>
          <w:sz w:val="20"/>
          <w:lang w:val="en-GB"/>
        </w:rPr>
        <w:t>Self Managed</w:t>
      </w:r>
      <w:proofErr w:type="spellEnd"/>
      <w:r w:rsidRPr="008E109B">
        <w:rPr>
          <w:rFonts w:ascii="Arial" w:hAnsi="Arial"/>
          <w:sz w:val="20"/>
          <w:lang w:val="en-GB"/>
        </w:rPr>
        <w:t xml:space="preserve"> Superannuation Funds Professionals</w:t>
      </w:r>
      <w:r w:rsidR="00931F1E">
        <w:rPr>
          <w:rFonts w:ascii="Arial" w:hAnsi="Arial"/>
          <w:sz w:val="20"/>
          <w:lang w:val="en-GB"/>
        </w:rPr>
        <w:t>’</w:t>
      </w:r>
      <w:r w:rsidRPr="008E109B">
        <w:rPr>
          <w:rFonts w:ascii="Arial" w:hAnsi="Arial"/>
          <w:sz w:val="20"/>
          <w:lang w:val="en-GB"/>
        </w:rPr>
        <w:t xml:space="preserve"> </w:t>
      </w:r>
      <w:r w:rsidR="00931F1E">
        <w:rPr>
          <w:rFonts w:ascii="Arial" w:hAnsi="Arial"/>
          <w:sz w:val="20"/>
          <w:lang w:val="en-GB"/>
        </w:rPr>
        <w:t>Association of Australia (SPAA</w:t>
      </w:r>
      <w:r w:rsidRPr="008E109B">
        <w:rPr>
          <w:rFonts w:ascii="Arial" w:hAnsi="Arial"/>
          <w:sz w:val="20"/>
          <w:lang w:val="en-GB"/>
        </w:rPr>
        <w:t>) welcomes the opportunity to make a</w:t>
      </w:r>
      <w:r w:rsidR="00462CA4">
        <w:rPr>
          <w:rFonts w:ascii="Arial" w:hAnsi="Arial"/>
          <w:sz w:val="20"/>
          <w:lang w:val="en-GB"/>
        </w:rPr>
        <w:t xml:space="preserve"> submission in relation to </w:t>
      </w:r>
      <w:bookmarkEnd w:id="1"/>
      <w:r w:rsidR="00E33A77">
        <w:rPr>
          <w:rFonts w:ascii="Arial" w:hAnsi="Arial"/>
          <w:sz w:val="20"/>
          <w:lang w:val="en-GB"/>
        </w:rPr>
        <w:t xml:space="preserve">the exposure draft legislation which establishes portability of retirement savings between Australia and New Zealand.  SPAA has serious concerns regarding the exclusion of </w:t>
      </w:r>
      <w:proofErr w:type="spellStart"/>
      <w:r w:rsidR="00E33A77">
        <w:rPr>
          <w:rFonts w:ascii="Arial" w:hAnsi="Arial"/>
          <w:sz w:val="20"/>
          <w:lang w:val="en-GB"/>
        </w:rPr>
        <w:t>self managed</w:t>
      </w:r>
      <w:proofErr w:type="spellEnd"/>
      <w:r w:rsidR="00E33A77">
        <w:rPr>
          <w:rFonts w:ascii="Arial" w:hAnsi="Arial"/>
          <w:sz w:val="20"/>
          <w:lang w:val="en-GB"/>
        </w:rPr>
        <w:t xml:space="preserve"> superannuation funds (SMSFs) </w:t>
      </w:r>
      <w:r w:rsidR="001131A2">
        <w:rPr>
          <w:rFonts w:ascii="Arial" w:hAnsi="Arial"/>
          <w:sz w:val="20"/>
          <w:lang w:val="en-GB"/>
        </w:rPr>
        <w:t xml:space="preserve">from being able to receive or hold </w:t>
      </w:r>
      <w:bookmarkStart w:id="2" w:name="OLE_LINK7"/>
      <w:r w:rsidR="001131A2">
        <w:rPr>
          <w:rFonts w:ascii="Arial" w:hAnsi="Arial"/>
          <w:sz w:val="20"/>
          <w:lang w:val="en-GB"/>
        </w:rPr>
        <w:t>New Zealand-sourced retirement savings</w:t>
      </w:r>
      <w:bookmarkEnd w:id="2"/>
      <w:r w:rsidR="00475E2C">
        <w:rPr>
          <w:rFonts w:ascii="Arial" w:hAnsi="Arial"/>
          <w:sz w:val="20"/>
          <w:lang w:val="en-GB"/>
        </w:rPr>
        <w:t>.</w:t>
      </w:r>
      <w:r w:rsidR="008C589B">
        <w:rPr>
          <w:rFonts w:ascii="Arial" w:hAnsi="Arial"/>
          <w:sz w:val="20"/>
          <w:lang w:val="en-GB"/>
        </w:rPr>
        <w:t xml:space="preserve">  </w:t>
      </w:r>
    </w:p>
    <w:p w:rsidR="008C589B" w:rsidRDefault="008C589B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</w:p>
    <w:p w:rsidR="00411E02" w:rsidRDefault="008C589B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>They key points of this submission are:</w:t>
      </w:r>
    </w:p>
    <w:p w:rsidR="00411E02" w:rsidRDefault="00411E02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</w:p>
    <w:p w:rsidR="00411E02" w:rsidRPr="00F074F6" w:rsidRDefault="00411E02" w:rsidP="005300EB">
      <w:pPr>
        <w:pStyle w:val="ListParagraph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/>
          <w:b/>
          <w:sz w:val="20"/>
          <w:lang w:val="en-GB"/>
        </w:rPr>
      </w:pPr>
      <w:r w:rsidRPr="00F074F6">
        <w:rPr>
          <w:rFonts w:ascii="Arial" w:hAnsi="Arial"/>
          <w:b/>
          <w:sz w:val="20"/>
          <w:lang w:val="en-GB"/>
        </w:rPr>
        <w:t>SPAA recommends that SMSFs be eligible to receive and hold New Zealand-sourced retirement savings that are transferred to an Australian superannuation fund.</w:t>
      </w:r>
      <w:r w:rsidRPr="00F074F6">
        <w:rPr>
          <w:rFonts w:ascii="Arial" w:hAnsi="Arial"/>
          <w:b/>
          <w:sz w:val="20"/>
          <w:lang w:val="en-GB"/>
        </w:rPr>
        <w:br/>
      </w:r>
    </w:p>
    <w:p w:rsidR="00411E02" w:rsidRPr="00F074F6" w:rsidRDefault="00411E02" w:rsidP="0020787E">
      <w:pPr>
        <w:pStyle w:val="ListParagraph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b/>
          <w:sz w:val="20"/>
          <w:lang w:val="en-GB"/>
        </w:rPr>
      </w:pPr>
      <w:r w:rsidRPr="00F074F6">
        <w:rPr>
          <w:rFonts w:ascii="Arial" w:hAnsi="Arial"/>
          <w:b/>
          <w:sz w:val="20"/>
          <w:lang w:val="en-GB"/>
        </w:rPr>
        <w:t>SPAA believes that excluding SMSFs from the measure will reduce the effectiveness of the trans-Tasman portability scheme.</w:t>
      </w:r>
    </w:p>
    <w:p w:rsidR="00411E02" w:rsidRPr="00F074F6" w:rsidRDefault="00411E02" w:rsidP="00207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ascii="Arial" w:hAnsi="Arial"/>
          <w:b/>
          <w:sz w:val="20"/>
          <w:lang w:val="en-GB"/>
        </w:rPr>
      </w:pPr>
    </w:p>
    <w:p w:rsidR="00411E02" w:rsidRPr="00F074F6" w:rsidRDefault="00F074F6" w:rsidP="0020787E">
      <w:pPr>
        <w:pStyle w:val="ListParagraph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b/>
          <w:sz w:val="20"/>
          <w:lang w:val="en-GB"/>
        </w:rPr>
      </w:pPr>
      <w:r w:rsidRPr="00F074F6">
        <w:rPr>
          <w:rFonts w:ascii="Arial" w:hAnsi="Arial"/>
          <w:b/>
          <w:sz w:val="20"/>
          <w:lang w:val="en-GB"/>
        </w:rPr>
        <w:t>The SMSF sector is a well</w:t>
      </w:r>
      <w:r>
        <w:rPr>
          <w:rFonts w:ascii="Arial" w:hAnsi="Arial"/>
          <w:b/>
          <w:sz w:val="20"/>
          <w:lang w:val="en-GB"/>
        </w:rPr>
        <w:t>-</w:t>
      </w:r>
      <w:r w:rsidRPr="00F074F6">
        <w:rPr>
          <w:rFonts w:ascii="Arial" w:hAnsi="Arial"/>
          <w:b/>
          <w:sz w:val="20"/>
          <w:lang w:val="en-GB"/>
        </w:rPr>
        <w:t>regulated and well-function</w:t>
      </w:r>
      <w:r>
        <w:rPr>
          <w:rFonts w:ascii="Arial" w:hAnsi="Arial"/>
          <w:b/>
          <w:sz w:val="20"/>
          <w:lang w:val="en-GB"/>
        </w:rPr>
        <w:t>ing</w:t>
      </w:r>
      <w:r w:rsidRPr="00F074F6">
        <w:rPr>
          <w:rFonts w:ascii="Arial" w:hAnsi="Arial"/>
          <w:b/>
          <w:sz w:val="20"/>
          <w:lang w:val="en-GB"/>
        </w:rPr>
        <w:t xml:space="preserve"> sector of the Australian superannuation environment and </w:t>
      </w:r>
      <w:r w:rsidR="00166F45">
        <w:rPr>
          <w:rFonts w:ascii="Arial" w:hAnsi="Arial"/>
          <w:b/>
          <w:sz w:val="20"/>
          <w:lang w:val="en-GB"/>
        </w:rPr>
        <w:t>is</w:t>
      </w:r>
      <w:r w:rsidRPr="00F074F6">
        <w:rPr>
          <w:rFonts w:ascii="Arial" w:hAnsi="Arial"/>
          <w:b/>
          <w:sz w:val="20"/>
          <w:lang w:val="en-GB"/>
        </w:rPr>
        <w:t xml:space="preserve"> an appropriate retirement savings vehicle for consolidating trans-Tasman superannuation. </w:t>
      </w:r>
    </w:p>
    <w:p w:rsidR="00411E02" w:rsidRPr="00F074F6" w:rsidRDefault="00411E02" w:rsidP="00207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jc w:val="both"/>
        <w:rPr>
          <w:rFonts w:ascii="Arial" w:hAnsi="Arial"/>
          <w:b/>
          <w:sz w:val="20"/>
          <w:lang w:val="en-GB"/>
        </w:rPr>
      </w:pPr>
    </w:p>
    <w:p w:rsidR="00411E02" w:rsidRPr="00F074F6" w:rsidRDefault="00411E02" w:rsidP="0020787E">
      <w:pPr>
        <w:pStyle w:val="ListParagraph"/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/>
          <w:b/>
          <w:sz w:val="20"/>
          <w:lang w:val="en-GB"/>
        </w:rPr>
      </w:pPr>
      <w:r w:rsidRPr="00F074F6">
        <w:rPr>
          <w:rFonts w:ascii="Arial" w:hAnsi="Arial"/>
          <w:b/>
          <w:sz w:val="20"/>
          <w:lang w:val="en-GB"/>
        </w:rPr>
        <w:t>Excluding SMSFs from the measure places SMSFs at a disadvantage to APRA regulated funds.</w:t>
      </w:r>
    </w:p>
    <w:p w:rsidR="00475E2C" w:rsidRDefault="00475E2C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</w:p>
    <w:p w:rsidR="00475E2C" w:rsidRDefault="000341CB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 xml:space="preserve">Paragraph 1.12 of the explanatory memorandum (EM) which accompanies the draft legislation states that </w:t>
      </w:r>
      <w:bookmarkStart w:id="3" w:name="OLE_LINK6"/>
      <w:r w:rsidRPr="000341CB">
        <w:rPr>
          <w:rFonts w:ascii="Arial" w:hAnsi="Arial"/>
          <w:sz w:val="20"/>
          <w:lang w:val="en-GB"/>
        </w:rPr>
        <w:t xml:space="preserve">New Zealand-sourced retirement </w:t>
      </w:r>
      <w:bookmarkEnd w:id="3"/>
      <w:r w:rsidRPr="000341CB">
        <w:rPr>
          <w:rFonts w:ascii="Arial" w:hAnsi="Arial"/>
          <w:sz w:val="20"/>
          <w:lang w:val="en-GB"/>
        </w:rPr>
        <w:t xml:space="preserve">savings held in </w:t>
      </w:r>
      <w:r>
        <w:rPr>
          <w:rFonts w:ascii="Arial" w:hAnsi="Arial"/>
          <w:sz w:val="20"/>
          <w:lang w:val="en-GB"/>
        </w:rPr>
        <w:t>Australian superannuation funds</w:t>
      </w:r>
      <w:r w:rsidRPr="000341CB">
        <w:rPr>
          <w:rFonts w:ascii="Arial" w:hAnsi="Arial"/>
          <w:sz w:val="20"/>
          <w:lang w:val="en-GB"/>
        </w:rPr>
        <w:t xml:space="preserve"> may </w:t>
      </w:r>
      <w:r w:rsidRPr="000341CB">
        <w:rPr>
          <w:rFonts w:ascii="Arial" w:hAnsi="Arial"/>
          <w:sz w:val="20"/>
          <w:lang w:val="en-GB"/>
        </w:rPr>
        <w:lastRenderedPageBreak/>
        <w:t>only be transferred to and held in complying superannuation funds that are regulated by the Australian Prudential Regulation Authority</w:t>
      </w:r>
      <w:r w:rsidR="00B87489">
        <w:rPr>
          <w:rFonts w:ascii="Arial" w:hAnsi="Arial"/>
          <w:sz w:val="20"/>
          <w:lang w:val="en-GB"/>
        </w:rPr>
        <w:t xml:space="preserve"> (APRA)</w:t>
      </w:r>
      <w:r>
        <w:rPr>
          <w:rFonts w:ascii="Arial" w:hAnsi="Arial"/>
          <w:sz w:val="20"/>
          <w:lang w:val="en-GB"/>
        </w:rPr>
        <w:t xml:space="preserve"> and </w:t>
      </w:r>
      <w:r w:rsidRPr="000341CB">
        <w:rPr>
          <w:rFonts w:ascii="Arial" w:hAnsi="Arial"/>
          <w:sz w:val="20"/>
          <w:lang w:val="en-GB"/>
        </w:rPr>
        <w:t xml:space="preserve">may not be transferred to or held </w:t>
      </w:r>
      <w:r>
        <w:rPr>
          <w:rFonts w:ascii="Arial" w:hAnsi="Arial"/>
          <w:sz w:val="20"/>
          <w:lang w:val="en-GB"/>
        </w:rPr>
        <w:t>in SMSFs.  This is reiterated in Example 1.1 in the EM.</w:t>
      </w:r>
    </w:p>
    <w:p w:rsidR="000341CB" w:rsidRDefault="000341CB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</w:p>
    <w:p w:rsidR="000341CB" w:rsidRDefault="000341CB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 xml:space="preserve">SPAA believes that this restriction as to where </w:t>
      </w:r>
      <w:r w:rsidRPr="000341CB">
        <w:rPr>
          <w:rFonts w:ascii="Arial" w:hAnsi="Arial"/>
          <w:sz w:val="20"/>
          <w:lang w:val="en-GB"/>
        </w:rPr>
        <w:t>New Zealand-sourced retirement savings</w:t>
      </w:r>
      <w:r>
        <w:rPr>
          <w:rFonts w:ascii="Arial" w:hAnsi="Arial"/>
          <w:sz w:val="20"/>
          <w:lang w:val="en-GB"/>
        </w:rPr>
        <w:t xml:space="preserve"> can be directed in Australia is unneeded and unwarranted</w:t>
      </w:r>
      <w:r w:rsidR="00F70226">
        <w:rPr>
          <w:rFonts w:ascii="Arial" w:hAnsi="Arial"/>
          <w:sz w:val="20"/>
          <w:lang w:val="en-GB"/>
        </w:rPr>
        <w:t xml:space="preserve">.  The restriction is especially unwarranted in light of the </w:t>
      </w:r>
      <w:r w:rsidR="00752217">
        <w:rPr>
          <w:rFonts w:ascii="Arial" w:hAnsi="Arial"/>
          <w:sz w:val="20"/>
          <w:lang w:val="en-GB"/>
        </w:rPr>
        <w:t>R</w:t>
      </w:r>
      <w:r w:rsidR="00752217" w:rsidRPr="00752217">
        <w:rPr>
          <w:rFonts w:ascii="Arial" w:hAnsi="Arial"/>
          <w:sz w:val="20"/>
          <w:lang w:val="en-GB"/>
        </w:rPr>
        <w:t>eview into the governance,</w:t>
      </w:r>
      <w:r w:rsidR="00752217">
        <w:rPr>
          <w:rFonts w:ascii="Arial" w:hAnsi="Arial"/>
          <w:sz w:val="20"/>
          <w:lang w:val="en-GB"/>
        </w:rPr>
        <w:t xml:space="preserve"> e</w:t>
      </w:r>
      <w:r w:rsidR="00752217" w:rsidRPr="00752217">
        <w:rPr>
          <w:rFonts w:ascii="Arial" w:hAnsi="Arial"/>
          <w:sz w:val="20"/>
          <w:lang w:val="en-GB"/>
        </w:rPr>
        <w:t>fficiency, structure and operation of</w:t>
      </w:r>
      <w:r w:rsidR="00752217">
        <w:rPr>
          <w:rFonts w:ascii="Arial" w:hAnsi="Arial"/>
          <w:sz w:val="20"/>
          <w:lang w:val="en-GB"/>
        </w:rPr>
        <w:t xml:space="preserve"> </w:t>
      </w:r>
      <w:r w:rsidR="00752217" w:rsidRPr="00752217">
        <w:rPr>
          <w:rFonts w:ascii="Arial" w:hAnsi="Arial"/>
          <w:sz w:val="20"/>
          <w:lang w:val="en-GB"/>
        </w:rPr>
        <w:t>Australia’s superannuation system</w:t>
      </w:r>
      <w:r w:rsidR="005D377A">
        <w:rPr>
          <w:rFonts w:ascii="Arial" w:hAnsi="Arial"/>
          <w:sz w:val="20"/>
          <w:lang w:val="en-GB"/>
        </w:rPr>
        <w:t xml:space="preserve"> (the Cooper Review)</w:t>
      </w:r>
      <w:r w:rsidR="00752217" w:rsidRPr="00752217">
        <w:rPr>
          <w:rFonts w:ascii="Arial" w:hAnsi="Arial"/>
          <w:sz w:val="20"/>
          <w:lang w:val="en-GB"/>
        </w:rPr>
        <w:t xml:space="preserve"> </w:t>
      </w:r>
      <w:r w:rsidR="005300EB">
        <w:rPr>
          <w:rFonts w:ascii="Arial" w:hAnsi="Arial"/>
          <w:sz w:val="20"/>
          <w:lang w:val="en-GB"/>
        </w:rPr>
        <w:t>findings</w:t>
      </w:r>
      <w:r w:rsidR="005D377A">
        <w:rPr>
          <w:rFonts w:ascii="Arial" w:hAnsi="Arial"/>
          <w:sz w:val="20"/>
          <w:lang w:val="en-GB"/>
        </w:rPr>
        <w:t xml:space="preserve"> that</w:t>
      </w:r>
      <w:r w:rsidR="00752217">
        <w:rPr>
          <w:rFonts w:ascii="Arial" w:hAnsi="Arial"/>
          <w:sz w:val="20"/>
          <w:lang w:val="en-GB"/>
        </w:rPr>
        <w:t xml:space="preserve"> the SMSF sector was </w:t>
      </w:r>
      <w:r w:rsidR="00F70226">
        <w:rPr>
          <w:rFonts w:ascii="Arial" w:hAnsi="Arial"/>
          <w:sz w:val="20"/>
          <w:lang w:val="en-GB"/>
        </w:rPr>
        <w:t>“</w:t>
      </w:r>
      <w:r w:rsidR="00F70226" w:rsidRPr="00F70226">
        <w:rPr>
          <w:rFonts w:ascii="Arial" w:hAnsi="Arial"/>
          <w:sz w:val="20"/>
          <w:lang w:val="en-AU"/>
        </w:rPr>
        <w:t>largely a successful and</w:t>
      </w:r>
      <w:r w:rsidR="00F70226">
        <w:rPr>
          <w:rFonts w:ascii="Arial" w:hAnsi="Arial"/>
          <w:sz w:val="20"/>
          <w:lang w:val="en-AU"/>
        </w:rPr>
        <w:t xml:space="preserve"> </w:t>
      </w:r>
      <w:r w:rsidR="00F70226" w:rsidRPr="00F70226">
        <w:rPr>
          <w:rFonts w:ascii="Arial" w:hAnsi="Arial"/>
          <w:sz w:val="20"/>
          <w:lang w:val="en-AU"/>
        </w:rPr>
        <w:t>well</w:t>
      </w:r>
      <w:r w:rsidR="00F70226" w:rsidRPr="00F70226">
        <w:rPr>
          <w:rFonts w:ascii="Cambria Math" w:hAnsi="Cambria Math" w:cs="Cambria Math"/>
          <w:sz w:val="20"/>
          <w:lang w:val="en-AU"/>
        </w:rPr>
        <w:t>‐</w:t>
      </w:r>
      <w:r w:rsidR="00F70226" w:rsidRPr="00F70226">
        <w:rPr>
          <w:rFonts w:ascii="Arial" w:hAnsi="Arial"/>
          <w:sz w:val="20"/>
          <w:lang w:val="en-AU"/>
        </w:rPr>
        <w:t>functioning part of the system</w:t>
      </w:r>
      <w:r w:rsidR="00F70226">
        <w:rPr>
          <w:rFonts w:ascii="Arial" w:hAnsi="Arial"/>
          <w:sz w:val="20"/>
          <w:lang w:val="en-AU"/>
        </w:rPr>
        <w:t xml:space="preserve">” and did not recommend any </w:t>
      </w:r>
      <w:r w:rsidR="00752217">
        <w:rPr>
          <w:rFonts w:ascii="Arial" w:hAnsi="Arial"/>
          <w:sz w:val="20"/>
          <w:lang w:val="en-AU"/>
        </w:rPr>
        <w:t>significant</w:t>
      </w:r>
      <w:r w:rsidR="00F70226">
        <w:rPr>
          <w:rFonts w:ascii="Arial" w:hAnsi="Arial"/>
          <w:sz w:val="20"/>
          <w:lang w:val="en-AU"/>
        </w:rPr>
        <w:t xml:space="preserve"> changes to the operation or regulation of SMSFs</w:t>
      </w:r>
      <w:r w:rsidR="00752217">
        <w:rPr>
          <w:rFonts w:ascii="Arial" w:hAnsi="Arial"/>
          <w:sz w:val="20"/>
          <w:lang w:val="en-AU"/>
        </w:rPr>
        <w:t>.</w:t>
      </w:r>
      <w:r w:rsidR="005D377A">
        <w:rPr>
          <w:rFonts w:ascii="Arial" w:hAnsi="Arial"/>
          <w:sz w:val="20"/>
          <w:lang w:val="en-AU"/>
        </w:rPr>
        <w:t xml:space="preserve">  </w:t>
      </w:r>
      <w:r w:rsidR="003460F3">
        <w:rPr>
          <w:rFonts w:ascii="Arial" w:hAnsi="Arial"/>
          <w:sz w:val="20"/>
          <w:lang w:val="en-AU"/>
        </w:rPr>
        <w:t>SPAA is aware that the finding</w:t>
      </w:r>
      <w:r w:rsidR="005300EB">
        <w:rPr>
          <w:rFonts w:ascii="Arial" w:hAnsi="Arial"/>
          <w:sz w:val="20"/>
          <w:lang w:val="en-AU"/>
        </w:rPr>
        <w:t>s</w:t>
      </w:r>
      <w:r w:rsidR="003460F3">
        <w:rPr>
          <w:rFonts w:ascii="Arial" w:hAnsi="Arial"/>
          <w:sz w:val="20"/>
          <w:lang w:val="en-AU"/>
        </w:rPr>
        <w:t xml:space="preserve"> of the Cooper Review</w:t>
      </w:r>
      <w:r w:rsidR="00C470D1">
        <w:rPr>
          <w:rFonts w:ascii="Arial" w:hAnsi="Arial"/>
          <w:sz w:val="20"/>
          <w:lang w:val="en-AU"/>
        </w:rPr>
        <w:t xml:space="preserve"> regarding SMSFs may have been unavailable at the time the Memorandum of Understanding was negotiated with the New Zealand Government.  However, now that these finding are available to the Government, </w:t>
      </w:r>
      <w:r w:rsidR="00ED12AC">
        <w:rPr>
          <w:rFonts w:ascii="Arial" w:hAnsi="Arial"/>
          <w:sz w:val="20"/>
          <w:lang w:val="en-AU"/>
        </w:rPr>
        <w:t xml:space="preserve">SMSFs </w:t>
      </w:r>
      <w:r w:rsidR="00C470D1">
        <w:rPr>
          <w:rFonts w:ascii="Arial" w:hAnsi="Arial"/>
          <w:sz w:val="20"/>
          <w:lang w:val="en-AU"/>
        </w:rPr>
        <w:t>should be regarded as</w:t>
      </w:r>
      <w:r w:rsidR="00ED12AC">
        <w:rPr>
          <w:rFonts w:ascii="Arial" w:hAnsi="Arial"/>
          <w:sz w:val="20"/>
          <w:lang w:val="en-AU"/>
        </w:rPr>
        <w:t xml:space="preserve"> an appropriate </w:t>
      </w:r>
      <w:r w:rsidR="005D377A">
        <w:rPr>
          <w:rFonts w:ascii="Arial" w:hAnsi="Arial"/>
          <w:sz w:val="20"/>
          <w:lang w:val="en-AU"/>
        </w:rPr>
        <w:t xml:space="preserve">destination for </w:t>
      </w:r>
      <w:r w:rsidR="005D377A" w:rsidRPr="000341CB">
        <w:rPr>
          <w:rFonts w:ascii="Arial" w:hAnsi="Arial"/>
          <w:sz w:val="20"/>
          <w:lang w:val="en-GB"/>
        </w:rPr>
        <w:t>New Zealand-sourced retirement</w:t>
      </w:r>
      <w:r w:rsidR="00DB7AE0">
        <w:rPr>
          <w:rFonts w:ascii="Arial" w:hAnsi="Arial"/>
          <w:sz w:val="20"/>
          <w:lang w:val="en-GB"/>
        </w:rPr>
        <w:t xml:space="preserve"> savings</w:t>
      </w:r>
      <w:r w:rsidR="00ED12AC">
        <w:rPr>
          <w:rFonts w:ascii="Arial" w:hAnsi="Arial"/>
          <w:sz w:val="20"/>
          <w:lang w:val="en-GB"/>
        </w:rPr>
        <w:t>.</w:t>
      </w:r>
    </w:p>
    <w:p w:rsidR="000341CB" w:rsidRDefault="000341CB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</w:p>
    <w:p w:rsidR="00752217" w:rsidRDefault="00ED12AC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 xml:space="preserve">The suitability of SMSFs as a destination for New Zealand-sourced retirement </w:t>
      </w:r>
      <w:r w:rsidR="00166F45">
        <w:rPr>
          <w:rFonts w:ascii="Arial" w:hAnsi="Arial"/>
          <w:sz w:val="20"/>
          <w:lang w:val="en-GB"/>
        </w:rPr>
        <w:t>savings</w:t>
      </w:r>
      <w:r>
        <w:rPr>
          <w:rFonts w:ascii="Arial" w:hAnsi="Arial"/>
          <w:sz w:val="20"/>
          <w:lang w:val="en-GB"/>
        </w:rPr>
        <w:t xml:space="preserve"> </w:t>
      </w:r>
      <w:r w:rsidR="005300EB">
        <w:rPr>
          <w:rFonts w:ascii="Arial" w:hAnsi="Arial"/>
          <w:sz w:val="20"/>
          <w:lang w:val="en-GB"/>
        </w:rPr>
        <w:t xml:space="preserve">is </w:t>
      </w:r>
      <w:r>
        <w:rPr>
          <w:rFonts w:ascii="Arial" w:hAnsi="Arial"/>
          <w:sz w:val="20"/>
          <w:lang w:val="en-GB"/>
        </w:rPr>
        <w:t>strengthened by the c</w:t>
      </w:r>
      <w:r w:rsidR="00752217">
        <w:rPr>
          <w:rFonts w:ascii="Arial" w:hAnsi="Arial"/>
          <w:sz w:val="20"/>
          <w:lang w:val="en-GB"/>
        </w:rPr>
        <w:t xml:space="preserve">ompliance based regulation </w:t>
      </w:r>
      <w:r w:rsidR="00B87489">
        <w:rPr>
          <w:rFonts w:ascii="Arial" w:hAnsi="Arial"/>
          <w:sz w:val="20"/>
          <w:lang w:val="en-GB"/>
        </w:rPr>
        <w:t xml:space="preserve">undertaken </w:t>
      </w:r>
      <w:r w:rsidR="00752217">
        <w:rPr>
          <w:rFonts w:ascii="Arial" w:hAnsi="Arial"/>
          <w:sz w:val="20"/>
          <w:lang w:val="en-GB"/>
        </w:rPr>
        <w:t>by</w:t>
      </w:r>
      <w:r w:rsidR="00B87489">
        <w:rPr>
          <w:rFonts w:ascii="Arial" w:hAnsi="Arial"/>
          <w:sz w:val="20"/>
          <w:lang w:val="en-GB"/>
        </w:rPr>
        <w:t xml:space="preserve"> the Australian Taxation Office</w:t>
      </w:r>
      <w:r w:rsidR="00752217">
        <w:rPr>
          <w:rFonts w:ascii="Arial" w:hAnsi="Arial"/>
          <w:sz w:val="20"/>
          <w:lang w:val="en-GB"/>
        </w:rPr>
        <w:t xml:space="preserve"> </w:t>
      </w:r>
      <w:r w:rsidR="00B87489">
        <w:rPr>
          <w:rFonts w:ascii="Arial" w:hAnsi="Arial"/>
          <w:sz w:val="20"/>
          <w:lang w:val="en-GB"/>
        </w:rPr>
        <w:t>(</w:t>
      </w:r>
      <w:r w:rsidR="00752217">
        <w:rPr>
          <w:rFonts w:ascii="Arial" w:hAnsi="Arial"/>
          <w:sz w:val="20"/>
          <w:lang w:val="en-GB"/>
        </w:rPr>
        <w:t>ATO</w:t>
      </w:r>
      <w:r w:rsidR="00B87489">
        <w:rPr>
          <w:rFonts w:ascii="Arial" w:hAnsi="Arial"/>
          <w:sz w:val="20"/>
          <w:lang w:val="en-GB"/>
        </w:rPr>
        <w:t>)</w:t>
      </w:r>
      <w:r w:rsidR="00752217">
        <w:rPr>
          <w:rFonts w:ascii="Arial" w:hAnsi="Arial"/>
          <w:sz w:val="20"/>
          <w:lang w:val="en-GB"/>
        </w:rPr>
        <w:t>.</w:t>
      </w:r>
      <w:r w:rsidR="00B87489">
        <w:rPr>
          <w:rFonts w:ascii="Arial" w:hAnsi="Arial"/>
          <w:sz w:val="20"/>
          <w:lang w:val="en-GB"/>
        </w:rPr>
        <w:t xml:space="preserve">  SMSFs are subject to very similar regulatory obligations under the taxation and superannuation laws as APRA </w:t>
      </w:r>
      <w:r w:rsidR="00146F0F">
        <w:rPr>
          <w:rFonts w:ascii="Arial" w:hAnsi="Arial"/>
          <w:sz w:val="20"/>
          <w:lang w:val="en-GB"/>
        </w:rPr>
        <w:t xml:space="preserve">regulated </w:t>
      </w:r>
      <w:r w:rsidR="00B87489">
        <w:rPr>
          <w:rFonts w:ascii="Arial" w:hAnsi="Arial"/>
          <w:sz w:val="20"/>
          <w:lang w:val="en-GB"/>
        </w:rPr>
        <w:t xml:space="preserve">funds and regulated accordingly by the ATO.  </w:t>
      </w:r>
      <w:r w:rsidR="00783EAD">
        <w:rPr>
          <w:rFonts w:ascii="Arial" w:hAnsi="Arial"/>
          <w:sz w:val="20"/>
          <w:lang w:val="en-GB"/>
        </w:rPr>
        <w:t xml:space="preserve">These laws in conjunction with ATO regulatory activities prevent any misuse of SMSFs.  </w:t>
      </w:r>
      <w:r w:rsidR="00B87489">
        <w:rPr>
          <w:rFonts w:ascii="Arial" w:hAnsi="Arial"/>
          <w:sz w:val="20"/>
          <w:lang w:val="en-GB"/>
        </w:rPr>
        <w:t>Further, t</w:t>
      </w:r>
      <w:r w:rsidR="00B87489" w:rsidRPr="00B87489">
        <w:rPr>
          <w:rFonts w:ascii="Arial" w:hAnsi="Arial"/>
          <w:sz w:val="20"/>
          <w:lang w:val="en-AU"/>
        </w:rPr>
        <w:t xml:space="preserve">he rate of compliance by SMSFs with taxation and </w:t>
      </w:r>
      <w:r w:rsidR="00B87489">
        <w:rPr>
          <w:rFonts w:ascii="Arial" w:hAnsi="Arial"/>
          <w:sz w:val="20"/>
          <w:lang w:val="en-AU"/>
        </w:rPr>
        <w:t>superannuation</w:t>
      </w:r>
      <w:r w:rsidR="00B87489" w:rsidRPr="00B87489">
        <w:rPr>
          <w:rFonts w:ascii="Arial" w:hAnsi="Arial"/>
          <w:sz w:val="20"/>
          <w:lang w:val="en-AU"/>
        </w:rPr>
        <w:t xml:space="preserve"> laws is high.  The </w:t>
      </w:r>
      <w:r w:rsidR="00B87489">
        <w:rPr>
          <w:rFonts w:ascii="Arial" w:hAnsi="Arial"/>
          <w:sz w:val="20"/>
          <w:lang w:val="en-AU"/>
        </w:rPr>
        <w:t>ATO</w:t>
      </w:r>
      <w:r w:rsidR="00B87489" w:rsidRPr="00B87489">
        <w:rPr>
          <w:rFonts w:ascii="Arial" w:hAnsi="Arial"/>
          <w:sz w:val="20"/>
          <w:lang w:val="en-AU"/>
        </w:rPr>
        <w:t xml:space="preserve"> has revealed that for the</w:t>
      </w:r>
      <w:r w:rsidR="00783EAD">
        <w:rPr>
          <w:rFonts w:ascii="Arial" w:hAnsi="Arial"/>
          <w:sz w:val="20"/>
        </w:rPr>
        <w:t xml:space="preserve"> audit years ended 30 </w:t>
      </w:r>
      <w:r w:rsidR="00DA782E">
        <w:rPr>
          <w:rFonts w:ascii="Arial" w:hAnsi="Arial"/>
          <w:sz w:val="20"/>
        </w:rPr>
        <w:t>June </w:t>
      </w:r>
      <w:r w:rsidR="00B87489" w:rsidRPr="00B87489">
        <w:rPr>
          <w:rFonts w:ascii="Arial" w:hAnsi="Arial"/>
          <w:sz w:val="20"/>
        </w:rPr>
        <w:t>2004 to 30 June 2009</w:t>
      </w:r>
      <w:r w:rsidR="00DA782E">
        <w:rPr>
          <w:rFonts w:ascii="Arial" w:hAnsi="Arial"/>
          <w:sz w:val="20"/>
        </w:rPr>
        <w:t>,</w:t>
      </w:r>
      <w:r w:rsidR="00B87489" w:rsidRPr="00B87489">
        <w:rPr>
          <w:rFonts w:ascii="Arial" w:hAnsi="Arial"/>
          <w:sz w:val="20"/>
        </w:rPr>
        <w:t xml:space="preserve"> SMSF contraventions of the </w:t>
      </w:r>
      <w:r w:rsidR="00DA782E">
        <w:rPr>
          <w:rFonts w:ascii="Arial" w:hAnsi="Arial"/>
          <w:sz w:val="20"/>
        </w:rPr>
        <w:t>taxation and superannuation laws</w:t>
      </w:r>
      <w:r w:rsidR="00B87489" w:rsidRPr="00B87489">
        <w:rPr>
          <w:rFonts w:ascii="Arial" w:hAnsi="Arial"/>
          <w:sz w:val="20"/>
        </w:rPr>
        <w:t xml:space="preserve"> occurred at a low rate of only </w:t>
      </w:r>
      <w:r w:rsidR="00166F45">
        <w:rPr>
          <w:rFonts w:ascii="Arial" w:hAnsi="Arial"/>
          <w:sz w:val="20"/>
        </w:rPr>
        <w:t>two percent</w:t>
      </w:r>
      <w:r w:rsidR="00B87489" w:rsidRPr="00B87489">
        <w:rPr>
          <w:rFonts w:ascii="Arial" w:hAnsi="Arial"/>
          <w:sz w:val="20"/>
        </w:rPr>
        <w:t xml:space="preserve"> of all SMSFs operating in those years having contravened.</w:t>
      </w:r>
      <w:r w:rsidR="00B87489">
        <w:rPr>
          <w:rStyle w:val="FootnoteReference"/>
          <w:rFonts w:ascii="Arial" w:hAnsi="Arial"/>
          <w:sz w:val="20"/>
        </w:rPr>
        <w:footnoteReference w:id="1"/>
      </w:r>
      <w:r w:rsidR="00146F0F">
        <w:rPr>
          <w:rFonts w:ascii="Arial" w:hAnsi="Arial"/>
          <w:sz w:val="20"/>
        </w:rPr>
        <w:t xml:space="preserve">  </w:t>
      </w:r>
      <w:r w:rsidR="008F41C4">
        <w:rPr>
          <w:rFonts w:ascii="Arial" w:hAnsi="Arial"/>
          <w:sz w:val="20"/>
        </w:rPr>
        <w:t xml:space="preserve">In addition, the ATO actively monitors and regulates the SMSF sector for incidences of theft and fraud, reducing the threat of SMSFs being abused to allow illegal </w:t>
      </w:r>
      <w:r w:rsidR="00266C13">
        <w:rPr>
          <w:rFonts w:ascii="Arial" w:hAnsi="Arial"/>
          <w:sz w:val="20"/>
        </w:rPr>
        <w:t>access to</w:t>
      </w:r>
      <w:r w:rsidR="008F41C4">
        <w:rPr>
          <w:rFonts w:ascii="Arial" w:hAnsi="Arial"/>
          <w:sz w:val="20"/>
        </w:rPr>
        <w:t xml:space="preserve"> retirement savings.  For instance the ATO have cited the decline in i</w:t>
      </w:r>
      <w:r w:rsidR="008F41C4" w:rsidRPr="008F41C4">
        <w:rPr>
          <w:rFonts w:ascii="Arial" w:hAnsi="Arial"/>
          <w:sz w:val="20"/>
        </w:rPr>
        <w:t>llegal early release schemes</w:t>
      </w:r>
      <w:r w:rsidR="008F41C4">
        <w:rPr>
          <w:rFonts w:ascii="Arial" w:hAnsi="Arial"/>
          <w:sz w:val="20"/>
        </w:rPr>
        <w:t xml:space="preserve"> featuring SMSFs as being</w:t>
      </w:r>
      <w:r w:rsidR="008F41C4" w:rsidRPr="008F41C4">
        <w:rPr>
          <w:rFonts w:ascii="Arial" w:hAnsi="Arial"/>
          <w:sz w:val="20"/>
        </w:rPr>
        <w:t xml:space="preserve"> </w:t>
      </w:r>
      <w:r w:rsidR="00266C13">
        <w:rPr>
          <w:rFonts w:ascii="Arial" w:hAnsi="Arial"/>
          <w:sz w:val="20"/>
        </w:rPr>
        <w:t>a result</w:t>
      </w:r>
      <w:r w:rsidR="008F41C4" w:rsidRPr="008F41C4">
        <w:rPr>
          <w:rFonts w:ascii="Arial" w:hAnsi="Arial"/>
          <w:sz w:val="20"/>
        </w:rPr>
        <w:t xml:space="preserve"> of </w:t>
      </w:r>
      <w:r w:rsidR="008F41C4">
        <w:rPr>
          <w:rFonts w:ascii="Arial" w:hAnsi="Arial"/>
          <w:sz w:val="20"/>
        </w:rPr>
        <w:t xml:space="preserve">the ATO </w:t>
      </w:r>
      <w:r w:rsidR="008F41C4" w:rsidRPr="008F41C4">
        <w:rPr>
          <w:rFonts w:ascii="Arial" w:hAnsi="Arial"/>
          <w:sz w:val="20"/>
        </w:rPr>
        <w:t xml:space="preserve">risk assessing newly registered funds, </w:t>
      </w:r>
      <w:r w:rsidR="00DA7E3B" w:rsidRPr="008F41C4">
        <w:rPr>
          <w:rFonts w:ascii="Arial" w:hAnsi="Arial"/>
          <w:sz w:val="20"/>
        </w:rPr>
        <w:t>shar</w:t>
      </w:r>
      <w:r w:rsidR="00DA7E3B">
        <w:rPr>
          <w:rFonts w:ascii="Arial" w:hAnsi="Arial"/>
          <w:sz w:val="20"/>
        </w:rPr>
        <w:t>ing</w:t>
      </w:r>
      <w:r w:rsidR="00DA7E3B" w:rsidRPr="008F41C4">
        <w:rPr>
          <w:rFonts w:ascii="Arial" w:hAnsi="Arial"/>
          <w:sz w:val="20"/>
        </w:rPr>
        <w:t xml:space="preserve"> intelligence </w:t>
      </w:r>
      <w:r w:rsidR="008F41C4" w:rsidRPr="008F41C4">
        <w:rPr>
          <w:rFonts w:ascii="Arial" w:hAnsi="Arial"/>
          <w:sz w:val="20"/>
        </w:rPr>
        <w:t>with the super</w:t>
      </w:r>
      <w:r w:rsidR="00DA7E3B">
        <w:rPr>
          <w:rFonts w:ascii="Arial" w:hAnsi="Arial"/>
          <w:sz w:val="20"/>
        </w:rPr>
        <w:t>annuation</w:t>
      </w:r>
      <w:r w:rsidR="008F41C4" w:rsidRPr="008F41C4">
        <w:rPr>
          <w:rFonts w:ascii="Arial" w:hAnsi="Arial"/>
          <w:sz w:val="20"/>
        </w:rPr>
        <w:t xml:space="preserve"> industry to </w:t>
      </w:r>
      <w:proofErr w:type="spellStart"/>
      <w:r w:rsidR="008F41C4" w:rsidRPr="008F41C4">
        <w:rPr>
          <w:rFonts w:ascii="Arial" w:hAnsi="Arial"/>
          <w:sz w:val="20"/>
        </w:rPr>
        <w:t>minimise</w:t>
      </w:r>
      <w:proofErr w:type="spellEnd"/>
      <w:r w:rsidR="008F41C4" w:rsidRPr="008F41C4">
        <w:rPr>
          <w:rFonts w:ascii="Arial" w:hAnsi="Arial"/>
          <w:sz w:val="20"/>
        </w:rPr>
        <w:t xml:space="preserve"> risks and fraud and the ATO member verification system.</w:t>
      </w:r>
      <w:r w:rsidR="00DA7E3B">
        <w:rPr>
          <w:rStyle w:val="FootnoteReference"/>
          <w:rFonts w:ascii="Arial" w:hAnsi="Arial"/>
          <w:sz w:val="20"/>
        </w:rPr>
        <w:footnoteReference w:id="2"/>
      </w:r>
      <w:r w:rsidR="008F41C4">
        <w:rPr>
          <w:rFonts w:ascii="Arial" w:hAnsi="Arial"/>
          <w:sz w:val="20"/>
        </w:rPr>
        <w:t xml:space="preserve">  </w:t>
      </w:r>
      <w:r w:rsidR="00146F0F">
        <w:rPr>
          <w:rFonts w:ascii="Arial" w:hAnsi="Arial"/>
          <w:sz w:val="20"/>
        </w:rPr>
        <w:t>Accordingly</w:t>
      </w:r>
      <w:r w:rsidR="008C589B">
        <w:rPr>
          <w:rFonts w:ascii="Arial" w:hAnsi="Arial"/>
          <w:sz w:val="20"/>
        </w:rPr>
        <w:t>, there</w:t>
      </w:r>
      <w:r w:rsidR="00146F0F">
        <w:rPr>
          <w:rFonts w:ascii="Arial" w:hAnsi="Arial"/>
          <w:sz w:val="20"/>
        </w:rPr>
        <w:t xml:space="preserve"> is little risk in allowing SMSFs to hold or receive New Zealand-sourced retirement savings</w:t>
      </w:r>
      <w:r w:rsidR="008C589B">
        <w:rPr>
          <w:rFonts w:ascii="Arial" w:hAnsi="Arial"/>
          <w:sz w:val="20"/>
        </w:rPr>
        <w:t>.</w:t>
      </w:r>
    </w:p>
    <w:p w:rsidR="00752217" w:rsidRDefault="00752217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</w:p>
    <w:p w:rsidR="008C589B" w:rsidRDefault="008C589B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 xml:space="preserve">SPAA is also concerned that the exposure drafts exclusion of SMSFs will possibly result in approximately </w:t>
      </w:r>
      <w:r w:rsidR="00266C13">
        <w:rPr>
          <w:rFonts w:ascii="Arial" w:hAnsi="Arial"/>
          <w:sz w:val="20"/>
          <w:lang w:val="en-GB"/>
        </w:rPr>
        <w:t>one-</w:t>
      </w:r>
      <w:r>
        <w:rPr>
          <w:rFonts w:ascii="Arial" w:hAnsi="Arial"/>
          <w:sz w:val="20"/>
          <w:lang w:val="en-GB"/>
        </w:rPr>
        <w:t>third of the superannuation industry not being able to be part of the trans-</w:t>
      </w:r>
      <w:r>
        <w:rPr>
          <w:rFonts w:ascii="Arial" w:hAnsi="Arial"/>
          <w:sz w:val="20"/>
          <w:lang w:val="en-GB"/>
        </w:rPr>
        <w:lastRenderedPageBreak/>
        <w:t xml:space="preserve">Tasman portability scheme.  This could </w:t>
      </w:r>
      <w:r w:rsidR="00166F45">
        <w:rPr>
          <w:rFonts w:ascii="Arial" w:hAnsi="Arial"/>
          <w:sz w:val="20"/>
          <w:lang w:val="en-GB"/>
        </w:rPr>
        <w:t>significantly</w:t>
      </w:r>
      <w:r>
        <w:rPr>
          <w:rFonts w:ascii="Arial" w:hAnsi="Arial"/>
          <w:sz w:val="20"/>
          <w:lang w:val="en-GB"/>
        </w:rPr>
        <w:t xml:space="preserve"> reduce the effectiveness of the measure, with more and more Australians choosing SMSFs </w:t>
      </w:r>
      <w:r w:rsidR="003460F3">
        <w:rPr>
          <w:rFonts w:ascii="Arial" w:hAnsi="Arial"/>
          <w:sz w:val="20"/>
          <w:lang w:val="en-GB"/>
        </w:rPr>
        <w:t xml:space="preserve">as their preferred retirement savings vehicle </w:t>
      </w:r>
      <w:r>
        <w:rPr>
          <w:rFonts w:ascii="Arial" w:hAnsi="Arial"/>
          <w:sz w:val="20"/>
          <w:lang w:val="en-GB"/>
        </w:rPr>
        <w:t>to</w:t>
      </w:r>
      <w:r w:rsidR="00166F45">
        <w:rPr>
          <w:rFonts w:ascii="Arial" w:hAnsi="Arial"/>
          <w:sz w:val="20"/>
          <w:lang w:val="en-GB"/>
        </w:rPr>
        <w:t xml:space="preserve"> fund their retirement.  </w:t>
      </w:r>
      <w:r w:rsidR="00E6498E">
        <w:rPr>
          <w:rFonts w:ascii="Arial" w:hAnsi="Arial"/>
          <w:sz w:val="20"/>
          <w:lang w:val="en-GB"/>
        </w:rPr>
        <w:t xml:space="preserve">An example </w:t>
      </w:r>
      <w:r w:rsidR="006E682D">
        <w:rPr>
          <w:rFonts w:ascii="Arial" w:hAnsi="Arial"/>
          <w:sz w:val="20"/>
          <w:lang w:val="en-GB"/>
        </w:rPr>
        <w:t>of the</w:t>
      </w:r>
      <w:r w:rsidR="00E6498E">
        <w:rPr>
          <w:rFonts w:ascii="Arial" w:hAnsi="Arial"/>
          <w:sz w:val="20"/>
          <w:lang w:val="en-GB"/>
        </w:rPr>
        <w:t xml:space="preserve"> ineffectiveness of excluding SMSFs </w:t>
      </w:r>
      <w:r w:rsidR="001A31F9">
        <w:rPr>
          <w:rFonts w:ascii="Arial" w:hAnsi="Arial"/>
          <w:sz w:val="20"/>
          <w:lang w:val="en-GB"/>
        </w:rPr>
        <w:t>occurs where</w:t>
      </w:r>
      <w:r w:rsidR="006E682D">
        <w:rPr>
          <w:rFonts w:ascii="Arial" w:hAnsi="Arial"/>
          <w:sz w:val="20"/>
          <w:lang w:val="en-GB"/>
        </w:rPr>
        <w:t xml:space="preserve"> </w:t>
      </w:r>
      <w:r w:rsidR="006E682D" w:rsidRPr="006E682D">
        <w:rPr>
          <w:rFonts w:ascii="Arial" w:hAnsi="Arial"/>
          <w:sz w:val="20"/>
          <w:lang w:val="en-AU"/>
        </w:rPr>
        <w:t xml:space="preserve">someone who is a member of Kiwi Saver may not be able to rollover to an SMSF even if they meet the NZ condition of release at age 65. </w:t>
      </w:r>
      <w:r w:rsidR="001A31F9">
        <w:rPr>
          <w:rFonts w:ascii="Arial" w:hAnsi="Arial"/>
          <w:sz w:val="20"/>
          <w:lang w:val="en-AU"/>
        </w:rPr>
        <w:t xml:space="preserve"> For instance,</w:t>
      </w:r>
      <w:r w:rsidR="001A31F9" w:rsidRPr="001A31F9">
        <w:rPr>
          <w:rFonts w:ascii="Arial" w:hAnsi="Arial"/>
          <w:sz w:val="20"/>
          <w:lang w:val="en-AU"/>
        </w:rPr>
        <w:t xml:space="preserve"> someone who has immigrated to Australia many years ago </w:t>
      </w:r>
      <w:r w:rsidR="001A31F9">
        <w:rPr>
          <w:rFonts w:ascii="Arial" w:hAnsi="Arial"/>
          <w:sz w:val="20"/>
          <w:lang w:val="en-AU"/>
        </w:rPr>
        <w:t xml:space="preserve">from New Zealand </w:t>
      </w:r>
      <w:r w:rsidR="001A31F9" w:rsidRPr="001A31F9">
        <w:rPr>
          <w:rFonts w:ascii="Arial" w:hAnsi="Arial"/>
          <w:sz w:val="20"/>
          <w:lang w:val="en-AU"/>
        </w:rPr>
        <w:t>reaches age 65 wish</w:t>
      </w:r>
      <w:r w:rsidR="001A31F9">
        <w:rPr>
          <w:rFonts w:ascii="Arial" w:hAnsi="Arial"/>
          <w:sz w:val="20"/>
          <w:lang w:val="en-AU"/>
        </w:rPr>
        <w:t>es</w:t>
      </w:r>
      <w:r w:rsidR="001A31F9" w:rsidRPr="001A31F9">
        <w:rPr>
          <w:rFonts w:ascii="Arial" w:hAnsi="Arial"/>
          <w:sz w:val="20"/>
          <w:lang w:val="en-AU"/>
        </w:rPr>
        <w:t xml:space="preserve"> to rollover their Kiwi Saver account to Australia to add to their SMSF so they can commence an income stream from the</w:t>
      </w:r>
      <w:r w:rsidR="001A31F9">
        <w:rPr>
          <w:rFonts w:ascii="Arial" w:hAnsi="Arial"/>
          <w:sz w:val="20"/>
          <w:lang w:val="en-AU"/>
        </w:rPr>
        <w:t>ir</w:t>
      </w:r>
      <w:r w:rsidR="001A31F9" w:rsidRPr="001A31F9">
        <w:rPr>
          <w:rFonts w:ascii="Arial" w:hAnsi="Arial"/>
          <w:sz w:val="20"/>
          <w:lang w:val="en-AU"/>
        </w:rPr>
        <w:t xml:space="preserve"> Australian fund.</w:t>
      </w:r>
      <w:r w:rsidR="001A31F9">
        <w:rPr>
          <w:rFonts w:ascii="Arial" w:hAnsi="Arial"/>
          <w:sz w:val="20"/>
          <w:lang w:val="en-AU"/>
        </w:rPr>
        <w:t xml:space="preserve">  Under the proposed rules, they will be unable to undertake this roll-over.  </w:t>
      </w:r>
      <w:r w:rsidR="006E682D" w:rsidRPr="006E682D">
        <w:rPr>
          <w:rFonts w:ascii="Arial" w:hAnsi="Arial"/>
          <w:sz w:val="20"/>
          <w:lang w:val="en-AU"/>
        </w:rPr>
        <w:t>This may also apply for someone to rollover their benefit from Australia to NZ.</w:t>
      </w:r>
      <w:r w:rsidR="001A31F9">
        <w:rPr>
          <w:rFonts w:ascii="Arial" w:hAnsi="Arial"/>
          <w:sz w:val="20"/>
          <w:lang w:val="en-AU"/>
        </w:rPr>
        <w:t xml:space="preserve"> </w:t>
      </w:r>
      <w:r w:rsidR="006E682D" w:rsidRPr="006E682D">
        <w:rPr>
          <w:rFonts w:ascii="Arial" w:hAnsi="Arial"/>
          <w:sz w:val="20"/>
          <w:lang w:val="en-AU"/>
        </w:rPr>
        <w:t xml:space="preserve"> </w:t>
      </w:r>
      <w:r w:rsidR="00166F45">
        <w:rPr>
          <w:rFonts w:ascii="Arial" w:hAnsi="Arial"/>
          <w:sz w:val="20"/>
          <w:lang w:val="en-GB"/>
        </w:rPr>
        <w:t>Not allowing SMSFs to hold or receive New Zealand-sourced retirement savings in SMSFs will deter</w:t>
      </w:r>
      <w:r w:rsidR="003460F3">
        <w:rPr>
          <w:rFonts w:ascii="Arial" w:hAnsi="Arial"/>
          <w:sz w:val="20"/>
          <w:lang w:val="en-GB"/>
        </w:rPr>
        <w:t xml:space="preserve"> people from using this measure and also undermine choice and flexibility</w:t>
      </w:r>
      <w:r w:rsidR="00C470D1">
        <w:rPr>
          <w:rFonts w:ascii="Arial" w:hAnsi="Arial"/>
          <w:sz w:val="20"/>
          <w:lang w:val="en-GB"/>
        </w:rPr>
        <w:t xml:space="preserve"> in the superannuation system.</w:t>
      </w:r>
    </w:p>
    <w:p w:rsidR="00DA782E" w:rsidRDefault="00DA782E" w:rsidP="0020787E">
      <w:pPr>
        <w:spacing w:line="360" w:lineRule="auto"/>
        <w:jc w:val="both"/>
        <w:rPr>
          <w:rFonts w:ascii="Arial" w:hAnsi="Arial"/>
          <w:sz w:val="20"/>
          <w:lang w:val="en-GB"/>
        </w:rPr>
      </w:pPr>
    </w:p>
    <w:p w:rsidR="000341CB" w:rsidRPr="00462CA4" w:rsidRDefault="0020787E" w:rsidP="0020787E">
      <w:pPr>
        <w:spacing w:line="360" w:lineRule="auto"/>
        <w:jc w:val="both"/>
        <w:rPr>
          <w:rFonts w:ascii="Arial" w:hAnsi="Arial" w:cs="Arial"/>
          <w:sz w:val="20"/>
          <w:szCs w:val="22"/>
          <w:lang w:val="en-AU"/>
        </w:rPr>
      </w:pPr>
      <w:r>
        <w:rPr>
          <w:rFonts w:ascii="Arial" w:hAnsi="Arial"/>
          <w:sz w:val="20"/>
          <w:lang w:val="en-GB"/>
        </w:rPr>
        <w:t xml:space="preserve">Finally, we are concerned that </w:t>
      </w:r>
      <w:r w:rsidR="00207DD9">
        <w:rPr>
          <w:rFonts w:ascii="Arial" w:hAnsi="Arial"/>
          <w:sz w:val="20"/>
          <w:lang w:val="en-GB"/>
        </w:rPr>
        <w:t xml:space="preserve">the decision to exclude SMSFs from the trans-Tasman portability scheme undermines the Government’s policy that superannuation is the primary retirement savings vehicle for Australians.  Excluding </w:t>
      </w:r>
      <w:r w:rsidR="00266C13">
        <w:rPr>
          <w:rFonts w:ascii="Arial" w:hAnsi="Arial"/>
          <w:sz w:val="20"/>
          <w:lang w:val="en-GB"/>
        </w:rPr>
        <w:t>one-</w:t>
      </w:r>
      <w:r w:rsidR="00207DD9">
        <w:rPr>
          <w:rFonts w:ascii="Arial" w:hAnsi="Arial"/>
          <w:sz w:val="20"/>
          <w:lang w:val="en-GB"/>
        </w:rPr>
        <w:t xml:space="preserve">third of the superannuation sector </w:t>
      </w:r>
      <w:r w:rsidR="00DE0543">
        <w:rPr>
          <w:rFonts w:ascii="Arial" w:hAnsi="Arial"/>
          <w:sz w:val="20"/>
          <w:lang w:val="en-GB"/>
        </w:rPr>
        <w:t xml:space="preserve">from an international agreement </w:t>
      </w:r>
      <w:r w:rsidR="00207DD9">
        <w:rPr>
          <w:rFonts w:ascii="Arial" w:hAnsi="Arial"/>
          <w:sz w:val="20"/>
          <w:lang w:val="en-GB"/>
        </w:rPr>
        <w:t xml:space="preserve">by </w:t>
      </w:r>
      <w:r w:rsidR="00DE0543">
        <w:rPr>
          <w:rFonts w:ascii="Arial" w:hAnsi="Arial"/>
          <w:sz w:val="20"/>
          <w:lang w:val="en-GB"/>
        </w:rPr>
        <w:t xml:space="preserve">way of a </w:t>
      </w:r>
      <w:r w:rsidR="00207DD9">
        <w:rPr>
          <w:rFonts w:ascii="Arial" w:hAnsi="Arial"/>
          <w:sz w:val="20"/>
          <w:lang w:val="en-GB"/>
        </w:rPr>
        <w:t xml:space="preserve">Government decision sends the wrong message to Australians saving for retirement.  This decision </w:t>
      </w:r>
      <w:r w:rsidR="008A0400">
        <w:rPr>
          <w:rFonts w:ascii="Arial" w:hAnsi="Arial"/>
          <w:sz w:val="20"/>
          <w:lang w:val="en-GB"/>
        </w:rPr>
        <w:t>implies that the superannuation</w:t>
      </w:r>
      <w:r w:rsidR="00DE0543">
        <w:rPr>
          <w:rFonts w:ascii="Arial" w:hAnsi="Arial"/>
          <w:sz w:val="20"/>
          <w:lang w:val="en-GB"/>
        </w:rPr>
        <w:t xml:space="preserve"> sector is not a level playing field and that savers cannot have confidence that there chosen savings vehicle in the superannuation environment will receive treatment equal to other retirement savings vehicle</w:t>
      </w:r>
      <w:r w:rsidR="00266C13">
        <w:rPr>
          <w:rFonts w:ascii="Arial" w:hAnsi="Arial"/>
          <w:sz w:val="20"/>
          <w:lang w:val="en-GB"/>
        </w:rPr>
        <w:t>s</w:t>
      </w:r>
      <w:r w:rsidR="008A0400">
        <w:rPr>
          <w:rFonts w:ascii="Arial" w:hAnsi="Arial"/>
          <w:sz w:val="20"/>
          <w:lang w:val="en-GB"/>
        </w:rPr>
        <w:t xml:space="preserve">.  Excluding </w:t>
      </w:r>
      <w:r w:rsidR="00DA782E">
        <w:rPr>
          <w:rFonts w:ascii="Arial" w:hAnsi="Arial"/>
          <w:sz w:val="20"/>
          <w:lang w:val="en-GB"/>
        </w:rPr>
        <w:t xml:space="preserve">SMSFs </w:t>
      </w:r>
      <w:r>
        <w:rPr>
          <w:rFonts w:ascii="Arial" w:hAnsi="Arial"/>
          <w:sz w:val="20"/>
          <w:lang w:val="en-GB"/>
        </w:rPr>
        <w:t xml:space="preserve">from the trans-Tasman portability scheme unfairly places the SMSF sector </w:t>
      </w:r>
      <w:r w:rsidR="00DA782E">
        <w:rPr>
          <w:rFonts w:ascii="Arial" w:hAnsi="Arial"/>
          <w:sz w:val="20"/>
          <w:lang w:val="en-GB"/>
        </w:rPr>
        <w:t xml:space="preserve">at a disadvantage to APRA </w:t>
      </w:r>
      <w:r>
        <w:rPr>
          <w:rFonts w:ascii="Arial" w:hAnsi="Arial"/>
          <w:sz w:val="20"/>
          <w:lang w:val="en-GB"/>
        </w:rPr>
        <w:t xml:space="preserve">regulated </w:t>
      </w:r>
      <w:r w:rsidR="00DA782E">
        <w:rPr>
          <w:rFonts w:ascii="Arial" w:hAnsi="Arial"/>
          <w:sz w:val="20"/>
          <w:lang w:val="en-GB"/>
        </w:rPr>
        <w:t>funds</w:t>
      </w:r>
      <w:r>
        <w:rPr>
          <w:rFonts w:ascii="Arial" w:hAnsi="Arial"/>
          <w:sz w:val="20"/>
          <w:lang w:val="en-GB"/>
        </w:rPr>
        <w:t>.  SPAA believes that there should be a level playing field between SMSFs and APRA regulated funds</w:t>
      </w:r>
      <w:r w:rsidR="00445406">
        <w:rPr>
          <w:rFonts w:ascii="Arial" w:hAnsi="Arial"/>
          <w:sz w:val="20"/>
          <w:lang w:val="en-GB"/>
        </w:rPr>
        <w:t xml:space="preserve"> in regards to</w:t>
      </w:r>
      <w:r>
        <w:rPr>
          <w:rFonts w:ascii="Arial" w:hAnsi="Arial"/>
          <w:sz w:val="20"/>
          <w:lang w:val="en-GB"/>
        </w:rPr>
        <w:t xml:space="preserve"> receiving superannuation contributions and rollovers.  This results in a fairer and more competitive superannuation industry which will benefit all Australians that save for the </w:t>
      </w:r>
      <w:r w:rsidR="0044081B">
        <w:rPr>
          <w:rFonts w:ascii="Arial" w:hAnsi="Arial"/>
          <w:sz w:val="20"/>
          <w:lang w:val="en-GB"/>
        </w:rPr>
        <w:t>retirement</w:t>
      </w:r>
      <w:r>
        <w:rPr>
          <w:rFonts w:ascii="Arial" w:hAnsi="Arial"/>
          <w:sz w:val="20"/>
          <w:lang w:val="en-GB"/>
        </w:rPr>
        <w:t xml:space="preserve"> thorough superannuation.</w:t>
      </w:r>
    </w:p>
    <w:p w:rsidR="00752217" w:rsidRDefault="00752217" w:rsidP="0020787E">
      <w:pPr>
        <w:spacing w:line="360" w:lineRule="auto"/>
        <w:rPr>
          <w:rFonts w:ascii="Arial" w:hAnsi="Arial" w:cs="Arial"/>
          <w:sz w:val="20"/>
          <w:szCs w:val="22"/>
        </w:rPr>
      </w:pPr>
    </w:p>
    <w:p w:rsidR="00520553" w:rsidRPr="0035051D" w:rsidRDefault="00520553" w:rsidP="0020787E">
      <w:pPr>
        <w:spacing w:line="360" w:lineRule="auto"/>
        <w:rPr>
          <w:rFonts w:ascii="Arial" w:hAnsi="Arial" w:cs="Arial"/>
          <w:sz w:val="20"/>
          <w:szCs w:val="22"/>
        </w:rPr>
      </w:pPr>
      <w:r w:rsidRPr="0035051D">
        <w:rPr>
          <w:rFonts w:ascii="Arial" w:hAnsi="Arial" w:cs="Arial"/>
          <w:sz w:val="20"/>
          <w:szCs w:val="22"/>
        </w:rPr>
        <w:t xml:space="preserve">If you have any questions about our submission or would like any further information please do not hesitate to contact </w:t>
      </w:r>
      <w:r>
        <w:rPr>
          <w:rFonts w:ascii="Arial" w:hAnsi="Arial" w:cs="Arial"/>
          <w:sz w:val="20"/>
          <w:szCs w:val="22"/>
        </w:rPr>
        <w:t>us</w:t>
      </w:r>
      <w:r w:rsidRPr="0035051D">
        <w:rPr>
          <w:rFonts w:ascii="Arial" w:hAnsi="Arial" w:cs="Arial"/>
          <w:sz w:val="20"/>
          <w:szCs w:val="22"/>
        </w:rPr>
        <w:t>.</w:t>
      </w:r>
    </w:p>
    <w:p w:rsidR="00520553" w:rsidRPr="0035051D" w:rsidRDefault="00520553" w:rsidP="0020787E">
      <w:pPr>
        <w:spacing w:line="360" w:lineRule="auto"/>
        <w:jc w:val="both"/>
        <w:rPr>
          <w:rFonts w:ascii="Arial" w:hAnsi="Arial" w:cs="Arial"/>
          <w:sz w:val="20"/>
          <w:szCs w:val="22"/>
        </w:rPr>
      </w:pPr>
    </w:p>
    <w:p w:rsidR="00520553" w:rsidRDefault="00520553" w:rsidP="0020787E">
      <w:pPr>
        <w:spacing w:line="360" w:lineRule="auto"/>
        <w:rPr>
          <w:rFonts w:ascii="Arial" w:hAnsi="Arial" w:cs="Arial"/>
          <w:sz w:val="20"/>
          <w:szCs w:val="22"/>
        </w:rPr>
      </w:pPr>
      <w:r w:rsidRPr="001855F3">
        <w:rPr>
          <w:rFonts w:ascii="Arial" w:hAnsi="Arial" w:cs="Arial"/>
          <w:sz w:val="20"/>
          <w:szCs w:val="22"/>
        </w:rPr>
        <w:t>Yours sincerely</w:t>
      </w:r>
    </w:p>
    <w:p w:rsidR="008B37F4" w:rsidRPr="001855F3" w:rsidRDefault="009E26E0" w:rsidP="00DE08E5">
      <w:pPr>
        <w:spacing w:line="276" w:lineRule="auto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</w:rPr>
        <w:drawing>
          <wp:inline distT="0" distB="0" distL="0" distR="0" wp14:anchorId="67096C8C" wp14:editId="6F9623BA">
            <wp:extent cx="1400175" cy="695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6E0" w:rsidRDefault="009E26E0" w:rsidP="00DE08E5">
      <w:pPr>
        <w:spacing w:line="276" w:lineRule="auto"/>
        <w:rPr>
          <w:rFonts w:ascii="Arial" w:hAnsi="Arial" w:cs="Arial"/>
          <w:sz w:val="20"/>
          <w:szCs w:val="22"/>
        </w:rPr>
      </w:pPr>
    </w:p>
    <w:p w:rsidR="00520553" w:rsidRPr="001855F3" w:rsidRDefault="00520553" w:rsidP="00DE08E5">
      <w:pPr>
        <w:spacing w:line="276" w:lineRule="auto"/>
        <w:rPr>
          <w:rFonts w:ascii="Arial" w:hAnsi="Arial" w:cs="Arial"/>
          <w:sz w:val="20"/>
          <w:szCs w:val="22"/>
        </w:rPr>
      </w:pPr>
      <w:r w:rsidRPr="001855F3">
        <w:rPr>
          <w:rFonts w:ascii="Arial" w:hAnsi="Arial" w:cs="Arial"/>
          <w:sz w:val="20"/>
          <w:szCs w:val="22"/>
        </w:rPr>
        <w:t>Andrea Slattery</w:t>
      </w:r>
    </w:p>
    <w:p w:rsidR="00520553" w:rsidRDefault="00520553" w:rsidP="00DE08E5">
      <w:pPr>
        <w:spacing w:line="276" w:lineRule="auto"/>
        <w:rPr>
          <w:rFonts w:ascii="Arial" w:hAnsi="Arial" w:cs="Arial"/>
          <w:sz w:val="20"/>
          <w:szCs w:val="22"/>
        </w:rPr>
      </w:pPr>
      <w:r w:rsidRPr="001855F3">
        <w:rPr>
          <w:rFonts w:ascii="Arial" w:hAnsi="Arial" w:cs="Arial"/>
          <w:sz w:val="20"/>
          <w:szCs w:val="22"/>
        </w:rPr>
        <w:t>CEO</w:t>
      </w:r>
    </w:p>
    <w:p w:rsidR="000D5A96" w:rsidRPr="001855F3" w:rsidRDefault="000D5A96" w:rsidP="00DE08E5">
      <w:pPr>
        <w:spacing w:line="276" w:lineRule="auto"/>
        <w:rPr>
          <w:rFonts w:ascii="Arial" w:hAnsi="Arial" w:cs="Arial"/>
          <w:sz w:val="20"/>
          <w:szCs w:val="22"/>
        </w:rPr>
      </w:pPr>
    </w:p>
    <w:p w:rsidR="00520553" w:rsidRPr="001855F3" w:rsidRDefault="00520553" w:rsidP="001855F3">
      <w:pPr>
        <w:spacing w:line="360" w:lineRule="auto"/>
        <w:rPr>
          <w:rFonts w:ascii="Arial" w:hAnsi="Arial" w:cs="Arial"/>
          <w:sz w:val="20"/>
          <w:szCs w:val="22"/>
        </w:rPr>
      </w:pPr>
    </w:p>
    <w:p w:rsidR="00520553" w:rsidRPr="0067144F" w:rsidRDefault="00520553" w:rsidP="0035051D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bookmarkStart w:id="6" w:name="OLE_LINK2"/>
      <w:r w:rsidRPr="0067144F">
        <w:rPr>
          <w:rFonts w:ascii="Calibri" w:hAnsi="Calibri" w:cs="Calibri"/>
          <w:b/>
          <w:sz w:val="22"/>
          <w:szCs w:val="22"/>
        </w:rPr>
        <w:lastRenderedPageBreak/>
        <w:t>Contact Numbers:</w:t>
      </w:r>
    </w:p>
    <w:p w:rsidR="00520553" w:rsidRPr="0067144F" w:rsidRDefault="00520553" w:rsidP="0035051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7144F">
        <w:rPr>
          <w:rFonts w:ascii="Calibri" w:hAnsi="Calibri" w:cs="Calibri"/>
          <w:sz w:val="22"/>
          <w:szCs w:val="22"/>
        </w:rPr>
        <w:t>Tel:  (08) 8205 1900</w:t>
      </w:r>
    </w:p>
    <w:p w:rsidR="00520553" w:rsidRPr="00324C4A" w:rsidRDefault="00520553" w:rsidP="0035051D">
      <w:pPr>
        <w:spacing w:line="276" w:lineRule="auto"/>
        <w:jc w:val="both"/>
        <w:rPr>
          <w:rFonts w:ascii="Calibri" w:hAnsi="Calibri" w:cs="Calibri"/>
          <w:sz w:val="20"/>
          <w:szCs w:val="22"/>
        </w:rPr>
      </w:pPr>
    </w:p>
    <w:p w:rsidR="00520553" w:rsidRPr="0067144F" w:rsidRDefault="00520553" w:rsidP="0035051D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67144F">
        <w:rPr>
          <w:rFonts w:ascii="Calibri" w:hAnsi="Calibri" w:cs="Calibri"/>
          <w:b/>
          <w:sz w:val="22"/>
          <w:szCs w:val="22"/>
        </w:rPr>
        <w:t xml:space="preserve">Mrs. Andrea Slattery </w:t>
      </w:r>
      <w:r w:rsidRPr="0067144F">
        <w:rPr>
          <w:rFonts w:ascii="Calibri" w:hAnsi="Calibri" w:cs="Calibri"/>
          <w:b/>
          <w:sz w:val="22"/>
          <w:szCs w:val="22"/>
        </w:rPr>
        <w:tab/>
      </w:r>
      <w:r w:rsidRPr="0067144F">
        <w:rPr>
          <w:rFonts w:ascii="Calibri" w:hAnsi="Calibri" w:cs="Calibri"/>
          <w:b/>
          <w:sz w:val="22"/>
          <w:szCs w:val="22"/>
        </w:rPr>
        <w:tab/>
      </w:r>
      <w:r w:rsidRPr="0067144F">
        <w:rPr>
          <w:rFonts w:ascii="Calibri" w:hAnsi="Calibri" w:cs="Calibri"/>
          <w:b/>
          <w:sz w:val="22"/>
          <w:szCs w:val="22"/>
        </w:rPr>
        <w:tab/>
        <w:t>Mr. Peter Burgess</w:t>
      </w:r>
    </w:p>
    <w:p w:rsidR="00520553" w:rsidRPr="0067144F" w:rsidRDefault="00520553" w:rsidP="0035051D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7144F">
        <w:rPr>
          <w:rFonts w:ascii="Calibri" w:hAnsi="Calibri" w:cs="Calibri"/>
          <w:sz w:val="22"/>
          <w:szCs w:val="22"/>
        </w:rPr>
        <w:t xml:space="preserve">Chief Executive Officer </w:t>
      </w:r>
      <w:r w:rsidRPr="0067144F">
        <w:rPr>
          <w:rFonts w:ascii="Calibri" w:hAnsi="Calibri" w:cs="Calibri"/>
          <w:sz w:val="22"/>
          <w:szCs w:val="22"/>
        </w:rPr>
        <w:tab/>
      </w:r>
      <w:r w:rsidRPr="0067144F">
        <w:rPr>
          <w:rFonts w:ascii="Calibri" w:hAnsi="Calibri" w:cs="Calibri"/>
          <w:sz w:val="22"/>
          <w:szCs w:val="22"/>
        </w:rPr>
        <w:tab/>
      </w:r>
      <w:r w:rsidRPr="0067144F">
        <w:rPr>
          <w:rFonts w:ascii="Calibri" w:hAnsi="Calibri" w:cs="Calibri"/>
          <w:sz w:val="22"/>
          <w:szCs w:val="22"/>
        </w:rPr>
        <w:tab/>
        <w:t>Technical Director</w:t>
      </w:r>
    </w:p>
    <w:bookmarkEnd w:id="6"/>
    <w:p w:rsidR="00520553" w:rsidRPr="001855C8" w:rsidRDefault="00520553" w:rsidP="001855C8">
      <w:pPr>
        <w:spacing w:line="276" w:lineRule="auto"/>
        <w:jc w:val="both"/>
        <w:rPr>
          <w:rFonts w:ascii="Arial" w:hAnsi="Arial"/>
          <w:sz w:val="20"/>
          <w:lang w:val="en-AU"/>
        </w:rPr>
      </w:pPr>
    </w:p>
    <w:sectPr w:rsidR="00520553" w:rsidRPr="001855C8" w:rsidSect="0020787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40"/>
      <w:pgMar w:top="2694" w:right="851" w:bottom="1560" w:left="2268" w:header="709" w:footer="661" w:gutter="0"/>
      <w:cols w:space="708"/>
      <w:titlePg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8E3" w:rsidRDefault="003D68E3">
      <w:r>
        <w:separator/>
      </w:r>
    </w:p>
  </w:endnote>
  <w:endnote w:type="continuationSeparator" w:id="0">
    <w:p w:rsidR="003D68E3" w:rsidRDefault="003D6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DD9" w:rsidRPr="00A01754" w:rsidRDefault="00207DD9">
    <w:pPr>
      <w:pStyle w:val="Footer"/>
      <w:jc w:val="center"/>
      <w:rPr>
        <w:rFonts w:ascii="Arial" w:hAnsi="Arial" w:cs="Arial"/>
        <w:sz w:val="16"/>
      </w:rPr>
    </w:pPr>
    <w:r w:rsidRPr="00A01754">
      <w:rPr>
        <w:rFonts w:ascii="Arial" w:hAnsi="Arial" w:cs="Arial"/>
        <w:sz w:val="16"/>
      </w:rPr>
      <w:fldChar w:fldCharType="begin"/>
    </w:r>
    <w:r w:rsidRPr="00A01754">
      <w:rPr>
        <w:rFonts w:ascii="Arial" w:hAnsi="Arial" w:cs="Arial"/>
        <w:sz w:val="16"/>
      </w:rPr>
      <w:instrText xml:space="preserve"> PAGE   \* MERGEFORMAT </w:instrText>
    </w:r>
    <w:r w:rsidRPr="00A01754">
      <w:rPr>
        <w:rFonts w:ascii="Arial" w:hAnsi="Arial" w:cs="Arial"/>
        <w:sz w:val="16"/>
      </w:rPr>
      <w:fldChar w:fldCharType="separate"/>
    </w:r>
    <w:r w:rsidR="00133D7D">
      <w:rPr>
        <w:rFonts w:ascii="Arial" w:hAnsi="Arial" w:cs="Arial"/>
        <w:noProof/>
        <w:sz w:val="16"/>
      </w:rPr>
      <w:t>4</w:t>
    </w:r>
    <w:r w:rsidRPr="00A01754">
      <w:rPr>
        <w:rFonts w:ascii="Arial" w:hAnsi="Arial" w:cs="Arial"/>
        <w:sz w:val="16"/>
      </w:rPr>
      <w:fldChar w:fldCharType="end"/>
    </w:r>
  </w:p>
  <w:p w:rsidR="00207DD9" w:rsidRPr="00A01754" w:rsidRDefault="00207DD9">
    <w:pPr>
      <w:pStyle w:val="Footer"/>
      <w:rPr>
        <w:rFonts w:ascii="Arial" w:hAnsi="Arial" w:cs="Arial"/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DD9" w:rsidRPr="00A01754" w:rsidRDefault="00207DD9">
    <w:pPr>
      <w:pStyle w:val="Footer"/>
      <w:jc w:val="center"/>
      <w:rPr>
        <w:rFonts w:ascii="Arial" w:hAnsi="Arial" w:cs="Arial"/>
        <w:sz w:val="16"/>
      </w:rPr>
    </w:pPr>
    <w:r w:rsidRPr="00A01754">
      <w:rPr>
        <w:rFonts w:ascii="Arial" w:hAnsi="Arial" w:cs="Arial"/>
        <w:sz w:val="16"/>
      </w:rPr>
      <w:fldChar w:fldCharType="begin"/>
    </w:r>
    <w:r w:rsidRPr="00A01754">
      <w:rPr>
        <w:rFonts w:ascii="Arial" w:hAnsi="Arial" w:cs="Arial"/>
        <w:sz w:val="16"/>
      </w:rPr>
      <w:instrText xml:space="preserve"> PAGE   \* MERGEFORMAT </w:instrText>
    </w:r>
    <w:r w:rsidRPr="00A01754">
      <w:rPr>
        <w:rFonts w:ascii="Arial" w:hAnsi="Arial" w:cs="Arial"/>
        <w:sz w:val="16"/>
      </w:rPr>
      <w:fldChar w:fldCharType="separate"/>
    </w:r>
    <w:r w:rsidR="00133D7D">
      <w:rPr>
        <w:rFonts w:ascii="Arial" w:hAnsi="Arial" w:cs="Arial"/>
        <w:noProof/>
        <w:sz w:val="16"/>
      </w:rPr>
      <w:t>3</w:t>
    </w:r>
    <w:r w:rsidRPr="00A01754">
      <w:rPr>
        <w:rFonts w:ascii="Arial" w:hAnsi="Arial" w:cs="Arial"/>
        <w:sz w:val="16"/>
      </w:rPr>
      <w:fldChar w:fldCharType="end"/>
    </w:r>
  </w:p>
  <w:p w:rsidR="00207DD9" w:rsidRDefault="00207D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DD9" w:rsidRDefault="00207DD9">
    <w:pPr>
      <w:pStyle w:val="Footer"/>
    </w:pPr>
    <w:r>
      <w:rPr>
        <w:noProof/>
      </w:rPr>
      <w:drawing>
        <wp:inline distT="0" distB="0" distL="0" distR="0" wp14:anchorId="7C743B73" wp14:editId="1219A2D1">
          <wp:extent cx="5486400" cy="466090"/>
          <wp:effectExtent l="0" t="0" r="0" b="0"/>
          <wp:docPr id="1" name="Picture 15" descr="SPAA 746_Details_L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PAA 746_Details_L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8E3" w:rsidRDefault="003D68E3">
      <w:r>
        <w:separator/>
      </w:r>
    </w:p>
  </w:footnote>
  <w:footnote w:type="continuationSeparator" w:id="0">
    <w:p w:rsidR="003D68E3" w:rsidRDefault="003D68E3">
      <w:r>
        <w:continuationSeparator/>
      </w:r>
    </w:p>
  </w:footnote>
  <w:footnote w:id="1">
    <w:p w:rsidR="00207DD9" w:rsidRPr="00B87489" w:rsidRDefault="00207DD9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AU"/>
        </w:rPr>
        <w:t xml:space="preserve"> </w:t>
      </w:r>
      <w:bookmarkStart w:id="4" w:name="top"/>
      <w:bookmarkStart w:id="5" w:name="Content"/>
      <w:bookmarkEnd w:id="4"/>
      <w:r>
        <w:rPr>
          <w:lang w:val="en-AU"/>
        </w:rPr>
        <w:t xml:space="preserve">ATO, </w:t>
      </w:r>
      <w:r>
        <w:rPr>
          <w:rStyle w:val="Emphasis"/>
        </w:rPr>
        <w:t>Self-managed superannuation funds: A statistical overview 2009-1</w:t>
      </w:r>
      <w:bookmarkEnd w:id="5"/>
      <w:r>
        <w:rPr>
          <w:rStyle w:val="Emphasis"/>
        </w:rPr>
        <w:t xml:space="preserve">0 </w:t>
      </w:r>
      <w:hyperlink r:id="rId1" w:history="1">
        <w:r w:rsidRPr="00500287">
          <w:rPr>
            <w:rStyle w:val="Hyperlink"/>
            <w:lang w:val="en-AU"/>
          </w:rPr>
          <w:t>http://www.ato.gov.au/content/downloads/SPR00316375n74068.pdf</w:t>
        </w:r>
      </w:hyperlink>
      <w:r>
        <w:rPr>
          <w:lang w:val="en-AU"/>
        </w:rPr>
        <w:t>, p 18</w:t>
      </w:r>
    </w:p>
  </w:footnote>
  <w:footnote w:id="2">
    <w:p w:rsidR="00207DD9" w:rsidRPr="009E26E0" w:rsidRDefault="00207DD9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DA7E3B">
        <w:t>http://www.ato.gov.au/content/00333133.htm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DD9" w:rsidRDefault="00207DD9">
    <w:pPr>
      <w:pStyle w:val="Header"/>
    </w:pPr>
    <w:r>
      <w:rPr>
        <w:noProof/>
      </w:rPr>
      <w:drawing>
        <wp:anchor distT="0" distB="0" distL="114300" distR="114300" simplePos="0" relativeHeight="251660288" behindDoc="0" locked="1" layoutInCell="1" allowOverlap="0" wp14:anchorId="1D888D4F" wp14:editId="1AA1E259">
          <wp:simplePos x="0" y="0"/>
          <wp:positionH relativeFrom="column">
            <wp:posOffset>-457200</wp:posOffset>
          </wp:positionH>
          <wp:positionV relativeFrom="page">
            <wp:posOffset>558800</wp:posOffset>
          </wp:positionV>
          <wp:extent cx="905510" cy="1041400"/>
          <wp:effectExtent l="0" t="0" r="8890" b="6350"/>
          <wp:wrapNone/>
          <wp:docPr id="3" name="Picture 13" descr="SPAA_Logo_L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PAA_Logo_L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041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DD9" w:rsidRDefault="00207DD9" w:rsidP="00FD55F2">
    <w:pPr>
      <w:pStyle w:val="Header"/>
      <w:tabs>
        <w:tab w:val="clear" w:pos="4320"/>
        <w:tab w:val="clear" w:pos="8640"/>
        <w:tab w:val="left" w:pos="3088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DD9" w:rsidRDefault="00207DD9">
    <w:pPr>
      <w:pStyle w:val="Header"/>
    </w:pPr>
    <w:r>
      <w:rPr>
        <w:noProof/>
      </w:rPr>
      <w:drawing>
        <wp:anchor distT="0" distB="0" distL="114300" distR="114300" simplePos="0" relativeHeight="251662336" behindDoc="0" locked="1" layoutInCell="1" allowOverlap="0" wp14:anchorId="1F555F33" wp14:editId="2931F441">
          <wp:simplePos x="0" y="0"/>
          <wp:positionH relativeFrom="column">
            <wp:posOffset>-457200</wp:posOffset>
          </wp:positionH>
          <wp:positionV relativeFrom="page">
            <wp:posOffset>394970</wp:posOffset>
          </wp:positionV>
          <wp:extent cx="905510" cy="1041400"/>
          <wp:effectExtent l="0" t="0" r="8890" b="6350"/>
          <wp:wrapNone/>
          <wp:docPr id="2" name="Picture 14" descr="SPAA_Logo_L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PAA_Logo_L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041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4347"/>
    <w:multiLevelType w:val="hybridMultilevel"/>
    <w:tmpl w:val="7C8EEAD6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18016B3"/>
    <w:multiLevelType w:val="hybridMultilevel"/>
    <w:tmpl w:val="E9BA1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C320A"/>
    <w:multiLevelType w:val="hybridMultilevel"/>
    <w:tmpl w:val="ED240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4256E"/>
    <w:multiLevelType w:val="hybridMultilevel"/>
    <w:tmpl w:val="400C74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249D5"/>
    <w:multiLevelType w:val="hybridMultilevel"/>
    <w:tmpl w:val="57BC3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167F5"/>
    <w:multiLevelType w:val="hybridMultilevel"/>
    <w:tmpl w:val="4698A300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CF65F5D"/>
    <w:multiLevelType w:val="multilevel"/>
    <w:tmpl w:val="A0CAD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36153A"/>
    <w:multiLevelType w:val="hybridMultilevel"/>
    <w:tmpl w:val="EF508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263585"/>
    <w:multiLevelType w:val="hybridMultilevel"/>
    <w:tmpl w:val="D1C057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3A6F08"/>
    <w:multiLevelType w:val="hybridMultilevel"/>
    <w:tmpl w:val="A348B45E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100A6"/>
    <w:multiLevelType w:val="hybridMultilevel"/>
    <w:tmpl w:val="D3503AF4"/>
    <w:lvl w:ilvl="0" w:tplc="D456838A">
      <w:start w:val="1"/>
      <w:numFmt w:val="lowerLetter"/>
      <w:lvlText w:val="(%1)"/>
      <w:lvlJc w:val="left"/>
      <w:pPr>
        <w:ind w:left="153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225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97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9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41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13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85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57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90" w:hanging="180"/>
      </w:pPr>
      <w:rPr>
        <w:rFonts w:cs="Times New Roman"/>
      </w:rPr>
    </w:lvl>
  </w:abstractNum>
  <w:abstractNum w:abstractNumId="11">
    <w:nsid w:val="5F08797A"/>
    <w:multiLevelType w:val="hybridMultilevel"/>
    <w:tmpl w:val="33048AF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3D23446"/>
    <w:multiLevelType w:val="hybridMultilevel"/>
    <w:tmpl w:val="BB36B012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43354D1"/>
    <w:multiLevelType w:val="hybridMultilevel"/>
    <w:tmpl w:val="5D32C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0D6DCF"/>
    <w:multiLevelType w:val="hybridMultilevel"/>
    <w:tmpl w:val="727EAD9E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65CD446E"/>
    <w:multiLevelType w:val="multilevel"/>
    <w:tmpl w:val="C874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6F21A7"/>
    <w:multiLevelType w:val="hybridMultilevel"/>
    <w:tmpl w:val="66E014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F16E44"/>
    <w:multiLevelType w:val="multilevel"/>
    <w:tmpl w:val="FCD0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A12197"/>
    <w:multiLevelType w:val="hybridMultilevel"/>
    <w:tmpl w:val="3B4E6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A86F36"/>
    <w:multiLevelType w:val="hybridMultilevel"/>
    <w:tmpl w:val="76DEA5C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3"/>
  </w:num>
  <w:num w:numId="4">
    <w:abstractNumId w:val="0"/>
  </w:num>
  <w:num w:numId="5">
    <w:abstractNumId w:val="14"/>
  </w:num>
  <w:num w:numId="6">
    <w:abstractNumId w:val="6"/>
  </w:num>
  <w:num w:numId="7">
    <w:abstractNumId w:val="11"/>
  </w:num>
  <w:num w:numId="8">
    <w:abstractNumId w:val="10"/>
  </w:num>
  <w:num w:numId="9">
    <w:abstractNumId w:val="1"/>
  </w:num>
  <w:num w:numId="10">
    <w:abstractNumId w:val="9"/>
  </w:num>
  <w:num w:numId="11">
    <w:abstractNumId w:val="7"/>
  </w:num>
  <w:num w:numId="12">
    <w:abstractNumId w:val="7"/>
  </w:num>
  <w:num w:numId="13">
    <w:abstractNumId w:val="3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7"/>
  </w:num>
  <w:num w:numId="17">
    <w:abstractNumId w:val="15"/>
  </w:num>
  <w:num w:numId="18">
    <w:abstractNumId w:val="19"/>
  </w:num>
  <w:num w:numId="19">
    <w:abstractNumId w:val="4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13"/>
    <w:rsid w:val="00001052"/>
    <w:rsid w:val="00002F91"/>
    <w:rsid w:val="0000732A"/>
    <w:rsid w:val="00010A95"/>
    <w:rsid w:val="00012986"/>
    <w:rsid w:val="00025C4A"/>
    <w:rsid w:val="0003320A"/>
    <w:rsid w:val="000341CB"/>
    <w:rsid w:val="00037536"/>
    <w:rsid w:val="00041A65"/>
    <w:rsid w:val="00043530"/>
    <w:rsid w:val="00044D92"/>
    <w:rsid w:val="00051730"/>
    <w:rsid w:val="0005348A"/>
    <w:rsid w:val="00054A50"/>
    <w:rsid w:val="00055C14"/>
    <w:rsid w:val="00062B8E"/>
    <w:rsid w:val="00066F43"/>
    <w:rsid w:val="000710CE"/>
    <w:rsid w:val="00071A97"/>
    <w:rsid w:val="0007560F"/>
    <w:rsid w:val="00080689"/>
    <w:rsid w:val="000852E2"/>
    <w:rsid w:val="000856FB"/>
    <w:rsid w:val="00090D17"/>
    <w:rsid w:val="00091A20"/>
    <w:rsid w:val="000920D3"/>
    <w:rsid w:val="000932CB"/>
    <w:rsid w:val="000968ED"/>
    <w:rsid w:val="0009730B"/>
    <w:rsid w:val="000A2F0D"/>
    <w:rsid w:val="000B080D"/>
    <w:rsid w:val="000B2FB7"/>
    <w:rsid w:val="000C15E7"/>
    <w:rsid w:val="000C2977"/>
    <w:rsid w:val="000C3167"/>
    <w:rsid w:val="000C3630"/>
    <w:rsid w:val="000C48DE"/>
    <w:rsid w:val="000D5A96"/>
    <w:rsid w:val="000E3873"/>
    <w:rsid w:val="000E595E"/>
    <w:rsid w:val="000E6215"/>
    <w:rsid w:val="000F2D51"/>
    <w:rsid w:val="000F5B31"/>
    <w:rsid w:val="00104A8B"/>
    <w:rsid w:val="001130B5"/>
    <w:rsid w:val="001131A2"/>
    <w:rsid w:val="00117BCF"/>
    <w:rsid w:val="00120361"/>
    <w:rsid w:val="00125C6E"/>
    <w:rsid w:val="00126D3D"/>
    <w:rsid w:val="00130CC8"/>
    <w:rsid w:val="00133D7D"/>
    <w:rsid w:val="001437D4"/>
    <w:rsid w:val="00146F0F"/>
    <w:rsid w:val="001501B4"/>
    <w:rsid w:val="00160941"/>
    <w:rsid w:val="001615F1"/>
    <w:rsid w:val="001616E2"/>
    <w:rsid w:val="00165F33"/>
    <w:rsid w:val="00166F45"/>
    <w:rsid w:val="0017272D"/>
    <w:rsid w:val="001755E9"/>
    <w:rsid w:val="00176539"/>
    <w:rsid w:val="00181C42"/>
    <w:rsid w:val="001846A6"/>
    <w:rsid w:val="001855C8"/>
    <w:rsid w:val="001855F3"/>
    <w:rsid w:val="00193FB8"/>
    <w:rsid w:val="00196DCD"/>
    <w:rsid w:val="001A31F9"/>
    <w:rsid w:val="001A398A"/>
    <w:rsid w:val="001A7272"/>
    <w:rsid w:val="001B0661"/>
    <w:rsid w:val="001B382F"/>
    <w:rsid w:val="001B63B2"/>
    <w:rsid w:val="001C0290"/>
    <w:rsid w:val="001C5C03"/>
    <w:rsid w:val="001C71A8"/>
    <w:rsid w:val="001D013E"/>
    <w:rsid w:val="001D1938"/>
    <w:rsid w:val="001E1BB7"/>
    <w:rsid w:val="001E256C"/>
    <w:rsid w:val="001E29EC"/>
    <w:rsid w:val="001E332F"/>
    <w:rsid w:val="001F5983"/>
    <w:rsid w:val="00200F9F"/>
    <w:rsid w:val="0020681C"/>
    <w:rsid w:val="0020787E"/>
    <w:rsid w:val="00207DD9"/>
    <w:rsid w:val="00211E4B"/>
    <w:rsid w:val="0021256B"/>
    <w:rsid w:val="00216FB6"/>
    <w:rsid w:val="00224F0A"/>
    <w:rsid w:val="00226F36"/>
    <w:rsid w:val="0023133A"/>
    <w:rsid w:val="00233CF9"/>
    <w:rsid w:val="00235909"/>
    <w:rsid w:val="00236B06"/>
    <w:rsid w:val="002432CF"/>
    <w:rsid w:val="00245A7B"/>
    <w:rsid w:val="002461C4"/>
    <w:rsid w:val="00253F94"/>
    <w:rsid w:val="002570D2"/>
    <w:rsid w:val="0026033C"/>
    <w:rsid w:val="00266C13"/>
    <w:rsid w:val="00271151"/>
    <w:rsid w:val="002714CC"/>
    <w:rsid w:val="00274042"/>
    <w:rsid w:val="00280262"/>
    <w:rsid w:val="002812A2"/>
    <w:rsid w:val="00282925"/>
    <w:rsid w:val="00283FE9"/>
    <w:rsid w:val="0028547F"/>
    <w:rsid w:val="002854FA"/>
    <w:rsid w:val="00285D38"/>
    <w:rsid w:val="00290575"/>
    <w:rsid w:val="00294E10"/>
    <w:rsid w:val="0029727F"/>
    <w:rsid w:val="00297B03"/>
    <w:rsid w:val="002A11A9"/>
    <w:rsid w:val="002A3E5E"/>
    <w:rsid w:val="002C23A5"/>
    <w:rsid w:val="002C659B"/>
    <w:rsid w:val="002D1E30"/>
    <w:rsid w:val="002D6FAA"/>
    <w:rsid w:val="002E524D"/>
    <w:rsid w:val="002E68A9"/>
    <w:rsid w:val="003044D8"/>
    <w:rsid w:val="003073F9"/>
    <w:rsid w:val="00307C01"/>
    <w:rsid w:val="00311C36"/>
    <w:rsid w:val="00314824"/>
    <w:rsid w:val="003245FD"/>
    <w:rsid w:val="00324928"/>
    <w:rsid w:val="00324C4A"/>
    <w:rsid w:val="003308C0"/>
    <w:rsid w:val="0033513D"/>
    <w:rsid w:val="00337628"/>
    <w:rsid w:val="00340248"/>
    <w:rsid w:val="00344764"/>
    <w:rsid w:val="003460F3"/>
    <w:rsid w:val="0034708F"/>
    <w:rsid w:val="0035051D"/>
    <w:rsid w:val="00352122"/>
    <w:rsid w:val="00352B2C"/>
    <w:rsid w:val="00356FB2"/>
    <w:rsid w:val="00360631"/>
    <w:rsid w:val="00362DA3"/>
    <w:rsid w:val="003645D2"/>
    <w:rsid w:val="00365110"/>
    <w:rsid w:val="00371183"/>
    <w:rsid w:val="00371B3D"/>
    <w:rsid w:val="00377FA6"/>
    <w:rsid w:val="00383B7C"/>
    <w:rsid w:val="00393404"/>
    <w:rsid w:val="003943D2"/>
    <w:rsid w:val="003A1110"/>
    <w:rsid w:val="003B095E"/>
    <w:rsid w:val="003B13EC"/>
    <w:rsid w:val="003C1525"/>
    <w:rsid w:val="003D0A66"/>
    <w:rsid w:val="003D0CD0"/>
    <w:rsid w:val="003D650B"/>
    <w:rsid w:val="003D68E3"/>
    <w:rsid w:val="003D7B83"/>
    <w:rsid w:val="003E71AD"/>
    <w:rsid w:val="00401F04"/>
    <w:rsid w:val="00405615"/>
    <w:rsid w:val="00411E02"/>
    <w:rsid w:val="00412B3B"/>
    <w:rsid w:val="00417983"/>
    <w:rsid w:val="00427FB1"/>
    <w:rsid w:val="004302DD"/>
    <w:rsid w:val="00436897"/>
    <w:rsid w:val="0044081B"/>
    <w:rsid w:val="00445406"/>
    <w:rsid w:val="00462CA4"/>
    <w:rsid w:val="00474911"/>
    <w:rsid w:val="00475E2C"/>
    <w:rsid w:val="0048720E"/>
    <w:rsid w:val="0049251C"/>
    <w:rsid w:val="004925A5"/>
    <w:rsid w:val="00496B26"/>
    <w:rsid w:val="004A0B85"/>
    <w:rsid w:val="004A12B5"/>
    <w:rsid w:val="004A2C81"/>
    <w:rsid w:val="004C38ED"/>
    <w:rsid w:val="004C40C2"/>
    <w:rsid w:val="004D0A11"/>
    <w:rsid w:val="004E10A2"/>
    <w:rsid w:val="004E6FFB"/>
    <w:rsid w:val="004F02A4"/>
    <w:rsid w:val="004F0350"/>
    <w:rsid w:val="004F560B"/>
    <w:rsid w:val="00503CE9"/>
    <w:rsid w:val="0050712A"/>
    <w:rsid w:val="00510B4F"/>
    <w:rsid w:val="00514C55"/>
    <w:rsid w:val="00520553"/>
    <w:rsid w:val="005205F3"/>
    <w:rsid w:val="005226F5"/>
    <w:rsid w:val="00526871"/>
    <w:rsid w:val="005300EB"/>
    <w:rsid w:val="005322DA"/>
    <w:rsid w:val="00533F06"/>
    <w:rsid w:val="0053587B"/>
    <w:rsid w:val="005361DA"/>
    <w:rsid w:val="00544B17"/>
    <w:rsid w:val="00555491"/>
    <w:rsid w:val="005600E8"/>
    <w:rsid w:val="00562BA0"/>
    <w:rsid w:val="00571761"/>
    <w:rsid w:val="00572D50"/>
    <w:rsid w:val="00572D6A"/>
    <w:rsid w:val="0059071B"/>
    <w:rsid w:val="00592A06"/>
    <w:rsid w:val="005974F8"/>
    <w:rsid w:val="005A1C50"/>
    <w:rsid w:val="005A3176"/>
    <w:rsid w:val="005A4098"/>
    <w:rsid w:val="005A4534"/>
    <w:rsid w:val="005A4E1F"/>
    <w:rsid w:val="005A6625"/>
    <w:rsid w:val="005B3349"/>
    <w:rsid w:val="005C1598"/>
    <w:rsid w:val="005D24E8"/>
    <w:rsid w:val="005D2554"/>
    <w:rsid w:val="005D377A"/>
    <w:rsid w:val="005D4AAA"/>
    <w:rsid w:val="005D525E"/>
    <w:rsid w:val="005E3BF9"/>
    <w:rsid w:val="005E5505"/>
    <w:rsid w:val="005E736F"/>
    <w:rsid w:val="005E73F5"/>
    <w:rsid w:val="005F0329"/>
    <w:rsid w:val="005F11E6"/>
    <w:rsid w:val="005F28E2"/>
    <w:rsid w:val="005F3574"/>
    <w:rsid w:val="005F41C1"/>
    <w:rsid w:val="0060082C"/>
    <w:rsid w:val="00600DC6"/>
    <w:rsid w:val="00601127"/>
    <w:rsid w:val="006035CC"/>
    <w:rsid w:val="00606810"/>
    <w:rsid w:val="0062335B"/>
    <w:rsid w:val="00624B0C"/>
    <w:rsid w:val="00625876"/>
    <w:rsid w:val="006260C3"/>
    <w:rsid w:val="0062665B"/>
    <w:rsid w:val="00632E0F"/>
    <w:rsid w:val="00633EA4"/>
    <w:rsid w:val="006421C6"/>
    <w:rsid w:val="006423A0"/>
    <w:rsid w:val="00650BFE"/>
    <w:rsid w:val="00653588"/>
    <w:rsid w:val="00667C2F"/>
    <w:rsid w:val="0067144F"/>
    <w:rsid w:val="006822BD"/>
    <w:rsid w:val="00684610"/>
    <w:rsid w:val="00687457"/>
    <w:rsid w:val="00697A31"/>
    <w:rsid w:val="006A17CD"/>
    <w:rsid w:val="006B1E60"/>
    <w:rsid w:val="006B307E"/>
    <w:rsid w:val="006B3831"/>
    <w:rsid w:val="006B65F5"/>
    <w:rsid w:val="006C2229"/>
    <w:rsid w:val="006C26CD"/>
    <w:rsid w:val="006C280A"/>
    <w:rsid w:val="006D4DA3"/>
    <w:rsid w:val="006E682D"/>
    <w:rsid w:val="006F4E5C"/>
    <w:rsid w:val="006F67FD"/>
    <w:rsid w:val="00711F02"/>
    <w:rsid w:val="0071226F"/>
    <w:rsid w:val="007128B4"/>
    <w:rsid w:val="00712C57"/>
    <w:rsid w:val="007175FF"/>
    <w:rsid w:val="00737E22"/>
    <w:rsid w:val="0074133C"/>
    <w:rsid w:val="00745678"/>
    <w:rsid w:val="0074603D"/>
    <w:rsid w:val="007477F6"/>
    <w:rsid w:val="00747DF9"/>
    <w:rsid w:val="0075060D"/>
    <w:rsid w:val="00751519"/>
    <w:rsid w:val="00752217"/>
    <w:rsid w:val="00755BA7"/>
    <w:rsid w:val="00757966"/>
    <w:rsid w:val="00767CDC"/>
    <w:rsid w:val="00772A94"/>
    <w:rsid w:val="0078192B"/>
    <w:rsid w:val="00783EAD"/>
    <w:rsid w:val="00783FAC"/>
    <w:rsid w:val="00791D20"/>
    <w:rsid w:val="00791EF8"/>
    <w:rsid w:val="00794903"/>
    <w:rsid w:val="00794A06"/>
    <w:rsid w:val="00794AF1"/>
    <w:rsid w:val="007960E4"/>
    <w:rsid w:val="007A1A46"/>
    <w:rsid w:val="007A5DBA"/>
    <w:rsid w:val="007A61E4"/>
    <w:rsid w:val="007A6B07"/>
    <w:rsid w:val="007B18A3"/>
    <w:rsid w:val="007B2AC0"/>
    <w:rsid w:val="007B3813"/>
    <w:rsid w:val="007C028F"/>
    <w:rsid w:val="007C3A3C"/>
    <w:rsid w:val="007C40DC"/>
    <w:rsid w:val="007D0810"/>
    <w:rsid w:val="007D10BF"/>
    <w:rsid w:val="007D659C"/>
    <w:rsid w:val="007D771C"/>
    <w:rsid w:val="00800EC4"/>
    <w:rsid w:val="00805C45"/>
    <w:rsid w:val="0081225A"/>
    <w:rsid w:val="008175CB"/>
    <w:rsid w:val="00827E97"/>
    <w:rsid w:val="0083340A"/>
    <w:rsid w:val="00834492"/>
    <w:rsid w:val="00860C8A"/>
    <w:rsid w:val="00861FC6"/>
    <w:rsid w:val="00862EA7"/>
    <w:rsid w:val="008650D6"/>
    <w:rsid w:val="00872A63"/>
    <w:rsid w:val="0088165F"/>
    <w:rsid w:val="00882BB0"/>
    <w:rsid w:val="00883B01"/>
    <w:rsid w:val="0088534D"/>
    <w:rsid w:val="00890FFD"/>
    <w:rsid w:val="008910C4"/>
    <w:rsid w:val="00894FD9"/>
    <w:rsid w:val="00895A1D"/>
    <w:rsid w:val="008A0400"/>
    <w:rsid w:val="008B37F4"/>
    <w:rsid w:val="008B70B9"/>
    <w:rsid w:val="008C554A"/>
    <w:rsid w:val="008C589B"/>
    <w:rsid w:val="008D4BDF"/>
    <w:rsid w:val="008E109B"/>
    <w:rsid w:val="008E793E"/>
    <w:rsid w:val="008F41C4"/>
    <w:rsid w:val="008F7B76"/>
    <w:rsid w:val="00913E44"/>
    <w:rsid w:val="00922B61"/>
    <w:rsid w:val="009268B9"/>
    <w:rsid w:val="00930A02"/>
    <w:rsid w:val="00931F1E"/>
    <w:rsid w:val="00933D2B"/>
    <w:rsid w:val="00934289"/>
    <w:rsid w:val="00935482"/>
    <w:rsid w:val="009405F4"/>
    <w:rsid w:val="00943CB2"/>
    <w:rsid w:val="0094543A"/>
    <w:rsid w:val="00946EB9"/>
    <w:rsid w:val="0094768E"/>
    <w:rsid w:val="00957EEB"/>
    <w:rsid w:val="00963DA4"/>
    <w:rsid w:val="00965470"/>
    <w:rsid w:val="009832AA"/>
    <w:rsid w:val="00984013"/>
    <w:rsid w:val="00985EF8"/>
    <w:rsid w:val="009A3E6B"/>
    <w:rsid w:val="009A5ED5"/>
    <w:rsid w:val="009B18EF"/>
    <w:rsid w:val="009B2C6E"/>
    <w:rsid w:val="009B7DF2"/>
    <w:rsid w:val="009C6786"/>
    <w:rsid w:val="009E0803"/>
    <w:rsid w:val="009E26E0"/>
    <w:rsid w:val="009E7973"/>
    <w:rsid w:val="009F66B9"/>
    <w:rsid w:val="00A01754"/>
    <w:rsid w:val="00A14ED2"/>
    <w:rsid w:val="00A2114C"/>
    <w:rsid w:val="00A24455"/>
    <w:rsid w:val="00A33EFC"/>
    <w:rsid w:val="00A35918"/>
    <w:rsid w:val="00A36BAF"/>
    <w:rsid w:val="00A407C5"/>
    <w:rsid w:val="00A4329E"/>
    <w:rsid w:val="00A43C08"/>
    <w:rsid w:val="00A43C58"/>
    <w:rsid w:val="00A50EB9"/>
    <w:rsid w:val="00A8315E"/>
    <w:rsid w:val="00A91013"/>
    <w:rsid w:val="00AA0763"/>
    <w:rsid w:val="00AA3F0E"/>
    <w:rsid w:val="00AA550F"/>
    <w:rsid w:val="00AB19A0"/>
    <w:rsid w:val="00AB2278"/>
    <w:rsid w:val="00AB74BF"/>
    <w:rsid w:val="00AB78A9"/>
    <w:rsid w:val="00AC2FEB"/>
    <w:rsid w:val="00AC36D5"/>
    <w:rsid w:val="00AC6039"/>
    <w:rsid w:val="00AD1376"/>
    <w:rsid w:val="00AE6FE8"/>
    <w:rsid w:val="00AE74F1"/>
    <w:rsid w:val="00B04038"/>
    <w:rsid w:val="00B154C6"/>
    <w:rsid w:val="00B178C6"/>
    <w:rsid w:val="00B205E9"/>
    <w:rsid w:val="00B23568"/>
    <w:rsid w:val="00B254D5"/>
    <w:rsid w:val="00B2779A"/>
    <w:rsid w:val="00B304B9"/>
    <w:rsid w:val="00B32EEC"/>
    <w:rsid w:val="00B41B8B"/>
    <w:rsid w:val="00B426C1"/>
    <w:rsid w:val="00B44DC3"/>
    <w:rsid w:val="00B5174A"/>
    <w:rsid w:val="00B528F8"/>
    <w:rsid w:val="00B52FBA"/>
    <w:rsid w:val="00B61F1E"/>
    <w:rsid w:val="00B72C04"/>
    <w:rsid w:val="00B735B3"/>
    <w:rsid w:val="00B7623C"/>
    <w:rsid w:val="00B7741F"/>
    <w:rsid w:val="00B8029B"/>
    <w:rsid w:val="00B839DD"/>
    <w:rsid w:val="00B87489"/>
    <w:rsid w:val="00B91DE0"/>
    <w:rsid w:val="00B94DBC"/>
    <w:rsid w:val="00B97705"/>
    <w:rsid w:val="00BA610C"/>
    <w:rsid w:val="00BA77D5"/>
    <w:rsid w:val="00BB3EC2"/>
    <w:rsid w:val="00BC0ED3"/>
    <w:rsid w:val="00BD0F33"/>
    <w:rsid w:val="00BD6FEE"/>
    <w:rsid w:val="00BD7DAD"/>
    <w:rsid w:val="00BE35F7"/>
    <w:rsid w:val="00BF57FA"/>
    <w:rsid w:val="00C0574C"/>
    <w:rsid w:val="00C11049"/>
    <w:rsid w:val="00C232E6"/>
    <w:rsid w:val="00C3640E"/>
    <w:rsid w:val="00C40AB6"/>
    <w:rsid w:val="00C441A5"/>
    <w:rsid w:val="00C462F9"/>
    <w:rsid w:val="00C470D1"/>
    <w:rsid w:val="00C47425"/>
    <w:rsid w:val="00C5164A"/>
    <w:rsid w:val="00C54023"/>
    <w:rsid w:val="00C546E6"/>
    <w:rsid w:val="00C5683D"/>
    <w:rsid w:val="00C703BD"/>
    <w:rsid w:val="00C7184F"/>
    <w:rsid w:val="00C80235"/>
    <w:rsid w:val="00C8585A"/>
    <w:rsid w:val="00C8668D"/>
    <w:rsid w:val="00C9027F"/>
    <w:rsid w:val="00C93E27"/>
    <w:rsid w:val="00CA0907"/>
    <w:rsid w:val="00CA7E9C"/>
    <w:rsid w:val="00CB5C03"/>
    <w:rsid w:val="00CD2810"/>
    <w:rsid w:val="00CD6240"/>
    <w:rsid w:val="00CE43A8"/>
    <w:rsid w:val="00CF48BC"/>
    <w:rsid w:val="00CF6B27"/>
    <w:rsid w:val="00D01C14"/>
    <w:rsid w:val="00D04CD3"/>
    <w:rsid w:val="00D10E71"/>
    <w:rsid w:val="00D20288"/>
    <w:rsid w:val="00D37678"/>
    <w:rsid w:val="00D41B03"/>
    <w:rsid w:val="00D435E6"/>
    <w:rsid w:val="00D46E61"/>
    <w:rsid w:val="00D502DB"/>
    <w:rsid w:val="00D50DE9"/>
    <w:rsid w:val="00D52424"/>
    <w:rsid w:val="00D5400A"/>
    <w:rsid w:val="00D55474"/>
    <w:rsid w:val="00D565F3"/>
    <w:rsid w:val="00D567D1"/>
    <w:rsid w:val="00D572A9"/>
    <w:rsid w:val="00D610D1"/>
    <w:rsid w:val="00D628B1"/>
    <w:rsid w:val="00D646E5"/>
    <w:rsid w:val="00D660BB"/>
    <w:rsid w:val="00D6741D"/>
    <w:rsid w:val="00D71F95"/>
    <w:rsid w:val="00D75676"/>
    <w:rsid w:val="00D852A3"/>
    <w:rsid w:val="00DA3394"/>
    <w:rsid w:val="00DA4199"/>
    <w:rsid w:val="00DA782E"/>
    <w:rsid w:val="00DA7E3B"/>
    <w:rsid w:val="00DB69CE"/>
    <w:rsid w:val="00DB7655"/>
    <w:rsid w:val="00DB7AE0"/>
    <w:rsid w:val="00DC69BF"/>
    <w:rsid w:val="00DD1E4E"/>
    <w:rsid w:val="00DD2959"/>
    <w:rsid w:val="00DD4848"/>
    <w:rsid w:val="00DD68A2"/>
    <w:rsid w:val="00DE0543"/>
    <w:rsid w:val="00DE08E5"/>
    <w:rsid w:val="00DE3EDB"/>
    <w:rsid w:val="00DE6AF4"/>
    <w:rsid w:val="00DE7E26"/>
    <w:rsid w:val="00DF045D"/>
    <w:rsid w:val="00DF4B11"/>
    <w:rsid w:val="00E005A1"/>
    <w:rsid w:val="00E0084E"/>
    <w:rsid w:val="00E0762D"/>
    <w:rsid w:val="00E10EF6"/>
    <w:rsid w:val="00E129F8"/>
    <w:rsid w:val="00E16845"/>
    <w:rsid w:val="00E23CD7"/>
    <w:rsid w:val="00E24B2F"/>
    <w:rsid w:val="00E302EB"/>
    <w:rsid w:val="00E332E6"/>
    <w:rsid w:val="00E33A77"/>
    <w:rsid w:val="00E41D75"/>
    <w:rsid w:val="00E506B4"/>
    <w:rsid w:val="00E517B7"/>
    <w:rsid w:val="00E63C34"/>
    <w:rsid w:val="00E6498E"/>
    <w:rsid w:val="00E73FB8"/>
    <w:rsid w:val="00E740C9"/>
    <w:rsid w:val="00E80D57"/>
    <w:rsid w:val="00E93B88"/>
    <w:rsid w:val="00E951E3"/>
    <w:rsid w:val="00EB1B5D"/>
    <w:rsid w:val="00EC0DE5"/>
    <w:rsid w:val="00EC1E64"/>
    <w:rsid w:val="00EC4F66"/>
    <w:rsid w:val="00EC6FE9"/>
    <w:rsid w:val="00ED12AC"/>
    <w:rsid w:val="00ED624A"/>
    <w:rsid w:val="00EF3053"/>
    <w:rsid w:val="00EF4F5F"/>
    <w:rsid w:val="00EF6AA0"/>
    <w:rsid w:val="00F00CCF"/>
    <w:rsid w:val="00F02FF6"/>
    <w:rsid w:val="00F074F6"/>
    <w:rsid w:val="00F104D1"/>
    <w:rsid w:val="00F23B8F"/>
    <w:rsid w:val="00F23BAB"/>
    <w:rsid w:val="00F2667F"/>
    <w:rsid w:val="00F2681F"/>
    <w:rsid w:val="00F33600"/>
    <w:rsid w:val="00F658D1"/>
    <w:rsid w:val="00F665CC"/>
    <w:rsid w:val="00F66ACC"/>
    <w:rsid w:val="00F70226"/>
    <w:rsid w:val="00F77867"/>
    <w:rsid w:val="00F83A86"/>
    <w:rsid w:val="00F84F85"/>
    <w:rsid w:val="00F86B42"/>
    <w:rsid w:val="00F9398F"/>
    <w:rsid w:val="00FB50AE"/>
    <w:rsid w:val="00FB58B3"/>
    <w:rsid w:val="00FB64B3"/>
    <w:rsid w:val="00FB67E1"/>
    <w:rsid w:val="00FC3B91"/>
    <w:rsid w:val="00FC594F"/>
    <w:rsid w:val="00FC786A"/>
    <w:rsid w:val="00FD52EA"/>
    <w:rsid w:val="00FD55F2"/>
    <w:rsid w:val="00FE4617"/>
    <w:rsid w:val="00FF0EB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65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E71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E71A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E71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E71A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33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4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6033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302E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BA610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A610C"/>
    <w:rPr>
      <w:rFonts w:cs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BA610C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6F67F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F67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F67FD"/>
    <w:rPr>
      <w:rFonts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F67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F67FD"/>
    <w:rPr>
      <w:rFonts w:cs="Times New Roman"/>
      <w:b/>
      <w:bCs/>
      <w:sz w:val="20"/>
      <w:szCs w:val="20"/>
      <w:lang w:val="en-US" w:eastAsia="en-US"/>
    </w:rPr>
  </w:style>
  <w:style w:type="paragraph" w:styleId="Revision">
    <w:name w:val="Revision"/>
    <w:hidden/>
    <w:uiPriority w:val="99"/>
    <w:semiHidden/>
    <w:rsid w:val="00FD52EA"/>
    <w:rPr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B874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65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E71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E71A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E71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E71A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33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4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6033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302E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BA610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A610C"/>
    <w:rPr>
      <w:rFonts w:cs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BA610C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6F67F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F67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F67FD"/>
    <w:rPr>
      <w:rFonts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F67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F67FD"/>
    <w:rPr>
      <w:rFonts w:cs="Times New Roman"/>
      <w:b/>
      <w:bCs/>
      <w:sz w:val="20"/>
      <w:szCs w:val="20"/>
      <w:lang w:val="en-US" w:eastAsia="en-US"/>
    </w:rPr>
  </w:style>
  <w:style w:type="paragraph" w:styleId="Revision">
    <w:name w:val="Revision"/>
    <w:hidden/>
    <w:uiPriority w:val="99"/>
    <w:semiHidden/>
    <w:rsid w:val="00FD52EA"/>
    <w:rPr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B87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0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0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0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10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0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0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0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0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10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10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o.gov.au/content/downloads/SPR00316375n74068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16656-3EFF-4BFC-92AD-1AE294967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1224</Words>
  <Characters>5388</Characters>
  <Application>Microsoft Office Word</Application>
  <DocSecurity>0</DocSecurity>
  <Lines>74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Submission:  Portability of superannuation between Australia and New Zealand</vt:lpstr>
    </vt:vector>
  </TitlesOfParts>
  <Company/>
  <LinksUpToDate>false</LinksUpToDate>
  <CharactersWithSpaces>6604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ComSuper - Submission to the Portability of superannuation between Australia and New Zealand consultation</dc:title>
  <dc:creator>SMSF Professionals' Association of Australia</dc:creator>
  <cp:lastModifiedBy>treasury</cp:lastModifiedBy>
  <cp:revision>4</cp:revision>
  <cp:lastPrinted>2012-09-26T05:49:00Z</cp:lastPrinted>
  <dcterms:created xsi:type="dcterms:W3CDTF">2012-10-04T06:09:00Z</dcterms:created>
  <dcterms:modified xsi:type="dcterms:W3CDTF">2012-10-12T05:54:00Z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1366001272</vt:i4>
  </property>
  <property fmtid="{D5CDD505-2E9C-101B-9397-08002B2CF9AE}" pid="3" name="_NewReviewCycle">
    <vt:lpwstr/>
  </property>
  <property fmtid="{D5CDD505-2E9C-101B-9397-08002B2CF9AE}" pid="4" name="_EmailSubject">
    <vt:lpwstr>submissions on Treasury website</vt:lpwstr>
  </property>
  <property fmtid="{D5CDD505-2E9C-101B-9397-08002B2CF9AE}" pid="5" name="_AuthorEmail">
    <vt:lpwstr>Frances.McGee@TREASURY.GOV.AU</vt:lpwstr>
  </property>
  <property fmtid="{D5CDD505-2E9C-101B-9397-08002B2CF9AE}" pid="6" name="_AuthorEmailDisplayName">
    <vt:lpwstr>McGee, Frances</vt:lpwstr>
  </property>
  <property fmtid="{D5CDD505-2E9C-101B-9397-08002B2CF9AE}" pid="7" name="_ReviewingToolsShownOnce">
    <vt:lpwstr/>
  </property>
</Properties>
</file>