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30568" w14:textId="77777777" w:rsidR="009268F0" w:rsidRDefault="006E18B1" w:rsidP="007052EA">
      <w:pPr>
        <w:pStyle w:val="Heading1"/>
      </w:pPr>
      <w:r>
        <w:t>TREASURY LAWS AMENDMENT (HOUSING TAX INTEGRITY) BILL 2017</w:t>
      </w:r>
    </w:p>
    <w:p w14:paraId="77B36A6D" w14:textId="77777777" w:rsidR="008F3A7B" w:rsidRPr="008F3A7B" w:rsidRDefault="002F4AEF" w:rsidP="008F3A7B">
      <w:pPr>
        <w:pStyle w:val="Heading2"/>
        <w:spacing w:after="480"/>
      </w:pPr>
      <w:r w:rsidRPr="002F4AEF">
        <w:t>SUMMARY OF CONSULTATION PROCESS</w:t>
      </w:r>
    </w:p>
    <w:p w14:paraId="3906DD58" w14:textId="14151DBF" w:rsidR="002F4AEF" w:rsidRDefault="006E18B1" w:rsidP="007001D0">
      <w:r w:rsidRPr="007C27FF">
        <w:rPr>
          <w:b/>
        </w:rPr>
        <w:t>Schedule 1: Travel related to use of residential premises:</w:t>
      </w:r>
      <w:r>
        <w:t xml:space="preserve"> </w:t>
      </w:r>
      <w:r w:rsidR="00294D00">
        <w:t xml:space="preserve">The Government announced </w:t>
      </w:r>
      <w:r w:rsidR="00474F71">
        <w:t xml:space="preserve">in the 2017-18 Budget </w:t>
      </w:r>
      <w:r w:rsidR="009D24B6">
        <w:t>(</w:t>
      </w:r>
      <w:r w:rsidR="00294D00">
        <w:t xml:space="preserve">on </w:t>
      </w:r>
      <w:r w:rsidR="002F6C6A">
        <w:t>9</w:t>
      </w:r>
      <w:r>
        <w:t> </w:t>
      </w:r>
      <w:r w:rsidR="002F6C6A">
        <w:t>May</w:t>
      </w:r>
      <w:r>
        <w:t> </w:t>
      </w:r>
      <w:r w:rsidR="002F6C6A">
        <w:t>2017</w:t>
      </w:r>
      <w:r w:rsidR="009D24B6">
        <w:t>)</w:t>
      </w:r>
      <w:r w:rsidR="00294D00">
        <w:t xml:space="preserve"> that it would </w:t>
      </w:r>
      <w:r w:rsidR="002F6C6A">
        <w:t xml:space="preserve">disallow the deduction of travel expenses </w:t>
      </w:r>
      <w:r w:rsidR="00257E94">
        <w:t>relat</w:t>
      </w:r>
      <w:r w:rsidR="00C40AEF">
        <w:t>ing</w:t>
      </w:r>
      <w:r w:rsidR="00257E94">
        <w:t xml:space="preserve"> to </w:t>
      </w:r>
      <w:r w:rsidR="002F6C6A">
        <w:t xml:space="preserve">residential </w:t>
      </w:r>
      <w:r w:rsidR="00C40AEF">
        <w:t xml:space="preserve">investment </w:t>
      </w:r>
      <w:r w:rsidR="002F6C6A">
        <w:t>propert</w:t>
      </w:r>
      <w:r w:rsidR="00C40AEF">
        <w:t>ies</w:t>
      </w:r>
      <w:r w:rsidR="009649F5">
        <w:t xml:space="preserve"> from 1 July 2017</w:t>
      </w:r>
      <w:r w:rsidR="00294D00">
        <w:t>.</w:t>
      </w:r>
      <w:r>
        <w:t xml:space="preserve"> </w:t>
      </w:r>
    </w:p>
    <w:p w14:paraId="57665BA6" w14:textId="77777777" w:rsidR="0017132A" w:rsidRPr="006E18B1" w:rsidRDefault="002F4AEF" w:rsidP="006E18B1">
      <w:pPr>
        <w:pStyle w:val="Heading3"/>
        <w:rPr>
          <w:b w:val="0"/>
        </w:rPr>
      </w:pPr>
      <w:r w:rsidRPr="00546019">
        <w:rPr>
          <w:b w:val="0"/>
        </w:rPr>
        <w:t>Th</w:t>
      </w:r>
      <w:r w:rsidR="00590F6B" w:rsidRPr="00546019">
        <w:rPr>
          <w:b w:val="0"/>
        </w:rPr>
        <w:t>is</w:t>
      </w:r>
      <w:r w:rsidR="00986825" w:rsidRPr="00546019">
        <w:rPr>
          <w:b w:val="0"/>
        </w:rPr>
        <w:t xml:space="preserve"> measure </w:t>
      </w:r>
      <w:r w:rsidR="004273E1" w:rsidRPr="006E18B1">
        <w:rPr>
          <w:b w:val="0"/>
        </w:rPr>
        <w:t>was included in</w:t>
      </w:r>
      <w:r w:rsidR="007052EA" w:rsidRPr="006E18B1">
        <w:rPr>
          <w:b w:val="0"/>
        </w:rPr>
        <w:t xml:space="preserve"> </w:t>
      </w:r>
      <w:r w:rsidR="002F6C6A" w:rsidRPr="006E18B1">
        <w:rPr>
          <w:b w:val="0"/>
        </w:rPr>
        <w:t>Treasury Laws Amendment (Housing Tax Integrity) Bill 2017</w:t>
      </w:r>
      <w:r w:rsidR="006B1B2F" w:rsidRPr="006E18B1">
        <w:rPr>
          <w:b w:val="0"/>
        </w:rPr>
        <w:t>,</w:t>
      </w:r>
      <w:r w:rsidR="004273E1" w:rsidRPr="006E18B1">
        <w:rPr>
          <w:b w:val="0"/>
        </w:rPr>
        <w:t xml:space="preserve"> which </w:t>
      </w:r>
      <w:r w:rsidR="00446B6D">
        <w:rPr>
          <w:b w:val="0"/>
        </w:rPr>
        <w:t>received Royal Assent on</w:t>
      </w:r>
      <w:r w:rsidR="00446B6D" w:rsidRPr="00446B6D">
        <w:rPr>
          <w:b w:val="0"/>
        </w:rPr>
        <w:t xml:space="preserve"> 30 November 2017</w:t>
      </w:r>
      <w:r w:rsidR="00B02EEC" w:rsidRPr="006E18B1">
        <w:rPr>
          <w:b w:val="0"/>
        </w:rPr>
        <w:t xml:space="preserve">. </w:t>
      </w:r>
    </w:p>
    <w:p w14:paraId="0CD6D19D" w14:textId="0922D1D3" w:rsidR="006E18B1" w:rsidRDefault="006E18B1" w:rsidP="006E18B1">
      <w:r w:rsidRPr="007C27FF">
        <w:rPr>
          <w:b/>
        </w:rPr>
        <w:t>Schedule 2: Limiting depreciation deductions for plant and equipment in residential premises:</w:t>
      </w:r>
      <w:r>
        <w:t xml:space="preserve"> The Government announced </w:t>
      </w:r>
      <w:r w:rsidR="00474F71">
        <w:t xml:space="preserve">in the 2017-18 Budget </w:t>
      </w:r>
      <w:r w:rsidR="009D24B6">
        <w:t>(</w:t>
      </w:r>
      <w:r>
        <w:t>on 9 May 2017</w:t>
      </w:r>
      <w:r w:rsidR="009D24B6">
        <w:t>)</w:t>
      </w:r>
      <w:r>
        <w:t xml:space="preserve"> that it would </w:t>
      </w:r>
      <w:r w:rsidRPr="00BF73C3">
        <w:t xml:space="preserve">limit </w:t>
      </w:r>
      <w:proofErr w:type="gramStart"/>
      <w:r w:rsidRPr="00BF73C3">
        <w:t>plant</w:t>
      </w:r>
      <w:proofErr w:type="gramEnd"/>
      <w:r w:rsidRPr="00BF73C3">
        <w:t xml:space="preserve"> and equipment depreciation deductions </w:t>
      </w:r>
      <w:r w:rsidR="005B69A7">
        <w:t xml:space="preserve">relating to </w:t>
      </w:r>
      <w:r w:rsidRPr="00BF73C3">
        <w:t>residential investment properties to assets not previously used.</w:t>
      </w:r>
    </w:p>
    <w:p w14:paraId="28343380" w14:textId="77777777" w:rsidR="006E18B1" w:rsidRDefault="006E18B1" w:rsidP="006E18B1">
      <w:r>
        <w:t xml:space="preserve">This measure was included in Treasury Laws Amendment (Housing Tax Integrity) Bill 2017, which </w:t>
      </w:r>
      <w:r w:rsidR="00446B6D" w:rsidRPr="00446B6D">
        <w:t>received Royal Assent on 30 November 2017</w:t>
      </w:r>
      <w:r>
        <w:t xml:space="preserve">. </w:t>
      </w:r>
    </w:p>
    <w:p w14:paraId="75A88991" w14:textId="77777777" w:rsidR="001C5D63" w:rsidRPr="001C5D63" w:rsidRDefault="004144BC" w:rsidP="00F73908">
      <w:pPr>
        <w:pStyle w:val="Heading3"/>
      </w:pPr>
      <w:r>
        <w:t>Consultation p</w:t>
      </w:r>
      <w:r w:rsidR="001C5D63" w:rsidRPr="001C5D63">
        <w:t>rocess</w:t>
      </w:r>
    </w:p>
    <w:p w14:paraId="5DB2783C" w14:textId="608CE90B" w:rsidR="009649F5" w:rsidRDefault="006E18B1" w:rsidP="00835974">
      <w:r w:rsidRPr="00834992">
        <w:rPr>
          <w:b/>
        </w:rPr>
        <w:t>Schedule 1: Travel related to use of residential premises:</w:t>
      </w:r>
      <w:r>
        <w:t xml:space="preserve"> </w:t>
      </w:r>
      <w:r w:rsidR="009D24B6">
        <w:t>Public c</w:t>
      </w:r>
      <w:r w:rsidR="00835974">
        <w:t xml:space="preserve">onsultation on </w:t>
      </w:r>
      <w:r>
        <w:t xml:space="preserve">disallowing deductions of travel expenses </w:t>
      </w:r>
      <w:r w:rsidR="00835974">
        <w:t xml:space="preserve">was conducted between </w:t>
      </w:r>
      <w:r w:rsidR="002F6C6A">
        <w:t>14 July 2017</w:t>
      </w:r>
      <w:r w:rsidR="008A561B">
        <w:t xml:space="preserve"> </w:t>
      </w:r>
      <w:r w:rsidR="00835974">
        <w:t xml:space="preserve">and </w:t>
      </w:r>
      <w:r w:rsidR="002F6C6A">
        <w:t>10</w:t>
      </w:r>
      <w:r>
        <w:t> </w:t>
      </w:r>
      <w:r w:rsidR="002F6C6A">
        <w:t>August 2017</w:t>
      </w:r>
      <w:r w:rsidR="007052EA">
        <w:t xml:space="preserve">. </w:t>
      </w:r>
      <w:r>
        <w:t>Twenty</w:t>
      </w:r>
      <w:r w:rsidR="00536DA1">
        <w:t> </w:t>
      </w:r>
      <w:r>
        <w:t>nine submissions were received.</w:t>
      </w:r>
    </w:p>
    <w:p w14:paraId="22BB79AE" w14:textId="77777777" w:rsidR="00A774D9" w:rsidRDefault="00A774D9" w:rsidP="00835974">
      <w:r>
        <w:t>Submissions can be viewed on the</w:t>
      </w:r>
      <w:r w:rsidR="001B3841">
        <w:t xml:space="preserve"> </w:t>
      </w:r>
      <w:r w:rsidR="00D206DF">
        <w:t xml:space="preserve">Treasury website </w:t>
      </w:r>
      <w:hyperlink r:id="rId14" w:history="1">
        <w:r w:rsidR="00D206DF" w:rsidRPr="006A2309">
          <w:rPr>
            <w:rStyle w:val="Hyperlink"/>
          </w:rPr>
          <w:t>www.treasury.gov.au</w:t>
        </w:r>
      </w:hyperlink>
      <w:r w:rsidR="00D206DF">
        <w:t>.</w:t>
      </w:r>
      <w:hyperlink r:id="rId15" w:history="1"/>
      <w:r w:rsidR="001B3841">
        <w:t xml:space="preserve"> </w:t>
      </w:r>
    </w:p>
    <w:p w14:paraId="0D37C08F" w14:textId="18D533C0" w:rsidR="007402D4" w:rsidRDefault="006E18B1" w:rsidP="006E18B1">
      <w:r w:rsidRPr="00834992">
        <w:rPr>
          <w:b/>
        </w:rPr>
        <w:t>Schedule 2: Limiting depreciation deductions for plant and equipment in residential premises:</w:t>
      </w:r>
      <w:r>
        <w:rPr>
          <w:b/>
        </w:rPr>
        <w:t xml:space="preserve"> </w:t>
      </w:r>
      <w:r w:rsidR="009D24B6">
        <w:t>Public c</w:t>
      </w:r>
      <w:r w:rsidRPr="007C27FF">
        <w:t xml:space="preserve">onsultation on </w:t>
      </w:r>
      <w:r>
        <w:t xml:space="preserve">limiting plant and equipment deductions for investors in residential premises </w:t>
      </w:r>
      <w:r w:rsidRPr="007C27FF">
        <w:t xml:space="preserve">was conducted between 14 July 2017 and 10 August 2017. </w:t>
      </w:r>
      <w:r w:rsidR="007402D4">
        <w:t>Fifty three submissions were received.</w:t>
      </w:r>
    </w:p>
    <w:p w14:paraId="2EE2F834" w14:textId="77777777" w:rsidR="006E18B1" w:rsidRDefault="006E18B1" w:rsidP="006E18B1">
      <w:r w:rsidRPr="007C27FF">
        <w:t xml:space="preserve">Submissions can be viewed on the Treasury </w:t>
      </w:r>
      <w:r w:rsidR="00474F71">
        <w:t xml:space="preserve">website </w:t>
      </w:r>
      <w:hyperlink r:id="rId16" w:history="1">
        <w:r w:rsidR="00474F71" w:rsidRPr="006A2309">
          <w:rPr>
            <w:rStyle w:val="Hyperlink"/>
          </w:rPr>
          <w:t>www.treasury.gov.au</w:t>
        </w:r>
      </w:hyperlink>
      <w:r w:rsidRPr="007C27FF">
        <w:t>.</w:t>
      </w:r>
    </w:p>
    <w:p w14:paraId="05923E8C" w14:textId="01D0EB7C" w:rsidR="009D24B6" w:rsidRPr="003E0824" w:rsidRDefault="009D24B6" w:rsidP="006E18B1">
      <w:r>
        <w:t>In addition, Treasury held meetings with a range of stakeholders on both measures.</w:t>
      </w:r>
    </w:p>
    <w:p w14:paraId="5458BCF4" w14:textId="77777777" w:rsidR="001C5D63" w:rsidRPr="00294D00" w:rsidRDefault="006F17AD" w:rsidP="00F73908">
      <w:pPr>
        <w:pStyle w:val="Heading3"/>
      </w:pPr>
      <w:r>
        <w:t>Summary of key</w:t>
      </w:r>
      <w:r w:rsidR="004273E1" w:rsidRPr="00294D00">
        <w:t xml:space="preserve"> issues </w:t>
      </w:r>
    </w:p>
    <w:p w14:paraId="6B55C337" w14:textId="26BF9E6B" w:rsidR="00962F6F" w:rsidRDefault="00A26481" w:rsidP="00962F6F">
      <w:r w:rsidRPr="00834992">
        <w:rPr>
          <w:b/>
        </w:rPr>
        <w:t>Schedule 1: Travel related to use of residential premises:</w:t>
      </w:r>
      <w:r>
        <w:t xml:space="preserve"> </w:t>
      </w:r>
      <w:r w:rsidR="00962F6F">
        <w:t>S</w:t>
      </w:r>
      <w:r w:rsidR="00962F6F" w:rsidRPr="00057222">
        <w:t xml:space="preserve">takeholders acknowledged that the </w:t>
      </w:r>
      <w:r w:rsidR="00A25B2A">
        <w:t>personal income tax</w:t>
      </w:r>
      <w:r w:rsidR="00962F6F" w:rsidRPr="00057222">
        <w:t xml:space="preserve"> system create</w:t>
      </w:r>
      <w:r w:rsidR="00A25B2A">
        <w:t>d</w:t>
      </w:r>
      <w:r w:rsidR="00962F6F" w:rsidRPr="00057222">
        <w:t xml:space="preserve"> opportunities for excessive deductions. However,</w:t>
      </w:r>
      <w:r w:rsidR="00962F6F">
        <w:t xml:space="preserve"> </w:t>
      </w:r>
      <w:r w:rsidR="00474F71">
        <w:t xml:space="preserve">some stakeholders </w:t>
      </w:r>
      <w:r w:rsidR="00962F6F">
        <w:t>were concerned the</w:t>
      </w:r>
      <w:r w:rsidR="00962F6F" w:rsidRPr="00057222">
        <w:t xml:space="preserve"> </w:t>
      </w:r>
      <w:r w:rsidR="00962F6F">
        <w:t xml:space="preserve">measure </w:t>
      </w:r>
      <w:r w:rsidR="00A25B2A" w:rsidRPr="00057222">
        <w:t>conflict</w:t>
      </w:r>
      <w:r w:rsidR="00A25B2A">
        <w:t>ed</w:t>
      </w:r>
      <w:r w:rsidR="00A25B2A" w:rsidRPr="00057222">
        <w:t xml:space="preserve"> </w:t>
      </w:r>
      <w:r w:rsidR="00962F6F" w:rsidRPr="00057222">
        <w:t>with the fundamental principle of allowing deductions for expenses incurred in producin</w:t>
      </w:r>
      <w:r w:rsidR="00962F6F">
        <w:t>g income</w:t>
      </w:r>
      <w:r w:rsidR="007231B2">
        <w:t xml:space="preserve">. </w:t>
      </w:r>
    </w:p>
    <w:p w14:paraId="542F085E" w14:textId="77777777" w:rsidR="00C12C2A" w:rsidRDefault="00C12C2A">
      <w:pPr>
        <w:spacing w:after="0"/>
      </w:pPr>
      <w:r>
        <w:br w:type="page"/>
      </w:r>
    </w:p>
    <w:p w14:paraId="2B60F3DD" w14:textId="60AFB8F0" w:rsidR="007231B2" w:rsidRDefault="009D24B6" w:rsidP="00962F6F">
      <w:r>
        <w:lastRenderedPageBreak/>
        <w:t>T</w:t>
      </w:r>
      <w:r w:rsidR="007231B2">
        <w:t>he ATO has actively monitored this area over many years</w:t>
      </w:r>
      <w:r w:rsidR="00940604">
        <w:t>.</w:t>
      </w:r>
      <w:r w:rsidR="007231B2">
        <w:t xml:space="preserve"> </w:t>
      </w:r>
      <w:r w:rsidR="00940604">
        <w:t>This activity has identified</w:t>
      </w:r>
      <w:r w:rsidR="002A269C">
        <w:t xml:space="preserve"> incorrect apportionment of travel costs and claims of </w:t>
      </w:r>
      <w:r w:rsidR="00940604">
        <w:t xml:space="preserve">travel costs that </w:t>
      </w:r>
      <w:r w:rsidR="002A269C">
        <w:t>a</w:t>
      </w:r>
      <w:r w:rsidR="00940604">
        <w:t>re</w:t>
      </w:r>
      <w:r w:rsidR="002A269C">
        <w:t xml:space="preserve"> private</w:t>
      </w:r>
      <w:r w:rsidR="00940604">
        <w:t xml:space="preserve"> in</w:t>
      </w:r>
      <w:r w:rsidR="002A269C">
        <w:t xml:space="preserve"> nature</w:t>
      </w:r>
      <w:r w:rsidR="007231B2">
        <w:t>.</w:t>
      </w:r>
      <w:r w:rsidR="00E01DCD">
        <w:t xml:space="preserve"> The measure addresses the systemic risk of incorrect clai</w:t>
      </w:r>
      <w:bookmarkStart w:id="0" w:name="_GoBack"/>
      <w:bookmarkEnd w:id="0"/>
      <w:r w:rsidR="00E01DCD">
        <w:t>ms for travel expenses associated with residential investment properties.</w:t>
      </w:r>
      <w:r w:rsidRPr="009D24B6">
        <w:t xml:space="preserve"> </w:t>
      </w:r>
      <w:r>
        <w:t xml:space="preserve">A number of other deductions are </w:t>
      </w:r>
      <w:r w:rsidR="005344F4">
        <w:t xml:space="preserve">specifically </w:t>
      </w:r>
      <w:r>
        <w:t>denied under tax law even though they would be deductible under the general principles.</w:t>
      </w:r>
    </w:p>
    <w:p w14:paraId="41782679" w14:textId="77777777" w:rsidR="00A26481" w:rsidRDefault="00A26481" w:rsidP="007C27FF">
      <w:pPr>
        <w:pStyle w:val="Bullet"/>
        <w:numPr>
          <w:ilvl w:val="0"/>
          <w:numId w:val="0"/>
        </w:numPr>
        <w:rPr>
          <w:b/>
        </w:rPr>
      </w:pPr>
      <w:r w:rsidRPr="00834992">
        <w:rPr>
          <w:b/>
        </w:rPr>
        <w:t>Schedule 2:</w:t>
      </w:r>
      <w:r>
        <w:rPr>
          <w:b/>
        </w:rPr>
        <w:t> </w:t>
      </w:r>
      <w:r w:rsidRPr="00834992">
        <w:rPr>
          <w:b/>
        </w:rPr>
        <w:t>Limiting depreciation deductions for plant and equipment in residential premises:</w:t>
      </w:r>
    </w:p>
    <w:p w14:paraId="3968CAD9" w14:textId="5E3499E6" w:rsidR="00B637CA" w:rsidRDefault="00474F71" w:rsidP="00A26481">
      <w:r>
        <w:t>S</w:t>
      </w:r>
      <w:r w:rsidR="00B637CA">
        <w:t xml:space="preserve">takeholders acknowledged that the </w:t>
      </w:r>
      <w:r w:rsidR="00A25B2A">
        <w:t xml:space="preserve">personal income tax </w:t>
      </w:r>
      <w:r w:rsidR="00B637CA">
        <w:t>system create</w:t>
      </w:r>
      <w:r w:rsidR="00A25B2A">
        <w:t>d</w:t>
      </w:r>
      <w:r w:rsidR="00B637CA">
        <w:t xml:space="preserve"> opportunities for excessive deductions. However, </w:t>
      </w:r>
      <w:r>
        <w:t xml:space="preserve">some </w:t>
      </w:r>
      <w:r w:rsidR="00B637CA">
        <w:t xml:space="preserve">stakeholders expressed concerns that it was inequitable to disallow deductions </w:t>
      </w:r>
      <w:r w:rsidR="00676F23">
        <w:t xml:space="preserve">for </w:t>
      </w:r>
      <w:r w:rsidR="00B637CA">
        <w:t>plant and equipment assets</w:t>
      </w:r>
      <w:r w:rsidR="009D24B6">
        <w:t xml:space="preserve"> not purchased by the owner of a property</w:t>
      </w:r>
      <w:r w:rsidR="00B637CA">
        <w:t xml:space="preserve">. </w:t>
      </w:r>
      <w:r w:rsidR="009D24B6">
        <w:t>S</w:t>
      </w:r>
      <w:r w:rsidR="00B637CA">
        <w:t>takeholders</w:t>
      </w:r>
      <w:r w:rsidR="009D24B6">
        <w:t xml:space="preserve"> also</w:t>
      </w:r>
      <w:r w:rsidR="00B637CA">
        <w:t xml:space="preserve"> considered the</w:t>
      </w:r>
      <w:r w:rsidR="003A4986">
        <w:t>s</w:t>
      </w:r>
      <w:r w:rsidR="00B637CA">
        <w:t xml:space="preserve">e were compliance issues better addressed by the </w:t>
      </w:r>
      <w:r w:rsidR="003A4986">
        <w:t>Australian Taxation Office (</w:t>
      </w:r>
      <w:r w:rsidR="00B637CA">
        <w:t>ATO</w:t>
      </w:r>
      <w:r w:rsidR="003A4986">
        <w:t>)</w:t>
      </w:r>
      <w:r w:rsidR="00B637CA">
        <w:t>.</w:t>
      </w:r>
    </w:p>
    <w:p w14:paraId="043AA6FA" w14:textId="5723535E" w:rsidR="00474F71" w:rsidRDefault="00474F71" w:rsidP="00474F71">
      <w:r>
        <w:t>In particular, s</w:t>
      </w:r>
      <w:r w:rsidRPr="00BF73C3">
        <w:t>takeholders</w:t>
      </w:r>
      <w:r>
        <w:t xml:space="preserve"> </w:t>
      </w:r>
      <w:r w:rsidRPr="00BF73C3">
        <w:t xml:space="preserve">raised concerns </w:t>
      </w:r>
      <w:r>
        <w:t xml:space="preserve">that under the draft legislation investors would </w:t>
      </w:r>
      <w:r w:rsidR="00A25B2A">
        <w:t xml:space="preserve">have </w:t>
      </w:r>
      <w:r>
        <w:t>be</w:t>
      </w:r>
      <w:r w:rsidR="00A25B2A">
        <w:t>en</w:t>
      </w:r>
      <w:r>
        <w:t xml:space="preserve"> unable to claim plant and equipment depreciation deductions where </w:t>
      </w:r>
      <w:r w:rsidRPr="00BF73C3">
        <w:t>developers rent</w:t>
      </w:r>
      <w:r>
        <w:t>ed</w:t>
      </w:r>
      <w:r w:rsidRPr="00BF73C3">
        <w:t xml:space="preserve"> out properties prior to selling the property. </w:t>
      </w:r>
      <w:r w:rsidR="009D24B6">
        <w:t>Following consultation</w:t>
      </w:r>
      <w:r>
        <w:t xml:space="preserve">, the legislation </w:t>
      </w:r>
      <w:r w:rsidR="00A25B2A">
        <w:t>was</w:t>
      </w:r>
      <w:r>
        <w:t xml:space="preserve"> amended </w:t>
      </w:r>
      <w:r w:rsidRPr="00BF73C3">
        <w:t xml:space="preserve">to allow investors to claim plant and equipment depreciation deductions in situations where a developer/renovator tenants a property prior to selling it to an investor, provided the property is </w:t>
      </w:r>
      <w:r w:rsidRPr="00797B40">
        <w:t>purchased by an investor within six months of the property being completed and the developer/renovator has not claimed depreciation deductions.</w:t>
      </w:r>
    </w:p>
    <w:p w14:paraId="59246484" w14:textId="17D8ED70" w:rsidR="00E01DCD" w:rsidRDefault="009D24B6" w:rsidP="00E01DCD">
      <w:r>
        <w:t>T</w:t>
      </w:r>
      <w:r w:rsidR="00E01DCD">
        <w:t xml:space="preserve">he ATO has actively monitored this area over many years, and has identified a number of issues relating to inflated valuations of plant and equipment assets. </w:t>
      </w:r>
      <w:r w:rsidR="007026BA">
        <w:t>C</w:t>
      </w:r>
      <w:r w:rsidR="001822EB" w:rsidRPr="001822EB">
        <w:t xml:space="preserve">ompliance action </w:t>
      </w:r>
      <w:r w:rsidR="001822EB">
        <w:t>is</w:t>
      </w:r>
      <w:r w:rsidR="001822EB" w:rsidRPr="001822EB">
        <w:t xml:space="preserve"> ill suited to limiting excessive depreciation claims as the current process of determining the opening values and remaining effective lives of depreciable assets</w:t>
      </w:r>
      <w:r w:rsidR="00676F23">
        <w:t xml:space="preserve"> largely</w:t>
      </w:r>
      <w:r w:rsidR="001822EB" w:rsidRPr="001822EB">
        <w:t xml:space="preserve"> involves a degree of estimation and subjectivity. </w:t>
      </w:r>
    </w:p>
    <w:p w14:paraId="6430EF6C" w14:textId="77777777" w:rsidR="00C72DCC" w:rsidRPr="00435AEF" w:rsidRDefault="00C72DCC" w:rsidP="00F73908">
      <w:pPr>
        <w:pStyle w:val="Heading3"/>
      </w:pPr>
      <w:r w:rsidRPr="00435AEF">
        <w:t>Feedback</w:t>
      </w:r>
    </w:p>
    <w:p w14:paraId="445DE969" w14:textId="77777777" w:rsidR="00F7731A" w:rsidRDefault="00A26481" w:rsidP="000F58F3">
      <w:r w:rsidRPr="00834992">
        <w:rPr>
          <w:b/>
        </w:rPr>
        <w:t>Schedule 1: Travel related to use of residential premises:</w:t>
      </w:r>
      <w:r>
        <w:rPr>
          <w:b/>
        </w:rPr>
        <w:t xml:space="preserve"> </w:t>
      </w:r>
      <w:r w:rsidR="005A4B80">
        <w:t>F</w:t>
      </w:r>
      <w:r w:rsidR="00EC063B">
        <w:t xml:space="preserve">eedback </w:t>
      </w:r>
      <w:r w:rsidR="005A4B80">
        <w:t xml:space="preserve">on </w:t>
      </w:r>
      <w:r w:rsidR="00EC063B">
        <w:t>the consultation process</w:t>
      </w:r>
      <w:r w:rsidR="005A4B80">
        <w:t xml:space="preserve"> for this measure</w:t>
      </w:r>
      <w:r w:rsidR="0065681B">
        <w:t xml:space="preserve"> can be forwarded to </w:t>
      </w:r>
      <w:hyperlink r:id="rId17" w:history="1">
        <w:r w:rsidR="006B1B2F" w:rsidRPr="005523B7">
          <w:rPr>
            <w:rStyle w:val="Hyperlink"/>
          </w:rPr>
          <w:t>consultation@treasury.gov.au</w:t>
        </w:r>
      </w:hyperlink>
      <w:r w:rsidR="006B1B2F">
        <w:t xml:space="preserve"> </w:t>
      </w:r>
      <w:r w:rsidR="0044334B">
        <w:t xml:space="preserve">. </w:t>
      </w:r>
      <w:r w:rsidR="0065681B">
        <w:t xml:space="preserve">Alternatively, you can contact </w:t>
      </w:r>
      <w:r w:rsidR="00BB38D3">
        <w:t xml:space="preserve">Ms Shanyn Sparreboom </w:t>
      </w:r>
      <w:r w:rsidR="0065681B">
        <w:t xml:space="preserve">on </w:t>
      </w:r>
      <w:r w:rsidR="00BB38D3">
        <w:t>02 6263 2824.</w:t>
      </w:r>
    </w:p>
    <w:p w14:paraId="61D03F8D" w14:textId="77777777" w:rsidR="00A26481" w:rsidRDefault="00A26481" w:rsidP="000F58F3">
      <w:r w:rsidRPr="00834992">
        <w:rPr>
          <w:b/>
        </w:rPr>
        <w:t>Schedule 2: Limiting depreciation deductions for plant and equipment in residential premises:</w:t>
      </w:r>
      <w:r>
        <w:rPr>
          <w:b/>
        </w:rPr>
        <w:t xml:space="preserve"> </w:t>
      </w:r>
      <w:r>
        <w:t xml:space="preserve">Feedback on the consultation process for this measure can be forwarded to </w:t>
      </w:r>
      <w:hyperlink r:id="rId18" w:history="1">
        <w:r w:rsidRPr="005523B7">
          <w:rPr>
            <w:rStyle w:val="Hyperlink"/>
          </w:rPr>
          <w:t>consultation@treasury.gov.au</w:t>
        </w:r>
      </w:hyperlink>
      <w:r>
        <w:t xml:space="preserve"> . Alternatively, you can contact </w:t>
      </w:r>
      <w:r w:rsidR="00BB38D3">
        <w:t>Ms Shanyn Sparreboom</w:t>
      </w:r>
      <w:r>
        <w:t xml:space="preserve"> on </w:t>
      </w:r>
      <w:r w:rsidR="00BB38D3">
        <w:t>02 6263 2824</w:t>
      </w:r>
      <w:r>
        <w:t>.</w:t>
      </w:r>
    </w:p>
    <w:p w14:paraId="12AA2411" w14:textId="47FBD97B" w:rsidR="00B92516" w:rsidRPr="00067E1D" w:rsidRDefault="0044334B" w:rsidP="00CB75F3">
      <w:r>
        <w:t>Thank you to all participant</w:t>
      </w:r>
      <w:r w:rsidR="00696159">
        <w:t xml:space="preserve">s in the consultation process. </w:t>
      </w:r>
    </w:p>
    <w:sectPr w:rsidR="00B92516" w:rsidRPr="00067E1D" w:rsidSect="00E54185">
      <w:headerReference w:type="even" r:id="rId19"/>
      <w:headerReference w:type="default" r:id="rId20"/>
      <w:headerReference w:type="first" r:id="rId2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2D129" w14:textId="77777777" w:rsidR="00B340E7" w:rsidRDefault="00B340E7">
      <w:r>
        <w:separator/>
      </w:r>
    </w:p>
  </w:endnote>
  <w:endnote w:type="continuationSeparator" w:id="0">
    <w:p w14:paraId="25B3BF51" w14:textId="77777777" w:rsidR="00B340E7" w:rsidRDefault="00B340E7">
      <w:r>
        <w:continuationSeparator/>
      </w:r>
    </w:p>
  </w:endnote>
  <w:endnote w:type="continuationNotice" w:id="1">
    <w:p w14:paraId="72A9FE40" w14:textId="77777777" w:rsidR="00B340E7" w:rsidRDefault="00B340E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3AA23" w14:textId="77777777" w:rsidR="00B340E7" w:rsidRDefault="00B340E7">
      <w:r>
        <w:separator/>
      </w:r>
    </w:p>
  </w:footnote>
  <w:footnote w:type="continuationSeparator" w:id="0">
    <w:p w14:paraId="7FF03DA3" w14:textId="77777777" w:rsidR="00B340E7" w:rsidRDefault="00B340E7">
      <w:r>
        <w:continuationSeparator/>
      </w:r>
    </w:p>
  </w:footnote>
  <w:footnote w:type="continuationNotice" w:id="1">
    <w:p w14:paraId="5633BF28" w14:textId="77777777" w:rsidR="00B340E7" w:rsidRDefault="00B340E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B7F2B" w14:textId="77777777" w:rsidR="007F4BAD" w:rsidRDefault="00427A98">
    <w:pPr>
      <w:pStyle w:val="Header"/>
    </w:pPr>
    <w:r>
      <w:rPr>
        <w:noProof/>
      </w:rPr>
      <w:pict w14:anchorId="41DC72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85.3pt;height:194.1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1543A" w14:textId="77777777" w:rsidR="007F4BAD" w:rsidRDefault="007F4BAD" w:rsidP="006C3478">
    <w:pPr>
      <w:pStyle w:val="FooterAddress"/>
    </w:pPr>
  </w:p>
  <w:p w14:paraId="4D5917AD" w14:textId="77777777" w:rsidR="007F4BAD" w:rsidRDefault="007F4BAD" w:rsidP="006C3478">
    <w:pPr>
      <w:jc w:val="center"/>
    </w:pPr>
    <w:r>
      <w:rPr>
        <w:noProof/>
      </w:rPr>
      <w:drawing>
        <wp:inline distT="0" distB="0" distL="0" distR="0" wp14:anchorId="412B9F12" wp14:editId="41825586">
          <wp:extent cx="1924050" cy="1193800"/>
          <wp:effectExtent l="19050" t="0" r="0" b="0"/>
          <wp:docPr id="1" name="Picture 1" descr="crest_treasury_stack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st_treasury_stack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193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8AC05" w14:textId="77777777" w:rsidR="007F4BAD" w:rsidRDefault="00427A98">
    <w:pPr>
      <w:pStyle w:val="Header"/>
    </w:pPr>
    <w:r>
      <w:rPr>
        <w:noProof/>
      </w:rPr>
      <w:pict w14:anchorId="4017C3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00F83"/>
    <w:multiLevelType w:val="multilevel"/>
    <w:tmpl w:val="F0EE9C22"/>
    <w:lvl w:ilvl="0">
      <w:start w:val="1"/>
      <w:numFmt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29F1D87"/>
    <w:multiLevelType w:val="multilevel"/>
    <w:tmpl w:val="7928686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displayBackgroundShape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noTabHangInd/>
    <w:noColumnBalance/>
    <w:suppressBottomSpacing/>
    <w:suppressTopSpacing/>
    <w:suppressSpBfAfterPgBrk/>
    <w:noSpaceRaiseLower/>
    <w:doNotUseHTMLParagraphAutoSpacing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1A"/>
    <w:rsid w:val="0000717F"/>
    <w:rsid w:val="00013BA1"/>
    <w:rsid w:val="00014300"/>
    <w:rsid w:val="000150A1"/>
    <w:rsid w:val="00035168"/>
    <w:rsid w:val="000359E6"/>
    <w:rsid w:val="00041FE1"/>
    <w:rsid w:val="000551F5"/>
    <w:rsid w:val="0005600E"/>
    <w:rsid w:val="0005763D"/>
    <w:rsid w:val="000609D8"/>
    <w:rsid w:val="00065F85"/>
    <w:rsid w:val="00066C2A"/>
    <w:rsid w:val="00067E1D"/>
    <w:rsid w:val="0007086E"/>
    <w:rsid w:val="0007133B"/>
    <w:rsid w:val="000725C0"/>
    <w:rsid w:val="0007370B"/>
    <w:rsid w:val="00073CF1"/>
    <w:rsid w:val="00077478"/>
    <w:rsid w:val="00081148"/>
    <w:rsid w:val="00081E45"/>
    <w:rsid w:val="00090587"/>
    <w:rsid w:val="00094E5A"/>
    <w:rsid w:val="000A59B5"/>
    <w:rsid w:val="000A6DBE"/>
    <w:rsid w:val="000B20B0"/>
    <w:rsid w:val="000B66EF"/>
    <w:rsid w:val="000C4082"/>
    <w:rsid w:val="000C4101"/>
    <w:rsid w:val="000C784D"/>
    <w:rsid w:val="000D2BCE"/>
    <w:rsid w:val="000D6EAF"/>
    <w:rsid w:val="000D71B6"/>
    <w:rsid w:val="000E752F"/>
    <w:rsid w:val="000F3AC3"/>
    <w:rsid w:val="000F58F3"/>
    <w:rsid w:val="000F7250"/>
    <w:rsid w:val="0010374A"/>
    <w:rsid w:val="0011262E"/>
    <w:rsid w:val="00121EB0"/>
    <w:rsid w:val="00125111"/>
    <w:rsid w:val="001261D4"/>
    <w:rsid w:val="00127624"/>
    <w:rsid w:val="001307F9"/>
    <w:rsid w:val="00142EB8"/>
    <w:rsid w:val="0014413A"/>
    <w:rsid w:val="001444E7"/>
    <w:rsid w:val="00144EF0"/>
    <w:rsid w:val="00146907"/>
    <w:rsid w:val="00147496"/>
    <w:rsid w:val="0015170E"/>
    <w:rsid w:val="001521F8"/>
    <w:rsid w:val="00152F1C"/>
    <w:rsid w:val="00153B7D"/>
    <w:rsid w:val="0016017F"/>
    <w:rsid w:val="00166896"/>
    <w:rsid w:val="001674B6"/>
    <w:rsid w:val="0017132A"/>
    <w:rsid w:val="001822EB"/>
    <w:rsid w:val="00184D83"/>
    <w:rsid w:val="001860D7"/>
    <w:rsid w:val="001928ED"/>
    <w:rsid w:val="001939D9"/>
    <w:rsid w:val="001953C8"/>
    <w:rsid w:val="0019587A"/>
    <w:rsid w:val="0019623F"/>
    <w:rsid w:val="001A0832"/>
    <w:rsid w:val="001A4D87"/>
    <w:rsid w:val="001A7CD5"/>
    <w:rsid w:val="001B3841"/>
    <w:rsid w:val="001C07BC"/>
    <w:rsid w:val="001C0DF8"/>
    <w:rsid w:val="001C270C"/>
    <w:rsid w:val="001C5415"/>
    <w:rsid w:val="001C5D63"/>
    <w:rsid w:val="001D13C5"/>
    <w:rsid w:val="001D54F7"/>
    <w:rsid w:val="001E465C"/>
    <w:rsid w:val="001E53E9"/>
    <w:rsid w:val="001E55D6"/>
    <w:rsid w:val="001E612B"/>
    <w:rsid w:val="001F15C6"/>
    <w:rsid w:val="001F2F2A"/>
    <w:rsid w:val="001F50ED"/>
    <w:rsid w:val="001F5126"/>
    <w:rsid w:val="001F514F"/>
    <w:rsid w:val="00200339"/>
    <w:rsid w:val="0020159D"/>
    <w:rsid w:val="00202554"/>
    <w:rsid w:val="002059E8"/>
    <w:rsid w:val="002117D8"/>
    <w:rsid w:val="002216C2"/>
    <w:rsid w:val="00221EEA"/>
    <w:rsid w:val="002230F5"/>
    <w:rsid w:val="00226AB9"/>
    <w:rsid w:val="002331B0"/>
    <w:rsid w:val="002403BE"/>
    <w:rsid w:val="00241915"/>
    <w:rsid w:val="0024777D"/>
    <w:rsid w:val="0025317A"/>
    <w:rsid w:val="00256DDF"/>
    <w:rsid w:val="00257E94"/>
    <w:rsid w:val="00264766"/>
    <w:rsid w:val="00271205"/>
    <w:rsid w:val="002723D3"/>
    <w:rsid w:val="00273048"/>
    <w:rsid w:val="002759AD"/>
    <w:rsid w:val="00280815"/>
    <w:rsid w:val="00283D6D"/>
    <w:rsid w:val="00284332"/>
    <w:rsid w:val="00284A47"/>
    <w:rsid w:val="00286CA8"/>
    <w:rsid w:val="00290D00"/>
    <w:rsid w:val="00294D00"/>
    <w:rsid w:val="002A2015"/>
    <w:rsid w:val="002A269C"/>
    <w:rsid w:val="002A5D44"/>
    <w:rsid w:val="002B0B00"/>
    <w:rsid w:val="002B10C8"/>
    <w:rsid w:val="002B3E42"/>
    <w:rsid w:val="002B778B"/>
    <w:rsid w:val="002B7CA2"/>
    <w:rsid w:val="002C3264"/>
    <w:rsid w:val="002C357B"/>
    <w:rsid w:val="002C672A"/>
    <w:rsid w:val="002C6DB3"/>
    <w:rsid w:val="002D3EBC"/>
    <w:rsid w:val="002D7A27"/>
    <w:rsid w:val="002E1F3D"/>
    <w:rsid w:val="002F3DBF"/>
    <w:rsid w:val="002F4AEF"/>
    <w:rsid w:val="002F6C6A"/>
    <w:rsid w:val="0030221A"/>
    <w:rsid w:val="0030513B"/>
    <w:rsid w:val="00317178"/>
    <w:rsid w:val="00320C27"/>
    <w:rsid w:val="00332453"/>
    <w:rsid w:val="003331BD"/>
    <w:rsid w:val="00334D0C"/>
    <w:rsid w:val="003353D0"/>
    <w:rsid w:val="003409F8"/>
    <w:rsid w:val="003459E9"/>
    <w:rsid w:val="00355A78"/>
    <w:rsid w:val="0035634F"/>
    <w:rsid w:val="003605ED"/>
    <w:rsid w:val="00360797"/>
    <w:rsid w:val="003609E3"/>
    <w:rsid w:val="00364612"/>
    <w:rsid w:val="00364A88"/>
    <w:rsid w:val="00364D2B"/>
    <w:rsid w:val="003756E3"/>
    <w:rsid w:val="003758D2"/>
    <w:rsid w:val="00377484"/>
    <w:rsid w:val="00381663"/>
    <w:rsid w:val="003823E0"/>
    <w:rsid w:val="00396032"/>
    <w:rsid w:val="003A4986"/>
    <w:rsid w:val="003A626C"/>
    <w:rsid w:val="003A6278"/>
    <w:rsid w:val="003B210E"/>
    <w:rsid w:val="003B3DEF"/>
    <w:rsid w:val="003C182F"/>
    <w:rsid w:val="003C44DD"/>
    <w:rsid w:val="003C720F"/>
    <w:rsid w:val="003D3F89"/>
    <w:rsid w:val="003E0824"/>
    <w:rsid w:val="003F30DB"/>
    <w:rsid w:val="00400004"/>
    <w:rsid w:val="004000BB"/>
    <w:rsid w:val="00400CAF"/>
    <w:rsid w:val="00404E6C"/>
    <w:rsid w:val="00410649"/>
    <w:rsid w:val="00410A4F"/>
    <w:rsid w:val="004144BC"/>
    <w:rsid w:val="00416663"/>
    <w:rsid w:val="00416B24"/>
    <w:rsid w:val="004217AA"/>
    <w:rsid w:val="00422EC6"/>
    <w:rsid w:val="004273E1"/>
    <w:rsid w:val="00427A98"/>
    <w:rsid w:val="00431B52"/>
    <w:rsid w:val="00435AEF"/>
    <w:rsid w:val="0044334B"/>
    <w:rsid w:val="004469DE"/>
    <w:rsid w:val="00446B6D"/>
    <w:rsid w:val="004470AD"/>
    <w:rsid w:val="004478FE"/>
    <w:rsid w:val="00451760"/>
    <w:rsid w:val="00451FC3"/>
    <w:rsid w:val="00457BC3"/>
    <w:rsid w:val="00462452"/>
    <w:rsid w:val="004663BE"/>
    <w:rsid w:val="00474F71"/>
    <w:rsid w:val="004801C6"/>
    <w:rsid w:val="004820B4"/>
    <w:rsid w:val="00486774"/>
    <w:rsid w:val="00492E2C"/>
    <w:rsid w:val="004934A1"/>
    <w:rsid w:val="004956F5"/>
    <w:rsid w:val="004A52DC"/>
    <w:rsid w:val="004A5992"/>
    <w:rsid w:val="004B37D4"/>
    <w:rsid w:val="004B5725"/>
    <w:rsid w:val="004B5D2A"/>
    <w:rsid w:val="004C10BF"/>
    <w:rsid w:val="004C3007"/>
    <w:rsid w:val="004C4392"/>
    <w:rsid w:val="004C477C"/>
    <w:rsid w:val="004D05B3"/>
    <w:rsid w:val="004D0E48"/>
    <w:rsid w:val="004D3105"/>
    <w:rsid w:val="004D31E8"/>
    <w:rsid w:val="004D3B64"/>
    <w:rsid w:val="004E4E48"/>
    <w:rsid w:val="004E50CC"/>
    <w:rsid w:val="004E534A"/>
    <w:rsid w:val="004F52DB"/>
    <w:rsid w:val="004F55C0"/>
    <w:rsid w:val="004F713D"/>
    <w:rsid w:val="00513BA4"/>
    <w:rsid w:val="00520D98"/>
    <w:rsid w:val="00521949"/>
    <w:rsid w:val="00522AC9"/>
    <w:rsid w:val="00525FD5"/>
    <w:rsid w:val="005317C6"/>
    <w:rsid w:val="005344F4"/>
    <w:rsid w:val="00535F67"/>
    <w:rsid w:val="00536B87"/>
    <w:rsid w:val="00536DA1"/>
    <w:rsid w:val="00541324"/>
    <w:rsid w:val="005430E6"/>
    <w:rsid w:val="00545891"/>
    <w:rsid w:val="00546019"/>
    <w:rsid w:val="005502B4"/>
    <w:rsid w:val="005509F2"/>
    <w:rsid w:val="0055111B"/>
    <w:rsid w:val="00551C6B"/>
    <w:rsid w:val="00552685"/>
    <w:rsid w:val="00560E1B"/>
    <w:rsid w:val="005809D1"/>
    <w:rsid w:val="00584A28"/>
    <w:rsid w:val="00590F6B"/>
    <w:rsid w:val="00592BB1"/>
    <w:rsid w:val="005938F3"/>
    <w:rsid w:val="00594693"/>
    <w:rsid w:val="005957C6"/>
    <w:rsid w:val="00595FA5"/>
    <w:rsid w:val="005973F7"/>
    <w:rsid w:val="005A21BA"/>
    <w:rsid w:val="005A4B80"/>
    <w:rsid w:val="005A7641"/>
    <w:rsid w:val="005B441A"/>
    <w:rsid w:val="005B4AC3"/>
    <w:rsid w:val="005B69A7"/>
    <w:rsid w:val="005B69B2"/>
    <w:rsid w:val="005C0475"/>
    <w:rsid w:val="005C0E91"/>
    <w:rsid w:val="005C212B"/>
    <w:rsid w:val="005C3556"/>
    <w:rsid w:val="005C5CC1"/>
    <w:rsid w:val="005D243B"/>
    <w:rsid w:val="005D4B6D"/>
    <w:rsid w:val="005D6D69"/>
    <w:rsid w:val="005E05A7"/>
    <w:rsid w:val="005E3584"/>
    <w:rsid w:val="005E3FA8"/>
    <w:rsid w:val="005E612B"/>
    <w:rsid w:val="005E66D5"/>
    <w:rsid w:val="005F1B84"/>
    <w:rsid w:val="005F5915"/>
    <w:rsid w:val="006032DA"/>
    <w:rsid w:val="0060364F"/>
    <w:rsid w:val="00606AB6"/>
    <w:rsid w:val="00615E31"/>
    <w:rsid w:val="00617843"/>
    <w:rsid w:val="006221AC"/>
    <w:rsid w:val="006242B4"/>
    <w:rsid w:val="00627642"/>
    <w:rsid w:val="0063458C"/>
    <w:rsid w:val="00634DC4"/>
    <w:rsid w:val="00644A8E"/>
    <w:rsid w:val="00647874"/>
    <w:rsid w:val="006555F3"/>
    <w:rsid w:val="0065681B"/>
    <w:rsid w:val="00665D9D"/>
    <w:rsid w:val="0067088A"/>
    <w:rsid w:val="00671047"/>
    <w:rsid w:val="00675E33"/>
    <w:rsid w:val="00676591"/>
    <w:rsid w:val="00676F23"/>
    <w:rsid w:val="006770EF"/>
    <w:rsid w:val="00677645"/>
    <w:rsid w:val="00680731"/>
    <w:rsid w:val="00684954"/>
    <w:rsid w:val="00685354"/>
    <w:rsid w:val="00685AA5"/>
    <w:rsid w:val="00686D5A"/>
    <w:rsid w:val="0069589E"/>
    <w:rsid w:val="00696159"/>
    <w:rsid w:val="006A0A12"/>
    <w:rsid w:val="006B1697"/>
    <w:rsid w:val="006B1B2F"/>
    <w:rsid w:val="006B2091"/>
    <w:rsid w:val="006B29EB"/>
    <w:rsid w:val="006B309E"/>
    <w:rsid w:val="006B5E38"/>
    <w:rsid w:val="006C0020"/>
    <w:rsid w:val="006C2C92"/>
    <w:rsid w:val="006C3478"/>
    <w:rsid w:val="006D75A4"/>
    <w:rsid w:val="006E039F"/>
    <w:rsid w:val="006E03CB"/>
    <w:rsid w:val="006E18B1"/>
    <w:rsid w:val="006E266F"/>
    <w:rsid w:val="006E3228"/>
    <w:rsid w:val="006E3787"/>
    <w:rsid w:val="006F016E"/>
    <w:rsid w:val="006F03B0"/>
    <w:rsid w:val="006F17AD"/>
    <w:rsid w:val="006F3EAC"/>
    <w:rsid w:val="007001D0"/>
    <w:rsid w:val="007026BA"/>
    <w:rsid w:val="007033C9"/>
    <w:rsid w:val="007052EA"/>
    <w:rsid w:val="007114AF"/>
    <w:rsid w:val="00720D1E"/>
    <w:rsid w:val="007212F4"/>
    <w:rsid w:val="007231B2"/>
    <w:rsid w:val="00727A40"/>
    <w:rsid w:val="007402D4"/>
    <w:rsid w:val="007405F4"/>
    <w:rsid w:val="007408F0"/>
    <w:rsid w:val="00742785"/>
    <w:rsid w:val="00753B6F"/>
    <w:rsid w:val="007569CB"/>
    <w:rsid w:val="007576D9"/>
    <w:rsid w:val="00764577"/>
    <w:rsid w:val="0076650A"/>
    <w:rsid w:val="00766D6F"/>
    <w:rsid w:val="007673A9"/>
    <w:rsid w:val="007763AC"/>
    <w:rsid w:val="0077689E"/>
    <w:rsid w:val="00782AF4"/>
    <w:rsid w:val="00783D30"/>
    <w:rsid w:val="007929B6"/>
    <w:rsid w:val="00797703"/>
    <w:rsid w:val="007A059C"/>
    <w:rsid w:val="007A377E"/>
    <w:rsid w:val="007A59C1"/>
    <w:rsid w:val="007B115E"/>
    <w:rsid w:val="007B41BB"/>
    <w:rsid w:val="007B5214"/>
    <w:rsid w:val="007B5613"/>
    <w:rsid w:val="007C27FF"/>
    <w:rsid w:val="007D0936"/>
    <w:rsid w:val="007D4116"/>
    <w:rsid w:val="007E0845"/>
    <w:rsid w:val="007E3D27"/>
    <w:rsid w:val="007E59C2"/>
    <w:rsid w:val="007E699E"/>
    <w:rsid w:val="007F17FC"/>
    <w:rsid w:val="007F2ACC"/>
    <w:rsid w:val="007F2BA7"/>
    <w:rsid w:val="007F42C5"/>
    <w:rsid w:val="007F4BAD"/>
    <w:rsid w:val="007F656B"/>
    <w:rsid w:val="007F6580"/>
    <w:rsid w:val="007F7CAB"/>
    <w:rsid w:val="0080001B"/>
    <w:rsid w:val="00803FA2"/>
    <w:rsid w:val="00806E40"/>
    <w:rsid w:val="00810A80"/>
    <w:rsid w:val="00813FF2"/>
    <w:rsid w:val="008265E2"/>
    <w:rsid w:val="00826C72"/>
    <w:rsid w:val="00826FA7"/>
    <w:rsid w:val="00834D5B"/>
    <w:rsid w:val="0083557F"/>
    <w:rsid w:val="00835974"/>
    <w:rsid w:val="00835BDE"/>
    <w:rsid w:val="008366A4"/>
    <w:rsid w:val="00840870"/>
    <w:rsid w:val="00842A6B"/>
    <w:rsid w:val="00842F82"/>
    <w:rsid w:val="00843EEB"/>
    <w:rsid w:val="00844B85"/>
    <w:rsid w:val="00846CC4"/>
    <w:rsid w:val="008636CE"/>
    <w:rsid w:val="00871006"/>
    <w:rsid w:val="0088712E"/>
    <w:rsid w:val="00891A52"/>
    <w:rsid w:val="00891C95"/>
    <w:rsid w:val="00894703"/>
    <w:rsid w:val="008A2FD1"/>
    <w:rsid w:val="008A350E"/>
    <w:rsid w:val="008A38AC"/>
    <w:rsid w:val="008A561B"/>
    <w:rsid w:val="008B1501"/>
    <w:rsid w:val="008C0912"/>
    <w:rsid w:val="008C0A3C"/>
    <w:rsid w:val="008C221D"/>
    <w:rsid w:val="008C3C84"/>
    <w:rsid w:val="008D0AE4"/>
    <w:rsid w:val="008D23A2"/>
    <w:rsid w:val="008D39EC"/>
    <w:rsid w:val="008D4A22"/>
    <w:rsid w:val="008D67DA"/>
    <w:rsid w:val="008E280A"/>
    <w:rsid w:val="008E388C"/>
    <w:rsid w:val="008E4FE1"/>
    <w:rsid w:val="008E576A"/>
    <w:rsid w:val="008E71D3"/>
    <w:rsid w:val="008E7475"/>
    <w:rsid w:val="008F0543"/>
    <w:rsid w:val="008F35A0"/>
    <w:rsid w:val="008F3A7B"/>
    <w:rsid w:val="008F6D50"/>
    <w:rsid w:val="008F7332"/>
    <w:rsid w:val="00901679"/>
    <w:rsid w:val="00902FCE"/>
    <w:rsid w:val="00903A03"/>
    <w:rsid w:val="00905FC5"/>
    <w:rsid w:val="009073C3"/>
    <w:rsid w:val="00910077"/>
    <w:rsid w:val="0091264E"/>
    <w:rsid w:val="00914B0E"/>
    <w:rsid w:val="00915838"/>
    <w:rsid w:val="00915C18"/>
    <w:rsid w:val="00924006"/>
    <w:rsid w:val="009268F0"/>
    <w:rsid w:val="00926B1A"/>
    <w:rsid w:val="00926F41"/>
    <w:rsid w:val="00940604"/>
    <w:rsid w:val="00942343"/>
    <w:rsid w:val="00944066"/>
    <w:rsid w:val="00950BFC"/>
    <w:rsid w:val="009522AE"/>
    <w:rsid w:val="009562D2"/>
    <w:rsid w:val="00962F6F"/>
    <w:rsid w:val="0096362F"/>
    <w:rsid w:val="009649F5"/>
    <w:rsid w:val="00965AC7"/>
    <w:rsid w:val="00974400"/>
    <w:rsid w:val="00976987"/>
    <w:rsid w:val="009814A8"/>
    <w:rsid w:val="00983E3D"/>
    <w:rsid w:val="00986825"/>
    <w:rsid w:val="00993793"/>
    <w:rsid w:val="009944C2"/>
    <w:rsid w:val="00997BDF"/>
    <w:rsid w:val="009A0978"/>
    <w:rsid w:val="009A2431"/>
    <w:rsid w:val="009A2D62"/>
    <w:rsid w:val="009A3E25"/>
    <w:rsid w:val="009B0B79"/>
    <w:rsid w:val="009B52A9"/>
    <w:rsid w:val="009C3B82"/>
    <w:rsid w:val="009D24B6"/>
    <w:rsid w:val="009D3737"/>
    <w:rsid w:val="009D488C"/>
    <w:rsid w:val="009E1966"/>
    <w:rsid w:val="009E2398"/>
    <w:rsid w:val="009E4B71"/>
    <w:rsid w:val="009F0D50"/>
    <w:rsid w:val="009F20D8"/>
    <w:rsid w:val="009F6DF6"/>
    <w:rsid w:val="00A01A0F"/>
    <w:rsid w:val="00A01DB0"/>
    <w:rsid w:val="00A02FA1"/>
    <w:rsid w:val="00A03B11"/>
    <w:rsid w:val="00A043CF"/>
    <w:rsid w:val="00A10A75"/>
    <w:rsid w:val="00A1695E"/>
    <w:rsid w:val="00A21D6F"/>
    <w:rsid w:val="00A25B2A"/>
    <w:rsid w:val="00A26141"/>
    <w:rsid w:val="00A26481"/>
    <w:rsid w:val="00A275C9"/>
    <w:rsid w:val="00A31ADE"/>
    <w:rsid w:val="00A321BA"/>
    <w:rsid w:val="00A3393B"/>
    <w:rsid w:val="00A353A3"/>
    <w:rsid w:val="00A42560"/>
    <w:rsid w:val="00A4412B"/>
    <w:rsid w:val="00A45D9B"/>
    <w:rsid w:val="00A54858"/>
    <w:rsid w:val="00A57838"/>
    <w:rsid w:val="00A62B14"/>
    <w:rsid w:val="00A62F90"/>
    <w:rsid w:val="00A63033"/>
    <w:rsid w:val="00A656C3"/>
    <w:rsid w:val="00A6667F"/>
    <w:rsid w:val="00A707A2"/>
    <w:rsid w:val="00A7316B"/>
    <w:rsid w:val="00A742E7"/>
    <w:rsid w:val="00A774D9"/>
    <w:rsid w:val="00A77A9A"/>
    <w:rsid w:val="00A77FC9"/>
    <w:rsid w:val="00A8469A"/>
    <w:rsid w:val="00A84780"/>
    <w:rsid w:val="00A84D30"/>
    <w:rsid w:val="00A860B8"/>
    <w:rsid w:val="00A86EE2"/>
    <w:rsid w:val="00A870B0"/>
    <w:rsid w:val="00A90669"/>
    <w:rsid w:val="00A934D8"/>
    <w:rsid w:val="00A94508"/>
    <w:rsid w:val="00AA6DE7"/>
    <w:rsid w:val="00AA719A"/>
    <w:rsid w:val="00AB65FE"/>
    <w:rsid w:val="00AC4037"/>
    <w:rsid w:val="00AD5CC7"/>
    <w:rsid w:val="00AD6DE2"/>
    <w:rsid w:val="00AE1341"/>
    <w:rsid w:val="00AE4A54"/>
    <w:rsid w:val="00AF0EB2"/>
    <w:rsid w:val="00AF1412"/>
    <w:rsid w:val="00AF6E91"/>
    <w:rsid w:val="00B02EEC"/>
    <w:rsid w:val="00B116E7"/>
    <w:rsid w:val="00B11BB0"/>
    <w:rsid w:val="00B1515B"/>
    <w:rsid w:val="00B22C30"/>
    <w:rsid w:val="00B261E5"/>
    <w:rsid w:val="00B26AEF"/>
    <w:rsid w:val="00B31CE6"/>
    <w:rsid w:val="00B340E7"/>
    <w:rsid w:val="00B424DD"/>
    <w:rsid w:val="00B44EB2"/>
    <w:rsid w:val="00B47997"/>
    <w:rsid w:val="00B51592"/>
    <w:rsid w:val="00B56304"/>
    <w:rsid w:val="00B57D38"/>
    <w:rsid w:val="00B62D90"/>
    <w:rsid w:val="00B637CA"/>
    <w:rsid w:val="00B65057"/>
    <w:rsid w:val="00B6613F"/>
    <w:rsid w:val="00B67B8A"/>
    <w:rsid w:val="00B71E56"/>
    <w:rsid w:val="00B7388C"/>
    <w:rsid w:val="00B81855"/>
    <w:rsid w:val="00B84BB3"/>
    <w:rsid w:val="00B84E3F"/>
    <w:rsid w:val="00B85320"/>
    <w:rsid w:val="00B90456"/>
    <w:rsid w:val="00B92516"/>
    <w:rsid w:val="00B9260E"/>
    <w:rsid w:val="00B92D9C"/>
    <w:rsid w:val="00B942A7"/>
    <w:rsid w:val="00B94FB4"/>
    <w:rsid w:val="00BA0AEE"/>
    <w:rsid w:val="00BA2E6E"/>
    <w:rsid w:val="00BA34F9"/>
    <w:rsid w:val="00BA5932"/>
    <w:rsid w:val="00BA7EA2"/>
    <w:rsid w:val="00BB38D3"/>
    <w:rsid w:val="00BB48B7"/>
    <w:rsid w:val="00BB4BAB"/>
    <w:rsid w:val="00BE0B2D"/>
    <w:rsid w:val="00BE0B82"/>
    <w:rsid w:val="00BE1B0A"/>
    <w:rsid w:val="00BF1976"/>
    <w:rsid w:val="00BF2E83"/>
    <w:rsid w:val="00BF37C3"/>
    <w:rsid w:val="00BF73C3"/>
    <w:rsid w:val="00C12075"/>
    <w:rsid w:val="00C12C2A"/>
    <w:rsid w:val="00C1452C"/>
    <w:rsid w:val="00C17DD8"/>
    <w:rsid w:val="00C241DA"/>
    <w:rsid w:val="00C26A08"/>
    <w:rsid w:val="00C32087"/>
    <w:rsid w:val="00C325F2"/>
    <w:rsid w:val="00C32BC7"/>
    <w:rsid w:val="00C335BB"/>
    <w:rsid w:val="00C344A5"/>
    <w:rsid w:val="00C40AEF"/>
    <w:rsid w:val="00C418B7"/>
    <w:rsid w:val="00C451EF"/>
    <w:rsid w:val="00C50461"/>
    <w:rsid w:val="00C524F9"/>
    <w:rsid w:val="00C531C3"/>
    <w:rsid w:val="00C55C9B"/>
    <w:rsid w:val="00C5636D"/>
    <w:rsid w:val="00C57D07"/>
    <w:rsid w:val="00C61063"/>
    <w:rsid w:val="00C6717E"/>
    <w:rsid w:val="00C72DCC"/>
    <w:rsid w:val="00C84208"/>
    <w:rsid w:val="00C92B3C"/>
    <w:rsid w:val="00C9627F"/>
    <w:rsid w:val="00C972DD"/>
    <w:rsid w:val="00C97D59"/>
    <w:rsid w:val="00CA0432"/>
    <w:rsid w:val="00CA5796"/>
    <w:rsid w:val="00CB2E16"/>
    <w:rsid w:val="00CB4ABC"/>
    <w:rsid w:val="00CB75F3"/>
    <w:rsid w:val="00CC1509"/>
    <w:rsid w:val="00CC2466"/>
    <w:rsid w:val="00CC4A3B"/>
    <w:rsid w:val="00CC5628"/>
    <w:rsid w:val="00CD522D"/>
    <w:rsid w:val="00CD5693"/>
    <w:rsid w:val="00CE216D"/>
    <w:rsid w:val="00CE703F"/>
    <w:rsid w:val="00D01580"/>
    <w:rsid w:val="00D03FD5"/>
    <w:rsid w:val="00D05730"/>
    <w:rsid w:val="00D06D38"/>
    <w:rsid w:val="00D071F5"/>
    <w:rsid w:val="00D1042E"/>
    <w:rsid w:val="00D1185F"/>
    <w:rsid w:val="00D1247D"/>
    <w:rsid w:val="00D1394E"/>
    <w:rsid w:val="00D206DF"/>
    <w:rsid w:val="00D218A5"/>
    <w:rsid w:val="00D22699"/>
    <w:rsid w:val="00D27B49"/>
    <w:rsid w:val="00D31D59"/>
    <w:rsid w:val="00D3549B"/>
    <w:rsid w:val="00D365E4"/>
    <w:rsid w:val="00D36AE7"/>
    <w:rsid w:val="00D36D2F"/>
    <w:rsid w:val="00D3725B"/>
    <w:rsid w:val="00D457AE"/>
    <w:rsid w:val="00D55EDF"/>
    <w:rsid w:val="00D56C01"/>
    <w:rsid w:val="00D56E6D"/>
    <w:rsid w:val="00D573F8"/>
    <w:rsid w:val="00D624EF"/>
    <w:rsid w:val="00D6586E"/>
    <w:rsid w:val="00D65FE6"/>
    <w:rsid w:val="00D7007A"/>
    <w:rsid w:val="00D71D07"/>
    <w:rsid w:val="00D72BEE"/>
    <w:rsid w:val="00D773BD"/>
    <w:rsid w:val="00D85EF7"/>
    <w:rsid w:val="00D91473"/>
    <w:rsid w:val="00D955B6"/>
    <w:rsid w:val="00DA5198"/>
    <w:rsid w:val="00DA6169"/>
    <w:rsid w:val="00DB4CAC"/>
    <w:rsid w:val="00DB72E0"/>
    <w:rsid w:val="00DC5205"/>
    <w:rsid w:val="00DC7EFF"/>
    <w:rsid w:val="00DD3D5C"/>
    <w:rsid w:val="00DD4FBF"/>
    <w:rsid w:val="00DD5234"/>
    <w:rsid w:val="00DE1ED5"/>
    <w:rsid w:val="00DE7271"/>
    <w:rsid w:val="00DF07AE"/>
    <w:rsid w:val="00E001A1"/>
    <w:rsid w:val="00E01DCD"/>
    <w:rsid w:val="00E03308"/>
    <w:rsid w:val="00E1629B"/>
    <w:rsid w:val="00E17967"/>
    <w:rsid w:val="00E25FE5"/>
    <w:rsid w:val="00E26A3A"/>
    <w:rsid w:val="00E31D30"/>
    <w:rsid w:val="00E32548"/>
    <w:rsid w:val="00E35646"/>
    <w:rsid w:val="00E36500"/>
    <w:rsid w:val="00E40505"/>
    <w:rsid w:val="00E44444"/>
    <w:rsid w:val="00E44867"/>
    <w:rsid w:val="00E45F70"/>
    <w:rsid w:val="00E509EB"/>
    <w:rsid w:val="00E54185"/>
    <w:rsid w:val="00E57D67"/>
    <w:rsid w:val="00E64171"/>
    <w:rsid w:val="00E64B82"/>
    <w:rsid w:val="00E6642C"/>
    <w:rsid w:val="00E71228"/>
    <w:rsid w:val="00E71941"/>
    <w:rsid w:val="00E7338E"/>
    <w:rsid w:val="00E73A7C"/>
    <w:rsid w:val="00E835DE"/>
    <w:rsid w:val="00E844D3"/>
    <w:rsid w:val="00E91176"/>
    <w:rsid w:val="00E925AB"/>
    <w:rsid w:val="00E9280C"/>
    <w:rsid w:val="00E92951"/>
    <w:rsid w:val="00E930E5"/>
    <w:rsid w:val="00E9703E"/>
    <w:rsid w:val="00EA5C28"/>
    <w:rsid w:val="00EB0B10"/>
    <w:rsid w:val="00EB47D1"/>
    <w:rsid w:val="00EB5B73"/>
    <w:rsid w:val="00EC01AE"/>
    <w:rsid w:val="00EC063B"/>
    <w:rsid w:val="00EC5D7B"/>
    <w:rsid w:val="00EC65B7"/>
    <w:rsid w:val="00ED1CA2"/>
    <w:rsid w:val="00ED3FA7"/>
    <w:rsid w:val="00ED43FA"/>
    <w:rsid w:val="00ED5FEF"/>
    <w:rsid w:val="00ED65FB"/>
    <w:rsid w:val="00EE282C"/>
    <w:rsid w:val="00EE63E2"/>
    <w:rsid w:val="00EF338D"/>
    <w:rsid w:val="00F02250"/>
    <w:rsid w:val="00F055EF"/>
    <w:rsid w:val="00F0721C"/>
    <w:rsid w:val="00F130F4"/>
    <w:rsid w:val="00F16AE4"/>
    <w:rsid w:val="00F22D98"/>
    <w:rsid w:val="00F272B0"/>
    <w:rsid w:val="00F34D1F"/>
    <w:rsid w:val="00F41E2F"/>
    <w:rsid w:val="00F43AE4"/>
    <w:rsid w:val="00F4432C"/>
    <w:rsid w:val="00F44D70"/>
    <w:rsid w:val="00F523E7"/>
    <w:rsid w:val="00F5387B"/>
    <w:rsid w:val="00F548B8"/>
    <w:rsid w:val="00F62CA3"/>
    <w:rsid w:val="00F66D10"/>
    <w:rsid w:val="00F66FF3"/>
    <w:rsid w:val="00F707D8"/>
    <w:rsid w:val="00F71DEA"/>
    <w:rsid w:val="00F73908"/>
    <w:rsid w:val="00F75C8A"/>
    <w:rsid w:val="00F76181"/>
    <w:rsid w:val="00F7731A"/>
    <w:rsid w:val="00F81B3E"/>
    <w:rsid w:val="00F81BED"/>
    <w:rsid w:val="00F824F8"/>
    <w:rsid w:val="00F85056"/>
    <w:rsid w:val="00F92343"/>
    <w:rsid w:val="00F94655"/>
    <w:rsid w:val="00F94B5F"/>
    <w:rsid w:val="00F96209"/>
    <w:rsid w:val="00FA38AB"/>
    <w:rsid w:val="00FA62B2"/>
    <w:rsid w:val="00FA6C0D"/>
    <w:rsid w:val="00FA7724"/>
    <w:rsid w:val="00FB04A7"/>
    <w:rsid w:val="00FB1EB3"/>
    <w:rsid w:val="00FB799F"/>
    <w:rsid w:val="00FD06CB"/>
    <w:rsid w:val="00FD13B7"/>
    <w:rsid w:val="00FD2956"/>
    <w:rsid w:val="00FD3F59"/>
    <w:rsid w:val="00FD787B"/>
    <w:rsid w:val="00FE223B"/>
    <w:rsid w:val="00FE2CBD"/>
    <w:rsid w:val="00FE7B90"/>
    <w:rsid w:val="00FF2661"/>
    <w:rsid w:val="00FF2747"/>
    <w:rsid w:val="00FF2E09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3214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549B"/>
    <w:pPr>
      <w:spacing w:after="240"/>
    </w:pPr>
    <w:rPr>
      <w:sz w:val="24"/>
    </w:rPr>
  </w:style>
  <w:style w:type="paragraph" w:styleId="Heading1">
    <w:name w:val="heading 1"/>
    <w:basedOn w:val="Heading2"/>
    <w:next w:val="Normal"/>
    <w:qFormat/>
    <w:rsid w:val="007052EA"/>
    <w:pPr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F73908"/>
    <w:pPr>
      <w:keepNext/>
      <w:spacing w:before="120"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94FB4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4185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E54185"/>
    <w:pPr>
      <w:spacing w:before="240" w:after="6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541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94FB4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94FB4"/>
    <w:pPr>
      <w:jc w:val="center"/>
    </w:pPr>
    <w:rPr>
      <w:b/>
    </w:rPr>
  </w:style>
  <w:style w:type="paragraph" w:customStyle="1" w:styleId="TableMainHeading">
    <w:name w:val="Table Main Heading"/>
    <w:basedOn w:val="ChartMainHeading"/>
    <w:rsid w:val="00121EB0"/>
  </w:style>
  <w:style w:type="paragraph" w:customStyle="1" w:styleId="Bullet">
    <w:name w:val="Bullet"/>
    <w:basedOn w:val="Normal"/>
    <w:rsid w:val="00843EEB"/>
    <w:pPr>
      <w:numPr>
        <w:numId w:val="1"/>
      </w:numPr>
    </w:pPr>
  </w:style>
  <w:style w:type="paragraph" w:customStyle="1" w:styleId="Dash">
    <w:name w:val="Dash"/>
    <w:basedOn w:val="Normal"/>
    <w:rsid w:val="00843EEB"/>
    <w:pPr>
      <w:numPr>
        <w:ilvl w:val="1"/>
        <w:numId w:val="1"/>
      </w:numPr>
    </w:pPr>
  </w:style>
  <w:style w:type="paragraph" w:customStyle="1" w:styleId="DoubleDot">
    <w:name w:val="Double Dot"/>
    <w:basedOn w:val="Normal"/>
    <w:rsid w:val="00843EEB"/>
    <w:pPr>
      <w:numPr>
        <w:ilvl w:val="2"/>
        <w:numId w:val="1"/>
      </w:numPr>
    </w:pPr>
  </w:style>
  <w:style w:type="character" w:styleId="Hyperlink">
    <w:name w:val="Hyperlink"/>
    <w:basedOn w:val="DefaultParagraphFont"/>
    <w:rsid w:val="0044334B"/>
    <w:rPr>
      <w:color w:val="0000FF"/>
      <w:u w:val="single"/>
    </w:rPr>
  </w:style>
  <w:style w:type="paragraph" w:styleId="Header">
    <w:name w:val="header"/>
    <w:basedOn w:val="Normal"/>
    <w:rsid w:val="006C34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3478"/>
    <w:pPr>
      <w:tabs>
        <w:tab w:val="center" w:pos="4153"/>
        <w:tab w:val="right" w:pos="8306"/>
      </w:tabs>
    </w:pPr>
  </w:style>
  <w:style w:type="paragraph" w:customStyle="1" w:styleId="FooterAddress">
    <w:name w:val="FooterAddress"/>
    <w:basedOn w:val="Normal"/>
    <w:next w:val="Normal"/>
    <w:rsid w:val="006C3478"/>
    <w:pPr>
      <w:tabs>
        <w:tab w:val="center" w:pos="4820"/>
      </w:tabs>
      <w:spacing w:after="0"/>
      <w:jc w:val="center"/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A774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206D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85E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5EF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85EF7"/>
  </w:style>
  <w:style w:type="paragraph" w:styleId="CommentSubject">
    <w:name w:val="annotation subject"/>
    <w:basedOn w:val="CommentText"/>
    <w:next w:val="CommentText"/>
    <w:link w:val="CommentSubjectChar"/>
    <w:rsid w:val="00D8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5EF7"/>
    <w:rPr>
      <w:b/>
      <w:bCs/>
    </w:rPr>
  </w:style>
  <w:style w:type="paragraph" w:styleId="Revision">
    <w:name w:val="Revision"/>
    <w:hidden/>
    <w:uiPriority w:val="99"/>
    <w:semiHidden/>
    <w:rsid w:val="00BF73C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549B"/>
    <w:pPr>
      <w:spacing w:after="240"/>
    </w:pPr>
    <w:rPr>
      <w:sz w:val="24"/>
    </w:rPr>
  </w:style>
  <w:style w:type="paragraph" w:styleId="Heading1">
    <w:name w:val="heading 1"/>
    <w:basedOn w:val="Heading2"/>
    <w:next w:val="Normal"/>
    <w:qFormat/>
    <w:rsid w:val="007052EA"/>
    <w:pPr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F73908"/>
    <w:pPr>
      <w:keepNext/>
      <w:spacing w:before="120"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94FB4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4185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E54185"/>
    <w:pPr>
      <w:spacing w:before="240" w:after="6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541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94FB4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94FB4"/>
    <w:pPr>
      <w:jc w:val="center"/>
    </w:pPr>
    <w:rPr>
      <w:b/>
    </w:rPr>
  </w:style>
  <w:style w:type="paragraph" w:customStyle="1" w:styleId="TableMainHeading">
    <w:name w:val="Table Main Heading"/>
    <w:basedOn w:val="ChartMainHeading"/>
    <w:rsid w:val="00121EB0"/>
  </w:style>
  <w:style w:type="paragraph" w:customStyle="1" w:styleId="Bullet">
    <w:name w:val="Bullet"/>
    <w:basedOn w:val="Normal"/>
    <w:rsid w:val="00843EEB"/>
    <w:pPr>
      <w:numPr>
        <w:numId w:val="1"/>
      </w:numPr>
    </w:pPr>
  </w:style>
  <w:style w:type="paragraph" w:customStyle="1" w:styleId="Dash">
    <w:name w:val="Dash"/>
    <w:basedOn w:val="Normal"/>
    <w:rsid w:val="00843EEB"/>
    <w:pPr>
      <w:numPr>
        <w:ilvl w:val="1"/>
        <w:numId w:val="1"/>
      </w:numPr>
    </w:pPr>
  </w:style>
  <w:style w:type="paragraph" w:customStyle="1" w:styleId="DoubleDot">
    <w:name w:val="Double Dot"/>
    <w:basedOn w:val="Normal"/>
    <w:rsid w:val="00843EEB"/>
    <w:pPr>
      <w:numPr>
        <w:ilvl w:val="2"/>
        <w:numId w:val="1"/>
      </w:numPr>
    </w:pPr>
  </w:style>
  <w:style w:type="character" w:styleId="Hyperlink">
    <w:name w:val="Hyperlink"/>
    <w:basedOn w:val="DefaultParagraphFont"/>
    <w:rsid w:val="0044334B"/>
    <w:rPr>
      <w:color w:val="0000FF"/>
      <w:u w:val="single"/>
    </w:rPr>
  </w:style>
  <w:style w:type="paragraph" w:styleId="Header">
    <w:name w:val="header"/>
    <w:basedOn w:val="Normal"/>
    <w:rsid w:val="006C34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3478"/>
    <w:pPr>
      <w:tabs>
        <w:tab w:val="center" w:pos="4153"/>
        <w:tab w:val="right" w:pos="8306"/>
      </w:tabs>
    </w:pPr>
  </w:style>
  <w:style w:type="paragraph" w:customStyle="1" w:styleId="FooterAddress">
    <w:name w:val="FooterAddress"/>
    <w:basedOn w:val="Normal"/>
    <w:next w:val="Normal"/>
    <w:rsid w:val="006C3478"/>
    <w:pPr>
      <w:tabs>
        <w:tab w:val="center" w:pos="4820"/>
      </w:tabs>
      <w:spacing w:after="0"/>
      <w:jc w:val="center"/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A774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206D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85E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5EF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85EF7"/>
  </w:style>
  <w:style w:type="paragraph" w:styleId="CommentSubject">
    <w:name w:val="annotation subject"/>
    <w:basedOn w:val="CommentText"/>
    <w:next w:val="CommentText"/>
    <w:link w:val="CommentSubjectChar"/>
    <w:rsid w:val="00D8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5EF7"/>
    <w:rPr>
      <w:b/>
      <w:bCs/>
    </w:rPr>
  </w:style>
  <w:style w:type="paragraph" w:styleId="Revision">
    <w:name w:val="Revision"/>
    <w:hidden/>
    <w:uiPriority w:val="99"/>
    <w:semiHidden/>
    <w:rsid w:val="00BF73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mailto:consultation@treasury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consultation@treasury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reasury.gov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reasury.gov.au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treasury.gov.au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Pri-AD-CS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RA-9278 - Destroy 30 years after action completed</TermName>
          <TermId xmlns="http://schemas.microsoft.com/office/infopath/2007/PartnerControls">c086dcfc-5e12-4afb-9fc8-394791410cc9</TermId>
        </TermInfo>
      </Terms>
    </lb508a4dc5e84436a0fe496b536466aa>
    <IconOverlay xmlns="http://schemas.microsoft.com/sharepoint/v4" xsi:nil="true"/>
    <TaxCatchAll xmlns="9f7bc583-7cbe-45b9-a2bd-8bbb6543b37e">
      <Value>59</Value>
    </TaxCatchAll>
    <_dlc_DocId xmlns="9f7bc583-7cbe-45b9-a2bd-8bbb6543b37e">2018RG-267-1277</_dlc_DocId>
    <_dlc_DocIdUrl xmlns="9f7bc583-7cbe-45b9-a2bd-8bbb6543b37e">
      <Url>http://tweb/sites/rg/iitd/pi/_layouts/15/DocIdRedir.aspx?ID=2018RG-267-1277</Url>
      <Description>2018RG-267-1277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8FA77D0A7A74E44388CF082195E1E556" ma:contentTypeVersion="8244" ma:contentTypeDescription="" ma:contentTypeScope="" ma:versionID="6f425fb78f147d53dd0044abc8ba0410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bba30f2286a23b85b9a66798b7ba2963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59;#TSY RA-9278 - Destroy 30 years after action completed|c086dcfc-5e12-4afb-9fc8-394791410cc9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D9430-82C2-4968-963C-3235486ADA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38FFF3-93A7-4369-B962-6961EF7D9D11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4"/>
    <ds:schemaRef ds:uri="9f7bc583-7cbe-45b9-a2bd-8bbb6543b37e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200F92-C0EF-423C-BB82-FC41C0CDD6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AE2CF9-F451-434B-91DD-71AFCB8666FA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FA94DC61-2B48-4F1C-A6ED-9F36DCB7A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12E058A-ABF8-4492-A7CE-2435784C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Pri-AD-CSUM.dotx</Template>
  <TotalTime>202</TotalTime>
  <Pages>2</Pages>
  <Words>646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Consultation Process</vt:lpstr>
    </vt:vector>
  </TitlesOfParts>
  <Company>The Treasury</Company>
  <LinksUpToDate>false</LinksUpToDate>
  <CharactersWithSpaces>4770</CharactersWithSpaces>
  <SharedDoc>false</SharedDoc>
  <HLinks>
    <vt:vector size="6" baseType="variant">
      <vt:variant>
        <vt:i4>5898275</vt:i4>
      </vt:variant>
      <vt:variant>
        <vt:i4>36</vt:i4>
      </vt:variant>
      <vt:variant>
        <vt:i4>0</vt:i4>
      </vt:variant>
      <vt:variant>
        <vt:i4>5</vt:i4>
      </vt:variant>
      <vt:variant>
        <vt:lpwstr>mailto:consultation@treasury.gov.au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Consultation Process</dc:title>
  <dc:subject>[Measure]</dc:subject>
  <dc:creator>Reilly, Thuy</dc:creator>
  <cp:lastModifiedBy>Daniel Craig</cp:lastModifiedBy>
  <cp:revision>12</cp:revision>
  <cp:lastPrinted>2018-01-09T02:37:00Z</cp:lastPrinted>
  <dcterms:created xsi:type="dcterms:W3CDTF">2018-01-09T01:48:00Z</dcterms:created>
  <dcterms:modified xsi:type="dcterms:W3CDTF">2018-01-10T01:47:00Z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0x01010036BB8DE7EC542E42A8B2E98CC20CB697008FA77D0A7A74E44388CF082195E1E556</vt:lpwstr>
  </property>
  <property fmtid="{D5CDD505-2E9C-101B-9397-08002B2CF9AE}" pid="4" name="TSYRecordClass">
    <vt:lpwstr>59;#TSY RA-9278 - Destroy 30 years after action completed|c086dcfc-5e12-4afb-9fc8-394791410cc9</vt:lpwstr>
  </property>
  <property fmtid="{D5CDD505-2E9C-101B-9397-08002B2CF9AE}" pid="5" name="_dlc_DocIdItemGuid">
    <vt:lpwstr>a81c4c03-440e-47fe-9cc3-4d27fa9260d2</vt:lpwstr>
  </property>
  <property fmtid="{D5CDD505-2E9C-101B-9397-08002B2CF9AE}" pid="6" name="Language">
    <vt:lpwstr>English</vt:lpwstr>
  </property>
  <property fmtid="{D5CDD505-2E9C-101B-9397-08002B2CF9AE}" pid="7" name="RecordPoint_ActiveItemUniqueId">
    <vt:lpwstr>{a81c4c03-440e-47fe-9cc3-4d27fa9260d2}</vt:lpwstr>
  </property>
  <property fmtid="{D5CDD505-2E9C-101B-9397-08002B2CF9AE}" pid="8" name="RecordPoint_WorkflowType">
    <vt:lpwstr>ActiveSubmitStub</vt:lpwstr>
  </property>
  <property fmtid="{D5CDD505-2E9C-101B-9397-08002B2CF9AE}" pid="9" name="RecordPoint_ActiveItemListId">
    <vt:lpwstr>{8e255adc-9f71-43f4-9dd8-9d98b70f5f78}</vt:lpwstr>
  </property>
  <property fmtid="{D5CDD505-2E9C-101B-9397-08002B2CF9AE}" pid="10" name="RecordPoint_ActiveItemWebId">
    <vt:lpwstr>{732907a8-c4e1-4a09-a8c0-8f51e6075a4e}</vt:lpwstr>
  </property>
  <property fmtid="{D5CDD505-2E9C-101B-9397-08002B2CF9AE}" pid="11" name="RecordPoint_ActiveItemSiteId">
    <vt:lpwstr>{5b52b9a5-e5b2-4521-8814-a1e24ca2869d}</vt:lpwstr>
  </property>
  <property fmtid="{D5CDD505-2E9C-101B-9397-08002B2CF9AE}" pid="12" name="RecordPoint_RecordNumberSubmitted">
    <vt:lpwstr>R0001550418</vt:lpwstr>
  </property>
  <property fmtid="{D5CDD505-2E9C-101B-9397-08002B2CF9AE}" pid="13" name="RecordPoint_SubmissionCompleted">
    <vt:lpwstr>2018-01-09T18:31:00.1462180+11:00</vt:lpwstr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</Properties>
</file>