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3A" w:rsidRDefault="00CF7E3A" w:rsidP="00A717C9">
      <w:pPr>
        <w:ind w:left="284"/>
      </w:pPr>
    </w:p>
    <w:p w:rsidR="008D1B09" w:rsidRDefault="008D1B09" w:rsidP="007919D8">
      <w:pPr>
        <w:ind w:left="567"/>
      </w:pPr>
    </w:p>
    <w:p w:rsidR="008D1B09" w:rsidRDefault="008D1B09" w:rsidP="00A717C9">
      <w:pPr>
        <w:ind w:left="284"/>
      </w:pPr>
    </w:p>
    <w:p w:rsidR="008D1B09" w:rsidRDefault="008D1B09" w:rsidP="00A717C9">
      <w:pPr>
        <w:ind w:left="284"/>
      </w:pPr>
    </w:p>
    <w:p w:rsidR="008D1B09" w:rsidRDefault="008D1B09" w:rsidP="00A717C9">
      <w:pPr>
        <w:ind w:left="284"/>
      </w:pPr>
    </w:p>
    <w:p w:rsidR="008D1B09" w:rsidRDefault="008D1B09" w:rsidP="00A717C9">
      <w:pPr>
        <w:ind w:left="284"/>
      </w:pPr>
    </w:p>
    <w:p w:rsidR="00883532" w:rsidRDefault="00883532" w:rsidP="00883532"/>
    <w:p w:rsidR="00883532" w:rsidRPr="00412156" w:rsidRDefault="007919D8" w:rsidP="00C45513">
      <w:pPr>
        <w:ind w:left="567"/>
        <w:jc w:val="center"/>
        <w:rPr>
          <w:rFonts w:ascii="Arial" w:hAnsi="Arial" w:cs="Arial"/>
          <w:b/>
          <w:color w:val="00B050"/>
          <w:sz w:val="36"/>
          <w:szCs w:val="36"/>
        </w:rPr>
      </w:pPr>
      <w:r w:rsidRPr="00ED4B96">
        <w:rPr>
          <w:rFonts w:ascii="Arial" w:hAnsi="Arial" w:cs="Arial"/>
          <w:b/>
          <w:sz w:val="36"/>
          <w:szCs w:val="36"/>
        </w:rPr>
        <w:t xml:space="preserve"> </w:t>
      </w:r>
      <w:r w:rsidR="00ED4B96" w:rsidRPr="00ED4B96">
        <w:rPr>
          <w:rFonts w:ascii="Arial" w:hAnsi="Arial" w:cs="Arial"/>
          <w:b/>
          <w:sz w:val="36"/>
          <w:szCs w:val="36"/>
        </w:rPr>
        <w:t xml:space="preserve">    </w:t>
      </w:r>
    </w:p>
    <w:p w:rsidR="008D1B09" w:rsidRPr="00E5553D" w:rsidRDefault="006F49EB" w:rsidP="00E5553D">
      <w:pPr>
        <w:ind w:left="567"/>
        <w:rPr>
          <w:rFonts w:ascii="Arial" w:hAnsi="Arial" w:cs="Arial"/>
        </w:rPr>
      </w:pPr>
      <w:r>
        <w:rPr>
          <w:rFonts w:ascii="Arial" w:hAnsi="Arial" w:cs="Arial"/>
        </w:rPr>
        <w:t>14</w:t>
      </w:r>
      <w:r w:rsidR="00ED4B96">
        <w:rPr>
          <w:rFonts w:ascii="Arial" w:hAnsi="Arial" w:cs="Arial"/>
        </w:rPr>
        <w:t xml:space="preserve"> February 2012</w:t>
      </w:r>
    </w:p>
    <w:p w:rsidR="00E5553D" w:rsidRPr="00E5553D" w:rsidRDefault="00E5553D" w:rsidP="00E5553D">
      <w:pPr>
        <w:ind w:left="567"/>
        <w:rPr>
          <w:rFonts w:ascii="Arial" w:hAnsi="Arial" w:cs="Arial"/>
        </w:rPr>
      </w:pPr>
    </w:p>
    <w:p w:rsidR="00E5553D" w:rsidRPr="00E5553D" w:rsidRDefault="00E5553D" w:rsidP="00E5553D">
      <w:pPr>
        <w:ind w:left="567"/>
        <w:rPr>
          <w:rFonts w:ascii="Arial" w:hAnsi="Arial" w:cs="Arial"/>
        </w:rPr>
      </w:pPr>
    </w:p>
    <w:p w:rsidR="00E5553D" w:rsidRPr="00E5553D" w:rsidRDefault="00E5553D" w:rsidP="00E5553D">
      <w:pPr>
        <w:autoSpaceDE w:val="0"/>
        <w:autoSpaceDN w:val="0"/>
        <w:adjustRightInd w:val="0"/>
        <w:ind w:left="567"/>
        <w:rPr>
          <w:rFonts w:ascii="Arial" w:hAnsi="Arial" w:cs="Arial"/>
          <w:szCs w:val="24"/>
          <w:lang w:val="en-AU" w:eastAsia="en-AU"/>
        </w:rPr>
      </w:pPr>
      <w:r w:rsidRPr="00E5553D">
        <w:rPr>
          <w:rFonts w:ascii="Arial" w:hAnsi="Arial" w:cs="Arial"/>
          <w:szCs w:val="24"/>
          <w:lang w:val="en-AU" w:eastAsia="en-AU"/>
        </w:rPr>
        <w:t>The General Manager</w:t>
      </w:r>
    </w:p>
    <w:p w:rsidR="00E5553D" w:rsidRPr="00E5553D" w:rsidRDefault="00E5553D" w:rsidP="00E5553D">
      <w:pPr>
        <w:autoSpaceDE w:val="0"/>
        <w:autoSpaceDN w:val="0"/>
        <w:adjustRightInd w:val="0"/>
        <w:ind w:left="567"/>
        <w:rPr>
          <w:rFonts w:ascii="Arial" w:hAnsi="Arial" w:cs="Arial"/>
          <w:szCs w:val="24"/>
          <w:lang w:val="en-AU" w:eastAsia="en-AU"/>
        </w:rPr>
      </w:pPr>
      <w:r w:rsidRPr="00E5553D">
        <w:rPr>
          <w:rFonts w:ascii="Arial" w:hAnsi="Arial" w:cs="Arial"/>
          <w:szCs w:val="24"/>
          <w:lang w:val="en-AU" w:eastAsia="en-AU"/>
        </w:rPr>
        <w:t>Business Tax Division</w:t>
      </w:r>
    </w:p>
    <w:p w:rsidR="00E5553D" w:rsidRPr="00E5553D" w:rsidRDefault="00E5553D" w:rsidP="00E5553D">
      <w:pPr>
        <w:autoSpaceDE w:val="0"/>
        <w:autoSpaceDN w:val="0"/>
        <w:adjustRightInd w:val="0"/>
        <w:ind w:left="567"/>
        <w:rPr>
          <w:rFonts w:ascii="Arial" w:hAnsi="Arial" w:cs="Arial"/>
          <w:szCs w:val="24"/>
          <w:lang w:val="en-AU" w:eastAsia="en-AU"/>
        </w:rPr>
      </w:pPr>
      <w:r w:rsidRPr="00E5553D">
        <w:rPr>
          <w:rFonts w:ascii="Arial" w:hAnsi="Arial" w:cs="Arial"/>
          <w:szCs w:val="24"/>
          <w:lang w:val="en-AU" w:eastAsia="en-AU"/>
        </w:rPr>
        <w:t>The Treasury</w:t>
      </w:r>
    </w:p>
    <w:p w:rsidR="00E5553D" w:rsidRPr="00E5553D" w:rsidRDefault="00E5553D" w:rsidP="00E5553D">
      <w:pPr>
        <w:autoSpaceDE w:val="0"/>
        <w:autoSpaceDN w:val="0"/>
        <w:adjustRightInd w:val="0"/>
        <w:ind w:left="567"/>
        <w:rPr>
          <w:rFonts w:ascii="Arial" w:hAnsi="Arial" w:cs="Arial"/>
          <w:szCs w:val="24"/>
          <w:lang w:val="en-AU" w:eastAsia="en-AU"/>
        </w:rPr>
      </w:pPr>
      <w:smartTag w:uri="urn:schemas-microsoft-com:office:smarttags" w:element="Street">
        <w:smartTag w:uri="urn:schemas-microsoft-com:office:smarttags" w:element="address">
          <w:r w:rsidRPr="00E5553D">
            <w:rPr>
              <w:rFonts w:ascii="Arial" w:hAnsi="Arial" w:cs="Arial"/>
              <w:szCs w:val="24"/>
              <w:lang w:val="en-AU" w:eastAsia="en-AU"/>
            </w:rPr>
            <w:t>Langton Crescent</w:t>
          </w:r>
        </w:smartTag>
      </w:smartTag>
    </w:p>
    <w:p w:rsidR="008D1B09" w:rsidRDefault="00E5553D" w:rsidP="00E5553D">
      <w:pPr>
        <w:ind w:left="567"/>
        <w:rPr>
          <w:rFonts w:ascii="Arial" w:hAnsi="Arial" w:cs="Arial"/>
          <w:szCs w:val="24"/>
          <w:lang w:val="en-AU" w:eastAsia="en-AU"/>
        </w:rPr>
      </w:pPr>
      <w:r w:rsidRPr="00E5553D">
        <w:rPr>
          <w:rFonts w:ascii="Arial" w:hAnsi="Arial" w:cs="Arial"/>
          <w:szCs w:val="24"/>
          <w:lang w:val="en-AU" w:eastAsia="en-AU"/>
        </w:rPr>
        <w:t>PARKES ACT 2600</w:t>
      </w:r>
    </w:p>
    <w:p w:rsidR="00E5553D" w:rsidRDefault="00E5553D" w:rsidP="00E5553D">
      <w:pPr>
        <w:ind w:left="567"/>
        <w:rPr>
          <w:rFonts w:ascii="Arial" w:hAnsi="Arial" w:cs="Arial"/>
          <w:szCs w:val="24"/>
          <w:lang w:val="en-AU" w:eastAsia="en-AU"/>
        </w:rPr>
      </w:pPr>
    </w:p>
    <w:p w:rsidR="00E5553D" w:rsidRDefault="00E5553D" w:rsidP="00E5553D">
      <w:pPr>
        <w:ind w:left="567"/>
        <w:rPr>
          <w:rFonts w:ascii="Arial" w:hAnsi="Arial" w:cs="Arial"/>
          <w:szCs w:val="24"/>
          <w:lang w:val="en-AU" w:eastAsia="en-AU"/>
        </w:rPr>
      </w:pPr>
    </w:p>
    <w:p w:rsidR="00E5553D" w:rsidRDefault="00E5553D" w:rsidP="00E5553D">
      <w:pPr>
        <w:ind w:left="567"/>
        <w:rPr>
          <w:rFonts w:ascii="Arial" w:hAnsi="Arial" w:cs="Arial"/>
          <w:szCs w:val="24"/>
          <w:lang w:val="en-AU" w:eastAsia="en-AU"/>
        </w:rPr>
      </w:pPr>
      <w:r>
        <w:rPr>
          <w:rFonts w:ascii="Arial" w:hAnsi="Arial" w:cs="Arial"/>
          <w:szCs w:val="24"/>
          <w:lang w:val="en-AU" w:eastAsia="en-AU"/>
        </w:rPr>
        <w:t>Dear Sir</w:t>
      </w:r>
    </w:p>
    <w:p w:rsidR="00E5553D" w:rsidRDefault="00C37576" w:rsidP="00E5553D">
      <w:pPr>
        <w:spacing w:before="240" w:after="120"/>
        <w:ind w:left="567"/>
        <w:rPr>
          <w:rFonts w:ascii="Arial" w:hAnsi="Arial" w:cs="Arial"/>
          <w:b/>
          <w:szCs w:val="24"/>
          <w:lang w:val="en-AU" w:eastAsia="en-AU"/>
        </w:rPr>
      </w:pPr>
      <w:bookmarkStart w:id="0" w:name="_GoBack"/>
      <w:r>
        <w:rPr>
          <w:rFonts w:ascii="Arial" w:hAnsi="Arial" w:cs="Arial"/>
          <w:b/>
          <w:szCs w:val="24"/>
          <w:lang w:val="en-AU" w:eastAsia="en-AU"/>
        </w:rPr>
        <w:t>T</w:t>
      </w:r>
      <w:r w:rsidR="00E5553D">
        <w:rPr>
          <w:rFonts w:ascii="Arial" w:hAnsi="Arial" w:cs="Arial"/>
          <w:b/>
          <w:szCs w:val="24"/>
          <w:lang w:val="en-AU" w:eastAsia="en-AU"/>
        </w:rPr>
        <w:t>axation of trust income</w:t>
      </w:r>
    </w:p>
    <w:bookmarkEnd w:id="0"/>
    <w:p w:rsidR="008868FD" w:rsidRDefault="00E5553D" w:rsidP="008868FD">
      <w:pPr>
        <w:tabs>
          <w:tab w:val="left" w:pos="567"/>
        </w:tabs>
        <w:spacing w:before="120"/>
        <w:ind w:left="567" w:right="482"/>
        <w:rPr>
          <w:rFonts w:ascii="Arial" w:hAnsi="Arial" w:cs="Arial"/>
        </w:rPr>
      </w:pPr>
      <w:r>
        <w:rPr>
          <w:rFonts w:ascii="Arial" w:hAnsi="Arial" w:cs="Arial"/>
          <w:szCs w:val="24"/>
        </w:rPr>
        <w:t xml:space="preserve">The </w:t>
      </w:r>
      <w:smartTag w:uri="urn:schemas-microsoft-com:office:smarttags" w:element="stockticker">
        <w:r>
          <w:rPr>
            <w:rFonts w:ascii="Arial" w:hAnsi="Arial" w:cs="Arial"/>
            <w:szCs w:val="24"/>
          </w:rPr>
          <w:t>TCA</w:t>
        </w:r>
      </w:smartTag>
      <w:r>
        <w:rPr>
          <w:rFonts w:ascii="Arial" w:hAnsi="Arial" w:cs="Arial"/>
          <w:szCs w:val="24"/>
        </w:rPr>
        <w:t xml:space="preserve"> </w:t>
      </w:r>
      <w:r w:rsidR="008868FD">
        <w:rPr>
          <w:rFonts w:ascii="Arial" w:hAnsi="Arial" w:cs="Arial"/>
          <w:szCs w:val="24"/>
        </w:rPr>
        <w:t>is the peak</w:t>
      </w:r>
      <w:r w:rsidR="008868FD">
        <w:rPr>
          <w:rFonts w:ascii="Arial" w:hAnsi="Arial" w:cs="Arial"/>
        </w:rPr>
        <w:t xml:space="preserve"> representative body for the trustee corporations industry in </w:t>
      </w:r>
      <w:smartTag w:uri="urn:schemas-microsoft-com:office:smarttags" w:element="country-region">
        <w:smartTag w:uri="urn:schemas-microsoft-com:office:smarttags" w:element="place">
          <w:r w:rsidR="008868FD">
            <w:rPr>
              <w:rFonts w:ascii="Arial" w:hAnsi="Arial" w:cs="Arial"/>
            </w:rPr>
            <w:t>Australia</w:t>
          </w:r>
        </w:smartTag>
      </w:smartTag>
      <w:r w:rsidR="008868FD">
        <w:rPr>
          <w:rFonts w:ascii="Arial" w:hAnsi="Arial" w:cs="Arial"/>
        </w:rPr>
        <w:t xml:space="preserve">.  </w:t>
      </w:r>
    </w:p>
    <w:p w:rsidR="008868FD" w:rsidRDefault="008868FD" w:rsidP="008868FD">
      <w:pPr>
        <w:tabs>
          <w:tab w:val="left" w:pos="567"/>
        </w:tabs>
        <w:spacing w:before="120"/>
        <w:ind w:left="567" w:right="482"/>
        <w:rPr>
          <w:rFonts w:ascii="Arial" w:hAnsi="Arial" w:cs="Arial"/>
        </w:rPr>
      </w:pPr>
      <w:r>
        <w:rPr>
          <w:rFonts w:ascii="Arial" w:hAnsi="Arial" w:cs="Arial"/>
        </w:rPr>
        <w:t xml:space="preserve">It represents 16 </w:t>
      </w:r>
      <w:proofErr w:type="spellStart"/>
      <w:r>
        <w:rPr>
          <w:rFonts w:ascii="Arial" w:hAnsi="Arial" w:cs="Arial"/>
        </w:rPr>
        <w:t>organisations</w:t>
      </w:r>
      <w:proofErr w:type="spellEnd"/>
      <w:r>
        <w:rPr>
          <w:rFonts w:ascii="Arial" w:hAnsi="Arial" w:cs="Arial"/>
        </w:rPr>
        <w:t>, comprising all 8 regional Public Trustees and the great majority of the 11 private trustee company groups.</w:t>
      </w:r>
    </w:p>
    <w:p w:rsidR="008868FD" w:rsidRDefault="008868FD" w:rsidP="008868FD">
      <w:pPr>
        <w:spacing w:before="120"/>
        <w:ind w:left="567" w:right="482"/>
        <w:rPr>
          <w:rFonts w:ascii="Arial" w:hAnsi="Arial" w:cs="Arial"/>
        </w:rPr>
      </w:pPr>
      <w:r>
        <w:rPr>
          <w:rFonts w:ascii="Arial" w:hAnsi="Arial" w:cs="Arial"/>
        </w:rPr>
        <w:t>Each year our members:</w:t>
      </w:r>
    </w:p>
    <w:p w:rsidR="008868FD" w:rsidRDefault="008868FD" w:rsidP="001A710F">
      <w:pPr>
        <w:numPr>
          <w:ilvl w:val="0"/>
          <w:numId w:val="11"/>
        </w:numPr>
        <w:tabs>
          <w:tab w:val="clear" w:pos="1287"/>
          <w:tab w:val="num" w:pos="1276"/>
        </w:tabs>
        <w:spacing w:before="120"/>
        <w:ind w:left="1276" w:right="-284" w:hanging="425"/>
        <w:rPr>
          <w:rFonts w:ascii="Arial" w:hAnsi="Arial" w:cs="Arial"/>
        </w:rPr>
      </w:pPr>
      <w:proofErr w:type="gramStart"/>
      <w:r>
        <w:rPr>
          <w:rFonts w:ascii="Arial" w:hAnsi="Arial" w:cs="Arial"/>
        </w:rPr>
        <w:t>administer</w:t>
      </w:r>
      <w:proofErr w:type="gramEnd"/>
      <w:r>
        <w:rPr>
          <w:rFonts w:ascii="Arial" w:hAnsi="Arial" w:cs="Arial"/>
        </w:rPr>
        <w:t xml:space="preserve"> about 9,000 deceased estates.</w:t>
      </w:r>
    </w:p>
    <w:p w:rsidR="008868FD" w:rsidRDefault="008868FD" w:rsidP="001A710F">
      <w:pPr>
        <w:numPr>
          <w:ilvl w:val="0"/>
          <w:numId w:val="11"/>
        </w:numPr>
        <w:tabs>
          <w:tab w:val="clear" w:pos="1287"/>
          <w:tab w:val="num" w:pos="1276"/>
        </w:tabs>
        <w:spacing w:before="120"/>
        <w:ind w:left="1276" w:right="-284" w:hanging="425"/>
        <w:rPr>
          <w:rFonts w:ascii="Arial" w:hAnsi="Arial" w:cs="Arial"/>
        </w:rPr>
      </w:pPr>
      <w:proofErr w:type="gramStart"/>
      <w:r>
        <w:rPr>
          <w:rFonts w:ascii="Arial" w:hAnsi="Arial" w:cs="Arial"/>
        </w:rPr>
        <w:t>write</w:t>
      </w:r>
      <w:proofErr w:type="gramEnd"/>
      <w:r>
        <w:rPr>
          <w:rFonts w:ascii="Arial" w:hAnsi="Arial" w:cs="Arial"/>
        </w:rPr>
        <w:t xml:space="preserve"> about 60,000 wills and powers of attorney.</w:t>
      </w:r>
    </w:p>
    <w:p w:rsidR="008868FD" w:rsidRDefault="008868FD" w:rsidP="001A710F">
      <w:pPr>
        <w:numPr>
          <w:ilvl w:val="0"/>
          <w:numId w:val="11"/>
        </w:numPr>
        <w:tabs>
          <w:tab w:val="clear" w:pos="1287"/>
          <w:tab w:val="num" w:pos="1276"/>
        </w:tabs>
        <w:spacing w:before="120"/>
        <w:ind w:left="1276" w:right="283" w:hanging="425"/>
        <w:rPr>
          <w:rFonts w:ascii="Arial" w:hAnsi="Arial" w:cs="Arial"/>
        </w:rPr>
      </w:pPr>
      <w:proofErr w:type="gramStart"/>
      <w:r>
        <w:rPr>
          <w:rFonts w:ascii="Arial" w:hAnsi="Arial" w:cs="Arial"/>
        </w:rPr>
        <w:t>manage</w:t>
      </w:r>
      <w:proofErr w:type="gramEnd"/>
      <w:r>
        <w:rPr>
          <w:rFonts w:ascii="Arial" w:hAnsi="Arial" w:cs="Arial"/>
        </w:rPr>
        <w:t xml:space="preserve"> assets under agency arrangements or Court and Tribunal orders for about 45,000 people.</w:t>
      </w:r>
    </w:p>
    <w:p w:rsidR="008868FD" w:rsidRDefault="008868FD" w:rsidP="001A710F">
      <w:pPr>
        <w:numPr>
          <w:ilvl w:val="0"/>
          <w:numId w:val="11"/>
        </w:numPr>
        <w:tabs>
          <w:tab w:val="clear" w:pos="1287"/>
          <w:tab w:val="num" w:pos="1276"/>
        </w:tabs>
        <w:spacing w:before="120"/>
        <w:ind w:left="1276" w:right="-284" w:hanging="425"/>
        <w:rPr>
          <w:rFonts w:ascii="Arial" w:hAnsi="Arial" w:cs="Arial"/>
        </w:rPr>
      </w:pPr>
      <w:proofErr w:type="gramStart"/>
      <w:r>
        <w:rPr>
          <w:rFonts w:ascii="Arial" w:hAnsi="Arial" w:cs="Arial"/>
        </w:rPr>
        <w:t>manage</w:t>
      </w:r>
      <w:proofErr w:type="gramEnd"/>
      <w:r>
        <w:rPr>
          <w:rFonts w:ascii="Arial" w:hAnsi="Arial" w:cs="Arial"/>
        </w:rPr>
        <w:t xml:space="preserve"> about 2,000 charitable trusts and </w:t>
      </w:r>
      <w:r>
        <w:rPr>
          <w:rFonts w:ascii="Arial" w:hAnsi="Arial" w:cs="Arial"/>
        </w:rPr>
        <w:br/>
        <w:t>15,000 other personal trusts.</w:t>
      </w:r>
    </w:p>
    <w:p w:rsidR="008868FD" w:rsidRDefault="008868FD" w:rsidP="001A710F">
      <w:pPr>
        <w:numPr>
          <w:ilvl w:val="0"/>
          <w:numId w:val="11"/>
        </w:numPr>
        <w:tabs>
          <w:tab w:val="clear" w:pos="1287"/>
          <w:tab w:val="num" w:pos="1276"/>
        </w:tabs>
        <w:spacing w:before="120"/>
        <w:ind w:left="1276" w:right="-284" w:hanging="425"/>
        <w:rPr>
          <w:rFonts w:ascii="Arial" w:hAnsi="Arial" w:cs="Arial"/>
        </w:rPr>
      </w:pPr>
      <w:proofErr w:type="gramStart"/>
      <w:r>
        <w:rPr>
          <w:rFonts w:ascii="Arial" w:hAnsi="Arial" w:cs="Arial"/>
        </w:rPr>
        <w:t>prepare</w:t>
      </w:r>
      <w:proofErr w:type="gramEnd"/>
      <w:r>
        <w:rPr>
          <w:rFonts w:ascii="Arial" w:hAnsi="Arial" w:cs="Arial"/>
        </w:rPr>
        <w:t xml:space="preserve"> over 40,000 tax returns. </w:t>
      </w:r>
    </w:p>
    <w:p w:rsidR="00B636D0" w:rsidRPr="00412156" w:rsidRDefault="00E5553D" w:rsidP="00412156">
      <w:pPr>
        <w:spacing w:before="120"/>
        <w:ind w:left="567"/>
        <w:rPr>
          <w:rFonts w:ascii="Arial" w:hAnsi="Arial" w:cs="Arial"/>
          <w:i/>
          <w:szCs w:val="24"/>
          <w:lang w:val="en-AU" w:eastAsia="en-AU"/>
        </w:rPr>
      </w:pPr>
      <w:r>
        <w:rPr>
          <w:rFonts w:ascii="Arial" w:hAnsi="Arial" w:cs="Arial"/>
          <w:szCs w:val="24"/>
        </w:rPr>
        <w:t xml:space="preserve">We appreciate the opportunity to comment on the </w:t>
      </w:r>
      <w:r w:rsidR="00E65421">
        <w:rPr>
          <w:rFonts w:ascii="Arial" w:hAnsi="Arial" w:cs="Arial"/>
          <w:szCs w:val="24"/>
        </w:rPr>
        <w:t>consultat</w:t>
      </w:r>
      <w:r>
        <w:rPr>
          <w:rFonts w:ascii="Arial" w:hAnsi="Arial" w:cs="Arial"/>
          <w:szCs w:val="24"/>
        </w:rPr>
        <w:t xml:space="preserve">ion paper </w:t>
      </w:r>
      <w:proofErr w:type="spellStart"/>
      <w:proofErr w:type="gramStart"/>
      <w:r w:rsidR="00ED4B96" w:rsidRPr="00ED4B96">
        <w:rPr>
          <w:rFonts w:ascii="Arial" w:hAnsi="Arial" w:cs="Arial"/>
          <w:i/>
          <w:iCs/>
        </w:rPr>
        <w:t>Modernising</w:t>
      </w:r>
      <w:proofErr w:type="spellEnd"/>
      <w:proofErr w:type="gramEnd"/>
      <w:r w:rsidR="00ED4B96" w:rsidRPr="00ED4B96">
        <w:rPr>
          <w:rFonts w:ascii="Arial" w:hAnsi="Arial" w:cs="Arial"/>
          <w:i/>
          <w:iCs/>
        </w:rPr>
        <w:t xml:space="preserve"> the taxation of trust income – options for reform</w:t>
      </w:r>
      <w:r w:rsidRPr="00ED4B96">
        <w:rPr>
          <w:rFonts w:ascii="Arial" w:hAnsi="Arial" w:cs="Arial"/>
          <w:i/>
          <w:szCs w:val="24"/>
          <w:lang w:val="en-AU" w:eastAsia="en-AU"/>
        </w:rPr>
        <w:t>.</w:t>
      </w:r>
    </w:p>
    <w:p w:rsidR="00B636D0" w:rsidRPr="00412156" w:rsidRDefault="00B636D0" w:rsidP="00412156">
      <w:pPr>
        <w:spacing w:before="240"/>
        <w:ind w:left="567" w:right="425"/>
        <w:rPr>
          <w:rFonts w:ascii="Arial" w:hAnsi="Arial" w:cs="Arial"/>
          <w:b/>
          <w:szCs w:val="24"/>
        </w:rPr>
      </w:pPr>
      <w:r w:rsidRPr="00412156">
        <w:rPr>
          <w:rFonts w:ascii="Arial" w:hAnsi="Arial" w:cs="Arial"/>
          <w:b/>
          <w:szCs w:val="24"/>
        </w:rPr>
        <w:t>Introduction</w:t>
      </w:r>
    </w:p>
    <w:p w:rsidR="005945DD" w:rsidRDefault="005945DD" w:rsidP="005945DD">
      <w:pPr>
        <w:spacing w:before="120"/>
        <w:ind w:left="567" w:right="424"/>
        <w:rPr>
          <w:rFonts w:ascii="Arial" w:hAnsi="Arial" w:cs="Arial"/>
          <w:szCs w:val="24"/>
        </w:rPr>
      </w:pPr>
      <w:r>
        <w:rPr>
          <w:rFonts w:ascii="Arial" w:hAnsi="Arial" w:cs="Arial"/>
          <w:szCs w:val="24"/>
        </w:rPr>
        <w:t xml:space="preserve">While </w:t>
      </w:r>
      <w:r w:rsidR="0012241B" w:rsidRPr="00ED4B96">
        <w:rPr>
          <w:rFonts w:ascii="Arial" w:hAnsi="Arial" w:cs="Arial"/>
          <w:szCs w:val="24"/>
        </w:rPr>
        <w:t xml:space="preserve">the </w:t>
      </w:r>
      <w:r>
        <w:rPr>
          <w:rFonts w:ascii="Arial" w:hAnsi="Arial" w:cs="Arial"/>
          <w:szCs w:val="24"/>
        </w:rPr>
        <w:t xml:space="preserve">consultation </w:t>
      </w:r>
      <w:r w:rsidR="0012241B" w:rsidRPr="00ED4B96">
        <w:rPr>
          <w:rFonts w:ascii="Arial" w:hAnsi="Arial" w:cs="Arial"/>
          <w:szCs w:val="24"/>
        </w:rPr>
        <w:t>paper cover</w:t>
      </w:r>
      <w:r>
        <w:rPr>
          <w:rFonts w:ascii="Arial" w:hAnsi="Arial" w:cs="Arial"/>
          <w:szCs w:val="24"/>
        </w:rPr>
        <w:t>s</w:t>
      </w:r>
      <w:r w:rsidR="0012241B" w:rsidRPr="00ED4B96">
        <w:rPr>
          <w:rFonts w:ascii="Arial" w:hAnsi="Arial" w:cs="Arial"/>
          <w:szCs w:val="24"/>
        </w:rPr>
        <w:t xml:space="preserve"> a wide range of </w:t>
      </w:r>
      <w:r>
        <w:rPr>
          <w:rFonts w:ascii="Arial" w:hAnsi="Arial" w:cs="Arial"/>
          <w:szCs w:val="24"/>
        </w:rPr>
        <w:t xml:space="preserve">situations and </w:t>
      </w:r>
      <w:r w:rsidR="0012241B" w:rsidRPr="00ED4B96">
        <w:rPr>
          <w:rFonts w:ascii="Arial" w:hAnsi="Arial" w:cs="Arial"/>
          <w:szCs w:val="24"/>
        </w:rPr>
        <w:t>issues</w:t>
      </w:r>
      <w:r>
        <w:rPr>
          <w:rFonts w:ascii="Arial" w:hAnsi="Arial" w:cs="Arial"/>
          <w:szCs w:val="24"/>
        </w:rPr>
        <w:t xml:space="preserve">, </w:t>
      </w:r>
      <w:r w:rsidR="00BD6D90">
        <w:rPr>
          <w:rFonts w:ascii="Arial" w:hAnsi="Arial" w:cs="Arial"/>
          <w:szCs w:val="24"/>
        </w:rPr>
        <w:t>our</w:t>
      </w:r>
      <w:r w:rsidR="0012241B" w:rsidRPr="00ED4B96">
        <w:rPr>
          <w:rFonts w:ascii="Arial" w:hAnsi="Arial" w:cs="Arial"/>
          <w:szCs w:val="24"/>
        </w:rPr>
        <w:t xml:space="preserve"> focus </w:t>
      </w:r>
      <w:r w:rsidR="00BD6D90">
        <w:rPr>
          <w:rFonts w:ascii="Arial" w:hAnsi="Arial" w:cs="Arial"/>
          <w:szCs w:val="24"/>
        </w:rPr>
        <w:t xml:space="preserve">is </w:t>
      </w:r>
      <w:r w:rsidR="0012241B" w:rsidRPr="00ED4B96">
        <w:rPr>
          <w:rFonts w:ascii="Arial" w:hAnsi="Arial" w:cs="Arial"/>
          <w:szCs w:val="24"/>
        </w:rPr>
        <w:t xml:space="preserve">on </w:t>
      </w:r>
      <w:r>
        <w:rPr>
          <w:rFonts w:ascii="Arial" w:hAnsi="Arial" w:cs="Arial"/>
          <w:szCs w:val="24"/>
        </w:rPr>
        <w:t xml:space="preserve">what </w:t>
      </w:r>
      <w:r w:rsidR="0012241B" w:rsidRPr="00ED4B96">
        <w:rPr>
          <w:rFonts w:ascii="Arial" w:hAnsi="Arial" w:cs="Arial"/>
          <w:szCs w:val="24"/>
        </w:rPr>
        <w:t>would seem to be the most appropriate approach for the great bulk of members’ busine</w:t>
      </w:r>
      <w:r>
        <w:rPr>
          <w:rFonts w:ascii="Arial" w:hAnsi="Arial" w:cs="Arial"/>
          <w:szCs w:val="24"/>
        </w:rPr>
        <w:t>ss.</w:t>
      </w:r>
      <w:r w:rsidR="0012241B" w:rsidRPr="00ED4B96">
        <w:rPr>
          <w:rFonts w:ascii="Arial" w:hAnsi="Arial" w:cs="Arial"/>
          <w:szCs w:val="24"/>
        </w:rPr>
        <w:t xml:space="preserve"> </w:t>
      </w:r>
    </w:p>
    <w:p w:rsidR="0012241B" w:rsidRDefault="005945DD" w:rsidP="00412156">
      <w:pPr>
        <w:spacing w:before="120"/>
        <w:ind w:left="567" w:right="283"/>
        <w:rPr>
          <w:rFonts w:ascii="Arial" w:hAnsi="Arial" w:cs="Arial"/>
          <w:szCs w:val="24"/>
        </w:rPr>
      </w:pPr>
      <w:r>
        <w:rPr>
          <w:rFonts w:ascii="Arial" w:hAnsi="Arial" w:cs="Arial"/>
          <w:szCs w:val="24"/>
        </w:rPr>
        <w:t xml:space="preserve">That core business covers </w:t>
      </w:r>
      <w:r w:rsidR="0012241B" w:rsidRPr="00ED4B96">
        <w:rPr>
          <w:rFonts w:ascii="Arial" w:hAnsi="Arial" w:cs="Arial"/>
          <w:szCs w:val="24"/>
        </w:rPr>
        <w:t>deceased estate administration, testa</w:t>
      </w:r>
      <w:r>
        <w:rPr>
          <w:rFonts w:ascii="Arial" w:hAnsi="Arial" w:cs="Arial"/>
          <w:szCs w:val="24"/>
        </w:rPr>
        <w:t>mentary trusts and fixed trusts.</w:t>
      </w:r>
    </w:p>
    <w:p w:rsidR="006C5F4F" w:rsidRPr="00ED4B96" w:rsidRDefault="006C5F4F" w:rsidP="006C5F4F">
      <w:pPr>
        <w:spacing w:before="120"/>
        <w:ind w:left="567" w:right="-851"/>
        <w:rPr>
          <w:rFonts w:ascii="Arial" w:hAnsi="Arial" w:cs="Arial"/>
          <w:szCs w:val="24"/>
        </w:rPr>
      </w:pPr>
      <w:r>
        <w:rPr>
          <w:rFonts w:ascii="Arial" w:hAnsi="Arial" w:cs="Arial"/>
          <w:szCs w:val="24"/>
        </w:rPr>
        <w:lastRenderedPageBreak/>
        <w:t>Given the number of taxation returns that members prepare each year, we are keen to ensure that the time required for each return is kept to a minimum.</w:t>
      </w:r>
    </w:p>
    <w:p w:rsidR="006C5F4F" w:rsidRDefault="006C5F4F" w:rsidP="006C5F4F">
      <w:pPr>
        <w:pStyle w:val="Default"/>
        <w:spacing w:before="120"/>
        <w:ind w:left="567" w:right="-851"/>
        <w:rPr>
          <w:rFonts w:ascii="Arial" w:hAnsi="Arial" w:cs="Arial"/>
        </w:rPr>
      </w:pPr>
      <w:r>
        <w:rPr>
          <w:rFonts w:ascii="Arial" w:hAnsi="Arial" w:cs="Arial"/>
        </w:rPr>
        <w:t>We s</w:t>
      </w:r>
      <w:r w:rsidRPr="00ED4B96">
        <w:rPr>
          <w:rFonts w:ascii="Arial" w:hAnsi="Arial" w:cs="Arial"/>
        </w:rPr>
        <w:t xml:space="preserve">upport the paper’s fundamental premise that tax liabilities in respect of the income and gains of a trust should ‘follow the money’ in that they should attach to the entities that receive the economic benefits from the trust. </w:t>
      </w:r>
    </w:p>
    <w:p w:rsidR="00A53AC1" w:rsidRPr="00D10EF8" w:rsidRDefault="00A53AC1" w:rsidP="006C5F4F">
      <w:pPr>
        <w:pStyle w:val="Default"/>
        <w:spacing w:before="120"/>
        <w:ind w:left="567" w:right="-851"/>
        <w:rPr>
          <w:rFonts w:ascii="Arial" w:hAnsi="Arial" w:cs="Arial"/>
          <w:color w:val="auto"/>
        </w:rPr>
      </w:pPr>
      <w:r w:rsidRPr="00D10EF8">
        <w:rPr>
          <w:rFonts w:ascii="Arial" w:hAnsi="Arial" w:cs="Arial"/>
          <w:color w:val="auto"/>
        </w:rPr>
        <w:t>Life tenant beneficiaries, for example, should not be taxed on capital gains that they will never receive.</w:t>
      </w:r>
    </w:p>
    <w:p w:rsidR="002C5107" w:rsidRDefault="006C5F4F" w:rsidP="005945DD">
      <w:pPr>
        <w:spacing w:before="120"/>
        <w:ind w:left="567" w:right="-851"/>
        <w:rPr>
          <w:rFonts w:ascii="Arial" w:hAnsi="Arial" w:cs="Arial"/>
          <w:szCs w:val="24"/>
        </w:rPr>
      </w:pPr>
      <w:r>
        <w:rPr>
          <w:rFonts w:ascii="Arial" w:hAnsi="Arial" w:cs="Arial"/>
          <w:szCs w:val="24"/>
        </w:rPr>
        <w:t>Most of th</w:t>
      </w:r>
      <w:r w:rsidR="00BD6D90">
        <w:rPr>
          <w:rFonts w:ascii="Arial" w:hAnsi="Arial" w:cs="Arial"/>
          <w:szCs w:val="24"/>
        </w:rPr>
        <w:t xml:space="preserve">e trusts </w:t>
      </w:r>
      <w:r>
        <w:rPr>
          <w:rFonts w:ascii="Arial" w:hAnsi="Arial" w:cs="Arial"/>
          <w:szCs w:val="24"/>
        </w:rPr>
        <w:t xml:space="preserve">managed by members </w:t>
      </w:r>
      <w:r w:rsidR="00BD6D90">
        <w:rPr>
          <w:rFonts w:ascii="Arial" w:hAnsi="Arial" w:cs="Arial"/>
          <w:szCs w:val="24"/>
        </w:rPr>
        <w:t>are relatively simple in nature</w:t>
      </w:r>
      <w:r w:rsidR="002C5107">
        <w:rPr>
          <w:rFonts w:ascii="Arial" w:hAnsi="Arial" w:cs="Arial"/>
          <w:szCs w:val="24"/>
        </w:rPr>
        <w:t>, with little streaming of income</w:t>
      </w:r>
      <w:r w:rsidR="00796020">
        <w:rPr>
          <w:rFonts w:ascii="Arial" w:hAnsi="Arial" w:cs="Arial"/>
          <w:szCs w:val="24"/>
        </w:rPr>
        <w:t xml:space="preserve"> in the context</w:t>
      </w:r>
      <w:r w:rsidR="007816A6">
        <w:rPr>
          <w:rFonts w:ascii="Arial" w:hAnsi="Arial" w:cs="Arial"/>
          <w:szCs w:val="24"/>
        </w:rPr>
        <w:t xml:space="preserve"> discussed in the consultation paper.</w:t>
      </w:r>
    </w:p>
    <w:p w:rsidR="00BD6D90" w:rsidRDefault="007816A6" w:rsidP="005945DD">
      <w:pPr>
        <w:spacing w:before="120"/>
        <w:ind w:left="567" w:right="-851"/>
        <w:rPr>
          <w:rFonts w:ascii="Arial" w:hAnsi="Arial" w:cs="Arial"/>
          <w:szCs w:val="24"/>
        </w:rPr>
      </w:pPr>
      <w:r>
        <w:rPr>
          <w:rFonts w:ascii="Arial" w:hAnsi="Arial" w:cs="Arial"/>
          <w:szCs w:val="24"/>
        </w:rPr>
        <w:t>E</w:t>
      </w:r>
      <w:r w:rsidR="002C5107">
        <w:rPr>
          <w:rFonts w:ascii="Arial" w:hAnsi="Arial" w:cs="Arial"/>
          <w:szCs w:val="24"/>
        </w:rPr>
        <w:t xml:space="preserve">ntitlement </w:t>
      </w:r>
      <w:r>
        <w:rPr>
          <w:rFonts w:ascii="Arial" w:hAnsi="Arial" w:cs="Arial"/>
          <w:szCs w:val="24"/>
        </w:rPr>
        <w:t xml:space="preserve">to capital and income </w:t>
      </w:r>
      <w:r w:rsidR="00796020">
        <w:rPr>
          <w:rFonts w:ascii="Arial" w:hAnsi="Arial" w:cs="Arial"/>
          <w:szCs w:val="24"/>
        </w:rPr>
        <w:t xml:space="preserve">in such trusts </w:t>
      </w:r>
      <w:r w:rsidR="002C5107">
        <w:rPr>
          <w:rFonts w:ascii="Arial" w:hAnsi="Arial" w:cs="Arial"/>
          <w:szCs w:val="24"/>
        </w:rPr>
        <w:t>usually can be established before 30 June, so it is generally quite clear as to when income should be taxed in the hands of the trustee rather than the beneficiary.</w:t>
      </w:r>
    </w:p>
    <w:p w:rsidR="002C5107" w:rsidRDefault="002C5107" w:rsidP="005945DD">
      <w:pPr>
        <w:spacing w:before="120"/>
        <w:ind w:left="567" w:right="-851"/>
        <w:rPr>
          <w:rFonts w:ascii="Arial" w:hAnsi="Arial" w:cs="Arial"/>
          <w:szCs w:val="24"/>
        </w:rPr>
      </w:pPr>
      <w:r>
        <w:rPr>
          <w:rFonts w:ascii="Arial" w:hAnsi="Arial" w:cs="Arial"/>
          <w:szCs w:val="24"/>
        </w:rPr>
        <w:t>However, in some cases this cannot be determined until post-30 J</w:t>
      </w:r>
      <w:r w:rsidR="006C5F4F">
        <w:rPr>
          <w:rFonts w:ascii="Arial" w:hAnsi="Arial" w:cs="Arial"/>
          <w:szCs w:val="24"/>
        </w:rPr>
        <w:t>une and the trustee should not be forced to allocate income without all the necessary information.</w:t>
      </w:r>
    </w:p>
    <w:p w:rsidR="0012241B" w:rsidRPr="00ED4B96" w:rsidRDefault="002C5107" w:rsidP="005945DD">
      <w:pPr>
        <w:pStyle w:val="Default"/>
        <w:spacing w:before="120"/>
        <w:ind w:left="567" w:right="-851"/>
        <w:rPr>
          <w:rFonts w:ascii="Arial" w:hAnsi="Arial" w:cs="Arial"/>
        </w:rPr>
      </w:pPr>
      <w:r>
        <w:rPr>
          <w:rFonts w:ascii="Arial" w:hAnsi="Arial" w:cs="Arial"/>
        </w:rPr>
        <w:t>O</w:t>
      </w:r>
      <w:r w:rsidR="0012241B" w:rsidRPr="00ED4B96">
        <w:rPr>
          <w:rFonts w:ascii="Arial" w:hAnsi="Arial" w:cs="Arial"/>
        </w:rPr>
        <w:t xml:space="preserve">ne issue is whether tax should be based on distributions only or on present entitlements - it </w:t>
      </w:r>
      <w:r w:rsidR="005945DD">
        <w:rPr>
          <w:rFonts w:ascii="Arial" w:hAnsi="Arial" w:cs="Arial"/>
        </w:rPr>
        <w:t>i</w:t>
      </w:r>
      <w:r w:rsidR="0012241B" w:rsidRPr="00ED4B96">
        <w:rPr>
          <w:rFonts w:ascii="Arial" w:hAnsi="Arial" w:cs="Arial"/>
        </w:rPr>
        <w:t xml:space="preserve">s noted that the </w:t>
      </w:r>
      <w:smartTag w:uri="urn:schemas-microsoft-com:office:smarttags" w:element="stockticker">
        <w:r w:rsidR="0012241B" w:rsidRPr="00ED4B96">
          <w:rPr>
            <w:rFonts w:ascii="Arial" w:hAnsi="Arial" w:cs="Arial"/>
          </w:rPr>
          <w:t>TFN</w:t>
        </w:r>
      </w:smartTag>
      <w:r w:rsidR="0012241B" w:rsidRPr="00ED4B96">
        <w:rPr>
          <w:rFonts w:ascii="Arial" w:hAnsi="Arial" w:cs="Arial"/>
        </w:rPr>
        <w:t>/closely held trusts arrangements are based on present entitlements.</w:t>
      </w:r>
    </w:p>
    <w:p w:rsidR="00BD6D90" w:rsidRDefault="00E65421" w:rsidP="005945DD">
      <w:pPr>
        <w:pStyle w:val="Default"/>
        <w:spacing w:before="120"/>
        <w:ind w:left="567" w:right="-851"/>
        <w:rPr>
          <w:rFonts w:ascii="Arial" w:hAnsi="Arial" w:cs="Arial"/>
        </w:rPr>
      </w:pPr>
      <w:r>
        <w:rPr>
          <w:rFonts w:ascii="Arial" w:hAnsi="Arial" w:cs="Arial"/>
        </w:rPr>
        <w:t>In the case of</w:t>
      </w:r>
      <w:r w:rsidR="0012241B" w:rsidRPr="00ED4B96">
        <w:rPr>
          <w:rFonts w:ascii="Arial" w:hAnsi="Arial" w:cs="Arial"/>
        </w:rPr>
        <w:t xml:space="preserve"> ‘simple’ trusts, </w:t>
      </w:r>
      <w:r w:rsidR="002C5107">
        <w:rPr>
          <w:rFonts w:ascii="Arial" w:hAnsi="Arial" w:cs="Arial"/>
        </w:rPr>
        <w:t>we</w:t>
      </w:r>
      <w:r w:rsidR="005945DD">
        <w:rPr>
          <w:rFonts w:ascii="Arial" w:hAnsi="Arial" w:cs="Arial"/>
        </w:rPr>
        <w:t xml:space="preserve"> feel</w:t>
      </w:r>
      <w:r w:rsidR="0012241B" w:rsidRPr="00ED4B96">
        <w:rPr>
          <w:rFonts w:ascii="Arial" w:hAnsi="Arial" w:cs="Arial"/>
        </w:rPr>
        <w:t xml:space="preserve"> that </w:t>
      </w:r>
      <w:r w:rsidR="00421E9A">
        <w:rPr>
          <w:rFonts w:ascii="Arial" w:hAnsi="Arial" w:cs="Arial"/>
        </w:rPr>
        <w:t>the first two options</w:t>
      </w:r>
      <w:r w:rsidR="00BD6D90">
        <w:rPr>
          <w:rFonts w:ascii="Arial" w:hAnsi="Arial" w:cs="Arial"/>
        </w:rPr>
        <w:t xml:space="preserve"> in the consultation paper would involve a considerable amount of work for trustees.</w:t>
      </w:r>
    </w:p>
    <w:p w:rsidR="00ED4B96" w:rsidRDefault="00BD6D90" w:rsidP="005945DD">
      <w:pPr>
        <w:pStyle w:val="Default"/>
        <w:spacing w:before="120"/>
        <w:ind w:left="567" w:right="-851"/>
        <w:rPr>
          <w:rFonts w:ascii="Arial" w:hAnsi="Arial" w:cs="Arial"/>
        </w:rPr>
      </w:pPr>
      <w:r>
        <w:rPr>
          <w:rFonts w:ascii="Arial" w:hAnsi="Arial" w:cs="Arial"/>
        </w:rPr>
        <w:t xml:space="preserve">We would prefer </w:t>
      </w:r>
      <w:r w:rsidR="0012241B" w:rsidRPr="00ED4B96">
        <w:rPr>
          <w:rFonts w:ascii="Arial" w:hAnsi="Arial" w:cs="Arial"/>
        </w:rPr>
        <w:t>a variation of the 3</w:t>
      </w:r>
      <w:r w:rsidR="0012241B" w:rsidRPr="00ED4B96">
        <w:rPr>
          <w:rFonts w:ascii="Arial" w:hAnsi="Arial" w:cs="Arial"/>
          <w:vertAlign w:val="superscript"/>
        </w:rPr>
        <w:t>rd</w:t>
      </w:r>
      <w:r w:rsidR="0012241B" w:rsidRPr="00ED4B96">
        <w:rPr>
          <w:rFonts w:ascii="Arial" w:hAnsi="Arial" w:cs="Arial"/>
        </w:rPr>
        <w:t xml:space="preserve"> option in the paper - the ‘trustee assessm</w:t>
      </w:r>
      <w:r>
        <w:rPr>
          <w:rFonts w:ascii="Arial" w:hAnsi="Arial" w:cs="Arial"/>
        </w:rPr>
        <w:t>ent and deduction’ (TAD) model, whereby</w:t>
      </w:r>
      <w:r w:rsidR="0012241B" w:rsidRPr="00ED4B96">
        <w:rPr>
          <w:rFonts w:ascii="Arial" w:hAnsi="Arial" w:cs="Arial"/>
        </w:rPr>
        <w:t xml:space="preserve"> a beneficiary’s tax </w:t>
      </w:r>
      <w:r>
        <w:rPr>
          <w:rFonts w:ascii="Arial" w:hAnsi="Arial" w:cs="Arial"/>
        </w:rPr>
        <w:t>is ca</w:t>
      </w:r>
      <w:r w:rsidR="0012241B" w:rsidRPr="00ED4B96">
        <w:rPr>
          <w:rFonts w:ascii="Arial" w:hAnsi="Arial" w:cs="Arial"/>
        </w:rPr>
        <w:t xml:space="preserve">lculated not only on distributions / benefits received, but also on </w:t>
      </w:r>
      <w:r w:rsidR="007816A6">
        <w:rPr>
          <w:rFonts w:ascii="Arial" w:hAnsi="Arial" w:cs="Arial"/>
        </w:rPr>
        <w:t>amounts to which beneficiaries have a vested and indefeasible interest</w:t>
      </w:r>
      <w:r w:rsidR="00B10E5C">
        <w:rPr>
          <w:rFonts w:ascii="Arial" w:hAnsi="Arial" w:cs="Arial"/>
        </w:rPr>
        <w:t>,</w:t>
      </w:r>
      <w:r w:rsidR="00B636D0">
        <w:rPr>
          <w:rFonts w:ascii="Arial" w:hAnsi="Arial" w:cs="Arial"/>
        </w:rPr>
        <w:t xml:space="preserve"> to avoid unwarranted trustee assessments.</w:t>
      </w:r>
      <w:r w:rsidR="0012241B" w:rsidRPr="00ED4B96">
        <w:rPr>
          <w:rFonts w:ascii="Arial" w:hAnsi="Arial" w:cs="Arial"/>
        </w:rPr>
        <w:t xml:space="preserve">  </w:t>
      </w:r>
    </w:p>
    <w:p w:rsidR="00ED4B96" w:rsidRDefault="0012241B" w:rsidP="005945DD">
      <w:pPr>
        <w:pStyle w:val="Default"/>
        <w:spacing w:before="120"/>
        <w:ind w:left="567" w:right="-851"/>
        <w:rPr>
          <w:rFonts w:ascii="Arial" w:hAnsi="Arial" w:cs="Arial"/>
          <w:color w:val="auto"/>
        </w:rPr>
      </w:pPr>
      <w:r w:rsidRPr="00ED4B96">
        <w:rPr>
          <w:rFonts w:ascii="Arial" w:hAnsi="Arial" w:cs="Arial"/>
        </w:rPr>
        <w:t xml:space="preserve">However, in the case of deceased estates, we </w:t>
      </w:r>
      <w:r w:rsidR="005945DD">
        <w:rPr>
          <w:rFonts w:ascii="Arial" w:hAnsi="Arial" w:cs="Arial"/>
        </w:rPr>
        <w:t>w</w:t>
      </w:r>
      <w:r w:rsidRPr="00ED4B96">
        <w:rPr>
          <w:rFonts w:ascii="Arial" w:hAnsi="Arial" w:cs="Arial"/>
        </w:rPr>
        <w:t xml:space="preserve">ould recommend that a beneficiary’s tax be calculated only on distributions / benefits for the first 3 years of an administration, </w:t>
      </w:r>
      <w:r w:rsidRPr="00ED4B96">
        <w:rPr>
          <w:rFonts w:ascii="Arial" w:hAnsi="Arial" w:cs="Arial"/>
          <w:color w:val="auto"/>
        </w:rPr>
        <w:t>to avoid situations where beneficiaries may be taxed on amounts they are yet to receive.  </w:t>
      </w:r>
    </w:p>
    <w:p w:rsidR="0012241B" w:rsidRPr="00ED4B96" w:rsidRDefault="005945DD" w:rsidP="005945DD">
      <w:pPr>
        <w:pStyle w:val="Default"/>
        <w:spacing w:before="120"/>
        <w:ind w:left="567" w:right="-851"/>
        <w:rPr>
          <w:rFonts w:ascii="Arial" w:hAnsi="Arial" w:cs="Arial"/>
        </w:rPr>
      </w:pPr>
      <w:r>
        <w:rPr>
          <w:rFonts w:ascii="Arial" w:hAnsi="Arial" w:cs="Arial"/>
          <w:color w:val="auto"/>
        </w:rPr>
        <w:t xml:space="preserve">We believe </w:t>
      </w:r>
      <w:r w:rsidR="0012241B" w:rsidRPr="00ED4B96">
        <w:rPr>
          <w:rFonts w:ascii="Arial" w:hAnsi="Arial" w:cs="Arial"/>
          <w:color w:val="auto"/>
        </w:rPr>
        <w:t>that this would also simplify the taxation of deceased estates during the various stages of administering a deceased estate which is currently subject to IT 2622.</w:t>
      </w:r>
      <w:r w:rsidR="0012241B" w:rsidRPr="00ED4B96">
        <w:rPr>
          <w:rFonts w:ascii="Arial" w:hAnsi="Arial" w:cs="Arial"/>
          <w:color w:val="0000FF"/>
        </w:rPr>
        <w:t xml:space="preserve">  </w:t>
      </w:r>
      <w:r w:rsidR="0012241B" w:rsidRPr="00ED4B96">
        <w:rPr>
          <w:rFonts w:ascii="Arial" w:hAnsi="Arial" w:cs="Arial"/>
        </w:rPr>
        <w:t> </w:t>
      </w:r>
    </w:p>
    <w:p w:rsidR="00EF6555" w:rsidRPr="008838D3" w:rsidRDefault="00EF6555" w:rsidP="00412156">
      <w:pPr>
        <w:keepNext/>
        <w:spacing w:before="240"/>
        <w:ind w:left="567"/>
        <w:rPr>
          <w:rFonts w:ascii="Arial" w:hAnsi="Arial" w:cs="Arial"/>
          <w:b/>
          <w:szCs w:val="24"/>
          <w:lang w:val="en-AU" w:eastAsia="en-AU"/>
        </w:rPr>
      </w:pPr>
      <w:r w:rsidRPr="008838D3">
        <w:rPr>
          <w:rFonts w:ascii="Arial" w:hAnsi="Arial" w:cs="Arial"/>
          <w:b/>
          <w:szCs w:val="24"/>
          <w:lang w:val="en-AU" w:eastAsia="en-AU"/>
        </w:rPr>
        <w:t>Detailed discussion</w:t>
      </w:r>
    </w:p>
    <w:p w:rsidR="00724884" w:rsidRPr="00BC7660" w:rsidRDefault="00724884" w:rsidP="00724884">
      <w:pPr>
        <w:keepNext/>
        <w:spacing w:before="240"/>
        <w:ind w:left="567" w:right="-851"/>
        <w:rPr>
          <w:rFonts w:ascii="Arial" w:hAnsi="Arial" w:cs="Arial"/>
          <w:szCs w:val="24"/>
          <w:u w:val="single"/>
        </w:rPr>
      </w:pPr>
      <w:r w:rsidRPr="00BC7660">
        <w:rPr>
          <w:rFonts w:ascii="Arial" w:hAnsi="Arial" w:cs="Arial"/>
          <w:szCs w:val="24"/>
          <w:u w:val="single"/>
        </w:rPr>
        <w:t>The Trustee Assessment and Deduction Model</w:t>
      </w:r>
    </w:p>
    <w:p w:rsidR="00724884" w:rsidRPr="00D86752" w:rsidRDefault="00A15EB4" w:rsidP="00724884">
      <w:pPr>
        <w:spacing w:before="120"/>
        <w:ind w:left="567" w:right="-851"/>
        <w:rPr>
          <w:rFonts w:ascii="Arial" w:hAnsi="Arial" w:cs="Arial"/>
          <w:szCs w:val="24"/>
        </w:rPr>
      </w:pPr>
      <w:r>
        <w:rPr>
          <w:rFonts w:ascii="Arial" w:hAnsi="Arial" w:cs="Arial"/>
          <w:szCs w:val="24"/>
        </w:rPr>
        <w:t>W</w:t>
      </w:r>
      <w:r w:rsidR="00724884" w:rsidRPr="00D86752">
        <w:rPr>
          <w:rFonts w:ascii="Arial" w:hAnsi="Arial" w:cs="Arial"/>
          <w:szCs w:val="24"/>
        </w:rPr>
        <w:t>e believe that the T</w:t>
      </w:r>
      <w:r w:rsidR="008838D3">
        <w:rPr>
          <w:rFonts w:ascii="Arial" w:hAnsi="Arial" w:cs="Arial"/>
          <w:szCs w:val="24"/>
        </w:rPr>
        <w:t>AD</w:t>
      </w:r>
      <w:r w:rsidR="00724884" w:rsidRPr="00D86752">
        <w:rPr>
          <w:rFonts w:ascii="Arial" w:hAnsi="Arial" w:cs="Arial"/>
          <w:szCs w:val="24"/>
        </w:rPr>
        <w:t xml:space="preserve"> </w:t>
      </w:r>
      <w:r w:rsidR="008838D3">
        <w:rPr>
          <w:rFonts w:ascii="Arial" w:hAnsi="Arial" w:cs="Arial"/>
          <w:szCs w:val="24"/>
        </w:rPr>
        <w:t>m</w:t>
      </w:r>
      <w:r w:rsidR="00724884" w:rsidRPr="00D86752">
        <w:rPr>
          <w:rFonts w:ascii="Arial" w:hAnsi="Arial" w:cs="Arial"/>
          <w:szCs w:val="24"/>
        </w:rPr>
        <w:t xml:space="preserve">odel </w:t>
      </w:r>
      <w:r w:rsidR="00724884">
        <w:rPr>
          <w:rFonts w:ascii="Arial" w:hAnsi="Arial" w:cs="Arial"/>
          <w:szCs w:val="24"/>
        </w:rPr>
        <w:t>(option 3) is to be preferred for</w:t>
      </w:r>
      <w:r w:rsidR="00724884" w:rsidRPr="00D86752">
        <w:rPr>
          <w:rFonts w:ascii="Arial" w:hAnsi="Arial" w:cs="Arial"/>
          <w:szCs w:val="24"/>
        </w:rPr>
        <w:t xml:space="preserve"> prepar</w:t>
      </w:r>
      <w:r w:rsidR="00724884">
        <w:rPr>
          <w:rFonts w:ascii="Arial" w:hAnsi="Arial" w:cs="Arial"/>
          <w:szCs w:val="24"/>
        </w:rPr>
        <w:t>ing</w:t>
      </w:r>
      <w:r w:rsidR="00724884" w:rsidRPr="00D86752">
        <w:rPr>
          <w:rFonts w:ascii="Arial" w:hAnsi="Arial" w:cs="Arial"/>
          <w:szCs w:val="24"/>
        </w:rPr>
        <w:t xml:space="preserve"> income tax returns of trusts.  </w:t>
      </w:r>
      <w:r w:rsidR="00724884">
        <w:rPr>
          <w:rFonts w:ascii="Arial" w:hAnsi="Arial" w:cs="Arial"/>
          <w:szCs w:val="24"/>
        </w:rPr>
        <w:t>S</w:t>
      </w:r>
      <w:r w:rsidR="00724884" w:rsidRPr="00D86752">
        <w:rPr>
          <w:rFonts w:ascii="Arial" w:hAnsi="Arial" w:cs="Arial"/>
          <w:szCs w:val="24"/>
        </w:rPr>
        <w:t>howing amounts distributed to beneficiarie</w:t>
      </w:r>
      <w:r w:rsidR="00724884">
        <w:rPr>
          <w:rFonts w:ascii="Arial" w:hAnsi="Arial" w:cs="Arial"/>
          <w:szCs w:val="24"/>
        </w:rPr>
        <w:t>s as a deduction to the trustee</w:t>
      </w:r>
      <w:r w:rsidR="00724884" w:rsidRPr="00D86752">
        <w:rPr>
          <w:rFonts w:ascii="Arial" w:hAnsi="Arial" w:cs="Arial"/>
          <w:szCs w:val="24"/>
        </w:rPr>
        <w:t xml:space="preserve"> is the most straight forward approach to determine taxable income of the beneficiary and trustee.</w:t>
      </w:r>
    </w:p>
    <w:p w:rsidR="00724884" w:rsidRDefault="00724884" w:rsidP="00724884">
      <w:pPr>
        <w:spacing w:before="120"/>
        <w:ind w:left="567" w:right="-851"/>
        <w:rPr>
          <w:rFonts w:ascii="Arial" w:hAnsi="Arial" w:cs="Arial"/>
          <w:szCs w:val="24"/>
        </w:rPr>
      </w:pPr>
      <w:r w:rsidRPr="00D86752">
        <w:rPr>
          <w:rFonts w:ascii="Arial" w:hAnsi="Arial" w:cs="Arial"/>
          <w:szCs w:val="24"/>
        </w:rPr>
        <w:lastRenderedPageBreak/>
        <w:t>Whilst this model represents a departure from the current methods of preparing income tax returns, we believe trustees and their tax agents will adapt quickly given the amount of changes that have taken effect over the last two of financial years.</w:t>
      </w:r>
    </w:p>
    <w:p w:rsidR="008838D3" w:rsidRDefault="00724884" w:rsidP="00724884">
      <w:pPr>
        <w:spacing w:before="120"/>
        <w:ind w:left="567" w:right="-851"/>
        <w:rPr>
          <w:rFonts w:ascii="Arial" w:hAnsi="Arial" w:cs="Arial"/>
          <w:szCs w:val="24"/>
        </w:rPr>
      </w:pPr>
      <w:r w:rsidRPr="003A78A6">
        <w:rPr>
          <w:rFonts w:ascii="Arial" w:hAnsi="Arial" w:cs="Arial"/>
          <w:szCs w:val="24"/>
        </w:rPr>
        <w:t xml:space="preserve">The TAD model appears to be the least problematic in terms of compliance costs and complexity. </w:t>
      </w:r>
      <w:r>
        <w:rPr>
          <w:rFonts w:ascii="Arial" w:hAnsi="Arial" w:cs="Arial"/>
          <w:szCs w:val="24"/>
        </w:rPr>
        <w:t xml:space="preserve"> </w:t>
      </w:r>
    </w:p>
    <w:p w:rsidR="008838D3" w:rsidRPr="00D10EF8" w:rsidRDefault="00724884" w:rsidP="008838D3">
      <w:pPr>
        <w:spacing w:before="120"/>
        <w:ind w:left="567" w:right="-851"/>
        <w:rPr>
          <w:rFonts w:ascii="Arial" w:hAnsi="Arial" w:cs="Arial"/>
          <w:szCs w:val="24"/>
        </w:rPr>
      </w:pPr>
      <w:r w:rsidRPr="003A78A6">
        <w:rPr>
          <w:rFonts w:ascii="Arial" w:hAnsi="Arial" w:cs="Arial"/>
          <w:szCs w:val="24"/>
        </w:rPr>
        <w:t>It may</w:t>
      </w:r>
      <w:r>
        <w:rPr>
          <w:rFonts w:ascii="Arial" w:hAnsi="Arial" w:cs="Arial"/>
          <w:szCs w:val="24"/>
        </w:rPr>
        <w:t>,</w:t>
      </w:r>
      <w:r w:rsidRPr="003A78A6">
        <w:rPr>
          <w:rFonts w:ascii="Arial" w:hAnsi="Arial" w:cs="Arial"/>
          <w:szCs w:val="24"/>
        </w:rPr>
        <w:t xml:space="preserve"> however, increase trustee assessments, very often to the detriment of the beneficiary if the tax rates on distributed income and undistributed income are different. </w:t>
      </w:r>
      <w:r w:rsidR="008838D3">
        <w:rPr>
          <w:rFonts w:ascii="Arial" w:hAnsi="Arial" w:cs="Arial"/>
          <w:szCs w:val="24"/>
        </w:rPr>
        <w:t xml:space="preserve"> </w:t>
      </w:r>
      <w:r w:rsidR="008838D3" w:rsidRPr="00D10EF8">
        <w:rPr>
          <w:rFonts w:ascii="Arial" w:hAnsi="Arial" w:cs="Arial"/>
          <w:szCs w:val="24"/>
        </w:rPr>
        <w:t>However, as the paper notes, there may be ways of dealing with this in cases where such an outcome is unreasonable.</w:t>
      </w:r>
    </w:p>
    <w:p w:rsidR="008838D3" w:rsidRDefault="00724884" w:rsidP="00724884">
      <w:pPr>
        <w:spacing w:before="120"/>
        <w:ind w:left="567" w:right="-851"/>
        <w:rPr>
          <w:rFonts w:ascii="Arial" w:hAnsi="Arial" w:cs="Arial"/>
          <w:szCs w:val="24"/>
        </w:rPr>
      </w:pPr>
      <w:r w:rsidRPr="003A78A6">
        <w:rPr>
          <w:rFonts w:ascii="Arial" w:hAnsi="Arial" w:cs="Arial"/>
          <w:szCs w:val="24"/>
        </w:rPr>
        <w:t xml:space="preserve">Appendix A </w:t>
      </w:r>
      <w:r w:rsidR="008838D3">
        <w:rPr>
          <w:rFonts w:ascii="Arial" w:hAnsi="Arial" w:cs="Arial"/>
          <w:szCs w:val="24"/>
        </w:rPr>
        <w:t xml:space="preserve">of the consultation paper </w:t>
      </w:r>
      <w:r w:rsidRPr="003A78A6">
        <w:rPr>
          <w:rFonts w:ascii="Arial" w:hAnsi="Arial" w:cs="Arial"/>
          <w:szCs w:val="24"/>
        </w:rPr>
        <w:t>provides one example where the trustee instead of the beneficiary will be assessed</w:t>
      </w:r>
      <w:r>
        <w:rPr>
          <w:rFonts w:ascii="Arial" w:hAnsi="Arial" w:cs="Arial"/>
          <w:szCs w:val="24"/>
        </w:rPr>
        <w:t xml:space="preserve"> under this model</w:t>
      </w:r>
      <w:r w:rsidRPr="003A78A6">
        <w:rPr>
          <w:rFonts w:ascii="Arial" w:hAnsi="Arial" w:cs="Arial"/>
          <w:szCs w:val="24"/>
        </w:rPr>
        <w:t xml:space="preserve">. </w:t>
      </w:r>
      <w:r>
        <w:rPr>
          <w:rFonts w:ascii="Arial" w:hAnsi="Arial" w:cs="Arial"/>
          <w:szCs w:val="24"/>
        </w:rPr>
        <w:t xml:space="preserve"> </w:t>
      </w:r>
    </w:p>
    <w:p w:rsidR="00724884" w:rsidRDefault="00724884" w:rsidP="00724884">
      <w:pPr>
        <w:spacing w:before="120"/>
        <w:ind w:left="567" w:right="-851"/>
        <w:rPr>
          <w:rFonts w:ascii="Arial" w:hAnsi="Arial" w:cs="Arial"/>
          <w:szCs w:val="24"/>
        </w:rPr>
      </w:pPr>
      <w:r w:rsidRPr="003A78A6">
        <w:rPr>
          <w:rFonts w:ascii="Arial" w:hAnsi="Arial" w:cs="Arial"/>
          <w:szCs w:val="24"/>
        </w:rPr>
        <w:t xml:space="preserve">Another example would be where the beneficiary has a vested and indefeasible entitlement to the income of the trust and the trustee does not distribute funds - not to </w:t>
      </w:r>
      <w:proofErr w:type="spellStart"/>
      <w:r w:rsidRPr="003A78A6">
        <w:rPr>
          <w:rFonts w:ascii="Arial" w:hAnsi="Arial" w:cs="Arial"/>
          <w:szCs w:val="24"/>
        </w:rPr>
        <w:t>minimise</w:t>
      </w:r>
      <w:proofErr w:type="spellEnd"/>
      <w:r w:rsidRPr="003A78A6">
        <w:rPr>
          <w:rFonts w:ascii="Arial" w:hAnsi="Arial" w:cs="Arial"/>
          <w:szCs w:val="24"/>
        </w:rPr>
        <w:t xml:space="preserve"> taxation</w:t>
      </w:r>
      <w:r>
        <w:rPr>
          <w:rFonts w:ascii="Arial" w:hAnsi="Arial" w:cs="Arial"/>
          <w:szCs w:val="24"/>
        </w:rPr>
        <w:t>,</w:t>
      </w:r>
      <w:r w:rsidRPr="003A78A6">
        <w:rPr>
          <w:rFonts w:ascii="Arial" w:hAnsi="Arial" w:cs="Arial"/>
          <w:szCs w:val="24"/>
        </w:rPr>
        <w:t xml:space="preserve"> but simply because funds are not needed by the beneficiary. </w:t>
      </w:r>
      <w:r>
        <w:rPr>
          <w:rFonts w:ascii="Arial" w:hAnsi="Arial" w:cs="Arial"/>
          <w:szCs w:val="24"/>
        </w:rPr>
        <w:t xml:space="preserve"> </w:t>
      </w:r>
      <w:r w:rsidRPr="003A78A6">
        <w:rPr>
          <w:rFonts w:ascii="Arial" w:hAnsi="Arial" w:cs="Arial"/>
          <w:szCs w:val="24"/>
        </w:rPr>
        <w:t>A court order (compensation award) trust, held until a minor beneficiary turns 18</w:t>
      </w:r>
      <w:r>
        <w:rPr>
          <w:rFonts w:ascii="Arial" w:hAnsi="Arial" w:cs="Arial"/>
          <w:szCs w:val="24"/>
        </w:rPr>
        <w:t>,</w:t>
      </w:r>
      <w:r w:rsidRPr="003A78A6">
        <w:rPr>
          <w:rFonts w:ascii="Arial" w:hAnsi="Arial" w:cs="Arial"/>
          <w:szCs w:val="24"/>
        </w:rPr>
        <w:t xml:space="preserve"> is a good example of such a trust. </w:t>
      </w:r>
    </w:p>
    <w:p w:rsidR="00724884" w:rsidRDefault="00724884" w:rsidP="00724884">
      <w:pPr>
        <w:spacing w:before="120"/>
        <w:ind w:left="567" w:right="-851"/>
        <w:rPr>
          <w:rFonts w:ascii="Arial" w:hAnsi="Arial" w:cs="Arial"/>
          <w:szCs w:val="24"/>
        </w:rPr>
      </w:pPr>
      <w:r>
        <w:rPr>
          <w:rFonts w:ascii="Arial" w:hAnsi="Arial" w:cs="Arial"/>
          <w:szCs w:val="24"/>
        </w:rPr>
        <w:t xml:space="preserve">The </w:t>
      </w:r>
      <w:r w:rsidRPr="004C1620">
        <w:rPr>
          <w:rFonts w:ascii="Arial" w:hAnsi="Arial" w:cs="Arial"/>
          <w:szCs w:val="24"/>
        </w:rPr>
        <w:t xml:space="preserve">calculations given as examples </w:t>
      </w:r>
      <w:r>
        <w:rPr>
          <w:rFonts w:ascii="Arial" w:hAnsi="Arial" w:cs="Arial"/>
          <w:szCs w:val="24"/>
        </w:rPr>
        <w:t>demonstrate</w:t>
      </w:r>
      <w:r w:rsidRPr="004C1620">
        <w:rPr>
          <w:rFonts w:ascii="Arial" w:hAnsi="Arial" w:cs="Arial"/>
          <w:szCs w:val="24"/>
        </w:rPr>
        <w:t xml:space="preserve"> how complicated and time consuming trust tax returns will become if the</w:t>
      </w:r>
      <w:r w:rsidR="008B447F">
        <w:rPr>
          <w:rFonts w:ascii="Arial" w:hAnsi="Arial" w:cs="Arial"/>
          <w:szCs w:val="24"/>
        </w:rPr>
        <w:t xml:space="preserve"> Patch mode</w:t>
      </w:r>
      <w:r w:rsidR="008838D3">
        <w:rPr>
          <w:rFonts w:ascii="Arial" w:hAnsi="Arial" w:cs="Arial"/>
          <w:szCs w:val="24"/>
        </w:rPr>
        <w:t>l and the Proportionate within C</w:t>
      </w:r>
      <w:r w:rsidR="008B447F">
        <w:rPr>
          <w:rFonts w:ascii="Arial" w:hAnsi="Arial" w:cs="Arial"/>
          <w:szCs w:val="24"/>
        </w:rPr>
        <w:t>lass models</w:t>
      </w:r>
      <w:r>
        <w:rPr>
          <w:rFonts w:ascii="Arial" w:hAnsi="Arial" w:cs="Arial"/>
          <w:szCs w:val="24"/>
        </w:rPr>
        <w:t xml:space="preserve"> </w:t>
      </w:r>
      <w:r w:rsidRPr="004C1620">
        <w:rPr>
          <w:rFonts w:ascii="Arial" w:hAnsi="Arial" w:cs="Arial"/>
          <w:szCs w:val="24"/>
        </w:rPr>
        <w:t>are implemented.</w:t>
      </w:r>
      <w:r>
        <w:rPr>
          <w:rFonts w:ascii="Arial" w:hAnsi="Arial" w:cs="Arial"/>
          <w:szCs w:val="24"/>
        </w:rPr>
        <w:t xml:space="preserve"> </w:t>
      </w:r>
    </w:p>
    <w:p w:rsidR="00724884" w:rsidRDefault="00724884" w:rsidP="00724884">
      <w:pPr>
        <w:spacing w:before="120"/>
        <w:ind w:left="567" w:right="-851"/>
        <w:rPr>
          <w:szCs w:val="24"/>
        </w:rPr>
      </w:pPr>
      <w:r>
        <w:rPr>
          <w:rFonts w:ascii="Arial" w:hAnsi="Arial" w:cs="Arial"/>
          <w:szCs w:val="24"/>
        </w:rPr>
        <w:t>I</w:t>
      </w:r>
      <w:r w:rsidRPr="004C1620">
        <w:rPr>
          <w:rFonts w:ascii="Arial" w:hAnsi="Arial" w:cs="Arial"/>
          <w:szCs w:val="24"/>
        </w:rPr>
        <w:t xml:space="preserve">n deceased estates, streaming of taxable income occurs as a result of different assets being bequeathed to different beneficiaries. </w:t>
      </w:r>
      <w:r>
        <w:rPr>
          <w:rFonts w:ascii="Arial" w:hAnsi="Arial" w:cs="Arial"/>
          <w:szCs w:val="24"/>
        </w:rPr>
        <w:t xml:space="preserve"> </w:t>
      </w:r>
      <w:r w:rsidRPr="004C1620">
        <w:rPr>
          <w:rFonts w:ascii="Arial" w:hAnsi="Arial" w:cs="Arial"/>
          <w:szCs w:val="24"/>
        </w:rPr>
        <w:t>The income from these different assets</w:t>
      </w:r>
      <w:r>
        <w:rPr>
          <w:rFonts w:ascii="Arial" w:hAnsi="Arial" w:cs="Arial"/>
          <w:szCs w:val="24"/>
        </w:rPr>
        <w:t xml:space="preserve"> are blended together under s</w:t>
      </w:r>
      <w:r w:rsidRPr="004C1620">
        <w:rPr>
          <w:rFonts w:ascii="Arial" w:hAnsi="Arial" w:cs="Arial"/>
          <w:szCs w:val="24"/>
        </w:rPr>
        <w:t>95 and taxed in the hands of specifically bequeathed</w:t>
      </w:r>
      <w:r>
        <w:rPr>
          <w:rFonts w:ascii="Arial" w:hAnsi="Arial" w:cs="Arial"/>
          <w:szCs w:val="24"/>
        </w:rPr>
        <w:t xml:space="preserve"> beneficiaries according to s</w:t>
      </w:r>
      <w:r w:rsidRPr="004C1620">
        <w:rPr>
          <w:rFonts w:ascii="Arial" w:hAnsi="Arial" w:cs="Arial"/>
          <w:szCs w:val="24"/>
        </w:rPr>
        <w:t>97 as it currently stands</w:t>
      </w:r>
      <w:r>
        <w:rPr>
          <w:rFonts w:ascii="Arial" w:hAnsi="Arial" w:cs="Arial"/>
          <w:szCs w:val="24"/>
        </w:rPr>
        <w:t>,</w:t>
      </w:r>
      <w:r w:rsidRPr="004C1620">
        <w:rPr>
          <w:rFonts w:ascii="Arial" w:hAnsi="Arial" w:cs="Arial"/>
          <w:szCs w:val="24"/>
        </w:rPr>
        <w:t xml:space="preserve"> with its character flow through problems. </w:t>
      </w:r>
      <w:r>
        <w:rPr>
          <w:rFonts w:ascii="Arial" w:hAnsi="Arial" w:cs="Arial"/>
          <w:szCs w:val="24"/>
        </w:rPr>
        <w:t xml:space="preserve"> </w:t>
      </w:r>
      <w:r w:rsidRPr="004C1620">
        <w:rPr>
          <w:rFonts w:ascii="Arial" w:hAnsi="Arial" w:cs="Arial"/>
          <w:szCs w:val="24"/>
        </w:rPr>
        <w:t>Deceased estates and our other trusts will also have "notional" income and expenses such as franking credits and capital works deductions.</w:t>
      </w:r>
      <w:r w:rsidRPr="004C1620">
        <w:rPr>
          <w:szCs w:val="24"/>
        </w:rPr>
        <w:t xml:space="preserve"> </w:t>
      </w:r>
    </w:p>
    <w:p w:rsidR="00724884" w:rsidRDefault="00724884" w:rsidP="00724884">
      <w:pPr>
        <w:spacing w:before="120"/>
        <w:ind w:left="567" w:right="-851"/>
        <w:rPr>
          <w:rFonts w:ascii="Arial" w:hAnsi="Arial" w:cs="Arial"/>
          <w:szCs w:val="24"/>
        </w:rPr>
      </w:pPr>
      <w:r w:rsidRPr="004C1620">
        <w:rPr>
          <w:rFonts w:ascii="Arial" w:hAnsi="Arial" w:cs="Arial"/>
          <w:szCs w:val="24"/>
        </w:rPr>
        <w:t>T</w:t>
      </w:r>
      <w:r w:rsidR="008B447F">
        <w:rPr>
          <w:rFonts w:ascii="Arial" w:hAnsi="Arial" w:cs="Arial"/>
          <w:szCs w:val="24"/>
        </w:rPr>
        <w:t xml:space="preserve">he </w:t>
      </w:r>
      <w:r w:rsidRPr="004C1620">
        <w:rPr>
          <w:rFonts w:ascii="Arial" w:hAnsi="Arial" w:cs="Arial"/>
          <w:szCs w:val="24"/>
        </w:rPr>
        <w:t xml:space="preserve">complex calculations </w:t>
      </w:r>
      <w:r w:rsidR="008B447F">
        <w:rPr>
          <w:rFonts w:ascii="Arial" w:hAnsi="Arial" w:cs="Arial"/>
          <w:szCs w:val="24"/>
        </w:rPr>
        <w:t xml:space="preserve">under the first two options </w:t>
      </w:r>
      <w:r w:rsidRPr="004C1620">
        <w:rPr>
          <w:rFonts w:ascii="Arial" w:hAnsi="Arial" w:cs="Arial"/>
          <w:szCs w:val="24"/>
        </w:rPr>
        <w:t xml:space="preserve">will therefore be relevant to many of the trust and estate tax returns lodged by </w:t>
      </w:r>
      <w:r>
        <w:rPr>
          <w:rFonts w:ascii="Arial" w:hAnsi="Arial" w:cs="Arial"/>
          <w:szCs w:val="24"/>
        </w:rPr>
        <w:t>our members</w:t>
      </w:r>
      <w:r w:rsidRPr="004C1620">
        <w:rPr>
          <w:rFonts w:ascii="Arial" w:hAnsi="Arial" w:cs="Arial"/>
          <w:szCs w:val="24"/>
        </w:rPr>
        <w:t xml:space="preserve">. </w:t>
      </w:r>
      <w:r>
        <w:rPr>
          <w:rFonts w:ascii="Arial" w:hAnsi="Arial" w:cs="Arial"/>
          <w:szCs w:val="24"/>
        </w:rPr>
        <w:t xml:space="preserve"> </w:t>
      </w:r>
    </w:p>
    <w:p w:rsidR="00724884" w:rsidRDefault="008B447F" w:rsidP="00724884">
      <w:pPr>
        <w:spacing w:before="120"/>
        <w:ind w:left="567" w:right="-851"/>
        <w:rPr>
          <w:rFonts w:ascii="Arial" w:hAnsi="Arial" w:cs="Arial"/>
          <w:szCs w:val="24"/>
        </w:rPr>
      </w:pPr>
      <w:r>
        <w:rPr>
          <w:rFonts w:ascii="Arial" w:hAnsi="Arial" w:cs="Arial"/>
          <w:szCs w:val="24"/>
        </w:rPr>
        <w:t>The first two options</w:t>
      </w:r>
      <w:r w:rsidR="00724884" w:rsidRPr="004C1620">
        <w:rPr>
          <w:rFonts w:ascii="Arial" w:hAnsi="Arial" w:cs="Arial"/>
          <w:szCs w:val="24"/>
        </w:rPr>
        <w:t xml:space="preserve"> may achieve the end result of allowing streaming</w:t>
      </w:r>
      <w:r w:rsidR="00724884">
        <w:rPr>
          <w:rFonts w:ascii="Arial" w:hAnsi="Arial" w:cs="Arial"/>
          <w:szCs w:val="24"/>
        </w:rPr>
        <w:t>,</w:t>
      </w:r>
      <w:r w:rsidR="00724884" w:rsidRPr="004C1620">
        <w:rPr>
          <w:rFonts w:ascii="Arial" w:hAnsi="Arial" w:cs="Arial"/>
          <w:szCs w:val="24"/>
        </w:rPr>
        <w:t xml:space="preserve"> </w:t>
      </w:r>
      <w:proofErr w:type="spellStart"/>
      <w:r w:rsidR="00724884" w:rsidRPr="004C1620">
        <w:rPr>
          <w:rFonts w:ascii="Arial" w:hAnsi="Arial" w:cs="Arial"/>
          <w:szCs w:val="24"/>
        </w:rPr>
        <w:t>etc</w:t>
      </w:r>
      <w:proofErr w:type="spellEnd"/>
      <w:r w:rsidR="00724884" w:rsidRPr="004C1620">
        <w:rPr>
          <w:rFonts w:ascii="Arial" w:hAnsi="Arial" w:cs="Arial"/>
          <w:szCs w:val="24"/>
        </w:rPr>
        <w:t xml:space="preserve"> but the complexity will be so high that even tax agents will have difficulty understanding and applying the law. </w:t>
      </w:r>
      <w:r w:rsidR="00724884">
        <w:rPr>
          <w:rFonts w:ascii="Arial" w:hAnsi="Arial" w:cs="Arial"/>
          <w:szCs w:val="24"/>
        </w:rPr>
        <w:t xml:space="preserve"> </w:t>
      </w:r>
      <w:r w:rsidR="00724884" w:rsidRPr="004C1620">
        <w:rPr>
          <w:rFonts w:ascii="Arial" w:hAnsi="Arial" w:cs="Arial"/>
          <w:szCs w:val="24"/>
        </w:rPr>
        <w:t xml:space="preserve">It will lead to increased costs of compliance, </w:t>
      </w:r>
      <w:r w:rsidR="00724884">
        <w:rPr>
          <w:rFonts w:ascii="Arial" w:hAnsi="Arial" w:cs="Arial"/>
          <w:szCs w:val="24"/>
        </w:rPr>
        <w:t xml:space="preserve">a </w:t>
      </w:r>
      <w:r w:rsidR="00724884" w:rsidRPr="004C1620">
        <w:rPr>
          <w:rFonts w:ascii="Arial" w:hAnsi="Arial" w:cs="Arial"/>
          <w:szCs w:val="24"/>
        </w:rPr>
        <w:t xml:space="preserve">lower rate of compliance, </w:t>
      </w:r>
      <w:r w:rsidR="00724884">
        <w:rPr>
          <w:rFonts w:ascii="Arial" w:hAnsi="Arial" w:cs="Arial"/>
          <w:szCs w:val="24"/>
        </w:rPr>
        <w:t>more</w:t>
      </w:r>
      <w:r w:rsidR="00724884" w:rsidRPr="004C1620">
        <w:rPr>
          <w:rFonts w:ascii="Arial" w:hAnsi="Arial" w:cs="Arial"/>
          <w:szCs w:val="24"/>
        </w:rPr>
        <w:t xml:space="preserve"> errors and poor decision making. </w:t>
      </w:r>
    </w:p>
    <w:p w:rsidR="00724884" w:rsidRPr="003A78A6" w:rsidRDefault="00724884" w:rsidP="00724884">
      <w:pPr>
        <w:spacing w:before="120"/>
        <w:ind w:left="567" w:right="-851"/>
        <w:rPr>
          <w:rFonts w:ascii="Arial" w:hAnsi="Arial" w:cs="Arial"/>
          <w:szCs w:val="24"/>
        </w:rPr>
      </w:pPr>
      <w:r w:rsidRPr="003A78A6">
        <w:rPr>
          <w:rFonts w:ascii="Arial" w:hAnsi="Arial" w:cs="Arial"/>
          <w:szCs w:val="24"/>
        </w:rPr>
        <w:t xml:space="preserve">The risk that these options are attempting to address (deliberate creation of a mismatch between taxable and distributable income) have no relevance to the thousands of deceased estates, testamentary trusts and court order/compensation type trusts.  Income re-classification or </w:t>
      </w:r>
      <w:r>
        <w:rPr>
          <w:rFonts w:ascii="Arial" w:hAnsi="Arial" w:cs="Arial"/>
          <w:szCs w:val="24"/>
        </w:rPr>
        <w:br/>
      </w:r>
      <w:r w:rsidRPr="003A78A6">
        <w:rPr>
          <w:rFonts w:ascii="Arial" w:hAnsi="Arial" w:cs="Arial"/>
          <w:szCs w:val="24"/>
        </w:rPr>
        <w:t>re-</w:t>
      </w:r>
      <w:proofErr w:type="spellStart"/>
      <w:r>
        <w:rPr>
          <w:rFonts w:ascii="Arial" w:hAnsi="Arial" w:cs="Arial"/>
          <w:szCs w:val="24"/>
        </w:rPr>
        <w:t>c</w:t>
      </w:r>
      <w:r w:rsidRPr="003A78A6">
        <w:rPr>
          <w:rFonts w:ascii="Arial" w:hAnsi="Arial" w:cs="Arial"/>
          <w:szCs w:val="24"/>
        </w:rPr>
        <w:t>haracterisation</w:t>
      </w:r>
      <w:proofErr w:type="spellEnd"/>
      <w:r w:rsidRPr="003A78A6">
        <w:rPr>
          <w:rFonts w:ascii="Arial" w:hAnsi="Arial" w:cs="Arial"/>
          <w:szCs w:val="24"/>
        </w:rPr>
        <w:t xml:space="preserve"> clauses are not relevant for these deceased estates and trusts.</w:t>
      </w:r>
    </w:p>
    <w:p w:rsidR="00724884" w:rsidRDefault="00724884" w:rsidP="00724884">
      <w:pPr>
        <w:keepNext/>
        <w:spacing w:before="240"/>
        <w:ind w:left="567" w:right="-851"/>
        <w:rPr>
          <w:rFonts w:ascii="Arial" w:hAnsi="Arial" w:cs="Arial"/>
          <w:szCs w:val="24"/>
          <w:u w:val="single"/>
        </w:rPr>
      </w:pPr>
      <w:r w:rsidRPr="004C1620">
        <w:rPr>
          <w:rFonts w:ascii="Arial" w:hAnsi="Arial" w:cs="Arial"/>
          <w:szCs w:val="24"/>
          <w:u w:val="single"/>
        </w:rPr>
        <w:t xml:space="preserve">Patch </w:t>
      </w:r>
      <w:r>
        <w:rPr>
          <w:rFonts w:ascii="Arial" w:hAnsi="Arial" w:cs="Arial"/>
          <w:szCs w:val="24"/>
          <w:u w:val="single"/>
        </w:rPr>
        <w:t>m</w:t>
      </w:r>
      <w:r w:rsidRPr="004C1620">
        <w:rPr>
          <w:rFonts w:ascii="Arial" w:hAnsi="Arial" w:cs="Arial"/>
          <w:szCs w:val="24"/>
          <w:u w:val="single"/>
        </w:rPr>
        <w:t>odel</w:t>
      </w:r>
    </w:p>
    <w:p w:rsidR="00724884" w:rsidRDefault="00724884" w:rsidP="00724884">
      <w:pPr>
        <w:spacing w:before="120"/>
        <w:ind w:left="567" w:right="-851"/>
        <w:rPr>
          <w:rFonts w:ascii="Arial" w:hAnsi="Arial" w:cs="Arial"/>
          <w:szCs w:val="24"/>
        </w:rPr>
      </w:pPr>
      <w:r w:rsidRPr="003A78A6">
        <w:rPr>
          <w:rFonts w:ascii="Arial" w:hAnsi="Arial" w:cs="Arial"/>
          <w:szCs w:val="24"/>
        </w:rPr>
        <w:t>As t</w:t>
      </w:r>
      <w:r w:rsidRPr="004C1620">
        <w:rPr>
          <w:rFonts w:ascii="Arial" w:hAnsi="Arial" w:cs="Arial"/>
          <w:szCs w:val="24"/>
        </w:rPr>
        <w:t xml:space="preserve">he example in Appendix A demonstrates, the calculations required under the Patch Model - to adjust distributable income in relation to notional income and expenses and capital gains, working out adjusted division 6 percentages in relation to specifically entitled assets and then working out the distribution of taxable income - will increase the time taken and complexity for a significant number of our tax returns. </w:t>
      </w:r>
    </w:p>
    <w:p w:rsidR="00724884" w:rsidRDefault="00724884" w:rsidP="00724884">
      <w:pPr>
        <w:keepNext/>
        <w:spacing w:before="120"/>
        <w:ind w:left="567" w:right="-851"/>
        <w:rPr>
          <w:szCs w:val="24"/>
        </w:rPr>
      </w:pPr>
      <w:r>
        <w:rPr>
          <w:rFonts w:ascii="Arial" w:hAnsi="Arial" w:cs="Arial"/>
          <w:szCs w:val="24"/>
        </w:rPr>
        <w:t>Th</w:t>
      </w:r>
      <w:r w:rsidRPr="004C1620">
        <w:rPr>
          <w:rFonts w:ascii="Arial" w:hAnsi="Arial" w:cs="Arial"/>
          <w:szCs w:val="24"/>
        </w:rPr>
        <w:t xml:space="preserve">e level of complexity will be so high that recruitment and training of new staff will become an even greater problem, particularly if they are not tax agents. </w:t>
      </w:r>
      <w:r w:rsidRPr="004C1620">
        <w:rPr>
          <w:szCs w:val="24"/>
        </w:rPr>
        <w:br/>
      </w:r>
      <w:r w:rsidRPr="004C1620">
        <w:rPr>
          <w:szCs w:val="24"/>
        </w:rPr>
        <w:br/>
      </w:r>
      <w:r w:rsidRPr="004C1620">
        <w:rPr>
          <w:rFonts w:ascii="Arial" w:hAnsi="Arial" w:cs="Arial"/>
          <w:szCs w:val="24"/>
          <w:u w:val="single"/>
        </w:rPr>
        <w:t xml:space="preserve">Proportionate </w:t>
      </w:r>
      <w:r>
        <w:rPr>
          <w:rFonts w:ascii="Arial" w:hAnsi="Arial" w:cs="Arial"/>
          <w:szCs w:val="24"/>
          <w:u w:val="single"/>
        </w:rPr>
        <w:t>w</w:t>
      </w:r>
      <w:r w:rsidRPr="004C1620">
        <w:rPr>
          <w:rFonts w:ascii="Arial" w:hAnsi="Arial" w:cs="Arial"/>
          <w:szCs w:val="24"/>
          <w:u w:val="single"/>
        </w:rPr>
        <w:t xml:space="preserve">ithin </w:t>
      </w:r>
      <w:r>
        <w:rPr>
          <w:rFonts w:ascii="Arial" w:hAnsi="Arial" w:cs="Arial"/>
          <w:szCs w:val="24"/>
          <w:u w:val="single"/>
        </w:rPr>
        <w:t>c</w:t>
      </w:r>
      <w:r w:rsidRPr="004C1620">
        <w:rPr>
          <w:rFonts w:ascii="Arial" w:hAnsi="Arial" w:cs="Arial"/>
          <w:szCs w:val="24"/>
          <w:u w:val="single"/>
        </w:rPr>
        <w:t xml:space="preserve">lass </w:t>
      </w:r>
      <w:r>
        <w:rPr>
          <w:rFonts w:ascii="Arial" w:hAnsi="Arial" w:cs="Arial"/>
          <w:szCs w:val="24"/>
          <w:u w:val="single"/>
        </w:rPr>
        <w:t>m</w:t>
      </w:r>
      <w:r w:rsidRPr="004C1620">
        <w:rPr>
          <w:rFonts w:ascii="Arial" w:hAnsi="Arial" w:cs="Arial"/>
          <w:szCs w:val="24"/>
          <w:u w:val="single"/>
        </w:rPr>
        <w:t>odel</w:t>
      </w:r>
      <w:r w:rsidRPr="004C1620">
        <w:rPr>
          <w:szCs w:val="24"/>
        </w:rPr>
        <w:t xml:space="preserve"> </w:t>
      </w:r>
    </w:p>
    <w:p w:rsidR="00724884" w:rsidRDefault="00724884" w:rsidP="00724884">
      <w:pPr>
        <w:spacing w:before="120"/>
        <w:ind w:left="567" w:right="-851"/>
        <w:rPr>
          <w:rFonts w:ascii="Arial" w:hAnsi="Arial" w:cs="Arial"/>
          <w:szCs w:val="24"/>
        </w:rPr>
      </w:pPr>
      <w:r w:rsidRPr="003A78A6">
        <w:rPr>
          <w:rFonts w:ascii="Arial" w:hAnsi="Arial" w:cs="Arial"/>
          <w:szCs w:val="24"/>
        </w:rPr>
        <w:t>T</w:t>
      </w:r>
      <w:r w:rsidRPr="004C1620">
        <w:rPr>
          <w:rFonts w:ascii="Arial" w:hAnsi="Arial" w:cs="Arial"/>
          <w:szCs w:val="24"/>
        </w:rPr>
        <w:t>h</w:t>
      </w:r>
      <w:r>
        <w:rPr>
          <w:rFonts w:ascii="Arial" w:hAnsi="Arial" w:cs="Arial"/>
          <w:szCs w:val="24"/>
        </w:rPr>
        <w:t xml:space="preserve">is </w:t>
      </w:r>
      <w:r w:rsidRPr="004C1620">
        <w:rPr>
          <w:rFonts w:ascii="Arial" w:hAnsi="Arial" w:cs="Arial"/>
          <w:szCs w:val="24"/>
        </w:rPr>
        <w:t xml:space="preserve">model, in addition to time consuming calculations, will require costly adjustments to established trust accounting systems and training of trust accounting staff </w:t>
      </w:r>
      <w:proofErr w:type="gramStart"/>
      <w:r w:rsidRPr="004C1620">
        <w:rPr>
          <w:rFonts w:ascii="Arial" w:hAnsi="Arial" w:cs="Arial"/>
          <w:szCs w:val="24"/>
        </w:rPr>
        <w:t>who</w:t>
      </w:r>
      <w:proofErr w:type="gramEnd"/>
      <w:r w:rsidRPr="004C1620">
        <w:rPr>
          <w:rFonts w:ascii="Arial" w:hAnsi="Arial" w:cs="Arial"/>
          <w:szCs w:val="24"/>
        </w:rPr>
        <w:t xml:space="preserve"> are not familiar with tax concepts.</w:t>
      </w:r>
    </w:p>
    <w:p w:rsidR="00724884" w:rsidRPr="00735E25" w:rsidRDefault="00724884" w:rsidP="00724884">
      <w:pPr>
        <w:spacing w:before="240"/>
        <w:ind w:firstLine="567"/>
        <w:rPr>
          <w:rFonts w:ascii="Arial" w:hAnsi="Arial" w:cs="Arial"/>
          <w:szCs w:val="24"/>
          <w:u w:val="single"/>
        </w:rPr>
      </w:pPr>
      <w:r w:rsidRPr="00735E25">
        <w:rPr>
          <w:rFonts w:ascii="Arial" w:hAnsi="Arial" w:cs="Arial"/>
          <w:szCs w:val="24"/>
          <w:u w:val="single"/>
        </w:rPr>
        <w:t>Dec</w:t>
      </w:r>
      <w:r>
        <w:rPr>
          <w:rFonts w:ascii="Arial" w:hAnsi="Arial" w:cs="Arial"/>
          <w:szCs w:val="24"/>
          <w:u w:val="single"/>
        </w:rPr>
        <w:t>eased estates - Reviewing</w:t>
      </w:r>
      <w:r w:rsidRPr="00735E25">
        <w:rPr>
          <w:rFonts w:ascii="Arial" w:hAnsi="Arial" w:cs="Arial"/>
          <w:szCs w:val="24"/>
          <w:u w:val="single"/>
        </w:rPr>
        <w:t xml:space="preserve"> Taxation Ruling IT 2622</w:t>
      </w:r>
    </w:p>
    <w:p w:rsidR="00724884" w:rsidRPr="00D86752" w:rsidRDefault="00724884" w:rsidP="00724884">
      <w:pPr>
        <w:spacing w:before="120"/>
        <w:ind w:left="567" w:right="-993"/>
        <w:rPr>
          <w:rFonts w:ascii="Arial" w:hAnsi="Arial" w:cs="Arial"/>
          <w:szCs w:val="24"/>
        </w:rPr>
      </w:pPr>
      <w:r w:rsidRPr="00D86752">
        <w:rPr>
          <w:rFonts w:ascii="Arial" w:hAnsi="Arial" w:cs="Arial"/>
          <w:szCs w:val="24"/>
        </w:rPr>
        <w:t>IT 2622</w:t>
      </w:r>
      <w:r>
        <w:rPr>
          <w:rFonts w:ascii="Arial" w:hAnsi="Arial" w:cs="Arial"/>
          <w:szCs w:val="24"/>
        </w:rPr>
        <w:t xml:space="preserve">, </w:t>
      </w:r>
      <w:r w:rsidRPr="00D86752">
        <w:rPr>
          <w:rFonts w:ascii="Arial" w:hAnsi="Arial" w:cs="Arial"/>
          <w:szCs w:val="24"/>
        </w:rPr>
        <w:t>concern</w:t>
      </w:r>
      <w:r>
        <w:rPr>
          <w:rFonts w:ascii="Arial" w:hAnsi="Arial" w:cs="Arial"/>
          <w:szCs w:val="24"/>
        </w:rPr>
        <w:t>ing</w:t>
      </w:r>
      <w:r w:rsidRPr="00D86752">
        <w:rPr>
          <w:rFonts w:ascii="Arial" w:hAnsi="Arial" w:cs="Arial"/>
          <w:szCs w:val="24"/>
        </w:rPr>
        <w:t xml:space="preserve"> present entitlement during the stages of administration of deceased estates</w:t>
      </w:r>
      <w:r>
        <w:rPr>
          <w:rFonts w:ascii="Arial" w:hAnsi="Arial" w:cs="Arial"/>
          <w:szCs w:val="24"/>
        </w:rPr>
        <w:t xml:space="preserve">, </w:t>
      </w:r>
      <w:r w:rsidRPr="00D86752">
        <w:rPr>
          <w:rFonts w:ascii="Arial" w:hAnsi="Arial" w:cs="Arial"/>
          <w:szCs w:val="24"/>
        </w:rPr>
        <w:t xml:space="preserve">states that beneficiaries cannot be presently entitled to income derived by a deceased estate during the administration of the estate.  Only when an estate has been fully administered by payment of testamentary expenses, duties, annuities and legacies and the amount of the residue thereby ascertained, can beneficiaries be presently entitled.  </w:t>
      </w:r>
    </w:p>
    <w:p w:rsidR="00724884" w:rsidRPr="00D86752" w:rsidRDefault="00724884" w:rsidP="00724884">
      <w:pPr>
        <w:spacing w:before="120"/>
        <w:ind w:left="567" w:right="-993"/>
        <w:rPr>
          <w:rFonts w:ascii="Arial" w:hAnsi="Arial" w:cs="Arial"/>
          <w:szCs w:val="24"/>
        </w:rPr>
      </w:pPr>
      <w:r w:rsidRPr="00D86752">
        <w:rPr>
          <w:rFonts w:ascii="Arial" w:hAnsi="Arial" w:cs="Arial"/>
          <w:szCs w:val="24"/>
        </w:rPr>
        <w:t xml:space="preserve">The </w:t>
      </w:r>
      <w:smartTag w:uri="urn:schemas-microsoft-com:office:smarttags" w:element="stockticker">
        <w:r w:rsidRPr="00D86752">
          <w:rPr>
            <w:rFonts w:ascii="Arial" w:hAnsi="Arial" w:cs="Arial"/>
            <w:szCs w:val="24"/>
          </w:rPr>
          <w:t>ATO</w:t>
        </w:r>
      </w:smartTag>
      <w:r w:rsidRPr="00D86752">
        <w:rPr>
          <w:rFonts w:ascii="Arial" w:hAnsi="Arial" w:cs="Arial"/>
          <w:szCs w:val="24"/>
        </w:rPr>
        <w:t xml:space="preserve"> have accepted a method of apportionment in the income year in which the estate is fully administered. </w:t>
      </w:r>
      <w:r>
        <w:rPr>
          <w:rFonts w:ascii="Arial" w:hAnsi="Arial" w:cs="Arial"/>
          <w:szCs w:val="24"/>
        </w:rPr>
        <w:t xml:space="preserve"> </w:t>
      </w:r>
      <w:r w:rsidRPr="00D86752">
        <w:rPr>
          <w:rFonts w:ascii="Arial" w:hAnsi="Arial" w:cs="Arial"/>
          <w:szCs w:val="24"/>
        </w:rPr>
        <w:t>Where the executors and beneficiaries are able to demonstrate, through the striking of accounts at the completion of administration, the actual amounts of income derived in the periods before and after the day on which the estate was fully administered, an apportionment may be made between the executor and the beneficiary</w:t>
      </w:r>
      <w:r>
        <w:rPr>
          <w:rFonts w:ascii="Arial" w:hAnsi="Arial" w:cs="Arial"/>
          <w:szCs w:val="24"/>
        </w:rPr>
        <w:t xml:space="preserve"> (</w:t>
      </w:r>
      <w:proofErr w:type="spellStart"/>
      <w:r>
        <w:rPr>
          <w:rFonts w:ascii="Arial" w:hAnsi="Arial" w:cs="Arial"/>
          <w:szCs w:val="24"/>
        </w:rPr>
        <w:t>ies</w:t>
      </w:r>
      <w:proofErr w:type="spellEnd"/>
      <w:r>
        <w:rPr>
          <w:rFonts w:ascii="Arial" w:hAnsi="Arial" w:cs="Arial"/>
          <w:szCs w:val="24"/>
        </w:rPr>
        <w:t>)</w:t>
      </w:r>
      <w:r w:rsidRPr="00D86752">
        <w:rPr>
          <w:rFonts w:ascii="Arial" w:hAnsi="Arial" w:cs="Arial"/>
          <w:szCs w:val="24"/>
        </w:rPr>
        <w:t>.</w:t>
      </w:r>
    </w:p>
    <w:p w:rsidR="00724884" w:rsidRDefault="00724884" w:rsidP="00724884">
      <w:pPr>
        <w:spacing w:before="120"/>
        <w:ind w:left="567" w:right="-993"/>
        <w:rPr>
          <w:rFonts w:ascii="Arial" w:hAnsi="Arial" w:cs="Arial"/>
          <w:szCs w:val="24"/>
        </w:rPr>
      </w:pPr>
      <w:r w:rsidRPr="00D86752">
        <w:rPr>
          <w:rFonts w:ascii="Arial" w:hAnsi="Arial" w:cs="Arial"/>
          <w:szCs w:val="24"/>
        </w:rPr>
        <w:t>As this exists only as a Taxation Ruling, it would be an opportunity missed to exclu</w:t>
      </w:r>
      <w:r>
        <w:rPr>
          <w:rFonts w:ascii="Arial" w:hAnsi="Arial" w:cs="Arial"/>
          <w:szCs w:val="24"/>
        </w:rPr>
        <w:t>de this from any review</w:t>
      </w:r>
      <w:r w:rsidRPr="00D86752">
        <w:rPr>
          <w:rFonts w:ascii="Arial" w:hAnsi="Arial" w:cs="Arial"/>
          <w:szCs w:val="24"/>
        </w:rPr>
        <w:t xml:space="preserve"> in the </w:t>
      </w:r>
      <w:proofErr w:type="spellStart"/>
      <w:r w:rsidRPr="00D86752">
        <w:rPr>
          <w:rFonts w:ascii="Arial" w:hAnsi="Arial" w:cs="Arial"/>
          <w:szCs w:val="24"/>
        </w:rPr>
        <w:t>modernisation</w:t>
      </w:r>
      <w:proofErr w:type="spellEnd"/>
      <w:r w:rsidRPr="00D86752">
        <w:rPr>
          <w:rFonts w:ascii="Arial" w:hAnsi="Arial" w:cs="Arial"/>
          <w:szCs w:val="24"/>
        </w:rPr>
        <w:t xml:space="preserve"> of the trust taxation laws in determining Entitlement to Trust Amounts.</w:t>
      </w:r>
    </w:p>
    <w:p w:rsidR="00724884" w:rsidRPr="008838D3" w:rsidRDefault="00724884" w:rsidP="00724884">
      <w:pPr>
        <w:spacing w:before="120"/>
        <w:ind w:left="567" w:right="-993"/>
        <w:rPr>
          <w:rFonts w:ascii="Arial" w:hAnsi="Arial" w:cs="Arial"/>
          <w:szCs w:val="24"/>
        </w:rPr>
      </w:pPr>
      <w:r w:rsidRPr="008838D3">
        <w:rPr>
          <w:rFonts w:ascii="Arial" w:hAnsi="Arial" w:cs="Arial"/>
          <w:szCs w:val="24"/>
        </w:rPr>
        <w:t xml:space="preserve">A taxing method similar to the TAD model should be adopted during the stages of administering a deceased estate - at least up to 3 years from date of death.  From a tax law design perspective, the benefits of simplicity will outweigh the few occasions when less tax will be paid by the beneficiary on undistributed s97 amounts.  When applying the ‘ability to demand payment’ test (as needed for present entitlement) to deceased estates during administration, there are many additional factors that must be considered compared to other on-going trusts. </w:t>
      </w:r>
    </w:p>
    <w:p w:rsidR="00724884" w:rsidRPr="006367DF" w:rsidRDefault="00724884" w:rsidP="00724884">
      <w:pPr>
        <w:keepNext/>
        <w:spacing w:before="240"/>
        <w:ind w:left="567"/>
        <w:rPr>
          <w:rFonts w:ascii="Arial" w:hAnsi="Arial" w:cs="Arial"/>
          <w:szCs w:val="24"/>
          <w:u w:val="single"/>
        </w:rPr>
      </w:pPr>
      <w:r>
        <w:rPr>
          <w:rFonts w:ascii="Arial" w:hAnsi="Arial" w:cs="Arial"/>
          <w:szCs w:val="24"/>
          <w:u w:val="single"/>
        </w:rPr>
        <w:t>Time l</w:t>
      </w:r>
      <w:r w:rsidRPr="006367DF">
        <w:rPr>
          <w:rFonts w:ascii="Arial" w:hAnsi="Arial" w:cs="Arial"/>
          <w:szCs w:val="24"/>
          <w:u w:val="single"/>
        </w:rPr>
        <w:t xml:space="preserve">imit for </w:t>
      </w:r>
      <w:r>
        <w:rPr>
          <w:rFonts w:ascii="Arial" w:hAnsi="Arial" w:cs="Arial"/>
          <w:szCs w:val="24"/>
          <w:u w:val="single"/>
        </w:rPr>
        <w:t>determining e</w:t>
      </w:r>
      <w:r w:rsidRPr="006367DF">
        <w:rPr>
          <w:rFonts w:ascii="Arial" w:hAnsi="Arial" w:cs="Arial"/>
          <w:szCs w:val="24"/>
          <w:u w:val="single"/>
        </w:rPr>
        <w:t>ntitlements</w:t>
      </w:r>
    </w:p>
    <w:p w:rsidR="00724884" w:rsidRPr="008838D3" w:rsidRDefault="00724884" w:rsidP="00724884">
      <w:pPr>
        <w:spacing w:before="120"/>
        <w:ind w:left="567" w:right="-851"/>
        <w:rPr>
          <w:rFonts w:ascii="Arial" w:hAnsi="Arial" w:cs="Arial"/>
          <w:iCs/>
        </w:rPr>
      </w:pPr>
      <w:r w:rsidRPr="008838D3">
        <w:rPr>
          <w:rFonts w:ascii="Arial" w:hAnsi="Arial" w:cs="Arial"/>
          <w:iCs/>
        </w:rPr>
        <w:t xml:space="preserve">We feel that having to make resolutions by 30 June is impractical given that the final distribution and tax information from managed fund, unit trust and stapled securities investments generally does not issue until late July/early August. </w:t>
      </w:r>
    </w:p>
    <w:p w:rsidR="00724884" w:rsidRPr="00B11E0E" w:rsidRDefault="00724884" w:rsidP="00724884">
      <w:pPr>
        <w:spacing w:before="120"/>
        <w:ind w:left="567" w:right="-851"/>
        <w:rPr>
          <w:rFonts w:ascii="Arial" w:hAnsi="Arial" w:cs="Arial"/>
          <w:iCs/>
          <w:color w:val="7030A0"/>
        </w:rPr>
      </w:pPr>
      <w:r w:rsidRPr="008838D3">
        <w:rPr>
          <w:rFonts w:ascii="Arial" w:hAnsi="Arial" w:cs="Arial"/>
          <w:iCs/>
        </w:rPr>
        <w:t xml:space="preserve">Rather, </w:t>
      </w:r>
      <w:proofErr w:type="spellStart"/>
      <w:r w:rsidRPr="008838D3">
        <w:rPr>
          <w:rFonts w:ascii="Arial" w:hAnsi="Arial" w:cs="Arial"/>
          <w:iCs/>
        </w:rPr>
        <w:t>formalising</w:t>
      </w:r>
      <w:proofErr w:type="spellEnd"/>
      <w:r w:rsidRPr="008838D3">
        <w:rPr>
          <w:rFonts w:ascii="Arial" w:hAnsi="Arial" w:cs="Arial"/>
          <w:iCs/>
        </w:rPr>
        <w:t xml:space="preserve"> the unofficial practice of allowing resolutions to be made up until end August would be more reasonable.</w:t>
      </w:r>
      <w:r w:rsidRPr="00B11E0E">
        <w:rPr>
          <w:rFonts w:ascii="Arial" w:hAnsi="Arial" w:cs="Arial"/>
          <w:iCs/>
          <w:color w:val="7030A0"/>
        </w:rPr>
        <w:t xml:space="preserve"> </w:t>
      </w:r>
    </w:p>
    <w:p w:rsidR="00724884" w:rsidRPr="00D86752" w:rsidRDefault="00724884" w:rsidP="00724884">
      <w:pPr>
        <w:ind w:left="567"/>
        <w:rPr>
          <w:rFonts w:ascii="Arial" w:hAnsi="Arial" w:cs="Arial"/>
          <w:szCs w:val="24"/>
        </w:rPr>
      </w:pPr>
    </w:p>
    <w:p w:rsidR="00724884" w:rsidRPr="006367DF" w:rsidRDefault="00724884" w:rsidP="00724884">
      <w:pPr>
        <w:keepNext/>
        <w:ind w:left="567" w:right="-851"/>
        <w:rPr>
          <w:rFonts w:ascii="Arial" w:hAnsi="Arial" w:cs="Arial"/>
          <w:szCs w:val="24"/>
          <w:u w:val="single"/>
        </w:rPr>
      </w:pPr>
      <w:r>
        <w:rPr>
          <w:rFonts w:ascii="Arial" w:hAnsi="Arial" w:cs="Arial"/>
          <w:szCs w:val="24"/>
          <w:u w:val="single"/>
        </w:rPr>
        <w:t>Separate r</w:t>
      </w:r>
      <w:r w:rsidRPr="006367DF">
        <w:rPr>
          <w:rFonts w:ascii="Arial" w:hAnsi="Arial" w:cs="Arial"/>
          <w:szCs w:val="24"/>
          <w:u w:val="single"/>
        </w:rPr>
        <w:t xml:space="preserve">ules for </w:t>
      </w:r>
      <w:r>
        <w:rPr>
          <w:rFonts w:ascii="Arial" w:hAnsi="Arial" w:cs="Arial"/>
          <w:szCs w:val="24"/>
          <w:u w:val="single"/>
        </w:rPr>
        <w:t>t</w:t>
      </w:r>
      <w:r w:rsidRPr="006367DF">
        <w:rPr>
          <w:rFonts w:ascii="Arial" w:hAnsi="Arial" w:cs="Arial"/>
          <w:szCs w:val="24"/>
          <w:u w:val="single"/>
        </w:rPr>
        <w:t xml:space="preserve">axable, </w:t>
      </w:r>
      <w:r>
        <w:rPr>
          <w:rFonts w:ascii="Arial" w:hAnsi="Arial" w:cs="Arial"/>
          <w:szCs w:val="24"/>
          <w:u w:val="single"/>
        </w:rPr>
        <w:t>e</w:t>
      </w:r>
      <w:r w:rsidRPr="006367DF">
        <w:rPr>
          <w:rFonts w:ascii="Arial" w:hAnsi="Arial" w:cs="Arial"/>
          <w:szCs w:val="24"/>
          <w:u w:val="single"/>
        </w:rPr>
        <w:t xml:space="preserve">xempt and </w:t>
      </w:r>
      <w:r>
        <w:rPr>
          <w:rFonts w:ascii="Arial" w:hAnsi="Arial" w:cs="Arial"/>
          <w:szCs w:val="24"/>
          <w:u w:val="single"/>
        </w:rPr>
        <w:t>non–a</w:t>
      </w:r>
      <w:r w:rsidRPr="006367DF">
        <w:rPr>
          <w:rFonts w:ascii="Arial" w:hAnsi="Arial" w:cs="Arial"/>
          <w:szCs w:val="24"/>
          <w:u w:val="single"/>
        </w:rPr>
        <w:t xml:space="preserve">ssessable </w:t>
      </w:r>
      <w:r>
        <w:rPr>
          <w:rFonts w:ascii="Arial" w:hAnsi="Arial" w:cs="Arial"/>
          <w:szCs w:val="24"/>
          <w:u w:val="single"/>
        </w:rPr>
        <w:t>non-exempt i</w:t>
      </w:r>
      <w:r w:rsidRPr="006367DF">
        <w:rPr>
          <w:rFonts w:ascii="Arial" w:hAnsi="Arial" w:cs="Arial"/>
          <w:szCs w:val="24"/>
          <w:u w:val="single"/>
        </w:rPr>
        <w:t>ncome</w:t>
      </w:r>
    </w:p>
    <w:p w:rsidR="00412156" w:rsidRDefault="00724884" w:rsidP="00724884">
      <w:pPr>
        <w:spacing w:before="120"/>
        <w:ind w:left="567" w:right="-851"/>
        <w:rPr>
          <w:rFonts w:ascii="Arial" w:hAnsi="Arial" w:cs="Arial"/>
          <w:szCs w:val="24"/>
        </w:rPr>
      </w:pPr>
      <w:r w:rsidRPr="00D86752">
        <w:rPr>
          <w:rFonts w:ascii="Arial" w:hAnsi="Arial" w:cs="Arial"/>
          <w:szCs w:val="24"/>
        </w:rPr>
        <w:t>W</w:t>
      </w:r>
      <w:r w:rsidR="003D0AF8">
        <w:rPr>
          <w:rFonts w:ascii="Arial" w:hAnsi="Arial" w:cs="Arial"/>
          <w:szCs w:val="24"/>
        </w:rPr>
        <w:t xml:space="preserve">e believe that </w:t>
      </w:r>
      <w:r w:rsidRPr="00D86752">
        <w:rPr>
          <w:rFonts w:ascii="Arial" w:hAnsi="Arial" w:cs="Arial"/>
          <w:szCs w:val="24"/>
        </w:rPr>
        <w:t xml:space="preserve">the treatment of Exempt and Non–Assessable </w:t>
      </w:r>
      <w:r w:rsidR="00412156">
        <w:rPr>
          <w:rFonts w:ascii="Arial" w:hAnsi="Arial" w:cs="Arial"/>
          <w:szCs w:val="24"/>
        </w:rPr>
        <w:br/>
      </w:r>
      <w:r w:rsidRPr="00D86752">
        <w:rPr>
          <w:rFonts w:ascii="Arial" w:hAnsi="Arial" w:cs="Arial"/>
          <w:szCs w:val="24"/>
        </w:rPr>
        <w:t xml:space="preserve">Non-Exempt Income should have </w:t>
      </w:r>
      <w:proofErr w:type="spellStart"/>
      <w:r w:rsidRPr="00D86752">
        <w:rPr>
          <w:rFonts w:ascii="Arial" w:hAnsi="Arial" w:cs="Arial"/>
          <w:szCs w:val="24"/>
        </w:rPr>
        <w:t>stand alone</w:t>
      </w:r>
      <w:proofErr w:type="spellEnd"/>
      <w:r w:rsidRPr="00D86752">
        <w:rPr>
          <w:rFonts w:ascii="Arial" w:hAnsi="Arial" w:cs="Arial"/>
          <w:szCs w:val="24"/>
        </w:rPr>
        <w:t xml:space="preserve"> entitlement clauses.  </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This will ensure an equitable taxable position for beneficiaries that receive this type of income.</w:t>
      </w:r>
    </w:p>
    <w:p w:rsidR="00724884" w:rsidRPr="006367DF" w:rsidRDefault="00724884" w:rsidP="00724884">
      <w:pPr>
        <w:spacing w:before="240"/>
        <w:ind w:left="567" w:right="-851"/>
        <w:rPr>
          <w:rFonts w:ascii="Arial" w:hAnsi="Arial" w:cs="Arial"/>
          <w:szCs w:val="24"/>
          <w:u w:val="single"/>
        </w:rPr>
      </w:pPr>
      <w:r>
        <w:rPr>
          <w:rFonts w:ascii="Arial" w:hAnsi="Arial" w:cs="Arial"/>
          <w:szCs w:val="24"/>
          <w:u w:val="single"/>
        </w:rPr>
        <w:t>Family t</w:t>
      </w:r>
      <w:r w:rsidRPr="006367DF">
        <w:rPr>
          <w:rFonts w:ascii="Arial" w:hAnsi="Arial" w:cs="Arial"/>
          <w:szCs w:val="24"/>
          <w:u w:val="single"/>
        </w:rPr>
        <w:t xml:space="preserve">rust </w:t>
      </w:r>
      <w:r>
        <w:rPr>
          <w:rFonts w:ascii="Arial" w:hAnsi="Arial" w:cs="Arial"/>
          <w:szCs w:val="24"/>
          <w:u w:val="single"/>
        </w:rPr>
        <w:t>r</w:t>
      </w:r>
      <w:r w:rsidRPr="006367DF">
        <w:rPr>
          <w:rFonts w:ascii="Arial" w:hAnsi="Arial" w:cs="Arial"/>
          <w:szCs w:val="24"/>
          <w:u w:val="single"/>
        </w:rPr>
        <w:t>ules</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 xml:space="preserve">On 20 March 2006, the </w:t>
      </w:r>
      <w:r>
        <w:rPr>
          <w:rFonts w:ascii="Arial" w:hAnsi="Arial" w:cs="Arial"/>
          <w:szCs w:val="24"/>
        </w:rPr>
        <w:t xml:space="preserve">then </w:t>
      </w:r>
      <w:r w:rsidRPr="00D86752">
        <w:rPr>
          <w:rFonts w:ascii="Arial" w:hAnsi="Arial" w:cs="Arial"/>
          <w:szCs w:val="24"/>
        </w:rPr>
        <w:t>Assistant Treasurer announced that the government intended to amend the income tax law to allow income beneficiaries of testamentary trusts (such as life tenants) greater access to franking credits on dividends received by trusts.  It was proposed that beneficiaries of testamentary trusts who have a vested interest in the dividend income of the trust but not the current beneficial ownership of the underlying shares were to be excluded from the franking credit holding period rules.</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The amendments to give effect to this announcement</w:t>
      </w:r>
      <w:r>
        <w:rPr>
          <w:rFonts w:ascii="Arial" w:hAnsi="Arial" w:cs="Arial"/>
          <w:szCs w:val="24"/>
        </w:rPr>
        <w:t xml:space="preserve"> still have not been introduced</w:t>
      </w:r>
      <w:r w:rsidRPr="00D86752">
        <w:rPr>
          <w:rFonts w:ascii="Arial" w:hAnsi="Arial" w:cs="Arial"/>
          <w:szCs w:val="24"/>
        </w:rPr>
        <w:t>.</w:t>
      </w:r>
    </w:p>
    <w:p w:rsidR="00724884" w:rsidRPr="00D86752" w:rsidRDefault="00724884" w:rsidP="00724884">
      <w:pPr>
        <w:spacing w:before="120"/>
        <w:ind w:left="567" w:right="-851"/>
        <w:rPr>
          <w:rFonts w:ascii="Arial" w:hAnsi="Arial" w:cs="Arial"/>
          <w:szCs w:val="24"/>
        </w:rPr>
      </w:pPr>
      <w:r>
        <w:rPr>
          <w:rFonts w:ascii="Arial" w:hAnsi="Arial" w:cs="Arial"/>
          <w:szCs w:val="24"/>
        </w:rPr>
        <w:t>T</w:t>
      </w:r>
      <w:r w:rsidRPr="00D86752">
        <w:rPr>
          <w:rFonts w:ascii="Arial" w:hAnsi="Arial" w:cs="Arial"/>
          <w:szCs w:val="24"/>
        </w:rPr>
        <w:t xml:space="preserve">his amendment should be enacted to </w:t>
      </w:r>
      <w:r>
        <w:rPr>
          <w:rFonts w:ascii="Arial" w:hAnsi="Arial" w:cs="Arial"/>
          <w:szCs w:val="24"/>
        </w:rPr>
        <w:t xml:space="preserve">apply to </w:t>
      </w:r>
      <w:r w:rsidRPr="00D86752">
        <w:rPr>
          <w:rFonts w:ascii="Arial" w:hAnsi="Arial" w:cs="Arial"/>
          <w:szCs w:val="24"/>
        </w:rPr>
        <w:t xml:space="preserve">trusts types that are listed in s102AG </w:t>
      </w:r>
      <w:r w:rsidRPr="00DB762D">
        <w:rPr>
          <w:rFonts w:ascii="Arial" w:hAnsi="Arial" w:cs="Arial"/>
          <w:i/>
          <w:szCs w:val="24"/>
        </w:rPr>
        <w:t>ITAA1936</w:t>
      </w:r>
      <w:r w:rsidRPr="00D86752">
        <w:rPr>
          <w:rFonts w:ascii="Arial" w:hAnsi="Arial" w:cs="Arial"/>
          <w:szCs w:val="24"/>
        </w:rPr>
        <w:t xml:space="preserve">.  This will create a fairer and more equitable system as we do not believe these types of trusts are used </w:t>
      </w:r>
      <w:r>
        <w:rPr>
          <w:rFonts w:ascii="Arial" w:hAnsi="Arial" w:cs="Arial"/>
          <w:szCs w:val="24"/>
        </w:rPr>
        <w:t>as tax avoidance vehicles and</w:t>
      </w:r>
      <w:r w:rsidRPr="00D86752">
        <w:rPr>
          <w:rFonts w:ascii="Arial" w:hAnsi="Arial" w:cs="Arial"/>
          <w:szCs w:val="24"/>
        </w:rPr>
        <w:t xml:space="preserve"> feel they were unintended victims of the Family Trust rules.</w:t>
      </w:r>
    </w:p>
    <w:p w:rsidR="00724884" w:rsidRPr="006367DF" w:rsidRDefault="00724884" w:rsidP="00724884">
      <w:pPr>
        <w:keepNext/>
        <w:spacing w:before="240"/>
        <w:ind w:left="567"/>
        <w:rPr>
          <w:rFonts w:ascii="Arial" w:hAnsi="Arial" w:cs="Arial"/>
          <w:szCs w:val="24"/>
          <w:u w:val="single"/>
        </w:rPr>
      </w:pPr>
      <w:r w:rsidRPr="006367DF">
        <w:rPr>
          <w:rFonts w:ascii="Arial" w:hAnsi="Arial" w:cs="Arial"/>
          <w:szCs w:val="24"/>
          <w:u w:val="single"/>
        </w:rPr>
        <w:t xml:space="preserve">Section 99/99A Commissioner’s </w:t>
      </w:r>
      <w:r>
        <w:rPr>
          <w:rFonts w:ascii="Arial" w:hAnsi="Arial" w:cs="Arial"/>
          <w:szCs w:val="24"/>
          <w:u w:val="single"/>
        </w:rPr>
        <w:t>d</w:t>
      </w:r>
      <w:r w:rsidRPr="006367DF">
        <w:rPr>
          <w:rFonts w:ascii="Arial" w:hAnsi="Arial" w:cs="Arial"/>
          <w:szCs w:val="24"/>
          <w:u w:val="single"/>
        </w:rPr>
        <w:t>iscretion</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 xml:space="preserve">Section </w:t>
      </w:r>
      <w:proofErr w:type="gramStart"/>
      <w:r w:rsidRPr="00D86752">
        <w:rPr>
          <w:rFonts w:ascii="Arial" w:hAnsi="Arial" w:cs="Arial"/>
          <w:szCs w:val="24"/>
        </w:rPr>
        <w:t>99A(</w:t>
      </w:r>
      <w:proofErr w:type="gramEnd"/>
      <w:r w:rsidRPr="00D86752">
        <w:rPr>
          <w:rFonts w:ascii="Arial" w:hAnsi="Arial" w:cs="Arial"/>
          <w:szCs w:val="24"/>
        </w:rPr>
        <w:t xml:space="preserve">2) </w:t>
      </w:r>
      <w:r w:rsidRPr="00DB762D">
        <w:rPr>
          <w:rFonts w:ascii="Arial" w:hAnsi="Arial" w:cs="Arial"/>
          <w:i/>
          <w:szCs w:val="24"/>
        </w:rPr>
        <w:t>ITAA 1936</w:t>
      </w:r>
      <w:r w:rsidRPr="00D86752">
        <w:rPr>
          <w:rFonts w:ascii="Arial" w:hAnsi="Arial" w:cs="Arial"/>
          <w:szCs w:val="24"/>
        </w:rPr>
        <w:t xml:space="preserve"> states that concessional tax rates are available to trusts that result from a will, court order, bankruptcy or those types listed in s102AG(2)(c) </w:t>
      </w:r>
      <w:r w:rsidRPr="00DB762D">
        <w:rPr>
          <w:rFonts w:ascii="Arial" w:hAnsi="Arial" w:cs="Arial"/>
          <w:i/>
          <w:szCs w:val="24"/>
        </w:rPr>
        <w:t>ITAA 1936</w:t>
      </w:r>
      <w:r w:rsidRPr="00D86752">
        <w:rPr>
          <w:rFonts w:ascii="Arial" w:hAnsi="Arial" w:cs="Arial"/>
          <w:szCs w:val="24"/>
        </w:rPr>
        <w:t>, only “if the Commissioner is of the opinion that it would be unreasonable that this section should apply in relation to that trust estate in relation to that year of income.”</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Under the self-assessment system, there is an expectation that trusts such as testamentary trusts will receive concessional tax treatment for amounts assessed to the trustee.  This expectation may be too presumptive if there is a possibility that the Commissioner decides not to exercise his discretion.</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 xml:space="preserve">We feel that this grey area must be addressed to ensure that trustees are given some certainty as to what tax liabilities they can expect in any particular year. </w:t>
      </w:r>
    </w:p>
    <w:p w:rsidR="00724884" w:rsidRPr="00D86752" w:rsidRDefault="00724884" w:rsidP="00724884">
      <w:pPr>
        <w:rPr>
          <w:rFonts w:ascii="Arial" w:hAnsi="Arial" w:cs="Arial"/>
          <w:szCs w:val="24"/>
        </w:rPr>
      </w:pPr>
    </w:p>
    <w:p w:rsidR="00724884" w:rsidRPr="006367DF" w:rsidRDefault="00724884" w:rsidP="00724884">
      <w:pPr>
        <w:keepNext/>
        <w:ind w:left="567" w:right="-851"/>
        <w:rPr>
          <w:rFonts w:ascii="Arial" w:hAnsi="Arial" w:cs="Arial"/>
          <w:szCs w:val="24"/>
          <w:u w:val="single"/>
        </w:rPr>
      </w:pPr>
      <w:r w:rsidRPr="006367DF">
        <w:rPr>
          <w:rFonts w:ascii="Arial" w:hAnsi="Arial" w:cs="Arial"/>
          <w:szCs w:val="24"/>
          <w:u w:val="single"/>
        </w:rPr>
        <w:t xml:space="preserve">CGT Event K3 </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 xml:space="preserve">Section 104-215(1) </w:t>
      </w:r>
      <w:r w:rsidRPr="00DB762D">
        <w:rPr>
          <w:rFonts w:ascii="Arial" w:hAnsi="Arial" w:cs="Arial"/>
          <w:i/>
          <w:szCs w:val="24"/>
        </w:rPr>
        <w:t>ITAA 1997</w:t>
      </w:r>
      <w:r w:rsidRPr="00D86752">
        <w:rPr>
          <w:rFonts w:ascii="Arial" w:hAnsi="Arial" w:cs="Arial"/>
          <w:szCs w:val="24"/>
        </w:rPr>
        <w:t xml:space="preserve"> states that CGT event K3 happens if </w:t>
      </w:r>
      <w:r>
        <w:rPr>
          <w:rFonts w:ascii="Arial" w:hAnsi="Arial" w:cs="Arial"/>
          <w:szCs w:val="24"/>
        </w:rPr>
        <w:t xml:space="preserve">a person </w:t>
      </w:r>
      <w:r w:rsidRPr="00D86752">
        <w:rPr>
          <w:rFonts w:ascii="Arial" w:hAnsi="Arial" w:cs="Arial"/>
          <w:szCs w:val="24"/>
        </w:rPr>
        <w:t>die</w:t>
      </w:r>
      <w:r>
        <w:rPr>
          <w:rFonts w:ascii="Arial" w:hAnsi="Arial" w:cs="Arial"/>
          <w:szCs w:val="24"/>
        </w:rPr>
        <w:t>s</w:t>
      </w:r>
      <w:r w:rsidRPr="00D86752">
        <w:rPr>
          <w:rFonts w:ascii="Arial" w:hAnsi="Arial" w:cs="Arial"/>
          <w:szCs w:val="24"/>
        </w:rPr>
        <w:t xml:space="preserve"> and a  CGT asset </w:t>
      </w:r>
      <w:r>
        <w:rPr>
          <w:rFonts w:ascii="Arial" w:hAnsi="Arial" w:cs="Arial"/>
          <w:szCs w:val="24"/>
        </w:rPr>
        <w:t xml:space="preserve">they </w:t>
      </w:r>
      <w:r w:rsidRPr="00D86752">
        <w:rPr>
          <w:rFonts w:ascii="Arial" w:hAnsi="Arial" w:cs="Arial"/>
          <w:szCs w:val="24"/>
        </w:rPr>
        <w:t xml:space="preserve">owned just before dying  passes to a beneficiary </w:t>
      </w:r>
      <w:r>
        <w:rPr>
          <w:rFonts w:ascii="Arial" w:hAnsi="Arial" w:cs="Arial"/>
          <w:szCs w:val="24"/>
        </w:rPr>
        <w:t>of their</w:t>
      </w:r>
      <w:r w:rsidRPr="00D86752">
        <w:rPr>
          <w:rFonts w:ascii="Arial" w:hAnsi="Arial" w:cs="Arial"/>
          <w:szCs w:val="24"/>
        </w:rPr>
        <w:t xml:space="preserve"> estate who (when the asset passes) is an exempt entity.</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 xml:space="preserve">There appears to be an anomaly in this section whereby assets passing to a testamentary trust endorsed by the </w:t>
      </w:r>
      <w:smartTag w:uri="urn:schemas-microsoft-com:office:smarttags" w:element="stockticker">
        <w:r w:rsidRPr="00D86752">
          <w:rPr>
            <w:rFonts w:ascii="Arial" w:hAnsi="Arial" w:cs="Arial"/>
            <w:szCs w:val="24"/>
          </w:rPr>
          <w:t>ATO</w:t>
        </w:r>
      </w:smartTag>
      <w:r w:rsidRPr="00D86752">
        <w:rPr>
          <w:rFonts w:ascii="Arial" w:hAnsi="Arial" w:cs="Arial"/>
          <w:szCs w:val="24"/>
        </w:rPr>
        <w:t xml:space="preserve"> under </w:t>
      </w:r>
      <w:r>
        <w:rPr>
          <w:rFonts w:ascii="Arial" w:hAnsi="Arial" w:cs="Arial"/>
          <w:szCs w:val="24"/>
        </w:rPr>
        <w:t>s</w:t>
      </w:r>
      <w:r w:rsidRPr="00D86752">
        <w:rPr>
          <w:rFonts w:ascii="Arial" w:hAnsi="Arial" w:cs="Arial"/>
          <w:szCs w:val="24"/>
        </w:rPr>
        <w:t xml:space="preserve">ubdivision 50-B </w:t>
      </w:r>
      <w:r w:rsidRPr="00DB762D">
        <w:rPr>
          <w:rFonts w:ascii="Arial" w:hAnsi="Arial" w:cs="Arial"/>
          <w:i/>
          <w:szCs w:val="24"/>
        </w:rPr>
        <w:t>ITAA 1997</w:t>
      </w:r>
      <w:r w:rsidRPr="00D86752">
        <w:rPr>
          <w:rFonts w:ascii="Arial" w:hAnsi="Arial" w:cs="Arial"/>
          <w:szCs w:val="24"/>
        </w:rPr>
        <w:t xml:space="preserve"> as an exempt charitable fund will trigger a K3 CGT event, however assets passing to an endorsed deductible gift recipient do not trigger a K3 CGT event.</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 xml:space="preserve">The endorsement process of under </w:t>
      </w:r>
      <w:r>
        <w:rPr>
          <w:rFonts w:ascii="Arial" w:hAnsi="Arial" w:cs="Arial"/>
          <w:szCs w:val="24"/>
        </w:rPr>
        <w:t>s</w:t>
      </w:r>
      <w:r w:rsidRPr="00D86752">
        <w:rPr>
          <w:rFonts w:ascii="Arial" w:hAnsi="Arial" w:cs="Arial"/>
          <w:szCs w:val="24"/>
        </w:rPr>
        <w:t xml:space="preserve">ubdivision 50-B ITAA 1997 ensures that tax exempt funds are created primarily for charitable purposes.  </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 xml:space="preserve">We firmly believe that an endorsed charitable fund should not be </w:t>
      </w:r>
      <w:proofErr w:type="spellStart"/>
      <w:r w:rsidRPr="00D86752">
        <w:rPr>
          <w:rFonts w:ascii="Arial" w:hAnsi="Arial" w:cs="Arial"/>
          <w:szCs w:val="24"/>
        </w:rPr>
        <w:t>penalised</w:t>
      </w:r>
      <w:proofErr w:type="spellEnd"/>
      <w:r w:rsidRPr="00D86752">
        <w:rPr>
          <w:rFonts w:ascii="Arial" w:hAnsi="Arial" w:cs="Arial"/>
          <w:szCs w:val="24"/>
        </w:rPr>
        <w:t xml:space="preserve"> for receiving an asset passed via a will.  As such</w:t>
      </w:r>
      <w:r>
        <w:rPr>
          <w:rFonts w:ascii="Arial" w:hAnsi="Arial" w:cs="Arial"/>
          <w:szCs w:val="24"/>
        </w:rPr>
        <w:t>,</w:t>
      </w:r>
      <w:r w:rsidRPr="00D86752">
        <w:rPr>
          <w:rFonts w:ascii="Arial" w:hAnsi="Arial" w:cs="Arial"/>
          <w:szCs w:val="24"/>
        </w:rPr>
        <w:t xml:space="preserve"> we request that an amendment be made to s118-60 </w:t>
      </w:r>
      <w:r w:rsidRPr="00DB762D">
        <w:rPr>
          <w:rFonts w:ascii="Arial" w:hAnsi="Arial" w:cs="Arial"/>
          <w:i/>
          <w:szCs w:val="24"/>
        </w:rPr>
        <w:t>ITAA 1997</w:t>
      </w:r>
      <w:r w:rsidRPr="00D86752">
        <w:rPr>
          <w:rFonts w:ascii="Arial" w:hAnsi="Arial" w:cs="Arial"/>
          <w:szCs w:val="24"/>
        </w:rPr>
        <w:t xml:space="preserve"> to disregard a capital gain or loss for testamentary gifts to an entity endorsed by the </w:t>
      </w:r>
      <w:smartTag w:uri="urn:schemas-microsoft-com:office:smarttags" w:element="stockticker">
        <w:r w:rsidRPr="00D86752">
          <w:rPr>
            <w:rFonts w:ascii="Arial" w:hAnsi="Arial" w:cs="Arial"/>
            <w:szCs w:val="24"/>
          </w:rPr>
          <w:t>ATO</w:t>
        </w:r>
      </w:smartTag>
      <w:r w:rsidRPr="00D86752">
        <w:rPr>
          <w:rFonts w:ascii="Arial" w:hAnsi="Arial" w:cs="Arial"/>
          <w:szCs w:val="24"/>
        </w:rPr>
        <w:t xml:space="preserve"> under Subdivision 50-B </w:t>
      </w:r>
      <w:r w:rsidRPr="00DB762D">
        <w:rPr>
          <w:rFonts w:ascii="Arial" w:hAnsi="Arial" w:cs="Arial"/>
          <w:i/>
          <w:szCs w:val="24"/>
        </w:rPr>
        <w:t>ITAA 1997</w:t>
      </w:r>
      <w:r w:rsidRPr="00D86752">
        <w:rPr>
          <w:rFonts w:ascii="Arial" w:hAnsi="Arial" w:cs="Arial"/>
          <w:szCs w:val="24"/>
        </w:rPr>
        <w:t xml:space="preserve"> as an exempt entity.</w:t>
      </w:r>
    </w:p>
    <w:p w:rsidR="00724884" w:rsidRPr="00BC7660" w:rsidRDefault="00724884" w:rsidP="00724884">
      <w:pPr>
        <w:spacing w:before="240"/>
        <w:ind w:left="567" w:right="-851"/>
        <w:rPr>
          <w:rFonts w:ascii="Arial" w:hAnsi="Arial" w:cs="Arial"/>
          <w:szCs w:val="24"/>
          <w:u w:val="single"/>
        </w:rPr>
      </w:pPr>
      <w:r w:rsidRPr="00BC7660">
        <w:rPr>
          <w:rFonts w:ascii="Arial" w:hAnsi="Arial" w:cs="Arial"/>
          <w:szCs w:val="24"/>
          <w:u w:val="single"/>
        </w:rPr>
        <w:t xml:space="preserve">Trustee beneficiary non-disclosure tax on share of net income  </w:t>
      </w:r>
    </w:p>
    <w:p w:rsidR="00724884" w:rsidRPr="00D86752" w:rsidRDefault="00724884" w:rsidP="00724884">
      <w:pPr>
        <w:spacing w:before="120"/>
        <w:ind w:left="567" w:right="-851"/>
        <w:rPr>
          <w:rFonts w:ascii="Arial" w:hAnsi="Arial" w:cs="Arial"/>
          <w:szCs w:val="24"/>
        </w:rPr>
      </w:pPr>
      <w:r w:rsidRPr="00D86752">
        <w:rPr>
          <w:rFonts w:ascii="Arial" w:hAnsi="Arial" w:cs="Arial"/>
          <w:szCs w:val="24"/>
        </w:rPr>
        <w:t xml:space="preserve">Division 6D of </w:t>
      </w:r>
      <w:r w:rsidRPr="00DB762D">
        <w:rPr>
          <w:rFonts w:ascii="Arial" w:hAnsi="Arial" w:cs="Arial"/>
          <w:i/>
          <w:szCs w:val="24"/>
        </w:rPr>
        <w:t>ITAA 1936</w:t>
      </w:r>
      <w:r w:rsidRPr="00D86752">
        <w:rPr>
          <w:rFonts w:ascii="Arial" w:hAnsi="Arial" w:cs="Arial"/>
          <w:szCs w:val="24"/>
        </w:rPr>
        <w:t xml:space="preserve"> concerns trustee beneficiary non-disclosure tax where no correct TB statement is provided in the income tax return of a closely held trust where a trustee beneficiary is entitled to a share of net income.</w:t>
      </w:r>
    </w:p>
    <w:p w:rsidR="00724884" w:rsidRPr="00D86752" w:rsidRDefault="001A265F" w:rsidP="00724884">
      <w:pPr>
        <w:spacing w:before="120"/>
        <w:ind w:left="567" w:right="-851"/>
        <w:rPr>
          <w:rFonts w:ascii="Arial" w:hAnsi="Arial" w:cs="Arial"/>
          <w:szCs w:val="24"/>
        </w:rPr>
      </w:pPr>
      <w:r>
        <w:rPr>
          <w:rFonts w:ascii="Arial" w:hAnsi="Arial" w:cs="Arial"/>
          <w:szCs w:val="24"/>
        </w:rPr>
        <w:t>We propose that a de-</w:t>
      </w:r>
      <w:proofErr w:type="spellStart"/>
      <w:r w:rsidR="00CA4250">
        <w:rPr>
          <w:rFonts w:ascii="Arial" w:hAnsi="Arial" w:cs="Arial"/>
          <w:szCs w:val="24"/>
        </w:rPr>
        <w:t>minimi</w:t>
      </w:r>
      <w:r>
        <w:rPr>
          <w:rFonts w:ascii="Arial" w:hAnsi="Arial" w:cs="Arial"/>
          <w:szCs w:val="24"/>
        </w:rPr>
        <w:t>s</w:t>
      </w:r>
      <w:proofErr w:type="spellEnd"/>
      <w:r>
        <w:rPr>
          <w:rFonts w:ascii="Arial" w:hAnsi="Arial" w:cs="Arial"/>
          <w:szCs w:val="24"/>
        </w:rPr>
        <w:t xml:space="preserve"> threshold similar to that provided by </w:t>
      </w:r>
      <w:r w:rsidR="00724884" w:rsidRPr="00D86752">
        <w:rPr>
          <w:rFonts w:ascii="Arial" w:hAnsi="Arial" w:cs="Arial"/>
          <w:szCs w:val="24"/>
        </w:rPr>
        <w:t xml:space="preserve">section 12-185 </w:t>
      </w:r>
      <w:r w:rsidR="00724884" w:rsidRPr="00DB762D">
        <w:rPr>
          <w:rFonts w:ascii="Arial" w:hAnsi="Arial" w:cs="Arial"/>
          <w:i/>
          <w:szCs w:val="24"/>
        </w:rPr>
        <w:t>TAA 1953</w:t>
      </w:r>
      <w:r w:rsidR="00724884" w:rsidRPr="00D86752">
        <w:rPr>
          <w:rFonts w:ascii="Arial" w:hAnsi="Arial" w:cs="Arial"/>
          <w:szCs w:val="24"/>
        </w:rPr>
        <w:t xml:space="preserve"> (for beneficiary payments from closely held trusts) apply also to trustee beneficiaries payments from closely held trusts.</w:t>
      </w:r>
    </w:p>
    <w:p w:rsidR="00724884" w:rsidRDefault="00724884" w:rsidP="00724884">
      <w:pPr>
        <w:spacing w:before="120"/>
        <w:ind w:left="567" w:right="-851"/>
        <w:rPr>
          <w:rFonts w:ascii="Arial" w:hAnsi="Arial" w:cs="Arial"/>
          <w:szCs w:val="24"/>
        </w:rPr>
      </w:pPr>
      <w:r>
        <w:rPr>
          <w:rFonts w:ascii="Arial" w:hAnsi="Arial" w:cs="Arial"/>
          <w:szCs w:val="24"/>
        </w:rPr>
        <w:t>Take the</w:t>
      </w:r>
      <w:r w:rsidRPr="00D86752">
        <w:rPr>
          <w:rFonts w:ascii="Arial" w:hAnsi="Arial" w:cs="Arial"/>
          <w:szCs w:val="24"/>
        </w:rPr>
        <w:t xml:space="preserve"> example whereby a small payment can be made to the estate of a deceased life tenant from a testamentary trust.  Under the current measures, the estate must have a tax file number to receive the full amount as there is no exemption.  On some occasions, this receipt is the only amount the estate is to receive.  </w:t>
      </w:r>
    </w:p>
    <w:p w:rsidR="00724884" w:rsidRDefault="00724884" w:rsidP="00724884">
      <w:pPr>
        <w:spacing w:before="120"/>
        <w:ind w:left="567" w:right="-851"/>
        <w:rPr>
          <w:rFonts w:ascii="Arial" w:hAnsi="Arial" w:cs="Arial"/>
          <w:szCs w:val="24"/>
        </w:rPr>
      </w:pPr>
      <w:r w:rsidRPr="00D86752">
        <w:rPr>
          <w:rFonts w:ascii="Arial" w:hAnsi="Arial" w:cs="Arial"/>
          <w:szCs w:val="24"/>
        </w:rPr>
        <w:t>We believe a small exemption would assist trustees of closely held trusts as well as executors of small deceased estates without having a genuine impact on taxation revenue.</w:t>
      </w:r>
    </w:p>
    <w:p w:rsidR="00724884" w:rsidRPr="00412156" w:rsidRDefault="00724884" w:rsidP="00724884">
      <w:pPr>
        <w:keepNext/>
        <w:spacing w:before="240"/>
        <w:ind w:left="567" w:right="-851"/>
        <w:rPr>
          <w:rFonts w:ascii="Arial" w:hAnsi="Arial" w:cs="Arial"/>
          <w:u w:val="single"/>
        </w:rPr>
      </w:pPr>
      <w:r w:rsidRPr="00412156">
        <w:rPr>
          <w:rFonts w:ascii="Arial" w:hAnsi="Arial" w:cs="Arial"/>
          <w:bCs/>
          <w:u w:val="single"/>
        </w:rPr>
        <w:t>Beneficiaries with a legal incapacity</w:t>
      </w:r>
    </w:p>
    <w:p w:rsidR="00724884" w:rsidRPr="00412156" w:rsidRDefault="00724884" w:rsidP="00724884">
      <w:pPr>
        <w:spacing w:before="120"/>
        <w:ind w:left="567" w:right="-851"/>
        <w:rPr>
          <w:rFonts w:ascii="Arial" w:hAnsi="Arial" w:cs="Arial"/>
        </w:rPr>
      </w:pPr>
      <w:r w:rsidRPr="00412156">
        <w:rPr>
          <w:rFonts w:ascii="Arial" w:hAnsi="Arial" w:cs="Arial"/>
        </w:rPr>
        <w:t xml:space="preserve">Trustee companies and Public Trustees act as trustee in many trusts for incapacitated beneficiaries due to the beneficiaries’ lack of capacity to attend to financial and taxation matters on their own account.   </w:t>
      </w:r>
    </w:p>
    <w:p w:rsidR="00724884" w:rsidRPr="00412156" w:rsidRDefault="00724884" w:rsidP="00724884">
      <w:pPr>
        <w:spacing w:before="120"/>
        <w:ind w:left="567" w:right="-851"/>
        <w:rPr>
          <w:rFonts w:ascii="Arial" w:hAnsi="Arial" w:cs="Arial"/>
        </w:rPr>
      </w:pPr>
      <w:r w:rsidRPr="00412156">
        <w:rPr>
          <w:rFonts w:ascii="Arial" w:hAnsi="Arial" w:cs="Arial"/>
        </w:rPr>
        <w:t>Section 98 of ITAA 1936 provides that, where a beneficiary under a liability is presently entitled to income of a trust estate, the trustee of the trust estate will be assessed and liable to pay tax.</w:t>
      </w:r>
    </w:p>
    <w:p w:rsidR="00724884" w:rsidRPr="00412156" w:rsidRDefault="00724884" w:rsidP="00724884">
      <w:pPr>
        <w:spacing w:before="120"/>
        <w:ind w:left="567" w:right="-851"/>
        <w:rPr>
          <w:rFonts w:ascii="Arial" w:hAnsi="Arial" w:cs="Arial"/>
        </w:rPr>
      </w:pPr>
      <w:r w:rsidRPr="00412156">
        <w:rPr>
          <w:rFonts w:ascii="Arial" w:hAnsi="Arial" w:cs="Arial"/>
        </w:rPr>
        <w:t xml:space="preserve">Section 100(2) provides that tax paid by the trustee in respect of the interest in the net income of the trust estate shall be deducted from income tax assessed against the beneficiary. </w:t>
      </w:r>
    </w:p>
    <w:p w:rsidR="00724884" w:rsidRPr="00412156" w:rsidRDefault="00724884" w:rsidP="00724884">
      <w:pPr>
        <w:spacing w:before="120"/>
        <w:ind w:left="567" w:right="-851"/>
        <w:rPr>
          <w:rFonts w:ascii="Arial" w:hAnsi="Arial" w:cs="Arial"/>
        </w:rPr>
      </w:pPr>
      <w:r w:rsidRPr="00412156">
        <w:rPr>
          <w:rFonts w:ascii="Arial" w:hAnsi="Arial" w:cs="Arial"/>
        </w:rPr>
        <w:t>This ensures that the trustee is assessed and that payment of the tax is made from the income of the trust estate.</w:t>
      </w:r>
    </w:p>
    <w:p w:rsidR="00724884" w:rsidRPr="00412156" w:rsidRDefault="00724884" w:rsidP="00724884">
      <w:pPr>
        <w:spacing w:before="120"/>
        <w:ind w:left="567" w:right="-851"/>
        <w:rPr>
          <w:rFonts w:ascii="Arial" w:hAnsi="Arial" w:cs="Arial"/>
        </w:rPr>
      </w:pPr>
      <w:r w:rsidRPr="00412156">
        <w:rPr>
          <w:rFonts w:ascii="Arial" w:hAnsi="Arial" w:cs="Arial"/>
        </w:rPr>
        <w:t>However, by virtue of s67-25(1B), a trustee assessable under section 98 is not eligible to recover excess imputation credits.  Rather, the beneficiary who lacks capacity is required to apply for it themselves.  As a consequence, many dividend imputation credits remain uncollected and are forfeited.</w:t>
      </w:r>
    </w:p>
    <w:p w:rsidR="00724884" w:rsidRDefault="00724884" w:rsidP="00724884">
      <w:pPr>
        <w:spacing w:before="120"/>
        <w:ind w:left="567" w:right="-851"/>
        <w:rPr>
          <w:rFonts w:ascii="Arial" w:hAnsi="Arial" w:cs="Arial"/>
          <w:color w:val="7030A0"/>
        </w:rPr>
      </w:pPr>
      <w:r w:rsidRPr="00412156">
        <w:rPr>
          <w:rFonts w:ascii="Arial" w:hAnsi="Arial" w:cs="Arial"/>
        </w:rPr>
        <w:t>Clearly this impractical requirement of persons with a disability is an unintended consequence of the existing provisions, which should be rectified as part of the current review.</w:t>
      </w:r>
      <w:r w:rsidRPr="00B11E0E">
        <w:rPr>
          <w:rFonts w:ascii="Arial" w:hAnsi="Arial" w:cs="Arial"/>
          <w:color w:val="7030A0"/>
        </w:rPr>
        <w:t>    </w:t>
      </w:r>
    </w:p>
    <w:p w:rsidR="00412156" w:rsidRPr="00062460" w:rsidRDefault="00412156" w:rsidP="00412156">
      <w:pPr>
        <w:spacing w:before="240"/>
        <w:ind w:left="567" w:right="-851"/>
        <w:rPr>
          <w:rFonts w:ascii="Arial" w:hAnsi="Arial" w:cs="Arial"/>
        </w:rPr>
      </w:pPr>
      <w:proofErr w:type="spellStart"/>
      <w:r w:rsidRPr="00062460">
        <w:rPr>
          <w:rFonts w:ascii="Arial" w:hAnsi="Arial" w:cs="Arial"/>
          <w:u w:val="single"/>
        </w:rPr>
        <w:t>Self assessment</w:t>
      </w:r>
      <w:proofErr w:type="spellEnd"/>
      <w:r w:rsidRPr="00062460">
        <w:rPr>
          <w:rFonts w:ascii="Arial" w:hAnsi="Arial" w:cs="Arial"/>
        </w:rPr>
        <w:t xml:space="preserve">   </w:t>
      </w:r>
    </w:p>
    <w:p w:rsidR="00412156" w:rsidRPr="00062460" w:rsidRDefault="00412156" w:rsidP="00412156">
      <w:pPr>
        <w:spacing w:before="120"/>
        <w:ind w:left="567" w:right="-851"/>
        <w:rPr>
          <w:rFonts w:ascii="Arial" w:hAnsi="Arial" w:cs="Arial"/>
          <w:szCs w:val="24"/>
        </w:rPr>
      </w:pPr>
      <w:r w:rsidRPr="00062460">
        <w:rPr>
          <w:rFonts w:ascii="Arial" w:hAnsi="Arial" w:cs="Arial"/>
          <w:szCs w:val="24"/>
        </w:rPr>
        <w:t xml:space="preserve">We believe that trustees should be given the opportunity to </w:t>
      </w:r>
      <w:proofErr w:type="spellStart"/>
      <w:r w:rsidRPr="00062460">
        <w:rPr>
          <w:rFonts w:ascii="Arial" w:hAnsi="Arial" w:cs="Arial"/>
          <w:szCs w:val="24"/>
        </w:rPr>
        <w:t>self assess</w:t>
      </w:r>
      <w:proofErr w:type="spellEnd"/>
      <w:r w:rsidRPr="00062460">
        <w:rPr>
          <w:rFonts w:ascii="Arial" w:hAnsi="Arial" w:cs="Arial"/>
          <w:szCs w:val="24"/>
        </w:rPr>
        <w:t xml:space="preserve"> whether a trust return should be lodged.  </w:t>
      </w:r>
    </w:p>
    <w:p w:rsidR="00412156" w:rsidRPr="00062460" w:rsidRDefault="00412156" w:rsidP="00412156">
      <w:pPr>
        <w:spacing w:before="120"/>
        <w:ind w:left="567" w:right="-851"/>
        <w:rPr>
          <w:rFonts w:ascii="Arial" w:hAnsi="Arial" w:cs="Arial"/>
          <w:szCs w:val="24"/>
        </w:rPr>
      </w:pPr>
      <w:r w:rsidRPr="00062460">
        <w:rPr>
          <w:rFonts w:ascii="Arial" w:hAnsi="Arial" w:cs="Arial"/>
          <w:szCs w:val="24"/>
        </w:rPr>
        <w:t xml:space="preserve">Under the current rules a return must be lodged irrespective of the amount of income derived.  </w:t>
      </w:r>
    </w:p>
    <w:p w:rsidR="00412156" w:rsidRPr="00062460" w:rsidRDefault="00412156" w:rsidP="00412156">
      <w:pPr>
        <w:spacing w:before="120"/>
        <w:ind w:left="567" w:right="-851"/>
        <w:rPr>
          <w:rFonts w:ascii="Arial" w:hAnsi="Arial" w:cs="Arial"/>
          <w:szCs w:val="24"/>
        </w:rPr>
      </w:pPr>
      <w:r w:rsidRPr="00062460">
        <w:rPr>
          <w:rFonts w:ascii="Arial" w:hAnsi="Arial" w:cs="Arial"/>
          <w:szCs w:val="24"/>
        </w:rPr>
        <w:t xml:space="preserve">There would be a number of deceased estates/testamentary trusts which our members administer where the income is being assessed to trustee as ‘no beneficiary presently entitled’, but this income is below the tax threshold. </w:t>
      </w:r>
    </w:p>
    <w:p w:rsidR="00412156" w:rsidRPr="00062460" w:rsidRDefault="00412156" w:rsidP="00412156">
      <w:pPr>
        <w:spacing w:before="120"/>
        <w:ind w:left="567" w:right="-851"/>
        <w:rPr>
          <w:rFonts w:ascii="Arial" w:hAnsi="Arial" w:cs="Arial"/>
          <w:szCs w:val="24"/>
        </w:rPr>
      </w:pPr>
      <w:r w:rsidRPr="00062460">
        <w:rPr>
          <w:rFonts w:ascii="Arial" w:hAnsi="Arial" w:cs="Arial"/>
          <w:szCs w:val="24"/>
        </w:rPr>
        <w:t xml:space="preserve">The majority of these estates/trusts are of very low value and primarily relate to bequests left to children, which are payable provided the child survives the testator and attains a specified age.  </w:t>
      </w:r>
    </w:p>
    <w:p w:rsidR="00412156" w:rsidRPr="00EA21AF" w:rsidRDefault="00412156" w:rsidP="00412156">
      <w:pPr>
        <w:spacing w:before="120"/>
        <w:ind w:left="567" w:right="-851"/>
        <w:rPr>
          <w:rFonts w:ascii="Arial" w:hAnsi="Arial" w:cs="Arial"/>
          <w:szCs w:val="24"/>
        </w:rPr>
      </w:pPr>
      <w:r w:rsidRPr="00EA21AF">
        <w:rPr>
          <w:rFonts w:ascii="Arial" w:hAnsi="Arial" w:cs="Arial"/>
          <w:szCs w:val="24"/>
        </w:rPr>
        <w:t>A similar situation could also apply where the income from a trust is assessed to a minor beneficiary who is deemed to be ‘presently entitled but under a legal disability’ but the income is also below the relevant tax threshold, particularly if this is their only source of income and they are not required to lodge an individual return.</w:t>
      </w:r>
    </w:p>
    <w:p w:rsidR="00412156" w:rsidRPr="00062460" w:rsidRDefault="00412156" w:rsidP="00412156">
      <w:pPr>
        <w:spacing w:before="120"/>
        <w:ind w:left="567" w:right="-851"/>
        <w:rPr>
          <w:rFonts w:ascii="Arial" w:hAnsi="Arial" w:cs="Arial"/>
          <w:szCs w:val="24"/>
        </w:rPr>
      </w:pPr>
      <w:r w:rsidRPr="00062460">
        <w:rPr>
          <w:rFonts w:ascii="Arial" w:hAnsi="Arial" w:cs="Arial"/>
          <w:szCs w:val="24"/>
        </w:rPr>
        <w:t xml:space="preserve">The cost of preparing these returns has to be charged against the trust, which means that by the time the child becomes absolutely entitled there is nothing of their bequest left, or the trustee must apply a very small charge which is not commensurate with the time taken to prepare and lodge. </w:t>
      </w:r>
    </w:p>
    <w:p w:rsidR="00412156" w:rsidRPr="00D10EF8" w:rsidRDefault="00412156" w:rsidP="00412156">
      <w:pPr>
        <w:spacing w:before="120"/>
        <w:ind w:left="567" w:right="-851"/>
        <w:rPr>
          <w:rFonts w:ascii="Arial" w:hAnsi="Arial" w:cs="Arial"/>
          <w:szCs w:val="24"/>
        </w:rPr>
      </w:pPr>
      <w:r w:rsidRPr="00D10EF8">
        <w:rPr>
          <w:rFonts w:ascii="Arial" w:hAnsi="Arial" w:cs="Arial"/>
          <w:szCs w:val="24"/>
        </w:rPr>
        <w:t xml:space="preserve">Currently, limited exemptions apply to some trustee </w:t>
      </w:r>
      <w:proofErr w:type="spellStart"/>
      <w:r w:rsidRPr="00D10EF8">
        <w:rPr>
          <w:rFonts w:ascii="Arial" w:hAnsi="Arial" w:cs="Arial"/>
          <w:szCs w:val="24"/>
        </w:rPr>
        <w:t>organisations</w:t>
      </w:r>
      <w:proofErr w:type="spellEnd"/>
      <w:r w:rsidRPr="00D10EF8">
        <w:rPr>
          <w:rFonts w:ascii="Arial" w:hAnsi="Arial" w:cs="Arial"/>
          <w:szCs w:val="24"/>
        </w:rPr>
        <w:t xml:space="preserve"> but only where:</w:t>
      </w:r>
    </w:p>
    <w:p w:rsidR="00412156" w:rsidRPr="00D10EF8" w:rsidRDefault="00412156" w:rsidP="00412156">
      <w:pPr>
        <w:numPr>
          <w:ilvl w:val="0"/>
          <w:numId w:val="17"/>
        </w:numPr>
        <w:tabs>
          <w:tab w:val="clear" w:pos="720"/>
          <w:tab w:val="num" w:pos="993"/>
        </w:tabs>
        <w:spacing w:before="120"/>
        <w:ind w:left="993" w:right="-851" w:hanging="426"/>
        <w:rPr>
          <w:rFonts w:ascii="Arial" w:hAnsi="Arial" w:cs="Arial"/>
          <w:szCs w:val="24"/>
        </w:rPr>
      </w:pPr>
      <w:r w:rsidRPr="00D10EF8">
        <w:rPr>
          <w:rFonts w:ascii="Arial" w:hAnsi="Arial" w:cs="Arial"/>
          <w:szCs w:val="24"/>
        </w:rPr>
        <w:t>the trustee is not taxable, and;</w:t>
      </w:r>
    </w:p>
    <w:p w:rsidR="00412156" w:rsidRPr="00D10EF8" w:rsidRDefault="00412156" w:rsidP="00412156">
      <w:pPr>
        <w:numPr>
          <w:ilvl w:val="0"/>
          <w:numId w:val="17"/>
        </w:numPr>
        <w:tabs>
          <w:tab w:val="clear" w:pos="720"/>
          <w:tab w:val="num" w:pos="993"/>
        </w:tabs>
        <w:spacing w:before="120"/>
        <w:ind w:left="993" w:right="-851" w:hanging="426"/>
        <w:rPr>
          <w:rFonts w:ascii="Arial" w:hAnsi="Arial" w:cs="Arial"/>
          <w:szCs w:val="24"/>
        </w:rPr>
      </w:pPr>
      <w:proofErr w:type="gramStart"/>
      <w:r w:rsidRPr="00D10EF8">
        <w:rPr>
          <w:rFonts w:ascii="Arial" w:hAnsi="Arial" w:cs="Arial"/>
          <w:szCs w:val="24"/>
        </w:rPr>
        <w:t>there</w:t>
      </w:r>
      <w:proofErr w:type="gramEnd"/>
      <w:r w:rsidRPr="00D10EF8">
        <w:rPr>
          <w:rFonts w:ascii="Arial" w:hAnsi="Arial" w:cs="Arial"/>
          <w:szCs w:val="24"/>
        </w:rPr>
        <w:t xml:space="preserve"> is no distribution to a presently entitled beneficiary who is not under a legal disability</w:t>
      </w:r>
      <w:r w:rsidR="003966CD">
        <w:rPr>
          <w:rFonts w:ascii="Arial" w:hAnsi="Arial" w:cs="Arial"/>
          <w:szCs w:val="24"/>
        </w:rPr>
        <w:t>.</w:t>
      </w:r>
    </w:p>
    <w:p w:rsidR="00412156" w:rsidRPr="00062460" w:rsidRDefault="00412156" w:rsidP="00412156">
      <w:pPr>
        <w:spacing w:before="120"/>
        <w:ind w:left="567" w:right="-851"/>
        <w:rPr>
          <w:rFonts w:ascii="Arial" w:hAnsi="Arial" w:cs="Arial"/>
        </w:rPr>
      </w:pPr>
      <w:r w:rsidRPr="00062460">
        <w:rPr>
          <w:rFonts w:ascii="Arial" w:hAnsi="Arial" w:cs="Arial"/>
        </w:rPr>
        <w:t>Where there is a distribution to a presently entitled beneficiary (who is not under a legal disability), then a return is required irrespective of quantum.</w:t>
      </w:r>
    </w:p>
    <w:p w:rsidR="00412156" w:rsidRPr="00062460" w:rsidRDefault="00412156" w:rsidP="00412156">
      <w:pPr>
        <w:spacing w:before="120"/>
        <w:ind w:left="567" w:right="-851"/>
        <w:rPr>
          <w:rFonts w:ascii="Arial" w:hAnsi="Arial" w:cs="Arial"/>
        </w:rPr>
      </w:pPr>
      <w:r w:rsidRPr="00062460">
        <w:rPr>
          <w:rFonts w:ascii="Arial" w:hAnsi="Arial" w:cs="Arial"/>
        </w:rPr>
        <w:t>We understand that the Commissioner has no power to grant an exemption where there may be tax payable (either by a beneficiary or by a trustee).</w:t>
      </w:r>
    </w:p>
    <w:p w:rsidR="00412156" w:rsidRDefault="00412156" w:rsidP="00412156">
      <w:pPr>
        <w:spacing w:before="120"/>
        <w:ind w:left="567" w:right="-851"/>
        <w:rPr>
          <w:rFonts w:ascii="Arial" w:hAnsi="Arial" w:cs="Arial"/>
        </w:rPr>
      </w:pPr>
      <w:r w:rsidRPr="00062460">
        <w:rPr>
          <w:rFonts w:ascii="Arial" w:hAnsi="Arial" w:cs="Arial"/>
        </w:rPr>
        <w:t xml:space="preserve">However, the ATO have advised that they are investigating alternate ways for this information to be provided rather than through the lodgment of a return, </w:t>
      </w:r>
      <w:proofErr w:type="spellStart"/>
      <w:r w:rsidRPr="00062460">
        <w:rPr>
          <w:rFonts w:ascii="Arial" w:hAnsi="Arial" w:cs="Arial"/>
        </w:rPr>
        <w:t>eg</w:t>
      </w:r>
      <w:proofErr w:type="spellEnd"/>
      <w:r w:rsidRPr="00062460">
        <w:rPr>
          <w:rFonts w:ascii="Arial" w:hAnsi="Arial" w:cs="Arial"/>
        </w:rPr>
        <w:t>: as a bulk lodgment showing beneficiary distributions. </w:t>
      </w:r>
    </w:p>
    <w:p w:rsidR="00412156" w:rsidRPr="00EA21AF" w:rsidRDefault="00412156" w:rsidP="00412156">
      <w:pPr>
        <w:spacing w:before="240"/>
        <w:ind w:left="567" w:right="-851"/>
        <w:rPr>
          <w:rFonts w:ascii="Arial" w:hAnsi="Arial" w:cs="Arial"/>
          <w:szCs w:val="24"/>
          <w:u w:val="single"/>
        </w:rPr>
      </w:pPr>
      <w:r w:rsidRPr="00EA21AF">
        <w:rPr>
          <w:rFonts w:ascii="Arial" w:hAnsi="Arial" w:cs="Arial"/>
          <w:szCs w:val="24"/>
          <w:u w:val="single"/>
        </w:rPr>
        <w:t>Deceased estates and testamentary trusts</w:t>
      </w:r>
    </w:p>
    <w:p w:rsidR="00412156" w:rsidRPr="00EA21AF" w:rsidRDefault="00412156" w:rsidP="00412156">
      <w:pPr>
        <w:spacing w:before="120"/>
        <w:ind w:left="567" w:right="-851"/>
        <w:rPr>
          <w:rFonts w:ascii="Arial" w:hAnsi="Arial" w:cs="Arial"/>
          <w:szCs w:val="24"/>
        </w:rPr>
      </w:pPr>
      <w:r w:rsidRPr="00EA21AF">
        <w:rPr>
          <w:rFonts w:ascii="Arial" w:hAnsi="Arial" w:cs="Arial"/>
          <w:szCs w:val="24"/>
        </w:rPr>
        <w:t xml:space="preserve">There appears to be conflicting views on whether a deceased estate and a testamentary trust are separate entities for taxation purposes.  The separation issue is not a tested position and conflicting views have been illustrated in ATO rulings.  </w:t>
      </w:r>
    </w:p>
    <w:p w:rsidR="00412156" w:rsidRPr="00EA21AF" w:rsidRDefault="00412156" w:rsidP="00412156">
      <w:pPr>
        <w:spacing w:before="120"/>
        <w:ind w:left="567" w:right="-851"/>
        <w:rPr>
          <w:rFonts w:ascii="Arial" w:hAnsi="Arial" w:cs="Arial"/>
          <w:szCs w:val="24"/>
        </w:rPr>
      </w:pPr>
      <w:proofErr w:type="gramStart"/>
      <w:r w:rsidRPr="00EA21AF">
        <w:rPr>
          <w:rFonts w:ascii="Arial" w:hAnsi="Arial" w:cs="Arial"/>
          <w:szCs w:val="24"/>
        </w:rPr>
        <w:t>IT 2622 states that the responsibilities of an executor are legally separate and distinct from those of a testamentary trustee.</w:t>
      </w:r>
      <w:proofErr w:type="gramEnd"/>
      <w:r w:rsidRPr="00EA21AF">
        <w:rPr>
          <w:rFonts w:ascii="Arial" w:hAnsi="Arial" w:cs="Arial"/>
          <w:szCs w:val="24"/>
        </w:rPr>
        <w:t xml:space="preserve">  </w:t>
      </w:r>
    </w:p>
    <w:p w:rsidR="00412156" w:rsidRPr="00EA21AF" w:rsidRDefault="00412156" w:rsidP="00412156">
      <w:pPr>
        <w:spacing w:before="120"/>
        <w:ind w:left="567" w:right="-851"/>
        <w:rPr>
          <w:rFonts w:ascii="Arial" w:hAnsi="Arial" w:cs="Arial"/>
          <w:szCs w:val="24"/>
        </w:rPr>
      </w:pPr>
      <w:r w:rsidRPr="00EA21AF">
        <w:rPr>
          <w:rFonts w:ascii="Arial" w:hAnsi="Arial" w:cs="Arial"/>
          <w:szCs w:val="24"/>
        </w:rPr>
        <w:t xml:space="preserve">It also states that for income tax purposes, the estate and the testamentary trust are treated as one and the same. </w:t>
      </w:r>
    </w:p>
    <w:p w:rsidR="00412156" w:rsidRPr="00EA21AF" w:rsidRDefault="00412156" w:rsidP="00412156">
      <w:pPr>
        <w:spacing w:before="120"/>
        <w:ind w:left="567" w:right="-851"/>
        <w:rPr>
          <w:rFonts w:ascii="Arial" w:hAnsi="Arial" w:cs="Arial"/>
          <w:szCs w:val="24"/>
        </w:rPr>
      </w:pPr>
      <w:r w:rsidRPr="00EA21AF">
        <w:rPr>
          <w:rFonts w:ascii="Arial" w:hAnsi="Arial" w:cs="Arial"/>
          <w:szCs w:val="24"/>
        </w:rPr>
        <w:t xml:space="preserve">In terms of capital gains tax, ATO Interpretative Decision 2004/458 states that a testamentary trust is a separate beneficiary of a deceased estate.  </w:t>
      </w:r>
    </w:p>
    <w:p w:rsidR="00412156" w:rsidRPr="00EA21AF" w:rsidRDefault="00412156" w:rsidP="00412156">
      <w:pPr>
        <w:spacing w:before="120"/>
        <w:ind w:left="567" w:right="-851"/>
        <w:rPr>
          <w:rFonts w:ascii="Arial" w:hAnsi="Arial" w:cs="Arial"/>
          <w:szCs w:val="24"/>
        </w:rPr>
      </w:pPr>
      <w:r w:rsidRPr="00EA21AF">
        <w:rPr>
          <w:rFonts w:ascii="Arial" w:hAnsi="Arial" w:cs="Arial"/>
          <w:szCs w:val="24"/>
        </w:rPr>
        <w:t>However, in Private Ruling 20677, the ATO express a view that when a deceased's assets become subject to a testamentary trust, the assets will continue to be held by the taxpayer's legal personal representative and there is no separation.</w:t>
      </w:r>
    </w:p>
    <w:p w:rsidR="00412156" w:rsidRPr="00EA21AF" w:rsidRDefault="00412156" w:rsidP="00412156">
      <w:pPr>
        <w:spacing w:before="120"/>
        <w:ind w:left="567" w:right="-851"/>
        <w:rPr>
          <w:rFonts w:ascii="Arial" w:hAnsi="Arial" w:cs="Arial"/>
          <w:szCs w:val="24"/>
        </w:rPr>
      </w:pPr>
      <w:r w:rsidRPr="00EA21AF">
        <w:rPr>
          <w:rFonts w:ascii="Arial" w:hAnsi="Arial" w:cs="Arial"/>
          <w:szCs w:val="24"/>
        </w:rPr>
        <w:t>Whilst we do not oppose the separation of the deceased estate and testamentary trust from a legal perspective, we believe that in order to achieve administrative efficiencies in tax return preparation, a deceased estate and a testamentary trust should be treated as one and the same under the same tax file number.</w:t>
      </w:r>
    </w:p>
    <w:p w:rsidR="00412156" w:rsidRPr="00EA21AF" w:rsidRDefault="00412156" w:rsidP="00412156">
      <w:pPr>
        <w:spacing w:before="120"/>
        <w:ind w:left="567" w:right="-851"/>
        <w:rPr>
          <w:rFonts w:ascii="Arial" w:hAnsi="Arial" w:cs="Arial"/>
          <w:szCs w:val="24"/>
        </w:rPr>
      </w:pPr>
      <w:r w:rsidRPr="00EA21AF">
        <w:rPr>
          <w:rFonts w:ascii="Arial" w:hAnsi="Arial" w:cs="Arial"/>
          <w:szCs w:val="24"/>
        </w:rPr>
        <w:t xml:space="preserve">We believe that in order to achieve this outcome, there should be a small change in the taxation of such arrangements.  The current position has a deceased estate taxed at individual tax rates for the first three years as well as being exempt from Medicare Levy (s251S(1)(c) </w:t>
      </w:r>
      <w:r w:rsidRPr="00EA21AF">
        <w:rPr>
          <w:rFonts w:ascii="Arial" w:hAnsi="Arial" w:cs="Arial"/>
          <w:i/>
          <w:szCs w:val="24"/>
        </w:rPr>
        <w:t>ITAA 1936</w:t>
      </w:r>
      <w:r w:rsidRPr="00EA21AF">
        <w:rPr>
          <w:rFonts w:ascii="Arial" w:hAnsi="Arial" w:cs="Arial"/>
          <w:szCs w:val="24"/>
        </w:rPr>
        <w:t xml:space="preserve">).  </w:t>
      </w:r>
    </w:p>
    <w:p w:rsidR="00412156" w:rsidRPr="00EA21AF" w:rsidRDefault="00412156" w:rsidP="00412156">
      <w:pPr>
        <w:spacing w:before="120"/>
        <w:ind w:left="567" w:right="-851"/>
        <w:rPr>
          <w:rFonts w:ascii="Arial" w:hAnsi="Arial" w:cs="Arial"/>
          <w:szCs w:val="24"/>
        </w:rPr>
      </w:pPr>
      <w:r w:rsidRPr="00EA21AF">
        <w:rPr>
          <w:rFonts w:ascii="Arial" w:hAnsi="Arial" w:cs="Arial"/>
          <w:szCs w:val="24"/>
        </w:rPr>
        <w:t xml:space="preserve">We believe that in combining the deceased estate and testamentary trust for taxation purposes, the concessional tax treatment should continue to be in place for the first three years, then s99 </w:t>
      </w:r>
      <w:r w:rsidRPr="00EA21AF">
        <w:rPr>
          <w:rFonts w:ascii="Arial" w:hAnsi="Arial" w:cs="Arial"/>
          <w:i/>
          <w:szCs w:val="24"/>
        </w:rPr>
        <w:t>ITAA 1936</w:t>
      </w:r>
      <w:r w:rsidRPr="00EA21AF">
        <w:rPr>
          <w:rFonts w:ascii="Arial" w:hAnsi="Arial" w:cs="Arial"/>
          <w:szCs w:val="24"/>
        </w:rPr>
        <w:t xml:space="preserve"> tax rates apply after three years as well as the Medicare Levy exemption to expire after three years.</w:t>
      </w:r>
    </w:p>
    <w:p w:rsidR="007816A6" w:rsidRPr="00412156" w:rsidRDefault="00C75CB7" w:rsidP="00412156">
      <w:pPr>
        <w:spacing w:before="240"/>
        <w:ind w:left="567"/>
        <w:rPr>
          <w:rFonts w:ascii="Arial" w:hAnsi="Arial" w:cs="Arial"/>
          <w:b/>
          <w:szCs w:val="24"/>
          <w:lang w:val="en-AU" w:eastAsia="en-AU"/>
        </w:rPr>
      </w:pPr>
      <w:r w:rsidRPr="00412156">
        <w:rPr>
          <w:rFonts w:ascii="Arial" w:hAnsi="Arial" w:cs="Arial"/>
          <w:b/>
          <w:szCs w:val="24"/>
          <w:lang w:val="en-AU" w:eastAsia="en-AU"/>
        </w:rPr>
        <w:t>Conclusion</w:t>
      </w:r>
    </w:p>
    <w:p w:rsidR="00C75CB7" w:rsidRDefault="00B10E5C" w:rsidP="008838D3">
      <w:pPr>
        <w:spacing w:before="120"/>
        <w:ind w:left="567" w:right="-851"/>
        <w:rPr>
          <w:rFonts w:ascii="Arial" w:hAnsi="Arial" w:cs="Arial"/>
          <w:szCs w:val="24"/>
          <w:lang w:val="en-AU" w:eastAsia="en-AU"/>
        </w:rPr>
      </w:pPr>
      <w:r>
        <w:rPr>
          <w:rFonts w:ascii="Arial" w:hAnsi="Arial" w:cs="Arial"/>
          <w:szCs w:val="24"/>
          <w:lang w:val="en-AU" w:eastAsia="en-AU"/>
        </w:rPr>
        <w:t>We feel that the P</w:t>
      </w:r>
      <w:r w:rsidR="00C75CB7">
        <w:rPr>
          <w:rFonts w:ascii="Arial" w:hAnsi="Arial" w:cs="Arial"/>
          <w:szCs w:val="24"/>
          <w:lang w:val="en-AU" w:eastAsia="en-AU"/>
        </w:rPr>
        <w:t>atch mode</w:t>
      </w:r>
      <w:r w:rsidR="00412156">
        <w:rPr>
          <w:rFonts w:ascii="Arial" w:hAnsi="Arial" w:cs="Arial"/>
          <w:szCs w:val="24"/>
          <w:lang w:val="en-AU" w:eastAsia="en-AU"/>
        </w:rPr>
        <w:t>l and the Proportionate within C</w:t>
      </w:r>
      <w:r w:rsidR="00C75CB7">
        <w:rPr>
          <w:rFonts w:ascii="Arial" w:hAnsi="Arial" w:cs="Arial"/>
          <w:szCs w:val="24"/>
          <w:lang w:val="en-AU" w:eastAsia="en-AU"/>
        </w:rPr>
        <w:t>lass model do not meet the stated objective</w:t>
      </w:r>
      <w:r w:rsidR="00294E4C">
        <w:rPr>
          <w:rFonts w:ascii="Arial" w:hAnsi="Arial" w:cs="Arial"/>
          <w:szCs w:val="24"/>
          <w:lang w:val="en-AU" w:eastAsia="en-AU"/>
        </w:rPr>
        <w:t>s</w:t>
      </w:r>
      <w:r w:rsidR="00C75CB7">
        <w:rPr>
          <w:rFonts w:ascii="Arial" w:hAnsi="Arial" w:cs="Arial"/>
          <w:szCs w:val="24"/>
          <w:lang w:val="en-AU" w:eastAsia="en-AU"/>
        </w:rPr>
        <w:t xml:space="preserve"> of minimising compliance costs and complexity.</w:t>
      </w:r>
    </w:p>
    <w:p w:rsidR="00C75CB7" w:rsidRDefault="00C75CB7" w:rsidP="008838D3">
      <w:pPr>
        <w:spacing w:before="120"/>
        <w:ind w:left="567" w:right="-851"/>
        <w:rPr>
          <w:rFonts w:ascii="Arial" w:hAnsi="Arial" w:cs="Arial"/>
          <w:szCs w:val="24"/>
          <w:lang w:val="en-AU" w:eastAsia="en-AU"/>
        </w:rPr>
      </w:pPr>
      <w:r>
        <w:rPr>
          <w:rFonts w:ascii="Arial" w:hAnsi="Arial" w:cs="Arial"/>
          <w:szCs w:val="24"/>
          <w:lang w:val="en-AU" w:eastAsia="en-AU"/>
        </w:rPr>
        <w:t>We believe that the T</w:t>
      </w:r>
      <w:r w:rsidR="00412156">
        <w:rPr>
          <w:rFonts w:ascii="Arial" w:hAnsi="Arial" w:cs="Arial"/>
          <w:szCs w:val="24"/>
          <w:lang w:val="en-AU" w:eastAsia="en-AU"/>
        </w:rPr>
        <w:t>AD</w:t>
      </w:r>
      <w:r>
        <w:rPr>
          <w:rFonts w:ascii="Arial" w:hAnsi="Arial" w:cs="Arial"/>
          <w:szCs w:val="24"/>
          <w:lang w:val="en-AU" w:eastAsia="en-AU"/>
        </w:rPr>
        <w:t>, with modifications based on a risk differentiation approach for deceased estates, testamentary trusts and court order trusts will achieve the stated objectives.</w:t>
      </w:r>
    </w:p>
    <w:p w:rsidR="00E5553D" w:rsidRDefault="00FB04EC" w:rsidP="00E5553D">
      <w:pPr>
        <w:spacing w:before="120"/>
        <w:ind w:left="567"/>
        <w:rPr>
          <w:rFonts w:ascii="Arial" w:hAnsi="Arial" w:cs="Arial"/>
          <w:szCs w:val="24"/>
          <w:lang w:val="en-AU" w:eastAsia="en-AU"/>
        </w:rPr>
      </w:pPr>
      <w:r>
        <w:rPr>
          <w:rFonts w:ascii="Arial" w:hAnsi="Arial" w:cs="Arial"/>
          <w:szCs w:val="24"/>
          <w:lang w:val="en-AU" w:eastAsia="en-AU"/>
        </w:rPr>
        <w:t>Yours faithfully</w:t>
      </w:r>
    </w:p>
    <w:p w:rsidR="006F49EB" w:rsidRDefault="000718E7" w:rsidP="00E5553D">
      <w:pPr>
        <w:spacing w:before="120"/>
        <w:ind w:left="567"/>
        <w:rPr>
          <w:rFonts w:ascii="Arial" w:hAnsi="Arial" w:cs="Arial"/>
          <w:noProof/>
          <w:szCs w:val="24"/>
          <w:lang w:val="en-AU" w:eastAsia="en-AU"/>
        </w:rPr>
      </w:pPr>
      <w:r>
        <w:rPr>
          <w:rFonts w:ascii="Arial" w:hAnsi="Arial" w:cs="Arial"/>
          <w:noProof/>
          <w:szCs w:val="24"/>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0.25pt;height:35.25pt;visibility:visible">
            <v:imagedata r:id="rId8" o:title=""/>
          </v:shape>
        </w:pict>
      </w:r>
    </w:p>
    <w:p w:rsidR="00FB04EC" w:rsidRPr="00E5553D" w:rsidRDefault="00FB04EC" w:rsidP="00E5553D">
      <w:pPr>
        <w:spacing w:before="120"/>
        <w:ind w:left="567"/>
        <w:rPr>
          <w:rFonts w:ascii="Arial" w:hAnsi="Arial" w:cs="Arial"/>
          <w:szCs w:val="24"/>
          <w:lang w:val="en-AU" w:eastAsia="en-AU"/>
        </w:rPr>
      </w:pPr>
      <w:r>
        <w:rPr>
          <w:rFonts w:ascii="Arial" w:hAnsi="Arial" w:cs="Arial"/>
          <w:szCs w:val="24"/>
          <w:lang w:val="en-AU" w:eastAsia="en-AU"/>
        </w:rPr>
        <w:t>Ross Ellis</w:t>
      </w:r>
      <w:r>
        <w:rPr>
          <w:rFonts w:ascii="Arial" w:hAnsi="Arial" w:cs="Arial"/>
          <w:szCs w:val="24"/>
          <w:lang w:val="en-AU" w:eastAsia="en-AU"/>
        </w:rPr>
        <w:br/>
        <w:t>Executive Director</w:t>
      </w:r>
    </w:p>
    <w:p w:rsidR="00C87DD8" w:rsidRDefault="00C87DD8" w:rsidP="00A23685"/>
    <w:sectPr w:rsidR="00C87DD8" w:rsidSect="003D03B1">
      <w:headerReference w:type="default" r:id="rId9"/>
      <w:footerReference w:type="even" r:id="rId10"/>
      <w:footerReference w:type="default" r:id="rId11"/>
      <w:headerReference w:type="first" r:id="rId12"/>
      <w:pgSz w:w="11907" w:h="16840" w:code="9"/>
      <w:pgMar w:top="1701" w:right="2977" w:bottom="1242" w:left="1276"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4D" w:rsidRDefault="005F724D">
      <w:r>
        <w:separator/>
      </w:r>
    </w:p>
  </w:endnote>
  <w:endnote w:type="continuationSeparator" w:id="0">
    <w:p w:rsidR="005F724D" w:rsidRDefault="005F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7C" w:rsidRDefault="0078027C" w:rsidP="00C464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027C" w:rsidRDefault="0078027C" w:rsidP="00CD7F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7C" w:rsidRDefault="0078027C" w:rsidP="00AD3A51">
    <w:pPr>
      <w:pStyle w:val="Footer"/>
      <w:framePr w:wrap="around" w:vAnchor="text" w:hAnchor="page" w:x="9982" w:y="157"/>
      <w:rPr>
        <w:rStyle w:val="PageNumber"/>
      </w:rPr>
    </w:pPr>
    <w:r>
      <w:rPr>
        <w:rStyle w:val="PageNumber"/>
      </w:rPr>
      <w:fldChar w:fldCharType="begin"/>
    </w:r>
    <w:r>
      <w:rPr>
        <w:rStyle w:val="PageNumber"/>
      </w:rPr>
      <w:instrText xml:space="preserve">PAGE  </w:instrText>
    </w:r>
    <w:r>
      <w:rPr>
        <w:rStyle w:val="PageNumber"/>
      </w:rPr>
      <w:fldChar w:fldCharType="separate"/>
    </w:r>
    <w:r w:rsidR="000718E7">
      <w:rPr>
        <w:rStyle w:val="PageNumber"/>
        <w:noProof/>
      </w:rPr>
      <w:t>8</w:t>
    </w:r>
    <w:r>
      <w:rPr>
        <w:rStyle w:val="PageNumber"/>
      </w:rPr>
      <w:fldChar w:fldCharType="end"/>
    </w:r>
  </w:p>
  <w:p w:rsidR="0078027C" w:rsidRPr="00AD3A51" w:rsidRDefault="0078027C" w:rsidP="00AD3A51">
    <w:pPr>
      <w:pStyle w:val="Footer"/>
      <w:tabs>
        <w:tab w:val="clear" w:pos="4320"/>
        <w:tab w:val="clear" w:pos="8640"/>
      </w:tabs>
      <w:ind w:right="-1418"/>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4D" w:rsidRDefault="005F724D">
      <w:r>
        <w:separator/>
      </w:r>
    </w:p>
  </w:footnote>
  <w:footnote w:type="continuationSeparator" w:id="0">
    <w:p w:rsidR="005F724D" w:rsidRDefault="005F7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7C" w:rsidRDefault="0078027C" w:rsidP="00AD3A51">
    <w:pPr>
      <w:pStyle w:val="Header"/>
      <w:tabs>
        <w:tab w:val="clear" w:pos="8640"/>
        <w:tab w:val="right" w:pos="9072"/>
      </w:tabs>
      <w:ind w:right="-1419"/>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27C" w:rsidRDefault="000718E7">
    <w:pPr>
      <w:pStyle w:val="Header"/>
    </w:pPr>
    <w:r>
      <w:rPr>
        <w:noProof/>
      </w:rPr>
      <w:pict>
        <v:shapetype id="_x0000_t202" coordsize="21600,21600" o:spt="202" path="m,l,21600r21600,l21600,xe">
          <v:stroke joinstyle="miter"/>
          <v:path gradientshapeok="t" o:connecttype="rect"/>
        </v:shapetype>
        <v:shape id="_x0000_s2051" type="#_x0000_t202" style="position:absolute;margin-left:468.1pt;margin-top:216.2pt;width:110pt;height:450pt;z-index:-251657728;mso-wrap-edited:f;mso-position-horizontal-relative:page;mso-position-vertical-relative:page" wrapcoords="0 0 21600 0 21600 21600 0 21600 0 0" o:allowincell="f" filled="f" stroked="f">
          <v:textbox style="mso-next-textbox:#_x0000_s2051">
            <w:txbxContent>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 xml:space="preserve">ANZ Trustees </w:t>
                </w:r>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Australian Executor Trustees</w:t>
                </w:r>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Equity Trustees</w:t>
                </w:r>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 xml:space="preserve">National </w:t>
                </w:r>
                <w:smartTag w:uri="urn:schemas-microsoft-com:office:smarttags" w:element="country-region">
                  <w:smartTag w:uri="urn:schemas-microsoft-com:office:smarttags" w:element="place">
                    <w:r>
                      <w:rPr>
                        <w:rFonts w:ascii="Arial" w:hAnsi="Arial"/>
                        <w:b/>
                        <w:snapToGrid w:val="0"/>
                        <w:sz w:val="16"/>
                      </w:rPr>
                      <w:t>Australia</w:t>
                    </w:r>
                  </w:smartTag>
                </w:smartTag>
                <w:r>
                  <w:rPr>
                    <w:rFonts w:ascii="Arial" w:hAnsi="Arial"/>
                    <w:b/>
                    <w:snapToGrid w:val="0"/>
                    <w:sz w:val="16"/>
                  </w:rPr>
                  <w:t xml:space="preserve"> Trustees</w:t>
                </w:r>
              </w:p>
              <w:p w:rsidR="0078027C" w:rsidRDefault="0078027C">
                <w:pPr>
                  <w:jc w:val="center"/>
                  <w:rPr>
                    <w:rFonts w:ascii="Arial" w:hAnsi="Arial"/>
                    <w:b/>
                    <w:snapToGrid w:val="0"/>
                    <w:sz w:val="16"/>
                  </w:rPr>
                </w:pPr>
              </w:p>
              <w:p w:rsidR="0078027C" w:rsidRDefault="0078027C" w:rsidP="00982290">
                <w:pPr>
                  <w:jc w:val="center"/>
                  <w:rPr>
                    <w:rFonts w:ascii="Arial" w:hAnsi="Arial"/>
                    <w:b/>
                    <w:snapToGrid w:val="0"/>
                    <w:sz w:val="16"/>
                  </w:rPr>
                </w:pPr>
                <w:smartTag w:uri="urn:schemas-microsoft-com:office:smarttags" w:element="State">
                  <w:smartTag w:uri="urn:schemas-microsoft-com:office:smarttags" w:element="place">
                    <w:r>
                      <w:rPr>
                        <w:rFonts w:ascii="Arial" w:hAnsi="Arial"/>
                        <w:b/>
                        <w:snapToGrid w:val="0"/>
                        <w:sz w:val="16"/>
                      </w:rPr>
                      <w:t>New South Wales</w:t>
                    </w:r>
                  </w:smartTag>
                </w:smartTag>
              </w:p>
              <w:p w:rsidR="0078027C" w:rsidRDefault="0078027C" w:rsidP="00982290">
                <w:pPr>
                  <w:jc w:val="center"/>
                  <w:rPr>
                    <w:rFonts w:ascii="Arial" w:hAnsi="Arial"/>
                    <w:b/>
                    <w:snapToGrid w:val="0"/>
                    <w:sz w:val="16"/>
                  </w:rPr>
                </w:pPr>
                <w:r>
                  <w:rPr>
                    <w:rFonts w:ascii="Arial" w:hAnsi="Arial"/>
                    <w:b/>
                    <w:snapToGrid w:val="0"/>
                    <w:sz w:val="16"/>
                  </w:rPr>
                  <w:t>Trustee and Guardian</w:t>
                </w:r>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 xml:space="preserve">Perpetual </w:t>
                </w:r>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 xml:space="preserve">Public Trustee for the </w:t>
                </w:r>
                <w:smartTag w:uri="urn:schemas-microsoft-com:office:smarttags" w:element="State">
                  <w:smartTag w:uri="urn:schemas-microsoft-com:office:smarttags" w:element="place">
                    <w:r>
                      <w:rPr>
                        <w:rFonts w:ascii="Arial" w:hAnsi="Arial"/>
                        <w:b/>
                        <w:snapToGrid w:val="0"/>
                        <w:sz w:val="16"/>
                      </w:rPr>
                      <w:t>Australian Capital Territory</w:t>
                    </w:r>
                  </w:smartTag>
                </w:smartTag>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Public Trustee for the</w:t>
                </w:r>
              </w:p>
              <w:p w:rsidR="0078027C" w:rsidRDefault="0078027C">
                <w:pPr>
                  <w:jc w:val="center"/>
                  <w:rPr>
                    <w:rFonts w:ascii="Arial" w:hAnsi="Arial"/>
                    <w:b/>
                    <w:snapToGrid w:val="0"/>
                    <w:sz w:val="16"/>
                  </w:rPr>
                </w:pPr>
                <w:smartTag w:uri="urn:schemas-microsoft-com:office:smarttags" w:element="State">
                  <w:smartTag w:uri="urn:schemas-microsoft-com:office:smarttags" w:element="place">
                    <w:r>
                      <w:rPr>
                        <w:rFonts w:ascii="Arial" w:hAnsi="Arial"/>
                        <w:b/>
                        <w:snapToGrid w:val="0"/>
                        <w:sz w:val="16"/>
                      </w:rPr>
                      <w:t>Northern Territory</w:t>
                    </w:r>
                  </w:smartTag>
                </w:smartTag>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 xml:space="preserve">The Public Trustee of </w:t>
                </w:r>
                <w:smartTag w:uri="urn:schemas-microsoft-com:office:smarttags" w:element="State">
                  <w:smartTag w:uri="urn:schemas-microsoft-com:office:smarttags" w:element="place">
                    <w:r>
                      <w:rPr>
                        <w:rFonts w:ascii="Arial" w:hAnsi="Arial"/>
                        <w:b/>
                        <w:snapToGrid w:val="0"/>
                        <w:sz w:val="16"/>
                      </w:rPr>
                      <w:t>Queensland</w:t>
                    </w:r>
                  </w:smartTag>
                </w:smartTag>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Public Trustee</w:t>
                </w:r>
              </w:p>
              <w:p w:rsidR="0078027C" w:rsidRDefault="0078027C">
                <w:pPr>
                  <w:jc w:val="center"/>
                  <w:rPr>
                    <w:rFonts w:ascii="Arial" w:hAnsi="Arial"/>
                    <w:b/>
                    <w:snapToGrid w:val="0"/>
                    <w:sz w:val="16"/>
                  </w:rPr>
                </w:pPr>
                <w:smartTag w:uri="urn:schemas-microsoft-com:office:smarttags" w:element="State">
                  <w:smartTag w:uri="urn:schemas-microsoft-com:office:smarttags" w:element="place">
                    <w:r>
                      <w:rPr>
                        <w:rFonts w:ascii="Arial" w:hAnsi="Arial"/>
                        <w:b/>
                        <w:snapToGrid w:val="0"/>
                        <w:sz w:val="16"/>
                      </w:rPr>
                      <w:t>South Australia</w:t>
                    </w:r>
                  </w:smartTag>
                </w:smartTag>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The Public Trustee</w:t>
                </w:r>
              </w:p>
              <w:p w:rsidR="0078027C" w:rsidRDefault="0078027C">
                <w:pPr>
                  <w:jc w:val="center"/>
                  <w:rPr>
                    <w:rFonts w:ascii="Arial" w:hAnsi="Arial"/>
                    <w:b/>
                    <w:snapToGrid w:val="0"/>
                    <w:sz w:val="16"/>
                  </w:rPr>
                </w:pPr>
                <w:smartTag w:uri="urn:schemas-microsoft-com:office:smarttags" w:element="State">
                  <w:smartTag w:uri="urn:schemas-microsoft-com:office:smarttags" w:element="place">
                    <w:r>
                      <w:rPr>
                        <w:rFonts w:ascii="Arial" w:hAnsi="Arial"/>
                        <w:b/>
                        <w:snapToGrid w:val="0"/>
                        <w:sz w:val="16"/>
                      </w:rPr>
                      <w:t>Tasmania</w:t>
                    </w:r>
                  </w:smartTag>
                </w:smartTag>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Public Trustee</w:t>
                </w:r>
              </w:p>
              <w:p w:rsidR="0078027C" w:rsidRDefault="0078027C">
                <w:pPr>
                  <w:jc w:val="center"/>
                  <w:rPr>
                    <w:rFonts w:ascii="Arial" w:hAnsi="Arial"/>
                    <w:b/>
                    <w:snapToGrid w:val="0"/>
                    <w:sz w:val="16"/>
                  </w:rPr>
                </w:pPr>
                <w:smartTag w:uri="urn:schemas-microsoft-com:office:smarttags" w:element="State">
                  <w:smartTag w:uri="urn:schemas-microsoft-com:office:smarttags" w:element="place">
                    <w:r>
                      <w:rPr>
                        <w:rFonts w:ascii="Arial" w:hAnsi="Arial"/>
                        <w:b/>
                        <w:snapToGrid w:val="0"/>
                        <w:sz w:val="16"/>
                      </w:rPr>
                      <w:t>Western Australia</w:t>
                    </w:r>
                  </w:smartTag>
                </w:smartTag>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proofErr w:type="spellStart"/>
                <w:smartTag w:uri="urn:schemas-microsoft-com:office:smarttags" w:element="place">
                  <w:r>
                    <w:rPr>
                      <w:rFonts w:ascii="Arial" w:hAnsi="Arial"/>
                      <w:b/>
                      <w:snapToGrid w:val="0"/>
                      <w:sz w:val="16"/>
                    </w:rPr>
                    <w:t>Sandhurst</w:t>
                  </w:r>
                </w:smartTag>
                <w:proofErr w:type="spellEnd"/>
                <w:r>
                  <w:rPr>
                    <w:rFonts w:ascii="Arial" w:hAnsi="Arial"/>
                    <w:b/>
                    <w:snapToGrid w:val="0"/>
                    <w:sz w:val="16"/>
                  </w:rPr>
                  <w:t xml:space="preserve"> Trustees</w:t>
                </w:r>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State Trustees</w:t>
                </w:r>
                <w:r>
                  <w:rPr>
                    <w:rFonts w:ascii="Arial" w:hAnsi="Arial"/>
                    <w:b/>
                    <w:snapToGrid w:val="0"/>
                    <w:sz w:val="16"/>
                  </w:rPr>
                  <w:br/>
                </w:r>
                <w:smartTag w:uri="urn:schemas-microsoft-com:office:smarttags" w:element="State">
                  <w:smartTag w:uri="urn:schemas-microsoft-com:office:smarttags" w:element="place">
                    <w:r>
                      <w:rPr>
                        <w:rFonts w:ascii="Arial" w:hAnsi="Arial"/>
                        <w:b/>
                        <w:snapToGrid w:val="0"/>
                        <w:sz w:val="16"/>
                      </w:rPr>
                      <w:t>Victoria</w:t>
                    </w:r>
                  </w:smartTag>
                </w:smartTag>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Tasmanian Perpetual Trustees</w:t>
                </w:r>
              </w:p>
              <w:p w:rsidR="0078027C" w:rsidRDefault="0078027C">
                <w:pPr>
                  <w:jc w:val="center"/>
                  <w:rPr>
                    <w:rFonts w:ascii="Arial" w:hAnsi="Arial"/>
                    <w:b/>
                    <w:snapToGrid w:val="0"/>
                    <w:sz w:val="16"/>
                  </w:rPr>
                </w:pPr>
              </w:p>
              <w:p w:rsidR="0078027C" w:rsidRDefault="0078027C">
                <w:pPr>
                  <w:jc w:val="center"/>
                  <w:rPr>
                    <w:rFonts w:ascii="Arial" w:hAnsi="Arial"/>
                    <w:b/>
                    <w:snapToGrid w:val="0"/>
                    <w:sz w:val="16"/>
                  </w:rPr>
                </w:pPr>
                <w:r>
                  <w:rPr>
                    <w:rFonts w:ascii="Arial" w:hAnsi="Arial"/>
                    <w:b/>
                    <w:snapToGrid w:val="0"/>
                    <w:sz w:val="16"/>
                  </w:rPr>
                  <w:t>The Trust Company</w:t>
                </w:r>
              </w:p>
            </w:txbxContent>
          </v:textbox>
          <w10:wrap type="through" side="left" anchorx="page" anchory="page"/>
          <w10:anchorlock/>
        </v:shape>
      </w:pict>
    </w:r>
    <w:r>
      <w:rPr>
        <w:noProof/>
      </w:rPr>
      <w:pict>
        <v:shape id="_x0000_s2050" type="#_x0000_t202" style="position:absolute;margin-left:404.2pt;margin-top:45.2pt;width:109.65pt;height:171pt;z-index:-251658752;mso-wrap-style:none;mso-wrap-edited:f;mso-position-vertical-relative:page" wrapcoords="0 0 21600 0 21600 21600 0 21600 0 0" o:allowincell="f" filled="f" stroked="f">
          <v:textbox style="mso-next-textbox:#_x0000_s2050">
            <w:txbxContent>
              <w:p w:rsidR="0078027C" w:rsidRDefault="000718E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5.25pt;height:142.5pt" fillcolor="window">
                      <v:imagedata r:id="rId1" o:title=""/>
                    </v:shape>
                  </w:pict>
                </w:r>
              </w:p>
            </w:txbxContent>
          </v:textbox>
          <w10:wrap type="through" side="left" anchory="page"/>
          <w10:anchorlock/>
        </v:shape>
      </w:pict>
    </w:r>
    <w:r>
      <w:rPr>
        <w:noProof/>
      </w:rPr>
      <w:pict>
        <v:shape id="_x0000_s2049" type="#_x0000_t202" style="position:absolute;margin-left:108.9pt;margin-top:54.2pt;width:212pt;height:108pt;z-index:251656704;mso-position-vertical-relative:page" o:allowincell="f" stroked="f">
          <v:textbox style="mso-next-textbox:#_x0000_s2049">
            <w:txbxContent>
              <w:p w:rsidR="0078027C" w:rsidRDefault="0078027C">
                <w:pPr>
                  <w:pStyle w:val="Title"/>
                  <w:ind w:right="-1"/>
                  <w:rPr>
                    <w:color w:val="auto"/>
                  </w:rPr>
                </w:pPr>
                <w:r>
                  <w:rPr>
                    <w:color w:val="auto"/>
                  </w:rPr>
                  <w:t>NATIONAL SECRETARIAT</w:t>
                </w:r>
              </w:p>
              <w:p w:rsidR="0078027C" w:rsidRDefault="0078027C">
                <w:pPr>
                  <w:ind w:right="-1"/>
                  <w:jc w:val="center"/>
                  <w:rPr>
                    <w:rFonts w:ascii="Arial" w:hAnsi="Arial"/>
                    <w:b/>
                    <w:snapToGrid w:val="0"/>
                    <w:sz w:val="16"/>
                  </w:rPr>
                </w:pPr>
              </w:p>
              <w:p w:rsidR="0078027C" w:rsidRDefault="0078027C">
                <w:pPr>
                  <w:ind w:right="-1"/>
                  <w:jc w:val="center"/>
                  <w:rPr>
                    <w:rFonts w:ascii="Arial" w:hAnsi="Arial"/>
                    <w:b/>
                    <w:snapToGrid w:val="0"/>
                    <w:sz w:val="16"/>
                  </w:rPr>
                </w:pPr>
                <w:r>
                  <w:rPr>
                    <w:rFonts w:ascii="Arial" w:hAnsi="Arial"/>
                    <w:b/>
                    <w:snapToGrid w:val="0"/>
                    <w:sz w:val="16"/>
                  </w:rPr>
                  <w:t xml:space="preserve">Level 7, </w:t>
                </w:r>
                <w:smartTag w:uri="urn:schemas-microsoft-com:office:smarttags" w:element="Street">
                  <w:r>
                    <w:rPr>
                      <w:rFonts w:ascii="Arial" w:hAnsi="Arial"/>
                      <w:b/>
                      <w:snapToGrid w:val="0"/>
                      <w:sz w:val="16"/>
                    </w:rPr>
                    <w:t>34 Hunter Street</w:t>
                  </w:r>
                </w:smartTag>
                <w:r>
                  <w:rPr>
                    <w:rFonts w:ascii="Arial" w:hAnsi="Arial"/>
                    <w:b/>
                    <w:snapToGrid w:val="0"/>
                    <w:sz w:val="16"/>
                  </w:rPr>
                  <w:t xml:space="preserve">, </w:t>
                </w:r>
                <w:proofErr w:type="gramStart"/>
                <w:r>
                  <w:rPr>
                    <w:rFonts w:ascii="Arial" w:hAnsi="Arial"/>
                    <w:b/>
                    <w:snapToGrid w:val="0"/>
                    <w:sz w:val="16"/>
                  </w:rPr>
                  <w:t>SYDNEY  NSW</w:t>
                </w:r>
                <w:proofErr w:type="gramEnd"/>
                <w:r>
                  <w:rPr>
                    <w:rFonts w:ascii="Arial" w:hAnsi="Arial"/>
                    <w:b/>
                    <w:snapToGrid w:val="0"/>
                    <w:sz w:val="16"/>
                  </w:rPr>
                  <w:t xml:space="preserve">  2000</w:t>
                </w:r>
              </w:p>
              <w:p w:rsidR="0078027C" w:rsidRDefault="0078027C">
                <w:pPr>
                  <w:pStyle w:val="Heading2"/>
                  <w:ind w:right="-1"/>
                  <w:rPr>
                    <w:color w:val="auto"/>
                  </w:rPr>
                </w:pPr>
                <w:r>
                  <w:rPr>
                    <w:color w:val="auto"/>
                  </w:rPr>
                  <w:t xml:space="preserve">GPO </w:t>
                </w:r>
                <w:smartTag w:uri="urn:schemas-microsoft-com:office:smarttags" w:element="Street">
                  <w:r>
                    <w:rPr>
                      <w:color w:val="auto"/>
                    </w:rPr>
                    <w:t>Box 1595</w:t>
                  </w:r>
                </w:smartTag>
                <w:r>
                  <w:rPr>
                    <w:color w:val="auto"/>
                  </w:rPr>
                  <w:t xml:space="preserve">, </w:t>
                </w:r>
                <w:proofErr w:type="gramStart"/>
                <w:r>
                  <w:rPr>
                    <w:color w:val="auto"/>
                  </w:rPr>
                  <w:t>SYDNEY  NSW</w:t>
                </w:r>
                <w:proofErr w:type="gramEnd"/>
                <w:r>
                  <w:rPr>
                    <w:color w:val="auto"/>
                  </w:rPr>
                  <w:t xml:space="preserve">  2001</w:t>
                </w:r>
              </w:p>
              <w:p w:rsidR="0078027C" w:rsidRDefault="0078027C">
                <w:pPr>
                  <w:tabs>
                    <w:tab w:val="left" w:pos="840"/>
                  </w:tabs>
                  <w:ind w:right="-1"/>
                  <w:jc w:val="center"/>
                  <w:rPr>
                    <w:rFonts w:ascii="Arial" w:hAnsi="Arial"/>
                    <w:b/>
                    <w:snapToGrid w:val="0"/>
                    <w:sz w:val="16"/>
                  </w:rPr>
                </w:pPr>
                <w:r>
                  <w:rPr>
                    <w:rFonts w:ascii="Arial" w:hAnsi="Arial"/>
                    <w:b/>
                    <w:snapToGrid w:val="0"/>
                    <w:sz w:val="16"/>
                  </w:rPr>
                  <w:t>Telephone:  (02) 9221 1983</w:t>
                </w:r>
              </w:p>
              <w:p w:rsidR="0078027C" w:rsidRDefault="0078027C">
                <w:pPr>
                  <w:tabs>
                    <w:tab w:val="left" w:pos="1275"/>
                  </w:tabs>
                  <w:ind w:right="-1"/>
                  <w:jc w:val="center"/>
                  <w:rPr>
                    <w:rFonts w:ascii="Arial" w:hAnsi="Arial"/>
                    <w:b/>
                    <w:snapToGrid w:val="0"/>
                    <w:sz w:val="16"/>
                  </w:rPr>
                </w:pPr>
                <w:r>
                  <w:rPr>
                    <w:rFonts w:ascii="Arial" w:hAnsi="Arial"/>
                    <w:b/>
                    <w:snapToGrid w:val="0"/>
                    <w:sz w:val="16"/>
                  </w:rPr>
                  <w:t>Facsimile:  (02) 9221 2639</w:t>
                </w:r>
              </w:p>
              <w:p w:rsidR="0078027C" w:rsidRPr="00580EA0" w:rsidRDefault="0078027C" w:rsidP="00580EA0">
                <w:pPr>
                  <w:jc w:val="center"/>
                  <w:rPr>
                    <w:rFonts w:ascii="Arial" w:hAnsi="Arial"/>
                    <w:b/>
                    <w:snapToGrid w:val="0"/>
                    <w:sz w:val="16"/>
                  </w:rPr>
                </w:pPr>
                <w:r>
                  <w:rPr>
                    <w:rFonts w:ascii="Arial" w:hAnsi="Arial"/>
                    <w:b/>
                    <w:snapToGrid w:val="0"/>
                    <w:sz w:val="16"/>
                  </w:rPr>
                  <w:t xml:space="preserve">E-mail:  </w:t>
                </w:r>
                <w:r w:rsidRPr="00580EA0">
                  <w:rPr>
                    <w:rFonts w:ascii="Arial" w:hAnsi="Arial"/>
                    <w:b/>
                    <w:snapToGrid w:val="0"/>
                    <w:sz w:val="16"/>
                  </w:rPr>
                  <w:t>association@t</w:t>
                </w:r>
                <w:r w:rsidRPr="00580EA0">
                  <w:rPr>
                    <w:rFonts w:ascii="Arial" w:hAnsi="Arial"/>
                    <w:b/>
                    <w:sz w:val="16"/>
                  </w:rPr>
                  <w:t>rustcorp.org.au</w:t>
                </w:r>
              </w:p>
              <w:p w:rsidR="0078027C" w:rsidRDefault="0078027C">
                <w:pPr>
                  <w:jc w:val="center"/>
                </w:pPr>
                <w:r>
                  <w:rPr>
                    <w:rFonts w:ascii="Arial" w:hAnsi="Arial"/>
                    <w:b/>
                    <w:sz w:val="16"/>
                  </w:rPr>
                  <w:t>Website: www.trustcorp.org.au</w:t>
                </w:r>
              </w:p>
            </w:txbxContent>
          </v:textbox>
          <w10:wrap type="squar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0A7"/>
    <w:multiLevelType w:val="hybridMultilevel"/>
    <w:tmpl w:val="13F4D2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04706"/>
    <w:multiLevelType w:val="hybridMultilevel"/>
    <w:tmpl w:val="FADEE1A0"/>
    <w:lvl w:ilvl="0" w:tplc="04090003">
      <w:start w:val="1"/>
      <w:numFmt w:val="bullet"/>
      <w:lvlText w:val="o"/>
      <w:lvlJc w:val="left"/>
      <w:pPr>
        <w:tabs>
          <w:tab w:val="num" w:pos="1287"/>
        </w:tabs>
        <w:ind w:left="1287"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C03784"/>
    <w:multiLevelType w:val="hybridMultilevel"/>
    <w:tmpl w:val="EE54A7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6D509C"/>
    <w:multiLevelType w:val="hybridMultilevel"/>
    <w:tmpl w:val="76727BB6"/>
    <w:lvl w:ilvl="0" w:tplc="404E65B4">
      <w:start w:val="1"/>
      <w:numFmt w:val="bullet"/>
      <w:pStyle w:val="Bullet1"/>
      <w:lvlText w:val=""/>
      <w:lvlJc w:val="left"/>
      <w:pPr>
        <w:tabs>
          <w:tab w:val="num" w:pos="851"/>
        </w:tabs>
        <w:ind w:left="851" w:hanging="851"/>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A5A4219"/>
    <w:multiLevelType w:val="hybridMultilevel"/>
    <w:tmpl w:val="DB76C8D6"/>
    <w:lvl w:ilvl="0" w:tplc="04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B210FD8"/>
    <w:multiLevelType w:val="hybridMultilevel"/>
    <w:tmpl w:val="C8FAB6A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3A4CE70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0A2BBB"/>
    <w:multiLevelType w:val="hybridMultilevel"/>
    <w:tmpl w:val="78C8F25E"/>
    <w:lvl w:ilvl="0" w:tplc="04090003">
      <w:start w:val="1"/>
      <w:numFmt w:val="bullet"/>
      <w:lvlText w:val="o"/>
      <w:lvlJc w:val="left"/>
      <w:pPr>
        <w:tabs>
          <w:tab w:val="num" w:pos="720"/>
        </w:tabs>
        <w:ind w:left="720" w:hanging="360"/>
      </w:pPr>
      <w:rPr>
        <w:rFonts w:ascii="Courier New" w:hAnsi="Courier New" w:cs="Courier New" w:hint="default"/>
      </w:rPr>
    </w:lvl>
    <w:lvl w:ilvl="1" w:tplc="3A4CE70A">
      <w:start w:val="1"/>
      <w:numFmt w:val="lowerLetter"/>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021026"/>
    <w:multiLevelType w:val="hybridMultilevel"/>
    <w:tmpl w:val="9CC4B846"/>
    <w:lvl w:ilvl="0" w:tplc="3A4CE7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54713F09"/>
    <w:multiLevelType w:val="hybridMultilevel"/>
    <w:tmpl w:val="1F6269A4"/>
    <w:lvl w:ilvl="0" w:tplc="7C2AD47C">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nsid w:val="5AF11B66"/>
    <w:multiLevelType w:val="hybridMultilevel"/>
    <w:tmpl w:val="ED94D9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290CBE"/>
    <w:multiLevelType w:val="hybridMultilevel"/>
    <w:tmpl w:val="26947EA6"/>
    <w:lvl w:ilvl="0" w:tplc="19982A78">
      <w:start w:val="95"/>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648B7367"/>
    <w:multiLevelType w:val="hybridMultilevel"/>
    <w:tmpl w:val="0A9EA060"/>
    <w:lvl w:ilvl="0" w:tplc="0C090017">
      <w:start w:val="1"/>
      <w:numFmt w:val="lowerLetter"/>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67E346CB"/>
    <w:multiLevelType w:val="hybridMultilevel"/>
    <w:tmpl w:val="45A8A0DC"/>
    <w:lvl w:ilvl="0" w:tplc="04090005">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6EA15CA5"/>
    <w:multiLevelType w:val="hybridMultilevel"/>
    <w:tmpl w:val="CBCA8BDC"/>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5C06DB"/>
    <w:multiLevelType w:val="hybridMultilevel"/>
    <w:tmpl w:val="60C84698"/>
    <w:lvl w:ilvl="0" w:tplc="408A8122">
      <w:start w:val="1"/>
      <w:numFmt w:val="lowerRoman"/>
      <w:lvlText w:val="(%1)"/>
      <w:lvlJc w:val="left"/>
      <w:pPr>
        <w:tabs>
          <w:tab w:val="num" w:pos="1062"/>
        </w:tabs>
        <w:ind w:left="1062" w:hanging="72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nsid w:val="7D70759D"/>
    <w:multiLevelType w:val="hybridMultilevel"/>
    <w:tmpl w:val="912600F4"/>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9"/>
  </w:num>
  <w:num w:numId="3">
    <w:abstractNumId w:val="6"/>
  </w:num>
  <w:num w:numId="4">
    <w:abstractNumId w:val="15"/>
  </w:num>
  <w:num w:numId="5">
    <w:abstractNumId w:val="14"/>
  </w:num>
  <w:num w:numId="6">
    <w:abstractNumId w:val="7"/>
  </w:num>
  <w:num w:numId="7">
    <w:abstractNumId w:val="13"/>
  </w:num>
  <w:num w:numId="8">
    <w:abstractNumId w:val="2"/>
  </w:num>
  <w:num w:numId="9">
    <w:abstractNumId w:val="12"/>
  </w:num>
  <w:num w:numId="10">
    <w:abstractNumId w:val="10"/>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8"/>
  </w:num>
  <w:num w:numId="15">
    <w:abstractNumId w:val="3"/>
  </w:num>
  <w:num w:numId="16">
    <w:abstractNumId w:val="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985"/>
    <w:rsid w:val="00011727"/>
    <w:rsid w:val="000462D9"/>
    <w:rsid w:val="0006064D"/>
    <w:rsid w:val="000718E7"/>
    <w:rsid w:val="00072834"/>
    <w:rsid w:val="000735E6"/>
    <w:rsid w:val="000A2C06"/>
    <w:rsid w:val="000A40E9"/>
    <w:rsid w:val="000A6525"/>
    <w:rsid w:val="000B7984"/>
    <w:rsid w:val="000E5A59"/>
    <w:rsid w:val="0012241B"/>
    <w:rsid w:val="001707A2"/>
    <w:rsid w:val="00173197"/>
    <w:rsid w:val="00181AF8"/>
    <w:rsid w:val="001A265F"/>
    <w:rsid w:val="001A710F"/>
    <w:rsid w:val="001B390A"/>
    <w:rsid w:val="001C73BA"/>
    <w:rsid w:val="001D29B1"/>
    <w:rsid w:val="001E1551"/>
    <w:rsid w:val="00222E24"/>
    <w:rsid w:val="00241390"/>
    <w:rsid w:val="002673E6"/>
    <w:rsid w:val="002709D6"/>
    <w:rsid w:val="0028720F"/>
    <w:rsid w:val="00294E4C"/>
    <w:rsid w:val="002C5107"/>
    <w:rsid w:val="00324940"/>
    <w:rsid w:val="003575CC"/>
    <w:rsid w:val="003966CD"/>
    <w:rsid w:val="003D03B1"/>
    <w:rsid w:val="003D0AF8"/>
    <w:rsid w:val="003F5A40"/>
    <w:rsid w:val="00412156"/>
    <w:rsid w:val="00421E9A"/>
    <w:rsid w:val="004355FF"/>
    <w:rsid w:val="00440218"/>
    <w:rsid w:val="00441724"/>
    <w:rsid w:val="00456DE9"/>
    <w:rsid w:val="0047025E"/>
    <w:rsid w:val="004B4617"/>
    <w:rsid w:val="004C7752"/>
    <w:rsid w:val="0055750D"/>
    <w:rsid w:val="00580EA0"/>
    <w:rsid w:val="005945DD"/>
    <w:rsid w:val="005F724D"/>
    <w:rsid w:val="00631C4D"/>
    <w:rsid w:val="00635A13"/>
    <w:rsid w:val="00636359"/>
    <w:rsid w:val="00641339"/>
    <w:rsid w:val="006451A3"/>
    <w:rsid w:val="006B193B"/>
    <w:rsid w:val="006C58F0"/>
    <w:rsid w:val="006C5F4F"/>
    <w:rsid w:val="006F49EB"/>
    <w:rsid w:val="006F7A58"/>
    <w:rsid w:val="00715288"/>
    <w:rsid w:val="00720D17"/>
    <w:rsid w:val="00724884"/>
    <w:rsid w:val="00776B8D"/>
    <w:rsid w:val="0078027C"/>
    <w:rsid w:val="007816A6"/>
    <w:rsid w:val="0078321B"/>
    <w:rsid w:val="007919D8"/>
    <w:rsid w:val="00796020"/>
    <w:rsid w:val="007C3CF4"/>
    <w:rsid w:val="007D242B"/>
    <w:rsid w:val="00873297"/>
    <w:rsid w:val="00883532"/>
    <w:rsid w:val="008838D3"/>
    <w:rsid w:val="00885BD5"/>
    <w:rsid w:val="0088679D"/>
    <w:rsid w:val="008868FD"/>
    <w:rsid w:val="008B447F"/>
    <w:rsid w:val="008C24DF"/>
    <w:rsid w:val="008D1B09"/>
    <w:rsid w:val="008E0474"/>
    <w:rsid w:val="00940644"/>
    <w:rsid w:val="00975D58"/>
    <w:rsid w:val="00976C06"/>
    <w:rsid w:val="00982290"/>
    <w:rsid w:val="009902B3"/>
    <w:rsid w:val="009A4A6D"/>
    <w:rsid w:val="009E775A"/>
    <w:rsid w:val="00A10C5A"/>
    <w:rsid w:val="00A15EB4"/>
    <w:rsid w:val="00A23685"/>
    <w:rsid w:val="00A30666"/>
    <w:rsid w:val="00A53189"/>
    <w:rsid w:val="00A53AC1"/>
    <w:rsid w:val="00A717C9"/>
    <w:rsid w:val="00A84F55"/>
    <w:rsid w:val="00A85AE5"/>
    <w:rsid w:val="00A92BA7"/>
    <w:rsid w:val="00AD3A51"/>
    <w:rsid w:val="00B10E5C"/>
    <w:rsid w:val="00B26E93"/>
    <w:rsid w:val="00B636D0"/>
    <w:rsid w:val="00B82985"/>
    <w:rsid w:val="00B9732D"/>
    <w:rsid w:val="00BD43DF"/>
    <w:rsid w:val="00BD6D90"/>
    <w:rsid w:val="00C3353E"/>
    <w:rsid w:val="00C37576"/>
    <w:rsid w:val="00C41AFE"/>
    <w:rsid w:val="00C43EE5"/>
    <w:rsid w:val="00C45513"/>
    <w:rsid w:val="00C464BF"/>
    <w:rsid w:val="00C70FFA"/>
    <w:rsid w:val="00C75CB7"/>
    <w:rsid w:val="00C87DD8"/>
    <w:rsid w:val="00CA4250"/>
    <w:rsid w:val="00CC17AA"/>
    <w:rsid w:val="00CD7F61"/>
    <w:rsid w:val="00CF7E3A"/>
    <w:rsid w:val="00D10EF8"/>
    <w:rsid w:val="00D2404C"/>
    <w:rsid w:val="00D65045"/>
    <w:rsid w:val="00D7064B"/>
    <w:rsid w:val="00D85EBB"/>
    <w:rsid w:val="00E13AB7"/>
    <w:rsid w:val="00E31D07"/>
    <w:rsid w:val="00E5553D"/>
    <w:rsid w:val="00E65421"/>
    <w:rsid w:val="00E7070E"/>
    <w:rsid w:val="00E91932"/>
    <w:rsid w:val="00EA21AF"/>
    <w:rsid w:val="00ED4B96"/>
    <w:rsid w:val="00EE2387"/>
    <w:rsid w:val="00EE36D4"/>
    <w:rsid w:val="00EF6555"/>
    <w:rsid w:val="00F20611"/>
    <w:rsid w:val="00F35345"/>
    <w:rsid w:val="00F66792"/>
    <w:rsid w:val="00F85B8F"/>
    <w:rsid w:val="00FB04EC"/>
    <w:rsid w:val="00FB698B"/>
    <w:rsid w:val="00FC3152"/>
    <w:rsid w:val="00FD6F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97"/>
    <w:rPr>
      <w:sz w:val="24"/>
      <w:lang w:val="en-US" w:eastAsia="en-US"/>
    </w:rPr>
  </w:style>
  <w:style w:type="paragraph" w:styleId="Heading1">
    <w:name w:val="heading 1"/>
    <w:basedOn w:val="Normal"/>
    <w:next w:val="Normal"/>
    <w:qFormat/>
    <w:pPr>
      <w:keepNext/>
      <w:jc w:val="center"/>
      <w:outlineLvl w:val="0"/>
    </w:pPr>
    <w:rPr>
      <w:rFonts w:ascii="Arial" w:hAnsi="Arial"/>
      <w:b/>
      <w:snapToGrid w:val="0"/>
      <w:color w:val="0000FF"/>
      <w:sz w:val="16"/>
    </w:rPr>
  </w:style>
  <w:style w:type="paragraph" w:styleId="Heading2">
    <w:name w:val="heading 2"/>
    <w:basedOn w:val="Normal"/>
    <w:next w:val="Normal"/>
    <w:qFormat/>
    <w:pPr>
      <w:keepNext/>
      <w:ind w:right="-1419"/>
      <w:jc w:val="center"/>
      <w:outlineLvl w:val="1"/>
    </w:pPr>
    <w:rPr>
      <w:rFonts w:ascii="Arial" w:hAnsi="Arial"/>
      <w:b/>
      <w:snapToGrid w:val="0"/>
      <w:color w:val="0000FF"/>
      <w:sz w:val="1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rsid w:val="0087329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Title">
    <w:name w:val="Title"/>
    <w:basedOn w:val="Normal"/>
    <w:qFormat/>
    <w:pPr>
      <w:jc w:val="center"/>
    </w:pPr>
    <w:rPr>
      <w:rFonts w:ascii="Arial" w:hAnsi="Arial"/>
      <w:b/>
      <w:snapToGrid w:val="0"/>
      <w:color w:val="0000FF"/>
      <w:sz w:val="16"/>
    </w:rPr>
  </w:style>
  <w:style w:type="paragraph" w:styleId="BodyText">
    <w:name w:val="Body Text"/>
    <w:basedOn w:val="Normal"/>
  </w:style>
  <w:style w:type="character" w:styleId="FollowedHyperlink">
    <w:name w:val="FollowedHyperlink"/>
    <w:basedOn w:val="DefaultParagraphFont"/>
    <w:rPr>
      <w:color w:val="800080"/>
      <w:u w:val="single"/>
    </w:rPr>
  </w:style>
  <w:style w:type="paragraph" w:styleId="BalloonText">
    <w:name w:val="Balloon Text"/>
    <w:basedOn w:val="Normal"/>
    <w:semiHidden/>
    <w:rsid w:val="00D7064B"/>
    <w:rPr>
      <w:rFonts w:ascii="Tahoma" w:hAnsi="Tahoma" w:cs="Tahoma"/>
      <w:sz w:val="16"/>
      <w:szCs w:val="16"/>
    </w:rPr>
  </w:style>
  <w:style w:type="paragraph" w:styleId="BodyTextIndent">
    <w:name w:val="Body Text Indent"/>
    <w:basedOn w:val="Normal"/>
    <w:rsid w:val="00873297"/>
    <w:pPr>
      <w:spacing w:after="120"/>
      <w:ind w:left="283"/>
    </w:pPr>
  </w:style>
  <w:style w:type="paragraph" w:styleId="BodyText2">
    <w:name w:val="Body Text 2"/>
    <w:basedOn w:val="Normal"/>
    <w:rsid w:val="00873297"/>
    <w:pPr>
      <w:spacing w:after="120" w:line="480" w:lineRule="auto"/>
    </w:pPr>
  </w:style>
  <w:style w:type="paragraph" w:styleId="FootnoteText">
    <w:name w:val="footnote text"/>
    <w:basedOn w:val="Normal"/>
    <w:link w:val="FootnoteTextChar"/>
    <w:semiHidden/>
    <w:rsid w:val="00873297"/>
    <w:rPr>
      <w:sz w:val="20"/>
    </w:rPr>
  </w:style>
  <w:style w:type="character" w:styleId="FootnoteReference">
    <w:name w:val="footnote reference"/>
    <w:basedOn w:val="DefaultParagraphFont"/>
    <w:semiHidden/>
    <w:rsid w:val="00873297"/>
    <w:rPr>
      <w:vertAlign w:val="superscript"/>
    </w:rPr>
  </w:style>
  <w:style w:type="character" w:styleId="PageNumber">
    <w:name w:val="page number"/>
    <w:basedOn w:val="DefaultParagraphFont"/>
    <w:rsid w:val="00CD7F61"/>
  </w:style>
  <w:style w:type="paragraph" w:styleId="BlockText">
    <w:name w:val="Block Text"/>
    <w:basedOn w:val="Normal"/>
    <w:rsid w:val="00A10C5A"/>
    <w:pPr>
      <w:ind w:left="360" w:right="-1"/>
      <w:jc w:val="both"/>
    </w:pPr>
  </w:style>
  <w:style w:type="character" w:customStyle="1" w:styleId="FootnoteTextChar">
    <w:name w:val="Footnote Text Char"/>
    <w:basedOn w:val="DefaultParagraphFont"/>
    <w:link w:val="FootnoteText"/>
    <w:semiHidden/>
    <w:rsid w:val="00C43EE5"/>
    <w:rPr>
      <w:lang w:val="en-US" w:eastAsia="en-US"/>
    </w:rPr>
  </w:style>
  <w:style w:type="paragraph" w:customStyle="1" w:styleId="Bullet1">
    <w:name w:val="Bullet1"/>
    <w:basedOn w:val="Normal"/>
    <w:rsid w:val="00C43EE5"/>
    <w:pPr>
      <w:numPr>
        <w:numId w:val="15"/>
      </w:numPr>
      <w:spacing w:before="240"/>
    </w:pPr>
    <w:rPr>
      <w:rFonts w:ascii="Arial" w:hAnsi="Arial" w:cs="Arial"/>
      <w:sz w:val="20"/>
      <w:lang w:val="en-AU"/>
    </w:rPr>
  </w:style>
  <w:style w:type="paragraph" w:customStyle="1" w:styleId="correspQuote">
    <w:name w:val="correspQuote"/>
    <w:basedOn w:val="Normal"/>
    <w:rsid w:val="00C43EE5"/>
    <w:pPr>
      <w:spacing w:before="240"/>
      <w:ind w:left="851" w:right="851"/>
    </w:pPr>
    <w:rPr>
      <w:rFonts w:ascii="Arial" w:hAnsi="Arial" w:cs="Arial"/>
      <w:sz w:val="18"/>
      <w:szCs w:val="18"/>
      <w:lang w:val="en-AU"/>
    </w:rPr>
  </w:style>
  <w:style w:type="paragraph" w:customStyle="1" w:styleId="MLCBODY1">
    <w:name w:val="MLC BODY1"/>
    <w:basedOn w:val="Normal"/>
    <w:rsid w:val="00C43EE5"/>
    <w:pPr>
      <w:spacing w:after="240"/>
      <w:ind w:left="851"/>
      <w:jc w:val="both"/>
    </w:pPr>
    <w:rPr>
      <w:rFonts w:ascii="Arial" w:hAnsi="Arial"/>
      <w:sz w:val="22"/>
      <w:lang w:val="en-AU"/>
    </w:rPr>
  </w:style>
  <w:style w:type="paragraph" w:customStyle="1" w:styleId="Default">
    <w:name w:val="Default"/>
    <w:basedOn w:val="Normal"/>
    <w:rsid w:val="0012241B"/>
    <w:pPr>
      <w:autoSpaceDE w:val="0"/>
      <w:autoSpaceDN w:val="0"/>
    </w:pPr>
    <w:rPr>
      <w:rFonts w:ascii="Calibri" w:eastAsia="Calibri" w:hAnsi="Calibri" w:cs="Calibri"/>
      <w:color w:val="000000"/>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279066">
      <w:bodyDiv w:val="1"/>
      <w:marLeft w:val="0"/>
      <w:marRight w:val="0"/>
      <w:marTop w:val="0"/>
      <w:marBottom w:val="0"/>
      <w:divBdr>
        <w:top w:val="none" w:sz="0" w:space="0" w:color="auto"/>
        <w:left w:val="none" w:sz="0" w:space="0" w:color="auto"/>
        <w:bottom w:val="none" w:sz="0" w:space="0" w:color="auto"/>
        <w:right w:val="none" w:sz="0" w:space="0" w:color="auto"/>
      </w:divBdr>
    </w:div>
    <w:div w:id="1643805475">
      <w:bodyDiv w:val="1"/>
      <w:marLeft w:val="0"/>
      <w:marRight w:val="0"/>
      <w:marTop w:val="0"/>
      <w:marBottom w:val="0"/>
      <w:divBdr>
        <w:top w:val="none" w:sz="0" w:space="0" w:color="auto"/>
        <w:left w:val="none" w:sz="0" w:space="0" w:color="auto"/>
        <w:bottom w:val="none" w:sz="0" w:space="0" w:color="auto"/>
        <w:right w:val="none" w:sz="0" w:space="0" w:color="auto"/>
      </w:divBdr>
    </w:div>
    <w:div w:id="18455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TCA-%20Letterhead%2005-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TCA- Letterhead 05-03.dot</Template>
  <TotalTime>4</TotalTime>
  <Pages>8</Pages>
  <Words>3003</Words>
  <Characters>15727</Characters>
  <Application>Microsoft Office Word</Application>
  <DocSecurity>0</DocSecurity>
  <Lines>476</Lines>
  <Paragraphs>199</Paragraphs>
  <ScaleCrop>false</ScaleCrop>
  <HeadingPairs>
    <vt:vector size="2" baseType="variant">
      <vt:variant>
        <vt:lpstr>Title</vt:lpstr>
      </vt:variant>
      <vt:variant>
        <vt:i4>1</vt:i4>
      </vt:variant>
    </vt:vector>
  </HeadingPairs>
  <TitlesOfParts>
    <vt:vector size="1" baseType="lpstr">
      <vt:lpstr>1999</vt:lpstr>
    </vt:vector>
  </TitlesOfParts>
  <Company>Trustee Corporation Association</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Taxation of trust income</dc:title>
  <dc:subject/>
  <dc:creator>Submitted by trustees corporation of Australia</dc:creator>
  <cp:keywords/>
  <cp:lastModifiedBy>Mai, Yuanyuan</cp:lastModifiedBy>
  <cp:revision>3</cp:revision>
  <cp:lastPrinted>2012-02-13T03:07:00Z</cp:lastPrinted>
  <dcterms:created xsi:type="dcterms:W3CDTF">2012-02-14T05:22:00Z</dcterms:created>
  <dcterms:modified xsi:type="dcterms:W3CDTF">2012-07-26T08:03:00Z</dcterms:modified>
</cp:coreProperties>
</file>