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D6908" w14:textId="26376C3A" w:rsidR="00F012EA" w:rsidRPr="00601237" w:rsidRDefault="005604EC" w:rsidP="00601237">
      <w:pPr>
        <w:pStyle w:val="Title"/>
      </w:pPr>
      <w:bookmarkStart w:id="0" w:name="_GoBack"/>
      <w:bookmarkEnd w:id="0"/>
      <w:r w:rsidRPr="00601237">
        <w:t xml:space="preserve">Understanding the </w:t>
      </w:r>
      <w:r w:rsidR="002E74E9" w:rsidRPr="00601237">
        <w:t>economy</w:t>
      </w:r>
      <w:r w:rsidR="00F03697" w:rsidRPr="00601237">
        <w:noBreakHyphen/>
      </w:r>
      <w:r w:rsidR="002E74E9" w:rsidRPr="00601237">
        <w:t>wide</w:t>
      </w:r>
      <w:r w:rsidR="00DE1F4A" w:rsidRPr="00601237">
        <w:t xml:space="preserve"> efficiency</w:t>
      </w:r>
      <w:r w:rsidRPr="00601237">
        <w:t xml:space="preserve"> </w:t>
      </w:r>
      <w:r w:rsidR="00857FD0" w:rsidRPr="00601237">
        <w:t xml:space="preserve">and incidence </w:t>
      </w:r>
      <w:r w:rsidR="00FF09D8">
        <w:t>of</w:t>
      </w:r>
      <w:r w:rsidR="00FF09D8">
        <w:br/>
      </w:r>
      <w:r w:rsidR="00F62FEF" w:rsidRPr="00601237">
        <w:t xml:space="preserve">major </w:t>
      </w:r>
      <w:r w:rsidRPr="00601237">
        <w:t>Australian taxes</w:t>
      </w:r>
    </w:p>
    <w:p w14:paraId="29DD6909" w14:textId="4FA1477B" w:rsidR="00F012EA" w:rsidRDefault="00A54FAE" w:rsidP="00F012EA">
      <w:pPr>
        <w:pStyle w:val="AuthorName"/>
        <w:rPr>
          <w:szCs w:val="24"/>
        </w:rPr>
      </w:pPr>
      <w:r w:rsidRPr="00A54FAE">
        <w:rPr>
          <w:szCs w:val="24"/>
        </w:rPr>
        <w:t xml:space="preserve">Liangyue </w:t>
      </w:r>
      <w:r>
        <w:rPr>
          <w:szCs w:val="24"/>
        </w:rPr>
        <w:t xml:space="preserve">Cao, </w:t>
      </w:r>
      <w:r w:rsidR="00C76548">
        <w:rPr>
          <w:szCs w:val="24"/>
        </w:rPr>
        <w:t xml:space="preserve">Amanda Hosking, </w:t>
      </w:r>
      <w:r>
        <w:rPr>
          <w:szCs w:val="24"/>
        </w:rPr>
        <w:t xml:space="preserve">Michael Kouparitsas, </w:t>
      </w:r>
      <w:r w:rsidR="007C1D22">
        <w:rPr>
          <w:szCs w:val="24"/>
        </w:rPr>
        <w:t xml:space="preserve">Damian Mullaly, </w:t>
      </w:r>
      <w:r w:rsidR="003D79EE">
        <w:rPr>
          <w:szCs w:val="24"/>
        </w:rPr>
        <w:t>Xavier </w:t>
      </w:r>
      <w:r>
        <w:rPr>
          <w:szCs w:val="24"/>
        </w:rPr>
        <w:t>Rimmer, Qun Shi, Wallace Stark</w:t>
      </w:r>
      <w:r w:rsidR="00F03697">
        <w:rPr>
          <w:szCs w:val="24"/>
        </w:rPr>
        <w:t>,</w:t>
      </w:r>
      <w:r>
        <w:rPr>
          <w:szCs w:val="24"/>
        </w:rPr>
        <w:t xml:space="preserve"> and Sebastian Wende</w:t>
      </w:r>
      <w:r w:rsidR="00F012EA" w:rsidRPr="00F21A41">
        <w:rPr>
          <w:rStyle w:val="FootnoteReference"/>
          <w:szCs w:val="24"/>
        </w:rPr>
        <w:footnoteReference w:id="1"/>
      </w:r>
    </w:p>
    <w:p w14:paraId="29DD690A" w14:textId="77777777" w:rsidR="00F012EA" w:rsidRPr="00F8009C" w:rsidRDefault="00F012EA" w:rsidP="00F012EA">
      <w:pPr>
        <w:pStyle w:val="Subtitle"/>
        <w:tabs>
          <w:tab w:val="left" w:pos="1985"/>
        </w:tabs>
        <w:rPr>
          <w:szCs w:val="40"/>
        </w:rPr>
      </w:pPr>
      <w:r>
        <w:rPr>
          <w:szCs w:val="40"/>
        </w:rPr>
        <w:t>Treasury Working Paper</w:t>
      </w:r>
      <w:r>
        <w:rPr>
          <w:rStyle w:val="FootnoteReference"/>
          <w:szCs w:val="40"/>
        </w:rPr>
        <w:footnoteReference w:id="2"/>
      </w:r>
    </w:p>
    <w:p w14:paraId="29DD690B" w14:textId="745FB674" w:rsidR="00F012EA" w:rsidRPr="00F8009C" w:rsidRDefault="00CC2C2A" w:rsidP="00F012EA">
      <w:pPr>
        <w:pStyle w:val="Subtitle"/>
        <w:rPr>
          <w:szCs w:val="36"/>
        </w:rPr>
      </w:pPr>
      <w:r>
        <w:rPr>
          <w:szCs w:val="36"/>
        </w:rPr>
        <w:t>2015</w:t>
      </w:r>
      <w:r w:rsidR="00F03697">
        <w:rPr>
          <w:szCs w:val="36"/>
        </w:rPr>
        <w:noBreakHyphen/>
      </w:r>
      <w:r>
        <w:rPr>
          <w:szCs w:val="36"/>
        </w:rPr>
        <w:t>01</w:t>
      </w:r>
    </w:p>
    <w:p w14:paraId="29DD690C" w14:textId="4C1D4C46" w:rsidR="00F012EA" w:rsidRPr="0018497C" w:rsidRDefault="00F012EA" w:rsidP="00F012EA">
      <w:pPr>
        <w:pStyle w:val="SeriesNumber"/>
        <w:spacing w:before="120" w:after="120"/>
        <w:rPr>
          <w:sz w:val="24"/>
          <w:szCs w:val="24"/>
        </w:rPr>
      </w:pPr>
      <w:r w:rsidRPr="0018497C">
        <w:rPr>
          <w:sz w:val="24"/>
          <w:szCs w:val="24"/>
        </w:rPr>
        <w:t xml:space="preserve">Date created: </w:t>
      </w:r>
      <w:r w:rsidR="00FC200C">
        <w:rPr>
          <w:sz w:val="24"/>
          <w:szCs w:val="24"/>
        </w:rPr>
        <w:t>April</w:t>
      </w:r>
      <w:r w:rsidR="00CC2C2A">
        <w:rPr>
          <w:sz w:val="24"/>
          <w:szCs w:val="24"/>
        </w:rPr>
        <w:t xml:space="preserve"> 2015</w:t>
      </w:r>
    </w:p>
    <w:p w14:paraId="29DD690E" w14:textId="76E71C13" w:rsidR="00F012EA" w:rsidRDefault="00F012EA" w:rsidP="00380057">
      <w:pPr>
        <w:pStyle w:val="SeriesNumber"/>
        <w:spacing w:before="120" w:after="120"/>
        <w:rPr>
          <w:sz w:val="24"/>
          <w:szCs w:val="24"/>
        </w:rPr>
      </w:pPr>
      <w:r w:rsidRPr="0018497C">
        <w:rPr>
          <w:sz w:val="24"/>
          <w:szCs w:val="24"/>
        </w:rPr>
        <w:t xml:space="preserve">Date </w:t>
      </w:r>
      <w:r>
        <w:rPr>
          <w:sz w:val="24"/>
          <w:szCs w:val="24"/>
        </w:rPr>
        <w:t>modified</w:t>
      </w:r>
      <w:r w:rsidRPr="0018497C">
        <w:rPr>
          <w:sz w:val="24"/>
          <w:szCs w:val="24"/>
        </w:rPr>
        <w:t xml:space="preserve">: </w:t>
      </w:r>
      <w:r w:rsidR="00FC200C">
        <w:rPr>
          <w:sz w:val="24"/>
          <w:szCs w:val="24"/>
        </w:rPr>
        <w:t>April</w:t>
      </w:r>
      <w:r w:rsidR="00CC2C2A">
        <w:rPr>
          <w:sz w:val="24"/>
          <w:szCs w:val="24"/>
        </w:rPr>
        <w:t xml:space="preserve"> 2015</w:t>
      </w:r>
    </w:p>
    <w:p w14:paraId="29DD690F" w14:textId="77777777" w:rsidR="000464B6" w:rsidRDefault="000464B6" w:rsidP="00F012EA">
      <w:pPr>
        <w:pStyle w:val="AuthorName"/>
        <w:rPr>
          <w:szCs w:val="24"/>
        </w:rPr>
        <w:sectPr w:rsidR="000464B6" w:rsidSect="008C0793">
          <w:headerReference w:type="even" r:id="rId9"/>
          <w:headerReference w:type="default" r:id="rId10"/>
          <w:footerReference w:type="even" r:id="rId11"/>
          <w:footerReference w:type="default" r:id="rId12"/>
          <w:headerReference w:type="first" r:id="rId13"/>
          <w:footerReference w:type="first" r:id="rId14"/>
          <w:pgSz w:w="11906" w:h="16838" w:code="9"/>
          <w:pgMar w:top="1418" w:right="1304" w:bottom="1418" w:left="1304" w:header="567" w:footer="567" w:gutter="0"/>
          <w:cols w:space="708"/>
          <w:titlePg/>
          <w:docGrid w:linePitch="360"/>
        </w:sectPr>
      </w:pPr>
    </w:p>
    <w:p w14:paraId="29DD6910" w14:textId="58E80FAB" w:rsidR="000464B6" w:rsidRDefault="000464B6" w:rsidP="000464B6">
      <w:r w:rsidRPr="00661BF0">
        <w:lastRenderedPageBreak/>
        <w:t xml:space="preserve">© Commonwealth of Australia </w:t>
      </w:r>
      <w:r w:rsidR="003D79EE" w:rsidRPr="003D79EE">
        <w:t>20</w:t>
      </w:r>
      <w:r w:rsidR="003D79EE">
        <w:t>1</w:t>
      </w:r>
      <w:r w:rsidR="00CC2C2A">
        <w:t>5</w:t>
      </w:r>
    </w:p>
    <w:p w14:paraId="29DD6911" w14:textId="3C71757F" w:rsidR="000464B6" w:rsidRPr="00464A16" w:rsidRDefault="000464B6" w:rsidP="000464B6">
      <w:r w:rsidRPr="00464A16">
        <w:t xml:space="preserve">ISBN </w:t>
      </w:r>
      <w:r w:rsidR="004B6413" w:rsidRPr="004B6413">
        <w:t>978-1-925220-26-1</w:t>
      </w:r>
    </w:p>
    <w:p w14:paraId="29DD6912"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5"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6"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29DD6913"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en-AU"/>
        </w:rPr>
        <w:drawing>
          <wp:inline distT="0" distB="0" distL="0" distR="0" wp14:anchorId="29DD6B76" wp14:editId="29DD6B77">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9DD6914" w14:textId="66D55ECF"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18"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licence requires you to attribute the work (but not in any way that suggests that the Treasury endorses you or your use of the work).</w:t>
      </w:r>
    </w:p>
    <w:p w14:paraId="29DD6915" w14:textId="498DF7F3" w:rsidR="000464B6" w:rsidRPr="002F1BC2" w:rsidRDefault="003D79EE" w:rsidP="003D79EE">
      <w:pPr>
        <w:ind w:left="709" w:hanging="709"/>
        <w:rPr>
          <w:i/>
        </w:rPr>
      </w:pPr>
      <w:r>
        <w:rPr>
          <w:i/>
        </w:rPr>
        <w:t xml:space="preserve"> </w:t>
      </w:r>
      <w:r>
        <w:rPr>
          <w:i/>
        </w:rPr>
        <w:tab/>
      </w:r>
      <w:r w:rsidR="000464B6" w:rsidRPr="002F1BC2">
        <w:rPr>
          <w:i/>
        </w:rPr>
        <w:t xml:space="preserve">Treasury material used </w:t>
      </w:r>
      <w:r w:rsidR="00F03697">
        <w:rPr>
          <w:i/>
        </w:rPr>
        <w:t>‘</w:t>
      </w:r>
      <w:r w:rsidR="000464B6" w:rsidRPr="002F1BC2">
        <w:rPr>
          <w:i/>
        </w:rPr>
        <w:t>as supplied</w:t>
      </w:r>
      <w:r w:rsidR="00F03697">
        <w:rPr>
          <w:i/>
        </w:rPr>
        <w:t>’.</w:t>
      </w:r>
    </w:p>
    <w:p w14:paraId="29DD6916" w14:textId="5A8C7925"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003D04AC">
        <w:t>he following attribution:</w:t>
      </w:r>
    </w:p>
    <w:p w14:paraId="29DD6917" w14:textId="725BDF2F" w:rsidR="000464B6" w:rsidRPr="00A13A11" w:rsidRDefault="000464B6" w:rsidP="000464B6">
      <w:pPr>
        <w:ind w:firstLine="720"/>
      </w:pPr>
      <w:r w:rsidRPr="002F1BC2">
        <w:rPr>
          <w:i/>
        </w:rPr>
        <w:t xml:space="preserve">Source: The </w:t>
      </w:r>
      <w:r w:rsidRPr="002F1BC2">
        <w:rPr>
          <w:i/>
          <w:iCs/>
        </w:rPr>
        <w:t>Australian Government the Treasury</w:t>
      </w:r>
      <w:r w:rsidR="00F03697">
        <w:rPr>
          <w:i/>
          <w:iCs/>
        </w:rPr>
        <w:t>.</w:t>
      </w:r>
    </w:p>
    <w:p w14:paraId="29DD6918" w14:textId="77777777" w:rsidR="000464B6" w:rsidRPr="006627B4" w:rsidRDefault="000464B6" w:rsidP="000464B6">
      <w:r w:rsidRPr="006627B4">
        <w:t>Derivative material</w:t>
      </w:r>
    </w:p>
    <w:p w14:paraId="29DD6919" w14:textId="1856AD3D" w:rsidR="000464B6" w:rsidRPr="006627B4" w:rsidRDefault="000464B6" w:rsidP="000464B6">
      <w:r w:rsidRPr="006627B4">
        <w:t>If you have modified or transformed Treasury material, or derived new material from those of the Treasury in any way, then Treasury pre</w:t>
      </w:r>
      <w:r w:rsidR="003D04AC">
        <w:t>fers the following attribution:</w:t>
      </w:r>
    </w:p>
    <w:p w14:paraId="29DD691A" w14:textId="5E8012BE" w:rsidR="000464B6" w:rsidRPr="006627B4" w:rsidRDefault="000464B6" w:rsidP="000464B6">
      <w:pPr>
        <w:ind w:firstLine="720"/>
      </w:pPr>
      <w:r w:rsidRPr="002F1BC2">
        <w:rPr>
          <w:i/>
        </w:rPr>
        <w:t>Based on The Australian Government the Treasury data</w:t>
      </w:r>
      <w:r w:rsidR="00F03697">
        <w:rPr>
          <w:i/>
        </w:rPr>
        <w:t>.</w:t>
      </w:r>
    </w:p>
    <w:p w14:paraId="29DD691B" w14:textId="77777777" w:rsidR="000464B6" w:rsidRPr="006627B4" w:rsidRDefault="000464B6" w:rsidP="000464B6">
      <w:pPr>
        <w:spacing w:after="40"/>
        <w:rPr>
          <w:b/>
        </w:rPr>
      </w:pPr>
      <w:r w:rsidRPr="006627B4">
        <w:rPr>
          <w:b/>
        </w:rPr>
        <w:t>Use of the Coat of Arms</w:t>
      </w:r>
    </w:p>
    <w:p w14:paraId="29DD691C" w14:textId="26A97C7F" w:rsidR="000464B6" w:rsidRPr="006627B4" w:rsidRDefault="000464B6" w:rsidP="000464B6">
      <w:r w:rsidRPr="006627B4">
        <w:t>The terms under which the Coat of Arms can be used are set out on the It</w:t>
      </w:r>
      <w:r w:rsidR="00F03697">
        <w:t>’</w:t>
      </w:r>
      <w:r w:rsidRPr="006627B4">
        <w:t>s an Honour website</w:t>
      </w:r>
      <w:r w:rsidR="00F03697">
        <w:br/>
      </w:r>
      <w:r w:rsidRPr="006627B4">
        <w:t xml:space="preserve">(see </w:t>
      </w:r>
      <w:hyperlink r:id="rId19" w:history="1">
        <w:r w:rsidRPr="006627B4">
          <w:t>www.itsanhonour.gov.au</w:t>
        </w:r>
      </w:hyperlink>
      <w:r w:rsidRPr="006627B4">
        <w:t>)</w:t>
      </w:r>
      <w:r w:rsidR="003D04AC">
        <w:t>.</w:t>
      </w:r>
    </w:p>
    <w:p w14:paraId="29DD691D" w14:textId="0EB89876" w:rsidR="000464B6" w:rsidRPr="006627B4" w:rsidRDefault="003D79EE" w:rsidP="000464B6">
      <w:pPr>
        <w:spacing w:after="40"/>
        <w:rPr>
          <w:b/>
        </w:rPr>
      </w:pPr>
      <w:r>
        <w:rPr>
          <w:b/>
        </w:rPr>
        <w:t>Other u</w:t>
      </w:r>
      <w:r w:rsidR="000464B6" w:rsidRPr="006627B4">
        <w:rPr>
          <w:b/>
        </w:rPr>
        <w:t>ses</w:t>
      </w:r>
    </w:p>
    <w:p w14:paraId="29DD691E" w14:textId="19A85380" w:rsidR="000464B6" w:rsidRPr="006627B4" w:rsidRDefault="003D79EE" w:rsidP="000464B6">
      <w:r>
        <w:t>E</w:t>
      </w:r>
      <w:r w:rsidR="000464B6" w:rsidRPr="006627B4">
        <w:t>nquiries regarding this licence and any other use of this document are welcome at:</w:t>
      </w:r>
    </w:p>
    <w:p w14:paraId="29DD691F" w14:textId="77777777" w:rsidR="000464B6" w:rsidRPr="006627B4" w:rsidRDefault="000464B6" w:rsidP="000464B6">
      <w:pPr>
        <w:spacing w:after="0"/>
        <w:ind w:left="720"/>
      </w:pPr>
      <w:r w:rsidRPr="006627B4">
        <w:t>Manager</w:t>
      </w:r>
    </w:p>
    <w:p w14:paraId="29DD6920" w14:textId="77777777" w:rsidR="000464B6" w:rsidRPr="006627B4" w:rsidRDefault="000464B6" w:rsidP="000464B6">
      <w:pPr>
        <w:spacing w:after="0"/>
        <w:ind w:left="720"/>
      </w:pPr>
      <w:r w:rsidRPr="006627B4">
        <w:t xml:space="preserve">Communications </w:t>
      </w:r>
    </w:p>
    <w:p w14:paraId="29DD6921" w14:textId="77777777" w:rsidR="000464B6" w:rsidRPr="006627B4" w:rsidRDefault="000464B6" w:rsidP="000464B6">
      <w:pPr>
        <w:spacing w:after="0"/>
        <w:ind w:left="720"/>
      </w:pPr>
      <w:r w:rsidRPr="006627B4">
        <w:t>The Treasury</w:t>
      </w:r>
    </w:p>
    <w:p w14:paraId="29DD6922" w14:textId="77777777" w:rsidR="000464B6" w:rsidRPr="006627B4" w:rsidRDefault="000464B6" w:rsidP="000464B6">
      <w:pPr>
        <w:spacing w:after="0"/>
        <w:ind w:left="720"/>
      </w:pPr>
      <w:r w:rsidRPr="006627B4">
        <w:t>Langton Crescent Parkes ACT 2600</w:t>
      </w:r>
    </w:p>
    <w:p w14:paraId="29DD6923" w14:textId="77777777" w:rsidR="000464B6" w:rsidRDefault="000464B6" w:rsidP="000464B6">
      <w:pPr>
        <w:spacing w:after="0"/>
        <w:ind w:left="720"/>
        <w:rPr>
          <w:rStyle w:val="Hyperlink"/>
        </w:rPr>
      </w:pPr>
      <w:r w:rsidRPr="006627B4">
        <w:t xml:space="preserve">Email: </w:t>
      </w:r>
      <w:hyperlink r:id="rId20" w:history="1">
        <w:r w:rsidRPr="00573329">
          <w:rPr>
            <w:rStyle w:val="Hyperlink"/>
          </w:rPr>
          <w:t>medialiaison@treasury.gov.au</w:t>
        </w:r>
      </w:hyperlink>
      <w:r w:rsidRPr="002F1BC2">
        <w:rPr>
          <w:rStyle w:val="Hyperlink"/>
        </w:rPr>
        <w:t xml:space="preserve"> </w:t>
      </w:r>
    </w:p>
    <w:p w14:paraId="29DD6924" w14:textId="77777777" w:rsidR="000464B6" w:rsidRPr="000464B6" w:rsidRDefault="000464B6" w:rsidP="000464B6"/>
    <w:p w14:paraId="29DD6925" w14:textId="77777777" w:rsidR="000464B6" w:rsidRDefault="000464B6" w:rsidP="000464B6">
      <w:pPr>
        <w:spacing w:after="0"/>
        <w:ind w:left="720"/>
        <w:rPr>
          <w:rStyle w:val="Hyperlink"/>
        </w:rPr>
        <w:sectPr w:rsidR="000464B6" w:rsidSect="008C0793">
          <w:headerReference w:type="even" r:id="rId21"/>
          <w:headerReference w:type="default" r:id="rId22"/>
          <w:headerReference w:type="first" r:id="rId23"/>
          <w:footerReference w:type="first" r:id="rId24"/>
          <w:pgSz w:w="11906" w:h="16838" w:code="9"/>
          <w:pgMar w:top="1418" w:right="1304" w:bottom="1418" w:left="1304" w:header="567" w:footer="567" w:gutter="0"/>
          <w:cols w:space="708"/>
          <w:titlePg/>
          <w:docGrid w:linePitch="360"/>
        </w:sectPr>
      </w:pPr>
    </w:p>
    <w:p w14:paraId="29DD6926" w14:textId="0965F7E4" w:rsidR="00F012EA" w:rsidRPr="00601237" w:rsidRDefault="00A54FAE" w:rsidP="00F012EA">
      <w:pPr>
        <w:pStyle w:val="SingleParagraph"/>
      </w:pPr>
      <w:r w:rsidRPr="00601237">
        <w:lastRenderedPageBreak/>
        <w:t xml:space="preserve">Understanding the </w:t>
      </w:r>
      <w:r w:rsidR="00836AFE" w:rsidRPr="00601237">
        <w:t>economy</w:t>
      </w:r>
      <w:r w:rsidR="00F03697" w:rsidRPr="00601237">
        <w:noBreakHyphen/>
      </w:r>
      <w:r w:rsidR="00836AFE" w:rsidRPr="00601237">
        <w:t>wide</w:t>
      </w:r>
      <w:r w:rsidR="00DE1F4A" w:rsidRPr="00601237">
        <w:t xml:space="preserve"> efficiency</w:t>
      </w:r>
      <w:r w:rsidRPr="00601237">
        <w:t xml:space="preserve"> </w:t>
      </w:r>
      <w:r w:rsidR="00857FD0" w:rsidRPr="00601237">
        <w:t xml:space="preserve">and incidence </w:t>
      </w:r>
      <w:r w:rsidRPr="00601237">
        <w:t>of major Australian taxes</w:t>
      </w:r>
    </w:p>
    <w:p w14:paraId="29DD6927" w14:textId="794021C1" w:rsidR="00F012EA" w:rsidRDefault="00A54FAE" w:rsidP="00F012EA">
      <w:pPr>
        <w:pStyle w:val="SingleParagraph"/>
      </w:pPr>
      <w:r w:rsidRPr="00A54FAE">
        <w:rPr>
          <w:szCs w:val="24"/>
        </w:rPr>
        <w:t xml:space="preserve">Liangyue </w:t>
      </w:r>
      <w:r>
        <w:rPr>
          <w:szCs w:val="24"/>
        </w:rPr>
        <w:t xml:space="preserve">Cao, </w:t>
      </w:r>
      <w:r w:rsidR="00C76548">
        <w:rPr>
          <w:szCs w:val="24"/>
        </w:rPr>
        <w:t xml:space="preserve">Amanda Hosking, </w:t>
      </w:r>
      <w:r>
        <w:rPr>
          <w:szCs w:val="24"/>
        </w:rPr>
        <w:t xml:space="preserve">Michael Kouparitsas, </w:t>
      </w:r>
      <w:r w:rsidR="00064889">
        <w:rPr>
          <w:szCs w:val="24"/>
        </w:rPr>
        <w:t xml:space="preserve">Damian Mullaly, </w:t>
      </w:r>
      <w:r w:rsidR="003D79EE">
        <w:rPr>
          <w:szCs w:val="24"/>
        </w:rPr>
        <w:t>Xavier Rimmer, Qun Shi, Wallace </w:t>
      </w:r>
      <w:r>
        <w:rPr>
          <w:szCs w:val="24"/>
        </w:rPr>
        <w:t>Stark</w:t>
      </w:r>
      <w:r w:rsidR="00F03697">
        <w:rPr>
          <w:szCs w:val="24"/>
        </w:rPr>
        <w:t>,</w:t>
      </w:r>
      <w:r>
        <w:rPr>
          <w:szCs w:val="24"/>
        </w:rPr>
        <w:t xml:space="preserve"> and Sebastian Wende</w:t>
      </w:r>
      <w:r w:rsidR="00F03697">
        <w:rPr>
          <w:szCs w:val="24"/>
        </w:rPr>
        <w:t>.</w:t>
      </w:r>
    </w:p>
    <w:p w14:paraId="29DD6928" w14:textId="7E239E34" w:rsidR="00F012EA" w:rsidRDefault="00F012EA" w:rsidP="00F012EA">
      <w:pPr>
        <w:pStyle w:val="SingleParagraph"/>
      </w:pPr>
      <w:r w:rsidRPr="00601237">
        <w:t>20</w:t>
      </w:r>
      <w:r w:rsidR="00A54FAE" w:rsidRPr="00601237">
        <w:t>1</w:t>
      </w:r>
      <w:r w:rsidR="00CC2C2A">
        <w:t>5</w:t>
      </w:r>
      <w:r w:rsidR="00F03697" w:rsidRPr="00601237">
        <w:noBreakHyphen/>
      </w:r>
      <w:r w:rsidR="00FF27C2" w:rsidRPr="00601237">
        <w:t>0</w:t>
      </w:r>
      <w:r w:rsidR="00CC2C2A">
        <w:t>1</w:t>
      </w:r>
    </w:p>
    <w:p w14:paraId="29DD6929" w14:textId="3A782CCE" w:rsidR="00F012EA" w:rsidRDefault="00FC200C" w:rsidP="00F012EA">
      <w:pPr>
        <w:pStyle w:val="SingleParagraph"/>
      </w:pPr>
      <w:r>
        <w:t>April</w:t>
      </w:r>
      <w:r w:rsidR="004737A4">
        <w:t xml:space="preserve"> </w:t>
      </w:r>
      <w:r w:rsidR="00601237">
        <w:t>201</w:t>
      </w:r>
      <w:r w:rsidR="00CC2C2A">
        <w:t>5</w:t>
      </w:r>
    </w:p>
    <w:p w14:paraId="29DD692A" w14:textId="77777777" w:rsidR="00F012EA" w:rsidRDefault="00F012EA" w:rsidP="00F012EA">
      <w:pPr>
        <w:pStyle w:val="Heading1"/>
      </w:pPr>
      <w:r>
        <w:t>Abstract</w:t>
      </w:r>
    </w:p>
    <w:p w14:paraId="29DD692B" w14:textId="49C701D1" w:rsidR="00F45163" w:rsidRDefault="003E79E7" w:rsidP="00AC6C7D">
      <w:pPr>
        <w:spacing w:after="0"/>
        <w:rPr>
          <w:lang w:val="en-US" w:eastAsia="en-AU"/>
        </w:rPr>
      </w:pPr>
      <w:r w:rsidRPr="008A18C5">
        <w:t xml:space="preserve">In recent years, a series of studies have been undertaken in Australia that use static general equilibrium models with a representative household to compare the relative efficiency of different Australian taxes. </w:t>
      </w:r>
      <w:r w:rsidR="00A3065D" w:rsidRPr="008A18C5">
        <w:t xml:space="preserve">This paper aims to complement these earlier studies and contribute to </w:t>
      </w:r>
      <w:r w:rsidR="003778D9" w:rsidRPr="008A18C5">
        <w:t xml:space="preserve">a </w:t>
      </w:r>
      <w:r w:rsidR="00A3065D" w:rsidRPr="008A18C5">
        <w:t>broader discussion about the structure of Australia</w:t>
      </w:r>
      <w:r w:rsidR="00F03697">
        <w:t>’</w:t>
      </w:r>
      <w:r w:rsidR="00A3065D" w:rsidRPr="008A18C5">
        <w:t>s tax system</w:t>
      </w:r>
      <w:r w:rsidR="003778D9" w:rsidRPr="008A18C5">
        <w:t xml:space="preserve"> by estimating the welfare cost and </w:t>
      </w:r>
      <w:r w:rsidR="00067682" w:rsidRPr="008A18C5">
        <w:t xml:space="preserve">identifying the </w:t>
      </w:r>
      <w:r w:rsidR="003778D9" w:rsidRPr="008A18C5">
        <w:t>economic incidence of marginal changes to the tax system</w:t>
      </w:r>
      <w:r w:rsidR="00A3065D" w:rsidRPr="008A18C5">
        <w:t xml:space="preserve">. </w:t>
      </w:r>
      <w:r w:rsidR="00EE6427" w:rsidRPr="008A18C5">
        <w:rPr>
          <w:lang w:val="en-US" w:eastAsia="en-AU"/>
        </w:rPr>
        <w:t xml:space="preserve">Our estimates of the </w:t>
      </w:r>
      <w:r w:rsidR="00067682" w:rsidRPr="008A18C5">
        <w:rPr>
          <w:lang w:val="en-US" w:eastAsia="en-AU"/>
        </w:rPr>
        <w:t>additional welfare cost of a marginal tax change (</w:t>
      </w:r>
      <w:r w:rsidR="00621AD1">
        <w:rPr>
          <w:lang w:val="en-US" w:eastAsia="en-AU"/>
        </w:rPr>
        <w:t>that is</w:t>
      </w:r>
      <w:r w:rsidR="00067682" w:rsidRPr="008A18C5">
        <w:rPr>
          <w:lang w:val="en-US" w:eastAsia="en-AU"/>
        </w:rPr>
        <w:t xml:space="preserve">, the </w:t>
      </w:r>
      <w:r w:rsidR="00EE6427" w:rsidRPr="008A18C5">
        <w:rPr>
          <w:lang w:val="en-US" w:eastAsia="en-AU"/>
        </w:rPr>
        <w:t>marginal excess burden</w:t>
      </w:r>
      <w:r w:rsidR="00067682" w:rsidRPr="008A18C5">
        <w:rPr>
          <w:lang w:val="en-US" w:eastAsia="en-AU"/>
        </w:rPr>
        <w:t>)</w:t>
      </w:r>
      <w:r w:rsidR="00EE6427" w:rsidRPr="008A18C5">
        <w:rPr>
          <w:lang w:val="en-US" w:eastAsia="en-AU"/>
        </w:rPr>
        <w:t xml:space="preserve"> of </w:t>
      </w:r>
      <w:r w:rsidR="00A33229" w:rsidRPr="008A18C5">
        <w:rPr>
          <w:lang w:val="en-US" w:eastAsia="en-AU"/>
        </w:rPr>
        <w:t xml:space="preserve">major Australian </w:t>
      </w:r>
      <w:r w:rsidR="00EE6427" w:rsidRPr="008A18C5">
        <w:rPr>
          <w:lang w:val="en-US" w:eastAsia="en-AU"/>
        </w:rPr>
        <w:t xml:space="preserve">taxes largely align with estimates reported in </w:t>
      </w:r>
      <w:r w:rsidR="00A33229" w:rsidRPr="008A18C5">
        <w:rPr>
          <w:lang w:val="en-US" w:eastAsia="en-AU"/>
        </w:rPr>
        <w:t>earlier</w:t>
      </w:r>
      <w:r w:rsidR="00EE6427" w:rsidRPr="008A18C5">
        <w:rPr>
          <w:lang w:val="en-US" w:eastAsia="en-AU"/>
        </w:rPr>
        <w:t xml:space="preserve"> Australian studies</w:t>
      </w:r>
      <w:r w:rsidR="00A33229" w:rsidRPr="008A18C5">
        <w:rPr>
          <w:lang w:val="en-US" w:eastAsia="en-AU"/>
        </w:rPr>
        <w:t>.</w:t>
      </w:r>
      <w:r w:rsidR="00067682" w:rsidRPr="008A18C5">
        <w:rPr>
          <w:lang w:val="en-US" w:eastAsia="en-AU"/>
        </w:rPr>
        <w:t xml:space="preserve"> Consistent with earlier studies, stamp duty on conveyances and the company income tax are the least efficient taxes (</w:t>
      </w:r>
      <w:r w:rsidR="00621AD1">
        <w:rPr>
          <w:lang w:val="en-US" w:eastAsia="en-AU"/>
        </w:rPr>
        <w:t>that is</w:t>
      </w:r>
      <w:r w:rsidR="00067682" w:rsidRPr="008A18C5">
        <w:rPr>
          <w:lang w:val="en-US" w:eastAsia="en-AU"/>
        </w:rPr>
        <w:t>, they have relatively high marginal excess burdens), while the most efficient tax is a hypothetical broad</w:t>
      </w:r>
      <w:r w:rsidR="00F03697">
        <w:rPr>
          <w:lang w:val="en-US" w:eastAsia="en-AU"/>
        </w:rPr>
        <w:noBreakHyphen/>
      </w:r>
      <w:r w:rsidR="00067682" w:rsidRPr="008A18C5">
        <w:rPr>
          <w:lang w:val="en-US" w:eastAsia="en-AU"/>
        </w:rPr>
        <w:t>based land tax.</w:t>
      </w:r>
      <w:r w:rsidR="00EE6427" w:rsidRPr="008A18C5">
        <w:rPr>
          <w:lang w:val="en-US" w:eastAsia="en-AU"/>
        </w:rPr>
        <w:t xml:space="preserve"> </w:t>
      </w:r>
      <w:r w:rsidR="00A33229" w:rsidRPr="008A18C5">
        <w:t xml:space="preserve">We </w:t>
      </w:r>
      <w:r w:rsidR="00F368F0" w:rsidRPr="008A18C5">
        <w:t>test the</w:t>
      </w:r>
      <w:r w:rsidR="00162941" w:rsidRPr="008A18C5">
        <w:t xml:space="preserve"> </w:t>
      </w:r>
      <w:r w:rsidR="00A33229" w:rsidRPr="008A18C5">
        <w:t>sensitivity</w:t>
      </w:r>
      <w:r w:rsidR="00162941" w:rsidRPr="008A18C5">
        <w:t xml:space="preserve"> </w:t>
      </w:r>
      <w:r w:rsidR="00A33229" w:rsidRPr="008A18C5">
        <w:t xml:space="preserve">of the ranking of the efficiency </w:t>
      </w:r>
      <w:r w:rsidR="00067682" w:rsidRPr="008A18C5">
        <w:t>of</w:t>
      </w:r>
      <w:r w:rsidR="00A33229" w:rsidRPr="008A18C5">
        <w:t xml:space="preserve"> major Australian taxes to a range of assumptions about economic agents and the struc</w:t>
      </w:r>
      <w:r w:rsidR="00067682" w:rsidRPr="008A18C5">
        <w:t xml:space="preserve">ture of the Australian economy and </w:t>
      </w:r>
      <w:r w:rsidR="00A33229" w:rsidRPr="008A18C5">
        <w:t xml:space="preserve">find that </w:t>
      </w:r>
      <w:r w:rsidR="00067682" w:rsidRPr="008A18C5">
        <w:t xml:space="preserve">the </w:t>
      </w:r>
      <w:r w:rsidR="00EE6427" w:rsidRPr="008A18C5">
        <w:rPr>
          <w:lang w:val="en-US" w:eastAsia="en-AU"/>
        </w:rPr>
        <w:t xml:space="preserve">relative </w:t>
      </w:r>
      <w:r w:rsidR="00A33229" w:rsidRPr="008A18C5">
        <w:rPr>
          <w:lang w:val="en-US" w:eastAsia="en-AU"/>
        </w:rPr>
        <w:t xml:space="preserve">marginal excess burden of major Australian taxes is </w:t>
      </w:r>
      <w:r w:rsidR="00EE6427" w:rsidRPr="008A18C5">
        <w:rPr>
          <w:lang w:val="en-US" w:eastAsia="en-AU"/>
        </w:rPr>
        <w:t xml:space="preserve">robust </w:t>
      </w:r>
      <w:r w:rsidR="00A33229" w:rsidRPr="008A18C5">
        <w:rPr>
          <w:lang w:val="en-US" w:eastAsia="en-AU"/>
        </w:rPr>
        <w:t>to</w:t>
      </w:r>
      <w:r w:rsidR="00EE6427" w:rsidRPr="008A18C5">
        <w:rPr>
          <w:lang w:val="en-US" w:eastAsia="en-AU"/>
        </w:rPr>
        <w:t xml:space="preserve"> a </w:t>
      </w:r>
      <w:r w:rsidR="003778D9" w:rsidRPr="008A18C5">
        <w:rPr>
          <w:lang w:val="en-US" w:eastAsia="en-AU"/>
        </w:rPr>
        <w:t xml:space="preserve">wide </w:t>
      </w:r>
      <w:r w:rsidR="00EE6427" w:rsidRPr="008A18C5">
        <w:rPr>
          <w:lang w:val="en-US" w:eastAsia="en-AU"/>
        </w:rPr>
        <w:t xml:space="preserve">range of model parameters. </w:t>
      </w:r>
      <w:r w:rsidR="00067682" w:rsidRPr="008A18C5">
        <w:rPr>
          <w:lang w:val="en-US" w:eastAsia="en-AU"/>
        </w:rPr>
        <w:t xml:space="preserve">Finally, we show that the incidence of major taxes is largely borne by workers through lower real wages caused by lower </w:t>
      </w:r>
      <w:r w:rsidR="00EB2825" w:rsidRPr="008A18C5">
        <w:rPr>
          <w:lang w:val="en-US" w:eastAsia="en-AU"/>
        </w:rPr>
        <w:t xml:space="preserve">labour </w:t>
      </w:r>
      <w:r w:rsidR="00067682" w:rsidRPr="008A18C5">
        <w:rPr>
          <w:lang w:val="en-US" w:eastAsia="en-AU"/>
        </w:rPr>
        <w:t>productivity.</w:t>
      </w:r>
    </w:p>
    <w:p w14:paraId="3CC6C84C" w14:textId="77777777" w:rsidR="00AC6C7D" w:rsidRDefault="00AC6C7D" w:rsidP="00AC6C7D">
      <w:pPr>
        <w:pStyle w:val="SingleParagraph"/>
      </w:pPr>
    </w:p>
    <w:p w14:paraId="29DD692D" w14:textId="77777777" w:rsidR="00F012EA" w:rsidRDefault="00F012EA" w:rsidP="00F012EA">
      <w:pPr>
        <w:pStyle w:val="SingleParagraph"/>
      </w:pPr>
      <w:r>
        <w:t xml:space="preserve">JEL Classification Numbers: </w:t>
      </w:r>
      <w:r w:rsidR="00772F66">
        <w:t>H21, H22, H30</w:t>
      </w:r>
    </w:p>
    <w:p w14:paraId="29DD692E" w14:textId="77777777" w:rsidR="00F012EA" w:rsidRDefault="00F012EA" w:rsidP="00F012EA">
      <w:pPr>
        <w:pStyle w:val="SingleParagraph"/>
      </w:pPr>
      <w:r>
        <w:t xml:space="preserve">Keywords: </w:t>
      </w:r>
      <w:r w:rsidR="00302EE8">
        <w:t xml:space="preserve">marginal </w:t>
      </w:r>
      <w:r w:rsidR="00A54FAE">
        <w:t>excess burden; economic incidence; tax revenue</w:t>
      </w:r>
    </w:p>
    <w:p w14:paraId="29DD692F" w14:textId="77777777" w:rsidR="00F012EA" w:rsidRDefault="00F012EA" w:rsidP="00AC6C7D">
      <w:pPr>
        <w:pStyle w:val="SingleParagraph"/>
      </w:pPr>
    </w:p>
    <w:p w14:paraId="29DD6931" w14:textId="382BFCB3" w:rsidR="00F012EA" w:rsidRPr="00AC6C7D" w:rsidRDefault="00A54FAE" w:rsidP="00AC6C7D">
      <w:pPr>
        <w:pStyle w:val="SingleParagraph"/>
      </w:pPr>
      <w:r w:rsidRPr="00AC6C7D">
        <w:t xml:space="preserve">Liangyue Cao, Michael Kouparitsas, </w:t>
      </w:r>
      <w:r w:rsidR="00064889" w:rsidRPr="00AC6C7D">
        <w:t xml:space="preserve">Damian Mullaly, </w:t>
      </w:r>
      <w:r w:rsidRPr="00AC6C7D">
        <w:t>Xavier Rimmer, Qun Shi, Wallace Stark</w:t>
      </w:r>
      <w:r w:rsidR="00FF303A">
        <w:t>,</w:t>
      </w:r>
      <w:r w:rsidRPr="00AC6C7D">
        <w:t xml:space="preserve"> and Sebastian Wende</w:t>
      </w:r>
      <w:r w:rsidR="00AC6C7D" w:rsidRPr="00AC6C7D">
        <w:br/>
      </w:r>
      <w:r w:rsidRPr="00AC6C7D">
        <w:t>Macroeconomic Modelling and Policy Division</w:t>
      </w:r>
    </w:p>
    <w:p w14:paraId="29DD6932" w14:textId="77777777" w:rsidR="00F012EA" w:rsidRPr="00AC6C7D" w:rsidRDefault="00A54FAE" w:rsidP="00AC6C7D">
      <w:pPr>
        <w:pStyle w:val="SingleParagraph"/>
      </w:pPr>
      <w:r w:rsidRPr="00AC6C7D">
        <w:t>Macroeconomic Group</w:t>
      </w:r>
    </w:p>
    <w:p w14:paraId="29DD6933" w14:textId="77777777" w:rsidR="00F012EA" w:rsidRPr="00AC6C7D" w:rsidRDefault="00F012EA" w:rsidP="00AC6C7D">
      <w:pPr>
        <w:pStyle w:val="SingleParagraph"/>
      </w:pPr>
      <w:r w:rsidRPr="00AC6C7D">
        <w:t>The Treasury</w:t>
      </w:r>
    </w:p>
    <w:p w14:paraId="29DD6934" w14:textId="77777777" w:rsidR="00F012EA" w:rsidRPr="00AC6C7D" w:rsidRDefault="00F012EA" w:rsidP="00AC6C7D">
      <w:pPr>
        <w:pStyle w:val="SingleParagraph"/>
      </w:pPr>
      <w:r w:rsidRPr="00AC6C7D">
        <w:t>Langton Crescent</w:t>
      </w:r>
    </w:p>
    <w:p w14:paraId="29DD6935" w14:textId="77777777" w:rsidR="00F012EA" w:rsidRPr="00AC6C7D" w:rsidRDefault="00022448" w:rsidP="00AC6C7D">
      <w:pPr>
        <w:pStyle w:val="SingleParagraph"/>
      </w:pPr>
      <w:r w:rsidRPr="00AC6C7D">
        <w:t>Parkes ACT</w:t>
      </w:r>
      <w:r w:rsidR="00F012EA" w:rsidRPr="00AC6C7D">
        <w:t xml:space="preserve"> 2600</w:t>
      </w:r>
    </w:p>
    <w:p w14:paraId="29DD6936" w14:textId="77777777" w:rsidR="00F012EA" w:rsidRDefault="00F012EA" w:rsidP="00AC6C7D">
      <w:pPr>
        <w:pStyle w:val="SingleParagraph"/>
      </w:pPr>
    </w:p>
    <w:p w14:paraId="178BAF9E" w14:textId="1FBA6FAD" w:rsidR="00C76548" w:rsidRDefault="00C76548" w:rsidP="00C76548">
      <w:pPr>
        <w:pStyle w:val="SingleParagraph"/>
      </w:pPr>
      <w:r>
        <w:rPr>
          <w:szCs w:val="24"/>
        </w:rPr>
        <w:t>Amanda Hosking</w:t>
      </w:r>
    </w:p>
    <w:p w14:paraId="64DCFE24" w14:textId="531BB7AB" w:rsidR="00C76548" w:rsidRDefault="00C76548" w:rsidP="00C76548">
      <w:pPr>
        <w:pStyle w:val="SingleParagraph"/>
      </w:pPr>
      <w:r>
        <w:t xml:space="preserve">Tax </w:t>
      </w:r>
      <w:r w:rsidR="000F0752">
        <w:t>White Paper task force</w:t>
      </w:r>
    </w:p>
    <w:p w14:paraId="0D0E8F56" w14:textId="11A97B61" w:rsidR="00C76548" w:rsidRDefault="00C76548" w:rsidP="00C76548">
      <w:pPr>
        <w:pStyle w:val="SingleParagraph"/>
      </w:pPr>
      <w:r>
        <w:t>Revenue Group</w:t>
      </w:r>
    </w:p>
    <w:p w14:paraId="029D8B12" w14:textId="77777777" w:rsidR="00C76548" w:rsidRDefault="00C76548" w:rsidP="00C76548">
      <w:pPr>
        <w:pStyle w:val="SingleParagraph"/>
      </w:pPr>
      <w:r>
        <w:t>The Treasury</w:t>
      </w:r>
    </w:p>
    <w:p w14:paraId="70ECE72F" w14:textId="77777777" w:rsidR="00C76548" w:rsidRDefault="00C76548" w:rsidP="00C76548">
      <w:pPr>
        <w:pStyle w:val="SingleParagraph"/>
      </w:pPr>
      <w:r>
        <w:t>Langton Crescent</w:t>
      </w:r>
    </w:p>
    <w:p w14:paraId="4B6DF860" w14:textId="77777777" w:rsidR="00C76548" w:rsidRDefault="00C76548" w:rsidP="00C76548">
      <w:pPr>
        <w:pStyle w:val="SingleParagraph"/>
      </w:pPr>
      <w:r>
        <w:t>Parkes ACT 2600</w:t>
      </w:r>
    </w:p>
    <w:p w14:paraId="03420A24" w14:textId="77777777" w:rsidR="00C76548" w:rsidRDefault="00C76548" w:rsidP="008627B1"/>
    <w:p w14:paraId="29DD6937" w14:textId="77777777" w:rsidR="00F012EA" w:rsidRDefault="00F012EA" w:rsidP="008627B1"/>
    <w:p w14:paraId="29DD6938" w14:textId="77777777" w:rsidR="00F012EA" w:rsidRDefault="00F012EA" w:rsidP="008627B1">
      <w:pPr>
        <w:sectPr w:rsidR="00F012EA" w:rsidSect="008C0793">
          <w:footerReference w:type="first" r:id="rId25"/>
          <w:pgSz w:w="11906" w:h="16838" w:code="9"/>
          <w:pgMar w:top="1418" w:right="1304" w:bottom="1418" w:left="1304" w:header="567" w:footer="567" w:gutter="0"/>
          <w:cols w:space="708"/>
          <w:titlePg/>
          <w:docGrid w:linePitch="360"/>
        </w:sectPr>
      </w:pPr>
    </w:p>
    <w:p w14:paraId="29DD6939" w14:textId="77777777" w:rsidR="00F012EA" w:rsidRDefault="00F012EA" w:rsidP="00AC51D8">
      <w:pPr>
        <w:pStyle w:val="Heading2"/>
      </w:pPr>
      <w:bookmarkStart w:id="1" w:name="_Toc271526783"/>
      <w:bookmarkStart w:id="2" w:name="_Toc320810314"/>
      <w:r>
        <w:lastRenderedPageBreak/>
        <w:t>Introduction</w:t>
      </w:r>
      <w:bookmarkEnd w:id="1"/>
      <w:bookmarkEnd w:id="2"/>
    </w:p>
    <w:p w14:paraId="29DD693A" w14:textId="23187BE8" w:rsidR="0089580D" w:rsidRDefault="00914DAC" w:rsidP="00491BC1">
      <w:r w:rsidRPr="008A18C5">
        <w:t xml:space="preserve">The main taxes used </w:t>
      </w:r>
      <w:r w:rsidR="00F368F0" w:rsidRPr="008A18C5">
        <w:t xml:space="preserve">in Australia </w:t>
      </w:r>
      <w:r w:rsidRPr="008A18C5">
        <w:t xml:space="preserve">to raise </w:t>
      </w:r>
      <w:r w:rsidR="00F368F0" w:rsidRPr="008A18C5">
        <w:t xml:space="preserve">government </w:t>
      </w:r>
      <w:r w:rsidRPr="008A18C5">
        <w:t>revenue</w:t>
      </w:r>
      <w:r w:rsidR="00486A79" w:rsidRPr="008A18C5">
        <w:t xml:space="preserve"> </w:t>
      </w:r>
      <w:r w:rsidRPr="008A18C5">
        <w:t>lead to</w:t>
      </w:r>
      <w:r w:rsidR="00486A79" w:rsidRPr="008A18C5">
        <w:t xml:space="preserve"> loss</w:t>
      </w:r>
      <w:r w:rsidRPr="008A18C5">
        <w:t>es</w:t>
      </w:r>
      <w:r w:rsidR="00486A79" w:rsidRPr="008A18C5">
        <w:t xml:space="preserve"> </w:t>
      </w:r>
      <w:r w:rsidRPr="008A18C5">
        <w:t>in</w:t>
      </w:r>
      <w:r w:rsidR="00486A79" w:rsidRPr="008A18C5">
        <w:t xml:space="preserve"> economic</w:t>
      </w:r>
      <w:r w:rsidR="007253D1" w:rsidRPr="008A18C5">
        <w:t xml:space="preserve"> efficiency </w:t>
      </w:r>
      <w:r w:rsidR="00486A79" w:rsidRPr="008A18C5">
        <w:t xml:space="preserve">by distorting price signals and </w:t>
      </w:r>
      <w:r w:rsidR="00510C5A" w:rsidRPr="008A18C5">
        <w:t xml:space="preserve">thereby </w:t>
      </w:r>
      <w:r w:rsidR="00486A79" w:rsidRPr="008A18C5">
        <w:t>changing the behaviours of individuals, firms and investors</w:t>
      </w:r>
      <w:r w:rsidR="007253D1" w:rsidRPr="008A18C5">
        <w:t xml:space="preserve">. In recent years, a </w:t>
      </w:r>
      <w:r w:rsidR="00DB08A0" w:rsidRPr="008A18C5">
        <w:t xml:space="preserve">series of studies </w:t>
      </w:r>
      <w:r w:rsidR="00486A79" w:rsidRPr="008A18C5">
        <w:t>ha</w:t>
      </w:r>
      <w:r w:rsidR="00DB08A0" w:rsidRPr="008A18C5">
        <w:t>ve been undertak</w:t>
      </w:r>
      <w:r w:rsidR="00607A92" w:rsidRPr="008A18C5">
        <w:t>en</w:t>
      </w:r>
      <w:r w:rsidR="00DB08A0" w:rsidRPr="008A18C5">
        <w:t xml:space="preserve"> in Australia that use</w:t>
      </w:r>
      <w:r w:rsidR="00486A79" w:rsidRPr="008A18C5">
        <w:t xml:space="preserve"> </w:t>
      </w:r>
      <w:r w:rsidR="00A97E6C" w:rsidRPr="008A18C5">
        <w:t>static</w:t>
      </w:r>
      <w:r w:rsidR="00F368F0" w:rsidRPr="008A18C5">
        <w:t xml:space="preserve"> </w:t>
      </w:r>
      <w:r w:rsidR="00A97E6C" w:rsidRPr="008A18C5">
        <w:t>general equilibrium</w:t>
      </w:r>
      <w:r w:rsidR="00486A79" w:rsidRPr="008A18C5">
        <w:t xml:space="preserve"> models to compare the relative efficiency of different Australian taxes (</w:t>
      </w:r>
      <w:r w:rsidR="00000F08" w:rsidRPr="008A18C5">
        <w:t>Access Economic</w:t>
      </w:r>
      <w:r w:rsidR="00F3752C" w:rsidRPr="008A18C5">
        <w:t>s</w:t>
      </w:r>
      <w:r w:rsidR="006C116E" w:rsidRPr="008A18C5">
        <w:t>,</w:t>
      </w:r>
      <w:r w:rsidR="00000F08" w:rsidRPr="008A18C5">
        <w:t xml:space="preserve"> </w:t>
      </w:r>
      <w:r w:rsidR="006C116E" w:rsidRPr="008A18C5">
        <w:t xml:space="preserve">2008 and </w:t>
      </w:r>
      <w:r w:rsidR="00F3752C" w:rsidRPr="008A18C5">
        <w:t>2011</w:t>
      </w:r>
      <w:r w:rsidR="00000F08" w:rsidRPr="008A18C5">
        <w:t>; KPMG</w:t>
      </w:r>
      <w:r w:rsidR="006C116E" w:rsidRPr="008A18C5">
        <w:t>,</w:t>
      </w:r>
      <w:r w:rsidR="00000F08" w:rsidRPr="008A18C5">
        <w:t xml:space="preserve"> 2010</w:t>
      </w:r>
      <w:r w:rsidR="006C116E" w:rsidRPr="008A18C5">
        <w:t xml:space="preserve"> and </w:t>
      </w:r>
      <w:r w:rsidR="00486A79" w:rsidRPr="008A18C5">
        <w:t>2011</w:t>
      </w:r>
      <w:r w:rsidR="00000F08" w:rsidRPr="008A18C5">
        <w:t>;</w:t>
      </w:r>
      <w:r w:rsidR="00486A79" w:rsidRPr="008A18C5">
        <w:t xml:space="preserve"> </w:t>
      </w:r>
      <w:r w:rsidR="00496794" w:rsidRPr="008A18C5">
        <w:t>Independent Economics</w:t>
      </w:r>
      <w:r w:rsidR="006C116E" w:rsidRPr="008A18C5">
        <w:t>,</w:t>
      </w:r>
      <w:r w:rsidR="00486A79" w:rsidRPr="008A18C5">
        <w:t xml:space="preserve"> 2014</w:t>
      </w:r>
      <w:r w:rsidR="00000F08" w:rsidRPr="008A18C5">
        <w:t xml:space="preserve">; </w:t>
      </w:r>
      <w:r w:rsidR="006C116E" w:rsidRPr="008A18C5">
        <w:t xml:space="preserve">and </w:t>
      </w:r>
      <w:r w:rsidR="00425C48">
        <w:t>Rimmer, Smith and Wende</w:t>
      </w:r>
      <w:r w:rsidR="003E79E7" w:rsidRPr="008A18C5">
        <w:t>,</w:t>
      </w:r>
      <w:r w:rsidR="00000F08" w:rsidRPr="008A18C5">
        <w:t xml:space="preserve"> 2014</w:t>
      </w:r>
      <w:r w:rsidR="00486A79" w:rsidRPr="008A18C5">
        <w:t>)</w:t>
      </w:r>
      <w:r w:rsidR="007253D1" w:rsidRPr="008A18C5">
        <w:t xml:space="preserve">. </w:t>
      </w:r>
      <w:r w:rsidR="00F368F0" w:rsidRPr="008A18C5">
        <w:t>This paper aims to complement these earlier studies and contribute to a broader discussion about the structure of Australia</w:t>
      </w:r>
      <w:r w:rsidR="00F03697">
        <w:t>’</w:t>
      </w:r>
      <w:r w:rsidR="00F368F0" w:rsidRPr="008A18C5">
        <w:t xml:space="preserve">s tax system by estimating the </w:t>
      </w:r>
      <w:r w:rsidR="00A02AA2" w:rsidRPr="008A18C5">
        <w:t xml:space="preserve">additional </w:t>
      </w:r>
      <w:r w:rsidR="00F368F0" w:rsidRPr="008A18C5">
        <w:t>welfare cost</w:t>
      </w:r>
      <w:r w:rsidR="00A02AA2" w:rsidRPr="008A18C5">
        <w:t xml:space="preserve"> (</w:t>
      </w:r>
      <w:r w:rsidR="00621AD1">
        <w:t>that is</w:t>
      </w:r>
      <w:r w:rsidR="00A02AA2" w:rsidRPr="008A18C5">
        <w:t>, the marginal excess burden)</w:t>
      </w:r>
      <w:r w:rsidR="00F368F0" w:rsidRPr="008A18C5">
        <w:t xml:space="preserve"> and identifying the economic incidence of marginal changes to the tax system.</w:t>
      </w:r>
      <w:r w:rsidR="00C35BA7" w:rsidRPr="008A18C5">
        <w:t xml:space="preserve"> </w:t>
      </w:r>
      <w:r w:rsidR="00F368F0" w:rsidRPr="008A18C5">
        <w:t>We also</w:t>
      </w:r>
      <w:r w:rsidR="004D4F26" w:rsidRPr="008A18C5">
        <w:t xml:space="preserve"> analys</w:t>
      </w:r>
      <w:r w:rsidR="00F368F0" w:rsidRPr="008A18C5">
        <w:t>e</w:t>
      </w:r>
      <w:r w:rsidR="004D4F26" w:rsidRPr="008A18C5">
        <w:t xml:space="preserve"> the sensitivity of the</w:t>
      </w:r>
      <w:r w:rsidR="00F368F0" w:rsidRPr="008A18C5">
        <w:t>se</w:t>
      </w:r>
      <w:r w:rsidR="004D4F26" w:rsidRPr="008A18C5">
        <w:t xml:space="preserve"> </w:t>
      </w:r>
      <w:r w:rsidR="00F368F0" w:rsidRPr="008A18C5">
        <w:t xml:space="preserve">findings </w:t>
      </w:r>
      <w:r w:rsidR="004D4F26" w:rsidRPr="008A18C5">
        <w:t>to a range of assumptions about economic agents</w:t>
      </w:r>
      <w:r w:rsidR="00B33BBD" w:rsidRPr="008A18C5">
        <w:t xml:space="preserve"> and the structure of the Australian economy</w:t>
      </w:r>
      <w:r w:rsidR="004D4F26" w:rsidRPr="008A18C5">
        <w:t>.</w:t>
      </w:r>
    </w:p>
    <w:p w14:paraId="54D68101" w14:textId="43C4CFDA" w:rsidR="00420DCE" w:rsidRDefault="005C3EB0" w:rsidP="005C3EB0">
      <w:r w:rsidRPr="00DE4CAE">
        <w:rPr>
          <w:lang w:eastAsia="en-AU"/>
        </w:rPr>
        <w:t xml:space="preserve">There are many approaches </w:t>
      </w:r>
      <w:r w:rsidR="006B29D7">
        <w:rPr>
          <w:lang w:eastAsia="en-AU"/>
        </w:rPr>
        <w:t xml:space="preserve">used </w:t>
      </w:r>
      <w:r w:rsidRPr="00DE4CAE">
        <w:rPr>
          <w:lang w:eastAsia="en-AU"/>
        </w:rPr>
        <w:t xml:space="preserve">in the published tax literature to </w:t>
      </w:r>
      <w:r w:rsidR="00E957B2" w:rsidRPr="00DE4CAE">
        <w:rPr>
          <w:lang w:eastAsia="en-AU"/>
        </w:rPr>
        <w:t>estimat</w:t>
      </w:r>
      <w:r w:rsidR="00E957B2">
        <w:rPr>
          <w:lang w:eastAsia="en-AU"/>
        </w:rPr>
        <w:t>e</w:t>
      </w:r>
      <w:r w:rsidR="00E957B2" w:rsidRPr="00DE4CAE">
        <w:rPr>
          <w:lang w:eastAsia="en-AU"/>
        </w:rPr>
        <w:t xml:space="preserve"> </w:t>
      </w:r>
      <w:r w:rsidRPr="00DE4CAE">
        <w:rPr>
          <w:lang w:eastAsia="en-AU"/>
        </w:rPr>
        <w:t xml:space="preserve">the </w:t>
      </w:r>
      <w:r>
        <w:rPr>
          <w:lang w:eastAsia="en-AU"/>
        </w:rPr>
        <w:t xml:space="preserve">marginal </w:t>
      </w:r>
      <w:r w:rsidRPr="00DE4CAE">
        <w:rPr>
          <w:lang w:eastAsia="en-AU"/>
        </w:rPr>
        <w:t xml:space="preserve">excess burden and economic incidence of taxation. </w:t>
      </w:r>
      <w:r w:rsidR="000A0E1D">
        <w:rPr>
          <w:lang w:eastAsia="en-AU"/>
        </w:rPr>
        <w:t>Three broad</w:t>
      </w:r>
      <w:r w:rsidR="00DB08A0">
        <w:t xml:space="preserve"> approaches include: partial equilibrium analysis of one factor or goods market; micro</w:t>
      </w:r>
      <w:r w:rsidR="00F03697">
        <w:noBreakHyphen/>
      </w:r>
      <w:r w:rsidR="00DB08A0">
        <w:t>simulation analysis;</w:t>
      </w:r>
      <w:r w:rsidR="000A0E1D">
        <w:t xml:space="preserve"> and</w:t>
      </w:r>
      <w:r w:rsidR="00DB08A0">
        <w:t xml:space="preserve"> general equilibrium analysis</w:t>
      </w:r>
      <w:r w:rsidR="000A0E1D">
        <w:t>.</w:t>
      </w:r>
      <w:r w:rsidR="00DB08A0">
        <w:t xml:space="preserve"> </w:t>
      </w:r>
      <w:r w:rsidR="000A0E1D">
        <w:t xml:space="preserve">The general equilibrium analysis approach can be further categorised into static or dynamic </w:t>
      </w:r>
      <w:r w:rsidR="00EC22FE">
        <w:t>analysis</w:t>
      </w:r>
      <w:r w:rsidR="00F3752C">
        <w:t>,</w:t>
      </w:r>
      <w:r w:rsidR="00EC22FE">
        <w:t xml:space="preserve"> with </w:t>
      </w:r>
      <w:r w:rsidR="00F3752C">
        <w:t xml:space="preserve">either a representative household or </w:t>
      </w:r>
      <w:r w:rsidR="00EC22FE">
        <w:t>heterogeneous households</w:t>
      </w:r>
      <w:r w:rsidR="00F3752C">
        <w:t xml:space="preserve">. </w:t>
      </w:r>
      <w:r w:rsidR="00DB08A0">
        <w:t xml:space="preserve">Each of these modelling approaches has strengths and weaknesses. For example, </w:t>
      </w:r>
      <w:r w:rsidRPr="00B70350">
        <w:t>micro</w:t>
      </w:r>
      <w:r w:rsidR="00F03697">
        <w:noBreakHyphen/>
      </w:r>
      <w:r w:rsidRPr="00B70350">
        <w:t>simulation</w:t>
      </w:r>
      <w:r>
        <w:t xml:space="preserve"> analysis is typically well suited to studying the distributional effects of taxation on heterogeneous households, but provides limited in</w:t>
      </w:r>
      <w:r w:rsidR="004D4F26">
        <w:t>formation</w:t>
      </w:r>
      <w:r>
        <w:t xml:space="preserve"> o</w:t>
      </w:r>
      <w:r w:rsidR="004D4F26">
        <w:t>n</w:t>
      </w:r>
      <w:r>
        <w:t xml:space="preserve"> the effects of taxation on </w:t>
      </w:r>
      <w:r w:rsidR="004D4F26">
        <w:t xml:space="preserve">aggregate </w:t>
      </w:r>
      <w:r>
        <w:t>level</w:t>
      </w:r>
      <w:r w:rsidR="004D4F26">
        <w:t>s</w:t>
      </w:r>
      <w:r>
        <w:t xml:space="preserve"> of </w:t>
      </w:r>
      <w:r w:rsidR="004D4F26">
        <w:t xml:space="preserve">economic </w:t>
      </w:r>
      <w:r>
        <w:t>activity because t</w:t>
      </w:r>
      <w:r w:rsidRPr="00B70350">
        <w:t xml:space="preserve">he models </w:t>
      </w:r>
      <w:r>
        <w:t xml:space="preserve">typically </w:t>
      </w:r>
      <w:r w:rsidRPr="00B70350">
        <w:t>do not account for second round effects</w:t>
      </w:r>
      <w:r w:rsidR="00DB08A0">
        <w:t xml:space="preserve"> on other markets.</w:t>
      </w:r>
      <w:r w:rsidR="00D71127">
        <w:rPr>
          <w:rStyle w:val="FootnoteReference"/>
        </w:rPr>
        <w:footnoteReference w:id="3"/>
      </w:r>
    </w:p>
    <w:p w14:paraId="5A9D22FA" w14:textId="1161BF86" w:rsidR="00000F08" w:rsidRDefault="00420DCE" w:rsidP="005C3EB0">
      <w:r w:rsidRPr="004B64F6">
        <w:t xml:space="preserve">This paper </w:t>
      </w:r>
      <w:r w:rsidR="00A97E6C" w:rsidRPr="004B64F6">
        <w:t xml:space="preserve">examines the incidence and efficiency of </w:t>
      </w:r>
      <w:r w:rsidR="004D4F26" w:rsidRPr="004B64F6">
        <w:t>five Australian</w:t>
      </w:r>
      <w:r w:rsidR="00A97E6C" w:rsidRPr="004B64F6">
        <w:t xml:space="preserve"> taxes </w:t>
      </w:r>
      <w:r w:rsidRPr="004B64F6">
        <w:t>us</w:t>
      </w:r>
      <w:r w:rsidR="00A97E6C" w:rsidRPr="004B64F6">
        <w:t xml:space="preserve">ing </w:t>
      </w:r>
      <w:r w:rsidR="00262D49" w:rsidRPr="004B64F6">
        <w:t xml:space="preserve">a </w:t>
      </w:r>
      <w:r w:rsidRPr="004B64F6">
        <w:t>s</w:t>
      </w:r>
      <w:r w:rsidR="005C3EB0" w:rsidRPr="004B64F6">
        <w:t>tatic</w:t>
      </w:r>
      <w:r w:rsidR="00A97E6C" w:rsidRPr="004B64F6">
        <w:t xml:space="preserve"> </w:t>
      </w:r>
      <w:r w:rsidR="00262D49" w:rsidRPr="004B64F6">
        <w:t xml:space="preserve">representative household </w:t>
      </w:r>
      <w:r w:rsidR="005C3EB0" w:rsidRPr="004B64F6">
        <w:t xml:space="preserve">general equilibrium </w:t>
      </w:r>
      <w:r w:rsidRPr="004B64F6">
        <w:t>model</w:t>
      </w:r>
      <w:r w:rsidR="00A97E6C" w:rsidRPr="004B64F6">
        <w:t xml:space="preserve">. </w:t>
      </w:r>
      <w:r w:rsidR="00262D49" w:rsidRPr="004B64F6">
        <w:t>The model used in this paper reflects Treasury</w:t>
      </w:r>
      <w:r w:rsidR="00F03697">
        <w:t>’</w:t>
      </w:r>
      <w:r w:rsidR="00262D49" w:rsidRPr="004B64F6">
        <w:t xml:space="preserve">s </w:t>
      </w:r>
      <w:r w:rsidR="00CF70B4" w:rsidRPr="004B64F6">
        <w:t>current general equilibrium modelling capacity for tax analysis.</w:t>
      </w:r>
      <w:r w:rsidR="00D43E79" w:rsidRPr="004B64F6">
        <w:rPr>
          <w:rStyle w:val="FootnoteReference"/>
        </w:rPr>
        <w:footnoteReference w:id="4"/>
      </w:r>
      <w:r w:rsidR="00262D49" w:rsidRPr="004B64F6">
        <w:t xml:space="preserve"> </w:t>
      </w:r>
      <w:r w:rsidR="00736FA2" w:rsidRPr="004B64F6">
        <w:t>The major</w:t>
      </w:r>
      <w:r w:rsidR="00093901" w:rsidRPr="004B64F6">
        <w:t xml:space="preserve"> strength of this </w:t>
      </w:r>
      <w:r w:rsidR="00F24959" w:rsidRPr="004B64F6">
        <w:t>widely</w:t>
      </w:r>
      <w:r w:rsidR="00F03697">
        <w:noBreakHyphen/>
      </w:r>
      <w:r w:rsidR="00F24959" w:rsidRPr="004B64F6">
        <w:t xml:space="preserve">used </w:t>
      </w:r>
      <w:r w:rsidR="00F66A39" w:rsidRPr="004B64F6">
        <w:t>approach</w:t>
      </w:r>
      <w:r w:rsidR="009752AF" w:rsidRPr="004B64F6">
        <w:t>, over partial equilibrium analysis,</w:t>
      </w:r>
      <w:r w:rsidR="00093901" w:rsidRPr="004B64F6">
        <w:t xml:space="preserve"> is that it examine</w:t>
      </w:r>
      <w:r w:rsidR="00A02AA2" w:rsidRPr="004B64F6">
        <w:t>s</w:t>
      </w:r>
      <w:r w:rsidR="00093901" w:rsidRPr="004B64F6">
        <w:t xml:space="preserve"> interactions between different taxes and capture</w:t>
      </w:r>
      <w:r w:rsidR="00A02AA2" w:rsidRPr="004B64F6">
        <w:t>s</w:t>
      </w:r>
      <w:r w:rsidR="00093901" w:rsidRPr="004B64F6">
        <w:t xml:space="preserve"> the second</w:t>
      </w:r>
      <w:r w:rsidR="00F03697">
        <w:noBreakHyphen/>
      </w:r>
      <w:r w:rsidR="00093901" w:rsidRPr="004B64F6">
        <w:t xml:space="preserve">round effects of taxes throughout the economy. </w:t>
      </w:r>
      <w:r w:rsidR="00A562D2" w:rsidRPr="004B64F6">
        <w:t>Moreover, t</w:t>
      </w:r>
      <w:r w:rsidR="00093901" w:rsidRPr="004B64F6">
        <w:t xml:space="preserve">his </w:t>
      </w:r>
      <w:r w:rsidR="00A562D2" w:rsidRPr="004B64F6">
        <w:t>approach analyses</w:t>
      </w:r>
      <w:r w:rsidR="00093901" w:rsidRPr="004B64F6">
        <w:t xml:space="preserve"> the economic </w:t>
      </w:r>
      <w:r w:rsidR="00F72726" w:rsidRPr="004B64F6">
        <w:t>effects</w:t>
      </w:r>
      <w:r w:rsidR="00093901" w:rsidRPr="004B64F6">
        <w:t xml:space="preserve"> of </w:t>
      </w:r>
      <w:r w:rsidR="00A562D2" w:rsidRPr="004B64F6">
        <w:t xml:space="preserve">different </w:t>
      </w:r>
      <w:r w:rsidR="00093901" w:rsidRPr="004B64F6">
        <w:t xml:space="preserve">taxes within a </w:t>
      </w:r>
      <w:r w:rsidR="00CF70B4" w:rsidRPr="004B64F6">
        <w:t>consistent</w:t>
      </w:r>
      <w:r w:rsidR="00093901" w:rsidRPr="004B64F6">
        <w:t xml:space="preserve"> framework</w:t>
      </w:r>
      <w:r w:rsidR="00A562D2" w:rsidRPr="004B64F6">
        <w:t xml:space="preserve"> </w:t>
      </w:r>
      <w:r w:rsidR="001B4325" w:rsidRPr="004B64F6">
        <w:t>which</w:t>
      </w:r>
      <w:r w:rsidR="00F24959" w:rsidRPr="004B64F6">
        <w:t>, at the very least,</w:t>
      </w:r>
      <w:r w:rsidR="001B4325" w:rsidRPr="004B64F6">
        <w:t xml:space="preserve"> enables a </w:t>
      </w:r>
      <w:r w:rsidR="00A562D2" w:rsidRPr="004B64F6">
        <w:t xml:space="preserve">comparison of the </w:t>
      </w:r>
      <w:r w:rsidR="00E423D0" w:rsidRPr="004B64F6">
        <w:t xml:space="preserve">relative </w:t>
      </w:r>
      <w:r w:rsidR="00E3495E" w:rsidRPr="004B64F6">
        <w:t>efficiency</w:t>
      </w:r>
      <w:r w:rsidR="00E423D0" w:rsidRPr="004B64F6">
        <w:t xml:space="preserve"> of different taxes</w:t>
      </w:r>
      <w:r w:rsidR="001B4325" w:rsidRPr="004B64F6">
        <w:t xml:space="preserve"> in broad terms</w:t>
      </w:r>
      <w:r w:rsidR="00093901" w:rsidRPr="004B64F6">
        <w:t>.</w:t>
      </w:r>
    </w:p>
    <w:p w14:paraId="3B99DE4F" w14:textId="777CC232" w:rsidR="00383D5A" w:rsidRDefault="00B33BBD" w:rsidP="005C3EB0">
      <w:r>
        <w:t>Nevertheless,</w:t>
      </w:r>
      <w:r w:rsidR="00CF70B4">
        <w:t xml:space="preserve"> representative household </w:t>
      </w:r>
      <w:r>
        <w:t>g</w:t>
      </w:r>
      <w:r w:rsidR="00093901">
        <w:t xml:space="preserve">eneral equilibrium models are necessarily a simplification of the </w:t>
      </w:r>
      <w:r w:rsidR="00FC289E">
        <w:t xml:space="preserve">economy </w:t>
      </w:r>
      <w:r w:rsidR="00CF70B4">
        <w:t>that</w:t>
      </w:r>
      <w:r w:rsidR="00FC289E">
        <w:t xml:space="preserve"> </w:t>
      </w:r>
      <w:r w:rsidR="00B660B0">
        <w:t>can</w:t>
      </w:r>
      <w:r w:rsidR="00ED6630">
        <w:t>not</w:t>
      </w:r>
      <w:r w:rsidR="0035715B">
        <w:t xml:space="preserve"> account for</w:t>
      </w:r>
      <w:r w:rsidR="00ED6630">
        <w:t xml:space="preserve"> </w:t>
      </w:r>
      <w:r w:rsidR="00B660B0">
        <w:t>all of the diverse effects of taxation on the Australian economy</w:t>
      </w:r>
      <w:r w:rsidR="003640F9">
        <w:t xml:space="preserve"> </w:t>
      </w:r>
      <w:r w:rsidR="00B660B0">
        <w:t>and society</w:t>
      </w:r>
      <w:r w:rsidR="003640F9">
        <w:t xml:space="preserve"> more generally</w:t>
      </w:r>
      <w:r w:rsidR="00ED6630">
        <w:t xml:space="preserve">. </w:t>
      </w:r>
      <w:r w:rsidR="00855D3C">
        <w:t>For example,</w:t>
      </w:r>
      <w:r w:rsidR="00A97E6C">
        <w:t xml:space="preserve"> </w:t>
      </w:r>
      <w:r w:rsidR="00855D3C">
        <w:t xml:space="preserve">a </w:t>
      </w:r>
      <w:r w:rsidR="00383D5A">
        <w:t xml:space="preserve">significant </w:t>
      </w:r>
      <w:r w:rsidR="00093901">
        <w:t xml:space="preserve">limitation with the model used in this paper </w:t>
      </w:r>
      <w:r w:rsidR="0055348F">
        <w:t>(</w:t>
      </w:r>
      <w:r w:rsidR="00093901">
        <w:t>as</w:t>
      </w:r>
      <w:r w:rsidR="00E6097C">
        <w:t> </w:t>
      </w:r>
      <w:r w:rsidR="00093901">
        <w:t xml:space="preserve">well as previous </w:t>
      </w:r>
      <w:r w:rsidR="00AA1A29">
        <w:t xml:space="preserve">Australian </w:t>
      </w:r>
      <w:r w:rsidR="00093901">
        <w:t xml:space="preserve">studies that compared </w:t>
      </w:r>
      <w:r w:rsidR="00A97E6C">
        <w:t>th</w:t>
      </w:r>
      <w:r w:rsidR="00093901">
        <w:t>e efficiency of different taxes</w:t>
      </w:r>
      <w:r w:rsidR="0055348F">
        <w:t>)</w:t>
      </w:r>
      <w:r w:rsidR="00093901">
        <w:t xml:space="preserve"> is that it includes</w:t>
      </w:r>
      <w:r w:rsidR="00A97E6C">
        <w:t xml:space="preserve"> a single representative household</w:t>
      </w:r>
      <w:r w:rsidR="00420DCE">
        <w:t xml:space="preserve">. </w:t>
      </w:r>
      <w:r w:rsidR="00F70E4B">
        <w:t xml:space="preserve">This means that the </w:t>
      </w:r>
      <w:r w:rsidR="00383D5A">
        <w:t xml:space="preserve">impact of </w:t>
      </w:r>
      <w:r w:rsidR="00000F08">
        <w:t xml:space="preserve">the progressive </w:t>
      </w:r>
      <w:r w:rsidR="00F14127">
        <w:t>individuals</w:t>
      </w:r>
      <w:r w:rsidR="00F03697">
        <w:t>’</w:t>
      </w:r>
      <w:r w:rsidR="00F14127">
        <w:t xml:space="preserve"> </w:t>
      </w:r>
      <w:r w:rsidR="00000F08">
        <w:t xml:space="preserve">income tax </w:t>
      </w:r>
      <w:r w:rsidR="00F14127">
        <w:t xml:space="preserve">scales (or targeted transfer payments) </w:t>
      </w:r>
      <w:r w:rsidR="00000F08">
        <w:t xml:space="preserve">cannot be </w:t>
      </w:r>
      <w:r w:rsidR="00F14127">
        <w:t>examined in this model</w:t>
      </w:r>
      <w:r w:rsidR="00F70E4B">
        <w:t>.</w:t>
      </w:r>
    </w:p>
    <w:p w14:paraId="29DD693B" w14:textId="3454C2D6" w:rsidR="005C3EB0" w:rsidRPr="004B64F6" w:rsidRDefault="00F70E4B" w:rsidP="005C3EB0">
      <w:r>
        <w:t>Another</w:t>
      </w:r>
      <w:r w:rsidR="007047D9">
        <w:t xml:space="preserve"> significant</w:t>
      </w:r>
      <w:r>
        <w:t xml:space="preserve"> limitation </w:t>
      </w:r>
      <w:r w:rsidR="007047D9">
        <w:t>of</w:t>
      </w:r>
      <w:r>
        <w:t xml:space="preserve"> </w:t>
      </w:r>
      <w:r w:rsidR="00383D5A">
        <w:t>the</w:t>
      </w:r>
      <w:r>
        <w:t xml:space="preserve"> model </w:t>
      </w:r>
      <w:r w:rsidR="00383D5A">
        <w:t xml:space="preserve">is that it </w:t>
      </w:r>
      <w:r w:rsidRPr="004A308C">
        <w:t>ignores</w:t>
      </w:r>
      <w:r w:rsidR="00EC22FE">
        <w:t xml:space="preserve"> dynamics, that is</w:t>
      </w:r>
      <w:r w:rsidR="00855D3C">
        <w:t>,</w:t>
      </w:r>
      <w:r w:rsidRPr="004A308C">
        <w:t xml:space="preserve"> the transition</w:t>
      </w:r>
      <w:r>
        <w:t xml:space="preserve"> paths</w:t>
      </w:r>
      <w:r w:rsidRPr="004A308C">
        <w:t xml:space="preserve"> from the </w:t>
      </w:r>
      <w:r>
        <w:t xml:space="preserve">immediate </w:t>
      </w:r>
      <w:r w:rsidRPr="004A308C">
        <w:t>po</w:t>
      </w:r>
      <w:r>
        <w:t>int of change to the tax system to the long</w:t>
      </w:r>
      <w:r w:rsidR="00F03697">
        <w:noBreakHyphen/>
      </w:r>
      <w:r>
        <w:t>run equilibrium</w:t>
      </w:r>
      <w:r w:rsidR="00383D5A">
        <w:t xml:space="preserve">. Results from the model may overstate the welfare cost of tax increases because it </w:t>
      </w:r>
      <w:r w:rsidR="00ED6630">
        <w:t>does not account for</w:t>
      </w:r>
      <w:r w:rsidR="00383D5A">
        <w:t xml:space="preserve"> </w:t>
      </w:r>
      <w:r w:rsidR="00ED6630">
        <w:t>any</w:t>
      </w:r>
      <w:r w:rsidR="00383D5A">
        <w:t xml:space="preserve"> resource and </w:t>
      </w:r>
      <w:r w:rsidR="00383D5A">
        <w:lastRenderedPageBreak/>
        <w:t>adjustment costs incurred along the transition path.</w:t>
      </w:r>
      <w:r w:rsidR="00D43E79">
        <w:rPr>
          <w:rStyle w:val="FootnoteReference"/>
        </w:rPr>
        <w:footnoteReference w:id="5"/>
      </w:r>
      <w:r w:rsidR="00510C5A">
        <w:t xml:space="preserve"> </w:t>
      </w:r>
      <w:r w:rsidR="00510C5A" w:rsidRPr="004B64F6">
        <w:t xml:space="preserve">Accordingly, while such models are useful for drawing broad conclusions about the relative efficiency of various taxes, care needs to be taken about </w:t>
      </w:r>
      <w:r w:rsidR="002916AA" w:rsidRPr="004B64F6">
        <w:t xml:space="preserve">its application </w:t>
      </w:r>
      <w:r w:rsidR="00AD3A67" w:rsidRPr="004B64F6">
        <w:t>to policy development.</w:t>
      </w:r>
    </w:p>
    <w:p w14:paraId="49634F79" w14:textId="4957DF85" w:rsidR="00E423D0" w:rsidRDefault="001E4299" w:rsidP="00491BC1">
      <w:r w:rsidRPr="004B64F6">
        <w:t>The broader tax analysis literature demonstrates that d</w:t>
      </w:r>
      <w:r w:rsidR="00093901" w:rsidRPr="004B64F6">
        <w:t xml:space="preserve">ynamic </w:t>
      </w:r>
      <w:r w:rsidR="007047D9" w:rsidRPr="004B64F6">
        <w:t xml:space="preserve">heterogeneous household </w:t>
      </w:r>
      <w:r w:rsidR="00093901" w:rsidRPr="004B64F6">
        <w:t xml:space="preserve">general equilibrium </w:t>
      </w:r>
      <w:r w:rsidR="00383D5A" w:rsidRPr="004B64F6">
        <w:t>models</w:t>
      </w:r>
      <w:r w:rsidR="00093901" w:rsidRPr="004B64F6">
        <w:t xml:space="preserve">, such as </w:t>
      </w:r>
      <w:r w:rsidR="00855D3C" w:rsidRPr="004B64F6">
        <w:t>overlapping generations (</w:t>
      </w:r>
      <w:r w:rsidR="00093901" w:rsidRPr="004B64F6">
        <w:t>OLG</w:t>
      </w:r>
      <w:r w:rsidR="00855D3C" w:rsidRPr="004B64F6">
        <w:t>)</w:t>
      </w:r>
      <w:r w:rsidR="00093901" w:rsidRPr="004B64F6">
        <w:t xml:space="preserve"> models, </w:t>
      </w:r>
      <w:r w:rsidRPr="004B64F6">
        <w:t xml:space="preserve">can </w:t>
      </w:r>
      <w:r w:rsidR="00D05EBD" w:rsidRPr="004B64F6">
        <w:t>capture</w:t>
      </w:r>
      <w:r w:rsidR="0055348F" w:rsidRPr="004B64F6">
        <w:t xml:space="preserve"> </w:t>
      </w:r>
      <w:r w:rsidRPr="004B64F6">
        <w:t xml:space="preserve">important aspects of </w:t>
      </w:r>
      <w:r w:rsidR="0055348F" w:rsidRPr="004B64F6">
        <w:t xml:space="preserve">both </w:t>
      </w:r>
      <w:r w:rsidR="00D05EBD" w:rsidRPr="004B64F6">
        <w:t>household</w:t>
      </w:r>
      <w:r w:rsidR="0055348F" w:rsidRPr="004B64F6">
        <w:t xml:space="preserve"> heterogeneity and transitional pathways</w:t>
      </w:r>
      <w:r w:rsidR="00093901" w:rsidRPr="004B64F6">
        <w:t xml:space="preserve">. </w:t>
      </w:r>
      <w:r w:rsidRPr="004B64F6">
        <w:t>In particular, t</w:t>
      </w:r>
      <w:r w:rsidR="00093901" w:rsidRPr="004B64F6">
        <w:t>hese models overcome some of the limitations with</w:t>
      </w:r>
      <w:r w:rsidR="007047D9" w:rsidRPr="004B64F6">
        <w:t xml:space="preserve"> representative household </w:t>
      </w:r>
      <w:r w:rsidR="00093901" w:rsidRPr="004B64F6">
        <w:t>static</w:t>
      </w:r>
      <w:r w:rsidR="007047D9" w:rsidRPr="004B64F6">
        <w:t xml:space="preserve"> and dynamic</w:t>
      </w:r>
      <w:r w:rsidR="00F70E4B" w:rsidRPr="004B64F6">
        <w:t xml:space="preserve">, </w:t>
      </w:r>
      <w:r w:rsidR="00383D5A" w:rsidRPr="004B64F6">
        <w:t xml:space="preserve">general </w:t>
      </w:r>
      <w:r w:rsidR="00F70E4B" w:rsidRPr="004B64F6">
        <w:t>e</w:t>
      </w:r>
      <w:r w:rsidR="00383D5A" w:rsidRPr="004B64F6">
        <w:t>quilibrium</w:t>
      </w:r>
      <w:r w:rsidR="00F70E4B" w:rsidRPr="004B64F6">
        <w:t xml:space="preserve"> models</w:t>
      </w:r>
      <w:r w:rsidR="0055348F" w:rsidRPr="004B64F6">
        <w:t xml:space="preserve"> </w:t>
      </w:r>
      <w:r w:rsidR="005408AF" w:rsidRPr="004B64F6">
        <w:t>by</w:t>
      </w:r>
      <w:r w:rsidR="0055348F" w:rsidRPr="004B64F6">
        <w:t xml:space="preserve"> provid</w:t>
      </w:r>
      <w:r w:rsidR="005408AF" w:rsidRPr="004B64F6">
        <w:t>ing</w:t>
      </w:r>
      <w:r w:rsidR="0055348F" w:rsidRPr="004B64F6">
        <w:t xml:space="preserve"> detail on the distributional</w:t>
      </w:r>
      <w:r w:rsidR="007047D9" w:rsidRPr="004B64F6">
        <w:t>, transitional</w:t>
      </w:r>
      <w:r w:rsidR="0055348F" w:rsidRPr="004B64F6">
        <w:t xml:space="preserve"> and activity effects of changes in tax policy</w:t>
      </w:r>
      <w:r w:rsidR="00F70E4B" w:rsidRPr="004B64F6">
        <w:t xml:space="preserve">. </w:t>
      </w:r>
      <w:r w:rsidR="00DB1610" w:rsidRPr="004B64F6">
        <w:t>OLG</w:t>
      </w:r>
      <w:r w:rsidR="00DB1610">
        <w:t> </w:t>
      </w:r>
      <w:r w:rsidR="00093901" w:rsidRPr="004B64F6">
        <w:t xml:space="preserve">models are viewed in the public finance literature as the preferred </w:t>
      </w:r>
      <w:r w:rsidR="00D757A5" w:rsidRPr="004B64F6">
        <w:t xml:space="preserve">modelling </w:t>
      </w:r>
      <w:r w:rsidR="00093901" w:rsidRPr="004B64F6">
        <w:t>framework for policy analysis.</w:t>
      </w:r>
      <w:r w:rsidR="00F70E4B" w:rsidRPr="004B64F6">
        <w:t xml:space="preserve"> This is a modelling direction that Treasury intends to explore </w:t>
      </w:r>
      <w:r w:rsidR="00383D5A" w:rsidRPr="004B64F6">
        <w:t xml:space="preserve">further </w:t>
      </w:r>
      <w:r w:rsidR="00F70E4B" w:rsidRPr="004B64F6">
        <w:t>in the future.</w:t>
      </w:r>
      <w:r w:rsidR="00B26B34">
        <w:t xml:space="preserve"> </w:t>
      </w:r>
    </w:p>
    <w:p w14:paraId="29DD6940" w14:textId="50530D26" w:rsidR="00591811" w:rsidRDefault="00881A26" w:rsidP="00491BC1">
      <w:r w:rsidRPr="004A308C">
        <w:t>The remainder of the paper is organised as follows</w:t>
      </w:r>
      <w:r w:rsidR="00D757A5">
        <w:t>.</w:t>
      </w:r>
      <w:r w:rsidRPr="004A308C">
        <w:t xml:space="preserve"> Section 2 describes the methodology used to analyse and estimate </w:t>
      </w:r>
      <w:r w:rsidR="00AC7877">
        <w:t xml:space="preserve">the marginal </w:t>
      </w:r>
      <w:r w:rsidRPr="004A308C">
        <w:t>excess burden and incidence, which includes</w:t>
      </w:r>
      <w:r w:rsidR="005408AF">
        <w:t>:</w:t>
      </w:r>
      <w:r w:rsidRPr="004A308C">
        <w:t xml:space="preserve"> a summary of the economy</w:t>
      </w:r>
      <w:r w:rsidR="00F03697">
        <w:noBreakHyphen/>
      </w:r>
      <w:r w:rsidR="000B4C1E">
        <w:t xml:space="preserve">wide </w:t>
      </w:r>
      <w:r w:rsidRPr="004A308C">
        <w:t>model</w:t>
      </w:r>
      <w:r w:rsidR="005408AF">
        <w:t>;</w:t>
      </w:r>
      <w:r w:rsidR="00D757A5">
        <w:t xml:space="preserve"> </w:t>
      </w:r>
      <w:r w:rsidR="005408AF">
        <w:t>a summary of the model calibration; and a brief discussion of</w:t>
      </w:r>
      <w:r w:rsidR="00BE755D">
        <w:t xml:space="preserve"> how</w:t>
      </w:r>
      <w:r w:rsidR="00D757A5">
        <w:t xml:space="preserve"> taxes </w:t>
      </w:r>
      <w:r w:rsidR="00BE755D">
        <w:t xml:space="preserve">have been </w:t>
      </w:r>
      <w:r w:rsidR="00D757A5">
        <w:t>captured in th</w:t>
      </w:r>
      <w:r w:rsidR="00BE755D">
        <w:t>e</w:t>
      </w:r>
      <w:r w:rsidR="00D757A5">
        <w:t xml:space="preserve"> model. </w:t>
      </w:r>
      <w:r w:rsidR="00434550" w:rsidRPr="004A308C">
        <w:t>Section</w:t>
      </w:r>
      <w:r w:rsidR="00D757A5">
        <w:t>s</w:t>
      </w:r>
      <w:r w:rsidR="00434550" w:rsidRPr="004A308C">
        <w:t xml:space="preserve"> 3 </w:t>
      </w:r>
      <w:r w:rsidR="00D757A5">
        <w:t xml:space="preserve">to 7 then </w:t>
      </w:r>
      <w:r w:rsidR="00AC7877">
        <w:t>analyse</w:t>
      </w:r>
      <w:r w:rsidR="00D757A5">
        <w:t xml:space="preserve"> </w:t>
      </w:r>
      <w:r w:rsidR="00914DAC">
        <w:t xml:space="preserve">the </w:t>
      </w:r>
      <w:r w:rsidR="00AC7877">
        <w:t>marginal excess burden and incidence</w:t>
      </w:r>
      <w:r w:rsidR="00D757A5">
        <w:t xml:space="preserve"> of</w:t>
      </w:r>
      <w:r w:rsidR="00A24193">
        <w:t xml:space="preserve"> five major taxes</w:t>
      </w:r>
      <w:r w:rsidR="00BE755D">
        <w:t>:</w:t>
      </w:r>
      <w:r w:rsidR="00D757A5">
        <w:t xml:space="preserve"> </w:t>
      </w:r>
      <w:r w:rsidR="00A2086F">
        <w:t>company</w:t>
      </w:r>
      <w:r w:rsidR="00434550" w:rsidRPr="004A308C">
        <w:t xml:space="preserve"> income taxation</w:t>
      </w:r>
      <w:r w:rsidR="00D757A5">
        <w:t xml:space="preserve">, </w:t>
      </w:r>
      <w:r w:rsidR="009303CC">
        <w:t>personal</w:t>
      </w:r>
      <w:r w:rsidR="00683FC4">
        <w:t xml:space="preserve"> </w:t>
      </w:r>
      <w:r w:rsidR="00754709">
        <w:t>income taxation</w:t>
      </w:r>
      <w:r w:rsidR="00D757A5">
        <w:t xml:space="preserve">, </w:t>
      </w:r>
      <w:r w:rsidR="00434550" w:rsidRPr="004A308C">
        <w:t>goods and services taxation</w:t>
      </w:r>
      <w:r w:rsidR="00A2086F">
        <w:t xml:space="preserve"> (GST)</w:t>
      </w:r>
      <w:r w:rsidR="00D757A5">
        <w:t>,</w:t>
      </w:r>
      <w:r w:rsidR="00434550" w:rsidRPr="004A308C">
        <w:t xml:space="preserve"> </w:t>
      </w:r>
      <w:r w:rsidR="00062F79">
        <w:t>broad</w:t>
      </w:r>
      <w:r w:rsidR="00F03697">
        <w:noBreakHyphen/>
      </w:r>
      <w:r w:rsidR="00754709">
        <w:t xml:space="preserve">based </w:t>
      </w:r>
      <w:r w:rsidR="00434550" w:rsidRPr="004A308C">
        <w:t>land taxation</w:t>
      </w:r>
      <w:r w:rsidR="00D757A5">
        <w:t>,</w:t>
      </w:r>
      <w:r w:rsidR="00434550" w:rsidRPr="004A308C">
        <w:t xml:space="preserve"> </w:t>
      </w:r>
      <w:r w:rsidR="00D757A5">
        <w:t xml:space="preserve">and </w:t>
      </w:r>
      <w:r w:rsidR="00434550" w:rsidRPr="004A308C">
        <w:t>stamp duty on conveyances</w:t>
      </w:r>
      <w:r w:rsidR="00D757A5">
        <w:t>.</w:t>
      </w:r>
      <w:r w:rsidR="00434550" w:rsidRPr="004A308C">
        <w:t xml:space="preserve"> Section 8 </w:t>
      </w:r>
      <w:r w:rsidR="00D757A5">
        <w:t>compares the relative efficiency of the five taxes</w:t>
      </w:r>
      <w:r w:rsidR="00434550" w:rsidRPr="004A308C">
        <w:t xml:space="preserve"> </w:t>
      </w:r>
      <w:r w:rsidR="00434550" w:rsidRPr="00264532">
        <w:t xml:space="preserve">and discusses </w:t>
      </w:r>
      <w:r w:rsidR="00E378CA" w:rsidRPr="00264532">
        <w:t xml:space="preserve">the </w:t>
      </w:r>
      <w:r w:rsidR="0039622B" w:rsidRPr="00AE1A4B">
        <w:t>limitations with the</w:t>
      </w:r>
      <w:r w:rsidR="00434550" w:rsidRPr="00264532">
        <w:t xml:space="preserve"> </w:t>
      </w:r>
      <w:r w:rsidR="00855D3C">
        <w:t>analysis</w:t>
      </w:r>
      <w:r w:rsidR="00434550" w:rsidRPr="004A308C">
        <w:t xml:space="preserve">. Appendix A </w:t>
      </w:r>
      <w:r w:rsidR="00C352BD">
        <w:t>presents</w:t>
      </w:r>
      <w:r w:rsidR="00C352BD" w:rsidRPr="004A308C">
        <w:t xml:space="preserve"> </w:t>
      </w:r>
      <w:r w:rsidR="00434550" w:rsidRPr="004A308C">
        <w:t xml:space="preserve">an </w:t>
      </w:r>
      <w:r w:rsidR="005408AF">
        <w:t>extensive</w:t>
      </w:r>
      <w:r w:rsidR="00434550" w:rsidRPr="004A308C">
        <w:t xml:space="preserve"> sensitivity analysis of the model</w:t>
      </w:r>
      <w:r w:rsidR="00F03697">
        <w:t>’</w:t>
      </w:r>
      <w:r w:rsidR="00434550" w:rsidRPr="004A308C">
        <w:t xml:space="preserve">s </w:t>
      </w:r>
      <w:r w:rsidR="00AC7877">
        <w:t xml:space="preserve">marginal </w:t>
      </w:r>
      <w:r w:rsidR="00434550" w:rsidRPr="004A308C">
        <w:t>excess burden estimates to key parameters.</w:t>
      </w:r>
    </w:p>
    <w:p w14:paraId="29DD6941" w14:textId="77777777" w:rsidR="007A127F" w:rsidRDefault="007A127F" w:rsidP="00AC51D8">
      <w:pPr>
        <w:pStyle w:val="Heading2"/>
      </w:pPr>
      <w:r>
        <w:t>Methodology</w:t>
      </w:r>
    </w:p>
    <w:p w14:paraId="63A9C061" w14:textId="726C34D8" w:rsidR="00F559F0" w:rsidRPr="004B64F6" w:rsidRDefault="007E6A53" w:rsidP="005F56CA">
      <w:r w:rsidRPr="004B64F6">
        <w:t xml:space="preserve">Taxes typically distort the functioning of capital, labour and goods markets which results in lower </w:t>
      </w:r>
      <w:r w:rsidR="00AD3A67" w:rsidRPr="004B64F6">
        <w:t xml:space="preserve">utility </w:t>
      </w:r>
      <w:r w:rsidR="00AC36C8" w:rsidRPr="004B64F6">
        <w:t>(</w:t>
      </w:r>
      <w:r w:rsidR="00621AD1">
        <w:t>that is</w:t>
      </w:r>
      <w:r w:rsidR="00AC36C8" w:rsidRPr="004B64F6">
        <w:t>, a loss of welfare)</w:t>
      </w:r>
      <w:r w:rsidRPr="004B64F6">
        <w:t xml:space="preserve">. </w:t>
      </w:r>
      <w:r w:rsidR="00AC36C8" w:rsidRPr="004B64F6">
        <w:t xml:space="preserve">The size of the </w:t>
      </w:r>
      <w:r w:rsidR="00F559F0" w:rsidRPr="004B64F6">
        <w:t xml:space="preserve">total </w:t>
      </w:r>
      <w:r w:rsidR="00AC36C8" w:rsidRPr="004B64F6">
        <w:t xml:space="preserve">welfare cost associated with a tax is reflected by its excess burden, which </w:t>
      </w:r>
      <w:r w:rsidR="00F612F4" w:rsidRPr="004B64F6">
        <w:t xml:space="preserve">effectively </w:t>
      </w:r>
      <w:r w:rsidR="00AC36C8" w:rsidRPr="004B64F6">
        <w:t xml:space="preserve">measures the </w:t>
      </w:r>
      <w:r w:rsidR="00F559F0" w:rsidRPr="004B64F6">
        <w:t xml:space="preserve">total </w:t>
      </w:r>
      <w:r w:rsidR="00AC36C8" w:rsidRPr="004B64F6">
        <w:t>loss of welfare implie</w:t>
      </w:r>
      <w:r w:rsidR="00A2086F" w:rsidRPr="004B64F6">
        <w:t>d</w:t>
      </w:r>
      <w:r w:rsidR="00AC36C8" w:rsidRPr="004B64F6">
        <w:t xml:space="preserve"> by a </w:t>
      </w:r>
      <w:r w:rsidR="006B29D7" w:rsidRPr="004B64F6">
        <w:t xml:space="preserve">major </w:t>
      </w:r>
      <w:r w:rsidR="00AC36C8" w:rsidRPr="004B64F6">
        <w:t xml:space="preserve">tax </w:t>
      </w:r>
      <w:r w:rsidR="006B29D7" w:rsidRPr="004B64F6">
        <w:t>or a tax system</w:t>
      </w:r>
      <w:r w:rsidR="00AC36C8" w:rsidRPr="004B64F6">
        <w:t xml:space="preserve">. </w:t>
      </w:r>
      <w:r w:rsidR="00F559F0" w:rsidRPr="004B64F6">
        <w:t xml:space="preserve">Economic policy does not typically contemplate the wholesale replacement of a </w:t>
      </w:r>
      <w:r w:rsidR="006B29D7" w:rsidRPr="004B64F6">
        <w:t xml:space="preserve">major </w:t>
      </w:r>
      <w:r w:rsidR="00F559F0" w:rsidRPr="004B64F6">
        <w:t>tax</w:t>
      </w:r>
      <w:r w:rsidR="006B29D7" w:rsidRPr="004B64F6">
        <w:t xml:space="preserve"> or a tax system</w:t>
      </w:r>
      <w:r w:rsidR="00F559F0" w:rsidRPr="004B64F6">
        <w:t>. As such, the tax</w:t>
      </w:r>
      <w:r w:rsidR="00A24193" w:rsidRPr="004B64F6">
        <w:t xml:space="preserve"> analysis literature</w:t>
      </w:r>
      <w:r w:rsidR="00F559F0" w:rsidRPr="004B64F6">
        <w:t xml:space="preserve">, including this paper, typically focuses on the marginal excess burden, which captures the increment to the total welfare cost associated with one dollar of additional revenue from </w:t>
      </w:r>
      <w:r w:rsidR="00A24193" w:rsidRPr="004B64F6">
        <w:t xml:space="preserve">raising the </w:t>
      </w:r>
      <w:r w:rsidR="008B4963" w:rsidRPr="004B64F6">
        <w:t xml:space="preserve">tax </w:t>
      </w:r>
      <w:r w:rsidR="00A24193" w:rsidRPr="004B64F6">
        <w:t>rate of</w:t>
      </w:r>
      <w:r w:rsidR="004D2F22" w:rsidRPr="004B64F6">
        <w:t xml:space="preserve"> </w:t>
      </w:r>
      <w:r w:rsidR="006D4273">
        <w:t xml:space="preserve">a </w:t>
      </w:r>
      <w:r w:rsidR="004D2F22" w:rsidRPr="004B64F6">
        <w:t>given</w:t>
      </w:r>
      <w:r w:rsidR="00F559F0" w:rsidRPr="004B64F6">
        <w:t xml:space="preserve"> tax head.</w:t>
      </w:r>
    </w:p>
    <w:p w14:paraId="29DD6942" w14:textId="3F13CB29" w:rsidR="00161A6D" w:rsidRPr="00910C68" w:rsidRDefault="00F559F0" w:rsidP="005F56CA">
      <w:r w:rsidRPr="004B64F6">
        <w:rPr>
          <w:lang w:eastAsia="en-AU"/>
        </w:rPr>
        <w:t xml:space="preserve">There are many approaches </w:t>
      </w:r>
      <w:r w:rsidR="006B29D7" w:rsidRPr="004B64F6">
        <w:rPr>
          <w:lang w:eastAsia="en-AU"/>
        </w:rPr>
        <w:t xml:space="preserve">used </w:t>
      </w:r>
      <w:r w:rsidRPr="004B64F6">
        <w:rPr>
          <w:lang w:eastAsia="en-AU"/>
        </w:rPr>
        <w:t>in the published tax literature to estimat</w:t>
      </w:r>
      <w:r w:rsidR="006B29D7" w:rsidRPr="004B64F6">
        <w:rPr>
          <w:lang w:eastAsia="en-AU"/>
        </w:rPr>
        <w:t>e</w:t>
      </w:r>
      <w:r w:rsidRPr="004B64F6">
        <w:rPr>
          <w:lang w:eastAsia="en-AU"/>
        </w:rPr>
        <w:t xml:space="preserve"> the marginal excess burden and economic incidence of taxation</w:t>
      </w:r>
      <w:r w:rsidRPr="004B64F6">
        <w:t>. This paper examines the incidence and marginal excess burden of five Australian taxes using a static representative household computable general equilibrium</w:t>
      </w:r>
      <w:r w:rsidR="00C533C7" w:rsidRPr="004B64F6">
        <w:t xml:space="preserve"> (CGE)</w:t>
      </w:r>
      <w:r w:rsidRPr="004B64F6">
        <w:t xml:space="preserve"> model. </w:t>
      </w:r>
      <w:r w:rsidR="00B87A51" w:rsidRPr="004B64F6">
        <w:t>The main advantage of</w:t>
      </w:r>
      <w:r w:rsidR="00527D45" w:rsidRPr="004B64F6">
        <w:t xml:space="preserve"> </w:t>
      </w:r>
      <w:r w:rsidR="00B87A51" w:rsidRPr="004B64F6">
        <w:t xml:space="preserve">a </w:t>
      </w:r>
      <w:r w:rsidR="00527D45" w:rsidRPr="004B64F6">
        <w:t xml:space="preserve">CGE model </w:t>
      </w:r>
      <w:r w:rsidR="00B87A51" w:rsidRPr="004B64F6">
        <w:t xml:space="preserve">over a partial equilibrium model is its ability to </w:t>
      </w:r>
      <w:r w:rsidR="00527D45" w:rsidRPr="004B64F6">
        <w:t xml:space="preserve">capture some of the main second round </w:t>
      </w:r>
      <w:r w:rsidR="00C533C7" w:rsidRPr="004B64F6">
        <w:t xml:space="preserve">effects </w:t>
      </w:r>
      <w:r w:rsidR="00527D45" w:rsidRPr="004B64F6">
        <w:t>of taxes on households, firms and investors</w:t>
      </w:r>
      <w:r w:rsidR="00B87A51" w:rsidRPr="004B64F6">
        <w:t>.</w:t>
      </w:r>
      <w:r w:rsidR="00B87A51" w:rsidRPr="004B64F6">
        <w:rPr>
          <w:rStyle w:val="FootnoteReference"/>
        </w:rPr>
        <w:footnoteReference w:id="6"/>
      </w:r>
      <w:r w:rsidR="00B87A51" w:rsidRPr="004B64F6">
        <w:t xml:space="preserve"> </w:t>
      </w:r>
      <w:r w:rsidR="00527D45" w:rsidRPr="004B64F6">
        <w:t xml:space="preserve">Another advantage of a CGE model is that it can capture interactions between different taxes. In this paper, we </w:t>
      </w:r>
      <w:r w:rsidR="00DF72E1" w:rsidRPr="004B64F6">
        <w:t>estimate the economy</w:t>
      </w:r>
      <w:r w:rsidR="00F03697">
        <w:noBreakHyphen/>
      </w:r>
      <w:r w:rsidR="00DF72E1" w:rsidRPr="004B64F6">
        <w:t xml:space="preserve">wide effects of </w:t>
      </w:r>
      <w:r w:rsidR="004A6EFA" w:rsidRPr="004B64F6">
        <w:t>a</w:t>
      </w:r>
      <w:r w:rsidR="00527D45" w:rsidRPr="004B64F6">
        <w:t xml:space="preserve"> </w:t>
      </w:r>
      <w:r w:rsidR="00DF72E1" w:rsidRPr="004B64F6">
        <w:t xml:space="preserve">marginal </w:t>
      </w:r>
      <w:r w:rsidR="00527D45" w:rsidRPr="004B64F6">
        <w:t xml:space="preserve">increase </w:t>
      </w:r>
      <w:r w:rsidR="00DF72E1" w:rsidRPr="004B64F6">
        <w:t>in tax rates on factor incomes, expenditure and welfare. The results f</w:t>
      </w:r>
      <w:r w:rsidR="00527D45" w:rsidRPr="004B64F6">
        <w:t>rom</w:t>
      </w:r>
      <w:r w:rsidR="00DF72E1" w:rsidRPr="004B64F6">
        <w:t xml:space="preserve"> this </w:t>
      </w:r>
      <w:r w:rsidR="00527D45" w:rsidRPr="004B64F6">
        <w:t xml:space="preserve">CGE modelling are used to </w:t>
      </w:r>
      <w:r w:rsidR="00264532" w:rsidRPr="004B64F6">
        <w:t>illustrate</w:t>
      </w:r>
      <w:r w:rsidR="00527D45" w:rsidRPr="004B64F6">
        <w:t xml:space="preserve"> how different </w:t>
      </w:r>
      <w:r w:rsidR="00DF72E1" w:rsidRPr="004B64F6">
        <w:t xml:space="preserve">agents in the economy </w:t>
      </w:r>
      <w:r w:rsidR="00527D45" w:rsidRPr="004B64F6">
        <w:t>are affected by a marginal increase in certain taxes</w:t>
      </w:r>
      <w:r w:rsidR="00DF72E1" w:rsidRPr="004B64F6">
        <w:t xml:space="preserve"> </w:t>
      </w:r>
      <w:r w:rsidR="00527D45" w:rsidRPr="004B64F6">
        <w:t>in the long</w:t>
      </w:r>
      <w:r w:rsidR="00F03697">
        <w:noBreakHyphen/>
      </w:r>
      <w:r w:rsidR="00527D45" w:rsidRPr="004B64F6">
        <w:t>run and the ultimate cost to Australian households, which is summarised in estimates of marginal excess burdens</w:t>
      </w:r>
      <w:r w:rsidR="004638E2" w:rsidRPr="004B64F6">
        <w:t>.</w:t>
      </w:r>
    </w:p>
    <w:p w14:paraId="29DD6943" w14:textId="5943FCF4" w:rsidR="009B6568" w:rsidRDefault="009B6568" w:rsidP="00DC5E8B">
      <w:pPr>
        <w:pStyle w:val="Heading3"/>
      </w:pPr>
      <w:r>
        <w:lastRenderedPageBreak/>
        <w:t xml:space="preserve">Structure of </w:t>
      </w:r>
      <w:r w:rsidR="00691E0C">
        <w:t xml:space="preserve">the </w:t>
      </w:r>
      <w:r>
        <w:t>economy</w:t>
      </w:r>
      <w:r w:rsidR="00F03697">
        <w:noBreakHyphen/>
      </w:r>
      <w:r>
        <w:t>wide model</w:t>
      </w:r>
      <w:r w:rsidR="0018642F">
        <w:t xml:space="preserve"> and key assumptions</w:t>
      </w:r>
    </w:p>
    <w:p w14:paraId="29DD6944" w14:textId="58765830" w:rsidR="00C94D7D" w:rsidRDefault="00C94D7D" w:rsidP="00C94D7D">
      <w:r>
        <w:t xml:space="preserve">The analysis </w:t>
      </w:r>
      <w:r w:rsidR="00AC36C8">
        <w:t xml:space="preserve">reported here </w:t>
      </w:r>
      <w:r>
        <w:t>us</w:t>
      </w:r>
      <w:r w:rsidR="00AC36C8">
        <w:t>es</w:t>
      </w:r>
      <w:r>
        <w:t xml:space="preserve"> a </w:t>
      </w:r>
      <w:r w:rsidR="009A5291">
        <w:t xml:space="preserve">revised </w:t>
      </w:r>
      <w:r w:rsidR="00A307F4">
        <w:t>version</w:t>
      </w:r>
      <w:r>
        <w:t xml:space="preserve"> of the Independent Economics C</w:t>
      </w:r>
      <w:r w:rsidR="007F1BC5">
        <w:t xml:space="preserve">omputable </w:t>
      </w:r>
      <w:r>
        <w:t>G</w:t>
      </w:r>
      <w:r w:rsidR="007F1BC5">
        <w:t xml:space="preserve">eneral </w:t>
      </w:r>
      <w:r>
        <w:t>E</w:t>
      </w:r>
      <w:r w:rsidR="007F1BC5">
        <w:t>quilibrium</w:t>
      </w:r>
      <w:r>
        <w:t xml:space="preserve"> (IECGE) model, which is a static model of the Australian economy</w:t>
      </w:r>
      <w:r w:rsidR="00A307F4">
        <w:t xml:space="preserve"> originally developed by Independent Economics</w:t>
      </w:r>
      <w:r>
        <w:t>.</w:t>
      </w:r>
      <w:r w:rsidR="00A2105A">
        <w:t xml:space="preserve"> </w:t>
      </w:r>
      <w:r w:rsidR="00505862">
        <w:t>The version of the model</w:t>
      </w:r>
      <w:r w:rsidR="00D21765">
        <w:t xml:space="preserve"> used in this paper</w:t>
      </w:r>
      <w:r w:rsidR="00505862">
        <w:t xml:space="preserve"> </w:t>
      </w:r>
      <w:r w:rsidR="00D21765">
        <w:t>incorporates</w:t>
      </w:r>
      <w:r w:rsidR="009A5291">
        <w:t xml:space="preserve"> revisions</w:t>
      </w:r>
      <w:r w:rsidR="00505862">
        <w:t xml:space="preserve"> to the original model </w:t>
      </w:r>
      <w:r w:rsidR="00D21765">
        <w:t xml:space="preserve">by Treasury and Independent Economics </w:t>
      </w:r>
      <w:r w:rsidR="009A5291">
        <w:t>in 2012</w:t>
      </w:r>
      <w:r w:rsidR="00DF72E1">
        <w:t xml:space="preserve"> </w:t>
      </w:r>
      <w:r w:rsidR="00505862">
        <w:t xml:space="preserve">to </w:t>
      </w:r>
      <w:r w:rsidR="009A5291">
        <w:t>capture more aspects of company income taxation</w:t>
      </w:r>
      <w:r w:rsidR="00307498">
        <w:t>.</w:t>
      </w:r>
      <w:r w:rsidR="00EC22FE">
        <w:rPr>
          <w:rStyle w:val="FootnoteReference"/>
        </w:rPr>
        <w:footnoteReference w:id="7"/>
      </w:r>
      <w:r w:rsidR="00307498">
        <w:t xml:space="preserve"> Details of that model and analysis are reported in </w:t>
      </w:r>
      <w:r w:rsidR="00425C48" w:rsidRPr="008A18C5">
        <w:t>Rimmer et al.</w:t>
      </w:r>
      <w:r w:rsidR="00307498">
        <w:t xml:space="preserve"> (2014). More recently, Treasury has made further</w:t>
      </w:r>
      <w:r w:rsidR="009A5291">
        <w:t xml:space="preserve"> revisions </w:t>
      </w:r>
      <w:r w:rsidR="00307498">
        <w:t>to this model. These revisions are</w:t>
      </w:r>
      <w:r w:rsidR="00D21765">
        <w:t xml:space="preserve"> </w:t>
      </w:r>
      <w:r w:rsidR="00913097">
        <w:t>described</w:t>
      </w:r>
      <w:r w:rsidR="00307498">
        <w:t xml:space="preserve"> in the sections below on the economic agents, tax coverage and calibration of the model</w:t>
      </w:r>
      <w:r w:rsidR="00EC22FE">
        <w:t>.</w:t>
      </w:r>
      <w:r w:rsidR="009A5291">
        <w:rPr>
          <w:rStyle w:val="FootnoteReference"/>
        </w:rPr>
        <w:footnoteReference w:id="8"/>
      </w:r>
    </w:p>
    <w:p w14:paraId="29DD6945" w14:textId="15F3FD40" w:rsidR="00C94D7D" w:rsidRDefault="00C94D7D" w:rsidP="00C94D7D">
      <w:r>
        <w:t>There are four economic agents or decisi</w:t>
      </w:r>
      <w:r w:rsidR="00005E7F">
        <w:t xml:space="preserve">on makers represented in the </w:t>
      </w:r>
      <w:r w:rsidR="00777DFE">
        <w:t xml:space="preserve">model: </w:t>
      </w:r>
      <w:r w:rsidR="00DF72E1">
        <w:t xml:space="preserve">a representative </w:t>
      </w:r>
      <w:r>
        <w:t>household</w:t>
      </w:r>
      <w:r w:rsidR="00777DFE">
        <w:t>;</w:t>
      </w:r>
      <w:r>
        <w:t xml:space="preserve"> </w:t>
      </w:r>
      <w:r w:rsidR="006F1A12">
        <w:t xml:space="preserve">firms; </w:t>
      </w:r>
      <w:r>
        <w:t>government</w:t>
      </w:r>
      <w:r w:rsidR="00777DFE">
        <w:t>;</w:t>
      </w:r>
      <w:r>
        <w:t xml:space="preserve"> and </w:t>
      </w:r>
      <w:r w:rsidR="00777DFE">
        <w:t xml:space="preserve">the </w:t>
      </w:r>
      <w:r w:rsidR="006F1A12">
        <w:t>foreign sector.</w:t>
      </w:r>
    </w:p>
    <w:p w14:paraId="29DD6946" w14:textId="77777777" w:rsidR="006F1A12" w:rsidRDefault="006F1A12" w:rsidP="006F1A12">
      <w:pPr>
        <w:pStyle w:val="Heading4"/>
      </w:pPr>
      <w:r>
        <w:t>Household</w:t>
      </w:r>
    </w:p>
    <w:p w14:paraId="29DD6947" w14:textId="49601C70" w:rsidR="00DF72E1" w:rsidRDefault="00DF72E1" w:rsidP="00DF72E1">
      <w:r>
        <w:t>For analytical tractability, Australian households are modelled via a single representative household which is calibrated in the model to match the expenditure and income patterns, and taxes faced by aggregate Australian households</w:t>
      </w:r>
      <w:r w:rsidRPr="004B64F6">
        <w:t>. This approach does not capture heterogeneous household types.</w:t>
      </w:r>
      <w:r w:rsidR="002C292D" w:rsidRPr="004B64F6">
        <w:t xml:space="preserve"> Importantly</w:t>
      </w:r>
      <w:r w:rsidRPr="004B64F6">
        <w:t xml:space="preserve">, </w:t>
      </w:r>
      <w:r w:rsidR="002C292D" w:rsidRPr="004B64F6">
        <w:t xml:space="preserve">this assumption limits the modelling of </w:t>
      </w:r>
      <w:r w:rsidRPr="004B64F6">
        <w:t>the personal</w:t>
      </w:r>
      <w:r w:rsidR="007F1BC5" w:rsidRPr="004B64F6">
        <w:t xml:space="preserve"> (or individuals) income tax </w:t>
      </w:r>
      <w:r w:rsidR="002C292D" w:rsidRPr="004B64F6">
        <w:t>to a stylised</w:t>
      </w:r>
      <w:r w:rsidRPr="004B64F6">
        <w:t xml:space="preserve"> flat rate equal to the effective average tax rate</w:t>
      </w:r>
      <w:r w:rsidR="00AB2D0D" w:rsidRPr="004B64F6">
        <w:t xml:space="preserve"> and </w:t>
      </w:r>
      <w:r w:rsidR="00ED4C32" w:rsidRPr="004B64F6">
        <w:t xml:space="preserve">the </w:t>
      </w:r>
      <w:r w:rsidR="00AB2D0D" w:rsidRPr="004B64F6">
        <w:t xml:space="preserve">average labour supply elasticity. </w:t>
      </w:r>
      <w:r w:rsidR="00ED4C32" w:rsidRPr="004B64F6">
        <w:t>Therefore,</w:t>
      </w:r>
      <w:r w:rsidR="00AB2D0D" w:rsidRPr="004B64F6">
        <w:t xml:space="preserve"> </w:t>
      </w:r>
      <w:r w:rsidR="00ED4C32" w:rsidRPr="004B64F6">
        <w:t>the model</w:t>
      </w:r>
      <w:r w:rsidR="00AB2D0D" w:rsidRPr="004B64F6">
        <w:t xml:space="preserve"> does not capture heterogeneous labour supply responses across different groups of taxpayer</w:t>
      </w:r>
      <w:r w:rsidRPr="004B64F6">
        <w:t>s</w:t>
      </w:r>
      <w:r w:rsidR="00ED4C32" w:rsidRPr="004B64F6">
        <w:t xml:space="preserve"> and </w:t>
      </w:r>
      <w:r w:rsidRPr="004B64F6">
        <w:t>the progressiv</w:t>
      </w:r>
      <w:r w:rsidR="00AB2D0D" w:rsidRPr="004B64F6">
        <w:t>e tax rates scale on individuals</w:t>
      </w:r>
      <w:r w:rsidR="00F03697">
        <w:t>’</w:t>
      </w:r>
      <w:r w:rsidR="00AB2D0D" w:rsidRPr="004B64F6">
        <w:t xml:space="preserve"> income</w:t>
      </w:r>
      <w:r w:rsidRPr="004B64F6">
        <w:t>. This will likely underestimate the marginal excess burden of personal income tax.</w:t>
      </w:r>
    </w:p>
    <w:p w14:paraId="29DD6948" w14:textId="18DA25B2" w:rsidR="00E16BF5" w:rsidRDefault="00DF72E1" w:rsidP="00C94D7D">
      <w:r>
        <w:t xml:space="preserve">The representative household </w:t>
      </w:r>
      <w:r w:rsidR="006F1A12">
        <w:t>derive</w:t>
      </w:r>
      <w:r w:rsidR="00E16BF5">
        <w:t>s</w:t>
      </w:r>
      <w:r w:rsidR="006F1A12">
        <w:t xml:space="preserve"> welfare </w:t>
      </w:r>
      <w:r w:rsidR="006738D3">
        <w:t xml:space="preserve">(or utility) </w:t>
      </w:r>
      <w:r w:rsidR="006F1A12">
        <w:t xml:space="preserve">from leisure and the consumption of </w:t>
      </w:r>
      <w:r w:rsidR="00237687">
        <w:t>various</w:t>
      </w:r>
      <w:r w:rsidR="006F1A12">
        <w:t xml:space="preserve"> goods and services. They are assumed to have a </w:t>
      </w:r>
      <w:r w:rsidR="006738D3">
        <w:t>c</w:t>
      </w:r>
      <w:r w:rsidR="006F1A12">
        <w:t xml:space="preserve">onstant </w:t>
      </w:r>
      <w:r w:rsidR="006738D3">
        <w:t>e</w:t>
      </w:r>
      <w:r w:rsidR="006F1A12">
        <w:t xml:space="preserve">lasticity of </w:t>
      </w:r>
      <w:r w:rsidR="006738D3">
        <w:t>s</w:t>
      </w:r>
      <w:r w:rsidR="006F1A12">
        <w:t xml:space="preserve">ubstitution (CES) utility function between leisure and a consumption bundle, with the consumption bundle comprising an aggregation of a variety of goods and services </w:t>
      </w:r>
      <w:r w:rsidR="002C292D">
        <w:t xml:space="preserve">which </w:t>
      </w:r>
      <w:r w:rsidR="007F1BC5">
        <w:t xml:space="preserve">is </w:t>
      </w:r>
      <w:r w:rsidR="00237687">
        <w:t xml:space="preserve">also </w:t>
      </w:r>
      <w:r w:rsidR="002C292D">
        <w:t xml:space="preserve">based on </w:t>
      </w:r>
      <w:r w:rsidR="006F1A12">
        <w:t>a CES function</w:t>
      </w:r>
      <w:r w:rsidR="00E16BF5">
        <w:t>, where each good and service consumed is a CES bundle of locally produced and imported products</w:t>
      </w:r>
      <w:r w:rsidR="006F1A12">
        <w:t xml:space="preserve">. </w:t>
      </w:r>
      <w:r w:rsidR="007F1BC5">
        <w:t>The household</w:t>
      </w:r>
      <w:r w:rsidR="006F1A12">
        <w:t xml:space="preserve"> sell</w:t>
      </w:r>
      <w:r w:rsidR="007F1BC5">
        <w:t>s</w:t>
      </w:r>
      <w:r w:rsidR="006F1A12">
        <w:t xml:space="preserve"> </w:t>
      </w:r>
      <w:r w:rsidR="007F1BC5">
        <w:t>its</w:t>
      </w:r>
      <w:r w:rsidR="006F1A12">
        <w:t xml:space="preserve"> labour services to firms (</w:t>
      </w:r>
      <w:r w:rsidR="002358C6">
        <w:t>labour supply</w:t>
      </w:r>
      <w:r w:rsidR="006F1A12">
        <w:t>) and own</w:t>
      </w:r>
      <w:r w:rsidR="007E4F01">
        <w:t>s</w:t>
      </w:r>
      <w:r w:rsidR="006F1A12">
        <w:t xml:space="preserve"> all domestically</w:t>
      </w:r>
      <w:r w:rsidR="00F03697">
        <w:noBreakHyphen/>
      </w:r>
      <w:r w:rsidR="006F1A12">
        <w:t>owned capital (</w:t>
      </w:r>
      <w:r w:rsidR="00E16BF5">
        <w:t xml:space="preserve">both </w:t>
      </w:r>
      <w:r w:rsidR="006F1A12">
        <w:t>fixed</w:t>
      </w:r>
      <w:r w:rsidR="00E16BF5">
        <w:t xml:space="preserve"> </w:t>
      </w:r>
      <w:r w:rsidR="00ED06B7">
        <w:t xml:space="preserve">factors </w:t>
      </w:r>
      <w:r w:rsidR="00E16BF5">
        <w:t>including land, location</w:t>
      </w:r>
      <w:r w:rsidR="00F03697">
        <w:noBreakHyphen/>
      </w:r>
      <w:r w:rsidR="00E16BF5">
        <w:t>specific factor</w:t>
      </w:r>
      <w:r w:rsidR="00ED06B7">
        <w:t>s</w:t>
      </w:r>
      <w:r w:rsidR="00E16BF5">
        <w:t xml:space="preserve"> (</w:t>
      </w:r>
      <w:r w:rsidR="00621AD1">
        <w:t>for example</w:t>
      </w:r>
      <w:r w:rsidR="00E16BF5">
        <w:t>, natural resources) and firm</w:t>
      </w:r>
      <w:r w:rsidR="00F03697">
        <w:noBreakHyphen/>
      </w:r>
      <w:r w:rsidR="00E16BF5">
        <w:t>specific factor</w:t>
      </w:r>
      <w:r w:rsidR="00F0010D">
        <w:t>s</w:t>
      </w:r>
      <w:r w:rsidR="00E16BF5">
        <w:t xml:space="preserve"> (</w:t>
      </w:r>
      <w:r w:rsidR="00621AD1">
        <w:t>for example</w:t>
      </w:r>
      <w:r w:rsidR="00E16BF5">
        <w:t>, intellectual property)</w:t>
      </w:r>
      <w:r w:rsidR="006F1A12">
        <w:t xml:space="preserve"> and variable</w:t>
      </w:r>
      <w:r w:rsidR="00E16BF5">
        <w:t xml:space="preserve"> capital </w:t>
      </w:r>
      <w:r w:rsidR="00ED06B7">
        <w:t>such as structures and equipment</w:t>
      </w:r>
      <w:r w:rsidR="006F1A12">
        <w:t xml:space="preserve">) which </w:t>
      </w:r>
      <w:r w:rsidR="0042687F">
        <w:t>it</w:t>
      </w:r>
      <w:r w:rsidR="006F1A12">
        <w:t xml:space="preserve"> rent</w:t>
      </w:r>
      <w:r w:rsidR="0042687F">
        <w:t>s to firms. The</w:t>
      </w:r>
      <w:r w:rsidR="006F1A12">
        <w:t xml:space="preserve"> </w:t>
      </w:r>
      <w:r w:rsidR="0042687F">
        <w:t>household is</w:t>
      </w:r>
      <w:r w:rsidR="006F1A12">
        <w:t xml:space="preserve"> also subject to taxation on labour and capital income, and purchases of goods and services. </w:t>
      </w:r>
    </w:p>
    <w:p w14:paraId="3351FB12" w14:textId="55706BE2" w:rsidR="0018642F" w:rsidRDefault="002C292D" w:rsidP="00C94D7D">
      <w:r>
        <w:t xml:space="preserve">The representative household </w:t>
      </w:r>
      <w:r w:rsidR="006F1A12">
        <w:t>maximise</w:t>
      </w:r>
      <w:r>
        <w:t>s</w:t>
      </w:r>
      <w:r w:rsidR="006F1A12">
        <w:t xml:space="preserve"> </w:t>
      </w:r>
      <w:r w:rsidR="00615FDF">
        <w:t xml:space="preserve">its </w:t>
      </w:r>
      <w:r w:rsidR="006F1A12">
        <w:t xml:space="preserve">utility subject to </w:t>
      </w:r>
      <w:r>
        <w:t xml:space="preserve">a </w:t>
      </w:r>
      <w:r w:rsidR="006F1A12">
        <w:t xml:space="preserve">budget constraint, which </w:t>
      </w:r>
      <w:r>
        <w:t xml:space="preserve">is a function of </w:t>
      </w:r>
      <w:r w:rsidR="006F1A12">
        <w:t>after</w:t>
      </w:r>
      <w:r w:rsidR="00F03697">
        <w:noBreakHyphen/>
      </w:r>
      <w:r w:rsidR="006F1A12">
        <w:t>tax labour and capital income; franking credits; and lump</w:t>
      </w:r>
      <w:r w:rsidR="00F03697">
        <w:noBreakHyphen/>
      </w:r>
      <w:r w:rsidR="006F1A12">
        <w:t>sum government transfers.</w:t>
      </w:r>
    </w:p>
    <w:p w14:paraId="715E6735" w14:textId="77777777" w:rsidR="00F93244" w:rsidRDefault="00F93244">
      <w:r>
        <w:br w:type="page"/>
      </w:r>
    </w:p>
    <w:p w14:paraId="29DD6949" w14:textId="3DC95F6B" w:rsidR="006F1A12" w:rsidRDefault="00C10AE9" w:rsidP="00C94D7D">
      <w:r w:rsidRPr="004B64F6">
        <w:lastRenderedPageBreak/>
        <w:t xml:space="preserve">The model assumes </w:t>
      </w:r>
      <w:r w:rsidR="007750DD" w:rsidRPr="004B64F6">
        <w:t>a fixed domestically owned capital stock. Combined with the model</w:t>
      </w:r>
      <w:r w:rsidR="00F03697">
        <w:t>’</w:t>
      </w:r>
      <w:r w:rsidR="007750DD" w:rsidRPr="004B64F6">
        <w:t>s perfect international capital mobility assumption</w:t>
      </w:r>
      <w:r w:rsidRPr="004B64F6">
        <w:t>,</w:t>
      </w:r>
      <w:r w:rsidR="007750DD" w:rsidRPr="004B64F6">
        <w:t xml:space="preserve"> the model implies domestic capital income is invariant to </w:t>
      </w:r>
      <w:r w:rsidR="009E0938" w:rsidRPr="004B64F6">
        <w:t xml:space="preserve">marginal changes to </w:t>
      </w:r>
      <w:r w:rsidR="007750DD" w:rsidRPr="004B64F6">
        <w:t>the personal income tax system.</w:t>
      </w:r>
      <w:r w:rsidR="00F0010D" w:rsidRPr="004B64F6">
        <w:t xml:space="preserve"> </w:t>
      </w:r>
      <w:r w:rsidR="00380057" w:rsidRPr="004B64F6">
        <w:t>Our sensitivity analysis shows that the rival assumption of a fixed domestic savings rate yields very similar outcomes. Both t</w:t>
      </w:r>
      <w:r w:rsidR="009067B3" w:rsidRPr="004B64F6">
        <w:t>h</w:t>
      </w:r>
      <w:r w:rsidR="00380057" w:rsidRPr="004B64F6">
        <w:t>ese</w:t>
      </w:r>
      <w:r w:rsidR="009067B3" w:rsidRPr="004B64F6">
        <w:t xml:space="preserve"> </w:t>
      </w:r>
      <w:r w:rsidR="00380057" w:rsidRPr="004B64F6">
        <w:t>assumptions</w:t>
      </w:r>
      <w:r w:rsidR="009067B3" w:rsidRPr="004B64F6">
        <w:t xml:space="preserve"> h</w:t>
      </w:r>
      <w:r w:rsidR="00380057" w:rsidRPr="004B64F6">
        <w:t>ave</w:t>
      </w:r>
      <w:r w:rsidR="009067B3" w:rsidRPr="004B64F6">
        <w:t xml:space="preserve"> been adopted in </w:t>
      </w:r>
      <w:r w:rsidR="003F5D21" w:rsidRPr="004B64F6">
        <w:t>previous</w:t>
      </w:r>
      <w:r w:rsidR="009067B3" w:rsidRPr="004B64F6">
        <w:t xml:space="preserve"> Australian studies </w:t>
      </w:r>
      <w:r w:rsidR="003F5D21" w:rsidRPr="004B64F6">
        <w:t>(</w:t>
      </w:r>
      <w:r w:rsidR="001D1992" w:rsidRPr="004B64F6">
        <w:t xml:space="preserve">Access Economics, 2008 and 2011; </w:t>
      </w:r>
      <w:r w:rsidR="003F5D21" w:rsidRPr="004B64F6">
        <w:t>KPMG</w:t>
      </w:r>
      <w:r w:rsidR="006C116E" w:rsidRPr="004B64F6">
        <w:t>,</w:t>
      </w:r>
      <w:r w:rsidR="003F5D21" w:rsidRPr="004B64F6">
        <w:t xml:space="preserve"> 2010</w:t>
      </w:r>
      <w:r w:rsidR="006C116E" w:rsidRPr="004B64F6">
        <w:t xml:space="preserve"> and</w:t>
      </w:r>
      <w:r w:rsidR="003F5D21" w:rsidRPr="004B64F6">
        <w:t xml:space="preserve"> 2011; </w:t>
      </w:r>
      <w:r w:rsidR="00C112C4" w:rsidRPr="004B64F6">
        <w:t xml:space="preserve">and </w:t>
      </w:r>
      <w:r w:rsidR="00496794" w:rsidRPr="004B64F6">
        <w:t>Independent Economics</w:t>
      </w:r>
      <w:r w:rsidR="006C116E" w:rsidRPr="004B64F6">
        <w:t>, </w:t>
      </w:r>
      <w:r w:rsidR="003F5D21" w:rsidRPr="004B64F6">
        <w:t xml:space="preserve">2014) </w:t>
      </w:r>
      <w:r w:rsidR="009067B3" w:rsidRPr="004B64F6">
        <w:t>that have e</w:t>
      </w:r>
      <w:r w:rsidR="003F5D21" w:rsidRPr="004B64F6">
        <w:t>xamined</w:t>
      </w:r>
      <w:r w:rsidR="009067B3" w:rsidRPr="004B64F6">
        <w:t xml:space="preserve"> the long</w:t>
      </w:r>
      <w:r w:rsidR="00F03697">
        <w:noBreakHyphen/>
      </w:r>
      <w:r w:rsidR="009067B3" w:rsidRPr="004B64F6">
        <w:t>run economic costs of small changes in taxes using a static, economy</w:t>
      </w:r>
      <w:r w:rsidR="00F03697">
        <w:noBreakHyphen/>
      </w:r>
      <w:r w:rsidR="009067B3" w:rsidRPr="004B64F6">
        <w:t>wide model.</w:t>
      </w:r>
    </w:p>
    <w:p w14:paraId="29DD694A" w14:textId="77777777" w:rsidR="00005E7F" w:rsidRDefault="00005E7F" w:rsidP="00005E7F">
      <w:pPr>
        <w:pStyle w:val="Heading4"/>
      </w:pPr>
      <w:r>
        <w:t>Firms</w:t>
      </w:r>
    </w:p>
    <w:p w14:paraId="29DD694B" w14:textId="33BC87ED" w:rsidR="00005E7F" w:rsidRDefault="00005E7F" w:rsidP="00005E7F">
      <w:r>
        <w:t>The model identifies 1</w:t>
      </w:r>
      <w:r w:rsidR="001C5516">
        <w:t>11</w:t>
      </w:r>
      <w:r>
        <w:t xml:space="preserve"> different sectors, each of which produces a different good or service. </w:t>
      </w:r>
      <w:r w:rsidR="004A7FE7">
        <w:t>The objective of e</w:t>
      </w:r>
      <w:r>
        <w:t xml:space="preserve">ach </w:t>
      </w:r>
      <w:r w:rsidR="00460F66">
        <w:t>firm</w:t>
      </w:r>
      <w:r>
        <w:t xml:space="preserve"> </w:t>
      </w:r>
      <w:r w:rsidR="004A7FE7">
        <w:t>is to maximise</w:t>
      </w:r>
      <w:r w:rsidR="00951752">
        <w:t xml:space="preserve"> its profits</w:t>
      </w:r>
      <w:r w:rsidR="00E16BF5">
        <w:t>, given the price</w:t>
      </w:r>
      <w:r w:rsidR="000A0119">
        <w:t>s</w:t>
      </w:r>
      <w:r w:rsidR="00E16BF5">
        <w:t xml:space="preserve"> of its output</w:t>
      </w:r>
      <w:r w:rsidR="000A0119">
        <w:t xml:space="preserve"> and all of its inputs</w:t>
      </w:r>
      <w:r w:rsidR="004A7FE7">
        <w:t xml:space="preserve">. Production </w:t>
      </w:r>
      <w:r w:rsidR="00237687">
        <w:t>technology varies</w:t>
      </w:r>
      <w:r w:rsidR="004A7FE7">
        <w:t xml:space="preserve"> across sectors based on assumed multi</w:t>
      </w:r>
      <w:r w:rsidR="00F03697">
        <w:noBreakHyphen/>
      </w:r>
      <w:r w:rsidR="004A7FE7">
        <w:t>layer</w:t>
      </w:r>
      <w:r w:rsidR="009303CC">
        <w:t>ed</w:t>
      </w:r>
      <w:r w:rsidR="004A7FE7">
        <w:t xml:space="preserve"> nested production structures and </w:t>
      </w:r>
      <w:r w:rsidR="002C292D">
        <w:t xml:space="preserve">an </w:t>
      </w:r>
      <w:r w:rsidR="004A7FE7">
        <w:t xml:space="preserve">appropriately specified elasticity of substitution at each level of </w:t>
      </w:r>
      <w:r w:rsidR="002358C6">
        <w:t xml:space="preserve">the </w:t>
      </w:r>
      <w:r w:rsidR="004A7FE7">
        <w:t>nest. Firms can employ</w:t>
      </w:r>
      <w:r w:rsidR="000A0119">
        <w:t xml:space="preserve"> </w:t>
      </w:r>
      <w:r w:rsidR="004A7FE7">
        <w:t xml:space="preserve">up to </w:t>
      </w:r>
      <w:r>
        <w:t xml:space="preserve">12 </w:t>
      </w:r>
      <w:r w:rsidR="007A46F9">
        <w:t xml:space="preserve">different </w:t>
      </w:r>
      <w:r>
        <w:t>primary factors</w:t>
      </w:r>
      <w:r w:rsidR="002C292D">
        <w:t xml:space="preserve">: </w:t>
      </w:r>
      <w:r>
        <w:t>labour, eight types of produced ca</w:t>
      </w:r>
      <w:r w:rsidR="00951752">
        <w:t>pital</w:t>
      </w:r>
      <w:r w:rsidR="006F1A12">
        <w:t xml:space="preserve"> </w:t>
      </w:r>
      <w:r w:rsidR="00951752">
        <w:t>and three fixed factors</w:t>
      </w:r>
      <w:r w:rsidR="000A0119">
        <w:t xml:space="preserve"> which are</w:t>
      </w:r>
      <w:r w:rsidR="004A7FE7">
        <w:t xml:space="preserve"> </w:t>
      </w:r>
      <w:r w:rsidR="00D3440D">
        <w:t xml:space="preserve">owned by domestic </w:t>
      </w:r>
      <w:r w:rsidR="00951752">
        <w:t>or foreign</w:t>
      </w:r>
      <w:r w:rsidR="00D3440D">
        <w:t xml:space="preserve"> households.</w:t>
      </w:r>
    </w:p>
    <w:p w14:paraId="29DD694C" w14:textId="0023569F" w:rsidR="005F56CA" w:rsidRDefault="005F56CA" w:rsidP="00005E7F">
      <w:r w:rsidRPr="004B64F6">
        <w:t xml:space="preserve">Similar to Australian households, </w:t>
      </w:r>
      <w:r w:rsidR="002060A0" w:rsidRPr="004B64F6">
        <w:t xml:space="preserve">for analytical tractability </w:t>
      </w:r>
      <w:r w:rsidRPr="004B64F6">
        <w:t xml:space="preserve">firms are modelled via a single representative firm for each of the </w:t>
      </w:r>
      <w:r w:rsidR="001C5516" w:rsidRPr="004B64F6">
        <w:t xml:space="preserve">111 </w:t>
      </w:r>
      <w:r w:rsidRPr="004B64F6">
        <w:t xml:space="preserve">different sectors. </w:t>
      </w:r>
      <w:r w:rsidR="002060A0" w:rsidRPr="004B64F6">
        <w:t xml:space="preserve">For </w:t>
      </w:r>
      <w:r w:rsidRPr="004B64F6">
        <w:t>industries w</w:t>
      </w:r>
      <w:r w:rsidR="002060A0" w:rsidRPr="004B64F6">
        <w:t>h</w:t>
      </w:r>
      <w:r w:rsidRPr="004B64F6">
        <w:t xml:space="preserve">ere firms are </w:t>
      </w:r>
      <w:r w:rsidR="002060A0" w:rsidRPr="004B64F6">
        <w:t xml:space="preserve">largely </w:t>
      </w:r>
      <w:r w:rsidRPr="004B64F6">
        <w:t>homogeneous</w:t>
      </w:r>
      <w:r w:rsidR="00F0010D" w:rsidRPr="004B64F6">
        <w:t xml:space="preserve"> (</w:t>
      </w:r>
      <w:r w:rsidR="00621AD1">
        <w:t>for example</w:t>
      </w:r>
      <w:r w:rsidR="007E4F01" w:rsidRPr="004B64F6">
        <w:t>, </w:t>
      </w:r>
      <w:r w:rsidR="00EE2529" w:rsidRPr="004B64F6">
        <w:t>firms with similar production functions</w:t>
      </w:r>
      <w:r w:rsidR="007F1DA2" w:rsidRPr="004B64F6">
        <w:t>)</w:t>
      </w:r>
      <w:r w:rsidR="002060A0" w:rsidRPr="004B64F6">
        <w:t xml:space="preserve"> </w:t>
      </w:r>
      <w:r w:rsidRPr="004B64F6">
        <w:t>this simplification has little effect. However</w:t>
      </w:r>
      <w:r w:rsidR="002060A0" w:rsidRPr="004B64F6">
        <w:t>,</w:t>
      </w:r>
      <w:r w:rsidRPr="004B64F6">
        <w:t xml:space="preserve"> </w:t>
      </w:r>
      <w:r w:rsidR="002060A0" w:rsidRPr="004B64F6">
        <w:t xml:space="preserve">for </w:t>
      </w:r>
      <w:r w:rsidRPr="004B64F6">
        <w:t xml:space="preserve">industries where firms </w:t>
      </w:r>
      <w:r w:rsidR="002060A0" w:rsidRPr="004B64F6">
        <w:t xml:space="preserve">are of different sizes and </w:t>
      </w:r>
      <w:r w:rsidRPr="004B64F6">
        <w:t xml:space="preserve">have different </w:t>
      </w:r>
      <w:r w:rsidR="002060A0" w:rsidRPr="004B64F6">
        <w:t>production functions,</w:t>
      </w:r>
      <w:r w:rsidRPr="004B64F6">
        <w:t xml:space="preserve"> this simplification will </w:t>
      </w:r>
      <w:r w:rsidR="002060A0" w:rsidRPr="004B64F6">
        <w:t xml:space="preserve">potentially </w:t>
      </w:r>
      <w:r w:rsidRPr="004B64F6">
        <w:t>reduce the accuracy of the modelling and the results.</w:t>
      </w:r>
    </w:p>
    <w:p w14:paraId="29DD694D" w14:textId="77777777" w:rsidR="00005E7F" w:rsidRDefault="00005E7F" w:rsidP="00005E7F">
      <w:pPr>
        <w:pStyle w:val="Heading4"/>
      </w:pPr>
      <w:r>
        <w:t>Government</w:t>
      </w:r>
    </w:p>
    <w:p w14:paraId="29DD694E" w14:textId="6BDD3653" w:rsidR="002060A0" w:rsidRDefault="006F1A12" w:rsidP="00005E7F">
      <w:r>
        <w:t>The g</w:t>
      </w:r>
      <w:r w:rsidR="00005E7F">
        <w:t>overnment</w:t>
      </w:r>
      <w:r w:rsidR="007F1DA2">
        <w:t xml:space="preserve"> is assumed to</w:t>
      </w:r>
      <w:r w:rsidR="00005E7F">
        <w:t xml:space="preserve"> collect all taxes</w:t>
      </w:r>
      <w:r w:rsidR="007E4F01">
        <w:t xml:space="preserve"> and use the </w:t>
      </w:r>
      <w:r w:rsidR="00013766">
        <w:t xml:space="preserve">revenue </w:t>
      </w:r>
      <w:r w:rsidR="0039591C">
        <w:t xml:space="preserve">for its </w:t>
      </w:r>
      <w:r w:rsidR="00005E7F">
        <w:t>consum</w:t>
      </w:r>
      <w:r w:rsidR="0039591C">
        <w:t xml:space="preserve">ption of </w:t>
      </w:r>
      <w:r w:rsidR="00005E7F">
        <w:t xml:space="preserve">goods and services. </w:t>
      </w:r>
      <w:r w:rsidR="00013766">
        <w:t>R</w:t>
      </w:r>
      <w:r w:rsidR="00005E7F">
        <w:t xml:space="preserve">eal government </w:t>
      </w:r>
      <w:r w:rsidR="008E0F57">
        <w:t xml:space="preserve">spending </w:t>
      </w:r>
      <w:r w:rsidR="00005E7F">
        <w:t>o</w:t>
      </w:r>
      <w:r w:rsidR="0039591C">
        <w:t>n</w:t>
      </w:r>
      <w:r w:rsidR="00013766">
        <w:t xml:space="preserve"> each good or service is held fixed</w:t>
      </w:r>
      <w:r w:rsidR="00005E7F">
        <w:t xml:space="preserve">. </w:t>
      </w:r>
      <w:r w:rsidR="00013766">
        <w:t xml:space="preserve">Government spending </w:t>
      </w:r>
      <w:r w:rsidR="002060A0">
        <w:t>is assumed to</w:t>
      </w:r>
      <w:r w:rsidR="00013766">
        <w:t xml:space="preserve"> not directly affect the welfare of households.</w:t>
      </w:r>
      <w:r w:rsidR="001D1992">
        <w:rPr>
          <w:rStyle w:val="FootnoteReference"/>
        </w:rPr>
        <w:footnoteReference w:id="9"/>
      </w:r>
      <w:r w:rsidR="00013766">
        <w:t xml:space="preserve"> Finally, the</w:t>
      </w:r>
      <w:r w:rsidR="00005E7F">
        <w:t xml:space="preserve"> Government </w:t>
      </w:r>
      <w:r w:rsidR="00013766">
        <w:t xml:space="preserve">is assumed to </w:t>
      </w:r>
      <w:r w:rsidR="00005E7F">
        <w:t xml:space="preserve">maintain </w:t>
      </w:r>
      <w:r w:rsidR="006F1C1A">
        <w:t xml:space="preserve">a balanced </w:t>
      </w:r>
      <w:r w:rsidR="00005E7F">
        <w:t xml:space="preserve">budget </w:t>
      </w:r>
      <w:r w:rsidR="00013766">
        <w:t>via</w:t>
      </w:r>
      <w:r w:rsidR="00005E7F">
        <w:t xml:space="preserve"> a</w:t>
      </w:r>
      <w:r w:rsidR="002358C6">
        <w:t xml:space="preserve"> lump</w:t>
      </w:r>
      <w:r w:rsidR="00005E7F">
        <w:t xml:space="preserve"> sum transfer to household</w:t>
      </w:r>
      <w:r w:rsidR="00013766">
        <w:t>s</w:t>
      </w:r>
      <w:r w:rsidR="00370DAB">
        <w:t xml:space="preserve"> (</w:t>
      </w:r>
      <w:r w:rsidR="00621AD1">
        <w:t>that is</w:t>
      </w:r>
      <w:r w:rsidR="00370DAB">
        <w:t>, all increases in net revenue are redistributed to households via a lump</w:t>
      </w:r>
      <w:r w:rsidR="00F03697">
        <w:noBreakHyphen/>
      </w:r>
      <w:r w:rsidR="00370DAB">
        <w:t>sum transfer).</w:t>
      </w:r>
      <w:r w:rsidR="005F56CA">
        <w:t xml:space="preserve"> </w:t>
      </w:r>
      <w:r w:rsidR="002060A0">
        <w:t xml:space="preserve">The public finance literature (see </w:t>
      </w:r>
      <w:r w:rsidR="00805709">
        <w:t xml:space="preserve">for example </w:t>
      </w:r>
      <w:r w:rsidR="005F56CA">
        <w:t>Musgrave 1959</w:t>
      </w:r>
      <w:r w:rsidR="002060A0">
        <w:t xml:space="preserve">) </w:t>
      </w:r>
      <w:r w:rsidR="005F56CA">
        <w:t xml:space="preserve">refers to this </w:t>
      </w:r>
      <w:r w:rsidR="004A6EFA">
        <w:t xml:space="preserve">closure </w:t>
      </w:r>
      <w:r w:rsidR="005F56CA">
        <w:t xml:space="preserve">assumption as </w:t>
      </w:r>
      <w:r w:rsidR="00F03697">
        <w:t>‘</w:t>
      </w:r>
      <w:r w:rsidR="005F56CA">
        <w:t>differential incidence</w:t>
      </w:r>
      <w:r w:rsidR="00F03697">
        <w:t>’</w:t>
      </w:r>
      <w:r w:rsidR="002060A0">
        <w:t xml:space="preserve"> since it captures the tax incidence from raising one tax and lowering another (in this case lump</w:t>
      </w:r>
      <w:r w:rsidR="00F03697">
        <w:noBreakHyphen/>
      </w:r>
      <w:r w:rsidR="002060A0">
        <w:t>sum taxation).</w:t>
      </w:r>
    </w:p>
    <w:p w14:paraId="29DD694F" w14:textId="77777777" w:rsidR="00005E7F" w:rsidRDefault="00005E7F" w:rsidP="00005E7F">
      <w:pPr>
        <w:pStyle w:val="Heading4"/>
      </w:pPr>
      <w:r>
        <w:t>Foreign sector</w:t>
      </w:r>
    </w:p>
    <w:p w14:paraId="29DD6950" w14:textId="5B8DC44F" w:rsidR="00C84A40" w:rsidRDefault="00C84A40" w:rsidP="00005E7F">
      <w:r>
        <w:t>Australia is assumed to be a small open economy in capital markets. Australia can access the global market for funds, so long as the after</w:t>
      </w:r>
      <w:r w:rsidR="00F03697">
        <w:noBreakHyphen/>
      </w:r>
      <w:r>
        <w:t>tax rate of return on capital equals the global rate of return.</w:t>
      </w:r>
      <w:r w:rsidR="00E6483B">
        <w:t xml:space="preserve"> </w:t>
      </w:r>
      <w:r w:rsidR="007E4F01">
        <w:t>We </w:t>
      </w:r>
      <w:r w:rsidR="00FE00AF">
        <w:t>consider this to be a reasonable assumption for a static analysis of the long run impacts of taxes on welfare</w:t>
      </w:r>
      <w:r w:rsidR="00E6483B">
        <w:t xml:space="preserve">. </w:t>
      </w:r>
      <w:r>
        <w:t>Foreign households own part of Australia</w:t>
      </w:r>
      <w:r w:rsidR="00F03697">
        <w:t>’</w:t>
      </w:r>
      <w:r>
        <w:t>s variable capital and fixed factors</w:t>
      </w:r>
      <w:r w:rsidR="002821F8">
        <w:t>.</w:t>
      </w:r>
    </w:p>
    <w:p w14:paraId="29DD6951" w14:textId="748F14C8" w:rsidR="00005E7F" w:rsidRDefault="00370DAB" w:rsidP="00005E7F">
      <w:r>
        <w:t>Similarly, t</w:t>
      </w:r>
      <w:r w:rsidR="00005E7F">
        <w:t xml:space="preserve">he model assumes Australia is </w:t>
      </w:r>
      <w:r w:rsidR="002060A0">
        <w:t xml:space="preserve">to a large extent </w:t>
      </w:r>
      <w:r w:rsidR="004A7FE7">
        <w:t xml:space="preserve">a </w:t>
      </w:r>
      <w:r w:rsidR="00005E7F">
        <w:t>small open economy</w:t>
      </w:r>
      <w:r w:rsidR="004A7FE7">
        <w:t xml:space="preserve"> in </w:t>
      </w:r>
      <w:r w:rsidR="002358C6">
        <w:t xml:space="preserve">the </w:t>
      </w:r>
      <w:r w:rsidR="004A7FE7">
        <w:t>goods markets</w:t>
      </w:r>
      <w:r w:rsidR="00005E7F">
        <w:t xml:space="preserve">. </w:t>
      </w:r>
      <w:r>
        <w:t>Specifically</w:t>
      </w:r>
      <w:r w:rsidR="004A7FE7">
        <w:t xml:space="preserve">, </w:t>
      </w:r>
      <w:r w:rsidR="00005E7F">
        <w:t xml:space="preserve">Australia is </w:t>
      </w:r>
      <w:r w:rsidR="002060A0">
        <w:t xml:space="preserve">assumed to be </w:t>
      </w:r>
      <w:r w:rsidR="00005E7F">
        <w:t>a price taker for imports</w:t>
      </w:r>
      <w:r w:rsidR="00802254">
        <w:t>, meaning that changes in the Australian economy do not influence the price of imports. Australia</w:t>
      </w:r>
      <w:r w:rsidR="004A7FE7">
        <w:t xml:space="preserve"> is</w:t>
      </w:r>
      <w:r w:rsidR="00005E7F">
        <w:t xml:space="preserve"> </w:t>
      </w:r>
      <w:r w:rsidR="009B508B">
        <w:t>effectively</w:t>
      </w:r>
      <w:r w:rsidR="00005E7F">
        <w:t xml:space="preserve"> a price taker for exports,</w:t>
      </w:r>
      <w:r w:rsidR="00802254">
        <w:t xml:space="preserve"> with a standard value for the export price elasticity of demand of </w:t>
      </w:r>
      <w:r w:rsidR="00F03697">
        <w:noBreakHyphen/>
      </w:r>
      <w:r w:rsidR="00802254">
        <w:t xml:space="preserve">12. For some industries such as coal and iron ore, where Australia has some market power, a lower value of elasticity of </w:t>
      </w:r>
      <w:r w:rsidR="00F03697">
        <w:noBreakHyphen/>
      </w:r>
      <w:r w:rsidR="00802254">
        <w:t>6 is used.</w:t>
      </w:r>
      <w:r w:rsidR="00005E7F">
        <w:t xml:space="preserve"> </w:t>
      </w:r>
    </w:p>
    <w:p w14:paraId="29DD6952" w14:textId="77777777" w:rsidR="00370DAB" w:rsidRDefault="00370DAB" w:rsidP="00370DAB">
      <w:pPr>
        <w:pStyle w:val="Heading4"/>
      </w:pPr>
      <w:r>
        <w:lastRenderedPageBreak/>
        <w:t>Financial markets</w:t>
      </w:r>
    </w:p>
    <w:p w14:paraId="29DD6953" w14:textId="5296D11C" w:rsidR="00370DAB" w:rsidRDefault="007579D0" w:rsidP="00E6097C">
      <w:pPr>
        <w:spacing w:after="180"/>
      </w:pPr>
      <w:r w:rsidRPr="00A50A78">
        <w:t>Capital is financed by a mixture of equity and debt</w:t>
      </w:r>
      <w:r w:rsidR="0039591C">
        <w:t xml:space="preserve"> in fixed proportions</w:t>
      </w:r>
      <w:r w:rsidRPr="00A50A78">
        <w:t>. The after</w:t>
      </w:r>
      <w:r w:rsidR="00F03697">
        <w:noBreakHyphen/>
      </w:r>
      <w:r w:rsidRPr="00A50A78">
        <w:t>tax return required on both debt and equity is equal to the global</w:t>
      </w:r>
      <w:r w:rsidR="00A50A78" w:rsidRPr="00A50A78">
        <w:t xml:space="preserve"> rate of return. The cost of capital for firms takes into account deductions for the cost of debt financing</w:t>
      </w:r>
      <w:r w:rsidR="00A50A78">
        <w:t>.</w:t>
      </w:r>
      <w:r w:rsidR="00A50A78" w:rsidRPr="00A50A78">
        <w:t xml:space="preserve"> </w:t>
      </w:r>
      <w:r w:rsidR="00A50A78">
        <w:t>I</w:t>
      </w:r>
      <w:r w:rsidR="00A50A78" w:rsidRPr="00A50A78">
        <w:t xml:space="preserve">t is </w:t>
      </w:r>
      <w:r w:rsidR="00A50A78">
        <w:t xml:space="preserve">therefore </w:t>
      </w:r>
      <w:r w:rsidR="00A50A78" w:rsidRPr="00A50A78">
        <w:t xml:space="preserve">important that the mix of debt and equity is appropriately estimated for each industry. </w:t>
      </w:r>
      <w:r w:rsidR="00A50A78">
        <w:t xml:space="preserve">As such </w:t>
      </w:r>
      <w:r w:rsidR="00361935">
        <w:t xml:space="preserve">a </w:t>
      </w:r>
      <w:r w:rsidR="00A50A78" w:rsidRPr="00A50A78">
        <w:t>debt</w:t>
      </w:r>
      <w:r w:rsidR="00F03697">
        <w:noBreakHyphen/>
      </w:r>
      <w:r w:rsidR="00A50A78" w:rsidRPr="00A50A78">
        <w:t>to</w:t>
      </w:r>
      <w:r w:rsidR="00F03697">
        <w:noBreakHyphen/>
      </w:r>
      <w:r w:rsidR="00A50A78" w:rsidRPr="00A50A78">
        <w:t>equity ratio</w:t>
      </w:r>
      <w:r w:rsidR="00A50A78">
        <w:t xml:space="preserve"> </w:t>
      </w:r>
      <w:r w:rsidR="00A50A78" w:rsidRPr="00A50A78">
        <w:t>has been estimated using ATO Taxation Statistics data</w:t>
      </w:r>
      <w:r w:rsidR="002821F8">
        <w:t xml:space="preserve"> </w:t>
      </w:r>
      <w:r w:rsidR="005C3EB0">
        <w:t>(Australian Taxation Office, 2014)</w:t>
      </w:r>
      <w:r w:rsidR="00A50A78" w:rsidRPr="00A50A78">
        <w:t xml:space="preserve">. </w:t>
      </w:r>
      <w:r w:rsidR="00C4430E">
        <w:t>This ratio is assumed to be fixed</w:t>
      </w:r>
      <w:r w:rsidR="00C64637">
        <w:t xml:space="preserve"> (and discussed further in </w:t>
      </w:r>
      <w:r w:rsidR="007E4F01">
        <w:t xml:space="preserve">the </w:t>
      </w:r>
      <w:r w:rsidR="00C64637">
        <w:t>calibration section below)</w:t>
      </w:r>
      <w:r w:rsidR="00C4430E">
        <w:t>.</w:t>
      </w:r>
      <w:r w:rsidR="00D71127">
        <w:rPr>
          <w:rStyle w:val="FootnoteReference"/>
        </w:rPr>
        <w:footnoteReference w:id="10"/>
      </w:r>
      <w:r w:rsidR="00C4430E">
        <w:t xml:space="preserve"> </w:t>
      </w:r>
      <w:r w:rsidR="00A50A78" w:rsidRPr="00A50A78">
        <w:t xml:space="preserve">This allows the model to account </w:t>
      </w:r>
      <w:r w:rsidR="00A50A78">
        <w:t xml:space="preserve">for greater tax deductions </w:t>
      </w:r>
      <w:r w:rsidR="007E4F01">
        <w:t>in</w:t>
      </w:r>
      <w:r w:rsidR="00A50A78" w:rsidRPr="00A50A78">
        <w:t xml:space="preserve"> industries which have higher debt</w:t>
      </w:r>
      <w:r w:rsidR="00F03697">
        <w:noBreakHyphen/>
      </w:r>
      <w:r w:rsidR="00A50A78" w:rsidRPr="00A50A78">
        <w:t>to</w:t>
      </w:r>
      <w:r w:rsidR="00F03697">
        <w:noBreakHyphen/>
      </w:r>
      <w:r w:rsidR="00A50A78" w:rsidRPr="00A50A78">
        <w:t>equity ratios.</w:t>
      </w:r>
    </w:p>
    <w:p w14:paraId="29DD6954" w14:textId="77777777" w:rsidR="00005E7F" w:rsidRDefault="00005E7F" w:rsidP="00005E7F">
      <w:pPr>
        <w:pStyle w:val="Heading4"/>
      </w:pPr>
      <w:r>
        <w:t>Equilibrium</w:t>
      </w:r>
    </w:p>
    <w:p w14:paraId="29DD6955" w14:textId="192DC037" w:rsidR="00C84A40" w:rsidRDefault="00C84A40" w:rsidP="00E6097C">
      <w:pPr>
        <w:spacing w:after="190"/>
      </w:pPr>
      <w:r>
        <w:t>All markets are assumed to clear</w:t>
      </w:r>
      <w:r w:rsidR="00370DAB">
        <w:t>: w</w:t>
      </w:r>
      <w:r w:rsidR="00005E7F">
        <w:t>age</w:t>
      </w:r>
      <w:r w:rsidR="00370DAB">
        <w:t>s</w:t>
      </w:r>
      <w:r w:rsidR="00005E7F">
        <w:t xml:space="preserve"> adjust to clear the labour market</w:t>
      </w:r>
      <w:r w:rsidR="00370DAB">
        <w:t>;</w:t>
      </w:r>
      <w:r w:rsidR="00005E7F">
        <w:t xml:space="preserve"> </w:t>
      </w:r>
      <w:r w:rsidR="00370DAB">
        <w:t>c</w:t>
      </w:r>
      <w:r w:rsidR="00005E7F">
        <w:t>apital supply</w:t>
      </w:r>
      <w:r w:rsidR="00615FDF">
        <w:t>,</w:t>
      </w:r>
      <w:r w:rsidR="00005E7F">
        <w:t xml:space="preserve"> </w:t>
      </w:r>
      <w:r w:rsidR="00370DAB">
        <w:t xml:space="preserve">via inflows or outflows of </w:t>
      </w:r>
      <w:r w:rsidR="00005E7F">
        <w:t xml:space="preserve">foreign </w:t>
      </w:r>
      <w:r w:rsidR="00370DAB">
        <w:t>capital</w:t>
      </w:r>
      <w:r w:rsidR="00615FDF">
        <w:t>,</w:t>
      </w:r>
      <w:r w:rsidR="00005E7F">
        <w:t xml:space="preserve"> adjust</w:t>
      </w:r>
      <w:r w:rsidR="00615FDF">
        <w:t>s</w:t>
      </w:r>
      <w:r w:rsidR="00005E7F">
        <w:t xml:space="preserve"> to </w:t>
      </w:r>
      <w:r>
        <w:t>ensure the</w:t>
      </w:r>
      <w:r w:rsidR="00005E7F">
        <w:t xml:space="preserve"> after</w:t>
      </w:r>
      <w:r w:rsidR="00F03697">
        <w:noBreakHyphen/>
      </w:r>
      <w:r w:rsidR="00005E7F">
        <w:t>tax rate of return on</w:t>
      </w:r>
      <w:r>
        <w:t xml:space="preserve"> </w:t>
      </w:r>
      <w:r w:rsidR="00005E7F">
        <w:t xml:space="preserve">capital </w:t>
      </w:r>
      <w:r w:rsidR="009D141B">
        <w:t xml:space="preserve">employed for domestic production </w:t>
      </w:r>
      <w:r>
        <w:t>is equal to the global required rate of return</w:t>
      </w:r>
      <w:r w:rsidR="00370DAB">
        <w:t xml:space="preserve">; and </w:t>
      </w:r>
      <w:r w:rsidR="00615FDF">
        <w:t xml:space="preserve">expenditure </w:t>
      </w:r>
      <w:r>
        <w:t>prices adjust to clear g</w:t>
      </w:r>
      <w:r w:rsidR="00005E7F">
        <w:t xml:space="preserve">oods and services </w:t>
      </w:r>
      <w:r>
        <w:t>markets</w:t>
      </w:r>
      <w:r w:rsidR="00370DAB">
        <w:t>.</w:t>
      </w:r>
    </w:p>
    <w:p w14:paraId="29DD6956" w14:textId="474F7C1C" w:rsidR="00005E7F" w:rsidRDefault="00330AFB" w:rsidP="00E6097C">
      <w:pPr>
        <w:spacing w:after="190"/>
      </w:pPr>
      <w:r>
        <w:t>C</w:t>
      </w:r>
      <w:r w:rsidR="00C84A40">
        <w:t>onsumption and investment must be sustainable</w:t>
      </w:r>
      <w:r w:rsidR="00D44114">
        <w:t xml:space="preserve"> in </w:t>
      </w:r>
      <w:r w:rsidR="002358C6">
        <w:t xml:space="preserve">the </w:t>
      </w:r>
      <w:r w:rsidR="00D44114">
        <w:t>long</w:t>
      </w:r>
      <w:r w:rsidR="00F03697">
        <w:noBreakHyphen/>
      </w:r>
      <w:r w:rsidR="00D44114">
        <w:t>run. For example,</w:t>
      </w:r>
      <w:r w:rsidR="00005E7F">
        <w:t xml:space="preserve"> </w:t>
      </w:r>
      <w:r w:rsidR="00D44114">
        <w:t xml:space="preserve">the level of net exports must be sufficient to fund the </w:t>
      </w:r>
      <w:r w:rsidR="00370DAB">
        <w:t xml:space="preserve">foreign </w:t>
      </w:r>
      <w:r w:rsidR="00D44114">
        <w:t>income account</w:t>
      </w:r>
      <w:r w:rsidR="00005E7F">
        <w:t>.</w:t>
      </w:r>
    </w:p>
    <w:p w14:paraId="29DD6957" w14:textId="15DBB023" w:rsidR="00DD63E5" w:rsidRDefault="00C40E65" w:rsidP="00E6097C">
      <w:pPr>
        <w:spacing w:after="190"/>
      </w:pPr>
      <w:r>
        <w:t xml:space="preserve">The </w:t>
      </w:r>
      <w:r w:rsidR="00D905BF">
        <w:t xml:space="preserve">CGE model used here is </w:t>
      </w:r>
      <w:r w:rsidR="00DA4AE1">
        <w:t xml:space="preserve">a </w:t>
      </w:r>
      <w:r w:rsidR="00862BD7">
        <w:t xml:space="preserve">comparative </w:t>
      </w:r>
      <w:r w:rsidR="003D07D9" w:rsidRPr="00DC5E8B">
        <w:t>static</w:t>
      </w:r>
      <w:r w:rsidR="00DA4AE1">
        <w:t xml:space="preserve"> framework</w:t>
      </w:r>
      <w:r w:rsidR="001410E2">
        <w:t>. This</w:t>
      </w:r>
      <w:r w:rsidR="003D07D9" w:rsidRPr="00DC5E8B">
        <w:t xml:space="preserve"> </w:t>
      </w:r>
      <w:r w:rsidR="00D44114">
        <w:t xml:space="preserve">means </w:t>
      </w:r>
      <w:r w:rsidR="003D07D9" w:rsidRPr="00DC5E8B">
        <w:t xml:space="preserve">it </w:t>
      </w:r>
      <w:r w:rsidR="003D07D9" w:rsidRPr="0000083A">
        <w:t xml:space="preserve">provides analysis of the change in the economy from </w:t>
      </w:r>
      <w:r w:rsidR="003D07D9">
        <w:t xml:space="preserve">its </w:t>
      </w:r>
      <w:r w:rsidR="008B4DA4">
        <w:t xml:space="preserve">current </w:t>
      </w:r>
      <w:r w:rsidR="003D07D9">
        <w:t>long</w:t>
      </w:r>
      <w:r w:rsidR="00F03697">
        <w:noBreakHyphen/>
      </w:r>
      <w:r w:rsidR="003D07D9">
        <w:t xml:space="preserve">run equilibrium </w:t>
      </w:r>
      <w:r w:rsidR="00615FDF">
        <w:t>(</w:t>
      </w:r>
      <w:r w:rsidR="003D07D9">
        <w:t xml:space="preserve">calibrated to </w:t>
      </w:r>
      <w:r w:rsidR="008B4DA4">
        <w:t>actual</w:t>
      </w:r>
      <w:r w:rsidR="003D07D9">
        <w:t xml:space="preserve"> data</w:t>
      </w:r>
      <w:r w:rsidR="00615FDF">
        <w:t>)</w:t>
      </w:r>
      <w:r w:rsidR="003D07D9" w:rsidRPr="0000083A">
        <w:t xml:space="preserve"> to a </w:t>
      </w:r>
      <w:r w:rsidR="003D07D9">
        <w:t xml:space="preserve">new </w:t>
      </w:r>
      <w:r w:rsidR="002358C6">
        <w:t>long</w:t>
      </w:r>
      <w:r w:rsidR="00F03697">
        <w:noBreakHyphen/>
      </w:r>
      <w:r w:rsidR="002358C6">
        <w:t xml:space="preserve">run </w:t>
      </w:r>
      <w:r w:rsidR="003D07D9">
        <w:t xml:space="preserve">equilibrium </w:t>
      </w:r>
      <w:r w:rsidR="00370DAB">
        <w:t>under the new tax regime</w:t>
      </w:r>
      <w:r w:rsidR="003D07D9">
        <w:t xml:space="preserve"> </w:t>
      </w:r>
      <w:r w:rsidR="00615FDF">
        <w:t xml:space="preserve">(that is, </w:t>
      </w:r>
      <w:r w:rsidR="003D07D9">
        <w:t xml:space="preserve">when capital, </w:t>
      </w:r>
      <w:r w:rsidR="003D07D9" w:rsidRPr="0000083A">
        <w:t xml:space="preserve">labour </w:t>
      </w:r>
      <w:r w:rsidR="003D07D9">
        <w:t xml:space="preserve">and goods </w:t>
      </w:r>
      <w:r w:rsidR="003D07D9" w:rsidRPr="0000083A">
        <w:t xml:space="preserve">markets have fully adjusted to </w:t>
      </w:r>
      <w:r w:rsidR="008B4DA4">
        <w:t xml:space="preserve">the </w:t>
      </w:r>
      <w:r w:rsidR="003D07D9" w:rsidRPr="0000083A">
        <w:t>policy change</w:t>
      </w:r>
      <w:r w:rsidR="00615FDF">
        <w:t>)</w:t>
      </w:r>
      <w:r w:rsidR="003D07D9" w:rsidRPr="0000083A">
        <w:t>.</w:t>
      </w:r>
      <w:r w:rsidR="00D44114">
        <w:t xml:space="preserve"> As such</w:t>
      </w:r>
      <w:r w:rsidR="001410E2">
        <w:t>,</w:t>
      </w:r>
      <w:r w:rsidR="00D44114">
        <w:t xml:space="preserve"> it does not provide an indication of the time it take</w:t>
      </w:r>
      <w:r w:rsidR="00760B7E">
        <w:t>s</w:t>
      </w:r>
      <w:r w:rsidR="00D44114">
        <w:t xml:space="preserve"> to achieve the new equilibrium or the potential resource</w:t>
      </w:r>
      <w:r w:rsidR="002358C6">
        <w:t xml:space="preserve"> or adjustment</w:t>
      </w:r>
      <w:r w:rsidR="00D44114">
        <w:t xml:space="preserve"> costs incurred along this transition path.</w:t>
      </w:r>
      <w:r w:rsidR="00760B7E">
        <w:t xml:space="preserve"> In general, tax changes that imply </w:t>
      </w:r>
      <w:r w:rsidR="00223612">
        <w:t xml:space="preserve">changes to the </w:t>
      </w:r>
      <w:r w:rsidR="00760B7E">
        <w:t>capital stock</w:t>
      </w:r>
      <w:r w:rsidR="00223612">
        <w:t xml:space="preserve"> </w:t>
      </w:r>
      <w:r w:rsidR="00760B7E">
        <w:t>will involve a</w:t>
      </w:r>
      <w:r w:rsidR="001410E2">
        <w:t>n</w:t>
      </w:r>
      <w:r w:rsidR="00760B7E">
        <w:t xml:space="preserve"> </w:t>
      </w:r>
      <w:r w:rsidR="001410E2">
        <w:t xml:space="preserve">adjustment </w:t>
      </w:r>
      <w:r w:rsidR="00760B7E">
        <w:t xml:space="preserve">cost, with static </w:t>
      </w:r>
      <w:r w:rsidR="00B87A51">
        <w:t xml:space="preserve">marginal </w:t>
      </w:r>
      <w:r w:rsidR="00760B7E">
        <w:t xml:space="preserve">excess burden </w:t>
      </w:r>
      <w:r w:rsidR="00223612">
        <w:t xml:space="preserve">estimates </w:t>
      </w:r>
      <w:r w:rsidR="00760B7E">
        <w:t xml:space="preserve">overstating the </w:t>
      </w:r>
      <w:r w:rsidR="00223612">
        <w:t xml:space="preserve">true </w:t>
      </w:r>
      <w:r w:rsidR="00760B7E">
        <w:t xml:space="preserve">welfare loss. </w:t>
      </w:r>
    </w:p>
    <w:p w14:paraId="29DD6958" w14:textId="5CA58B3C" w:rsidR="00005E7F" w:rsidRDefault="00DD63E5" w:rsidP="00E6097C">
      <w:pPr>
        <w:spacing w:after="190"/>
      </w:pPr>
      <w:r>
        <w:t xml:space="preserve">Company tax analysis undertaken by </w:t>
      </w:r>
      <w:r w:rsidR="002D0F63">
        <w:t xml:space="preserve">Kudrna and </w:t>
      </w:r>
      <w:r>
        <w:t xml:space="preserve">Woodland (2010) </w:t>
      </w:r>
      <w:r w:rsidR="00D07865">
        <w:t xml:space="preserve">using a dynamic model </w:t>
      </w:r>
      <w:r>
        <w:t>suggests that roughly half of the adjustment (reflected by the rate of capital accumulation) to a capital tax change is complete</w:t>
      </w:r>
      <w:r w:rsidR="006E5233">
        <w:t>d</w:t>
      </w:r>
      <w:r w:rsidR="007E4F01">
        <w:t xml:space="preserve"> in 10 </w:t>
      </w:r>
      <w:r>
        <w:t xml:space="preserve">years, with the </w:t>
      </w:r>
      <w:r w:rsidR="006E5233">
        <w:t xml:space="preserve">full adjustment </w:t>
      </w:r>
      <w:r>
        <w:t>largely complete</w:t>
      </w:r>
      <w:r w:rsidR="006E5233">
        <w:t>d</w:t>
      </w:r>
      <w:r>
        <w:t xml:space="preserve"> in 30 years. It is reasonable to expect </w:t>
      </w:r>
      <w:r w:rsidR="00302EE8">
        <w:t xml:space="preserve">faster adjustment to </w:t>
      </w:r>
      <w:r>
        <w:t>tax</w:t>
      </w:r>
      <w:r w:rsidR="00762F48">
        <w:t xml:space="preserve"> changes</w:t>
      </w:r>
      <w:r>
        <w:t xml:space="preserve"> that imply relatively small changes to investment (or the capital stock) and relatively large changes to consumption.</w:t>
      </w:r>
    </w:p>
    <w:p w14:paraId="29DD6959" w14:textId="7A06A7AA" w:rsidR="00005E7F" w:rsidRDefault="00005E7F" w:rsidP="00AE1A4B">
      <w:pPr>
        <w:pStyle w:val="Heading3"/>
      </w:pPr>
      <w:r>
        <w:t>Tax coverage</w:t>
      </w:r>
      <w:r w:rsidR="001A5A84">
        <w:t xml:space="preserve"> and calibration</w:t>
      </w:r>
    </w:p>
    <w:p w14:paraId="0B51FD99" w14:textId="67E87506" w:rsidR="009178A2" w:rsidRDefault="006A0B86" w:rsidP="00E6097C">
      <w:pPr>
        <w:spacing w:after="120"/>
      </w:pPr>
      <w:r>
        <w:t xml:space="preserve">The </w:t>
      </w:r>
      <w:r w:rsidR="002358C6">
        <w:t>economy</w:t>
      </w:r>
      <w:r w:rsidR="00F03697">
        <w:noBreakHyphen/>
      </w:r>
      <w:r w:rsidR="002358C6">
        <w:t xml:space="preserve">wide </w:t>
      </w:r>
      <w:r>
        <w:t>model</w:t>
      </w:r>
      <w:r w:rsidR="002358C6">
        <w:t xml:space="preserve"> incorporate</w:t>
      </w:r>
      <w:r>
        <w:t xml:space="preserve">s </w:t>
      </w:r>
      <w:r w:rsidR="00BB6C24">
        <w:t>five</w:t>
      </w:r>
      <w:r w:rsidR="009178A2">
        <w:t xml:space="preserve"> of Australia</w:t>
      </w:r>
      <w:r w:rsidR="00F03697">
        <w:t>’</w:t>
      </w:r>
      <w:r w:rsidR="009178A2">
        <w:t xml:space="preserve">s </w:t>
      </w:r>
      <w:r>
        <w:t>major taxes</w:t>
      </w:r>
      <w:r w:rsidR="00D07865">
        <w:t>.</w:t>
      </w:r>
      <w:r w:rsidR="009178A2">
        <w:t xml:space="preserve"> </w:t>
      </w:r>
      <w:r w:rsidR="00D07865">
        <w:t>It</w:t>
      </w:r>
      <w:r w:rsidR="009178A2">
        <w:t xml:space="preserve"> captures the complexity o</w:t>
      </w:r>
      <w:r w:rsidR="00BB6C24">
        <w:t>f these taxes to varying</w:t>
      </w:r>
      <w:r w:rsidR="009178A2">
        <w:t xml:space="preserve"> </w:t>
      </w:r>
      <w:r w:rsidR="00BB6C24">
        <w:t>degrees</w:t>
      </w:r>
      <w:r w:rsidR="009178A2">
        <w:t>. The taxes we examine comprise:</w:t>
      </w:r>
    </w:p>
    <w:p w14:paraId="15A2BEAC" w14:textId="7F91980F" w:rsidR="009178A2" w:rsidRPr="00F93244" w:rsidRDefault="006A0B86" w:rsidP="00F93244">
      <w:pPr>
        <w:pStyle w:val="Bullet"/>
      </w:pPr>
      <w:r w:rsidRPr="00F93244">
        <w:t xml:space="preserve">company </w:t>
      </w:r>
      <w:r w:rsidR="006E5233" w:rsidRPr="00F93244">
        <w:t xml:space="preserve">income </w:t>
      </w:r>
      <w:r w:rsidRPr="00F93244">
        <w:t>tax</w:t>
      </w:r>
      <w:r w:rsidR="00BB6C24" w:rsidRPr="00F93244">
        <w:t>, incorporating s</w:t>
      </w:r>
      <w:r w:rsidR="009639B0" w:rsidRPr="00F93244">
        <w:t>ome</w:t>
      </w:r>
      <w:r w:rsidR="00BB6C24" w:rsidRPr="00F93244">
        <w:t xml:space="preserve"> </w:t>
      </w:r>
      <w:r w:rsidR="009639B0" w:rsidRPr="00F93244">
        <w:t>complexities in</w:t>
      </w:r>
      <w:r w:rsidR="00BB6C24" w:rsidRPr="00F93244">
        <w:t xml:space="preserve"> the company income tax system</w:t>
      </w:r>
      <w:r w:rsidR="009178A2" w:rsidRPr="00F93244">
        <w:t>;</w:t>
      </w:r>
    </w:p>
    <w:p w14:paraId="310E901F" w14:textId="77777777" w:rsidR="00F93244" w:rsidRDefault="00AD5862" w:rsidP="00F93244">
      <w:pPr>
        <w:pStyle w:val="Bullet"/>
      </w:pPr>
      <w:r w:rsidRPr="00F93244">
        <w:t xml:space="preserve">a stylised </w:t>
      </w:r>
      <w:r w:rsidR="00EE2529" w:rsidRPr="00F93244">
        <w:t xml:space="preserve">flat </w:t>
      </w:r>
      <w:r w:rsidR="006A0B86" w:rsidRPr="00F93244">
        <w:t>income tax</w:t>
      </w:r>
      <w:r w:rsidR="009178A2" w:rsidRPr="00F93244">
        <w:t xml:space="preserve"> on individuals</w:t>
      </w:r>
      <w:r w:rsidR="00F03697" w:rsidRPr="00F93244">
        <w:t>’</w:t>
      </w:r>
      <w:r w:rsidR="009178A2" w:rsidRPr="00F93244">
        <w:t xml:space="preserve"> labour and capital (termed </w:t>
      </w:r>
      <w:r w:rsidR="00F03697" w:rsidRPr="00F93244">
        <w:t>‘</w:t>
      </w:r>
      <w:r w:rsidR="009178A2" w:rsidRPr="00F93244">
        <w:t>personal income tax</w:t>
      </w:r>
      <w:r w:rsidR="00F03697" w:rsidRPr="00F93244">
        <w:t>’</w:t>
      </w:r>
      <w:r w:rsidR="009178A2" w:rsidRPr="00F93244">
        <w:t xml:space="preserve"> </w:t>
      </w:r>
      <w:r w:rsidR="00BB6C24" w:rsidRPr="00F93244">
        <w:t>through</w:t>
      </w:r>
      <w:r w:rsidR="009639B0" w:rsidRPr="00F93244">
        <w:t>out</w:t>
      </w:r>
      <w:r w:rsidR="009178A2" w:rsidRPr="00F93244">
        <w:t xml:space="preserve"> this paper)</w:t>
      </w:r>
      <w:r w:rsidR="00C645D2" w:rsidRPr="00F93244">
        <w:t xml:space="preserve"> </w:t>
      </w:r>
      <w:r w:rsidR="00EE2529" w:rsidRPr="00F93244">
        <w:t xml:space="preserve">which ignores </w:t>
      </w:r>
      <w:r w:rsidR="00DF588C" w:rsidRPr="00F93244">
        <w:t xml:space="preserve">heterogeneity in labour supply across </w:t>
      </w:r>
      <w:r w:rsidR="00AB2D0D" w:rsidRPr="00F93244">
        <w:t xml:space="preserve">different </w:t>
      </w:r>
      <w:r w:rsidR="00B92250" w:rsidRPr="00F93244">
        <w:t>groups of taxpayers</w:t>
      </w:r>
      <w:r w:rsidR="00DF588C" w:rsidRPr="00F93244">
        <w:t xml:space="preserve"> and the </w:t>
      </w:r>
      <w:r w:rsidR="00EE2529" w:rsidRPr="00F93244">
        <w:t>progressiv</w:t>
      </w:r>
      <w:r w:rsidR="00DF588C" w:rsidRPr="00F93244">
        <w:t>e individuals</w:t>
      </w:r>
      <w:r w:rsidR="00F03697" w:rsidRPr="00F93244">
        <w:t>’</w:t>
      </w:r>
      <w:r w:rsidR="00DF588C" w:rsidRPr="00F93244">
        <w:t xml:space="preserve"> income tax scale</w:t>
      </w:r>
      <w:r w:rsidR="009178A2" w:rsidRPr="00F93244">
        <w:t>;</w:t>
      </w:r>
    </w:p>
    <w:p w14:paraId="3BA66568" w14:textId="77777777" w:rsidR="00F93244" w:rsidRDefault="00F93244">
      <w:r>
        <w:br w:type="page"/>
      </w:r>
    </w:p>
    <w:p w14:paraId="0F536095" w14:textId="7D769441" w:rsidR="009178A2" w:rsidRPr="00F93244" w:rsidRDefault="009178A2" w:rsidP="00F93244">
      <w:pPr>
        <w:pStyle w:val="Bullet"/>
      </w:pPr>
      <w:r w:rsidRPr="00F93244">
        <w:lastRenderedPageBreak/>
        <w:t xml:space="preserve">the </w:t>
      </w:r>
      <w:r w:rsidR="006A0B86" w:rsidRPr="00F93244">
        <w:t>goods and services tax (GST)</w:t>
      </w:r>
      <w:r w:rsidRPr="00F93244">
        <w:t xml:space="preserve"> </w:t>
      </w:r>
      <w:r w:rsidR="001017C1" w:rsidRPr="00F93244">
        <w:t>o</w:t>
      </w:r>
      <w:r w:rsidR="00864673" w:rsidRPr="00F93244">
        <w:t>n the current base, with</w:t>
      </w:r>
      <w:r w:rsidR="001017C1" w:rsidRPr="00F93244">
        <w:t xml:space="preserve"> </w:t>
      </w:r>
      <w:r w:rsidR="00F50068" w:rsidRPr="00F93244">
        <w:t>fresh food, health services, education, childcare, as well as water, sewerage and drainage services, GST</w:t>
      </w:r>
      <w:r w:rsidR="00F03697" w:rsidRPr="00F93244">
        <w:noBreakHyphen/>
      </w:r>
      <w:r w:rsidR="00F50068" w:rsidRPr="00F93244">
        <w:t>free</w:t>
      </w:r>
      <w:r w:rsidRPr="00F93244">
        <w:t>;</w:t>
      </w:r>
    </w:p>
    <w:p w14:paraId="5E554CF7" w14:textId="47DE117F" w:rsidR="009178A2" w:rsidRPr="00F93244" w:rsidRDefault="009178A2" w:rsidP="00F93244">
      <w:pPr>
        <w:pStyle w:val="Bullet"/>
      </w:pPr>
      <w:r w:rsidRPr="00F93244">
        <w:t>a hypothetical broad</w:t>
      </w:r>
      <w:r w:rsidR="00F03697" w:rsidRPr="00F93244">
        <w:noBreakHyphen/>
      </w:r>
      <w:r w:rsidRPr="00F93244">
        <w:t xml:space="preserve">based </w:t>
      </w:r>
      <w:r w:rsidR="006A0B86" w:rsidRPr="00F93244">
        <w:t>land tax</w:t>
      </w:r>
      <w:r w:rsidRPr="00F93244">
        <w:t>, similar to municipal rates levied by local governments</w:t>
      </w:r>
      <w:r w:rsidR="006A0B86" w:rsidRPr="00F93244">
        <w:t xml:space="preserve"> </w:t>
      </w:r>
      <w:r w:rsidRPr="00F93244">
        <w:t>(and</w:t>
      </w:r>
      <w:r w:rsidR="00E6097C" w:rsidRPr="00F93244">
        <w:t> </w:t>
      </w:r>
      <w:r w:rsidRPr="00F93244">
        <w:t xml:space="preserve">the Australian Capital Territory), but not </w:t>
      </w:r>
      <w:r w:rsidR="00871ED7" w:rsidRPr="00F93244">
        <w:t xml:space="preserve">reflective </w:t>
      </w:r>
      <w:r w:rsidR="003D0700" w:rsidRPr="00F93244">
        <w:t>of the current state land tax regimes</w:t>
      </w:r>
      <w:r w:rsidRPr="00F93244">
        <w:t xml:space="preserve">; </w:t>
      </w:r>
      <w:r w:rsidR="006A0B86" w:rsidRPr="00F93244">
        <w:t>and</w:t>
      </w:r>
    </w:p>
    <w:p w14:paraId="29DD695A" w14:textId="06D3A26F" w:rsidR="006A0B86" w:rsidRPr="00F93244" w:rsidRDefault="006A0B86" w:rsidP="00F93244">
      <w:pPr>
        <w:pStyle w:val="Bullet"/>
      </w:pPr>
      <w:r w:rsidRPr="00F93244">
        <w:t>stamp duty on conveyances.</w:t>
      </w:r>
    </w:p>
    <w:p w14:paraId="22929729" w14:textId="009AEAA8" w:rsidR="009178A2" w:rsidRDefault="009178A2" w:rsidP="007E4F01">
      <w:pPr>
        <w:pStyle w:val="Bullet"/>
        <w:keepNext w:val="0"/>
        <w:numPr>
          <w:ilvl w:val="0"/>
          <w:numId w:val="0"/>
        </w:numPr>
      </w:pPr>
      <w:r>
        <w:t xml:space="preserve">Payroll taxes are also </w:t>
      </w:r>
      <w:r w:rsidR="003A5EC0">
        <w:t xml:space="preserve">a </w:t>
      </w:r>
      <w:r>
        <w:t xml:space="preserve">significant source of taxation revenue to </w:t>
      </w:r>
      <w:r w:rsidR="003D0700">
        <w:t xml:space="preserve">state </w:t>
      </w:r>
      <w:r>
        <w:t>governments</w:t>
      </w:r>
      <w:r w:rsidR="00E23202">
        <w:t xml:space="preserve"> in Australia</w:t>
      </w:r>
      <w:r>
        <w:t>. Payroll taxes were not examined in this paper</w:t>
      </w:r>
      <w:r w:rsidR="00871ED7">
        <w:t xml:space="preserve"> because of the complexity of exemptions and concessions across different states. Other studies that</w:t>
      </w:r>
      <w:r>
        <w:t xml:space="preserve"> have e</w:t>
      </w:r>
      <w:r w:rsidR="00871ED7">
        <w:t>xamine</w:t>
      </w:r>
      <w:r w:rsidR="003D0700">
        <w:t>d</w:t>
      </w:r>
      <w:r w:rsidR="00871ED7">
        <w:t xml:space="preserve"> payroll taxes </w:t>
      </w:r>
      <w:r w:rsidR="003D0700">
        <w:t xml:space="preserve">using a CGE framework </w:t>
      </w:r>
      <w:r w:rsidR="00871ED7">
        <w:t>include KPMG</w:t>
      </w:r>
      <w:r w:rsidR="00496794">
        <w:t> </w:t>
      </w:r>
      <w:r w:rsidR="00871ED7">
        <w:t>(2010</w:t>
      </w:r>
      <w:r w:rsidR="00496794">
        <w:t xml:space="preserve"> and </w:t>
      </w:r>
      <w:r w:rsidR="00871ED7">
        <w:t>2011)</w:t>
      </w:r>
      <w:r>
        <w:t>.</w:t>
      </w:r>
      <w:r w:rsidR="007F1DA2">
        <w:rPr>
          <w:rStyle w:val="FootnoteReference"/>
        </w:rPr>
        <w:footnoteReference w:id="11"/>
      </w:r>
    </w:p>
    <w:p w14:paraId="7BAEF440" w14:textId="507E8744" w:rsidR="009178A2" w:rsidRPr="006A0B86" w:rsidRDefault="009178A2" w:rsidP="00AE1A4B">
      <w:pPr>
        <w:pStyle w:val="Heading4"/>
      </w:pPr>
      <w:r>
        <w:t>Company income taxation</w:t>
      </w:r>
    </w:p>
    <w:p w14:paraId="69F1771D" w14:textId="15059DB3" w:rsidR="009178A2" w:rsidRDefault="00344102" w:rsidP="00C94D7D">
      <w:r w:rsidRPr="008900F0">
        <w:t xml:space="preserve">The model reflects many features of the company tax system, including: deductibility of </w:t>
      </w:r>
      <w:r w:rsidR="004A6EFA">
        <w:t>interest payments</w:t>
      </w:r>
      <w:r w:rsidRPr="008900F0">
        <w:t>; revenue clawback through dividend imputation; depreciation allowances that reflect an historical cost basis and other aspects of tax laws; expensing of certain investments; and foreign tax credit arrangements.</w:t>
      </w:r>
      <w:r>
        <w:t xml:space="preserve"> As such it captures the </w:t>
      </w:r>
      <w:r w:rsidR="009B6568" w:rsidRPr="00027398">
        <w:t xml:space="preserve">effects of the company tax system on: the size of the capital stock in each industry; the mix of capital types; labour </w:t>
      </w:r>
      <w:r w:rsidR="00AD5862">
        <w:t>supply (for a single representative household)</w:t>
      </w:r>
      <w:r w:rsidR="009B6568" w:rsidRPr="00027398">
        <w:t>; the location of multinational profits; and the location of multinational firm</w:t>
      </w:r>
      <w:r w:rsidR="00F03697">
        <w:noBreakHyphen/>
      </w:r>
      <w:r w:rsidR="009B6568" w:rsidRPr="00027398">
        <w:t>specific assets, such as intellectual property</w:t>
      </w:r>
      <w:r w:rsidR="009B6568">
        <w:t>.</w:t>
      </w:r>
    </w:p>
    <w:p w14:paraId="0595AE30" w14:textId="667AF33E" w:rsidR="0058788A" w:rsidRDefault="009D1CA2" w:rsidP="00C94D7D">
      <w:r w:rsidRPr="004B64F6">
        <w:t>Profit</w:t>
      </w:r>
      <w:r w:rsidR="00F03697">
        <w:noBreakHyphen/>
      </w:r>
      <w:r w:rsidRPr="004B64F6">
        <w:t>shifting is also incorporated in the model. This is done by allowing companies to reduce their business tax liability by shifting profits from Australia to countries with lower rates of business tax. Following De Mooij and Devereux (2011) we model profit shifting that captures both</w:t>
      </w:r>
      <w:r w:rsidR="007E4F01" w:rsidRPr="004B64F6">
        <w:t xml:space="preserve"> transfer pricing and</w:t>
      </w:r>
      <w:r w:rsidRPr="004B64F6">
        <w:t xml:space="preserve"> tax havens. </w:t>
      </w:r>
      <w:r w:rsidR="00702006" w:rsidRPr="004B64F6">
        <w:t xml:space="preserve">All else equal, </w:t>
      </w:r>
      <w:r w:rsidR="001F117A" w:rsidRPr="004B64F6">
        <w:t>t</w:t>
      </w:r>
      <w:r w:rsidR="004E6FEF" w:rsidRPr="004B64F6">
        <w:t>he existence of profit shifting</w:t>
      </w:r>
      <w:r w:rsidR="00F01BA1" w:rsidRPr="004B64F6">
        <w:t xml:space="preserve"> </w:t>
      </w:r>
      <w:r w:rsidR="00702006" w:rsidRPr="004B64F6">
        <w:t>implies a smaller</w:t>
      </w:r>
      <w:r w:rsidR="004E6FEF" w:rsidRPr="004B64F6">
        <w:t xml:space="preserve"> company income tax base. </w:t>
      </w:r>
      <w:r w:rsidR="008B4D27" w:rsidRPr="004B64F6">
        <w:t xml:space="preserve">Achieving a given amount of revenue, </w:t>
      </w:r>
      <w:r w:rsidR="001F117A" w:rsidRPr="004B64F6">
        <w:t>therefore</w:t>
      </w:r>
      <w:r w:rsidR="008B4D27" w:rsidRPr="004B64F6">
        <w:t>,</w:t>
      </w:r>
      <w:r w:rsidR="001F117A" w:rsidRPr="004B64F6">
        <w:t xml:space="preserve"> requires </w:t>
      </w:r>
      <w:r w:rsidR="004E6FEF" w:rsidRPr="004B64F6">
        <w:t xml:space="preserve">a higher company income tax rate </w:t>
      </w:r>
      <w:r w:rsidR="008B4D27" w:rsidRPr="004B64F6">
        <w:t>under profit</w:t>
      </w:r>
      <w:r w:rsidR="00F03697">
        <w:noBreakHyphen/>
      </w:r>
      <w:r w:rsidR="008B4D27" w:rsidRPr="004B64F6">
        <w:t>shifting</w:t>
      </w:r>
      <w:r w:rsidR="001F117A" w:rsidRPr="004B64F6">
        <w:t xml:space="preserve">. This </w:t>
      </w:r>
      <w:r w:rsidRPr="004B64F6">
        <w:t>implies</w:t>
      </w:r>
      <w:r w:rsidR="004E6FEF" w:rsidRPr="004B64F6">
        <w:t xml:space="preserve"> a higher </w:t>
      </w:r>
      <w:r w:rsidRPr="004B64F6">
        <w:t xml:space="preserve">marginal excess burden </w:t>
      </w:r>
      <w:r w:rsidR="004E6FEF" w:rsidRPr="004B64F6">
        <w:t>for</w:t>
      </w:r>
      <w:r w:rsidRPr="004B64F6">
        <w:t xml:space="preserve"> the company income tax.</w:t>
      </w:r>
    </w:p>
    <w:p w14:paraId="29DD695B" w14:textId="5A33D550" w:rsidR="00344102" w:rsidRDefault="00C645D2" w:rsidP="00AE1A4B">
      <w:pPr>
        <w:pStyle w:val="Heading4"/>
      </w:pPr>
      <w:r>
        <w:t>Personal</w:t>
      </w:r>
      <w:r w:rsidR="009178A2">
        <w:t xml:space="preserve"> income</w:t>
      </w:r>
      <w:r w:rsidR="009B6568">
        <w:t xml:space="preserve"> </w:t>
      </w:r>
      <w:r w:rsidR="009178A2">
        <w:t>taxation</w:t>
      </w:r>
      <w:r>
        <w:t xml:space="preserve"> on labour and capital</w:t>
      </w:r>
    </w:p>
    <w:p w14:paraId="1B77CE08" w14:textId="68BF52F5" w:rsidR="001510F2" w:rsidRDefault="001510F2" w:rsidP="00344102">
      <w:r>
        <w:t>P</w:t>
      </w:r>
      <w:r w:rsidR="00FB219B">
        <w:t>ersonal income tax is modelled as a flat rate equal to the effective average tax rate on household income</w:t>
      </w:r>
      <w:r>
        <w:t xml:space="preserve">. This simplification is </w:t>
      </w:r>
      <w:r w:rsidR="008F2DB5">
        <w:t>a by</w:t>
      </w:r>
      <w:r w:rsidR="00F03697">
        <w:noBreakHyphen/>
      </w:r>
      <w:r w:rsidR="008F2DB5">
        <w:t xml:space="preserve">product </w:t>
      </w:r>
      <w:r w:rsidR="007E4F01">
        <w:t>of</w:t>
      </w:r>
      <w:r w:rsidR="008F2DB5">
        <w:t xml:space="preserve"> the</w:t>
      </w:r>
      <w:r>
        <w:t xml:space="preserve"> </w:t>
      </w:r>
      <w:r w:rsidR="008F2DB5">
        <w:t>design of the CGE model, which includes a single representative household</w:t>
      </w:r>
      <w:r>
        <w:t xml:space="preserve">. A </w:t>
      </w:r>
      <w:r w:rsidR="008F2DB5">
        <w:t xml:space="preserve">major </w:t>
      </w:r>
      <w:r>
        <w:t>limitation with the model</w:t>
      </w:r>
      <w:r w:rsidR="008F2DB5">
        <w:t>ling</w:t>
      </w:r>
      <w:r>
        <w:t xml:space="preserve"> is that it does not capture</w:t>
      </w:r>
      <w:r w:rsidR="00FB219B">
        <w:t xml:space="preserve"> the progressiv</w:t>
      </w:r>
      <w:r>
        <w:t>e individuals</w:t>
      </w:r>
      <w:r w:rsidR="00F03697">
        <w:t>’</w:t>
      </w:r>
      <w:r>
        <w:t xml:space="preserve"> income tax scales in Australia, which is expected to have implications for the efficiency of personal income taxation</w:t>
      </w:r>
      <w:r w:rsidR="00FB219B">
        <w:t>.</w:t>
      </w:r>
      <w:r w:rsidR="00764387">
        <w:t xml:space="preserve"> The transfer system and the impacts of the withdrawal of payments on effective marginal tax rates is also beyond the scope of this paper</w:t>
      </w:r>
      <w:r w:rsidR="003F5D21">
        <w:t xml:space="preserve">, but is nevertheless important in broader discussions about the economic </w:t>
      </w:r>
      <w:r w:rsidR="000F0752">
        <w:t>effect</w:t>
      </w:r>
      <w:r w:rsidR="003F5D21">
        <w:t xml:space="preserve"> of different taxes</w:t>
      </w:r>
      <w:r w:rsidR="00764387">
        <w:t>.</w:t>
      </w:r>
    </w:p>
    <w:p w14:paraId="163C68EC" w14:textId="6A10DA9A" w:rsidR="00D87831" w:rsidRDefault="00FB219B" w:rsidP="00344102">
      <w:r>
        <w:t>We model both the labour income and capital income component</w:t>
      </w:r>
      <w:r w:rsidR="00615FDF">
        <w:t xml:space="preserve"> of the personal income tax system</w:t>
      </w:r>
      <w:r w:rsidR="00B01F0E">
        <w:t>, with a</w:t>
      </w:r>
      <w:r w:rsidR="00615FDF">
        <w:t xml:space="preserve"> common </w:t>
      </w:r>
      <w:r>
        <w:t>flat tax rate applied to labour and capital income.</w:t>
      </w:r>
      <w:r w:rsidR="00D71127">
        <w:rPr>
          <w:rStyle w:val="FootnoteReference"/>
        </w:rPr>
        <w:footnoteReference w:id="12"/>
      </w:r>
      <w:r>
        <w:t xml:space="preserve"> </w:t>
      </w:r>
      <w:r w:rsidR="00866B50">
        <w:t xml:space="preserve">Capital income is assumed to be </w:t>
      </w:r>
      <w:r w:rsidR="00866B50">
        <w:lastRenderedPageBreak/>
        <w:t xml:space="preserve">received by </w:t>
      </w:r>
      <w:r w:rsidR="0044761A" w:rsidRPr="0044761A">
        <w:t xml:space="preserve">capital owners (domestic and foreign </w:t>
      </w:r>
      <w:r w:rsidR="00866B50">
        <w:t>households</w:t>
      </w:r>
      <w:r w:rsidR="0044761A">
        <w:t>)</w:t>
      </w:r>
      <w:r w:rsidR="00866B50">
        <w:t xml:space="preserve"> wholly in the form of dividends.</w:t>
      </w:r>
      <w:r w:rsidR="00131703">
        <w:rPr>
          <w:rStyle w:val="FootnoteReference"/>
        </w:rPr>
        <w:footnoteReference w:id="13"/>
      </w:r>
      <w:r w:rsidR="00866B50">
        <w:t xml:space="preserve"> </w:t>
      </w:r>
      <w:r w:rsidR="0042687F">
        <w:t>The household</w:t>
      </w:r>
      <w:r w:rsidR="00F3532D">
        <w:t xml:space="preserve"> utilise</w:t>
      </w:r>
      <w:r w:rsidR="0042687F">
        <w:t>s</w:t>
      </w:r>
      <w:r w:rsidR="00F3532D">
        <w:t xml:space="preserve"> franking credits against tax paid under the company </w:t>
      </w:r>
      <w:r w:rsidR="006E5233">
        <w:t xml:space="preserve">income </w:t>
      </w:r>
      <w:r w:rsidR="00F3532D">
        <w:t xml:space="preserve">tax, with the balance taxed at the </w:t>
      </w:r>
      <w:r w:rsidR="00B973EB">
        <w:t xml:space="preserve">flat </w:t>
      </w:r>
      <w:r w:rsidR="00F3532D">
        <w:t xml:space="preserve">personal </w:t>
      </w:r>
      <w:r w:rsidR="005E6E57">
        <w:t xml:space="preserve">income </w:t>
      </w:r>
      <w:r w:rsidR="00F3532D">
        <w:t>tax rate.</w:t>
      </w:r>
      <w:r w:rsidR="00866B50" w:rsidRPr="00866B50">
        <w:rPr>
          <w:rStyle w:val="FootnoteReference"/>
        </w:rPr>
        <w:t xml:space="preserve"> </w:t>
      </w:r>
      <w:r w:rsidR="00866B50">
        <w:t xml:space="preserve">The model does not capture deductions </w:t>
      </w:r>
      <w:r w:rsidR="0037483D">
        <w:t xml:space="preserve">claimed </w:t>
      </w:r>
      <w:r w:rsidR="00866B50">
        <w:t xml:space="preserve">against </w:t>
      </w:r>
      <w:r w:rsidR="00503BEF">
        <w:t xml:space="preserve">assessable </w:t>
      </w:r>
      <w:r w:rsidR="00866B50">
        <w:t xml:space="preserve">income or </w:t>
      </w:r>
      <w:r w:rsidR="00764387">
        <w:t>the concessional tax treatment of some forms of income</w:t>
      </w:r>
      <w:r w:rsidR="00866B50">
        <w:t>.</w:t>
      </w:r>
      <w:r w:rsidR="008F2DB5">
        <w:t xml:space="preserve"> </w:t>
      </w:r>
      <w:r w:rsidR="001508EA">
        <w:t>This means that the average flat tax on labour and capital income calculated within our model is lower than the observed average tax rate on</w:t>
      </w:r>
      <w:r w:rsidR="00764387">
        <w:t xml:space="preserve"> </w:t>
      </w:r>
      <w:r w:rsidR="001508EA">
        <w:t>taxation income in administrative data.</w:t>
      </w:r>
      <w:r w:rsidR="008F2DB5">
        <w:t xml:space="preserve"> However, the model does incorporate income received in the form of transfer payments from Government and assumes that these payments are not subject to personal income tax.</w:t>
      </w:r>
    </w:p>
    <w:p w14:paraId="54E98065" w14:textId="665194DA" w:rsidR="00D818F0" w:rsidRDefault="00D818F0" w:rsidP="00344102">
      <w:r>
        <w:t xml:space="preserve">The distortions and efficiency </w:t>
      </w:r>
      <w:r w:rsidR="008221D2">
        <w:t>costs</w:t>
      </w:r>
      <w:r>
        <w:t xml:space="preserve"> arising </w:t>
      </w:r>
      <w:r w:rsidR="0044761A">
        <w:t xml:space="preserve">from </w:t>
      </w:r>
      <w:r>
        <w:t xml:space="preserve">tax planning and minimisation are also outside the scope of this </w:t>
      </w:r>
      <w:r w:rsidR="00EB7B5E">
        <w:t>analysis</w:t>
      </w:r>
      <w:r>
        <w:t>.</w:t>
      </w:r>
    </w:p>
    <w:p w14:paraId="58E0CACF" w14:textId="52A5C004" w:rsidR="00C645D2" w:rsidRDefault="00D87831" w:rsidP="00344102">
      <w:r>
        <w:t>T</w:t>
      </w:r>
      <w:r w:rsidRPr="007151F9">
        <w:t>h</w:t>
      </w:r>
      <w:r>
        <w:t>e personal income tax</w:t>
      </w:r>
      <w:r w:rsidRPr="007151F9">
        <w:t xml:space="preserve"> is </w:t>
      </w:r>
      <w:r>
        <w:t>a balancing item in the model.</w:t>
      </w:r>
      <w:r w:rsidR="008221D2">
        <w:rPr>
          <w:rStyle w:val="FootnoteReference"/>
        </w:rPr>
        <w:footnoteReference w:id="14"/>
      </w:r>
      <w:r>
        <w:t xml:space="preserve"> Personal </w:t>
      </w:r>
      <w:r w:rsidRPr="007151F9">
        <w:t>income tax re</w:t>
      </w:r>
      <w:r>
        <w:t>ceipts</w:t>
      </w:r>
      <w:r w:rsidRPr="007151F9">
        <w:t xml:space="preserve"> </w:t>
      </w:r>
      <w:r>
        <w:t xml:space="preserve">in the model </w:t>
      </w:r>
      <w:r w:rsidR="00C349B8">
        <w:t>are</w:t>
      </w:r>
      <w:r w:rsidRPr="007151F9">
        <w:t xml:space="preserve"> </w:t>
      </w:r>
      <w:r>
        <w:t>estimated to be $5 billion higher than the reported total personal income tax revenue</w:t>
      </w:r>
      <w:r w:rsidRPr="007151F9">
        <w:t xml:space="preserve"> </w:t>
      </w:r>
      <w:r>
        <w:t xml:space="preserve">of </w:t>
      </w:r>
      <w:r w:rsidR="00E11082">
        <w:t xml:space="preserve">around </w:t>
      </w:r>
      <w:r w:rsidRPr="007151F9">
        <w:t>$160 billion</w:t>
      </w:r>
      <w:r>
        <w:t xml:space="preserve"> in the ABS Taxation Revenue, Australia 2012</w:t>
      </w:r>
      <w:r w:rsidR="00F03697">
        <w:noBreakHyphen/>
      </w:r>
      <w:r>
        <w:t>13 (ABS Cat. No. 5506.0)</w:t>
      </w:r>
      <w:r w:rsidRPr="007151F9">
        <w:t>.</w:t>
      </w:r>
      <w:r w:rsidR="00C349B8">
        <w:t xml:space="preserve"> The model derived average tax rate on personal income is estimated to be 16.7 per cent.</w:t>
      </w:r>
    </w:p>
    <w:p w14:paraId="019AFFBB" w14:textId="3F96DB90" w:rsidR="00C645D2" w:rsidRPr="00205BB1" w:rsidRDefault="006279FE" w:rsidP="00AE1A4B">
      <w:pPr>
        <w:pStyle w:val="Heading4"/>
      </w:pPr>
      <w:r>
        <w:t>Goods and services taxation</w:t>
      </w:r>
    </w:p>
    <w:p w14:paraId="63EA38AA" w14:textId="32AD669E" w:rsidR="00434C24" w:rsidRDefault="001D7C08" w:rsidP="001D7C08">
      <w:pPr>
        <w:rPr>
          <w:lang w:val="en-US" w:eastAsia="en-AU"/>
        </w:rPr>
      </w:pPr>
      <w:r w:rsidRPr="00062F79">
        <w:t xml:space="preserve">The model </w:t>
      </w:r>
      <w:r w:rsidR="00913097">
        <w:t>separately identifies</w:t>
      </w:r>
      <w:r w:rsidRPr="00062F79">
        <w:t xml:space="preserve"> the goods and services tax (GST)</w:t>
      </w:r>
      <w:r w:rsidR="00913097">
        <w:t xml:space="preserve"> from general indirect taxation</w:t>
      </w:r>
      <w:r w:rsidR="00BF04BA">
        <w:t>.</w:t>
      </w:r>
      <w:r w:rsidR="00913097">
        <w:rPr>
          <w:rStyle w:val="FootnoteReference"/>
        </w:rPr>
        <w:footnoteReference w:id="15"/>
      </w:r>
      <w:r w:rsidRPr="00062F79">
        <w:t xml:space="preserve"> </w:t>
      </w:r>
      <w:r w:rsidR="00872920">
        <w:t>The effective GST rates are based on</w:t>
      </w:r>
      <w:r w:rsidR="000658DC">
        <w:t xml:space="preserve"> p</w:t>
      </w:r>
      <w:r w:rsidR="00B973EB">
        <w:t>roduct</w:t>
      </w:r>
      <w:r w:rsidR="00F03697">
        <w:noBreakHyphen/>
      </w:r>
      <w:r w:rsidR="00B973EB">
        <w:t>based</w:t>
      </w:r>
      <w:r w:rsidR="00B973EB" w:rsidRPr="00062F79">
        <w:t xml:space="preserve"> </w:t>
      </w:r>
      <w:r w:rsidRPr="00062F79">
        <w:t xml:space="preserve">tax receipts from the ABS </w:t>
      </w:r>
      <w:r w:rsidR="008E0F57" w:rsidRPr="00062F79">
        <w:t>Input</w:t>
      </w:r>
      <w:r w:rsidR="00F03697">
        <w:noBreakHyphen/>
      </w:r>
      <w:r w:rsidR="008E0F57" w:rsidRPr="00062F79">
        <w:t>Output</w:t>
      </w:r>
      <w:r w:rsidRPr="00062F79">
        <w:t xml:space="preserve"> tables</w:t>
      </w:r>
      <w:r w:rsidR="00AC6C7D">
        <w:br/>
      </w:r>
      <w:r w:rsidR="000658DC">
        <w:t>(</w:t>
      </w:r>
      <w:r w:rsidR="00675BAD">
        <w:t xml:space="preserve">ABS Cat. No. </w:t>
      </w:r>
      <w:r w:rsidR="00675BAD" w:rsidRPr="002B2601">
        <w:t>5209.0.55.001)</w:t>
      </w:r>
      <w:r w:rsidR="00675BAD">
        <w:t xml:space="preserve">. These tables </w:t>
      </w:r>
      <w:r w:rsidR="008E0F57" w:rsidRPr="00062F79">
        <w:t>cover</w:t>
      </w:r>
      <w:r w:rsidRPr="00062F79">
        <w:t xml:space="preserve"> taxed </w:t>
      </w:r>
      <w:r w:rsidR="008E0F57" w:rsidRPr="00062F79">
        <w:t xml:space="preserve">intermediate inputs, </w:t>
      </w:r>
      <w:r w:rsidRPr="00062F79">
        <w:t>household final consumption</w:t>
      </w:r>
      <w:r w:rsidR="00022448">
        <w:t xml:space="preserve"> </w:t>
      </w:r>
      <w:r w:rsidRPr="00062F79">
        <w:t>expenditure and private gross fixed capital formation.</w:t>
      </w:r>
      <w:r w:rsidR="00913097">
        <w:t xml:space="preserve"> </w:t>
      </w:r>
      <w:r w:rsidRPr="00062F79">
        <w:t>Th</w:t>
      </w:r>
      <w:r w:rsidR="00913097">
        <w:t>is treatment al</w:t>
      </w:r>
      <w:r w:rsidR="000658DC">
        <w:t>lows us</w:t>
      </w:r>
      <w:r w:rsidRPr="00062F79">
        <w:t xml:space="preserve"> to analyse </w:t>
      </w:r>
      <w:r w:rsidR="000658DC">
        <w:t>the</w:t>
      </w:r>
      <w:r w:rsidR="000658DC" w:rsidRPr="00062F79">
        <w:t xml:space="preserve"> </w:t>
      </w:r>
      <w:r w:rsidR="004A6EFA">
        <w:t xml:space="preserve">effect of both </w:t>
      </w:r>
      <w:r w:rsidRPr="00062F79">
        <w:t xml:space="preserve">rate changes </w:t>
      </w:r>
      <w:r w:rsidR="000658DC">
        <w:t>and</w:t>
      </w:r>
      <w:r w:rsidR="000658DC" w:rsidRPr="00062F79">
        <w:t xml:space="preserve"> </w:t>
      </w:r>
      <w:r w:rsidRPr="00062F79">
        <w:t>base</w:t>
      </w:r>
      <w:r w:rsidR="00F03697">
        <w:noBreakHyphen/>
      </w:r>
      <w:r w:rsidRPr="00062F79">
        <w:t>broadening.</w:t>
      </w:r>
    </w:p>
    <w:p w14:paraId="1971E793" w14:textId="62C3AA00" w:rsidR="006279FE" w:rsidRDefault="006279FE" w:rsidP="00AE1A4B">
      <w:pPr>
        <w:pStyle w:val="Heading4"/>
        <w:rPr>
          <w:lang w:val="en-US" w:eastAsia="en-AU"/>
        </w:rPr>
      </w:pPr>
      <w:r>
        <w:rPr>
          <w:lang w:val="en-US" w:eastAsia="en-AU"/>
        </w:rPr>
        <w:t>Hypothetical broad</w:t>
      </w:r>
      <w:r w:rsidR="00F03697">
        <w:rPr>
          <w:lang w:val="en-US" w:eastAsia="en-AU"/>
        </w:rPr>
        <w:noBreakHyphen/>
      </w:r>
      <w:r>
        <w:rPr>
          <w:lang w:val="en-US" w:eastAsia="en-AU"/>
        </w:rPr>
        <w:t>based land tax</w:t>
      </w:r>
    </w:p>
    <w:p w14:paraId="4AE50425" w14:textId="17E28509" w:rsidR="00BD2F90" w:rsidRDefault="002A76E0" w:rsidP="001D7C08">
      <w:r>
        <w:rPr>
          <w:lang w:val="en-US" w:eastAsia="en-AU"/>
        </w:rPr>
        <w:t>Land taxes are modelled as a stylised b</w:t>
      </w:r>
      <w:r w:rsidR="00062F79">
        <w:t>road</w:t>
      </w:r>
      <w:r w:rsidR="00F03697">
        <w:noBreakHyphen/>
      </w:r>
      <w:r w:rsidR="00062F79">
        <w:t>based l</w:t>
      </w:r>
      <w:r w:rsidR="001D7C08">
        <w:t xml:space="preserve">and tax </w:t>
      </w:r>
      <w:r w:rsidR="001D7C08" w:rsidRPr="00062F79">
        <w:t xml:space="preserve">which </w:t>
      </w:r>
      <w:r w:rsidR="003044E5">
        <w:t xml:space="preserve">is calibrated to </w:t>
      </w:r>
      <w:r w:rsidR="001D7C08" w:rsidRPr="00062F79">
        <w:t xml:space="preserve">include municipal rates on all properties and </w:t>
      </w:r>
      <w:r>
        <w:t xml:space="preserve">a </w:t>
      </w:r>
      <w:r w:rsidR="00062F79" w:rsidRPr="00062F79">
        <w:t>broad</w:t>
      </w:r>
      <w:r w:rsidR="00F03697">
        <w:noBreakHyphen/>
      </w:r>
      <w:r w:rsidR="00062F79" w:rsidRPr="00062F79">
        <w:t xml:space="preserve">based </w:t>
      </w:r>
      <w:r w:rsidR="001D7C08" w:rsidRPr="00062F79">
        <w:t xml:space="preserve">land tax on </w:t>
      </w:r>
      <w:r>
        <w:t xml:space="preserve">all </w:t>
      </w:r>
      <w:r w:rsidR="001D7C08" w:rsidRPr="00062F79">
        <w:t xml:space="preserve">investment properties levied on the unimproved value of land. The model recognises that the value of land is determined by the flow of services from its use, which means the </w:t>
      </w:r>
      <w:r w:rsidR="00062F79">
        <w:t>broad</w:t>
      </w:r>
      <w:r w:rsidR="00F03697">
        <w:noBreakHyphen/>
      </w:r>
      <w:r w:rsidR="00062F79">
        <w:t xml:space="preserve">based land tax </w:t>
      </w:r>
      <w:r w:rsidR="001D7C08" w:rsidRPr="00062F79">
        <w:t>can be modelled in the long</w:t>
      </w:r>
      <w:r w:rsidR="00F03697">
        <w:noBreakHyphen/>
      </w:r>
      <w:r w:rsidR="001D7C08" w:rsidRPr="00062F79">
        <w:t xml:space="preserve">run as a tax on the rental income from land. Working towards that end, the current version of the model has been extended to include a </w:t>
      </w:r>
      <w:r w:rsidR="00062F79">
        <w:t>broad</w:t>
      </w:r>
      <w:r w:rsidR="00F03697">
        <w:noBreakHyphen/>
      </w:r>
      <w:r w:rsidR="00062F79">
        <w:t>based land tax</w:t>
      </w:r>
      <w:r w:rsidR="00022448">
        <w:t xml:space="preserve"> </w:t>
      </w:r>
      <w:r w:rsidR="001D7C08" w:rsidRPr="00062F79">
        <w:t>in the form of a rental income tax on land which is collec</w:t>
      </w:r>
      <w:r w:rsidR="00205BB1" w:rsidRPr="00D62342">
        <w:t>ted before company income tax.</w:t>
      </w:r>
    </w:p>
    <w:p w14:paraId="0F63DB35" w14:textId="55FA738A" w:rsidR="00BD2F90" w:rsidRDefault="00BD2F90" w:rsidP="001D7C08">
      <w:r w:rsidRPr="009F07E4">
        <w:t>The model has two types of land: residential and non</w:t>
      </w:r>
      <w:r w:rsidR="00F03697">
        <w:noBreakHyphen/>
      </w:r>
      <w:r w:rsidRPr="009F07E4">
        <w:t>residential land.</w:t>
      </w:r>
      <w:r w:rsidR="00D13A55">
        <w:rPr>
          <w:rStyle w:val="FootnoteReference"/>
        </w:rPr>
        <w:footnoteReference w:id="16"/>
      </w:r>
      <w:r w:rsidRPr="009F07E4">
        <w:t xml:space="preserve"> Residential land is only used by the Ownership of Dwellings sector, while non</w:t>
      </w:r>
      <w:r w:rsidR="00F03697">
        <w:noBreakHyphen/>
      </w:r>
      <w:r w:rsidRPr="009F07E4">
        <w:t>residential land is used by all</w:t>
      </w:r>
      <w:r>
        <w:t xml:space="preserve"> other industries. While the total supply of each type of land is fixed, the utilisation of land can be increased through greater investment in structures. Finally, the supply of non</w:t>
      </w:r>
      <w:r w:rsidR="00F03697">
        <w:noBreakHyphen/>
      </w:r>
      <w:r>
        <w:t>residential land at the sectoral level can vary, with land allocated via the rental market to its most productive use.</w:t>
      </w:r>
    </w:p>
    <w:p w14:paraId="2EAB616F" w14:textId="77777777" w:rsidR="00F93244" w:rsidRDefault="00F93244">
      <w:r>
        <w:br w:type="page"/>
      </w:r>
    </w:p>
    <w:p w14:paraId="29DD695E" w14:textId="624C92DF" w:rsidR="001D7C08" w:rsidRPr="0037543F" w:rsidRDefault="001D7C08" w:rsidP="001D7C08">
      <w:r w:rsidRPr="00062F79">
        <w:lastRenderedPageBreak/>
        <w:t xml:space="preserve">The effective rate of the </w:t>
      </w:r>
      <w:r w:rsidR="00062F79">
        <w:t>broad</w:t>
      </w:r>
      <w:r w:rsidR="00F03697">
        <w:noBreakHyphen/>
      </w:r>
      <w:r w:rsidR="00062F79">
        <w:t>based land tax</w:t>
      </w:r>
      <w:r w:rsidR="006901EE">
        <w:t xml:space="preserve"> </w:t>
      </w:r>
      <w:r w:rsidRPr="00062F79">
        <w:t>is calculated</w:t>
      </w:r>
      <w:r w:rsidRPr="00CF30A1">
        <w:t xml:space="preserve"> based on land and municipal tax revenue, with different </w:t>
      </w:r>
      <w:r>
        <w:t xml:space="preserve">effective tax </w:t>
      </w:r>
      <w:r w:rsidRPr="00CF30A1">
        <w:t>rates for residential and non</w:t>
      </w:r>
      <w:r w:rsidR="00F03697">
        <w:noBreakHyphen/>
      </w:r>
      <w:r w:rsidRPr="00CF30A1">
        <w:t xml:space="preserve">residential land. However, the rate of </w:t>
      </w:r>
      <w:r w:rsidR="00062F79">
        <w:t xml:space="preserve">the </w:t>
      </w:r>
      <w:r w:rsidR="007E4F01">
        <w:t>non</w:t>
      </w:r>
      <w:r w:rsidR="00F03697">
        <w:noBreakHyphen/>
      </w:r>
      <w:r w:rsidRPr="00CF30A1">
        <w:t xml:space="preserve">residential </w:t>
      </w:r>
      <w:r w:rsidR="00062F79">
        <w:t>broad</w:t>
      </w:r>
      <w:r w:rsidR="00F03697">
        <w:noBreakHyphen/>
      </w:r>
      <w:r w:rsidR="00062F79">
        <w:t>based land tax</w:t>
      </w:r>
      <w:r w:rsidR="002A76E0">
        <w:t xml:space="preserve"> </w:t>
      </w:r>
      <w:r w:rsidRPr="00CF30A1">
        <w:t xml:space="preserve">is uniform across all industries as more detailed data do not exist. </w:t>
      </w:r>
      <w:r>
        <w:t>T</w:t>
      </w:r>
      <w:r w:rsidRPr="00CF30A1">
        <w:t xml:space="preserve">he model </w:t>
      </w:r>
      <w:r>
        <w:t>incorporates</w:t>
      </w:r>
      <w:r w:rsidRPr="00CF30A1">
        <w:t xml:space="preserve"> foreign ownership of non</w:t>
      </w:r>
      <w:r w:rsidR="00F03697">
        <w:noBreakHyphen/>
      </w:r>
      <w:r w:rsidRPr="00CF30A1">
        <w:t>residential land</w:t>
      </w:r>
      <w:r>
        <w:t>,</w:t>
      </w:r>
      <w:r w:rsidRPr="00CF30A1">
        <w:t xml:space="preserve"> but there is </w:t>
      </w:r>
      <w:r>
        <w:t xml:space="preserve">currently no allowance for </w:t>
      </w:r>
      <w:r w:rsidRPr="00CF30A1">
        <w:t>foreign ownership of residential land</w:t>
      </w:r>
      <w:r>
        <w:t>.</w:t>
      </w:r>
      <w:r w:rsidRPr="00CF30A1">
        <w:t xml:space="preserve"> </w:t>
      </w:r>
      <w:r w:rsidR="005B74A1">
        <w:t xml:space="preserve">The </w:t>
      </w:r>
      <w:r w:rsidRPr="00CF30A1">
        <w:t xml:space="preserve">foreign </w:t>
      </w:r>
      <w:r w:rsidR="00557D5B">
        <w:t xml:space="preserve">ownership </w:t>
      </w:r>
      <w:r>
        <w:t xml:space="preserve">share </w:t>
      </w:r>
      <w:r w:rsidRPr="00CF30A1">
        <w:t>of</w:t>
      </w:r>
      <w:r w:rsidR="00EE7B07">
        <w:t xml:space="preserve"> </w:t>
      </w:r>
      <w:r w:rsidR="002656B0">
        <w:t xml:space="preserve">total </w:t>
      </w:r>
      <w:r w:rsidR="00557D5B">
        <w:t xml:space="preserve">factor </w:t>
      </w:r>
      <w:r w:rsidR="00EE7B07">
        <w:t>income from</w:t>
      </w:r>
      <w:r w:rsidRPr="00CF30A1">
        <w:t xml:space="preserve"> land</w:t>
      </w:r>
      <w:r w:rsidR="00557D5B">
        <w:t xml:space="preserve"> </w:t>
      </w:r>
      <w:r w:rsidRPr="00CF30A1">
        <w:t xml:space="preserve">is </w:t>
      </w:r>
      <w:r>
        <w:t xml:space="preserve">estimated to be </w:t>
      </w:r>
      <w:r w:rsidR="00BD126F" w:rsidRPr="00EE7B07">
        <w:t>around 10</w:t>
      </w:r>
      <w:r w:rsidR="00EE7B07">
        <w:t> per </w:t>
      </w:r>
      <w:r w:rsidRPr="00CF30A1">
        <w:t>cent.</w:t>
      </w:r>
      <w:r w:rsidR="005B74A1">
        <w:rPr>
          <w:rStyle w:val="FootnoteReference"/>
        </w:rPr>
        <w:footnoteReference w:id="17"/>
      </w:r>
    </w:p>
    <w:p w14:paraId="2EAC6245" w14:textId="7E4670BF" w:rsidR="006279FE" w:rsidRDefault="006279FE" w:rsidP="00AE1A4B">
      <w:pPr>
        <w:pStyle w:val="Heading4"/>
      </w:pPr>
      <w:r>
        <w:t>Stamp duties on conveyances</w:t>
      </w:r>
    </w:p>
    <w:p w14:paraId="53BBCF3E" w14:textId="77777777" w:rsidR="007916D8" w:rsidRDefault="001D7C08" w:rsidP="001D7C08">
      <w:r>
        <w:t xml:space="preserve">Stamp duties are a tax paid on the value of </w:t>
      </w:r>
      <w:r w:rsidR="002A76E0">
        <w:t xml:space="preserve">an asset </w:t>
      </w:r>
      <w:r>
        <w:t>when ownership is transferred, often inclusive of the value of any capital improvements. Stamp duty on conveyances is currently levied on the transfer of motor vehicles, insurance, and land and structures. The analysis reported here only focuses on stamp duty on conveyances levied on the t</w:t>
      </w:r>
      <w:r w:rsidR="00314607">
        <w:t xml:space="preserve">ransfer of land and structures. </w:t>
      </w:r>
    </w:p>
    <w:p w14:paraId="29DD695F" w14:textId="02A88BB6" w:rsidR="00E42F05" w:rsidRPr="004B64F6" w:rsidRDefault="001D7C08" w:rsidP="001D7C08">
      <w:r w:rsidRPr="004B64F6">
        <w:t xml:space="preserve">It is </w:t>
      </w:r>
      <w:r w:rsidR="003E5ED1" w:rsidRPr="004B64F6">
        <w:t xml:space="preserve">inherently </w:t>
      </w:r>
      <w:r w:rsidRPr="004B64F6">
        <w:t xml:space="preserve">difficult to capture </w:t>
      </w:r>
      <w:r w:rsidR="00314607" w:rsidRPr="004B64F6">
        <w:t xml:space="preserve">this type of </w:t>
      </w:r>
      <w:r w:rsidRPr="004B64F6">
        <w:t>capital transaction tax in a model with a single representative agent.</w:t>
      </w:r>
      <w:r w:rsidR="007916D8" w:rsidRPr="004B64F6">
        <w:t xml:space="preserve"> </w:t>
      </w:r>
      <w:r w:rsidRPr="004B64F6">
        <w:t>The approach adopted here treat</w:t>
      </w:r>
      <w:r w:rsidR="00314607" w:rsidRPr="004B64F6">
        <w:t>s</w:t>
      </w:r>
      <w:r w:rsidRPr="004B64F6">
        <w:t xml:space="preserve"> real estate services as an investment good which improves the productivity of the firm</w:t>
      </w:r>
      <w:r w:rsidR="006E5233" w:rsidRPr="004B64F6">
        <w:t>s</w:t>
      </w:r>
      <w:r w:rsidR="004A6EFA" w:rsidRPr="004B64F6">
        <w:t>,</w:t>
      </w:r>
      <w:r w:rsidR="006E5233" w:rsidRPr="004B64F6">
        <w:t xml:space="preserve"> including </w:t>
      </w:r>
      <w:r w:rsidR="002A76E0" w:rsidRPr="004B64F6">
        <w:t xml:space="preserve">the </w:t>
      </w:r>
      <w:r w:rsidR="00205BB1" w:rsidRPr="004B64F6">
        <w:t>hous</w:t>
      </w:r>
      <w:r w:rsidR="006E5233" w:rsidRPr="004B64F6">
        <w:t>ing sector</w:t>
      </w:r>
      <w:r w:rsidRPr="004B64F6">
        <w:t>. One way of thinking about this is that real estate agents play a valuable role in finding producers that value the capital the most. Therefore a potential owner will be willing to pay a real estate fee equal to the profit they will enjoy over the previous owner. Within this setting the conveyance duty is treated as a tax on the value of investment</w:t>
      </w:r>
      <w:r w:rsidR="00F35044" w:rsidRPr="004B64F6">
        <w:t xml:space="preserve"> </w:t>
      </w:r>
      <w:r w:rsidR="00185636" w:rsidRPr="004B64F6">
        <w:t>and subsequent productivity gains</w:t>
      </w:r>
      <w:r w:rsidR="006E5233" w:rsidRPr="004B64F6">
        <w:t xml:space="preserve"> facilitate</w:t>
      </w:r>
      <w:r w:rsidR="00B973EB" w:rsidRPr="004B64F6">
        <w:t>d by</w:t>
      </w:r>
      <w:r w:rsidR="006E5233" w:rsidRPr="004B64F6">
        <w:t xml:space="preserve"> the transfer of land and structures</w:t>
      </w:r>
      <w:r w:rsidRPr="004B64F6">
        <w:t>.</w:t>
      </w:r>
      <w:r w:rsidR="00A84D9B" w:rsidRPr="004B64F6">
        <w:t xml:space="preserve"> We demonstrate that the return on investment is the same for a tax on investment or a tax on capital income (</w:t>
      </w:r>
      <w:r w:rsidR="00621AD1">
        <w:t>for example</w:t>
      </w:r>
      <w:r w:rsidR="00A84D9B" w:rsidRPr="004B64F6">
        <w:t>, company income tax) with the same rate. However, the investment tax will collect less revenue than the capital income tax and is therefore less efficient (</w:t>
      </w:r>
      <w:r w:rsidR="00621AD1">
        <w:t>that is</w:t>
      </w:r>
      <w:r w:rsidR="00A84D9B" w:rsidRPr="004B64F6">
        <w:t xml:space="preserve">, implies a larger </w:t>
      </w:r>
      <w:r w:rsidR="00B87A51" w:rsidRPr="004B64F6">
        <w:t xml:space="preserve">marginal </w:t>
      </w:r>
      <w:r w:rsidR="00A84D9B" w:rsidRPr="004B64F6">
        <w:t>excess burden).</w:t>
      </w:r>
      <w:r w:rsidR="00F760A4" w:rsidRPr="004B64F6">
        <w:t xml:space="preserve"> </w:t>
      </w:r>
    </w:p>
    <w:p w14:paraId="75C8A6CB" w14:textId="7DC1E675" w:rsidR="003A7FF2" w:rsidRDefault="007916D8" w:rsidP="001D7C08">
      <w:r w:rsidRPr="004B64F6">
        <w:t>It is important to keep in mind that the</w:t>
      </w:r>
      <w:r w:rsidR="00A84D9B" w:rsidRPr="004B64F6">
        <w:t xml:space="preserve"> approach taken here captures some of the efficiency costs of stamp dut</w:t>
      </w:r>
      <w:r w:rsidR="003C00F3" w:rsidRPr="004B64F6">
        <w:t>ies</w:t>
      </w:r>
      <w:r w:rsidR="00A84D9B" w:rsidRPr="004B64F6">
        <w:t xml:space="preserve"> associated with the distortion to value creating transactions. </w:t>
      </w:r>
      <w:r w:rsidR="00914DAC" w:rsidRPr="004B64F6">
        <w:t xml:space="preserve">As such, the </w:t>
      </w:r>
      <w:r w:rsidR="002C64A9" w:rsidRPr="004B64F6">
        <w:t>analysis</w:t>
      </w:r>
      <w:r w:rsidR="00914DAC" w:rsidRPr="004B64F6">
        <w:t xml:space="preserve"> </w:t>
      </w:r>
      <w:r w:rsidR="009067B3" w:rsidRPr="004B64F6">
        <w:t>aims to</w:t>
      </w:r>
      <w:r w:rsidR="00914DAC" w:rsidRPr="004B64F6">
        <w:t xml:space="preserve"> illustrate the potential </w:t>
      </w:r>
      <w:r w:rsidR="009067B3" w:rsidRPr="004B64F6">
        <w:t xml:space="preserve">efficiency </w:t>
      </w:r>
      <w:r w:rsidR="00914DAC" w:rsidRPr="004B64F6">
        <w:t>impact</w:t>
      </w:r>
      <w:r w:rsidR="009067B3" w:rsidRPr="004B64F6">
        <w:t>s</w:t>
      </w:r>
      <w:r w:rsidR="00914DAC" w:rsidRPr="004B64F6">
        <w:t xml:space="preserve"> of stamp duties</w:t>
      </w:r>
      <w:r w:rsidR="000F0752" w:rsidRPr="004B64F6">
        <w:t>.</w:t>
      </w:r>
    </w:p>
    <w:p w14:paraId="29DD6960" w14:textId="3FCE2509" w:rsidR="003B2A88" w:rsidRDefault="00E42F05" w:rsidP="003B2A88">
      <w:pPr>
        <w:pStyle w:val="Heading3"/>
      </w:pPr>
      <w:r w:rsidRPr="003B2A88">
        <w:t xml:space="preserve">Model calibration and key </w:t>
      </w:r>
      <w:r w:rsidR="001A5A84">
        <w:t xml:space="preserve">economic </w:t>
      </w:r>
      <w:r w:rsidRPr="003B2A88">
        <w:t>parameters</w:t>
      </w:r>
    </w:p>
    <w:p w14:paraId="29DD6961" w14:textId="77777777" w:rsidR="004875CD" w:rsidRDefault="004875CD" w:rsidP="004875CD">
      <w:r>
        <w:t xml:space="preserve">To a large extent the model used in this paper relies on the calibration of the model used for the BTWG. Details of that </w:t>
      </w:r>
      <w:r w:rsidRPr="00CC02C0">
        <w:t>calibration</w:t>
      </w:r>
      <w:r>
        <w:t xml:space="preserve"> are reported in</w:t>
      </w:r>
      <w:r w:rsidRPr="00CC02C0">
        <w:t xml:space="preserve"> </w:t>
      </w:r>
      <w:r w:rsidRPr="00020D3F">
        <w:t>Independent Economics (2012)</w:t>
      </w:r>
      <w:r>
        <w:t>.</w:t>
      </w:r>
    </w:p>
    <w:p w14:paraId="29DD6962" w14:textId="0826CA68" w:rsidR="005C3EB0" w:rsidRDefault="005C3EB0" w:rsidP="003B2A88">
      <w:r>
        <w:t>T</w:t>
      </w:r>
      <w:r w:rsidRPr="00CC02C0">
        <w:t xml:space="preserve">he model is </w:t>
      </w:r>
      <w:r>
        <w:t xml:space="preserve">broadly </w:t>
      </w:r>
      <w:r w:rsidRPr="00CC02C0">
        <w:t>calibrated to the 2007</w:t>
      </w:r>
      <w:r w:rsidR="00F03697">
        <w:noBreakHyphen/>
      </w:r>
      <w:r w:rsidRPr="00CC02C0">
        <w:t>08 Input</w:t>
      </w:r>
      <w:r w:rsidR="00F03697">
        <w:noBreakHyphen/>
      </w:r>
      <w:r w:rsidRPr="00CC02C0">
        <w:t>Output Tables</w:t>
      </w:r>
      <w:r>
        <w:t xml:space="preserve"> (ABS Cat. No. 5209.0.55.001)</w:t>
      </w:r>
      <w:r w:rsidRPr="00CC02C0">
        <w:t>, and further uprated to the 2013</w:t>
      </w:r>
      <w:r w:rsidR="00F03697">
        <w:noBreakHyphen/>
      </w:r>
      <w:r w:rsidRPr="00CC02C0">
        <w:t>14 National Accounts</w:t>
      </w:r>
      <w:r>
        <w:t xml:space="preserve"> (ABS Cat. No. 5206.0)</w:t>
      </w:r>
      <w:r w:rsidRPr="00CC02C0">
        <w:t xml:space="preserve">. </w:t>
      </w:r>
      <w:r>
        <w:t>These data determine the baseline distribution of income across factors of production, and the distribution of household expenditure and international trade in goods and services. Where possible</w:t>
      </w:r>
      <w:r w:rsidR="003C00F3">
        <w:t>,</w:t>
      </w:r>
      <w:r>
        <w:t xml:space="preserve"> elasticities of substitution incorporated in the representative household</w:t>
      </w:r>
      <w:r w:rsidR="00F03697">
        <w:t>’</w:t>
      </w:r>
      <w:r>
        <w:t xml:space="preserve">s utility function and various production functions are based on published empirical studies. </w:t>
      </w:r>
    </w:p>
    <w:p w14:paraId="29DD6963" w14:textId="77777777" w:rsidR="004875CD" w:rsidRDefault="00BE7176" w:rsidP="003B2A88">
      <w:r>
        <w:t>We highlight some of the key busin</w:t>
      </w:r>
      <w:r w:rsidR="0042687F">
        <w:t xml:space="preserve">ess and household </w:t>
      </w:r>
      <w:r>
        <w:t>modelling assumptions below.</w:t>
      </w:r>
    </w:p>
    <w:p w14:paraId="2B5AACA0" w14:textId="6CA9AEC4" w:rsidR="000D21F3" w:rsidRDefault="000D21F3" w:rsidP="00210087">
      <w:pPr>
        <w:pStyle w:val="Heading4"/>
      </w:pPr>
      <w:r>
        <w:lastRenderedPageBreak/>
        <w:t>Degree of international capital mobility</w:t>
      </w:r>
    </w:p>
    <w:p w14:paraId="47B07E9F" w14:textId="7F8B0F9A" w:rsidR="005B74A1" w:rsidRPr="00AE1A4B" w:rsidRDefault="005B74A1" w:rsidP="00AE1A4B">
      <w:pPr>
        <w:rPr>
          <w:rFonts w:ascii="Arial" w:hAnsi="Arial"/>
          <w:b/>
          <w:color w:val="003157"/>
        </w:rPr>
      </w:pPr>
      <w:r w:rsidRPr="005B74A1">
        <w:t xml:space="preserve">Our baseline </w:t>
      </w:r>
      <w:r>
        <w:t>parameterisation</w:t>
      </w:r>
      <w:r w:rsidRPr="005B74A1">
        <w:t xml:space="preserve"> assumes perfect international capital </w:t>
      </w:r>
      <w:r>
        <w:t xml:space="preserve">mobility. This is consistent </w:t>
      </w:r>
      <w:r w:rsidRPr="005B74A1">
        <w:t xml:space="preserve">with the </w:t>
      </w:r>
      <w:r w:rsidR="003C00F3">
        <w:t>typical approach of</w:t>
      </w:r>
      <w:r>
        <w:t xml:space="preserve"> long</w:t>
      </w:r>
      <w:r w:rsidR="00F03697">
        <w:noBreakHyphen/>
      </w:r>
      <w:r>
        <w:t xml:space="preserve">run CGE analysis. We demonstrate in Appendix A that the </w:t>
      </w:r>
      <w:r w:rsidR="00B87A51">
        <w:t xml:space="preserve">marginal </w:t>
      </w:r>
      <w:r>
        <w:t>excess burden of the company income tax rate is sensitive to this assumption</w:t>
      </w:r>
      <w:r w:rsidR="00285633">
        <w:t>,</w:t>
      </w:r>
      <w:r>
        <w:t xml:space="preserve"> with </w:t>
      </w:r>
      <w:r w:rsidR="00285633">
        <w:t>imperfect</w:t>
      </w:r>
      <w:r>
        <w:t xml:space="preserve"> capital mobility implying a lower </w:t>
      </w:r>
      <w:r w:rsidR="00B87A51">
        <w:t xml:space="preserve">marginal </w:t>
      </w:r>
      <w:r>
        <w:t>excess burden</w:t>
      </w:r>
      <w:r w:rsidR="003C00F3">
        <w:t xml:space="preserve"> for the company income tax</w:t>
      </w:r>
      <w:r w:rsidRPr="005B74A1">
        <w:t>.</w:t>
      </w:r>
    </w:p>
    <w:p w14:paraId="29DD6967" w14:textId="77777777" w:rsidR="00210087" w:rsidRDefault="00210087" w:rsidP="005B74A1">
      <w:pPr>
        <w:pStyle w:val="Heading4"/>
      </w:pPr>
      <w:r>
        <w:t>Share of foreign ownership of firms</w:t>
      </w:r>
    </w:p>
    <w:p w14:paraId="29DD6968" w14:textId="77777777" w:rsidR="00210087" w:rsidRDefault="00210087" w:rsidP="00210087">
      <w:r>
        <w:t>The share of foreign ownership of firms in the model is calibrated using gross foreign ownership</w:t>
      </w:r>
      <w:r w:rsidR="00923FE7">
        <w:t xml:space="preserve"> of</w:t>
      </w:r>
      <w:r>
        <w:t xml:space="preserve"> businesses. This requires us to calculate foreign liabilities excluding households and government. We do so by estimating the indirect liabilities of households and governments to foreigners through banks, securitises and central borrowing authorities using historical data from ABS Na</w:t>
      </w:r>
      <w:r w:rsidR="005C3EB0">
        <w:t>tional Financial Accounts (ABS C</w:t>
      </w:r>
      <w:r>
        <w:t>at.</w:t>
      </w:r>
      <w:r w:rsidR="005C3EB0">
        <w:t xml:space="preserve"> No.</w:t>
      </w:r>
      <w:r>
        <w:t xml:space="preserve"> 5232.0).</w:t>
      </w:r>
    </w:p>
    <w:p w14:paraId="29DD6969" w14:textId="0B8B94A3" w:rsidR="00210087" w:rsidRDefault="00210087" w:rsidP="00210087">
      <w:r w:rsidRPr="00BA5F8D">
        <w:t>We estimate that gross foreign liabilities excluding those of households and government were $637</w:t>
      </w:r>
      <w:r w:rsidR="00575BC7">
        <w:t> </w:t>
      </w:r>
      <w:r w:rsidRPr="00BA5F8D">
        <w:t>billion at June 2008. Given a total capital stock of roughly $3 trillion, this implies that 20.7 per cent of domestic firms were owned by foreigners.</w:t>
      </w:r>
    </w:p>
    <w:p w14:paraId="4D21E653" w14:textId="0F4725ED" w:rsidR="001A5A84" w:rsidRDefault="00EC2C47" w:rsidP="00210087">
      <w:r>
        <w:t>D</w:t>
      </w:r>
      <w:r w:rsidR="00BE7176">
        <w:t xml:space="preserve">ata </w:t>
      </w:r>
      <w:r>
        <w:t xml:space="preserve">limitations </w:t>
      </w:r>
      <w:r w:rsidR="00BE7176">
        <w:t xml:space="preserve">force us to </w:t>
      </w:r>
      <w:r w:rsidR="00210087">
        <w:t>assume homogenous foreign ownership shar</w:t>
      </w:r>
      <w:r w:rsidR="00457A9C">
        <w:t xml:space="preserve">es of firms across the economy. </w:t>
      </w:r>
      <w:r w:rsidR="001B4981">
        <w:t>We undertake s</w:t>
      </w:r>
      <w:r w:rsidR="001A5A84">
        <w:t>ensitivity analysis for the share of foreign ownership of firms</w:t>
      </w:r>
      <w:r w:rsidR="001B4981">
        <w:t xml:space="preserve"> in Appendix A.</w:t>
      </w:r>
    </w:p>
    <w:p w14:paraId="29DD696B" w14:textId="77777777" w:rsidR="00210087" w:rsidRDefault="00210087" w:rsidP="00210087">
      <w:pPr>
        <w:pStyle w:val="Heading4"/>
      </w:pPr>
      <w:r>
        <w:t>Share of factor income earned by fixed factors</w:t>
      </w:r>
    </w:p>
    <w:p w14:paraId="29DD696C" w14:textId="3F502F36" w:rsidR="00210087" w:rsidRDefault="00AE00BF" w:rsidP="00210087">
      <w:pPr>
        <w:rPr>
          <w:lang w:val="en-US" w:eastAsia="en-AU"/>
        </w:rPr>
      </w:pPr>
      <w:r>
        <w:rPr>
          <w:lang w:val="en-US" w:eastAsia="en-AU"/>
        </w:rPr>
        <w:t>In addition to land, t</w:t>
      </w:r>
      <w:r w:rsidR="00210087">
        <w:rPr>
          <w:lang w:val="en-US" w:eastAsia="en-AU"/>
        </w:rPr>
        <w:t>he model includes both location</w:t>
      </w:r>
      <w:r w:rsidR="00F03697">
        <w:noBreakHyphen/>
      </w:r>
      <w:r w:rsidR="00210087">
        <w:rPr>
          <w:lang w:val="en-US" w:eastAsia="en-AU"/>
        </w:rPr>
        <w:t xml:space="preserve"> and firm</w:t>
      </w:r>
      <w:r w:rsidR="00F03697">
        <w:rPr>
          <w:lang w:val="en-US" w:eastAsia="en-AU"/>
        </w:rPr>
        <w:noBreakHyphen/>
      </w:r>
      <w:r w:rsidR="00210087">
        <w:rPr>
          <w:lang w:val="en-US" w:eastAsia="en-AU"/>
        </w:rPr>
        <w:t>specific fixed factors of production. The firm</w:t>
      </w:r>
      <w:r w:rsidR="00F03697">
        <w:rPr>
          <w:lang w:val="en-US" w:eastAsia="en-AU"/>
        </w:rPr>
        <w:noBreakHyphen/>
      </w:r>
      <w:r w:rsidR="00210087">
        <w:rPr>
          <w:lang w:val="en-US" w:eastAsia="en-AU"/>
        </w:rPr>
        <w:t>specific fixed factor</w:t>
      </w:r>
      <w:r w:rsidR="003C00F3">
        <w:rPr>
          <w:lang w:val="en-US" w:eastAsia="en-AU"/>
        </w:rPr>
        <w:t>s</w:t>
      </w:r>
      <w:r w:rsidR="00210087">
        <w:rPr>
          <w:lang w:val="en-US" w:eastAsia="en-AU"/>
        </w:rPr>
        <w:t xml:space="preserve"> reflect the rents generated by intangible assets such as brand names, patents and market power. Location</w:t>
      </w:r>
      <w:r w:rsidR="00F03697">
        <w:rPr>
          <w:lang w:val="en-US" w:eastAsia="en-AU"/>
        </w:rPr>
        <w:noBreakHyphen/>
      </w:r>
      <w:r w:rsidR="00210087">
        <w:rPr>
          <w:lang w:val="en-US" w:eastAsia="en-AU"/>
        </w:rPr>
        <w:t>specific fixed factors are inputs that are fixed in supply to any particular industry, such as natural resources. Each industry uses a different type of location</w:t>
      </w:r>
      <w:r w:rsidR="00F03697">
        <w:noBreakHyphen/>
      </w:r>
      <w:r w:rsidR="00210087">
        <w:rPr>
          <w:lang w:val="en-US" w:eastAsia="en-AU"/>
        </w:rPr>
        <w:t>specific fixed factor. For example, each industry within the mining sector will use a different type of natural resource</w:t>
      </w:r>
      <w:r w:rsidR="004C5CFD">
        <w:rPr>
          <w:lang w:val="en-US" w:eastAsia="en-AU"/>
        </w:rPr>
        <w:t xml:space="preserve"> — </w:t>
      </w:r>
      <w:r w:rsidR="00210087">
        <w:rPr>
          <w:lang w:val="en-US" w:eastAsia="en-AU"/>
        </w:rPr>
        <w:t>the coal industry requires coal resources and the iron</w:t>
      </w:r>
      <w:r w:rsidR="00F03697">
        <w:rPr>
          <w:lang w:val="en-US" w:eastAsia="en-AU"/>
        </w:rPr>
        <w:noBreakHyphen/>
      </w:r>
      <w:r w:rsidR="00210087">
        <w:rPr>
          <w:lang w:val="en-US" w:eastAsia="en-AU"/>
        </w:rPr>
        <w:t>ore industry requires iron</w:t>
      </w:r>
      <w:r w:rsidR="00F03697">
        <w:rPr>
          <w:lang w:val="en-US" w:eastAsia="en-AU"/>
        </w:rPr>
        <w:noBreakHyphen/>
      </w:r>
      <w:r w:rsidR="00210087">
        <w:rPr>
          <w:lang w:val="en-US" w:eastAsia="en-AU"/>
        </w:rPr>
        <w:t>ore resources. Fixed factors generate location</w:t>
      </w:r>
      <w:r w:rsidR="00F03697">
        <w:noBreakHyphen/>
      </w:r>
      <w:r w:rsidR="00210087">
        <w:rPr>
          <w:lang w:val="en-US" w:eastAsia="en-AU"/>
        </w:rPr>
        <w:t>specific economic rents, which are unable to be obtained unless they are exploited within Australia.</w:t>
      </w:r>
    </w:p>
    <w:p w14:paraId="29DD696D" w14:textId="3B3433B8" w:rsidR="00210087" w:rsidRDefault="00210087" w:rsidP="00210087">
      <w:r>
        <w:t>Generally, returns to location</w:t>
      </w:r>
      <w:r w:rsidR="00F03697">
        <w:noBreakHyphen/>
      </w:r>
      <w:r>
        <w:t xml:space="preserve"> and firm</w:t>
      </w:r>
      <w:r w:rsidR="00F03697">
        <w:noBreakHyphen/>
      </w:r>
      <w:r>
        <w:t>specific fixed factors are those that are not able to be attributed to other forms of capital. Hence these fixed factors are often referred to as excess returns or economic rents.</w:t>
      </w:r>
    </w:p>
    <w:p w14:paraId="29DD696E" w14:textId="3C2EA011" w:rsidR="00210087" w:rsidRDefault="00210087" w:rsidP="00210087">
      <w:pPr>
        <w:rPr>
          <w:highlight w:val="red"/>
        </w:rPr>
      </w:pPr>
      <w:r>
        <w:t>To estimate the</w:t>
      </w:r>
      <w:r w:rsidR="00923FE7">
        <w:t xml:space="preserve"> excess</w:t>
      </w:r>
      <w:r>
        <w:t xml:space="preserve"> returns on the measured stock of capital we first calculate the normal return</w:t>
      </w:r>
      <w:r w:rsidR="00923FE7">
        <w:t>s</w:t>
      </w:r>
      <w:r>
        <w:t xml:space="preserve"> and assume any remaining returns are due to the location</w:t>
      </w:r>
      <w:r w:rsidR="00F03697">
        <w:noBreakHyphen/>
      </w:r>
      <w:r>
        <w:t xml:space="preserve"> and firm</w:t>
      </w:r>
      <w:r w:rsidR="00F03697">
        <w:noBreakHyphen/>
      </w:r>
      <w:r>
        <w:t>specific fixed factors. In calculating the normal return we use the economy</w:t>
      </w:r>
      <w:r w:rsidR="001122EC">
        <w:t>-</w:t>
      </w:r>
      <w:r>
        <w:t>wide after</w:t>
      </w:r>
      <w:r w:rsidR="00F03697">
        <w:noBreakHyphen/>
      </w:r>
      <w:r>
        <w:t>tax required rate of return from the model. This is used to calculate the before</w:t>
      </w:r>
      <w:r w:rsidR="00F03697">
        <w:noBreakHyphen/>
      </w:r>
      <w:r>
        <w:t>tax required rate of return for each industry. The before</w:t>
      </w:r>
      <w:r w:rsidR="00F03697">
        <w:noBreakHyphen/>
      </w:r>
      <w:r>
        <w:t>tax required rate of return differs across industries because their capital structure and debt levels vary.</w:t>
      </w:r>
      <w:r w:rsidRPr="009703EA">
        <w:rPr>
          <w:highlight w:val="red"/>
        </w:rPr>
        <w:t xml:space="preserve"> </w:t>
      </w:r>
    </w:p>
    <w:p w14:paraId="29DD696F" w14:textId="77777777" w:rsidR="00210087" w:rsidRPr="009703EA" w:rsidRDefault="00210087" w:rsidP="00210087">
      <w:r>
        <w:t>Estimating the magnitude of excess returns for different industries and in the whole economy is difficult. Furthermore, the existence of rents in any particular year may be due to temporary factors. This effect is somewhat mitigated by calculating the excess returns over a 20 year period.</w:t>
      </w:r>
    </w:p>
    <w:p w14:paraId="29DD6970" w14:textId="3EAB860F" w:rsidR="00210087" w:rsidRDefault="00210087" w:rsidP="00210087">
      <w:r w:rsidRPr="00EF016C">
        <w:t xml:space="preserve">Based on </w:t>
      </w:r>
      <w:r>
        <w:t xml:space="preserve">detailed industry data reported </w:t>
      </w:r>
      <w:r w:rsidR="00695927">
        <w:t>by the ABS in</w:t>
      </w:r>
      <w:r>
        <w:t xml:space="preserve"> Ca</w:t>
      </w:r>
      <w:r w:rsidR="00EF01C7">
        <w:t>pital Stock</w:t>
      </w:r>
      <w:r w:rsidR="00695927">
        <w:t xml:space="preserve"> </w:t>
      </w:r>
      <w:r w:rsidR="00EF01C7">
        <w:t>by Industry (ABS Cat No.</w:t>
      </w:r>
      <w:r>
        <w:t> 5204.0) and Fac</w:t>
      </w:r>
      <w:r w:rsidR="00EF01C7">
        <w:t>tor Incomes</w:t>
      </w:r>
      <w:r w:rsidR="00695927">
        <w:t xml:space="preserve"> </w:t>
      </w:r>
      <w:r w:rsidR="00EF01C7">
        <w:t>by Industry (ABS C</w:t>
      </w:r>
      <w:r>
        <w:t>at.</w:t>
      </w:r>
      <w:r w:rsidR="00EF01C7">
        <w:t> No.</w:t>
      </w:r>
      <w:r>
        <w:t xml:space="preserve"> 5204.0), </w:t>
      </w:r>
      <w:r w:rsidRPr="00EF016C">
        <w:t>location</w:t>
      </w:r>
      <w:r w:rsidR="00F03697">
        <w:noBreakHyphen/>
      </w:r>
      <w:r w:rsidRPr="00EF016C">
        <w:t>specific fixed factors</w:t>
      </w:r>
      <w:r>
        <w:t xml:space="preserve"> are estimated to</w:t>
      </w:r>
      <w:r w:rsidRPr="00EF016C">
        <w:t xml:space="preserve"> account for just over 5</w:t>
      </w:r>
      <w:r>
        <w:t> </w:t>
      </w:r>
      <w:r w:rsidRPr="009703EA">
        <w:t xml:space="preserve">per </w:t>
      </w:r>
      <w:r>
        <w:t> </w:t>
      </w:r>
      <w:r w:rsidRPr="009703EA">
        <w:t xml:space="preserve">cent of GDP </w:t>
      </w:r>
      <w:r w:rsidR="00695927">
        <w:t>(</w:t>
      </w:r>
      <w:r w:rsidRPr="009703EA">
        <w:t>or around a seventh of total gross operating surplus</w:t>
      </w:r>
      <w:r w:rsidR="00695927">
        <w:t>)</w:t>
      </w:r>
      <w:r>
        <w:t xml:space="preserve"> in the </w:t>
      </w:r>
      <w:r>
        <w:lastRenderedPageBreak/>
        <w:t>baseline calibration</w:t>
      </w:r>
      <w:r w:rsidRPr="009703EA">
        <w:t xml:space="preserve">. For comparison, </w:t>
      </w:r>
      <w:r w:rsidR="003C00F3">
        <w:t xml:space="preserve">factor income derived from </w:t>
      </w:r>
      <w:r w:rsidRPr="009703EA">
        <w:t>land acco</w:t>
      </w:r>
      <w:r>
        <w:t xml:space="preserve">unts </w:t>
      </w:r>
      <w:r w:rsidR="003C00F3">
        <w:t xml:space="preserve">for </w:t>
      </w:r>
      <w:r>
        <w:t>around 3 per cent of GDP.</w:t>
      </w:r>
    </w:p>
    <w:p w14:paraId="29DD6971" w14:textId="77777777" w:rsidR="00210087" w:rsidRDefault="00210087" w:rsidP="00210087">
      <w:pPr>
        <w:pStyle w:val="Heading4"/>
      </w:pPr>
      <w:r>
        <w:t>The elasticity of consumption and leisure</w:t>
      </w:r>
    </w:p>
    <w:p w14:paraId="29DD6972" w14:textId="28ECA4AC" w:rsidR="00210087" w:rsidRDefault="00BE7176" w:rsidP="00210087">
      <w:r>
        <w:t>Conditional on the labour</w:t>
      </w:r>
      <w:r w:rsidR="00F03697">
        <w:noBreakHyphen/>
      </w:r>
      <w:r>
        <w:t>leisure ratio, t</w:t>
      </w:r>
      <w:r w:rsidR="00210087">
        <w:t xml:space="preserve">he elasticity of </w:t>
      </w:r>
      <w:r>
        <w:t xml:space="preserve">substitution between </w:t>
      </w:r>
      <w:r w:rsidR="00210087">
        <w:t>consumption and leisure is calibrated to achieve an uncompensated elasticity of labour supply with respect to the after</w:t>
      </w:r>
      <w:r w:rsidR="00F03697">
        <w:noBreakHyphen/>
      </w:r>
      <w:r w:rsidR="00210087">
        <w:t>tax wage that is broadly in</w:t>
      </w:r>
      <w:r w:rsidR="00BF04BA">
        <w:t xml:space="preserve"> </w:t>
      </w:r>
      <w:r w:rsidR="00210087">
        <w:t>line with econometric estimates</w:t>
      </w:r>
      <w:r w:rsidR="006160E8">
        <w:t xml:space="preserve"> (see </w:t>
      </w:r>
      <w:r w:rsidR="00B843C6" w:rsidRPr="007C706E">
        <w:t xml:space="preserve">Table </w:t>
      </w:r>
      <w:r w:rsidR="00B843C6">
        <w:rPr>
          <w:noProof/>
        </w:rPr>
        <w:t>1</w:t>
      </w:r>
      <w:r w:rsidR="006160E8">
        <w:t>).</w:t>
      </w:r>
    </w:p>
    <w:p w14:paraId="29DD6973" w14:textId="164C41E0" w:rsidR="00210087" w:rsidRDefault="00BE7176" w:rsidP="00210087">
      <w:r>
        <w:t>Specifically, t</w:t>
      </w:r>
      <w:r w:rsidR="00210087">
        <w:t>he uncompensated elasticity of labour supply is given by</w:t>
      </w:r>
      <w:r w:rsidR="008F0AC9">
        <w:t>:</w:t>
      </w:r>
    </w:p>
    <w:p w14:paraId="37280B74" w14:textId="09B44964" w:rsidR="008F0AC9" w:rsidRDefault="008F0AC9" w:rsidP="008F0AC9">
      <w:pPr>
        <w:pStyle w:val="MTDisplayEquation"/>
      </w:pPr>
      <w:r>
        <w:tab/>
      </w:r>
      <w:r w:rsidR="00F74C14" w:rsidRPr="008F0AC9">
        <w:rPr>
          <w:position w:val="-34"/>
        </w:rPr>
        <w:object w:dxaOrig="3739" w:dyaOrig="800" w14:anchorId="5398E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equation presents the uncompensated elasticity of labour supply as a function of the CES elasticity of substitution between consumption and leisure, the ratio of leisure to labour supply, leisure’s share of utility and labour’s share of household income." style="width:186.75pt;height:41.35pt" o:ole="">
            <v:imagedata r:id="rId26" o:title=""/>
          </v:shape>
          <o:OLEObject Type="Embed" ProgID="Equation.DSMT4" ShapeID="_x0000_i1025" DrawAspect="Content" ObjectID="_1489908540" r:id="rId27"/>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w:instrText>
      </w:r>
      <w:r w:rsidR="00866AD9">
        <w:instrText xml:space="preserve"> Arabic \* MERGEFORMAT </w:instrText>
      </w:r>
      <w:r w:rsidR="00866AD9">
        <w:fldChar w:fldCharType="separate"/>
      </w:r>
      <w:r w:rsidR="00AA2137">
        <w:rPr>
          <w:noProof/>
        </w:rPr>
        <w:instrText>1</w:instrText>
      </w:r>
      <w:r w:rsidR="00866AD9">
        <w:rPr>
          <w:noProof/>
        </w:rPr>
        <w:fldChar w:fldCharType="end"/>
      </w:r>
      <w:r>
        <w:instrText>)</w:instrText>
      </w:r>
      <w:r>
        <w:fldChar w:fldCharType="end"/>
      </w:r>
    </w:p>
    <w:p w14:paraId="29DD6975" w14:textId="6500C936" w:rsidR="00210087" w:rsidRDefault="00210087" w:rsidP="00210087">
      <w:pPr>
        <w:rPr>
          <w:rFonts w:eastAsiaTheme="minorEastAsia"/>
        </w:rPr>
      </w:pPr>
      <w:r>
        <w:t xml:space="preserve">where </w:t>
      </w:r>
      <w:r w:rsidR="008F0AC9" w:rsidRPr="008F0AC9">
        <w:rPr>
          <w:rFonts w:ascii="Symbol" w:eastAsiaTheme="minorEastAsia" w:hAnsi="Symbol"/>
        </w:rPr>
        <w:t></w:t>
      </w:r>
      <w:r w:rsidR="008F0AC9">
        <w:rPr>
          <w:rFonts w:eastAsiaTheme="minorEastAsia"/>
        </w:rPr>
        <w:t xml:space="preserve"> </w:t>
      </w:r>
      <w:r>
        <w:rPr>
          <w:rFonts w:eastAsiaTheme="minorEastAsia"/>
        </w:rPr>
        <w:t xml:space="preserve">is the elasticity of </w:t>
      </w:r>
      <w:r w:rsidR="003C00F3">
        <w:rPr>
          <w:rFonts w:eastAsiaTheme="minorEastAsia"/>
        </w:rPr>
        <w:t xml:space="preserve">substitution between </w:t>
      </w:r>
      <w:r>
        <w:rPr>
          <w:rFonts w:eastAsiaTheme="minorEastAsia"/>
        </w:rPr>
        <w:t xml:space="preserve">consumption and leisure </w:t>
      </w:r>
      <w:r w:rsidR="003C00F3">
        <w:rPr>
          <w:rFonts w:eastAsiaTheme="minorEastAsia"/>
        </w:rPr>
        <w:t xml:space="preserve">in </w:t>
      </w:r>
      <w:r>
        <w:rPr>
          <w:rFonts w:eastAsiaTheme="minorEastAsia"/>
        </w:rPr>
        <w:t xml:space="preserve">the CES utility function </w:t>
      </w:r>
      <w:r w:rsidR="003C00F3">
        <w:rPr>
          <w:rFonts w:eastAsiaTheme="minorEastAsia"/>
        </w:rPr>
        <w:t>(</w:t>
      </w:r>
      <w:r>
        <w:rPr>
          <w:rFonts w:eastAsiaTheme="minorEastAsia"/>
        </w:rPr>
        <w:t>equal to 1.2 in the baseline</w:t>
      </w:r>
      <w:r w:rsidR="003C00F3">
        <w:rPr>
          <w:rFonts w:eastAsiaTheme="minorEastAsia"/>
        </w:rPr>
        <w:t>)</w:t>
      </w:r>
      <w:r>
        <w:rPr>
          <w:rFonts w:eastAsiaTheme="minorEastAsia"/>
        </w:rPr>
        <w:t xml:space="preserve">, </w:t>
      </w:r>
      <w:r w:rsidR="008F0AC9" w:rsidRPr="008F0AC9">
        <w:rPr>
          <w:rFonts w:ascii="Symbol" w:eastAsiaTheme="minorEastAsia" w:hAnsi="Symbol"/>
        </w:rPr>
        <w:t></w:t>
      </w:r>
      <w:r w:rsidR="008F0AC9">
        <w:rPr>
          <w:rFonts w:eastAsiaTheme="minorEastAsia"/>
        </w:rPr>
        <w:t xml:space="preserve"> </w:t>
      </w:r>
      <w:r>
        <w:rPr>
          <w:rFonts w:eastAsiaTheme="minorEastAsia"/>
        </w:rPr>
        <w:t xml:space="preserve">is the share of total hours devoted to leisure </w:t>
      </w:r>
      <w:r w:rsidR="003C00F3">
        <w:rPr>
          <w:rFonts w:eastAsiaTheme="minorEastAsia"/>
        </w:rPr>
        <w:t>(</w:t>
      </w:r>
      <w:r>
        <w:rPr>
          <w:rFonts w:eastAsiaTheme="minorEastAsia"/>
        </w:rPr>
        <w:t>equal</w:t>
      </w:r>
      <w:r w:rsidR="003C00F3">
        <w:rPr>
          <w:rFonts w:eastAsiaTheme="minorEastAsia"/>
        </w:rPr>
        <w:t xml:space="preserve"> to</w:t>
      </w:r>
      <w:r>
        <w:rPr>
          <w:rFonts w:eastAsiaTheme="minorEastAsia"/>
        </w:rPr>
        <w:t xml:space="preserve"> </w:t>
      </w:r>
      <w:r w:rsidR="003C00F3">
        <w:rPr>
          <w:rFonts w:eastAsiaTheme="minorEastAsia"/>
        </w:rPr>
        <w:t>33 per cent</w:t>
      </w:r>
      <w:r>
        <w:rPr>
          <w:rFonts w:eastAsiaTheme="minorEastAsia"/>
        </w:rPr>
        <w:t xml:space="preserve"> in the baseline</w:t>
      </w:r>
      <w:r w:rsidR="003C00F3">
        <w:rPr>
          <w:rFonts w:eastAsiaTheme="minorEastAsia"/>
        </w:rPr>
        <w:t>)</w:t>
      </w:r>
      <w:r>
        <w:rPr>
          <w:rFonts w:eastAsiaTheme="minorEastAsia"/>
        </w:rPr>
        <w:t xml:space="preserve">, </w:t>
      </w:r>
      <w:r w:rsidR="008F0AC9" w:rsidRPr="008F0AC9">
        <w:rPr>
          <w:rFonts w:ascii="Symbol" w:eastAsiaTheme="minorEastAsia" w:hAnsi="Symbol"/>
        </w:rPr>
        <w:t></w:t>
      </w:r>
      <w:r w:rsidR="008F0AC9">
        <w:rPr>
          <w:rFonts w:eastAsiaTheme="minorEastAsia"/>
        </w:rPr>
        <w:t xml:space="preserve"> </w:t>
      </w:r>
      <w:r>
        <w:rPr>
          <w:rFonts w:eastAsiaTheme="minorEastAsia"/>
        </w:rPr>
        <w:t>is leisure</w:t>
      </w:r>
      <w:r w:rsidR="00F03697">
        <w:rPr>
          <w:rFonts w:eastAsiaTheme="minorEastAsia"/>
        </w:rPr>
        <w:t>’</w:t>
      </w:r>
      <w:r>
        <w:rPr>
          <w:rFonts w:eastAsiaTheme="minorEastAsia"/>
        </w:rPr>
        <w:t xml:space="preserve">s share of utility </w:t>
      </w:r>
      <w:r w:rsidR="003C00F3">
        <w:rPr>
          <w:rFonts w:eastAsiaTheme="minorEastAsia"/>
        </w:rPr>
        <w:t>(</w:t>
      </w:r>
      <w:r>
        <w:rPr>
          <w:rFonts w:eastAsiaTheme="minorEastAsia"/>
        </w:rPr>
        <w:t>equal to around 30 per cent</w:t>
      </w:r>
      <w:r w:rsidR="003C00F3">
        <w:rPr>
          <w:rFonts w:eastAsiaTheme="minorEastAsia"/>
        </w:rPr>
        <w:t>)</w:t>
      </w:r>
      <w:r>
        <w:rPr>
          <w:rFonts w:eastAsiaTheme="minorEastAsia"/>
        </w:rPr>
        <w:t xml:space="preserve">, </w:t>
      </w:r>
      <w:r w:rsidR="008F0AC9">
        <w:rPr>
          <w:rFonts w:eastAsiaTheme="minorEastAsia"/>
        </w:rPr>
        <w:t xml:space="preserve">H </w:t>
      </w:r>
      <w:r>
        <w:rPr>
          <w:rFonts w:eastAsiaTheme="minorEastAsia"/>
        </w:rPr>
        <w:t>is the after</w:t>
      </w:r>
      <w:r w:rsidR="00F03697">
        <w:rPr>
          <w:rFonts w:eastAsiaTheme="minorEastAsia"/>
        </w:rPr>
        <w:noBreakHyphen/>
      </w:r>
      <w:r>
        <w:rPr>
          <w:rFonts w:eastAsiaTheme="minorEastAsia"/>
        </w:rPr>
        <w:t xml:space="preserve">tax value of </w:t>
      </w:r>
      <w:r w:rsidR="005776EE">
        <w:rPr>
          <w:rFonts w:eastAsiaTheme="minorEastAsia"/>
        </w:rPr>
        <w:t xml:space="preserve">total household hours </w:t>
      </w:r>
      <w:r>
        <w:rPr>
          <w:rFonts w:eastAsiaTheme="minorEastAsia"/>
        </w:rPr>
        <w:t xml:space="preserve">and </w:t>
      </w:r>
      <w:r w:rsidR="008F0AC9">
        <w:rPr>
          <w:rFonts w:eastAsiaTheme="minorEastAsia"/>
        </w:rPr>
        <w:t xml:space="preserve">M </w:t>
      </w:r>
      <w:r>
        <w:rPr>
          <w:rFonts w:eastAsiaTheme="minorEastAsia"/>
        </w:rPr>
        <w:t xml:space="preserve">is other income from capital and transfers. The choice of 1.2 for the </w:t>
      </w:r>
      <w:r w:rsidR="005776EE">
        <w:rPr>
          <w:rFonts w:eastAsiaTheme="minorEastAsia"/>
        </w:rPr>
        <w:t>consumption</w:t>
      </w:r>
      <w:r w:rsidR="00F03697">
        <w:rPr>
          <w:rFonts w:eastAsiaTheme="minorEastAsia"/>
        </w:rPr>
        <w:noBreakHyphen/>
      </w:r>
      <w:r>
        <w:rPr>
          <w:rFonts w:eastAsiaTheme="minorEastAsia"/>
        </w:rPr>
        <w:t>leisure elasticity gives an uncompensated elastic</w:t>
      </w:r>
      <w:r w:rsidR="00BE7176">
        <w:rPr>
          <w:rFonts w:eastAsiaTheme="minorEastAsia"/>
        </w:rPr>
        <w:t>ity of labour supply of 0.15</w:t>
      </w:r>
      <w:r w:rsidR="00285633">
        <w:rPr>
          <w:rFonts w:eastAsiaTheme="minorEastAsia"/>
        </w:rPr>
        <w:t>,</w:t>
      </w:r>
      <w:r w:rsidR="00285633" w:rsidRPr="00285633">
        <w:t xml:space="preserve"> </w:t>
      </w:r>
      <w:r w:rsidR="00285633" w:rsidRPr="00285633">
        <w:rPr>
          <w:rFonts w:eastAsiaTheme="minorEastAsia"/>
        </w:rPr>
        <w:t xml:space="preserve">which is </w:t>
      </w:r>
      <w:r w:rsidR="00285633">
        <w:rPr>
          <w:rFonts w:eastAsiaTheme="minorEastAsia"/>
        </w:rPr>
        <w:t xml:space="preserve">slightly </w:t>
      </w:r>
      <w:r w:rsidR="00285633" w:rsidRPr="00285633">
        <w:rPr>
          <w:rFonts w:eastAsiaTheme="minorEastAsia"/>
        </w:rPr>
        <w:t xml:space="preserve">lower than </w:t>
      </w:r>
      <w:r w:rsidR="00285633">
        <w:rPr>
          <w:rFonts w:eastAsiaTheme="minorEastAsia"/>
        </w:rPr>
        <w:t xml:space="preserve">the </w:t>
      </w:r>
      <w:r w:rsidR="00285633" w:rsidRPr="00285633">
        <w:rPr>
          <w:rFonts w:eastAsiaTheme="minorEastAsia"/>
        </w:rPr>
        <w:t xml:space="preserve">0.2 </w:t>
      </w:r>
      <w:r w:rsidR="00285633">
        <w:rPr>
          <w:rFonts w:eastAsiaTheme="minorEastAsia"/>
        </w:rPr>
        <w:t>assumed in</w:t>
      </w:r>
      <w:r w:rsidR="00285633" w:rsidRPr="00285633">
        <w:rPr>
          <w:rFonts w:eastAsiaTheme="minorEastAsia"/>
        </w:rPr>
        <w:t xml:space="preserve"> </w:t>
      </w:r>
      <w:r w:rsidR="00496794">
        <w:rPr>
          <w:rFonts w:eastAsiaTheme="minorEastAsia"/>
        </w:rPr>
        <w:t>Independent Economics</w:t>
      </w:r>
      <w:r w:rsidR="00285633" w:rsidRPr="00285633">
        <w:rPr>
          <w:rFonts w:eastAsiaTheme="minorEastAsia"/>
        </w:rPr>
        <w:t xml:space="preserve"> (2014).</w:t>
      </w:r>
    </w:p>
    <w:p w14:paraId="1F25CA91" w14:textId="09E47420" w:rsidR="001B4981" w:rsidRDefault="001B4981" w:rsidP="001B4981">
      <w:r>
        <w:t>We undertake sensitivity analysis for the substitution between consumption and leisure in Appendix A.</w:t>
      </w:r>
    </w:p>
    <w:p w14:paraId="29DD6976" w14:textId="77777777" w:rsidR="0033168A" w:rsidRDefault="0033168A" w:rsidP="00970E8C">
      <w:pPr>
        <w:pStyle w:val="Caption1"/>
      </w:pPr>
      <w:bookmarkStart w:id="3" w:name="_Ref403744749"/>
      <w:r w:rsidRPr="007C706E">
        <w:t xml:space="preserve">Table </w:t>
      </w:r>
      <w:r w:rsidR="00866AD9">
        <w:fldChar w:fldCharType="begin"/>
      </w:r>
      <w:r w:rsidR="00866AD9">
        <w:instrText xml:space="preserve"> SEQ Table \* ARABIC </w:instrText>
      </w:r>
      <w:r w:rsidR="00866AD9">
        <w:fldChar w:fldCharType="separate"/>
      </w:r>
      <w:r w:rsidR="00AA2137">
        <w:rPr>
          <w:noProof/>
        </w:rPr>
        <w:t>1</w:t>
      </w:r>
      <w:r w:rsidR="00866AD9">
        <w:rPr>
          <w:noProof/>
        </w:rPr>
        <w:fldChar w:fldCharType="end"/>
      </w:r>
      <w:bookmarkEnd w:id="3"/>
      <w:r w:rsidRPr="007C706E">
        <w:t>: Published labour supply elasticities</w:t>
      </w:r>
    </w:p>
    <w:tbl>
      <w:tblPr>
        <w:tblW w:w="8938" w:type="dxa"/>
        <w:tblInd w:w="108" w:type="dxa"/>
        <w:tblLook w:val="04A0" w:firstRow="1" w:lastRow="0" w:firstColumn="1" w:lastColumn="0" w:noHBand="0" w:noVBand="1"/>
      </w:tblPr>
      <w:tblGrid>
        <w:gridCol w:w="1806"/>
        <w:gridCol w:w="967"/>
        <w:gridCol w:w="1167"/>
        <w:gridCol w:w="1327"/>
        <w:gridCol w:w="777"/>
        <w:gridCol w:w="937"/>
        <w:gridCol w:w="1957"/>
      </w:tblGrid>
      <w:tr w:rsidR="00727296" w:rsidRPr="004D2F22" w14:paraId="21B25B61" w14:textId="77777777" w:rsidTr="00727296">
        <w:trPr>
          <w:trHeight w:val="480"/>
        </w:trPr>
        <w:tc>
          <w:tcPr>
            <w:tcW w:w="1806" w:type="dxa"/>
            <w:tcBorders>
              <w:top w:val="single" w:sz="4" w:space="0" w:color="auto"/>
              <w:left w:val="nil"/>
              <w:bottom w:val="single" w:sz="4" w:space="0" w:color="auto"/>
              <w:right w:val="nil"/>
            </w:tcBorders>
            <w:shd w:val="clear" w:color="000000" w:fill="FFFFFF"/>
            <w:vAlign w:val="center"/>
            <w:hideMark/>
          </w:tcPr>
          <w:p w14:paraId="3935E58B"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Population group</w:t>
            </w:r>
          </w:p>
        </w:tc>
        <w:tc>
          <w:tcPr>
            <w:tcW w:w="967" w:type="dxa"/>
            <w:tcBorders>
              <w:top w:val="single" w:sz="4" w:space="0" w:color="auto"/>
              <w:left w:val="nil"/>
              <w:bottom w:val="single" w:sz="4" w:space="0" w:color="auto"/>
              <w:right w:val="nil"/>
            </w:tcBorders>
            <w:shd w:val="clear" w:color="000000" w:fill="FFFFFF"/>
            <w:vAlign w:val="center"/>
            <w:hideMark/>
          </w:tcPr>
          <w:p w14:paraId="63B3D19F"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Studies</w:t>
            </w:r>
          </w:p>
        </w:tc>
        <w:tc>
          <w:tcPr>
            <w:tcW w:w="1167" w:type="dxa"/>
            <w:tcBorders>
              <w:top w:val="single" w:sz="4" w:space="0" w:color="auto"/>
              <w:left w:val="nil"/>
              <w:bottom w:val="single" w:sz="4" w:space="0" w:color="auto"/>
              <w:right w:val="nil"/>
            </w:tcBorders>
            <w:shd w:val="clear" w:color="000000" w:fill="FFFFFF"/>
            <w:vAlign w:val="center"/>
            <w:hideMark/>
          </w:tcPr>
          <w:p w14:paraId="047DAF96"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Estimates</w:t>
            </w:r>
          </w:p>
        </w:tc>
        <w:tc>
          <w:tcPr>
            <w:tcW w:w="1327" w:type="dxa"/>
            <w:tcBorders>
              <w:top w:val="single" w:sz="4" w:space="0" w:color="auto"/>
              <w:left w:val="nil"/>
              <w:bottom w:val="single" w:sz="4" w:space="0" w:color="auto"/>
              <w:right w:val="nil"/>
            </w:tcBorders>
            <w:shd w:val="clear" w:color="000000" w:fill="FFFFFF"/>
            <w:vAlign w:val="center"/>
            <w:hideMark/>
          </w:tcPr>
          <w:p w14:paraId="64C5B367"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Range</w:t>
            </w:r>
          </w:p>
        </w:tc>
        <w:tc>
          <w:tcPr>
            <w:tcW w:w="777" w:type="dxa"/>
            <w:tcBorders>
              <w:top w:val="single" w:sz="4" w:space="0" w:color="auto"/>
              <w:left w:val="nil"/>
              <w:bottom w:val="single" w:sz="4" w:space="0" w:color="auto"/>
              <w:right w:val="nil"/>
            </w:tcBorders>
            <w:shd w:val="clear" w:color="000000" w:fill="FFFFFF"/>
            <w:vAlign w:val="center"/>
            <w:hideMark/>
          </w:tcPr>
          <w:p w14:paraId="0F80732D"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Mean</w:t>
            </w:r>
          </w:p>
        </w:tc>
        <w:tc>
          <w:tcPr>
            <w:tcW w:w="937" w:type="dxa"/>
            <w:tcBorders>
              <w:top w:val="single" w:sz="4" w:space="0" w:color="auto"/>
              <w:left w:val="nil"/>
              <w:bottom w:val="single" w:sz="4" w:space="0" w:color="auto"/>
              <w:right w:val="nil"/>
            </w:tcBorders>
            <w:shd w:val="clear" w:color="000000" w:fill="FFFFFF"/>
            <w:vAlign w:val="center"/>
            <w:hideMark/>
          </w:tcPr>
          <w:p w14:paraId="4DCF4962"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Median</w:t>
            </w:r>
          </w:p>
        </w:tc>
        <w:tc>
          <w:tcPr>
            <w:tcW w:w="1957" w:type="dxa"/>
            <w:tcBorders>
              <w:top w:val="single" w:sz="4" w:space="0" w:color="auto"/>
              <w:left w:val="nil"/>
              <w:bottom w:val="single" w:sz="4" w:space="0" w:color="auto"/>
              <w:right w:val="nil"/>
            </w:tcBorders>
            <w:shd w:val="clear" w:color="000000" w:fill="FFFFFF"/>
            <w:vAlign w:val="center"/>
            <w:hideMark/>
          </w:tcPr>
          <w:p w14:paraId="243F0BBF" w14:textId="77777777" w:rsidR="00727296" w:rsidRPr="004D2F22" w:rsidRDefault="00727296" w:rsidP="00DB394A">
            <w:pPr>
              <w:pStyle w:val="Heading4"/>
              <w:rPr>
                <w:color w:val="auto"/>
                <w:sz w:val="18"/>
                <w:szCs w:val="18"/>
                <w:lang w:eastAsia="en-AU"/>
              </w:rPr>
            </w:pPr>
            <w:r w:rsidRPr="004D2F22">
              <w:rPr>
                <w:color w:val="auto"/>
                <w:sz w:val="18"/>
                <w:szCs w:val="18"/>
                <w:lang w:eastAsia="en-AU"/>
              </w:rPr>
              <w:t>Standard Deviation</w:t>
            </w:r>
          </w:p>
        </w:tc>
      </w:tr>
      <w:tr w:rsidR="00727296" w:rsidRPr="005B621C" w14:paraId="632DB8BC" w14:textId="77777777" w:rsidTr="00727296">
        <w:trPr>
          <w:trHeight w:val="300"/>
        </w:trPr>
        <w:tc>
          <w:tcPr>
            <w:tcW w:w="1806" w:type="dxa"/>
            <w:tcBorders>
              <w:top w:val="nil"/>
              <w:left w:val="nil"/>
              <w:bottom w:val="nil"/>
              <w:right w:val="nil"/>
            </w:tcBorders>
            <w:shd w:val="clear" w:color="000000" w:fill="FFFFFF"/>
            <w:noWrap/>
            <w:vAlign w:val="center"/>
            <w:hideMark/>
          </w:tcPr>
          <w:p w14:paraId="52686C88" w14:textId="77777777" w:rsidR="00727296" w:rsidRPr="005B621C" w:rsidRDefault="00727296" w:rsidP="00727296">
            <w:pPr>
              <w:spacing w:after="0" w:line="240" w:lineRule="auto"/>
              <w:rPr>
                <w:rFonts w:eastAsia="Times New Roman" w:cs="Arial"/>
                <w:color w:val="000000"/>
                <w:sz w:val="18"/>
                <w:szCs w:val="18"/>
                <w:lang w:eastAsia="en-AU"/>
              </w:rPr>
            </w:pPr>
            <w:r w:rsidRPr="005B621C">
              <w:rPr>
                <w:rFonts w:eastAsia="Times New Roman" w:cs="Arial"/>
                <w:color w:val="000000"/>
                <w:sz w:val="18"/>
                <w:szCs w:val="18"/>
                <w:lang w:eastAsia="en-AU"/>
              </w:rPr>
              <w:t xml:space="preserve">Married men </w:t>
            </w:r>
          </w:p>
        </w:tc>
        <w:tc>
          <w:tcPr>
            <w:tcW w:w="967" w:type="dxa"/>
            <w:tcBorders>
              <w:top w:val="nil"/>
              <w:left w:val="nil"/>
              <w:bottom w:val="nil"/>
              <w:right w:val="nil"/>
            </w:tcBorders>
            <w:shd w:val="clear" w:color="000000" w:fill="FFFFFF"/>
            <w:noWrap/>
            <w:vAlign w:val="center"/>
            <w:hideMark/>
          </w:tcPr>
          <w:p w14:paraId="0B188483"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5</w:t>
            </w:r>
          </w:p>
        </w:tc>
        <w:tc>
          <w:tcPr>
            <w:tcW w:w="1167" w:type="dxa"/>
            <w:tcBorders>
              <w:top w:val="nil"/>
              <w:left w:val="nil"/>
              <w:bottom w:val="nil"/>
              <w:right w:val="nil"/>
            </w:tcBorders>
            <w:shd w:val="clear" w:color="000000" w:fill="FFFFFF"/>
            <w:noWrap/>
            <w:vAlign w:val="center"/>
            <w:hideMark/>
          </w:tcPr>
          <w:p w14:paraId="46A046AB"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14</w:t>
            </w:r>
          </w:p>
        </w:tc>
        <w:tc>
          <w:tcPr>
            <w:tcW w:w="1327" w:type="dxa"/>
            <w:tcBorders>
              <w:top w:val="nil"/>
              <w:left w:val="nil"/>
              <w:bottom w:val="nil"/>
              <w:right w:val="nil"/>
            </w:tcBorders>
            <w:shd w:val="clear" w:color="000000" w:fill="FFFFFF"/>
            <w:noWrap/>
            <w:vAlign w:val="center"/>
            <w:hideMark/>
          </w:tcPr>
          <w:p w14:paraId="0DC3E6FD" w14:textId="0ED2BFA2" w:rsidR="00727296" w:rsidRPr="005B621C" w:rsidRDefault="00F03697" w:rsidP="00727296">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noBreakHyphen/>
            </w:r>
            <w:r w:rsidR="00727296" w:rsidRPr="005B621C">
              <w:rPr>
                <w:rFonts w:eastAsia="Times New Roman" w:cs="Arial"/>
                <w:color w:val="000000"/>
                <w:sz w:val="18"/>
                <w:szCs w:val="18"/>
                <w:lang w:eastAsia="en-AU"/>
              </w:rPr>
              <w:t>0.19 to 0.26</w:t>
            </w:r>
          </w:p>
        </w:tc>
        <w:tc>
          <w:tcPr>
            <w:tcW w:w="777" w:type="dxa"/>
            <w:tcBorders>
              <w:top w:val="nil"/>
              <w:left w:val="nil"/>
              <w:bottom w:val="nil"/>
              <w:right w:val="nil"/>
            </w:tcBorders>
            <w:shd w:val="clear" w:color="000000" w:fill="FFFFFF"/>
            <w:noWrap/>
            <w:vAlign w:val="center"/>
            <w:hideMark/>
          </w:tcPr>
          <w:p w14:paraId="2F813BB9"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0.00</w:t>
            </w:r>
          </w:p>
        </w:tc>
        <w:tc>
          <w:tcPr>
            <w:tcW w:w="937" w:type="dxa"/>
            <w:tcBorders>
              <w:top w:val="nil"/>
              <w:left w:val="nil"/>
              <w:bottom w:val="nil"/>
              <w:right w:val="nil"/>
            </w:tcBorders>
            <w:shd w:val="clear" w:color="000000" w:fill="FFFFFF"/>
            <w:noWrap/>
            <w:vAlign w:val="center"/>
            <w:hideMark/>
          </w:tcPr>
          <w:p w14:paraId="0BDCEA72"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w:t>
            </w:r>
          </w:p>
        </w:tc>
        <w:tc>
          <w:tcPr>
            <w:tcW w:w="1957" w:type="dxa"/>
            <w:tcBorders>
              <w:top w:val="nil"/>
              <w:left w:val="nil"/>
              <w:bottom w:val="nil"/>
              <w:right w:val="nil"/>
            </w:tcBorders>
            <w:shd w:val="clear" w:color="000000" w:fill="FFFFFF"/>
            <w:noWrap/>
            <w:vAlign w:val="center"/>
            <w:hideMark/>
          </w:tcPr>
          <w:p w14:paraId="351AE0C5"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0.13</w:t>
            </w:r>
          </w:p>
        </w:tc>
      </w:tr>
      <w:tr w:rsidR="00727296" w:rsidRPr="005B621C" w14:paraId="38055673" w14:textId="77777777" w:rsidTr="00727296">
        <w:trPr>
          <w:trHeight w:val="300"/>
        </w:trPr>
        <w:tc>
          <w:tcPr>
            <w:tcW w:w="1806" w:type="dxa"/>
            <w:tcBorders>
              <w:top w:val="nil"/>
              <w:left w:val="nil"/>
              <w:bottom w:val="nil"/>
              <w:right w:val="nil"/>
            </w:tcBorders>
            <w:shd w:val="clear" w:color="000000" w:fill="FFFFFF"/>
            <w:noWrap/>
            <w:vAlign w:val="center"/>
            <w:hideMark/>
          </w:tcPr>
          <w:p w14:paraId="6C14F5F6" w14:textId="77777777" w:rsidR="00727296" w:rsidRPr="005B621C" w:rsidRDefault="00727296" w:rsidP="00727296">
            <w:pPr>
              <w:spacing w:after="0" w:line="240" w:lineRule="auto"/>
              <w:rPr>
                <w:rFonts w:eastAsia="Times New Roman" w:cs="Arial"/>
                <w:color w:val="000000"/>
                <w:sz w:val="18"/>
                <w:szCs w:val="18"/>
                <w:lang w:eastAsia="en-AU"/>
              </w:rPr>
            </w:pPr>
            <w:r w:rsidRPr="005B621C">
              <w:rPr>
                <w:rFonts w:eastAsia="Times New Roman" w:cs="Arial"/>
                <w:color w:val="000000"/>
                <w:sz w:val="18"/>
                <w:szCs w:val="18"/>
                <w:lang w:eastAsia="en-AU"/>
              </w:rPr>
              <w:t>Married women</w:t>
            </w:r>
          </w:p>
        </w:tc>
        <w:tc>
          <w:tcPr>
            <w:tcW w:w="967" w:type="dxa"/>
            <w:tcBorders>
              <w:top w:val="nil"/>
              <w:left w:val="nil"/>
              <w:bottom w:val="nil"/>
              <w:right w:val="nil"/>
            </w:tcBorders>
            <w:shd w:val="clear" w:color="000000" w:fill="FFFFFF"/>
            <w:noWrap/>
            <w:vAlign w:val="center"/>
            <w:hideMark/>
          </w:tcPr>
          <w:p w14:paraId="7B2CCD42"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11</w:t>
            </w:r>
          </w:p>
        </w:tc>
        <w:tc>
          <w:tcPr>
            <w:tcW w:w="1167" w:type="dxa"/>
            <w:tcBorders>
              <w:top w:val="nil"/>
              <w:left w:val="nil"/>
              <w:bottom w:val="nil"/>
              <w:right w:val="nil"/>
            </w:tcBorders>
            <w:shd w:val="clear" w:color="000000" w:fill="FFFFFF"/>
            <w:noWrap/>
            <w:vAlign w:val="center"/>
            <w:hideMark/>
          </w:tcPr>
          <w:p w14:paraId="00CB5697"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27</w:t>
            </w:r>
          </w:p>
        </w:tc>
        <w:tc>
          <w:tcPr>
            <w:tcW w:w="1327" w:type="dxa"/>
            <w:tcBorders>
              <w:top w:val="nil"/>
              <w:left w:val="nil"/>
              <w:bottom w:val="nil"/>
              <w:right w:val="nil"/>
            </w:tcBorders>
            <w:shd w:val="clear" w:color="000000" w:fill="FFFFFF"/>
            <w:noWrap/>
            <w:vAlign w:val="center"/>
            <w:hideMark/>
          </w:tcPr>
          <w:p w14:paraId="13C58AD7" w14:textId="2F13DD37" w:rsidR="00727296" w:rsidRPr="005B621C" w:rsidRDefault="00F03697" w:rsidP="00727296">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noBreakHyphen/>
            </w:r>
            <w:r w:rsidR="00727296" w:rsidRPr="005B621C">
              <w:rPr>
                <w:rFonts w:eastAsia="Times New Roman" w:cs="Arial"/>
                <w:color w:val="000000"/>
                <w:sz w:val="18"/>
                <w:szCs w:val="18"/>
                <w:lang w:eastAsia="en-AU"/>
              </w:rPr>
              <w:t>0.19 to 1.3</w:t>
            </w:r>
          </w:p>
        </w:tc>
        <w:tc>
          <w:tcPr>
            <w:tcW w:w="777" w:type="dxa"/>
            <w:tcBorders>
              <w:top w:val="nil"/>
              <w:left w:val="nil"/>
              <w:bottom w:val="nil"/>
              <w:right w:val="nil"/>
            </w:tcBorders>
            <w:shd w:val="clear" w:color="000000" w:fill="FFFFFF"/>
            <w:noWrap/>
            <w:vAlign w:val="center"/>
            <w:hideMark/>
          </w:tcPr>
          <w:p w14:paraId="1C6C257D"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0.30</w:t>
            </w:r>
          </w:p>
        </w:tc>
        <w:tc>
          <w:tcPr>
            <w:tcW w:w="937" w:type="dxa"/>
            <w:tcBorders>
              <w:top w:val="nil"/>
              <w:left w:val="nil"/>
              <w:bottom w:val="nil"/>
              <w:right w:val="nil"/>
            </w:tcBorders>
            <w:shd w:val="clear" w:color="000000" w:fill="FFFFFF"/>
            <w:noWrap/>
            <w:vAlign w:val="center"/>
            <w:hideMark/>
          </w:tcPr>
          <w:p w14:paraId="7BE6E10B"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0.18</w:t>
            </w:r>
          </w:p>
        </w:tc>
        <w:tc>
          <w:tcPr>
            <w:tcW w:w="1957" w:type="dxa"/>
            <w:tcBorders>
              <w:top w:val="nil"/>
              <w:left w:val="nil"/>
              <w:bottom w:val="nil"/>
              <w:right w:val="nil"/>
            </w:tcBorders>
            <w:shd w:val="clear" w:color="000000" w:fill="FFFFFF"/>
            <w:noWrap/>
            <w:vAlign w:val="center"/>
            <w:hideMark/>
          </w:tcPr>
          <w:p w14:paraId="63546721"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0.35</w:t>
            </w:r>
          </w:p>
        </w:tc>
      </w:tr>
      <w:tr w:rsidR="00727296" w:rsidRPr="005B621C" w14:paraId="746ECE4E" w14:textId="77777777" w:rsidTr="00727296">
        <w:trPr>
          <w:trHeight w:val="300"/>
        </w:trPr>
        <w:tc>
          <w:tcPr>
            <w:tcW w:w="1806" w:type="dxa"/>
            <w:tcBorders>
              <w:top w:val="nil"/>
              <w:left w:val="nil"/>
              <w:bottom w:val="nil"/>
              <w:right w:val="nil"/>
            </w:tcBorders>
            <w:shd w:val="clear" w:color="000000" w:fill="FFFFFF"/>
            <w:noWrap/>
            <w:vAlign w:val="center"/>
            <w:hideMark/>
          </w:tcPr>
          <w:p w14:paraId="3FD23E1D" w14:textId="77777777" w:rsidR="00727296" w:rsidRPr="005B621C" w:rsidRDefault="00727296" w:rsidP="00727296">
            <w:pPr>
              <w:spacing w:after="0" w:line="240" w:lineRule="auto"/>
              <w:rPr>
                <w:rFonts w:eastAsia="Times New Roman" w:cs="Arial"/>
                <w:color w:val="000000"/>
                <w:sz w:val="18"/>
                <w:szCs w:val="18"/>
                <w:lang w:eastAsia="en-AU"/>
              </w:rPr>
            </w:pPr>
            <w:r w:rsidRPr="005B621C">
              <w:rPr>
                <w:rFonts w:eastAsia="Times New Roman" w:cs="Arial"/>
                <w:color w:val="000000"/>
                <w:sz w:val="18"/>
                <w:szCs w:val="18"/>
                <w:lang w:eastAsia="en-AU"/>
              </w:rPr>
              <w:t>Single men</w:t>
            </w:r>
          </w:p>
        </w:tc>
        <w:tc>
          <w:tcPr>
            <w:tcW w:w="967" w:type="dxa"/>
            <w:tcBorders>
              <w:top w:val="nil"/>
              <w:left w:val="nil"/>
              <w:bottom w:val="nil"/>
              <w:right w:val="nil"/>
            </w:tcBorders>
            <w:shd w:val="clear" w:color="000000" w:fill="FFFFFF"/>
            <w:noWrap/>
            <w:vAlign w:val="center"/>
            <w:hideMark/>
          </w:tcPr>
          <w:p w14:paraId="7FA5AB2F"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w:t>
            </w:r>
          </w:p>
        </w:tc>
        <w:tc>
          <w:tcPr>
            <w:tcW w:w="1167" w:type="dxa"/>
            <w:tcBorders>
              <w:top w:val="nil"/>
              <w:left w:val="nil"/>
              <w:bottom w:val="nil"/>
              <w:right w:val="nil"/>
            </w:tcBorders>
            <w:shd w:val="clear" w:color="000000" w:fill="FFFFFF"/>
            <w:noWrap/>
            <w:vAlign w:val="center"/>
            <w:hideMark/>
          </w:tcPr>
          <w:p w14:paraId="11A52350"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w:t>
            </w:r>
          </w:p>
        </w:tc>
        <w:tc>
          <w:tcPr>
            <w:tcW w:w="1327" w:type="dxa"/>
            <w:tcBorders>
              <w:top w:val="nil"/>
              <w:left w:val="nil"/>
              <w:bottom w:val="nil"/>
              <w:right w:val="nil"/>
            </w:tcBorders>
            <w:shd w:val="clear" w:color="000000" w:fill="FFFFFF"/>
            <w:noWrap/>
            <w:vAlign w:val="center"/>
            <w:hideMark/>
          </w:tcPr>
          <w:p w14:paraId="0748637F"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0.28</w:t>
            </w:r>
          </w:p>
        </w:tc>
        <w:tc>
          <w:tcPr>
            <w:tcW w:w="777" w:type="dxa"/>
            <w:tcBorders>
              <w:top w:val="nil"/>
              <w:left w:val="nil"/>
              <w:bottom w:val="nil"/>
              <w:right w:val="nil"/>
            </w:tcBorders>
            <w:shd w:val="clear" w:color="000000" w:fill="FFFFFF"/>
            <w:noWrap/>
            <w:vAlign w:val="center"/>
            <w:hideMark/>
          </w:tcPr>
          <w:p w14:paraId="7F1DB1C9"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0.28</w:t>
            </w:r>
          </w:p>
        </w:tc>
        <w:tc>
          <w:tcPr>
            <w:tcW w:w="937" w:type="dxa"/>
            <w:tcBorders>
              <w:top w:val="nil"/>
              <w:left w:val="nil"/>
              <w:bottom w:val="nil"/>
              <w:right w:val="nil"/>
            </w:tcBorders>
            <w:shd w:val="clear" w:color="000000" w:fill="FFFFFF"/>
            <w:noWrap/>
            <w:vAlign w:val="center"/>
            <w:hideMark/>
          </w:tcPr>
          <w:p w14:paraId="313A6421"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0.28</w:t>
            </w:r>
          </w:p>
        </w:tc>
        <w:tc>
          <w:tcPr>
            <w:tcW w:w="1957" w:type="dxa"/>
            <w:tcBorders>
              <w:top w:val="nil"/>
              <w:left w:val="nil"/>
              <w:bottom w:val="nil"/>
              <w:right w:val="nil"/>
            </w:tcBorders>
            <w:shd w:val="clear" w:color="000000" w:fill="FFFFFF"/>
            <w:noWrap/>
            <w:vAlign w:val="center"/>
            <w:hideMark/>
          </w:tcPr>
          <w:p w14:paraId="2820266C" w14:textId="16E18B63" w:rsidR="00727296" w:rsidRPr="005B621C" w:rsidRDefault="00F03697" w:rsidP="00727296">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noBreakHyphen/>
            </w:r>
          </w:p>
        </w:tc>
      </w:tr>
      <w:tr w:rsidR="00727296" w:rsidRPr="005B621C" w14:paraId="1875A90E" w14:textId="77777777" w:rsidTr="00727296">
        <w:trPr>
          <w:trHeight w:val="300"/>
        </w:trPr>
        <w:tc>
          <w:tcPr>
            <w:tcW w:w="1806" w:type="dxa"/>
            <w:tcBorders>
              <w:top w:val="nil"/>
              <w:left w:val="nil"/>
              <w:bottom w:val="nil"/>
              <w:right w:val="nil"/>
            </w:tcBorders>
            <w:shd w:val="clear" w:color="000000" w:fill="FFFFFF"/>
            <w:noWrap/>
            <w:vAlign w:val="center"/>
            <w:hideMark/>
          </w:tcPr>
          <w:p w14:paraId="59ED74B4" w14:textId="77777777" w:rsidR="00727296" w:rsidRPr="005B621C" w:rsidRDefault="00727296" w:rsidP="00727296">
            <w:pPr>
              <w:spacing w:after="0" w:line="240" w:lineRule="auto"/>
              <w:rPr>
                <w:rFonts w:eastAsia="Times New Roman" w:cs="Arial"/>
                <w:color w:val="000000"/>
                <w:sz w:val="18"/>
                <w:szCs w:val="18"/>
                <w:lang w:eastAsia="en-AU"/>
              </w:rPr>
            </w:pPr>
            <w:r w:rsidRPr="005B621C">
              <w:rPr>
                <w:rFonts w:eastAsia="Times New Roman" w:cs="Arial"/>
                <w:color w:val="000000"/>
                <w:sz w:val="18"/>
                <w:szCs w:val="18"/>
                <w:lang w:eastAsia="en-AU"/>
              </w:rPr>
              <w:t>Single women</w:t>
            </w:r>
          </w:p>
        </w:tc>
        <w:tc>
          <w:tcPr>
            <w:tcW w:w="967" w:type="dxa"/>
            <w:tcBorders>
              <w:top w:val="nil"/>
              <w:left w:val="nil"/>
              <w:bottom w:val="nil"/>
              <w:right w:val="nil"/>
            </w:tcBorders>
            <w:shd w:val="clear" w:color="000000" w:fill="FFFFFF"/>
            <w:noWrap/>
            <w:vAlign w:val="center"/>
            <w:hideMark/>
          </w:tcPr>
          <w:p w14:paraId="05A30CAA"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w:t>
            </w:r>
          </w:p>
        </w:tc>
        <w:tc>
          <w:tcPr>
            <w:tcW w:w="1167" w:type="dxa"/>
            <w:tcBorders>
              <w:top w:val="nil"/>
              <w:left w:val="nil"/>
              <w:bottom w:val="nil"/>
              <w:right w:val="nil"/>
            </w:tcBorders>
            <w:shd w:val="clear" w:color="000000" w:fill="FFFFFF"/>
            <w:noWrap/>
            <w:vAlign w:val="center"/>
            <w:hideMark/>
          </w:tcPr>
          <w:p w14:paraId="5B297F1E"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1</w:t>
            </w:r>
          </w:p>
        </w:tc>
        <w:tc>
          <w:tcPr>
            <w:tcW w:w="1327" w:type="dxa"/>
            <w:tcBorders>
              <w:top w:val="nil"/>
              <w:left w:val="nil"/>
              <w:bottom w:val="nil"/>
              <w:right w:val="nil"/>
            </w:tcBorders>
            <w:shd w:val="clear" w:color="000000" w:fill="FFFFFF"/>
            <w:noWrap/>
            <w:vAlign w:val="center"/>
            <w:hideMark/>
          </w:tcPr>
          <w:p w14:paraId="61FE85ED"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0.34</w:t>
            </w:r>
          </w:p>
        </w:tc>
        <w:tc>
          <w:tcPr>
            <w:tcW w:w="777" w:type="dxa"/>
            <w:tcBorders>
              <w:top w:val="nil"/>
              <w:left w:val="nil"/>
              <w:bottom w:val="nil"/>
              <w:right w:val="nil"/>
            </w:tcBorders>
            <w:shd w:val="clear" w:color="000000" w:fill="FFFFFF"/>
            <w:noWrap/>
            <w:vAlign w:val="center"/>
            <w:hideMark/>
          </w:tcPr>
          <w:p w14:paraId="7C64C1BE"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0.34</w:t>
            </w:r>
          </w:p>
        </w:tc>
        <w:tc>
          <w:tcPr>
            <w:tcW w:w="937" w:type="dxa"/>
            <w:tcBorders>
              <w:top w:val="nil"/>
              <w:left w:val="nil"/>
              <w:bottom w:val="nil"/>
              <w:right w:val="nil"/>
            </w:tcBorders>
            <w:shd w:val="clear" w:color="000000" w:fill="FFFFFF"/>
            <w:noWrap/>
            <w:vAlign w:val="center"/>
            <w:hideMark/>
          </w:tcPr>
          <w:p w14:paraId="40697E66"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0.34</w:t>
            </w:r>
          </w:p>
        </w:tc>
        <w:tc>
          <w:tcPr>
            <w:tcW w:w="1957" w:type="dxa"/>
            <w:tcBorders>
              <w:top w:val="nil"/>
              <w:left w:val="nil"/>
              <w:bottom w:val="nil"/>
              <w:right w:val="nil"/>
            </w:tcBorders>
            <w:shd w:val="clear" w:color="000000" w:fill="FFFFFF"/>
            <w:noWrap/>
            <w:vAlign w:val="center"/>
            <w:hideMark/>
          </w:tcPr>
          <w:p w14:paraId="2A22E9F2" w14:textId="3B23BD79" w:rsidR="00727296" w:rsidRPr="005B621C" w:rsidRDefault="00F03697" w:rsidP="00727296">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noBreakHyphen/>
            </w:r>
          </w:p>
        </w:tc>
      </w:tr>
      <w:tr w:rsidR="00727296" w:rsidRPr="005B621C" w14:paraId="1C0E3327" w14:textId="77777777" w:rsidTr="00727296">
        <w:trPr>
          <w:trHeight w:val="300"/>
        </w:trPr>
        <w:tc>
          <w:tcPr>
            <w:tcW w:w="1806" w:type="dxa"/>
            <w:tcBorders>
              <w:top w:val="nil"/>
              <w:left w:val="nil"/>
              <w:bottom w:val="single" w:sz="4" w:space="0" w:color="auto"/>
              <w:right w:val="nil"/>
            </w:tcBorders>
            <w:shd w:val="clear" w:color="000000" w:fill="FFFFFF"/>
            <w:noWrap/>
            <w:vAlign w:val="center"/>
            <w:hideMark/>
          </w:tcPr>
          <w:p w14:paraId="74E34424" w14:textId="77777777" w:rsidR="00727296" w:rsidRPr="005B621C" w:rsidRDefault="00727296" w:rsidP="00727296">
            <w:pPr>
              <w:spacing w:after="0" w:line="240" w:lineRule="auto"/>
              <w:rPr>
                <w:rFonts w:eastAsia="Times New Roman" w:cs="Arial"/>
                <w:color w:val="000000"/>
                <w:sz w:val="18"/>
                <w:szCs w:val="18"/>
                <w:lang w:eastAsia="en-AU"/>
              </w:rPr>
            </w:pPr>
            <w:r w:rsidRPr="005B621C">
              <w:rPr>
                <w:rFonts w:eastAsia="Times New Roman" w:cs="Arial"/>
                <w:color w:val="000000"/>
                <w:sz w:val="18"/>
                <w:szCs w:val="18"/>
                <w:lang w:eastAsia="en-AU"/>
              </w:rPr>
              <w:t>Lone parents</w:t>
            </w:r>
          </w:p>
        </w:tc>
        <w:tc>
          <w:tcPr>
            <w:tcW w:w="967" w:type="dxa"/>
            <w:tcBorders>
              <w:top w:val="nil"/>
              <w:left w:val="nil"/>
              <w:bottom w:val="single" w:sz="4" w:space="0" w:color="auto"/>
              <w:right w:val="nil"/>
            </w:tcBorders>
            <w:shd w:val="clear" w:color="000000" w:fill="FFFFFF"/>
            <w:noWrap/>
            <w:vAlign w:val="center"/>
            <w:hideMark/>
          </w:tcPr>
          <w:p w14:paraId="4DBA12E9"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3</w:t>
            </w:r>
          </w:p>
        </w:tc>
        <w:tc>
          <w:tcPr>
            <w:tcW w:w="1167" w:type="dxa"/>
            <w:tcBorders>
              <w:top w:val="nil"/>
              <w:left w:val="nil"/>
              <w:bottom w:val="single" w:sz="4" w:space="0" w:color="auto"/>
              <w:right w:val="nil"/>
            </w:tcBorders>
            <w:shd w:val="clear" w:color="000000" w:fill="FFFFFF"/>
            <w:noWrap/>
            <w:vAlign w:val="center"/>
            <w:hideMark/>
          </w:tcPr>
          <w:p w14:paraId="76745BD1"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6</w:t>
            </w:r>
          </w:p>
        </w:tc>
        <w:tc>
          <w:tcPr>
            <w:tcW w:w="1327" w:type="dxa"/>
            <w:tcBorders>
              <w:top w:val="nil"/>
              <w:left w:val="nil"/>
              <w:bottom w:val="single" w:sz="4" w:space="0" w:color="auto"/>
              <w:right w:val="nil"/>
            </w:tcBorders>
            <w:shd w:val="clear" w:color="000000" w:fill="FFFFFF"/>
            <w:noWrap/>
            <w:vAlign w:val="center"/>
            <w:hideMark/>
          </w:tcPr>
          <w:p w14:paraId="68F365B2" w14:textId="6138EF72" w:rsidR="00727296" w:rsidRPr="005B621C" w:rsidRDefault="00F03697" w:rsidP="00727296">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noBreakHyphen/>
            </w:r>
            <w:r w:rsidR="00727296" w:rsidRPr="005B621C">
              <w:rPr>
                <w:rFonts w:eastAsia="Times New Roman" w:cs="Arial"/>
                <w:color w:val="000000"/>
                <w:sz w:val="18"/>
                <w:szCs w:val="18"/>
                <w:lang w:eastAsia="en-AU"/>
              </w:rPr>
              <w:t>0.15 to 1.48</w:t>
            </w:r>
          </w:p>
        </w:tc>
        <w:tc>
          <w:tcPr>
            <w:tcW w:w="777" w:type="dxa"/>
            <w:tcBorders>
              <w:top w:val="nil"/>
              <w:left w:val="nil"/>
              <w:bottom w:val="single" w:sz="4" w:space="0" w:color="auto"/>
              <w:right w:val="nil"/>
            </w:tcBorders>
            <w:shd w:val="clear" w:color="000000" w:fill="FFFFFF"/>
            <w:noWrap/>
            <w:vAlign w:val="center"/>
            <w:hideMark/>
          </w:tcPr>
          <w:p w14:paraId="5C9158C5"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0.52</w:t>
            </w:r>
          </w:p>
        </w:tc>
        <w:tc>
          <w:tcPr>
            <w:tcW w:w="937" w:type="dxa"/>
            <w:tcBorders>
              <w:top w:val="nil"/>
              <w:left w:val="nil"/>
              <w:bottom w:val="single" w:sz="4" w:space="0" w:color="auto"/>
              <w:right w:val="nil"/>
            </w:tcBorders>
            <w:shd w:val="clear" w:color="000000" w:fill="FFFFFF"/>
            <w:noWrap/>
            <w:vAlign w:val="center"/>
            <w:hideMark/>
          </w:tcPr>
          <w:p w14:paraId="4F07681D"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0.2</w:t>
            </w:r>
          </w:p>
        </w:tc>
        <w:tc>
          <w:tcPr>
            <w:tcW w:w="1957" w:type="dxa"/>
            <w:tcBorders>
              <w:top w:val="nil"/>
              <w:left w:val="nil"/>
              <w:bottom w:val="single" w:sz="4" w:space="0" w:color="auto"/>
              <w:right w:val="nil"/>
            </w:tcBorders>
            <w:shd w:val="clear" w:color="000000" w:fill="FFFFFF"/>
            <w:noWrap/>
            <w:vAlign w:val="center"/>
            <w:hideMark/>
          </w:tcPr>
          <w:p w14:paraId="6A32059C" w14:textId="77777777" w:rsidR="00727296" w:rsidRPr="005B621C" w:rsidRDefault="00727296" w:rsidP="00727296">
            <w:pPr>
              <w:spacing w:after="0" w:line="240" w:lineRule="auto"/>
              <w:jc w:val="center"/>
              <w:rPr>
                <w:rFonts w:eastAsia="Times New Roman" w:cs="Arial"/>
                <w:color w:val="000000"/>
                <w:sz w:val="18"/>
                <w:szCs w:val="18"/>
                <w:lang w:eastAsia="en-AU"/>
              </w:rPr>
            </w:pPr>
            <w:r w:rsidRPr="005B621C">
              <w:rPr>
                <w:rFonts w:eastAsia="Times New Roman" w:cs="Arial"/>
                <w:color w:val="000000"/>
                <w:sz w:val="18"/>
                <w:szCs w:val="18"/>
                <w:lang w:eastAsia="en-AU"/>
              </w:rPr>
              <w:t>0.75</w:t>
            </w:r>
          </w:p>
        </w:tc>
      </w:tr>
    </w:tbl>
    <w:p w14:paraId="29DD6978" w14:textId="77777777" w:rsidR="0033168A" w:rsidRPr="00BF04BA" w:rsidRDefault="0033168A" w:rsidP="00BF04BA">
      <w:pPr>
        <w:pStyle w:val="Source"/>
      </w:pPr>
      <w:r w:rsidRPr="00BF04BA">
        <w:t xml:space="preserve">Source: Dandie and Mercante (2007)  </w:t>
      </w:r>
    </w:p>
    <w:p w14:paraId="7CBBC837" w14:textId="77777777" w:rsidR="00F93244" w:rsidRPr="00F93244" w:rsidRDefault="00F93244" w:rsidP="00F93244">
      <w:pPr>
        <w:pStyle w:val="SingleParagraph"/>
      </w:pPr>
    </w:p>
    <w:p w14:paraId="601CF192" w14:textId="77777777" w:rsidR="001A5A84" w:rsidRDefault="001A5A84" w:rsidP="001A5A84">
      <w:pPr>
        <w:pStyle w:val="Heading4"/>
      </w:pPr>
      <w:r>
        <w:rPr>
          <w:lang w:val="en-US" w:eastAsia="en-AU"/>
        </w:rPr>
        <w:t>Debt equity ratio</w:t>
      </w:r>
    </w:p>
    <w:p w14:paraId="516C4CE6" w14:textId="00FCF526" w:rsidR="001A5A84" w:rsidRDefault="001A5A84" w:rsidP="001A5A84">
      <w:r w:rsidRPr="00BE7176">
        <w:t xml:space="preserve">The model incorporates </w:t>
      </w:r>
      <w:r w:rsidR="005E6C3D">
        <w:t xml:space="preserve">a </w:t>
      </w:r>
      <w:r w:rsidRPr="00BE7176">
        <w:t xml:space="preserve">different tax treatment </w:t>
      </w:r>
      <w:r w:rsidR="005E6C3D">
        <w:t>for</w:t>
      </w:r>
      <w:r w:rsidRPr="00BE7176">
        <w:t xml:space="preserve"> debt and equity financed investment. In particular, the current tax system allows for deductions on the interest paid on debt financed investment, with no similar allowance for equity financed investment.</w:t>
      </w:r>
    </w:p>
    <w:p w14:paraId="57745CAA" w14:textId="3094F756" w:rsidR="001A5A84" w:rsidRDefault="001A5A84" w:rsidP="00AE1A4B">
      <w:r>
        <w:t xml:space="preserve">While in practice firms receive deductions for interest paid on all debt, or on their gross debt position, some of these are offset by </w:t>
      </w:r>
      <w:r w:rsidR="007E4F01">
        <w:t xml:space="preserve">the </w:t>
      </w:r>
      <w:r>
        <w:t>additional tax liability faced as a result of holding debt of other entities. The deductions on debt repayments reduce tax liability while interest received on debt held increases it. As a result the net debt position of a firm or industry is used as the base from which the effect of deductions can be calculated. The net debt position for each b</w:t>
      </w:r>
      <w:r w:rsidR="00F7681A">
        <w:t>r</w:t>
      </w:r>
      <w:r>
        <w:t xml:space="preserve">oad industry is calculated from unpublished ATO </w:t>
      </w:r>
      <w:r w:rsidR="00A466AE">
        <w:t>administrative data</w:t>
      </w:r>
      <w:r>
        <w:t>.</w:t>
      </w:r>
    </w:p>
    <w:p w14:paraId="29DD697B" w14:textId="6C22D04C" w:rsidR="001F0010" w:rsidRPr="00845042" w:rsidRDefault="001F0010" w:rsidP="00210087">
      <w:pPr>
        <w:pStyle w:val="Heading3"/>
      </w:pPr>
      <w:r w:rsidRPr="00845042">
        <w:lastRenderedPageBreak/>
        <w:t xml:space="preserve">Measuring the </w:t>
      </w:r>
      <w:r w:rsidR="00D850E5">
        <w:t xml:space="preserve">marginal </w:t>
      </w:r>
      <w:r w:rsidRPr="00845042">
        <w:t>excess burden of taxation</w:t>
      </w:r>
    </w:p>
    <w:p w14:paraId="29DD697C" w14:textId="66E753A6" w:rsidR="0070127F" w:rsidRDefault="005A47BB" w:rsidP="00784B53">
      <w:r>
        <w:t>T</w:t>
      </w:r>
      <w:r w:rsidR="00D033FB">
        <w:t xml:space="preserve">he representative household </w:t>
      </w:r>
      <w:r w:rsidR="00CC29CE">
        <w:t xml:space="preserve">captured in the model </w:t>
      </w:r>
      <w:r>
        <w:t xml:space="preserve">maximises its utility by consuming a </w:t>
      </w:r>
      <w:r w:rsidR="00956226">
        <w:t>variety of goods and services</w:t>
      </w:r>
      <w:r w:rsidR="00D033FB">
        <w:t xml:space="preserve"> </w:t>
      </w:r>
      <w:r>
        <w:t xml:space="preserve">(hereafter </w:t>
      </w:r>
      <w:r w:rsidR="00CC346D">
        <w:t>their</w:t>
      </w:r>
      <w:r>
        <w:t xml:space="preserve"> consumption bundle) </w:t>
      </w:r>
      <w:r w:rsidR="00D033FB">
        <w:t xml:space="preserve">and leisure </w:t>
      </w:r>
      <w:r>
        <w:t xml:space="preserve">time subject to a budget constraint. </w:t>
      </w:r>
      <w:r w:rsidR="00B843C6" w:rsidRPr="00845042">
        <w:t xml:space="preserve">Figure </w:t>
      </w:r>
      <w:r w:rsidR="00B843C6">
        <w:rPr>
          <w:noProof/>
        </w:rPr>
        <w:t>1</w:t>
      </w:r>
      <w:r w:rsidR="00CC29CE">
        <w:t xml:space="preserve"> demonstrates the typical </w:t>
      </w:r>
      <w:r w:rsidR="00987AF5">
        <w:t xml:space="preserve">utility maximising </w:t>
      </w:r>
      <w:r>
        <w:t xml:space="preserve">solution </w:t>
      </w:r>
      <w:r w:rsidR="00CC29CE">
        <w:t xml:space="preserve">for the representative household. The </w:t>
      </w:r>
      <w:r w:rsidR="00987AF5">
        <w:t xml:space="preserve">household </w:t>
      </w:r>
      <w:r w:rsidR="00CC29CE">
        <w:t>effective</w:t>
      </w:r>
      <w:r w:rsidR="008A75F4">
        <w:t>ly</w:t>
      </w:r>
      <w:r w:rsidR="00CC29CE">
        <w:t xml:space="preserve"> </w:t>
      </w:r>
      <w:r w:rsidR="00987AF5">
        <w:t>fac</w:t>
      </w:r>
      <w:r w:rsidR="00CC29CE">
        <w:t>es</w:t>
      </w:r>
      <w:r w:rsidR="00987AF5">
        <w:t xml:space="preserve"> the budget</w:t>
      </w:r>
      <w:r w:rsidR="008B3D13">
        <w:t xml:space="preserve"> constraint represented by: the vertical </w:t>
      </w:r>
      <w:r w:rsidR="000203F0">
        <w:t>segment</w:t>
      </w:r>
      <w:r w:rsidR="008B3D13">
        <w:t xml:space="preserve"> X</w:t>
      </w:r>
      <w:r w:rsidR="000203F0">
        <w:t>Y</w:t>
      </w:r>
      <w:r w:rsidR="008B3D13">
        <w:t xml:space="preserve"> equal to the sum of the household</w:t>
      </w:r>
      <w:r w:rsidR="00F03697">
        <w:t>’</w:t>
      </w:r>
      <w:r w:rsidR="008B3D13">
        <w:t>s net transfer receipts and after</w:t>
      </w:r>
      <w:r w:rsidR="00F03697">
        <w:noBreakHyphen/>
      </w:r>
      <w:r w:rsidR="008B3D13">
        <w:t>tax capital income less savings, with the total expressed in terms of after</w:t>
      </w:r>
      <w:r w:rsidR="00F03697">
        <w:noBreakHyphen/>
      </w:r>
      <w:r w:rsidR="008B3D13">
        <w:t>tax consumption prices;</w:t>
      </w:r>
      <w:r w:rsidR="000203F0">
        <w:t xml:space="preserve"> and</w:t>
      </w:r>
      <w:r w:rsidR="008B3D13">
        <w:t xml:space="preserve"> t</w:t>
      </w:r>
      <w:r w:rsidR="0070127F">
        <w:t xml:space="preserve">he sloped </w:t>
      </w:r>
      <w:r w:rsidR="000203F0">
        <w:t>segment YZ</w:t>
      </w:r>
      <w:r w:rsidR="002042DD">
        <w:t>,</w:t>
      </w:r>
      <w:r w:rsidR="000203F0">
        <w:t xml:space="preserve"> which </w:t>
      </w:r>
      <w:r w:rsidR="0070127F">
        <w:t xml:space="preserve">reflects </w:t>
      </w:r>
      <w:r w:rsidR="000203F0">
        <w:t>after</w:t>
      </w:r>
      <w:r w:rsidR="00F03697">
        <w:noBreakHyphen/>
      </w:r>
      <w:r w:rsidR="000203F0">
        <w:t xml:space="preserve">tax </w:t>
      </w:r>
      <w:r w:rsidR="0070127F">
        <w:t>labour income, with the slope equal to the after</w:t>
      </w:r>
      <w:r w:rsidR="00F03697">
        <w:noBreakHyphen/>
      </w:r>
      <w:r w:rsidR="0070127F">
        <w:t>tax real wage:</w:t>
      </w:r>
    </w:p>
    <w:p w14:paraId="449C5DB1" w14:textId="18F68D4F" w:rsidR="008F0AC9" w:rsidRDefault="008F0AC9" w:rsidP="008F0AC9">
      <w:pPr>
        <w:pStyle w:val="MTDisplayEquation"/>
      </w:pPr>
      <w:r>
        <w:tab/>
      </w:r>
      <w:r w:rsidR="00F74C14" w:rsidRPr="008F0AC9">
        <w:rPr>
          <w:position w:val="-30"/>
        </w:rPr>
        <w:object w:dxaOrig="1080" w:dyaOrig="720" w14:anchorId="71B8873D">
          <v:shape id="_x0000_i1026" type="#_x0000_t75" alt="This equation presents the after tax real wage as the ratio of the after tax wage to the after tax price of aggregate consumption goods and services." style="width:54.2pt;height:37.05pt" o:ole="">
            <v:imagedata r:id="rId28" o:title=""/>
          </v:shape>
          <o:OLEObject Type="Embed" ProgID="Equation.DSMT4" ShapeID="_x0000_i1026" DrawAspect="Content" ObjectID="_1489908541" r:id="rId29"/>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2</w:instrText>
      </w:r>
      <w:r w:rsidR="00866AD9">
        <w:rPr>
          <w:noProof/>
        </w:rPr>
        <w:fldChar w:fldCharType="end"/>
      </w:r>
      <w:r>
        <w:instrText>)</w:instrText>
      </w:r>
      <w:r>
        <w:fldChar w:fldCharType="end"/>
      </w:r>
    </w:p>
    <w:p w14:paraId="29DD697E" w14:textId="77777777" w:rsidR="0070127F" w:rsidRDefault="0070127F" w:rsidP="00784B53">
      <w:r>
        <w:t>where: w is the wage; p</w:t>
      </w:r>
      <w:r w:rsidRPr="00450126">
        <w:rPr>
          <w:vertAlign w:val="subscript"/>
        </w:rPr>
        <w:t>c</w:t>
      </w:r>
      <w:r>
        <w:t xml:space="preserve"> is the price of consumption goods and services; </w:t>
      </w:r>
      <w:r w:rsidRPr="00450126">
        <w:rPr>
          <w:rFonts w:ascii="Symbol" w:hAnsi="Symbol"/>
        </w:rPr>
        <w:t></w:t>
      </w:r>
      <w:r w:rsidRPr="00450126">
        <w:rPr>
          <w:vertAlign w:val="subscript"/>
        </w:rPr>
        <w:t>N</w:t>
      </w:r>
      <w:r>
        <w:t xml:space="preserve"> is the flat labour income tax rate payable by the household; and </w:t>
      </w:r>
      <w:r w:rsidRPr="00450126">
        <w:rPr>
          <w:rFonts w:ascii="Symbol" w:hAnsi="Symbol"/>
        </w:rPr>
        <w:t></w:t>
      </w:r>
      <w:r w:rsidRPr="00450126">
        <w:rPr>
          <w:vertAlign w:val="subscript"/>
        </w:rPr>
        <w:t>c</w:t>
      </w:r>
      <w:r>
        <w:t xml:space="preserve"> is the consumption tax rate payable by the household.</w:t>
      </w:r>
    </w:p>
    <w:p w14:paraId="29DD697F" w14:textId="6438EAAC" w:rsidR="009C2665" w:rsidRPr="003B5577" w:rsidRDefault="009C2665" w:rsidP="00E82F3E">
      <w:pPr>
        <w:pStyle w:val="Caption1"/>
      </w:pPr>
      <w:bookmarkStart w:id="4" w:name="_Ref403748107"/>
      <w:r w:rsidRPr="00845042">
        <w:t xml:space="preserve">Figure </w:t>
      </w:r>
      <w:r w:rsidR="00866AD9">
        <w:fldChar w:fldCharType="begin"/>
      </w:r>
      <w:r w:rsidR="00866AD9">
        <w:instrText xml:space="preserve"> SEQ Figure \* ARABIC </w:instrText>
      </w:r>
      <w:r w:rsidR="00866AD9">
        <w:fldChar w:fldCharType="separate"/>
      </w:r>
      <w:r w:rsidR="00AA2137">
        <w:rPr>
          <w:noProof/>
        </w:rPr>
        <w:t>1</w:t>
      </w:r>
      <w:r w:rsidR="00866AD9">
        <w:rPr>
          <w:noProof/>
        </w:rPr>
        <w:fldChar w:fldCharType="end"/>
      </w:r>
      <w:bookmarkEnd w:id="4"/>
      <w:r w:rsidRPr="00845042">
        <w:t xml:space="preserve">: </w:t>
      </w:r>
      <w:r w:rsidR="00CC29CE">
        <w:t xml:space="preserve">Measuring </w:t>
      </w:r>
      <w:r w:rsidR="009566C5">
        <w:t xml:space="preserve">the </w:t>
      </w:r>
      <w:r w:rsidR="00B87A51">
        <w:t xml:space="preserve">marginal </w:t>
      </w:r>
      <w:r w:rsidR="00CC29CE">
        <w:t>excess burden</w:t>
      </w:r>
      <w:r w:rsidR="009566C5">
        <w:t xml:space="preserve"> of taxation</w:t>
      </w:r>
    </w:p>
    <w:p w14:paraId="29DD6980" w14:textId="159EAA34" w:rsidR="00836B32" w:rsidRDefault="00DC4081" w:rsidP="00926C39">
      <w:pPr>
        <w:pStyle w:val="Caption1"/>
      </w:pPr>
      <w:r w:rsidRPr="00DC4081">
        <w:rPr>
          <w:noProof/>
        </w:rPr>
        <w:drawing>
          <wp:inline distT="0" distB="0" distL="0" distR="0" wp14:anchorId="626B7214" wp14:editId="6936BDA7">
            <wp:extent cx="5245806" cy="3906982"/>
            <wp:effectExtent l="0" t="0" r="0" b="0"/>
            <wp:docPr id="4" name="Picture 4" descr="This figure describes the household’s consumption leisure choice. The figure represents a graphical solution to a pre  and post tax change to the household’s optimisation problem." title="Measuring the marginal excess burden of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685" cy="3912105"/>
                    </a:xfrm>
                    <a:prstGeom prst="rect">
                      <a:avLst/>
                    </a:prstGeom>
                    <a:noFill/>
                    <a:ln>
                      <a:noFill/>
                    </a:ln>
                  </pic:spPr>
                </pic:pic>
              </a:graphicData>
            </a:graphic>
          </wp:inline>
        </w:drawing>
      </w:r>
    </w:p>
    <w:p w14:paraId="2DD5B24C" w14:textId="77777777" w:rsidR="00926C39" w:rsidRDefault="00926C39" w:rsidP="00926C39">
      <w:pPr>
        <w:pStyle w:val="SingleParagraph"/>
        <w:rPr>
          <w:lang w:eastAsia="en-AU"/>
        </w:rPr>
      </w:pPr>
    </w:p>
    <w:p w14:paraId="29DD6981" w14:textId="76F6310B" w:rsidR="00B53234" w:rsidRDefault="0070127F" w:rsidP="0070127F">
      <w:r>
        <w:t>The optimal consumption</w:t>
      </w:r>
      <w:r w:rsidR="00F03697">
        <w:noBreakHyphen/>
      </w:r>
      <w:r>
        <w:t>leisure bundle is given by the tangency of the highest feasible indifference curve U</w:t>
      </w:r>
      <w:r w:rsidRPr="0070127F">
        <w:rPr>
          <w:vertAlign w:val="subscript"/>
        </w:rPr>
        <w:t>0</w:t>
      </w:r>
      <w:r>
        <w:t xml:space="preserve"> and the household</w:t>
      </w:r>
      <w:r w:rsidR="00F03697">
        <w:t>’</w:t>
      </w:r>
      <w:r>
        <w:t>s budget constraint, with the utility maximizing outcome given by A. At this point the household</w:t>
      </w:r>
      <w:r w:rsidR="00F03697">
        <w:t>’</w:t>
      </w:r>
      <w:r>
        <w:t>s consumption is equal to C</w:t>
      </w:r>
      <w:r w:rsidRPr="0070127F">
        <w:rPr>
          <w:vertAlign w:val="subscript"/>
        </w:rPr>
        <w:t>0</w:t>
      </w:r>
      <w:r>
        <w:t xml:space="preserve"> and leisure is equal to L</w:t>
      </w:r>
      <w:r w:rsidRPr="0070127F">
        <w:rPr>
          <w:vertAlign w:val="subscript"/>
        </w:rPr>
        <w:t>0</w:t>
      </w:r>
      <w:r>
        <w:t xml:space="preserve">. </w:t>
      </w:r>
    </w:p>
    <w:p w14:paraId="29DD6982" w14:textId="23C3B7AD" w:rsidR="0070127F" w:rsidRDefault="0070127F" w:rsidP="0070127F">
      <w:r>
        <w:t>The value of the household</w:t>
      </w:r>
      <w:r w:rsidR="00F03697">
        <w:t>’</w:t>
      </w:r>
      <w:r>
        <w:t>s consumption</w:t>
      </w:r>
      <w:r w:rsidR="00F03697">
        <w:noBreakHyphen/>
      </w:r>
      <w:r>
        <w:t>leisure bundle in terms of consumption units can also be measured via the household</w:t>
      </w:r>
      <w:r w:rsidR="00F03697">
        <w:t>’</w:t>
      </w:r>
      <w:r>
        <w:t>s expenditure function</w:t>
      </w:r>
      <w:r w:rsidR="00B53234">
        <w:t>. The expenditure function, denoted by E(P</w:t>
      </w:r>
      <w:r w:rsidR="00B53234" w:rsidRPr="0070127F">
        <w:rPr>
          <w:vertAlign w:val="subscript"/>
        </w:rPr>
        <w:t>0</w:t>
      </w:r>
      <w:r w:rsidR="00B53234">
        <w:t>,U</w:t>
      </w:r>
      <w:r w:rsidR="00B53234" w:rsidRPr="0070127F">
        <w:rPr>
          <w:vertAlign w:val="subscript"/>
        </w:rPr>
        <w:t>0</w:t>
      </w:r>
      <w:r w:rsidR="00B53234">
        <w:t>), gives the minimum value of the optimal consumption</w:t>
      </w:r>
      <w:r w:rsidR="00F03697">
        <w:noBreakHyphen/>
      </w:r>
      <w:r w:rsidR="00B53234">
        <w:t>leisure bundle (</w:t>
      </w:r>
      <w:r w:rsidR="00621AD1">
        <w:t>that is</w:t>
      </w:r>
      <w:r w:rsidR="00B53234">
        <w:t>, A) associated with price</w:t>
      </w:r>
      <w:r w:rsidR="00C41D31">
        <w:t xml:space="preserve"> </w:t>
      </w:r>
      <w:r w:rsidR="00C41D31">
        <w:lastRenderedPageBreak/>
        <w:t>vector</w:t>
      </w:r>
      <w:r w:rsidR="00B53234">
        <w:t xml:space="preserve"> P</w:t>
      </w:r>
      <w:r w:rsidR="00B53234">
        <w:rPr>
          <w:vertAlign w:val="subscript"/>
        </w:rPr>
        <w:t>0</w:t>
      </w:r>
      <w:r w:rsidR="00B53234">
        <w:t xml:space="preserve"> and utility level U</w:t>
      </w:r>
      <w:r w:rsidR="00B53234" w:rsidRPr="00B53234">
        <w:rPr>
          <w:vertAlign w:val="subscript"/>
        </w:rPr>
        <w:t>0</w:t>
      </w:r>
      <w:r w:rsidR="00B53234">
        <w:t>.</w:t>
      </w:r>
      <w:r w:rsidR="005F07FB">
        <w:rPr>
          <w:rStyle w:val="FootnoteReference"/>
        </w:rPr>
        <w:footnoteReference w:id="18"/>
      </w:r>
      <w:r w:rsidR="00B53234">
        <w:t xml:space="preserve"> The value is expressed in terms of the model</w:t>
      </w:r>
      <w:r w:rsidR="00F03697">
        <w:t>’</w:t>
      </w:r>
      <w:r w:rsidR="00B53234">
        <w:t>s numeraire which is the after</w:t>
      </w:r>
      <w:r w:rsidR="00F03697">
        <w:noBreakHyphen/>
      </w:r>
      <w:r w:rsidR="00B53234">
        <w:t>tax consumption price.</w:t>
      </w:r>
    </w:p>
    <w:p w14:paraId="5C6CF6C4" w14:textId="5355E668" w:rsidR="008532CB" w:rsidRPr="004B64F6" w:rsidRDefault="008532CB" w:rsidP="00C41D31">
      <w:r w:rsidRPr="004B64F6">
        <w:t>Following the broader tax literature we estimate the marginal excess burden of a tax by raising the rate of an existing tax</w:t>
      </w:r>
      <w:r w:rsidR="002A0742" w:rsidRPr="004B64F6">
        <w:t>, which is part of a broader tax system,</w:t>
      </w:r>
      <w:r w:rsidRPr="004B64F6">
        <w:t xml:space="preserve"> by an amount sufficient to generate one dollar of additional net revenue (</w:t>
      </w:r>
      <w:r w:rsidR="00621AD1">
        <w:t>that is</w:t>
      </w:r>
      <w:r w:rsidRPr="004B64F6">
        <w:t>, enough to increase government tax revenue across all taxes by one dollar).</w:t>
      </w:r>
      <w:r w:rsidRPr="004B64F6">
        <w:rPr>
          <w:rStyle w:val="FootnoteReference"/>
        </w:rPr>
        <w:footnoteReference w:id="19"/>
      </w:r>
      <w:r w:rsidRPr="004B64F6">
        <w:t xml:space="preserve"> The additional net tax revenue is redistributed to the household via a lump</w:t>
      </w:r>
      <w:r w:rsidR="00F03697">
        <w:noBreakHyphen/>
      </w:r>
      <w:r w:rsidRPr="004B64F6">
        <w:t>sum transfer.</w:t>
      </w:r>
    </w:p>
    <w:p w14:paraId="29DD6983" w14:textId="5FA896FE" w:rsidR="00C41D31" w:rsidRPr="00333F60" w:rsidRDefault="005637FD" w:rsidP="00C41D31">
      <w:r w:rsidRPr="004B64F6">
        <w:t xml:space="preserve">We can use </w:t>
      </w:r>
      <w:r w:rsidR="00B843C6" w:rsidRPr="004B64F6">
        <w:t xml:space="preserve">Figure </w:t>
      </w:r>
      <w:r w:rsidR="00B843C6" w:rsidRPr="004B64F6">
        <w:rPr>
          <w:noProof/>
        </w:rPr>
        <w:t>1</w:t>
      </w:r>
      <w:r w:rsidRPr="004B64F6">
        <w:t xml:space="preserve"> to analyse the effects of a </w:t>
      </w:r>
      <w:r w:rsidR="004D2F22" w:rsidRPr="004B64F6">
        <w:t xml:space="preserve">marginal </w:t>
      </w:r>
      <w:r w:rsidRPr="004B64F6">
        <w:t>tax change</w:t>
      </w:r>
      <w:r w:rsidR="008532CB" w:rsidRPr="004B64F6">
        <w:t xml:space="preserve"> on household welfare</w:t>
      </w:r>
      <w:r w:rsidRPr="004B64F6">
        <w:t xml:space="preserve">. </w:t>
      </w:r>
      <w:r w:rsidR="004D2F22" w:rsidRPr="004B64F6">
        <w:t xml:space="preserve">With the exception of the land tax, the typical marginal tax change </w:t>
      </w:r>
      <w:r w:rsidR="00CD168B" w:rsidRPr="004B64F6">
        <w:t xml:space="preserve">implies a </w:t>
      </w:r>
      <w:r w:rsidR="000203F0" w:rsidRPr="004B64F6">
        <w:t>lump</w:t>
      </w:r>
      <w:r w:rsidR="00F03697">
        <w:noBreakHyphen/>
      </w:r>
      <w:r w:rsidR="000203F0" w:rsidRPr="004B64F6">
        <w:t xml:space="preserve">sum </w:t>
      </w:r>
      <w:r w:rsidR="00CD168B" w:rsidRPr="004B64F6">
        <w:t xml:space="preserve">transfer </w:t>
      </w:r>
      <w:r w:rsidR="000203F0" w:rsidRPr="004B64F6">
        <w:t xml:space="preserve">of </w:t>
      </w:r>
      <w:r w:rsidR="002042DD" w:rsidRPr="004B64F6">
        <w:t xml:space="preserve">tax </w:t>
      </w:r>
      <w:r w:rsidR="000203F0" w:rsidRPr="004B64F6">
        <w:t>revenue</w:t>
      </w:r>
      <w:r w:rsidR="00CD168B" w:rsidRPr="004B64F6">
        <w:t xml:space="preserve"> that </w:t>
      </w:r>
      <w:r w:rsidR="000203F0" w:rsidRPr="004B64F6">
        <w:t>exceeds the fall in the after</w:t>
      </w:r>
      <w:r w:rsidR="00F03697">
        <w:noBreakHyphen/>
      </w:r>
      <w:r w:rsidR="000203F0" w:rsidRPr="004B64F6">
        <w:t>tax capital income less savings</w:t>
      </w:r>
      <w:r w:rsidR="00CD168B" w:rsidRPr="004B64F6">
        <w:t>, which</w:t>
      </w:r>
      <w:r w:rsidR="000203F0" w:rsidRPr="004B64F6">
        <w:t xml:space="preserve"> </w:t>
      </w:r>
      <w:r w:rsidR="000362B5" w:rsidRPr="004B64F6">
        <w:t xml:space="preserve">increases </w:t>
      </w:r>
      <w:r w:rsidR="00C41D31" w:rsidRPr="004B64F6">
        <w:t>the vertical se</w:t>
      </w:r>
      <w:r w:rsidR="0056756C" w:rsidRPr="004B64F6">
        <w:t>gment</w:t>
      </w:r>
      <w:r w:rsidR="00C41D31" w:rsidRPr="004B64F6">
        <w:t xml:space="preserve"> of the household</w:t>
      </w:r>
      <w:r w:rsidR="00F03697">
        <w:t>’</w:t>
      </w:r>
      <w:r w:rsidR="00C41D31" w:rsidRPr="004B64F6">
        <w:t>s budget constraint</w:t>
      </w:r>
      <w:r w:rsidR="00CD168B" w:rsidRPr="004B64F6">
        <w:t>.</w:t>
      </w:r>
      <w:r w:rsidR="00C41D31" w:rsidRPr="004B64F6">
        <w:t xml:space="preserve"> </w:t>
      </w:r>
      <w:r w:rsidR="00CD168B" w:rsidRPr="004B64F6">
        <w:t xml:space="preserve">The typical tax change also </w:t>
      </w:r>
      <w:r w:rsidR="00C41D31" w:rsidRPr="004B64F6">
        <w:t>directly or indirectly causes the household</w:t>
      </w:r>
      <w:r w:rsidR="00F03697">
        <w:t>’</w:t>
      </w:r>
      <w:r w:rsidR="00C41D31" w:rsidRPr="004B64F6">
        <w:t>s after</w:t>
      </w:r>
      <w:r w:rsidR="00F03697">
        <w:noBreakHyphen/>
      </w:r>
      <w:r w:rsidR="00C41D31" w:rsidRPr="004B64F6">
        <w:t xml:space="preserve">tax real wage to fall. These effects are captured in the budget constraint </w:t>
      </w:r>
      <w:r w:rsidR="0056756C" w:rsidRPr="004B64F6">
        <w:t>given</w:t>
      </w:r>
      <w:r w:rsidR="00C41D31" w:rsidRPr="004B64F6">
        <w:t xml:space="preserve"> by </w:t>
      </w:r>
      <w:r w:rsidR="0056756C" w:rsidRPr="004B64F6">
        <w:t>XY</w:t>
      </w:r>
      <w:r w:rsidR="00F03697">
        <w:t>’</w:t>
      </w:r>
      <w:r w:rsidR="0056756C" w:rsidRPr="004B64F6">
        <w:t xml:space="preserve"> and </w:t>
      </w:r>
      <w:r w:rsidR="000203F0" w:rsidRPr="004B64F6">
        <w:t>Y</w:t>
      </w:r>
      <w:r w:rsidR="00F03697">
        <w:t>’</w:t>
      </w:r>
      <w:r w:rsidR="000203F0" w:rsidRPr="004B64F6">
        <w:t>Z</w:t>
      </w:r>
      <w:r w:rsidR="00F03697">
        <w:t>’</w:t>
      </w:r>
      <w:r w:rsidR="000203F0" w:rsidRPr="004B64F6">
        <w:t xml:space="preserve">, with the </w:t>
      </w:r>
      <w:r w:rsidR="00C41D31" w:rsidRPr="004B64F6">
        <w:t xml:space="preserve">consumption axis </w:t>
      </w:r>
      <w:r w:rsidR="000203F0" w:rsidRPr="004B64F6">
        <w:t xml:space="preserve">intercept </w:t>
      </w:r>
      <w:r w:rsidR="00C41D31" w:rsidRPr="004B64F6">
        <w:t>at E(P</w:t>
      </w:r>
      <w:r w:rsidR="00C41D31" w:rsidRPr="004B64F6">
        <w:rPr>
          <w:vertAlign w:val="subscript"/>
        </w:rPr>
        <w:t>1</w:t>
      </w:r>
      <w:r w:rsidR="00C41D31" w:rsidRPr="004B64F6">
        <w:t>,U</w:t>
      </w:r>
      <w:r w:rsidR="00C41D31" w:rsidRPr="004B64F6">
        <w:rPr>
          <w:vertAlign w:val="subscript"/>
        </w:rPr>
        <w:t>1</w:t>
      </w:r>
      <w:r w:rsidR="00C41D31" w:rsidRPr="004B64F6">
        <w:t>). The optimal consumption</w:t>
      </w:r>
      <w:r w:rsidR="00F03697">
        <w:noBreakHyphen/>
      </w:r>
      <w:r w:rsidR="00C41D31" w:rsidRPr="004B64F6">
        <w:t xml:space="preserve">leisure bundle under </w:t>
      </w:r>
      <w:r w:rsidR="00CD168B" w:rsidRPr="004B64F6">
        <w:t>the marginal tax change</w:t>
      </w:r>
      <w:r w:rsidR="00C41D31" w:rsidRPr="004B64F6">
        <w:t xml:space="preserve"> is given by the tangency of the highest feasible indifference curve U</w:t>
      </w:r>
      <w:r w:rsidR="00C41D31" w:rsidRPr="004B64F6">
        <w:rPr>
          <w:vertAlign w:val="subscript"/>
        </w:rPr>
        <w:t>1</w:t>
      </w:r>
      <w:r w:rsidR="00C41D31" w:rsidRPr="004B64F6">
        <w:t xml:space="preserve"> and the household</w:t>
      </w:r>
      <w:r w:rsidR="00F03697">
        <w:t>’</w:t>
      </w:r>
      <w:r w:rsidR="00C41D31" w:rsidRPr="004B64F6">
        <w:t>s budget constraint</w:t>
      </w:r>
      <w:r w:rsidR="00CD168B" w:rsidRPr="004B64F6">
        <w:t xml:space="preserve"> (</w:t>
      </w:r>
      <w:r w:rsidR="00621AD1">
        <w:t>that is</w:t>
      </w:r>
      <w:r w:rsidR="00CD168B" w:rsidRPr="004B64F6">
        <w:t>, XY</w:t>
      </w:r>
      <w:r w:rsidR="00F03697">
        <w:t>’</w:t>
      </w:r>
      <w:r w:rsidR="00CD168B" w:rsidRPr="004B64F6">
        <w:t xml:space="preserve"> and Y</w:t>
      </w:r>
      <w:r w:rsidR="00F03697">
        <w:t>’</w:t>
      </w:r>
      <w:r w:rsidR="00CD168B" w:rsidRPr="004B64F6">
        <w:t>Z</w:t>
      </w:r>
      <w:r w:rsidR="00F03697">
        <w:t>’</w:t>
      </w:r>
      <w:r w:rsidR="00CD168B" w:rsidRPr="004B64F6">
        <w:t>)</w:t>
      </w:r>
      <w:r w:rsidR="00C41D31" w:rsidRPr="004B64F6">
        <w:t xml:space="preserve">, with the utility maximizing outcome given by B. </w:t>
      </w:r>
      <w:r w:rsidR="00777BF8" w:rsidRPr="004B64F6">
        <w:t xml:space="preserve">Under the tax change the relative price of consumption rises, so </w:t>
      </w:r>
      <w:r w:rsidR="00ED3910" w:rsidRPr="004B64F6">
        <w:t xml:space="preserve">the </w:t>
      </w:r>
      <w:r w:rsidR="00C41D31" w:rsidRPr="004B64F6">
        <w:t xml:space="preserve">household </w:t>
      </w:r>
      <w:r w:rsidR="00777BF8" w:rsidRPr="004B64F6">
        <w:t>substitute</w:t>
      </w:r>
      <w:r w:rsidR="00ED3910" w:rsidRPr="004B64F6">
        <w:t>s</w:t>
      </w:r>
      <w:r w:rsidR="00777BF8" w:rsidRPr="004B64F6">
        <w:t xml:space="preserve"> away from </w:t>
      </w:r>
      <w:r w:rsidR="00C41D31" w:rsidRPr="004B64F6">
        <w:t xml:space="preserve">consumption </w:t>
      </w:r>
      <w:r w:rsidR="00777BF8" w:rsidRPr="004B64F6">
        <w:t>(</w:t>
      </w:r>
      <w:r w:rsidR="00621AD1">
        <w:t>that is</w:t>
      </w:r>
      <w:r w:rsidR="00777BF8" w:rsidRPr="004B64F6">
        <w:t xml:space="preserve">, consumption </w:t>
      </w:r>
      <w:r w:rsidR="00C41D31" w:rsidRPr="004B64F6">
        <w:t>falls from C</w:t>
      </w:r>
      <w:r w:rsidR="00C41D31" w:rsidRPr="004B64F6">
        <w:rPr>
          <w:vertAlign w:val="subscript"/>
        </w:rPr>
        <w:t>0</w:t>
      </w:r>
      <w:r w:rsidR="00C41D31" w:rsidRPr="004B64F6">
        <w:t xml:space="preserve"> to C</w:t>
      </w:r>
      <w:r w:rsidR="00C41D31" w:rsidRPr="004B64F6">
        <w:rPr>
          <w:vertAlign w:val="subscript"/>
        </w:rPr>
        <w:t>1</w:t>
      </w:r>
      <w:r w:rsidR="00777BF8" w:rsidRPr="004B64F6">
        <w:t>) towards</w:t>
      </w:r>
      <w:r w:rsidR="00C41D31" w:rsidRPr="004B64F6">
        <w:t xml:space="preserve"> leisure </w:t>
      </w:r>
      <w:r w:rsidR="00777BF8" w:rsidRPr="004B64F6">
        <w:t>(</w:t>
      </w:r>
      <w:r w:rsidR="00621AD1">
        <w:t>that is</w:t>
      </w:r>
      <w:r w:rsidR="00777BF8" w:rsidRPr="004B64F6">
        <w:t xml:space="preserve">, leisure </w:t>
      </w:r>
      <w:r w:rsidR="00C41D31" w:rsidRPr="004B64F6">
        <w:t>rises from L</w:t>
      </w:r>
      <w:r w:rsidR="00C41D31" w:rsidRPr="004B64F6">
        <w:rPr>
          <w:vertAlign w:val="subscript"/>
        </w:rPr>
        <w:t>0</w:t>
      </w:r>
      <w:r w:rsidR="00C41D31" w:rsidRPr="004B64F6">
        <w:t xml:space="preserve"> to L</w:t>
      </w:r>
      <w:r w:rsidR="00C41D31" w:rsidRPr="004B64F6">
        <w:rPr>
          <w:vertAlign w:val="subscript"/>
        </w:rPr>
        <w:t>1</w:t>
      </w:r>
      <w:r w:rsidR="00777BF8" w:rsidRPr="004B64F6">
        <w:t>).</w:t>
      </w:r>
      <w:r w:rsidR="00C41D31" w:rsidRPr="004B64F6">
        <w:t xml:space="preserve"> The value of this consumption</w:t>
      </w:r>
      <w:r w:rsidR="00F03697">
        <w:noBreakHyphen/>
      </w:r>
      <w:r w:rsidR="00C41D31" w:rsidRPr="004B64F6">
        <w:t>leisure bundle in terms of consumption units is E(P</w:t>
      </w:r>
      <w:r w:rsidR="00C41D31" w:rsidRPr="004B64F6">
        <w:rPr>
          <w:vertAlign w:val="subscript"/>
        </w:rPr>
        <w:t>1</w:t>
      </w:r>
      <w:r w:rsidR="00C41D31" w:rsidRPr="004B64F6">
        <w:t>,U</w:t>
      </w:r>
      <w:r w:rsidR="00C41D31" w:rsidRPr="004B64F6">
        <w:rPr>
          <w:vertAlign w:val="subscript"/>
        </w:rPr>
        <w:t>1</w:t>
      </w:r>
      <w:r w:rsidR="00C41D31" w:rsidRPr="004B64F6">
        <w:t>), with P</w:t>
      </w:r>
      <w:r w:rsidR="00C41D31" w:rsidRPr="004B64F6">
        <w:rPr>
          <w:vertAlign w:val="subscript"/>
        </w:rPr>
        <w:t>1</w:t>
      </w:r>
      <w:r w:rsidR="00C41D31" w:rsidRPr="004B64F6">
        <w:t xml:space="preserve"> denoting the price vector after the </w:t>
      </w:r>
      <w:r w:rsidR="002A0742" w:rsidRPr="004B64F6">
        <w:t xml:space="preserve">marginal </w:t>
      </w:r>
      <w:r w:rsidR="00C41D31" w:rsidRPr="004B64F6">
        <w:t>tax change.</w:t>
      </w:r>
    </w:p>
    <w:p w14:paraId="29DD6984" w14:textId="13C021E7" w:rsidR="00477B46" w:rsidRPr="00333F60" w:rsidRDefault="00477B46" w:rsidP="00477B46">
      <w:r w:rsidRPr="00333F60">
        <w:t xml:space="preserve">We follow the CGE </w:t>
      </w:r>
      <w:r w:rsidR="00C41D31" w:rsidRPr="00333F60">
        <w:t xml:space="preserve">tax analysis literature by </w:t>
      </w:r>
      <w:r w:rsidRPr="00333F60">
        <w:t xml:space="preserve">measuring the </w:t>
      </w:r>
      <w:r w:rsidR="008532CB" w:rsidRPr="00333F60">
        <w:t xml:space="preserve">marginal </w:t>
      </w:r>
      <w:r w:rsidRPr="00333F60">
        <w:t>excess burden</w:t>
      </w:r>
      <w:r w:rsidR="00874182" w:rsidRPr="00333F60">
        <w:t xml:space="preserve"> (</w:t>
      </w:r>
      <w:r w:rsidR="008532CB" w:rsidRPr="00333F60">
        <w:t>M</w:t>
      </w:r>
      <w:r w:rsidR="00874182" w:rsidRPr="00333F60">
        <w:t>EB)</w:t>
      </w:r>
      <w:r w:rsidRPr="00333F60">
        <w:t xml:space="preserve"> of a </w:t>
      </w:r>
      <w:r w:rsidR="008532CB" w:rsidRPr="00333F60">
        <w:t xml:space="preserve">marginal </w:t>
      </w:r>
      <w:r w:rsidRPr="00333F60">
        <w:t xml:space="preserve">tax </w:t>
      </w:r>
      <w:r w:rsidR="002A0742" w:rsidRPr="00333F60">
        <w:t xml:space="preserve">rate change </w:t>
      </w:r>
      <w:r w:rsidRPr="00333F60">
        <w:t xml:space="preserve">as the </w:t>
      </w:r>
      <w:r w:rsidR="004402B6" w:rsidRPr="00333F60">
        <w:t xml:space="preserve">negative of the </w:t>
      </w:r>
      <w:r w:rsidR="002A0742" w:rsidRPr="00333F60">
        <w:t>increment to the total welfare cost of the tax</w:t>
      </w:r>
      <w:r w:rsidR="006F11B8">
        <w:t xml:space="preserve"> system</w:t>
      </w:r>
      <w:r w:rsidRPr="00333F60">
        <w:t xml:space="preserve">. The </w:t>
      </w:r>
      <w:r w:rsidR="002A0742" w:rsidRPr="00333F60">
        <w:t xml:space="preserve">additional welfare cost is measured by the </w:t>
      </w:r>
      <w:r w:rsidRPr="00333F60">
        <w:t xml:space="preserve">equivalent variation (EV) </w:t>
      </w:r>
      <w:r w:rsidR="002A0742" w:rsidRPr="00333F60">
        <w:t xml:space="preserve">which </w:t>
      </w:r>
      <w:r w:rsidRPr="00333F60">
        <w:t>is defined as follows:</w:t>
      </w:r>
    </w:p>
    <w:p w14:paraId="691E19C1" w14:textId="28327406" w:rsidR="008F0AC9" w:rsidRPr="00333F60" w:rsidRDefault="008F0AC9" w:rsidP="008F0AC9">
      <w:pPr>
        <w:pStyle w:val="MTDisplayEquation"/>
      </w:pPr>
      <w:r w:rsidRPr="00333F60">
        <w:tab/>
      </w:r>
      <w:r w:rsidR="00F74C14" w:rsidRPr="00333F60">
        <w:rPr>
          <w:position w:val="-12"/>
        </w:rPr>
        <w:object w:dxaOrig="2640" w:dyaOrig="360" w14:anchorId="1AA8EFA5">
          <v:shape id="_x0000_i1027" type="#_x0000_t75" alt="This equation presents the equivalent variation of the marginal tax rate change as the difference between the minimum expenditure required to obtain the pre-tax-change level of utility at the pre-tax-change prices, and the minimum expenditure required to obtain the post-tax-change level of utility at the pre-tax-change prices." style="width:131.9pt;height:19.25pt" o:ole="">
            <v:imagedata r:id="rId31" o:title=""/>
          </v:shape>
          <o:OLEObject Type="Embed" ProgID="Equation.DSMT4" ShapeID="_x0000_i1027" DrawAspect="Content" ObjectID="_1489908542" r:id="rId32"/>
        </w:object>
      </w:r>
      <w:r w:rsidRPr="00333F60">
        <w:tab/>
      </w:r>
      <w:r w:rsidRPr="00333F60">
        <w:fldChar w:fldCharType="begin"/>
      </w:r>
      <w:r w:rsidRPr="00333F60">
        <w:instrText xml:space="preserve"> MACROBUTTON MTPlaceRef \* MERGEFORMAT </w:instrText>
      </w:r>
      <w:r w:rsidR="00D002CF">
        <w:fldChar w:fldCharType="begin"/>
      </w:r>
      <w:r w:rsidR="00D002CF">
        <w:instrText xml:space="preserve"> SEQ MTEqn \h \* MERGEFORMAT </w:instrText>
      </w:r>
      <w:r w:rsidR="00D002CF">
        <w:fldChar w:fldCharType="end"/>
      </w:r>
      <w:r w:rsidRPr="00333F60">
        <w:instrText>(</w:instrText>
      </w:r>
      <w:r w:rsidR="00866AD9">
        <w:fldChar w:fldCharType="begin"/>
      </w:r>
      <w:r w:rsidR="00866AD9">
        <w:instrText xml:space="preserve"> SEQ MTEqn \c \* Arabic \* MERGEFORMAT </w:instrText>
      </w:r>
      <w:r w:rsidR="00866AD9">
        <w:fldChar w:fldCharType="separate"/>
      </w:r>
      <w:r w:rsidR="00AA2137">
        <w:rPr>
          <w:noProof/>
        </w:rPr>
        <w:instrText>3</w:instrText>
      </w:r>
      <w:r w:rsidR="00866AD9">
        <w:rPr>
          <w:noProof/>
        </w:rPr>
        <w:fldChar w:fldCharType="end"/>
      </w:r>
      <w:r w:rsidRPr="00333F60">
        <w:instrText>)</w:instrText>
      </w:r>
      <w:r w:rsidRPr="00333F60">
        <w:fldChar w:fldCharType="end"/>
      </w:r>
    </w:p>
    <w:p w14:paraId="081C83AA" w14:textId="4F61971B" w:rsidR="004402B6" w:rsidRPr="00333F60" w:rsidRDefault="00543FC1" w:rsidP="00477B46">
      <w:r w:rsidRPr="00333F60">
        <w:t>w</w:t>
      </w:r>
      <w:r w:rsidR="00477B46" w:rsidRPr="00333F60">
        <w:t>here</w:t>
      </w:r>
      <w:r w:rsidRPr="00333F60">
        <w:t>:</w:t>
      </w:r>
      <w:r w:rsidR="00477B46" w:rsidRPr="00333F60">
        <w:t xml:space="preserve"> </w:t>
      </w:r>
      <w:r w:rsidRPr="00333F60">
        <w:t>P</w:t>
      </w:r>
      <w:r w:rsidRPr="00333F60">
        <w:rPr>
          <w:vertAlign w:val="subscript"/>
        </w:rPr>
        <w:t>0</w:t>
      </w:r>
      <w:r w:rsidRPr="00333F60">
        <w:t xml:space="preserve"> </w:t>
      </w:r>
      <w:r w:rsidR="00477B46" w:rsidRPr="00333F60">
        <w:t>is the vector of prices</w:t>
      </w:r>
      <w:r w:rsidR="002A0742" w:rsidRPr="00333F60">
        <w:t>, including taxes,</w:t>
      </w:r>
      <w:r w:rsidR="00477B46" w:rsidRPr="00333F60">
        <w:t xml:space="preserve"> before </w:t>
      </w:r>
      <w:r w:rsidR="00CD168B">
        <w:t xml:space="preserve">the </w:t>
      </w:r>
      <w:r w:rsidR="00477B46" w:rsidRPr="00333F60">
        <w:t>tax change</w:t>
      </w:r>
      <w:r w:rsidRPr="00333F60">
        <w:t>;</w:t>
      </w:r>
      <w:r w:rsidR="00477B46" w:rsidRPr="00333F60">
        <w:t xml:space="preserve"> U</w:t>
      </w:r>
      <w:r w:rsidR="00477B46" w:rsidRPr="00333F60">
        <w:rPr>
          <w:vertAlign w:val="subscript"/>
        </w:rPr>
        <w:t>0</w:t>
      </w:r>
      <w:r w:rsidR="00477B46" w:rsidRPr="00333F60">
        <w:t xml:space="preserve"> is the </w:t>
      </w:r>
      <w:r w:rsidRPr="00333F60">
        <w:t xml:space="preserve">maximum level </w:t>
      </w:r>
      <w:r w:rsidR="00ED3910" w:rsidRPr="00333F60">
        <w:t xml:space="preserve">of </w:t>
      </w:r>
      <w:r w:rsidR="00477B46" w:rsidRPr="00333F60">
        <w:t xml:space="preserve">household utility </w:t>
      </w:r>
      <w:r w:rsidRPr="00333F60">
        <w:t xml:space="preserve">achieved </w:t>
      </w:r>
      <w:r w:rsidR="00477B46" w:rsidRPr="00333F60">
        <w:t>before the tax</w:t>
      </w:r>
      <w:r w:rsidRPr="00333F60">
        <w:t xml:space="preserve"> change; and </w:t>
      </w:r>
      <w:r w:rsidR="00477B46" w:rsidRPr="00333F60">
        <w:t>U</w:t>
      </w:r>
      <w:r w:rsidR="00477B46" w:rsidRPr="00333F60">
        <w:rPr>
          <w:vertAlign w:val="subscript"/>
        </w:rPr>
        <w:t>1</w:t>
      </w:r>
      <w:r w:rsidR="00477B46" w:rsidRPr="00333F60">
        <w:t xml:space="preserve"> is the </w:t>
      </w:r>
      <w:r w:rsidRPr="00333F60">
        <w:t xml:space="preserve">maximum </w:t>
      </w:r>
      <w:r w:rsidR="00477B46" w:rsidRPr="00333F60">
        <w:t>level of utility</w:t>
      </w:r>
      <w:r w:rsidRPr="00333F60">
        <w:t xml:space="preserve"> achieved after the </w:t>
      </w:r>
      <w:r w:rsidR="002A0742" w:rsidRPr="00333F60">
        <w:t xml:space="preserve">marginal </w:t>
      </w:r>
      <w:r w:rsidRPr="00333F60">
        <w:t>tax change.</w:t>
      </w:r>
    </w:p>
    <w:p w14:paraId="4D17A84F" w14:textId="26152CE1" w:rsidR="004402B6" w:rsidRPr="00333F60" w:rsidRDefault="004402B6" w:rsidP="00477B46">
      <w:r w:rsidRPr="00333F60">
        <w:t xml:space="preserve">This implies the </w:t>
      </w:r>
      <w:r w:rsidR="002A0742" w:rsidRPr="00333F60">
        <w:t xml:space="preserve">marginal </w:t>
      </w:r>
      <w:r w:rsidRPr="00333F60">
        <w:t>excess burden is:</w:t>
      </w:r>
    </w:p>
    <w:p w14:paraId="1A99655C" w14:textId="405AEADE" w:rsidR="008F0AC9" w:rsidRPr="00333F60" w:rsidRDefault="008F0AC9" w:rsidP="008F0AC9">
      <w:pPr>
        <w:pStyle w:val="MTDisplayEquation"/>
      </w:pPr>
      <w:r w:rsidRPr="00333F60">
        <w:tab/>
      </w:r>
      <w:r w:rsidR="00F74C14" w:rsidRPr="00333F60">
        <w:rPr>
          <w:position w:val="-12"/>
        </w:rPr>
        <w:object w:dxaOrig="3519" w:dyaOrig="360" w14:anchorId="62709D1C">
          <v:shape id="_x0000_i1028" type="#_x0000_t75" alt="This equation presents the marginal excess burden as the negative of the equivalent variation." style="width:176.8pt;height:19.25pt" o:ole="">
            <v:imagedata r:id="rId33" o:title=""/>
          </v:shape>
          <o:OLEObject Type="Embed" ProgID="Equation.DSMT4" ShapeID="_x0000_i1028" DrawAspect="Content" ObjectID="_1489908543" r:id="rId34"/>
        </w:object>
      </w:r>
      <w:r w:rsidRPr="00333F60">
        <w:tab/>
      </w:r>
      <w:r w:rsidRPr="00333F60">
        <w:fldChar w:fldCharType="begin"/>
      </w:r>
      <w:r w:rsidRPr="00333F60">
        <w:instrText xml:space="preserve"> MACROBUTTON MTPlaceRef \* MERGEFORMAT </w:instrText>
      </w:r>
      <w:r w:rsidR="00D002CF">
        <w:fldChar w:fldCharType="begin"/>
      </w:r>
      <w:r w:rsidR="00D002CF">
        <w:instrText xml:space="preserve"> SEQ MTEqn \h \* MERGEFORMAT </w:instrText>
      </w:r>
      <w:r w:rsidR="00D002CF">
        <w:fldChar w:fldCharType="end"/>
      </w:r>
      <w:r w:rsidRPr="00333F60">
        <w:instrText>(</w:instrText>
      </w:r>
      <w:r w:rsidR="00866AD9">
        <w:fldChar w:fldCharType="begin"/>
      </w:r>
      <w:r w:rsidR="00866AD9">
        <w:instrText xml:space="preserve"> SEQ MTEqn \c \* Arabic \* MERGEFORMAT </w:instrText>
      </w:r>
      <w:r w:rsidR="00866AD9">
        <w:fldChar w:fldCharType="separate"/>
      </w:r>
      <w:r w:rsidR="00AA2137">
        <w:rPr>
          <w:noProof/>
        </w:rPr>
        <w:instrText>4</w:instrText>
      </w:r>
      <w:r w:rsidR="00866AD9">
        <w:rPr>
          <w:noProof/>
        </w:rPr>
        <w:fldChar w:fldCharType="end"/>
      </w:r>
      <w:r w:rsidRPr="00333F60">
        <w:instrText>)</w:instrText>
      </w:r>
      <w:r w:rsidRPr="00333F60">
        <w:fldChar w:fldCharType="end"/>
      </w:r>
    </w:p>
    <w:p w14:paraId="29DD6987" w14:textId="4EBB10B8" w:rsidR="00D47F0B" w:rsidRPr="00333F60" w:rsidRDefault="00D47F0B" w:rsidP="00477B46">
      <w:r w:rsidRPr="00333F60">
        <w:t xml:space="preserve">The </w:t>
      </w:r>
      <w:r w:rsidR="002A0742" w:rsidRPr="00333F60">
        <w:t xml:space="preserve">marginal </w:t>
      </w:r>
      <w:r w:rsidRPr="00333F60">
        <w:t xml:space="preserve">excess burden can be thought of as the amount (in consumption units) that the household would be indifferent about paying in lieu of the </w:t>
      </w:r>
      <w:r w:rsidR="002A0742" w:rsidRPr="00333F60">
        <w:t xml:space="preserve">marginal </w:t>
      </w:r>
      <w:r w:rsidRPr="00333F60">
        <w:t>tax change.</w:t>
      </w:r>
    </w:p>
    <w:p w14:paraId="30D7DC6C" w14:textId="58BAEF69" w:rsidR="000A5696" w:rsidRPr="00333F60" w:rsidRDefault="00F57CC2" w:rsidP="000A5696">
      <w:r w:rsidRPr="00333F60">
        <w:t xml:space="preserve">The </w:t>
      </w:r>
      <w:r w:rsidR="002A0742" w:rsidRPr="00333F60">
        <w:t xml:space="preserve">marginal </w:t>
      </w:r>
      <w:r w:rsidR="009566C5" w:rsidRPr="00333F60">
        <w:t>excess burden</w:t>
      </w:r>
      <w:r w:rsidRPr="00333F60">
        <w:t xml:space="preserve"> </w:t>
      </w:r>
      <w:r w:rsidR="00D47F0B" w:rsidRPr="00333F60">
        <w:t xml:space="preserve">associated with the </w:t>
      </w:r>
      <w:r w:rsidR="002A0742" w:rsidRPr="00333F60">
        <w:t xml:space="preserve">marginal </w:t>
      </w:r>
      <w:r w:rsidR="00D47F0B" w:rsidRPr="00333F60">
        <w:t xml:space="preserve">tax rate change analysed in </w:t>
      </w:r>
      <w:r w:rsidR="00B843C6" w:rsidRPr="00333F60">
        <w:t xml:space="preserve">Figure </w:t>
      </w:r>
      <w:r w:rsidR="00B843C6" w:rsidRPr="00333F60">
        <w:rPr>
          <w:noProof/>
        </w:rPr>
        <w:t>1</w:t>
      </w:r>
      <w:r w:rsidR="00D47F0B" w:rsidRPr="00333F60">
        <w:t xml:space="preserve"> </w:t>
      </w:r>
      <w:r w:rsidRPr="00333F60">
        <w:t xml:space="preserve">can be represented graphically. </w:t>
      </w:r>
      <w:r w:rsidR="00D47F0B" w:rsidRPr="00333F60">
        <w:t>The value of the expenditure function E(P</w:t>
      </w:r>
      <w:r w:rsidR="00D47F0B" w:rsidRPr="00333F60">
        <w:rPr>
          <w:vertAlign w:val="subscript"/>
        </w:rPr>
        <w:t>0</w:t>
      </w:r>
      <w:r w:rsidR="00D47F0B" w:rsidRPr="00333F60">
        <w:t>,U</w:t>
      </w:r>
      <w:r w:rsidR="00D47F0B" w:rsidRPr="00333F60">
        <w:rPr>
          <w:vertAlign w:val="subscript"/>
        </w:rPr>
        <w:t>1</w:t>
      </w:r>
      <w:r w:rsidR="00D47F0B" w:rsidRPr="00333F60">
        <w:t xml:space="preserve">) is reflected by the consumption axis intercept of the dashed blue line, which is parallel to the </w:t>
      </w:r>
      <w:r w:rsidR="00874182" w:rsidRPr="00333F60">
        <w:t>pre</w:t>
      </w:r>
      <w:r w:rsidR="00F03697">
        <w:noBreakHyphen/>
      </w:r>
      <w:r w:rsidR="00874182" w:rsidRPr="00333F60">
        <w:t>tax change</w:t>
      </w:r>
      <w:r w:rsidR="00D47F0B" w:rsidRPr="00333F60">
        <w:t xml:space="preserve"> budget constraint (</w:t>
      </w:r>
      <w:r w:rsidR="00621AD1">
        <w:t>that is</w:t>
      </w:r>
      <w:r w:rsidR="00D47F0B" w:rsidRPr="00333F60">
        <w:t>, the expenditure function is evaluated at the pre</w:t>
      </w:r>
      <w:r w:rsidR="00F03697">
        <w:noBreakHyphen/>
      </w:r>
      <w:r w:rsidR="00D47F0B" w:rsidRPr="00333F60">
        <w:t>tax change prices P</w:t>
      </w:r>
      <w:r w:rsidR="00D47F0B" w:rsidRPr="00333F60">
        <w:rPr>
          <w:vertAlign w:val="subscript"/>
        </w:rPr>
        <w:t>0</w:t>
      </w:r>
      <w:r w:rsidR="00D47F0B" w:rsidRPr="00333F60">
        <w:t xml:space="preserve">) and tangent to the </w:t>
      </w:r>
      <w:r w:rsidR="00874182" w:rsidRPr="00333F60">
        <w:t>post</w:t>
      </w:r>
      <w:r w:rsidR="00F03697">
        <w:noBreakHyphen/>
      </w:r>
      <w:r w:rsidR="00874182" w:rsidRPr="00333F60">
        <w:t xml:space="preserve">tax change indifference curve at </w:t>
      </w:r>
      <w:r w:rsidR="000A5696" w:rsidRPr="00333F60">
        <w:t>D</w:t>
      </w:r>
      <w:r w:rsidR="00874182" w:rsidRPr="00333F60">
        <w:t xml:space="preserve"> (</w:t>
      </w:r>
      <w:r w:rsidR="00621AD1">
        <w:t>that is</w:t>
      </w:r>
      <w:r w:rsidR="00874182" w:rsidRPr="00333F60">
        <w:t>, the expenditure function is evaluated at the post</w:t>
      </w:r>
      <w:r w:rsidR="00F03697">
        <w:noBreakHyphen/>
      </w:r>
      <w:r w:rsidR="00874182" w:rsidRPr="00333F60">
        <w:t xml:space="preserve">tax change </w:t>
      </w:r>
      <w:r w:rsidR="00874182" w:rsidRPr="00333F60">
        <w:lastRenderedPageBreak/>
        <w:t>utility U</w:t>
      </w:r>
      <w:r w:rsidR="00874182" w:rsidRPr="00333F60">
        <w:rPr>
          <w:vertAlign w:val="subscript"/>
        </w:rPr>
        <w:t>1</w:t>
      </w:r>
      <w:r w:rsidR="00874182" w:rsidRPr="00333F60">
        <w:t xml:space="preserve">). The </w:t>
      </w:r>
      <w:r w:rsidR="002A0742" w:rsidRPr="00333F60">
        <w:t xml:space="preserve">marginal </w:t>
      </w:r>
      <w:r w:rsidR="00874182" w:rsidRPr="00333F60">
        <w:t xml:space="preserve">excess burden associated with the </w:t>
      </w:r>
      <w:r w:rsidR="002A0742" w:rsidRPr="00333F60">
        <w:t xml:space="preserve">marginal </w:t>
      </w:r>
      <w:r w:rsidR="00874182" w:rsidRPr="00333F60">
        <w:t>tax change is then the vertical distance between E(P</w:t>
      </w:r>
      <w:r w:rsidR="00874182" w:rsidRPr="00333F60">
        <w:rPr>
          <w:vertAlign w:val="subscript"/>
        </w:rPr>
        <w:t>0</w:t>
      </w:r>
      <w:r w:rsidR="00874182" w:rsidRPr="00333F60">
        <w:t>,U</w:t>
      </w:r>
      <w:r w:rsidR="00874182" w:rsidRPr="00333F60">
        <w:rPr>
          <w:vertAlign w:val="subscript"/>
        </w:rPr>
        <w:t>0</w:t>
      </w:r>
      <w:r w:rsidR="00874182" w:rsidRPr="00333F60">
        <w:t>) and E(P</w:t>
      </w:r>
      <w:r w:rsidR="00874182" w:rsidRPr="00333F60">
        <w:rPr>
          <w:vertAlign w:val="subscript"/>
        </w:rPr>
        <w:t>0</w:t>
      </w:r>
      <w:r w:rsidR="00874182" w:rsidRPr="00333F60">
        <w:t>,U</w:t>
      </w:r>
      <w:r w:rsidR="00874182" w:rsidRPr="00333F60">
        <w:rPr>
          <w:vertAlign w:val="subscript"/>
        </w:rPr>
        <w:t>1</w:t>
      </w:r>
      <w:r w:rsidR="00874182" w:rsidRPr="00333F60">
        <w:t>)</w:t>
      </w:r>
      <w:r w:rsidR="003A4B4D" w:rsidRPr="00333F60">
        <w:t xml:space="preserve">, that is, using the notation in </w:t>
      </w:r>
      <w:r w:rsidR="00B843C6" w:rsidRPr="00333F60">
        <w:t xml:space="preserve">Figure </w:t>
      </w:r>
      <w:r w:rsidR="00B843C6" w:rsidRPr="00333F60">
        <w:rPr>
          <w:noProof/>
        </w:rPr>
        <w:t>1</w:t>
      </w:r>
      <w:r w:rsidR="003A4B4D" w:rsidRPr="00333F60">
        <w:t xml:space="preserve"> </w:t>
      </w:r>
      <w:r w:rsidR="000A5696" w:rsidRPr="00333F60">
        <w:t xml:space="preserve">the </w:t>
      </w:r>
      <w:r w:rsidR="002A0742" w:rsidRPr="00333F60">
        <w:t xml:space="preserve">marginal </w:t>
      </w:r>
      <w:r w:rsidR="000A5696" w:rsidRPr="00333F60">
        <w:t>excess burden can be expressed in consumption units as follows:</w:t>
      </w:r>
    </w:p>
    <w:p w14:paraId="7529124B" w14:textId="475D8ADD" w:rsidR="008F0AC9" w:rsidRPr="00333F60" w:rsidRDefault="008F0AC9" w:rsidP="008F0AC9">
      <w:pPr>
        <w:pStyle w:val="MTDisplayEquation"/>
      </w:pPr>
      <w:r w:rsidRPr="00333F60">
        <w:tab/>
      </w:r>
      <w:r w:rsidR="00F74C14" w:rsidRPr="00333F60">
        <w:rPr>
          <w:position w:val="-30"/>
        </w:rPr>
        <w:object w:dxaOrig="3760" w:dyaOrig="680" w14:anchorId="4824A84D">
          <v:shape id="_x0000_i1029" type="#_x0000_t75" alt="This equation presents the marginal excess burden as the sum of the change in consumption and the change in leisure evaluated at pre-tax-change wages and prices." style="width:186.75pt;height:37.05pt" o:ole="">
            <v:imagedata r:id="rId35" o:title=""/>
          </v:shape>
          <o:OLEObject Type="Embed" ProgID="Equation.DSMT4" ShapeID="_x0000_i1029" DrawAspect="Content" ObjectID="_1489908544" r:id="rId36"/>
        </w:object>
      </w:r>
      <w:r w:rsidRPr="00333F60">
        <w:tab/>
      </w:r>
      <w:r w:rsidRPr="00333F60">
        <w:fldChar w:fldCharType="begin"/>
      </w:r>
      <w:r w:rsidRPr="00333F60">
        <w:instrText xml:space="preserve"> MACROBUTTON MTPlaceRef \* MERGEFORMAT </w:instrText>
      </w:r>
      <w:r w:rsidR="00D002CF">
        <w:fldChar w:fldCharType="begin"/>
      </w:r>
      <w:r w:rsidR="00D002CF">
        <w:instrText xml:space="preserve"> SEQ MTEqn \h \* MERGEFORMAT </w:instrText>
      </w:r>
      <w:r w:rsidR="00D002CF">
        <w:fldChar w:fldCharType="end"/>
      </w:r>
      <w:r w:rsidRPr="00333F60">
        <w:instrText>(</w:instrText>
      </w:r>
      <w:r w:rsidR="00866AD9">
        <w:fldChar w:fldCharType="begin"/>
      </w:r>
      <w:r w:rsidR="00866AD9">
        <w:instrText xml:space="preserve"> SEQ MTEqn \c \* Arabic \* MERGEFORMAT </w:instrText>
      </w:r>
      <w:r w:rsidR="00866AD9">
        <w:fldChar w:fldCharType="separate"/>
      </w:r>
      <w:r w:rsidR="00AA2137">
        <w:rPr>
          <w:noProof/>
        </w:rPr>
        <w:instrText>5</w:instrText>
      </w:r>
      <w:r w:rsidR="00866AD9">
        <w:rPr>
          <w:noProof/>
        </w:rPr>
        <w:fldChar w:fldCharType="end"/>
      </w:r>
      <w:r w:rsidRPr="00333F60">
        <w:instrText>)</w:instrText>
      </w:r>
      <w:r w:rsidRPr="00333F60">
        <w:fldChar w:fldCharType="end"/>
      </w:r>
    </w:p>
    <w:p w14:paraId="1D35FE75" w14:textId="3D6D798E" w:rsidR="000A5696" w:rsidRDefault="000A5696" w:rsidP="000A5696">
      <w:r w:rsidRPr="00333F60">
        <w:t xml:space="preserve">where </w:t>
      </w:r>
      <w:r w:rsidR="008F0AC9" w:rsidRPr="00333F60">
        <w:t>w</w:t>
      </w:r>
      <w:r w:rsidR="008F0AC9" w:rsidRPr="00333F60">
        <w:rPr>
          <w:vertAlign w:val="subscript"/>
        </w:rPr>
        <w:t>0</w:t>
      </w:r>
      <w:r w:rsidR="008F0AC9" w:rsidRPr="00333F60">
        <w:t>(1</w:t>
      </w:r>
      <w:r w:rsidR="00F03697">
        <w:noBreakHyphen/>
      </w:r>
      <w:r w:rsidR="008F0AC9" w:rsidRPr="00333F60">
        <w:rPr>
          <w:rFonts w:ascii="Symbol" w:hAnsi="Symbol"/>
        </w:rPr>
        <w:t></w:t>
      </w:r>
      <w:r w:rsidR="008F0AC9" w:rsidRPr="00333F60">
        <w:rPr>
          <w:vertAlign w:val="subscript"/>
        </w:rPr>
        <w:t>n0</w:t>
      </w:r>
      <w:r w:rsidR="008F0AC9" w:rsidRPr="00333F60">
        <w:t>)/(p</w:t>
      </w:r>
      <w:r w:rsidR="008F0AC9" w:rsidRPr="00333F60">
        <w:rPr>
          <w:vertAlign w:val="subscript"/>
        </w:rPr>
        <w:t>c0</w:t>
      </w:r>
      <w:r w:rsidR="008F0AC9" w:rsidRPr="00333F60">
        <w:t>(1+</w:t>
      </w:r>
      <w:r w:rsidR="008F0AC9" w:rsidRPr="00333F60">
        <w:rPr>
          <w:rFonts w:ascii="Symbol" w:hAnsi="Symbol"/>
        </w:rPr>
        <w:t></w:t>
      </w:r>
      <w:r w:rsidR="008F0AC9" w:rsidRPr="00333F60">
        <w:rPr>
          <w:vertAlign w:val="subscript"/>
        </w:rPr>
        <w:t>c0</w:t>
      </w:r>
      <w:r w:rsidR="008F0AC9" w:rsidRPr="00333F60">
        <w:t>))</w:t>
      </w:r>
      <w:r w:rsidRPr="00333F60">
        <w:t xml:space="preserve"> is the </w:t>
      </w:r>
      <w:r w:rsidR="00B70730" w:rsidRPr="00333F60">
        <w:t>after</w:t>
      </w:r>
      <w:r w:rsidR="00F03697">
        <w:noBreakHyphen/>
      </w:r>
      <w:r w:rsidR="00B70730" w:rsidRPr="00333F60">
        <w:t xml:space="preserve">tax real wage </w:t>
      </w:r>
      <w:r w:rsidR="00DD471A" w:rsidRPr="00333F60">
        <w:t>under</w:t>
      </w:r>
      <w:r w:rsidRPr="00333F60">
        <w:t xml:space="preserve"> the base</w:t>
      </w:r>
      <w:r w:rsidR="00B70730" w:rsidRPr="00333F60">
        <w:t>line</w:t>
      </w:r>
      <w:r w:rsidRPr="00333F60">
        <w:t xml:space="preserve"> prices (</w:t>
      </w:r>
      <w:r w:rsidR="00621AD1">
        <w:t>that is</w:t>
      </w:r>
      <w:r w:rsidRPr="00333F60">
        <w:t xml:space="preserve">, the prices before </w:t>
      </w:r>
      <w:r w:rsidR="007E6868" w:rsidRPr="00333F60">
        <w:t xml:space="preserve">the </w:t>
      </w:r>
      <w:r w:rsidR="002A0742" w:rsidRPr="00333F60">
        <w:t xml:space="preserve">marginal </w:t>
      </w:r>
      <w:r w:rsidR="007E6868" w:rsidRPr="00333F60">
        <w:t xml:space="preserve">tax </w:t>
      </w:r>
      <w:r w:rsidRPr="00333F60">
        <w:t xml:space="preserve">change). It </w:t>
      </w:r>
      <w:r w:rsidR="00DD471A" w:rsidRPr="00333F60">
        <w:t>also is important to</w:t>
      </w:r>
      <w:r w:rsidRPr="00333F60">
        <w:t xml:space="preserve"> note that the </w:t>
      </w:r>
      <w:r w:rsidR="00DD471A" w:rsidRPr="00333F60">
        <w:t>after</w:t>
      </w:r>
      <w:r w:rsidR="00F03697">
        <w:noBreakHyphen/>
      </w:r>
      <w:r w:rsidR="00DD471A" w:rsidRPr="00333F60">
        <w:t xml:space="preserve">tax </w:t>
      </w:r>
      <w:r w:rsidRPr="00333F60">
        <w:t xml:space="preserve">consumption price is </w:t>
      </w:r>
      <w:r w:rsidR="00DD471A" w:rsidRPr="00333F60">
        <w:t xml:space="preserve">calibrated </w:t>
      </w:r>
      <w:r w:rsidRPr="00333F60">
        <w:t>to be 1 in the baseline</w:t>
      </w:r>
      <w:r w:rsidR="009D3D52" w:rsidRPr="00333F60">
        <w:t xml:space="preserve"> (</w:t>
      </w:r>
      <w:r w:rsidR="00621AD1">
        <w:t>that is</w:t>
      </w:r>
      <w:r w:rsidR="009D3D52" w:rsidRPr="00333F60">
        <w:t>, </w:t>
      </w:r>
      <w:r w:rsidR="008F0AC9" w:rsidRPr="00333F60">
        <w:t>p</w:t>
      </w:r>
      <w:r w:rsidR="008F0AC9" w:rsidRPr="00333F60">
        <w:rPr>
          <w:vertAlign w:val="subscript"/>
        </w:rPr>
        <w:t>c0</w:t>
      </w:r>
      <w:r w:rsidR="008F0AC9" w:rsidRPr="00333F60">
        <w:t>(1+</w:t>
      </w:r>
      <w:r w:rsidR="008F0AC9" w:rsidRPr="00333F60">
        <w:rPr>
          <w:rFonts w:ascii="Symbol" w:hAnsi="Symbol"/>
        </w:rPr>
        <w:t></w:t>
      </w:r>
      <w:r w:rsidR="008F0AC9" w:rsidRPr="00333F60">
        <w:rPr>
          <w:vertAlign w:val="subscript"/>
        </w:rPr>
        <w:t>c0</w:t>
      </w:r>
      <w:r w:rsidR="008F0AC9" w:rsidRPr="00333F60">
        <w:t>)=1</w:t>
      </w:r>
      <w:r w:rsidR="009D3D52" w:rsidRPr="00333F60">
        <w:t>)</w:t>
      </w:r>
      <w:r w:rsidRPr="00333F60">
        <w:t xml:space="preserve">, </w:t>
      </w:r>
      <w:r w:rsidR="00DD471A" w:rsidRPr="00333F60">
        <w:t xml:space="preserve">which means the </w:t>
      </w:r>
      <w:r w:rsidR="002A0742" w:rsidRPr="00333F60">
        <w:t xml:space="preserve">marginal </w:t>
      </w:r>
      <w:r w:rsidR="00DD471A" w:rsidRPr="00333F60">
        <w:t>excess burden is measured in dollars</w:t>
      </w:r>
      <w:r w:rsidRPr="00333F60">
        <w:t>.</w:t>
      </w:r>
    </w:p>
    <w:p w14:paraId="29DD6989" w14:textId="77777777" w:rsidR="00CF0475" w:rsidRDefault="00CF0475" w:rsidP="00CF0475">
      <w:pPr>
        <w:pStyle w:val="Heading3"/>
      </w:pPr>
      <w:r>
        <w:t>Identifying the economic incidence of taxation</w:t>
      </w:r>
    </w:p>
    <w:p w14:paraId="29DD698A" w14:textId="7ED44990" w:rsidR="003B0832" w:rsidRDefault="00B92EDD" w:rsidP="006857BC">
      <w:r w:rsidRPr="002D1151">
        <w:t>An important consideration in taxation design is the economic incidence of a tax change. The legal and economic incidence of a tax do</w:t>
      </w:r>
      <w:r w:rsidR="00495896" w:rsidRPr="002D1151">
        <w:t>es</w:t>
      </w:r>
      <w:r w:rsidRPr="002D1151">
        <w:t xml:space="preserve"> not always coincide</w:t>
      </w:r>
      <w:r w:rsidR="009566C5" w:rsidRPr="002D1151">
        <w:t>:</w:t>
      </w:r>
      <w:r w:rsidRPr="002D1151">
        <w:t xml:space="preserve"> agent</w:t>
      </w:r>
      <w:r w:rsidR="006E104E" w:rsidRPr="002D1151">
        <w:t>s</w:t>
      </w:r>
      <w:r w:rsidRPr="002D1151">
        <w:t xml:space="preserve"> </w:t>
      </w:r>
      <w:r w:rsidR="009566C5" w:rsidRPr="002D1151">
        <w:t xml:space="preserve">that are </w:t>
      </w:r>
      <w:r w:rsidRPr="002D1151">
        <w:t xml:space="preserve">legally responsible for paying </w:t>
      </w:r>
      <w:r w:rsidR="009566C5" w:rsidRPr="002D1151">
        <w:t>a</w:t>
      </w:r>
      <w:r w:rsidRPr="002D1151">
        <w:t xml:space="preserve"> tax </w:t>
      </w:r>
      <w:r w:rsidR="009566C5" w:rsidRPr="002D1151">
        <w:t xml:space="preserve">can </w:t>
      </w:r>
      <w:r w:rsidRPr="002D1151">
        <w:t xml:space="preserve">directly or indirectly pass </w:t>
      </w:r>
      <w:r w:rsidR="009566C5" w:rsidRPr="002D1151">
        <w:t xml:space="preserve">the tax burden </w:t>
      </w:r>
      <w:r w:rsidRPr="002D1151">
        <w:t>on to other agents</w:t>
      </w:r>
      <w:r w:rsidR="009566C5" w:rsidRPr="002D1151">
        <w:t xml:space="preserve">. </w:t>
      </w:r>
      <w:r w:rsidR="00CF0475" w:rsidRPr="002D1151">
        <w:t xml:space="preserve">In a general equilibrium framework </w:t>
      </w:r>
      <w:r w:rsidR="00D36BFB" w:rsidRPr="002D1151">
        <w:t xml:space="preserve">tax </w:t>
      </w:r>
      <w:r w:rsidR="00CF0475" w:rsidRPr="002D1151">
        <w:t xml:space="preserve">changes </w:t>
      </w:r>
      <w:r w:rsidR="003B0832" w:rsidRPr="002D1151">
        <w:t xml:space="preserve">affect not only </w:t>
      </w:r>
      <w:r w:rsidR="00CF0475" w:rsidRPr="002D1151">
        <w:t>supply and demand in the market directly affected by a tax</w:t>
      </w:r>
      <w:r w:rsidR="003B0832" w:rsidRPr="002D1151">
        <w:t>, but</w:t>
      </w:r>
      <w:r w:rsidR="00CF0475" w:rsidRPr="002D1151">
        <w:t xml:space="preserve"> </w:t>
      </w:r>
      <w:r w:rsidR="00DE7CC9" w:rsidRPr="002D1151">
        <w:t xml:space="preserve">potentially </w:t>
      </w:r>
      <w:r w:rsidR="003B0832" w:rsidRPr="002D1151">
        <w:t>demand and supply in</w:t>
      </w:r>
      <w:r w:rsidR="00CF0475" w:rsidRPr="002D1151">
        <w:t xml:space="preserve"> </w:t>
      </w:r>
      <w:r w:rsidR="00DE7CC9" w:rsidRPr="002D1151">
        <w:t>other</w:t>
      </w:r>
      <w:r w:rsidR="00CF0475" w:rsidRPr="002D1151">
        <w:t xml:space="preserve"> markets.</w:t>
      </w:r>
      <w:r w:rsidR="00D36BFB" w:rsidRPr="002D1151">
        <w:t xml:space="preserve"> For example, </w:t>
      </w:r>
      <w:r w:rsidR="00ED3F68" w:rsidRPr="002D1151">
        <w:t xml:space="preserve">an increase in the tax </w:t>
      </w:r>
      <w:r w:rsidR="003B0832" w:rsidRPr="002D1151">
        <w:t>on the income of an elastically supplied factor of production</w:t>
      </w:r>
      <w:r w:rsidR="00ED3F68" w:rsidRPr="002D1151">
        <w:t xml:space="preserve"> </w:t>
      </w:r>
      <w:r w:rsidR="003B0832" w:rsidRPr="002D1151">
        <w:t xml:space="preserve">will reduce its demand and </w:t>
      </w:r>
      <w:r w:rsidR="00ED3F68" w:rsidRPr="002D1151">
        <w:t xml:space="preserve">will in turn reduce the demand for </w:t>
      </w:r>
      <w:r w:rsidR="003B0832" w:rsidRPr="002D1151">
        <w:t xml:space="preserve">complementary </w:t>
      </w:r>
      <w:r w:rsidR="00ED3F68" w:rsidRPr="002D1151">
        <w:t xml:space="preserve">factors </w:t>
      </w:r>
      <w:r w:rsidR="003B0832" w:rsidRPr="002D1151">
        <w:t>of</w:t>
      </w:r>
      <w:r w:rsidR="00ED3F68" w:rsidRPr="002D1151">
        <w:t xml:space="preserve"> production, which will cau</w:t>
      </w:r>
      <w:r w:rsidR="003B0832" w:rsidRPr="002D1151">
        <w:t>se their rental prices (</w:t>
      </w:r>
      <w:r w:rsidR="00406AE1" w:rsidRPr="002D1151">
        <w:t>and</w:t>
      </w:r>
      <w:r w:rsidR="003D1812">
        <w:t xml:space="preserve"> factor incomes) to fall. If </w:t>
      </w:r>
      <w:r w:rsidR="003B0832" w:rsidRPr="002D1151">
        <w:t>one were to analyse just the buyers and sellers in the first factor market</w:t>
      </w:r>
      <w:r w:rsidR="00290DEE" w:rsidRPr="002D1151">
        <w:t>,</w:t>
      </w:r>
      <w:r w:rsidR="003B0832" w:rsidRPr="002D1151">
        <w:t xml:space="preserve"> they would ignore the economic costs borne by buyers and sellers in the other factor markets.</w:t>
      </w:r>
    </w:p>
    <w:p w14:paraId="29DD698B" w14:textId="08906CF1" w:rsidR="00CF0475" w:rsidRDefault="009566C5" w:rsidP="006857BC">
      <w:r>
        <w:t>T</w:t>
      </w:r>
      <w:r w:rsidR="00400A4C">
        <w:t>h</w:t>
      </w:r>
      <w:r>
        <w:t>is paper exploits the</w:t>
      </w:r>
      <w:r w:rsidR="00400A4C">
        <w:t xml:space="preserve"> expenditure function approach underlying the </w:t>
      </w:r>
      <w:r w:rsidR="00B87A51">
        <w:t xml:space="preserve">marginal </w:t>
      </w:r>
      <w:r>
        <w:t>excess burden</w:t>
      </w:r>
      <w:r w:rsidR="00400A4C">
        <w:t xml:space="preserve"> calculation </w:t>
      </w:r>
      <w:r w:rsidR="00A842F1">
        <w:t xml:space="preserve">by further </w:t>
      </w:r>
      <w:r w:rsidR="00400A4C">
        <w:t>decompos</w:t>
      </w:r>
      <w:r w:rsidR="00A842F1">
        <w:t>ing</w:t>
      </w:r>
      <w:r w:rsidR="00400A4C">
        <w:t xml:space="preserve"> the </w:t>
      </w:r>
      <w:r w:rsidR="00A842F1">
        <w:t xml:space="preserve">value of household consumption </w:t>
      </w:r>
      <w:r w:rsidR="00400A4C">
        <w:t>into changes in</w:t>
      </w:r>
      <w:r w:rsidR="00900B39">
        <w:t xml:space="preserve"> </w:t>
      </w:r>
      <w:r w:rsidR="00A842F1">
        <w:t>after</w:t>
      </w:r>
      <w:r w:rsidR="00F03697">
        <w:noBreakHyphen/>
      </w:r>
      <w:r w:rsidR="00A842F1">
        <w:t xml:space="preserve">tax </w:t>
      </w:r>
      <w:r w:rsidR="00900B39">
        <w:t>factor incomes</w:t>
      </w:r>
      <w:r w:rsidR="00400A4C">
        <w:t>, savings and transfers</w:t>
      </w:r>
      <w:r w:rsidR="00A842F1">
        <w:t>.</w:t>
      </w:r>
      <w:r w:rsidR="00470A6A">
        <w:t xml:space="preserve"> As such the tax incidence is notionally measured in terms of the effect on workers</w:t>
      </w:r>
      <w:r w:rsidR="00DC5E3A">
        <w:t xml:space="preserve"> </w:t>
      </w:r>
      <w:r w:rsidR="00470A6A">
        <w:t>and capital</w:t>
      </w:r>
      <w:r w:rsidR="00DC5E3A">
        <w:t xml:space="preserve"> </w:t>
      </w:r>
      <w:r w:rsidR="00470A6A">
        <w:t>owners.</w:t>
      </w:r>
    </w:p>
    <w:p w14:paraId="29DD698C" w14:textId="77777777" w:rsidR="00F012EA" w:rsidRDefault="005604EC" w:rsidP="00AC51D8">
      <w:pPr>
        <w:pStyle w:val="Heading2"/>
      </w:pPr>
      <w:r>
        <w:t>Company income tax</w:t>
      </w:r>
    </w:p>
    <w:p w14:paraId="29DD698D" w14:textId="0D9BEC2A" w:rsidR="00A83AA2" w:rsidRDefault="00F11C37" w:rsidP="006857BC">
      <w:r w:rsidRPr="001B5B3E">
        <w:t xml:space="preserve">The legal incidence of the </w:t>
      </w:r>
      <w:r>
        <w:t>company income tax is on firms who own both</w:t>
      </w:r>
      <w:r w:rsidRPr="001B5B3E">
        <w:t xml:space="preserve"> variable capital </w:t>
      </w:r>
      <w:r>
        <w:t>and</w:t>
      </w:r>
      <w:r w:rsidRPr="001B5B3E">
        <w:t xml:space="preserve"> fixed factors of production such as land and economic rents.</w:t>
      </w:r>
      <w:r w:rsidR="00632BC7">
        <w:rPr>
          <w:rStyle w:val="FootnoteReference"/>
        </w:rPr>
        <w:footnoteReference w:id="20"/>
      </w:r>
      <w:r>
        <w:t xml:space="preserve"> Under a </w:t>
      </w:r>
      <w:r w:rsidR="000D37B3">
        <w:t>company income tax</w:t>
      </w:r>
      <w:r>
        <w:t xml:space="preserve"> firms pay a percentage of their profits, allowing for various deductions, to government. Firms themselves are owned by both domestic residents and foreign investors.</w:t>
      </w:r>
      <w:r w:rsidR="009D1CA2">
        <w:t xml:space="preserve"> Domestic residen</w:t>
      </w:r>
      <w:r w:rsidR="0095527B">
        <w:t>ts</w:t>
      </w:r>
      <w:r w:rsidR="009D1CA2">
        <w:t xml:space="preserve"> receive franking credits for company income tax paid on dividends, which means company income tax is essentially a withholding tax.</w:t>
      </w:r>
    </w:p>
    <w:p w14:paraId="29DD6990" w14:textId="5D7D9ED4" w:rsidR="004442C2" w:rsidRPr="006857BC" w:rsidRDefault="005604EC" w:rsidP="006857BC">
      <w:pPr>
        <w:pStyle w:val="Heading3"/>
      </w:pPr>
      <w:r w:rsidRPr="006857BC">
        <w:lastRenderedPageBreak/>
        <w:t>Theory</w:t>
      </w:r>
      <w:r w:rsidR="0095527B" w:rsidRPr="006857BC">
        <w:t xml:space="preserve"> and key assumptions</w:t>
      </w:r>
    </w:p>
    <w:p w14:paraId="4A03FA65" w14:textId="79C72AC7" w:rsidR="00B10931" w:rsidRDefault="004442C2" w:rsidP="006857BC">
      <w:r w:rsidRPr="006857BC">
        <w:t>We assume that Australia is a small open economy with a</w:t>
      </w:r>
      <w:r w:rsidR="009A5A3F" w:rsidRPr="006857BC">
        <w:t xml:space="preserve"> fixed domestically owned capital stock</w:t>
      </w:r>
      <w:r w:rsidRPr="006857BC">
        <w:t>.</w:t>
      </w:r>
      <w:r w:rsidR="007E6868" w:rsidRPr="006857BC">
        <w:rPr>
          <w:rStyle w:val="FootnoteReference"/>
        </w:rPr>
        <w:footnoteReference w:id="21"/>
      </w:r>
      <w:r w:rsidRPr="006857BC">
        <w:rPr>
          <w:rStyle w:val="FootnoteReference"/>
        </w:rPr>
        <w:t xml:space="preserve"> </w:t>
      </w:r>
      <w:r>
        <w:t xml:space="preserve">Importantly we assume that Australia faces a perfectly elastic supply of </w:t>
      </w:r>
      <w:r w:rsidR="004638E2">
        <w:t xml:space="preserve">international </w:t>
      </w:r>
      <w:r>
        <w:t>capital at the global required rate of return (r</w:t>
      </w:r>
      <w:r w:rsidRPr="00075B64">
        <w:rPr>
          <w:vertAlign w:val="subscript"/>
        </w:rPr>
        <w:t>w</w:t>
      </w:r>
      <w:r>
        <w:t xml:space="preserve">). </w:t>
      </w:r>
      <w:r w:rsidR="00B10931">
        <w:t>We consider this to be a reasonable assumption for a static analysis of the long run impacts of taxes on welfare (</w:t>
      </w:r>
      <w:r w:rsidR="00285633">
        <w:t xml:space="preserve">we explore the sensitivity of this assumption </w:t>
      </w:r>
      <w:r w:rsidR="003D1812">
        <w:t>in Appendix </w:t>
      </w:r>
      <w:r w:rsidR="00B10931">
        <w:t>A).</w:t>
      </w:r>
    </w:p>
    <w:p w14:paraId="29DD6991" w14:textId="5DD13E21" w:rsidR="00075B64" w:rsidRDefault="005604EC" w:rsidP="006857BC">
      <w:r>
        <w:t xml:space="preserve">The </w:t>
      </w:r>
      <w:r w:rsidR="006D34BD">
        <w:t>c</w:t>
      </w:r>
      <w:r>
        <w:t>ompany income tax drives a wedge between</w:t>
      </w:r>
      <w:r w:rsidRPr="001B5B3E">
        <w:t xml:space="preserve"> the before</w:t>
      </w:r>
      <w:r w:rsidR="00F03697">
        <w:noBreakHyphen/>
      </w:r>
      <w:r w:rsidRPr="001B5B3E">
        <w:t xml:space="preserve">tax rate of return </w:t>
      </w:r>
      <w:r>
        <w:t>and after</w:t>
      </w:r>
      <w:r w:rsidR="00F03697">
        <w:noBreakHyphen/>
      </w:r>
      <w:r>
        <w:t>tax rate of return</w:t>
      </w:r>
      <w:r w:rsidR="004442C2">
        <w:t xml:space="preserve">. In the case of a small open economy </w:t>
      </w:r>
      <w:r w:rsidR="00357080">
        <w:t xml:space="preserve">subject to perfect capital flows, </w:t>
      </w:r>
      <w:r w:rsidR="004442C2">
        <w:t>the before</w:t>
      </w:r>
      <w:r w:rsidR="00F03697">
        <w:noBreakHyphen/>
      </w:r>
      <w:r w:rsidR="004442C2">
        <w:t xml:space="preserve">tax rate of return </w:t>
      </w:r>
      <w:r w:rsidR="00357080">
        <w:t>will be high enough to ensure the after</w:t>
      </w:r>
      <w:r w:rsidR="00F03697">
        <w:noBreakHyphen/>
      </w:r>
      <w:r w:rsidR="00357080">
        <w:t>tax rate of return equals the global required rate of return</w:t>
      </w:r>
      <w:r w:rsidR="00075B64">
        <w:t>:</w:t>
      </w:r>
    </w:p>
    <w:p w14:paraId="4E43DC4F" w14:textId="13A069A1" w:rsidR="008F3CC5" w:rsidRDefault="008F3CC5" w:rsidP="008F3CC5">
      <w:pPr>
        <w:pStyle w:val="MTDisplayEquation"/>
      </w:pPr>
      <w:r>
        <w:tab/>
      </w:r>
      <w:r w:rsidR="00F74C14" w:rsidRPr="008F3CC5">
        <w:rPr>
          <w:position w:val="-30"/>
        </w:rPr>
        <w:object w:dxaOrig="1260" w:dyaOrig="680" w14:anchorId="4D7D10D9">
          <v:shape id="_x0000_i1030" type="#_x0000_t75" alt="This equation presents the before tax rate of return as the global required rate of return divided by one minus the tax on capital income." style="width:64.15pt;height:37.05pt" o:ole="">
            <v:imagedata r:id="rId37" o:title=""/>
          </v:shape>
          <o:OLEObject Type="Embed" ProgID="Equation.DSMT4" ShapeID="_x0000_i1030" DrawAspect="Content" ObjectID="_1489908545" r:id="rId38"/>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6</w:instrText>
      </w:r>
      <w:r w:rsidR="00866AD9">
        <w:rPr>
          <w:noProof/>
        </w:rPr>
        <w:fldChar w:fldCharType="end"/>
      </w:r>
      <w:r>
        <w:instrText>)</w:instrText>
      </w:r>
      <w:r>
        <w:fldChar w:fldCharType="end"/>
      </w:r>
    </w:p>
    <w:p w14:paraId="29DD6993" w14:textId="7416A7ED" w:rsidR="0023706A" w:rsidRDefault="00D81406" w:rsidP="00DC5E8B">
      <w:r>
        <w:t xml:space="preserve">In other words, </w:t>
      </w:r>
      <w:r w:rsidR="00075B64">
        <w:t>the after</w:t>
      </w:r>
      <w:r w:rsidR="00F03697">
        <w:noBreakHyphen/>
      </w:r>
      <w:r w:rsidR="00231EF8">
        <w:t>tax</w:t>
      </w:r>
      <w:r w:rsidR="00075B64">
        <w:t xml:space="preserve"> return </w:t>
      </w:r>
      <w:r w:rsidR="00231EF8">
        <w:t>of</w:t>
      </w:r>
      <w:r w:rsidR="00075B64">
        <w:t xml:space="preserve"> </w:t>
      </w:r>
      <w:r>
        <w:t xml:space="preserve">foreign investors </w:t>
      </w:r>
      <w:r w:rsidR="00075B64">
        <w:t xml:space="preserve">is always the </w:t>
      </w:r>
      <w:r>
        <w:t>global rate of return.</w:t>
      </w:r>
      <w:r w:rsidR="0023706A">
        <w:t xml:space="preserve"> This effect is captured in </w:t>
      </w:r>
      <w:r w:rsidR="00B843C6">
        <w:t xml:space="preserve">Figure </w:t>
      </w:r>
      <w:r w:rsidR="00B843C6">
        <w:rPr>
          <w:noProof/>
        </w:rPr>
        <w:t>2</w:t>
      </w:r>
      <w:r w:rsidR="0023706A">
        <w:t xml:space="preserve">. </w:t>
      </w:r>
      <w:r w:rsidR="0023706A" w:rsidRPr="0023706A">
        <w:t>Starting at the global supply curve S</w:t>
      </w:r>
      <w:r w:rsidR="0023706A" w:rsidRPr="0023706A">
        <w:rPr>
          <w:vertAlign w:val="subscript"/>
        </w:rPr>
        <w:t>W</w:t>
      </w:r>
      <w:r w:rsidR="0023706A">
        <w:t xml:space="preserve"> without tax, </w:t>
      </w:r>
      <w:r w:rsidR="0023706A" w:rsidRPr="0023706A">
        <w:t>the before</w:t>
      </w:r>
      <w:r w:rsidR="00F03697">
        <w:noBreakHyphen/>
      </w:r>
      <w:r w:rsidR="0023706A" w:rsidRPr="0023706A">
        <w:t>tax rate of return r</w:t>
      </w:r>
      <w:r w:rsidR="0023706A" w:rsidRPr="0023706A">
        <w:rPr>
          <w:vertAlign w:val="subscript"/>
        </w:rPr>
        <w:t>bt</w:t>
      </w:r>
      <w:r w:rsidR="0023706A">
        <w:t xml:space="preserve"> </w:t>
      </w:r>
      <w:r w:rsidR="006D34BD">
        <w:t xml:space="preserve">is </w:t>
      </w:r>
      <w:r w:rsidR="0023706A">
        <w:t>equal to r</w:t>
      </w:r>
      <w:r w:rsidR="0023706A" w:rsidRPr="0023706A">
        <w:rPr>
          <w:vertAlign w:val="subscript"/>
        </w:rPr>
        <w:t>w</w:t>
      </w:r>
      <w:r w:rsidR="000B3D22">
        <w:t xml:space="preserve">, with total capital equal to K. </w:t>
      </w:r>
      <w:r w:rsidR="003A1AAA">
        <w:t>With the fixed</w:t>
      </w:r>
      <w:r w:rsidR="00CD4CED">
        <w:t xml:space="preserve"> domestic</w:t>
      </w:r>
      <w:r w:rsidR="003A1AAA">
        <w:t xml:space="preserve"> saving</w:t>
      </w:r>
      <w:r w:rsidR="00CD4CED">
        <w:t>s</w:t>
      </w:r>
      <w:r w:rsidR="003A1AAA">
        <w:t xml:space="preserve"> assumption, the capital stock held by Australian residents does not change. </w:t>
      </w:r>
      <w:r w:rsidR="00CD4CED">
        <w:t>T</w:t>
      </w:r>
      <w:r w:rsidR="00F624A3">
        <w:t>he domestic savings schedule</w:t>
      </w:r>
      <w:r w:rsidR="00CD4CED">
        <w:t xml:space="preserve"> is</w:t>
      </w:r>
      <w:r w:rsidR="003A1AAA">
        <w:t xml:space="preserve"> </w:t>
      </w:r>
      <w:r w:rsidR="00EE6D00">
        <w:t>captured by S</w:t>
      </w:r>
      <w:r w:rsidR="00EE6D00" w:rsidRPr="0042687F">
        <w:rPr>
          <w:vertAlign w:val="superscript"/>
        </w:rPr>
        <w:t>D</w:t>
      </w:r>
      <w:r w:rsidR="00EE6D00">
        <w:t>, with the domestic</w:t>
      </w:r>
      <w:r w:rsidR="00BF78FB">
        <w:t>ally owned</w:t>
      </w:r>
      <w:r w:rsidR="00EE6D00">
        <w:t xml:space="preserve"> capital stock equal to K</w:t>
      </w:r>
      <w:r w:rsidR="00EE6D00" w:rsidRPr="0042687F">
        <w:rPr>
          <w:vertAlign w:val="superscript"/>
        </w:rPr>
        <w:t>D</w:t>
      </w:r>
      <w:r w:rsidR="003F0A93">
        <w:t>. This</w:t>
      </w:r>
      <w:r w:rsidR="00EE6D00">
        <w:t xml:space="preserve"> </w:t>
      </w:r>
      <w:r w:rsidR="000B3D22">
        <w:t xml:space="preserve">implies foreign </w:t>
      </w:r>
      <w:r w:rsidR="00BF78FB">
        <w:t xml:space="preserve">owned </w:t>
      </w:r>
      <w:r w:rsidR="000B3D22">
        <w:t xml:space="preserve">capital </w:t>
      </w:r>
      <w:r w:rsidR="00D60D8B">
        <w:t xml:space="preserve">is </w:t>
      </w:r>
      <w:r w:rsidR="003D1812">
        <w:t>equal to K</w:t>
      </w:r>
      <w:r w:rsidR="00F03697">
        <w:noBreakHyphen/>
      </w:r>
      <w:r w:rsidR="000B3D22">
        <w:t>K</w:t>
      </w:r>
      <w:r w:rsidR="000B3D22" w:rsidRPr="0042687F">
        <w:rPr>
          <w:vertAlign w:val="superscript"/>
        </w:rPr>
        <w:t>D</w:t>
      </w:r>
      <w:r w:rsidR="000B3D22">
        <w:t xml:space="preserve">. </w:t>
      </w:r>
      <w:r w:rsidR="0023706A">
        <w:t>The imposition of a tax</w:t>
      </w:r>
      <w:r w:rsidR="0023706A" w:rsidRPr="0023706A">
        <w:t xml:space="preserve"> cause</w:t>
      </w:r>
      <w:r w:rsidR="000B3D22">
        <w:t>s</w:t>
      </w:r>
      <w:r w:rsidR="0023706A" w:rsidRPr="0023706A">
        <w:t xml:space="preserve"> the after</w:t>
      </w:r>
      <w:r w:rsidR="00F03697">
        <w:noBreakHyphen/>
      </w:r>
      <w:r w:rsidR="0023706A" w:rsidRPr="0023706A">
        <w:t>tax rate of return of Australian capital to fall below the global rate of return. This will cause a capital outflow</w:t>
      </w:r>
      <w:r w:rsidR="00D60D8B">
        <w:t>.</w:t>
      </w:r>
      <w:r w:rsidR="0023706A" w:rsidRPr="0023706A">
        <w:t xml:space="preserve"> </w:t>
      </w:r>
      <w:r w:rsidR="00D60D8B">
        <w:t>A</w:t>
      </w:r>
      <w:r w:rsidR="0023706A" w:rsidRPr="0023706A">
        <w:t>ssuming diminishing returns to variable factors</w:t>
      </w:r>
      <w:r w:rsidR="003F0A93">
        <w:t>,</w:t>
      </w:r>
      <w:r w:rsidR="0023706A" w:rsidRPr="0023706A">
        <w:t xml:space="preserve"> the lower capital stock will result in higher productivity of capital and a higher after</w:t>
      </w:r>
      <w:r w:rsidR="00F03697">
        <w:noBreakHyphen/>
      </w:r>
      <w:r w:rsidR="0023706A" w:rsidRPr="0023706A">
        <w:t>tax rate of return</w:t>
      </w:r>
      <w:r w:rsidR="0023706A" w:rsidRPr="000B3D22">
        <w:t>.</w:t>
      </w:r>
      <w:r w:rsidR="000B3D22" w:rsidRPr="000B3D22">
        <w:t xml:space="preserve"> The capital outflow will end when the after</w:t>
      </w:r>
      <w:r w:rsidR="00F03697">
        <w:noBreakHyphen/>
      </w:r>
      <w:r w:rsidR="000B3D22" w:rsidRPr="000B3D22">
        <w:t xml:space="preserve">tax rate of return is equal to the </w:t>
      </w:r>
      <w:r w:rsidR="00D60D8B">
        <w:t xml:space="preserve">global </w:t>
      </w:r>
      <w:r w:rsidR="000B3D22" w:rsidRPr="000B3D22">
        <w:t>rate of return required by foreigners</w:t>
      </w:r>
      <w:r w:rsidR="00085D88">
        <w:t xml:space="preserve">, which implies the </w:t>
      </w:r>
      <w:r w:rsidR="00D60D8B">
        <w:t xml:space="preserve">higher </w:t>
      </w:r>
      <w:r w:rsidR="00085D88">
        <w:t>before</w:t>
      </w:r>
      <w:r w:rsidR="00F03697">
        <w:noBreakHyphen/>
      </w:r>
      <w:r w:rsidR="00085D88">
        <w:t>tax rate</w:t>
      </w:r>
      <w:r w:rsidR="000B3D22" w:rsidRPr="000B3D22">
        <w:t xml:space="preserve"> </w:t>
      </w:r>
      <w:r w:rsidR="00D60D8B">
        <w:t xml:space="preserve">of return </w:t>
      </w:r>
      <w:r w:rsidR="000B3D22">
        <w:t>r</w:t>
      </w:r>
      <w:r w:rsidR="000B3D22" w:rsidRPr="000B3D22">
        <w:rPr>
          <w:vertAlign w:val="subscript"/>
        </w:rPr>
        <w:t>bt</w:t>
      </w:r>
      <w:r w:rsidR="00F03697">
        <w:t>’</w:t>
      </w:r>
      <w:r w:rsidR="002E0794">
        <w:t xml:space="preserve"> </w:t>
      </w:r>
      <w:r w:rsidR="000B3D22" w:rsidRPr="000B3D22">
        <w:t xml:space="preserve">at </w:t>
      </w:r>
      <w:r w:rsidR="00085D88">
        <w:t xml:space="preserve">the </w:t>
      </w:r>
      <w:r w:rsidR="000B3D22">
        <w:t xml:space="preserve">new </w:t>
      </w:r>
      <w:r w:rsidR="00085D88">
        <w:t xml:space="preserve">equilibrium </w:t>
      </w:r>
      <w:r w:rsidR="000B3D22">
        <w:t>capital stock</w:t>
      </w:r>
      <w:r w:rsidR="00085D88">
        <w:t xml:space="preserve"> of</w:t>
      </w:r>
      <w:r w:rsidR="000B3D22">
        <w:t xml:space="preserve"> </w:t>
      </w:r>
      <w:r w:rsidR="000B3D22" w:rsidRPr="000B3D22">
        <w:t>K</w:t>
      </w:r>
      <w:r w:rsidR="00F03697">
        <w:t>’</w:t>
      </w:r>
      <w:r w:rsidR="000B3D22" w:rsidRPr="000B3D22">
        <w:t>&lt; K.</w:t>
      </w:r>
      <w:r w:rsidR="002E0794">
        <w:t xml:space="preserve"> The company tax revenue i</w:t>
      </w:r>
      <w:r w:rsidR="0042687F">
        <w:t>n this case is equal to sum of C</w:t>
      </w:r>
      <w:r w:rsidR="002E0794">
        <w:t>,</w:t>
      </w:r>
      <w:r w:rsidR="0042687F">
        <w:t xml:space="preserve"> D and</w:t>
      </w:r>
      <w:r w:rsidR="002E0794">
        <w:t xml:space="preserve"> E. </w:t>
      </w:r>
    </w:p>
    <w:p w14:paraId="29DD6994" w14:textId="285BA2C4" w:rsidR="005D145F" w:rsidRDefault="00B843C6" w:rsidP="00DC5E8B">
      <w:r>
        <w:t xml:space="preserve">Figure </w:t>
      </w:r>
      <w:r>
        <w:rPr>
          <w:noProof/>
        </w:rPr>
        <w:t>2</w:t>
      </w:r>
      <w:r w:rsidR="007535C4">
        <w:t xml:space="preserve"> also </w:t>
      </w:r>
      <w:r w:rsidR="00EF2609" w:rsidRPr="00907868">
        <w:t>plots the response of the Australia</w:t>
      </w:r>
      <w:r w:rsidR="00FE6A87">
        <w:t>n</w:t>
      </w:r>
      <w:r w:rsidR="00EF2609" w:rsidRPr="00907868">
        <w:t xml:space="preserve"> variable capital market to a</w:t>
      </w:r>
      <w:r w:rsidR="005D145F" w:rsidRPr="00907868">
        <w:t xml:space="preserve"> </w:t>
      </w:r>
      <w:r w:rsidR="007535C4">
        <w:t xml:space="preserve">marginally </w:t>
      </w:r>
      <w:r w:rsidR="005D145F" w:rsidRPr="00907868">
        <w:t>higher company tax rate</w:t>
      </w:r>
      <w:r w:rsidR="00EF2609" w:rsidRPr="00907868">
        <w:t>.</w:t>
      </w:r>
      <w:r w:rsidR="005D145F" w:rsidRPr="00907868">
        <w:t xml:space="preserve"> </w:t>
      </w:r>
      <w:r w:rsidR="000A7C9B" w:rsidRPr="00EE6D00">
        <w:t xml:space="preserve">Starting at the </w:t>
      </w:r>
      <w:r w:rsidR="00EE6D00">
        <w:t xml:space="preserve">effective </w:t>
      </w:r>
      <w:r w:rsidR="000A7C9B" w:rsidRPr="00EE6D00">
        <w:t>global supply curve S</w:t>
      </w:r>
      <w:r w:rsidR="00345723" w:rsidRPr="00EE6D00">
        <w:rPr>
          <w:vertAlign w:val="subscript"/>
        </w:rPr>
        <w:t>W</w:t>
      </w:r>
      <w:r w:rsidR="00F03697">
        <w:t>’</w:t>
      </w:r>
      <w:r w:rsidR="00085D88" w:rsidRPr="00EE6D00">
        <w:t xml:space="preserve"> </w:t>
      </w:r>
      <w:r w:rsidR="000A7C9B" w:rsidRPr="00EE6D00">
        <w:t>at the before</w:t>
      </w:r>
      <w:r w:rsidR="00F03697">
        <w:noBreakHyphen/>
      </w:r>
      <w:r w:rsidR="000A7C9B" w:rsidRPr="00EE6D00">
        <w:t>tax rate of return r</w:t>
      </w:r>
      <w:r w:rsidR="00085D88" w:rsidRPr="00EE6D00">
        <w:rPr>
          <w:vertAlign w:val="subscript"/>
        </w:rPr>
        <w:t>bt</w:t>
      </w:r>
      <w:r w:rsidR="00F03697">
        <w:t>’</w:t>
      </w:r>
      <w:r w:rsidR="00085D88" w:rsidRPr="00EE6D00">
        <w:t xml:space="preserve"> </w:t>
      </w:r>
      <w:r w:rsidR="000A7C9B" w:rsidRPr="00EE6D00">
        <w:t xml:space="preserve">a higher company </w:t>
      </w:r>
      <w:r w:rsidR="00D60D8B">
        <w:t xml:space="preserve">income </w:t>
      </w:r>
      <w:r w:rsidR="000A7C9B" w:rsidRPr="00EE6D00">
        <w:t>tax rate will cause the after</w:t>
      </w:r>
      <w:r w:rsidR="00F03697">
        <w:noBreakHyphen/>
      </w:r>
      <w:r w:rsidR="000A7C9B" w:rsidRPr="00EE6D00">
        <w:t>tax</w:t>
      </w:r>
      <w:r w:rsidR="005D145F" w:rsidRPr="00EE6D00">
        <w:t xml:space="preserve"> rate of return of Australian capital </w:t>
      </w:r>
      <w:r w:rsidR="000A7C9B" w:rsidRPr="00EE6D00">
        <w:t xml:space="preserve">to fall </w:t>
      </w:r>
      <w:r w:rsidR="005D145F" w:rsidRPr="00EE6D00">
        <w:t xml:space="preserve">below the global rate of return. </w:t>
      </w:r>
      <w:r w:rsidR="00085D88" w:rsidRPr="00EE6D00">
        <w:t>Again, t</w:t>
      </w:r>
      <w:r w:rsidR="003E39BF" w:rsidRPr="00EE6D00">
        <w:t>his will cause a capital outflow</w:t>
      </w:r>
      <w:r w:rsidR="005776EE">
        <w:t>.</w:t>
      </w:r>
      <w:r w:rsidR="003E39BF" w:rsidRPr="00EE6D00">
        <w:t xml:space="preserve"> </w:t>
      </w:r>
      <w:r w:rsidR="00D60D8B">
        <w:t>T</w:t>
      </w:r>
      <w:r w:rsidR="00632BC7">
        <w:t>he lower</w:t>
      </w:r>
      <w:r w:rsidR="003E39BF" w:rsidRPr="00EE6D00">
        <w:t xml:space="preserve"> capital stock will result in higher productivity of capital and a h</w:t>
      </w:r>
      <w:r w:rsidR="00085D88" w:rsidRPr="00EE6D00">
        <w:t xml:space="preserve">igher </w:t>
      </w:r>
      <w:r w:rsidR="00D60D8B">
        <w:t>before</w:t>
      </w:r>
      <w:r w:rsidR="00F03697">
        <w:noBreakHyphen/>
      </w:r>
      <w:r w:rsidR="00085D88" w:rsidRPr="00EE6D00">
        <w:t>tax rate of return</w:t>
      </w:r>
      <w:r w:rsidR="00085D88">
        <w:t>, with the new equilibrium at r</w:t>
      </w:r>
      <w:r w:rsidR="00085D88" w:rsidRPr="00085D88">
        <w:rPr>
          <w:vertAlign w:val="subscript"/>
        </w:rPr>
        <w:t>bt</w:t>
      </w:r>
      <w:r w:rsidR="00F03697">
        <w:t>”</w:t>
      </w:r>
      <w:r w:rsidR="00085D88">
        <w:t xml:space="preserve"> and K</w:t>
      </w:r>
      <w:r w:rsidR="00F03697">
        <w:t>”</w:t>
      </w:r>
      <w:r w:rsidR="00085D88">
        <w:t>.</w:t>
      </w:r>
    </w:p>
    <w:p w14:paraId="29DD6995" w14:textId="18D58ADA" w:rsidR="0087001C" w:rsidRDefault="0087001C" w:rsidP="00E82F3E">
      <w:pPr>
        <w:pStyle w:val="Caption1"/>
      </w:pPr>
      <w:bookmarkStart w:id="5" w:name="_Ref398458779"/>
      <w:r>
        <w:lastRenderedPageBreak/>
        <w:t xml:space="preserve">Figure </w:t>
      </w:r>
      <w:r w:rsidR="00866AD9">
        <w:fldChar w:fldCharType="begin"/>
      </w:r>
      <w:r w:rsidR="00866AD9">
        <w:instrText xml:space="preserve"> SEQ Figure \* ARABIC </w:instrText>
      </w:r>
      <w:r w:rsidR="00866AD9">
        <w:fldChar w:fldCharType="separate"/>
      </w:r>
      <w:r w:rsidR="00AA2137">
        <w:rPr>
          <w:noProof/>
        </w:rPr>
        <w:t>2</w:t>
      </w:r>
      <w:r w:rsidR="00866AD9">
        <w:rPr>
          <w:noProof/>
        </w:rPr>
        <w:fldChar w:fldCharType="end"/>
      </w:r>
      <w:bookmarkEnd w:id="5"/>
      <w:r>
        <w:t>: Company income tax</w:t>
      </w:r>
      <w:r w:rsidR="004C5CFD">
        <w:t xml:space="preserve"> — </w:t>
      </w:r>
      <w:r w:rsidRPr="001B5B3E">
        <w:t>Variable capital market</w:t>
      </w:r>
      <w:r>
        <w:t xml:space="preserve"> response</w:t>
      </w:r>
    </w:p>
    <w:p w14:paraId="29DD6996" w14:textId="676411F8" w:rsidR="005604EC" w:rsidRDefault="00026B2F" w:rsidP="00FD52B5">
      <w:pPr>
        <w:pStyle w:val="Caption1"/>
      </w:pPr>
      <w:r w:rsidRPr="00026B2F">
        <w:rPr>
          <w:noProof/>
        </w:rPr>
        <w:drawing>
          <wp:inline distT="0" distB="0" distL="0" distR="0" wp14:anchorId="3CDB8021" wp14:editId="0C8EEEBD">
            <wp:extent cx="3998595" cy="3515995"/>
            <wp:effectExtent l="0" t="0" r="0" b="8255"/>
            <wp:docPr id="10" name="Picture 10" descr="This figure describes the response of the domestic variable capital market to a marginally higher company tax rate. " title="Company income tax - variable capital marke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8595" cy="3515995"/>
                    </a:xfrm>
                    <a:prstGeom prst="rect">
                      <a:avLst/>
                    </a:prstGeom>
                    <a:noFill/>
                    <a:ln>
                      <a:noFill/>
                    </a:ln>
                  </pic:spPr>
                </pic:pic>
              </a:graphicData>
            </a:graphic>
          </wp:inline>
        </w:drawing>
      </w:r>
    </w:p>
    <w:p w14:paraId="7A25DBC2" w14:textId="77777777" w:rsidR="00926C39" w:rsidRPr="008B1C71" w:rsidRDefault="00926C39" w:rsidP="00926C39">
      <w:pPr>
        <w:pStyle w:val="SingleParagraph"/>
        <w:rPr>
          <w:lang w:eastAsia="en-AU"/>
        </w:rPr>
      </w:pPr>
    </w:p>
    <w:p w14:paraId="29DD6997" w14:textId="2B931028" w:rsidR="00345723" w:rsidRDefault="00345723" w:rsidP="00C93BD1">
      <w:r w:rsidRPr="001B457D">
        <w:t xml:space="preserve">A higher tax rate implies </w:t>
      </w:r>
      <w:r w:rsidR="005776EE">
        <w:t xml:space="preserve">the </w:t>
      </w:r>
      <w:r w:rsidR="001B457D">
        <w:t>change in</w:t>
      </w:r>
      <w:r w:rsidR="00C93BD1" w:rsidRPr="001B457D">
        <w:t xml:space="preserve"> </w:t>
      </w:r>
      <w:r w:rsidR="005776EE">
        <w:t xml:space="preserve">company income </w:t>
      </w:r>
      <w:r w:rsidR="00C93BD1" w:rsidRPr="001B457D">
        <w:t xml:space="preserve">tax revenue from foreign owned variable capital </w:t>
      </w:r>
      <w:r w:rsidR="00D60D8B">
        <w:t>is</w:t>
      </w:r>
      <w:r w:rsidR="00B20B1A" w:rsidRPr="001B457D">
        <w:t xml:space="preserve"> </w:t>
      </w:r>
      <w:r w:rsidR="001B457D">
        <w:t>B minus</w:t>
      </w:r>
      <w:r w:rsidR="00EE6D00">
        <w:t> </w:t>
      </w:r>
      <w:r w:rsidR="0042687F">
        <w:t>E</w:t>
      </w:r>
      <w:r w:rsidR="001B457D">
        <w:t xml:space="preserve">, while </w:t>
      </w:r>
      <w:r w:rsidR="005776EE">
        <w:t xml:space="preserve">company income tax </w:t>
      </w:r>
      <w:r w:rsidR="001B457D">
        <w:t xml:space="preserve">revenue from </w:t>
      </w:r>
      <w:r w:rsidR="00C93BD1" w:rsidRPr="001B5B3E">
        <w:t>domestically owned variable capital</w:t>
      </w:r>
      <w:r w:rsidR="00B20B1A">
        <w:t xml:space="preserve"> </w:t>
      </w:r>
      <w:r w:rsidR="001B457D">
        <w:t>rises by A</w:t>
      </w:r>
      <w:r w:rsidR="00C93BD1" w:rsidRPr="001B5B3E">
        <w:t xml:space="preserve">. </w:t>
      </w:r>
    </w:p>
    <w:p w14:paraId="29DD6998" w14:textId="43DF8C33" w:rsidR="00C93BD1" w:rsidRDefault="007E2CE4" w:rsidP="00C93BD1">
      <w:r>
        <w:t xml:space="preserve">It is important to keep in mind that the </w:t>
      </w:r>
      <w:r w:rsidR="005776EE">
        <w:t xml:space="preserve">company </w:t>
      </w:r>
      <w:r>
        <w:t>income tax r</w:t>
      </w:r>
      <w:r w:rsidR="00C93BD1">
        <w:t xml:space="preserve">evenue from domestically owned capital is </w:t>
      </w:r>
      <w:r w:rsidR="00C93BD1" w:rsidRPr="001B5B3E">
        <w:t xml:space="preserve">largely </w:t>
      </w:r>
      <w:r w:rsidR="00C93BD1">
        <w:t>returned</w:t>
      </w:r>
      <w:r w:rsidR="00C93BD1" w:rsidRPr="001B5B3E">
        <w:t xml:space="preserve"> in the form of franking credits</w:t>
      </w:r>
      <w:r w:rsidR="00304E24">
        <w:t xml:space="preserve">, with </w:t>
      </w:r>
      <w:r w:rsidR="001863BF">
        <w:t>the resulting income taxed at the personal income tax rate</w:t>
      </w:r>
      <w:r w:rsidR="00C93BD1">
        <w:t xml:space="preserve">. </w:t>
      </w:r>
      <w:r w:rsidR="00D429E5">
        <w:t>Holding the personal income tax rate constant, t</w:t>
      </w:r>
      <w:r w:rsidR="00C93BD1">
        <w:t xml:space="preserve">his </w:t>
      </w:r>
      <w:r w:rsidR="00304E24">
        <w:t xml:space="preserve">analysis </w:t>
      </w:r>
      <w:r w:rsidR="00C93BD1">
        <w:t xml:space="preserve">implies a </w:t>
      </w:r>
      <w:r w:rsidR="00304E24">
        <w:t xml:space="preserve">higher </w:t>
      </w:r>
      <w:r w:rsidR="00C93BD1">
        <w:t xml:space="preserve">company income tax rate raises the return to domestic owners of </w:t>
      </w:r>
      <w:r w:rsidR="00304E24">
        <w:t xml:space="preserve">variable </w:t>
      </w:r>
      <w:r w:rsidR="00C93BD1">
        <w:t>capital.</w:t>
      </w:r>
    </w:p>
    <w:p w14:paraId="29DD6999" w14:textId="22CF59B8" w:rsidR="00F45163" w:rsidRDefault="002513AD" w:rsidP="00C93BD1">
      <w:r>
        <w:t xml:space="preserve">Consistent with the variable capital analysis reported here, </w:t>
      </w:r>
      <w:r w:rsidR="00F600D2" w:rsidRPr="00C61E70">
        <w:t xml:space="preserve">Johansson, </w:t>
      </w:r>
      <w:r w:rsidR="00F600D2" w:rsidRPr="00FB1A2D">
        <w:t>et al.</w:t>
      </w:r>
      <w:r w:rsidR="00F600D2" w:rsidRPr="00C61E70">
        <w:t xml:space="preserve"> (2008)</w:t>
      </w:r>
      <w:r w:rsidR="00932F79">
        <w:t>,</w:t>
      </w:r>
      <w:r w:rsidR="00F600D2">
        <w:t xml:space="preserve"> </w:t>
      </w:r>
      <w:r>
        <w:t xml:space="preserve">in their survey of taxation and economic growth </w:t>
      </w:r>
      <w:r w:rsidR="00F600D2">
        <w:t xml:space="preserve">note that </w:t>
      </w:r>
      <w:r>
        <w:t>raising</w:t>
      </w:r>
      <w:r w:rsidR="00F600D2">
        <w:t xml:space="preserve"> sourced</w:t>
      </w:r>
      <w:r w:rsidR="00F03697">
        <w:noBreakHyphen/>
      </w:r>
      <w:r w:rsidR="00F600D2">
        <w:t>based capital income (such as the company</w:t>
      </w:r>
      <w:r w:rsidR="00C61E70">
        <w:t xml:space="preserve"> income</w:t>
      </w:r>
      <w:r w:rsidR="00F600D2">
        <w:t xml:space="preserve"> tax) </w:t>
      </w:r>
      <w:r>
        <w:t>in an open economy tends to reduce and distort domestic investment. In contrast, they note that resident</w:t>
      </w:r>
      <w:r w:rsidR="00F03697">
        <w:noBreakHyphen/>
      </w:r>
      <w:r>
        <w:t>based capital income tax (such as the franked company income tax through the personal income tax system) may discourage saving without affecting domestic investment.</w:t>
      </w:r>
      <w:r w:rsidR="00E1146C">
        <w:t xml:space="preserve"> They go on to state that taxes on personal income may affect investment decisions by small firms that can only access domestic saving</w:t>
      </w:r>
      <w:r w:rsidR="00D60D8B">
        <w:t xml:space="preserve">. Given </w:t>
      </w:r>
      <w:r w:rsidR="00E1146C">
        <w:t xml:space="preserve">that most investment is undertaken by large firms with access to international funds, </w:t>
      </w:r>
      <w:r w:rsidR="000C161A">
        <w:t xml:space="preserve">changes to </w:t>
      </w:r>
      <w:r w:rsidR="00E1146C">
        <w:t xml:space="preserve">personal income taxes are likely to have a small effect on </w:t>
      </w:r>
      <w:r w:rsidR="000C161A">
        <w:t>investment</w:t>
      </w:r>
      <w:r w:rsidR="00E1146C">
        <w:t>.</w:t>
      </w:r>
      <w:r w:rsidR="003D1812">
        <w:t xml:space="preserve"> At </w:t>
      </w:r>
      <w:r>
        <w:t xml:space="preserve">the same time, they note that empirical evidence on the sensitivity of savings to </w:t>
      </w:r>
      <w:r w:rsidR="00D60D8B">
        <w:t xml:space="preserve">the change of the </w:t>
      </w:r>
      <w:r>
        <w:t>after</w:t>
      </w:r>
      <w:r w:rsidR="00F03697">
        <w:noBreakHyphen/>
      </w:r>
      <w:r>
        <w:t xml:space="preserve">tax rate </w:t>
      </w:r>
      <w:r w:rsidR="00C61E70">
        <w:t>of return on capital</w:t>
      </w:r>
      <w:r>
        <w:t xml:space="preserve"> is inconclusive.</w:t>
      </w:r>
      <w:r w:rsidR="00E42FE4">
        <w:t xml:space="preserve"> This suggests that the </w:t>
      </w:r>
      <w:r w:rsidR="00D60D8B">
        <w:t xml:space="preserve">assumption </w:t>
      </w:r>
      <w:r w:rsidR="005776EE">
        <w:t xml:space="preserve">of a </w:t>
      </w:r>
      <w:r w:rsidR="00CD470D">
        <w:t>fixed</w:t>
      </w:r>
      <w:r w:rsidR="00E42FE4">
        <w:t xml:space="preserve"> domestic </w:t>
      </w:r>
      <w:r w:rsidR="00B179B3">
        <w:t>owned capital stock</w:t>
      </w:r>
      <w:r w:rsidR="00E42FE4">
        <w:t xml:space="preserve"> is reasonable.</w:t>
      </w:r>
    </w:p>
    <w:p w14:paraId="29DD699A" w14:textId="282BF2EF" w:rsidR="005604EC" w:rsidRPr="001B5B3E" w:rsidRDefault="00664CAC" w:rsidP="00DC5E8B">
      <w:r>
        <w:t>F</w:t>
      </w:r>
      <w:r w:rsidR="005604EC">
        <w:t xml:space="preserve">irms also </w:t>
      </w:r>
      <w:r w:rsidR="00790A23">
        <w:t>use</w:t>
      </w:r>
      <w:r w:rsidR="005604EC">
        <w:t xml:space="preserve"> fixed factors </w:t>
      </w:r>
      <w:r w:rsidR="00F624A3">
        <w:t xml:space="preserve">such as </w:t>
      </w:r>
      <w:r w:rsidR="005604EC">
        <w:t>land</w:t>
      </w:r>
      <w:r w:rsidR="00C6664A">
        <w:t>, firm</w:t>
      </w:r>
      <w:r w:rsidR="00F03697">
        <w:noBreakHyphen/>
      </w:r>
      <w:r w:rsidR="00C6664A">
        <w:t>specific and location</w:t>
      </w:r>
      <w:r w:rsidR="00F03697">
        <w:noBreakHyphen/>
      </w:r>
      <w:r w:rsidR="00C6664A">
        <w:t>specific factors</w:t>
      </w:r>
      <w:r w:rsidR="005604EC">
        <w:t>.</w:t>
      </w:r>
      <w:r w:rsidR="003332B0">
        <w:rPr>
          <w:rStyle w:val="FootnoteReference"/>
        </w:rPr>
        <w:footnoteReference w:id="22"/>
      </w:r>
      <w:r w:rsidR="005604EC">
        <w:t xml:space="preserve"> </w:t>
      </w:r>
      <w:r w:rsidR="005604EC" w:rsidRPr="001B5B3E">
        <w:t>The fixed factor market</w:t>
      </w:r>
      <w:r w:rsidR="00D60D8B">
        <w:t>s are</w:t>
      </w:r>
      <w:r w:rsidR="005604EC" w:rsidRPr="001B5B3E">
        <w:t xml:space="preserve"> affected by </w:t>
      </w:r>
      <w:r>
        <w:t xml:space="preserve">a change in </w:t>
      </w:r>
      <w:r w:rsidR="005604EC" w:rsidRPr="001B5B3E">
        <w:t xml:space="preserve">the </w:t>
      </w:r>
      <w:r w:rsidR="005604EC">
        <w:t xml:space="preserve">company income tax </w:t>
      </w:r>
      <w:r>
        <w:t xml:space="preserve">rate </w:t>
      </w:r>
      <w:r w:rsidR="005604EC" w:rsidRPr="001B5B3E">
        <w:t xml:space="preserve">in two ways: directly </w:t>
      </w:r>
      <w:r w:rsidR="005604EC">
        <w:t xml:space="preserve">by driving a </w:t>
      </w:r>
      <w:r>
        <w:lastRenderedPageBreak/>
        <w:t xml:space="preserve">wider </w:t>
      </w:r>
      <w:r w:rsidR="005604EC">
        <w:t>wedge between the before</w:t>
      </w:r>
      <w:r w:rsidR="00F03697">
        <w:noBreakHyphen/>
      </w:r>
      <w:r w:rsidR="0086773F">
        <w:t xml:space="preserve"> </w:t>
      </w:r>
      <w:r w:rsidR="005604EC">
        <w:t xml:space="preserve">and </w:t>
      </w:r>
      <w:r w:rsidR="005604EC" w:rsidRPr="001B5B3E">
        <w:t>after</w:t>
      </w:r>
      <w:r w:rsidR="00F03697">
        <w:noBreakHyphen/>
      </w:r>
      <w:r w:rsidR="005604EC" w:rsidRPr="001B5B3E">
        <w:t xml:space="preserve">tax </w:t>
      </w:r>
      <w:r w:rsidR="00EE6D00">
        <w:t>rental rate</w:t>
      </w:r>
      <w:r w:rsidR="00D60D8B">
        <w:t>s</w:t>
      </w:r>
      <w:r w:rsidR="005604EC" w:rsidRPr="001B5B3E">
        <w:t xml:space="preserve">; and indirectly </w:t>
      </w:r>
      <w:r w:rsidR="005604EC">
        <w:t>by lowering the demand for fixed factors.</w:t>
      </w:r>
    </w:p>
    <w:p w14:paraId="29DD699B" w14:textId="55689DE7" w:rsidR="0087001C" w:rsidRPr="00FD52B5" w:rsidRDefault="0087001C" w:rsidP="00E82F3E">
      <w:pPr>
        <w:pStyle w:val="Caption1"/>
      </w:pPr>
      <w:bookmarkStart w:id="6" w:name="_Ref398458821"/>
      <w:r w:rsidRPr="00FD52B5">
        <w:t xml:space="preserve">Figure </w:t>
      </w:r>
      <w:r w:rsidR="00866AD9">
        <w:fldChar w:fldCharType="begin"/>
      </w:r>
      <w:r w:rsidR="00866AD9">
        <w:instrText xml:space="preserve"> SEQ Figure \* ARABIC </w:instrText>
      </w:r>
      <w:r w:rsidR="00866AD9">
        <w:fldChar w:fldCharType="separate"/>
      </w:r>
      <w:r w:rsidR="00AA2137">
        <w:rPr>
          <w:noProof/>
        </w:rPr>
        <w:t>3</w:t>
      </w:r>
      <w:r w:rsidR="00866AD9">
        <w:rPr>
          <w:noProof/>
        </w:rPr>
        <w:fldChar w:fldCharType="end"/>
      </w:r>
      <w:bookmarkEnd w:id="6"/>
      <w:r w:rsidRPr="00FD52B5">
        <w:t>: Company income tax</w:t>
      </w:r>
      <w:r w:rsidR="004C5CFD" w:rsidRPr="00FD52B5">
        <w:t xml:space="preserve"> — </w:t>
      </w:r>
      <w:r w:rsidRPr="00FD52B5">
        <w:t>Fixed factor market response</w:t>
      </w:r>
    </w:p>
    <w:p w14:paraId="29DD699C" w14:textId="316DC329" w:rsidR="005604EC" w:rsidRDefault="00026B2F" w:rsidP="00FD52B5">
      <w:pPr>
        <w:pStyle w:val="Caption1"/>
        <w:rPr>
          <w:noProof/>
        </w:rPr>
      </w:pPr>
      <w:r w:rsidRPr="00FD52B5">
        <w:rPr>
          <w:noProof/>
        </w:rPr>
        <w:drawing>
          <wp:inline distT="0" distB="0" distL="0" distR="0" wp14:anchorId="42204596" wp14:editId="6824771E">
            <wp:extent cx="3216910" cy="3324860"/>
            <wp:effectExtent l="0" t="0" r="0" b="0"/>
            <wp:docPr id="9" name="Picture 9" descr="This figure describes the fixed factor market response to a marginally higher rate of company income tax. " title="Company income tax - fixed factor marke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6910" cy="3324860"/>
                    </a:xfrm>
                    <a:prstGeom prst="rect">
                      <a:avLst/>
                    </a:prstGeom>
                    <a:noFill/>
                    <a:ln>
                      <a:noFill/>
                    </a:ln>
                  </pic:spPr>
                </pic:pic>
              </a:graphicData>
            </a:graphic>
          </wp:inline>
        </w:drawing>
      </w:r>
    </w:p>
    <w:p w14:paraId="05BD70D8" w14:textId="77777777" w:rsidR="00926C39" w:rsidRDefault="00926C39" w:rsidP="00926C39">
      <w:pPr>
        <w:pStyle w:val="SingleParagraph"/>
        <w:rPr>
          <w:lang w:eastAsia="en-AU"/>
        </w:rPr>
      </w:pPr>
    </w:p>
    <w:p w14:paraId="29DD699D" w14:textId="0E98BEE9" w:rsidR="005604EC" w:rsidRDefault="005604EC" w:rsidP="00DC5E8B">
      <w:r>
        <w:t xml:space="preserve">The reduction in </w:t>
      </w:r>
      <w:r w:rsidR="0086773F">
        <w:t xml:space="preserve">the </w:t>
      </w:r>
      <w:r>
        <w:t>variable capital</w:t>
      </w:r>
      <w:r w:rsidR="0086773F">
        <w:t xml:space="preserve"> stock</w:t>
      </w:r>
      <w:r>
        <w:t xml:space="preserve">, caused by </w:t>
      </w:r>
      <w:r w:rsidR="00D60D8B">
        <w:t xml:space="preserve">a higher rate of </w:t>
      </w:r>
      <w:r>
        <w:t xml:space="preserve">company income tax, reduces the productivity of fixed factors and </w:t>
      </w:r>
      <w:r w:rsidR="00D60D8B">
        <w:t xml:space="preserve">thus the </w:t>
      </w:r>
      <w:r>
        <w:t>demand</w:t>
      </w:r>
      <w:r w:rsidR="006348CA">
        <w:t xml:space="preserve"> for fixed factors</w:t>
      </w:r>
      <w:r>
        <w:t>. Th</w:t>
      </w:r>
      <w:r w:rsidR="006348CA">
        <w:t>e</w:t>
      </w:r>
      <w:r>
        <w:t xml:space="preserve"> change in demand in </w:t>
      </w:r>
      <w:r w:rsidR="00B843C6">
        <w:t xml:space="preserve">Figure </w:t>
      </w:r>
      <w:r w:rsidR="00B843C6">
        <w:rPr>
          <w:noProof/>
        </w:rPr>
        <w:t>3</w:t>
      </w:r>
      <w:r>
        <w:t xml:space="preserve"> </w:t>
      </w:r>
      <w:r w:rsidR="006348CA">
        <w:t>is captured by</w:t>
      </w:r>
      <w:r>
        <w:t xml:space="preserve"> the shift in the demand curve from D to D</w:t>
      </w:r>
      <w:r w:rsidR="00F03697">
        <w:t>’</w:t>
      </w:r>
      <w:r w:rsidR="006348CA">
        <w:t>. Th</w:t>
      </w:r>
      <w:r w:rsidR="00D60D8B">
        <w:t>is</w:t>
      </w:r>
      <w:r w:rsidR="006348CA">
        <w:t xml:space="preserve"> </w:t>
      </w:r>
      <w:r w:rsidR="00A74881">
        <w:t xml:space="preserve">leads to a </w:t>
      </w:r>
      <w:r>
        <w:t>reduction in the before</w:t>
      </w:r>
      <w:r w:rsidR="00F03697">
        <w:noBreakHyphen/>
      </w:r>
      <w:r>
        <w:t xml:space="preserve">tax </w:t>
      </w:r>
      <w:r w:rsidR="00EE6D00">
        <w:t>rental rate</w:t>
      </w:r>
      <w:r>
        <w:t xml:space="preserve"> </w:t>
      </w:r>
      <w:r w:rsidR="00A74881">
        <w:t xml:space="preserve">with equilibrium restored at </w:t>
      </w:r>
      <w:r w:rsidR="0042687F">
        <w:t>q</w:t>
      </w:r>
      <w:r w:rsidR="0042687F" w:rsidRPr="00E557C6">
        <w:rPr>
          <w:vertAlign w:val="subscript"/>
        </w:rPr>
        <w:t>bt</w:t>
      </w:r>
      <w:r w:rsidR="00F03697">
        <w:t>’</w:t>
      </w:r>
      <w:r w:rsidR="00A74881">
        <w:t xml:space="preserve"> &lt; </w:t>
      </w:r>
      <w:r w:rsidR="00EE6D00">
        <w:t>q</w:t>
      </w:r>
      <w:r w:rsidR="00A74881" w:rsidRPr="00E557C6">
        <w:rPr>
          <w:vertAlign w:val="subscript"/>
        </w:rPr>
        <w:t>bt</w:t>
      </w:r>
      <w:r w:rsidR="00A74881">
        <w:t xml:space="preserve">. </w:t>
      </w:r>
      <w:r w:rsidR="00D60D8B">
        <w:t>The owner</w:t>
      </w:r>
      <w:r w:rsidR="00807CFE">
        <w:t>s</w:t>
      </w:r>
      <w:r w:rsidR="00D60D8B">
        <w:t xml:space="preserve"> of f</w:t>
      </w:r>
      <w:r w:rsidR="00A74881">
        <w:t>ixed capital are also subject to the capital income tax. At the initial before</w:t>
      </w:r>
      <w:r w:rsidR="00F03697">
        <w:noBreakHyphen/>
      </w:r>
      <w:r w:rsidR="00A74881">
        <w:t xml:space="preserve">tax </w:t>
      </w:r>
      <w:r w:rsidR="00EE6D00">
        <w:t>rental rate</w:t>
      </w:r>
      <w:r w:rsidR="00A74881">
        <w:t xml:space="preserve"> of </w:t>
      </w:r>
      <w:r w:rsidR="00EE6D00">
        <w:t>q</w:t>
      </w:r>
      <w:r w:rsidR="00A74881" w:rsidRPr="00E557C6">
        <w:rPr>
          <w:vertAlign w:val="subscript"/>
        </w:rPr>
        <w:t>bt</w:t>
      </w:r>
      <w:r w:rsidR="00A74881">
        <w:t xml:space="preserve"> the</w:t>
      </w:r>
      <w:r>
        <w:t xml:space="preserve"> revenue collected by </w:t>
      </w:r>
      <w:r w:rsidR="00807CFE">
        <w:t xml:space="preserve">the </w:t>
      </w:r>
      <w:r>
        <w:t xml:space="preserve">government </w:t>
      </w:r>
      <w:r w:rsidR="00FA330B">
        <w:t xml:space="preserve">is </w:t>
      </w:r>
      <w:r w:rsidR="00A74881">
        <w:t xml:space="preserve">equal to </w:t>
      </w:r>
      <w:r w:rsidR="008A0E27">
        <w:t>A and B</w:t>
      </w:r>
      <w:r w:rsidR="00A74881">
        <w:t xml:space="preserve">, implying an </w:t>
      </w:r>
      <w:r>
        <w:t>after</w:t>
      </w:r>
      <w:r w:rsidR="00F03697">
        <w:noBreakHyphen/>
      </w:r>
      <w:r>
        <w:t>tax</w:t>
      </w:r>
      <w:r w:rsidR="00EE6D00">
        <w:t xml:space="preserve"> rental rate</w:t>
      </w:r>
      <w:r>
        <w:t xml:space="preserve"> </w:t>
      </w:r>
      <w:r w:rsidR="00A74881">
        <w:t>of</w:t>
      </w:r>
      <w:r>
        <w:t xml:space="preserve"> </w:t>
      </w:r>
      <w:r w:rsidR="00EE6D00">
        <w:t>q</w:t>
      </w:r>
      <w:r>
        <w:rPr>
          <w:vertAlign w:val="subscript"/>
        </w:rPr>
        <w:t>at</w:t>
      </w:r>
      <w:r>
        <w:t xml:space="preserve">. </w:t>
      </w:r>
      <w:r w:rsidR="00A74881">
        <w:t xml:space="preserve">Capital income will fall </w:t>
      </w:r>
      <w:r w:rsidR="00D60D8B">
        <w:t xml:space="preserve">with </w:t>
      </w:r>
      <w:r w:rsidR="00A74881">
        <w:t>the tax change, with the new after</w:t>
      </w:r>
      <w:r w:rsidR="00F03697">
        <w:noBreakHyphen/>
      </w:r>
      <w:r w:rsidR="00EE6D00">
        <w:t>tax rental rate</w:t>
      </w:r>
      <w:r w:rsidR="00A74881">
        <w:t xml:space="preserve"> of </w:t>
      </w:r>
      <w:r w:rsidR="00EE6D00">
        <w:t>q</w:t>
      </w:r>
      <w:r w:rsidR="00A74881">
        <w:rPr>
          <w:vertAlign w:val="subscript"/>
        </w:rPr>
        <w:t>at</w:t>
      </w:r>
      <w:r w:rsidR="00F03697">
        <w:t>’</w:t>
      </w:r>
      <w:r w:rsidR="00A74881">
        <w:t>&lt;</w:t>
      </w:r>
      <w:r w:rsidR="00A74881" w:rsidRPr="00A74881">
        <w:t xml:space="preserve"> </w:t>
      </w:r>
      <w:r w:rsidR="00EE6D00">
        <w:t>q</w:t>
      </w:r>
      <w:r w:rsidR="00A74881">
        <w:rPr>
          <w:vertAlign w:val="subscript"/>
        </w:rPr>
        <w:t>at</w:t>
      </w:r>
      <w:r w:rsidR="004C5CFD">
        <w:rPr>
          <w:vertAlign w:val="subscript"/>
        </w:rPr>
        <w:t xml:space="preserve">. </w:t>
      </w:r>
      <w:r w:rsidR="00D60D8B">
        <w:t xml:space="preserve">The </w:t>
      </w:r>
      <w:r w:rsidR="00A74881">
        <w:t xml:space="preserve">change in tax revenue </w:t>
      </w:r>
      <w:r w:rsidR="00D60D8B">
        <w:t xml:space="preserve">is </w:t>
      </w:r>
      <w:r w:rsidR="008A0E27">
        <w:t>equal to C</w:t>
      </w:r>
      <w:r w:rsidR="00A74881">
        <w:t xml:space="preserve"> minus </w:t>
      </w:r>
      <w:r w:rsidR="008A0E27">
        <w:t>A</w:t>
      </w:r>
      <w:r w:rsidR="00596F6D">
        <w:t xml:space="preserve">, with total revenue </w:t>
      </w:r>
      <w:r w:rsidR="00C61E70">
        <w:t>being</w:t>
      </w:r>
      <w:r w:rsidR="008A0E27">
        <w:t xml:space="preserve"> C plus B</w:t>
      </w:r>
      <w:r w:rsidR="00A74881">
        <w:t xml:space="preserve">. Again, it is important to keep in mind that the capital income </w:t>
      </w:r>
      <w:r w:rsidR="00C044F1">
        <w:t xml:space="preserve">tax paid </w:t>
      </w:r>
      <w:r w:rsidR="00A74881">
        <w:t>by domestic capital owners is largely</w:t>
      </w:r>
      <w:r w:rsidR="0069709E">
        <w:t xml:space="preserve"> </w:t>
      </w:r>
      <w:r w:rsidR="00A74881">
        <w:t>returned</w:t>
      </w:r>
      <w:r w:rsidR="0069709E">
        <w:t xml:space="preserve"> </w:t>
      </w:r>
      <w:r w:rsidR="0069709E" w:rsidRPr="001B5B3E">
        <w:t xml:space="preserve">through </w:t>
      </w:r>
      <w:r w:rsidR="0069709E">
        <w:t>franking credits</w:t>
      </w:r>
      <w:r w:rsidR="00943923">
        <w:t xml:space="preserve">, which offsets the direct effect </w:t>
      </w:r>
      <w:r w:rsidR="00D60D8B">
        <w:t>on</w:t>
      </w:r>
      <w:r w:rsidR="00943923">
        <w:t xml:space="preserve"> the proportion of domestically owned fixed factors</w:t>
      </w:r>
      <w:r w:rsidR="00570FD9">
        <w:t>.</w:t>
      </w:r>
    </w:p>
    <w:p w14:paraId="29DD699E" w14:textId="4905A38E" w:rsidR="0023522B" w:rsidRDefault="00EE6D00" w:rsidP="00EE6D00">
      <w:r w:rsidRPr="00EE6D00">
        <w:t>While the company income tax is directly levied on firms the second round effects in the labour market are generally important for economic welfare.</w:t>
      </w:r>
      <w:r w:rsidR="00602B71">
        <w:rPr>
          <w:rStyle w:val="FootnoteReference"/>
        </w:rPr>
        <w:footnoteReference w:id="23"/>
      </w:r>
      <w:r w:rsidRPr="00EE6D00">
        <w:t xml:space="preserve"> The smaller capital stock following the tax change reduces the productivity of labour and therefore the demand for labour</w:t>
      </w:r>
      <w:r>
        <w:t xml:space="preserve">, which is captured in </w:t>
      </w:r>
      <w:r w:rsidR="00B843C6">
        <w:t xml:space="preserve">Figure </w:t>
      </w:r>
      <w:r w:rsidR="00B843C6">
        <w:rPr>
          <w:noProof/>
        </w:rPr>
        <w:t>4</w:t>
      </w:r>
      <w:r w:rsidRPr="00EE6D00">
        <w:t xml:space="preserve"> </w:t>
      </w:r>
      <w:r>
        <w:t>by the shift in demand from D to D</w:t>
      </w:r>
      <w:r w:rsidR="00F03697">
        <w:t>’</w:t>
      </w:r>
      <w:r>
        <w:t xml:space="preserve">. </w:t>
      </w:r>
      <w:r w:rsidR="0023522B">
        <w:t>Equilibrium is restored in the labour market</w:t>
      </w:r>
      <w:r w:rsidRPr="00EE6D00">
        <w:t xml:space="preserve"> </w:t>
      </w:r>
      <w:r w:rsidR="0023522B">
        <w:t xml:space="preserve">at </w:t>
      </w:r>
      <w:r w:rsidRPr="00EE6D00">
        <w:t>lower real wages</w:t>
      </w:r>
      <w:r>
        <w:t xml:space="preserve"> given by w</w:t>
      </w:r>
      <w:r w:rsidR="00F03697">
        <w:t>’</w:t>
      </w:r>
      <w:r>
        <w:t>&lt;w</w:t>
      </w:r>
      <w:r w:rsidRPr="00EE6D00">
        <w:t xml:space="preserve">, which in turn </w:t>
      </w:r>
      <w:r w:rsidR="0023522B">
        <w:t>causes</w:t>
      </w:r>
      <w:r w:rsidRPr="00EE6D00">
        <w:t xml:space="preserve"> labour supply</w:t>
      </w:r>
      <w:r>
        <w:t xml:space="preserve"> </w:t>
      </w:r>
      <w:r w:rsidR="00943923">
        <w:t>to fall to</w:t>
      </w:r>
      <w:r>
        <w:t xml:space="preserve"> H</w:t>
      </w:r>
      <w:r w:rsidR="00F03697">
        <w:t>’</w:t>
      </w:r>
      <w:r>
        <w:t>&lt;H</w:t>
      </w:r>
      <w:r w:rsidRPr="00EE6D00">
        <w:t xml:space="preserve">. </w:t>
      </w:r>
    </w:p>
    <w:p w14:paraId="29DD699F" w14:textId="0243E633" w:rsidR="00EE6D00" w:rsidRPr="001B5B3E" w:rsidRDefault="00943923" w:rsidP="00DC5E8B">
      <w:r>
        <w:t>Empirical studies find that l</w:t>
      </w:r>
      <w:r w:rsidR="00EE6D00" w:rsidRPr="00EE6D00">
        <w:t>abour supply is relatively inelastic</w:t>
      </w:r>
      <w:r w:rsidR="0023522B">
        <w:t xml:space="preserve">, which implies </w:t>
      </w:r>
      <w:r w:rsidR="00EE6D00" w:rsidRPr="00EE6D00">
        <w:t xml:space="preserve">the decline in </w:t>
      </w:r>
      <w:r w:rsidR="0023522B">
        <w:t xml:space="preserve">real </w:t>
      </w:r>
      <w:r w:rsidR="00EE6D00" w:rsidRPr="00EE6D00">
        <w:t xml:space="preserve">wages </w:t>
      </w:r>
      <w:r>
        <w:t>will be</w:t>
      </w:r>
      <w:r w:rsidR="00EE6D00" w:rsidRPr="00EE6D00">
        <w:t xml:space="preserve"> proportionately larger than the reduction in hours. Overall, the loss in labour income is represented by </w:t>
      </w:r>
      <w:r w:rsidR="0023522B">
        <w:t xml:space="preserve">the sum of </w:t>
      </w:r>
      <w:r w:rsidR="008A0E27">
        <w:t>A</w:t>
      </w:r>
      <w:r w:rsidR="0023522B">
        <w:t xml:space="preserve"> and </w:t>
      </w:r>
      <w:r w:rsidR="008A0E27">
        <w:t>B</w:t>
      </w:r>
      <w:r w:rsidR="00EE6D00" w:rsidRPr="00EE6D00">
        <w:t xml:space="preserve"> in</w:t>
      </w:r>
      <w:r w:rsidR="0023522B">
        <w:t xml:space="preserve"> </w:t>
      </w:r>
      <w:r w:rsidR="00B843C6">
        <w:t xml:space="preserve">Figure </w:t>
      </w:r>
      <w:r w:rsidR="00B843C6">
        <w:rPr>
          <w:noProof/>
        </w:rPr>
        <w:t>4</w:t>
      </w:r>
      <w:r w:rsidR="00EE6D00" w:rsidRPr="00EE6D00">
        <w:t>. In terms of the welfare effect on the labour market, the decrease in hours implies an increase in leisure</w:t>
      </w:r>
      <w:r>
        <w:t>.</w:t>
      </w:r>
    </w:p>
    <w:p w14:paraId="29DD69A0" w14:textId="7629B81E" w:rsidR="0087001C" w:rsidRDefault="0087001C" w:rsidP="00E82F3E">
      <w:pPr>
        <w:pStyle w:val="Caption1"/>
      </w:pPr>
      <w:bookmarkStart w:id="7" w:name="_Ref398458854"/>
      <w:r>
        <w:lastRenderedPageBreak/>
        <w:t xml:space="preserve">Figure </w:t>
      </w:r>
      <w:r w:rsidR="00866AD9">
        <w:fldChar w:fldCharType="begin"/>
      </w:r>
      <w:r w:rsidR="00866AD9">
        <w:instrText xml:space="preserve"> SEQ Figure \* ARABIC </w:instrText>
      </w:r>
      <w:r w:rsidR="00866AD9">
        <w:fldChar w:fldCharType="separate"/>
      </w:r>
      <w:r w:rsidR="00AA2137">
        <w:rPr>
          <w:noProof/>
        </w:rPr>
        <w:t>4</w:t>
      </w:r>
      <w:r w:rsidR="00866AD9">
        <w:rPr>
          <w:noProof/>
        </w:rPr>
        <w:fldChar w:fldCharType="end"/>
      </w:r>
      <w:bookmarkEnd w:id="7"/>
      <w:r>
        <w:t>: Company income tax</w:t>
      </w:r>
      <w:r w:rsidR="004C5CFD">
        <w:t xml:space="preserve"> — </w:t>
      </w:r>
      <w:r w:rsidRPr="001B5B3E">
        <w:t>Labour market</w:t>
      </w:r>
      <w:r>
        <w:t xml:space="preserve"> response</w:t>
      </w:r>
    </w:p>
    <w:p w14:paraId="29DD69A1" w14:textId="1253AA60" w:rsidR="005604EC" w:rsidRDefault="00026B2F" w:rsidP="00FD52B5">
      <w:pPr>
        <w:pStyle w:val="Caption1"/>
      </w:pPr>
      <w:r w:rsidRPr="00026B2F">
        <w:rPr>
          <w:noProof/>
        </w:rPr>
        <w:drawing>
          <wp:inline distT="0" distB="0" distL="0" distR="0" wp14:anchorId="65D3C4D9" wp14:editId="6C609224">
            <wp:extent cx="3533140" cy="3125470"/>
            <wp:effectExtent l="0" t="0" r="0" b="0"/>
            <wp:docPr id="12" name="Picture 12" descr="This figure describes the labour market response to an increase in the company income tax." title="Company income tax - labour marke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140" cy="3125470"/>
                    </a:xfrm>
                    <a:prstGeom prst="rect">
                      <a:avLst/>
                    </a:prstGeom>
                    <a:noFill/>
                    <a:ln>
                      <a:noFill/>
                    </a:ln>
                  </pic:spPr>
                </pic:pic>
              </a:graphicData>
            </a:graphic>
          </wp:inline>
        </w:drawing>
      </w:r>
    </w:p>
    <w:p w14:paraId="68643926" w14:textId="77777777" w:rsidR="00BF04BA" w:rsidRPr="00BF04BA" w:rsidRDefault="00BF04BA" w:rsidP="00BF04BA">
      <w:pPr>
        <w:pStyle w:val="SingleParagraph"/>
        <w:rPr>
          <w:lang w:eastAsia="en-AU"/>
        </w:rPr>
      </w:pPr>
    </w:p>
    <w:p w14:paraId="29DD69A2" w14:textId="18EB6608" w:rsidR="005604EC" w:rsidRDefault="005604EC">
      <w:r>
        <w:t xml:space="preserve">In aggregate we </w:t>
      </w:r>
      <w:r w:rsidR="002A00A4">
        <w:t xml:space="preserve">would </w:t>
      </w:r>
      <w:r w:rsidR="00A83AA2">
        <w:t xml:space="preserve">expect </w:t>
      </w:r>
      <w:r>
        <w:t xml:space="preserve">a capital tax </w:t>
      </w:r>
      <w:r w:rsidR="00386581">
        <w:t xml:space="preserve">change </w:t>
      </w:r>
      <w:r>
        <w:t xml:space="preserve">such as </w:t>
      </w:r>
      <w:r w:rsidR="00386581">
        <w:t xml:space="preserve">a change to </w:t>
      </w:r>
      <w:r>
        <w:t xml:space="preserve">the company income tax to </w:t>
      </w:r>
      <w:r w:rsidR="002A00A4">
        <w:t>ultimately cause a</w:t>
      </w:r>
      <w:r>
        <w:t xml:space="preserve"> </w:t>
      </w:r>
      <w:r w:rsidR="000C5F61">
        <w:t>decrease</w:t>
      </w:r>
      <w:r>
        <w:t xml:space="preserve"> in both </w:t>
      </w:r>
      <w:r w:rsidR="003D1812">
        <w:t xml:space="preserve">the </w:t>
      </w:r>
      <w:r>
        <w:t xml:space="preserve">supply of and demand for goods </w:t>
      </w:r>
      <w:r w:rsidR="00602B71">
        <w:t xml:space="preserve">and services </w:t>
      </w:r>
      <w:r>
        <w:t xml:space="preserve">as shown in </w:t>
      </w:r>
      <w:r w:rsidR="00B843C6">
        <w:t>Figure</w:t>
      </w:r>
      <w:r w:rsidR="00F80047">
        <w:t> </w:t>
      </w:r>
      <w:r w:rsidR="00B843C6">
        <w:rPr>
          <w:noProof/>
        </w:rPr>
        <w:t>5</w:t>
      </w:r>
      <w:r>
        <w:t xml:space="preserve">. This implies an aggregate reduction in activity and therefore GDP. As detailed above the </w:t>
      </w:r>
      <w:r w:rsidR="002A00A4">
        <w:t>decreased</w:t>
      </w:r>
      <w:r>
        <w:t xml:space="preserve"> supply is </w:t>
      </w:r>
      <w:r w:rsidR="002A00A4">
        <w:t>caused</w:t>
      </w:r>
      <w:r>
        <w:t xml:space="preserve"> by a lower capital stock and also </w:t>
      </w:r>
      <w:r w:rsidR="00953535">
        <w:t>lower</w:t>
      </w:r>
      <w:r w:rsidR="00D60D8B">
        <w:t xml:space="preserve"> working </w:t>
      </w:r>
      <w:r>
        <w:t>hours</w:t>
      </w:r>
      <w:r w:rsidR="00CC2640">
        <w:t>,</w:t>
      </w:r>
      <w:r>
        <w:t xml:space="preserve"> while the </w:t>
      </w:r>
      <w:r w:rsidR="002A00A4">
        <w:t>decreased</w:t>
      </w:r>
      <w:r>
        <w:t xml:space="preserve"> demand is caused by</w:t>
      </w:r>
      <w:r w:rsidR="00D60D8B">
        <w:t xml:space="preserve"> a</w:t>
      </w:r>
      <w:r>
        <w:t xml:space="preserve"> lower labour income. </w:t>
      </w:r>
      <w:r w:rsidR="00943923">
        <w:t>Given that</w:t>
      </w:r>
      <w:r>
        <w:t xml:space="preserve"> both supply and demand decline</w:t>
      </w:r>
      <w:r w:rsidR="00D60D8B">
        <w:t>,</w:t>
      </w:r>
      <w:r>
        <w:t xml:space="preserve"> the aggregate price effect is uncertain. In </w:t>
      </w:r>
      <w:r w:rsidR="00B843C6">
        <w:t xml:space="preserve">Figure </w:t>
      </w:r>
      <w:r w:rsidR="00B843C6">
        <w:rPr>
          <w:noProof/>
        </w:rPr>
        <w:t>5</w:t>
      </w:r>
      <w:r>
        <w:t xml:space="preserve"> </w:t>
      </w:r>
      <w:r w:rsidR="00943923">
        <w:t xml:space="preserve">we assume a slight decrease in the aggregate price, </w:t>
      </w:r>
      <w:r>
        <w:t>which is consistent with the results</w:t>
      </w:r>
      <w:r w:rsidR="004570FB">
        <w:t xml:space="preserve"> reported below </w:t>
      </w:r>
      <w:r w:rsidR="00943923">
        <w:t>and</w:t>
      </w:r>
      <w:r>
        <w:t xml:space="preserve"> </w:t>
      </w:r>
      <w:r w:rsidR="004570FB">
        <w:t xml:space="preserve">suggests </w:t>
      </w:r>
      <w:r>
        <w:t xml:space="preserve">the demand effect </w:t>
      </w:r>
      <w:r w:rsidR="004570FB">
        <w:t>is larger than the supply effect.</w:t>
      </w:r>
    </w:p>
    <w:p w14:paraId="29DD69A3" w14:textId="64DC723F" w:rsidR="0087001C" w:rsidRDefault="0087001C" w:rsidP="00E82F3E">
      <w:pPr>
        <w:pStyle w:val="Caption1"/>
      </w:pPr>
      <w:bookmarkStart w:id="8" w:name="_Ref398458871"/>
      <w:r>
        <w:t xml:space="preserve">Figure </w:t>
      </w:r>
      <w:r w:rsidR="00866AD9">
        <w:fldChar w:fldCharType="begin"/>
      </w:r>
      <w:r w:rsidR="00866AD9">
        <w:instrText xml:space="preserve"> SEQ Figure \* ARABIC </w:instrText>
      </w:r>
      <w:r w:rsidR="00866AD9">
        <w:fldChar w:fldCharType="separate"/>
      </w:r>
      <w:r w:rsidR="00AA2137">
        <w:rPr>
          <w:noProof/>
        </w:rPr>
        <w:t>5</w:t>
      </w:r>
      <w:r w:rsidR="00866AD9">
        <w:rPr>
          <w:noProof/>
        </w:rPr>
        <w:fldChar w:fldCharType="end"/>
      </w:r>
      <w:bookmarkEnd w:id="8"/>
      <w:r>
        <w:t>: Company income tax</w:t>
      </w:r>
      <w:r w:rsidR="004C5CFD">
        <w:t xml:space="preserve"> — </w:t>
      </w:r>
      <w:r>
        <w:t>G</w:t>
      </w:r>
      <w:r w:rsidRPr="00C75FBF">
        <w:t>oods market</w:t>
      </w:r>
      <w:r>
        <w:t xml:space="preserve"> response</w:t>
      </w:r>
    </w:p>
    <w:p w14:paraId="29DD69A4" w14:textId="7B6C1876" w:rsidR="005604EC" w:rsidRDefault="00026B2F" w:rsidP="00FD52B5">
      <w:pPr>
        <w:pStyle w:val="Caption1"/>
      </w:pPr>
      <w:r w:rsidRPr="00026B2F">
        <w:rPr>
          <w:noProof/>
        </w:rPr>
        <w:drawing>
          <wp:inline distT="0" distB="0" distL="0" distR="0" wp14:anchorId="25D2E4A9" wp14:editId="4C31B6C3">
            <wp:extent cx="3632835" cy="3058795"/>
            <wp:effectExtent l="0" t="0" r="0" b="8255"/>
            <wp:docPr id="15" name="Picture 15" descr="This figure describes the goods market response to an increase in the company income tax." title="Company income tax - goods marke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2835" cy="3058795"/>
                    </a:xfrm>
                    <a:prstGeom prst="rect">
                      <a:avLst/>
                    </a:prstGeom>
                    <a:noFill/>
                    <a:ln>
                      <a:noFill/>
                    </a:ln>
                  </pic:spPr>
                </pic:pic>
              </a:graphicData>
            </a:graphic>
          </wp:inline>
        </w:drawing>
      </w:r>
    </w:p>
    <w:p w14:paraId="2DA76779" w14:textId="77777777" w:rsidR="00BF04BA" w:rsidRPr="00BF04BA" w:rsidRDefault="00BF04BA" w:rsidP="00BF04BA">
      <w:pPr>
        <w:pStyle w:val="SingleParagraph"/>
        <w:rPr>
          <w:lang w:eastAsia="en-AU"/>
        </w:rPr>
      </w:pPr>
    </w:p>
    <w:p w14:paraId="29DD69A5" w14:textId="4480278D" w:rsidR="002A00A4" w:rsidRPr="001B5B3E" w:rsidRDefault="002A00A4" w:rsidP="002A00A4">
      <w:r>
        <w:lastRenderedPageBreak/>
        <w:t>This discussion demonstrates the complex nature of identifying incidence in an economy</w:t>
      </w:r>
      <w:r w:rsidR="00F03697">
        <w:noBreakHyphen/>
      </w:r>
      <w:r>
        <w:t xml:space="preserve">wide setting, with a direct tax on capital income affecting labour income, and ultimately the supply and demand of goods and services. </w:t>
      </w:r>
    </w:p>
    <w:p w14:paraId="29DD69A6" w14:textId="77777777" w:rsidR="00F012EA" w:rsidRDefault="005604EC" w:rsidP="005604EC">
      <w:pPr>
        <w:pStyle w:val="Heading3"/>
      </w:pPr>
      <w:r>
        <w:t>Results</w:t>
      </w:r>
    </w:p>
    <w:p w14:paraId="29DD69A7" w14:textId="13C5181C" w:rsidR="005604EC" w:rsidRDefault="003A2F01" w:rsidP="00DC5E8B">
      <w:r>
        <w:t>We analyse the</w:t>
      </w:r>
      <w:r w:rsidR="00632F5A">
        <w:t xml:space="preserve"> marginal</w:t>
      </w:r>
      <w:r>
        <w:t xml:space="preserve"> excess burden and incidence of the </w:t>
      </w:r>
      <w:r w:rsidR="005604EC">
        <w:t>company income tax by modelling a marginal increase in the company income tax rate</w:t>
      </w:r>
      <w:r w:rsidR="00D50105">
        <w:t xml:space="preserve"> sufficient to rais</w:t>
      </w:r>
      <w:r w:rsidR="00632BC7">
        <w:t>e</w:t>
      </w:r>
      <w:r w:rsidR="00D50105">
        <w:t xml:space="preserve"> one dollar of revenue from all taxes</w:t>
      </w:r>
      <w:r w:rsidR="00D60D8B">
        <w:t>, holding all other tax rates unchanged</w:t>
      </w:r>
      <w:r w:rsidR="007B26DA">
        <w:t>.</w:t>
      </w:r>
      <w:r w:rsidR="0029050C">
        <w:t xml:space="preserve"> Consistent with the </w:t>
      </w:r>
      <w:r w:rsidR="00B87A51">
        <w:t xml:space="preserve">marginal </w:t>
      </w:r>
      <w:r w:rsidR="0029050C">
        <w:t xml:space="preserve">excess burden discussion </w:t>
      </w:r>
      <w:r w:rsidR="00D60D8B">
        <w:t>in</w:t>
      </w:r>
      <w:r w:rsidR="0029050C">
        <w:t xml:space="preserve"> Section 2, all prices and values are </w:t>
      </w:r>
      <w:r w:rsidR="002E2658">
        <w:t xml:space="preserve">denominated </w:t>
      </w:r>
      <w:r w:rsidR="0029050C">
        <w:t xml:space="preserve">in </w:t>
      </w:r>
      <w:r w:rsidR="002E2658">
        <w:t>after</w:t>
      </w:r>
      <w:r w:rsidR="00F03697">
        <w:noBreakHyphen/>
      </w:r>
      <w:r w:rsidR="002E2658">
        <w:t xml:space="preserve">tax </w:t>
      </w:r>
      <w:r w:rsidR="0029050C">
        <w:t xml:space="preserve">consumption </w:t>
      </w:r>
      <w:r w:rsidR="002E2658">
        <w:t xml:space="preserve">prices </w:t>
      </w:r>
      <w:r w:rsidR="0029050C">
        <w:t>(</w:t>
      </w:r>
      <w:r w:rsidR="00621AD1">
        <w:t>that is,</w:t>
      </w:r>
      <w:r w:rsidR="0029050C">
        <w:t xml:space="preserve"> the </w:t>
      </w:r>
      <w:r w:rsidR="002E2658">
        <w:t>model</w:t>
      </w:r>
      <w:r w:rsidR="00F03697">
        <w:t>’</w:t>
      </w:r>
      <w:r w:rsidR="002E2658">
        <w:t xml:space="preserve">s </w:t>
      </w:r>
      <w:r w:rsidR="001F442C">
        <w:t>numeraire</w:t>
      </w:r>
      <w:r w:rsidR="0029050C">
        <w:t xml:space="preserve"> is the after</w:t>
      </w:r>
      <w:r w:rsidR="00F03697">
        <w:noBreakHyphen/>
      </w:r>
      <w:r w:rsidR="0029050C">
        <w:t>tax consumption price).</w:t>
      </w:r>
    </w:p>
    <w:p w14:paraId="29DD69A8" w14:textId="77777777" w:rsidR="007740EB" w:rsidRDefault="007740EB" w:rsidP="007740EB">
      <w:pPr>
        <w:pStyle w:val="Heading4"/>
      </w:pPr>
      <w:r>
        <w:t>Activity</w:t>
      </w:r>
    </w:p>
    <w:p w14:paraId="29DD69A9" w14:textId="45DA877B" w:rsidR="005604EC" w:rsidRDefault="00C81B0C" w:rsidP="00D63BE6">
      <w:r>
        <w:t>The model</w:t>
      </w:r>
      <w:r w:rsidR="00F03697">
        <w:t>’</w:t>
      </w:r>
      <w:r w:rsidR="00C626AF">
        <w:t>s</w:t>
      </w:r>
      <w:r>
        <w:t xml:space="preserve"> measure of before</w:t>
      </w:r>
      <w:r w:rsidR="00F03697">
        <w:noBreakHyphen/>
      </w:r>
      <w:r>
        <w:t xml:space="preserve">tax capital income is the gross operating surplus (GOS). </w:t>
      </w:r>
      <w:r w:rsidR="00B843C6">
        <w:t xml:space="preserve">Chart </w:t>
      </w:r>
      <w:r w:rsidR="00B843C6">
        <w:rPr>
          <w:noProof/>
        </w:rPr>
        <w:t>1</w:t>
      </w:r>
      <w:r w:rsidR="006F6D7C">
        <w:t xml:space="preserve"> plots t</w:t>
      </w:r>
      <w:r>
        <w:t xml:space="preserve">he change in </w:t>
      </w:r>
      <w:r w:rsidR="003703AC">
        <w:t>GOS</w:t>
      </w:r>
      <w:r>
        <w:t xml:space="preserve"> </w:t>
      </w:r>
      <w:r w:rsidR="006F6D7C">
        <w:t xml:space="preserve">due to the change in the </w:t>
      </w:r>
      <w:r w:rsidR="0029050C">
        <w:t>rental price of</w:t>
      </w:r>
      <w:r>
        <w:t xml:space="preserve"> capital and </w:t>
      </w:r>
      <w:r w:rsidR="00C626AF">
        <w:t>in</w:t>
      </w:r>
      <w:r w:rsidR="006F6D7C">
        <w:t xml:space="preserve"> the </w:t>
      </w:r>
      <w:r w:rsidR="003D1812">
        <w:t>real capital stock (</w:t>
      </w:r>
      <w:r w:rsidR="00621AD1">
        <w:t>that is,</w:t>
      </w:r>
      <w:r w:rsidR="003D1812">
        <w:t> </w:t>
      </w:r>
      <w:r>
        <w:t xml:space="preserve">volume). </w:t>
      </w:r>
      <w:r w:rsidR="005604EC">
        <w:t xml:space="preserve">In the long run, </w:t>
      </w:r>
      <w:r>
        <w:t>a higher</w:t>
      </w:r>
      <w:r w:rsidR="005604EC">
        <w:t xml:space="preserve"> company income tax </w:t>
      </w:r>
      <w:r>
        <w:t>rate causes</w:t>
      </w:r>
      <w:r w:rsidR="005604EC">
        <w:t xml:space="preserve"> </w:t>
      </w:r>
      <w:r>
        <w:t xml:space="preserve">a </w:t>
      </w:r>
      <w:r w:rsidR="005604EC">
        <w:t>comparatively large</w:t>
      </w:r>
      <w:r w:rsidR="00632BC7">
        <w:t>r</w:t>
      </w:r>
      <w:r w:rsidR="005604EC">
        <w:t xml:space="preserve"> decrease in the capital stock which can be seen by the volume decrease</w:t>
      </w:r>
      <w:r w:rsidR="00C6664A">
        <w:t xml:space="preserve"> (also see</w:t>
      </w:r>
      <w:r w:rsidR="00D63BE6">
        <w:t xml:space="preserve"> </w:t>
      </w:r>
      <w:r w:rsidR="00B843C6">
        <w:t xml:space="preserve">Figure </w:t>
      </w:r>
      <w:r w:rsidR="00B843C6">
        <w:rPr>
          <w:noProof/>
        </w:rPr>
        <w:t>2</w:t>
      </w:r>
      <w:r w:rsidR="00C6664A">
        <w:rPr>
          <w:noProof/>
        </w:rPr>
        <w:t>)</w:t>
      </w:r>
      <w:r w:rsidR="005604EC">
        <w:t xml:space="preserve">. This is </w:t>
      </w:r>
      <w:r>
        <w:t xml:space="preserve">partially </w:t>
      </w:r>
      <w:r w:rsidR="005604EC">
        <w:t xml:space="preserve">offset by </w:t>
      </w:r>
      <w:r w:rsidR="006F6D7C">
        <w:t>the</w:t>
      </w:r>
      <w:r w:rsidR="005604EC">
        <w:t xml:space="preserve"> </w:t>
      </w:r>
      <w:r w:rsidR="006F6D7C">
        <w:t>rise</w:t>
      </w:r>
      <w:r w:rsidR="005604EC">
        <w:t xml:space="preserve"> in the before</w:t>
      </w:r>
      <w:r w:rsidR="00F03697">
        <w:noBreakHyphen/>
      </w:r>
      <w:r w:rsidR="005604EC">
        <w:t xml:space="preserve">tax </w:t>
      </w:r>
      <w:r w:rsidR="006F6D7C">
        <w:t>rental price</w:t>
      </w:r>
      <w:r w:rsidR="005604EC">
        <w:t xml:space="preserve"> o</w:t>
      </w:r>
      <w:r w:rsidR="006F6D7C">
        <w:t>f</w:t>
      </w:r>
      <w:r w:rsidR="005604EC">
        <w:t xml:space="preserve"> capital. Overall the value of </w:t>
      </w:r>
      <w:r>
        <w:t>before</w:t>
      </w:r>
      <w:r w:rsidR="00F03697">
        <w:noBreakHyphen/>
      </w:r>
      <w:r>
        <w:t>tax capital income</w:t>
      </w:r>
      <w:r w:rsidR="005604EC">
        <w:t xml:space="preserve"> is down </w:t>
      </w:r>
      <w:r w:rsidR="00E04A8E">
        <w:t xml:space="preserve">by </w:t>
      </w:r>
      <w:r w:rsidR="005604EC">
        <w:t xml:space="preserve">around </w:t>
      </w:r>
      <w:r w:rsidR="005604EC" w:rsidRPr="00E11082">
        <w:t xml:space="preserve">one dollar per dollar of </w:t>
      </w:r>
      <w:r w:rsidR="007E6868" w:rsidRPr="00E11082">
        <w:t xml:space="preserve">net </w:t>
      </w:r>
      <w:r w:rsidR="005604EC" w:rsidRPr="00E11082">
        <w:t>revenue raised</w:t>
      </w:r>
      <w:r w:rsidR="004967F4">
        <w:t>.</w:t>
      </w:r>
    </w:p>
    <w:p w14:paraId="29DD69AA" w14:textId="4321AF6C" w:rsidR="004F22D0" w:rsidRDefault="004F22D0" w:rsidP="00E82F3E">
      <w:pPr>
        <w:pStyle w:val="Caption1"/>
      </w:pPr>
      <w:bookmarkStart w:id="9" w:name="_Ref398459572"/>
      <w:r>
        <w:t xml:space="preserve">Chart </w:t>
      </w:r>
      <w:r w:rsidR="00866AD9">
        <w:fldChar w:fldCharType="begin"/>
      </w:r>
      <w:r w:rsidR="00866AD9">
        <w:instrText xml:space="preserve"> SEQ Chart \* ARABIC </w:instrText>
      </w:r>
      <w:r w:rsidR="00866AD9">
        <w:fldChar w:fldCharType="separate"/>
      </w:r>
      <w:r w:rsidR="00AA2137">
        <w:rPr>
          <w:noProof/>
        </w:rPr>
        <w:t>1</w:t>
      </w:r>
      <w:r w:rsidR="00866AD9">
        <w:rPr>
          <w:noProof/>
        </w:rPr>
        <w:fldChar w:fldCharType="end"/>
      </w:r>
      <w:bookmarkEnd w:id="9"/>
      <w:r>
        <w:t>: Company income tax</w:t>
      </w:r>
      <w:r w:rsidR="004C5CFD">
        <w:t xml:space="preserve"> — </w:t>
      </w:r>
      <w:r>
        <w:t>Income from GDP response</w:t>
      </w:r>
    </w:p>
    <w:p w14:paraId="29DD69AB" w14:textId="794F9AEE" w:rsidR="005604EC" w:rsidRDefault="00866AD9" w:rsidP="00FD52B5">
      <w:pPr>
        <w:pStyle w:val="Caption1"/>
      </w:pPr>
      <w:r>
        <w:pict w14:anchorId="7383C391">
          <v:shape id="_x0000_i1031" type="#_x0000_t75" alt="This chart shows the price and volume response of the income components of GDP: capital income; labour income and indirect taxes; due to a marginal increase in the company income tax rate." style="width:439.15pt;height:226pt">
            <v:imagedata r:id="rId43" o:title=""/>
          </v:shape>
        </w:pict>
      </w:r>
    </w:p>
    <w:p w14:paraId="5003A335" w14:textId="040BBD2F" w:rsidR="00F74E3C" w:rsidRPr="00FF303A" w:rsidRDefault="00F74E3C" w:rsidP="00FF303A">
      <w:pPr>
        <w:pStyle w:val="Source"/>
        <w:ind w:left="426"/>
      </w:pPr>
      <w:r w:rsidRPr="00FF303A">
        <w:t xml:space="preserve">Source: </w:t>
      </w:r>
      <w:r w:rsidR="00E007CF" w:rsidRPr="00FF303A">
        <w:t>Treasury estimates</w:t>
      </w:r>
      <w:r w:rsidRPr="00FF303A">
        <w:t>.</w:t>
      </w:r>
    </w:p>
    <w:p w14:paraId="29DD69AC" w14:textId="709D4FBB" w:rsidR="000F7B00" w:rsidRDefault="006F6D7C" w:rsidP="000F7B00">
      <w:r>
        <w:t>As noted above, t</w:t>
      </w:r>
      <w:r w:rsidR="000F7B00">
        <w:t xml:space="preserve">he decrease in the capital stock drives down the productivity of labour and therefore </w:t>
      </w:r>
      <w:r w:rsidR="00C6664A" w:rsidRPr="00EE6D00">
        <w:t>the demand for labour</w:t>
      </w:r>
      <w:r w:rsidR="00B14F43">
        <w:t xml:space="preserve"> and</w:t>
      </w:r>
      <w:r w:rsidR="00C6664A">
        <w:t xml:space="preserve"> </w:t>
      </w:r>
      <w:r w:rsidR="000F7B00">
        <w:t>before</w:t>
      </w:r>
      <w:r w:rsidR="00F03697">
        <w:noBreakHyphen/>
      </w:r>
      <w:r w:rsidR="000F7B00">
        <w:t>tax real wages</w:t>
      </w:r>
      <w:r w:rsidR="00B14F43">
        <w:t xml:space="preserve"> (also see</w:t>
      </w:r>
      <w:r w:rsidR="00D63BE6">
        <w:t xml:space="preserve"> </w:t>
      </w:r>
      <w:r w:rsidR="00B843C6">
        <w:t xml:space="preserve">Figure </w:t>
      </w:r>
      <w:r w:rsidR="00B843C6">
        <w:rPr>
          <w:noProof/>
        </w:rPr>
        <w:t>4</w:t>
      </w:r>
      <w:r w:rsidR="00B14F43">
        <w:rPr>
          <w:noProof/>
        </w:rPr>
        <w:t>)</w:t>
      </w:r>
      <w:r w:rsidR="000F7B00">
        <w:t xml:space="preserve">. The reduction in the </w:t>
      </w:r>
      <w:r w:rsidR="00B14F43">
        <w:t>demand for labour</w:t>
      </w:r>
      <w:r w:rsidR="000F7B00">
        <w:t xml:space="preserve"> means less labour is </w:t>
      </w:r>
      <w:r w:rsidR="00B14F43">
        <w:t>employed</w:t>
      </w:r>
      <w:r w:rsidR="000F7B00">
        <w:t xml:space="preserve"> resulting in a decrease in </w:t>
      </w:r>
      <w:r w:rsidR="00C626AF">
        <w:t xml:space="preserve">working </w:t>
      </w:r>
      <w:r w:rsidR="000F7B00">
        <w:t>hours. Overall, before</w:t>
      </w:r>
      <w:r w:rsidR="00F03697">
        <w:noBreakHyphen/>
      </w:r>
      <w:r w:rsidR="000F7B00">
        <w:t xml:space="preserve">tax labour income </w:t>
      </w:r>
      <w:r w:rsidR="003703AC">
        <w:t>(</w:t>
      </w:r>
      <w:r w:rsidR="00621AD1">
        <w:t>that is</w:t>
      </w:r>
      <w:r w:rsidR="000804BE">
        <w:t xml:space="preserve">, the </w:t>
      </w:r>
      <w:r w:rsidR="003703AC">
        <w:t>compensation of employees</w:t>
      </w:r>
      <w:r w:rsidR="004C5CFD">
        <w:t xml:space="preserve"> — </w:t>
      </w:r>
      <w:r w:rsidR="003703AC">
        <w:t xml:space="preserve">COE) </w:t>
      </w:r>
      <w:r w:rsidR="000F7B00">
        <w:t xml:space="preserve">falls by around </w:t>
      </w:r>
      <w:r w:rsidR="000F7B00" w:rsidRPr="00E11082">
        <w:t>three dollars per dollar</w:t>
      </w:r>
      <w:r w:rsidR="000F7B00">
        <w:t xml:space="preserve"> of net revenue raised. </w:t>
      </w:r>
    </w:p>
    <w:p w14:paraId="29DD69AD" w14:textId="7166FC7C" w:rsidR="000F7B00" w:rsidRDefault="003703AC" w:rsidP="00DC5E8B">
      <w:r>
        <w:t>T</w:t>
      </w:r>
      <w:r w:rsidR="000F7B00">
        <w:t xml:space="preserve">he </w:t>
      </w:r>
      <w:r>
        <w:t xml:space="preserve">combined </w:t>
      </w:r>
      <w:r w:rsidR="000F7B00">
        <w:t xml:space="preserve">decrease in labour and capital incomes implies a decrease in </w:t>
      </w:r>
      <w:r w:rsidR="006F6D7C">
        <w:t xml:space="preserve">real and nominal </w:t>
      </w:r>
      <w:r w:rsidR="000F7B00">
        <w:t xml:space="preserve">GDP of </w:t>
      </w:r>
      <w:r w:rsidR="00C626AF">
        <w:t>around</w:t>
      </w:r>
      <w:r w:rsidR="000F7B00">
        <w:t xml:space="preserve"> </w:t>
      </w:r>
      <w:r w:rsidR="00EC6FC9" w:rsidRPr="00E11082">
        <w:t>four </w:t>
      </w:r>
      <w:r w:rsidR="000F7B00" w:rsidRPr="00E11082">
        <w:t>dollars</w:t>
      </w:r>
      <w:r w:rsidR="00EC6FC9" w:rsidRPr="00E11082">
        <w:t> </w:t>
      </w:r>
      <w:r w:rsidR="000F7B00" w:rsidRPr="00E11082">
        <w:t>per</w:t>
      </w:r>
      <w:r w:rsidR="00EC6FC9" w:rsidRPr="00E11082">
        <w:t> </w:t>
      </w:r>
      <w:r w:rsidR="000F7B00" w:rsidRPr="00E11082">
        <w:t>dollar</w:t>
      </w:r>
      <w:r w:rsidR="000F7B00">
        <w:t xml:space="preserve"> of revenue raised.</w:t>
      </w:r>
    </w:p>
    <w:p w14:paraId="29DD69AE" w14:textId="6B8C50BF" w:rsidR="005604EC" w:rsidRDefault="005604EC" w:rsidP="00DC5E8B">
      <w:r>
        <w:lastRenderedPageBreak/>
        <w:t>On the expenditure side</w:t>
      </w:r>
      <w:r w:rsidR="000F7B00">
        <w:t>,</w:t>
      </w:r>
      <w:r>
        <w:t xml:space="preserve"> much of the decreased activity flows from lower investment</w:t>
      </w:r>
      <w:r w:rsidR="000F640E">
        <w:t xml:space="preserve"> (</w:t>
      </w:r>
      <w:r w:rsidR="00B843C6">
        <w:t xml:space="preserve">Chart </w:t>
      </w:r>
      <w:r w:rsidR="00B843C6">
        <w:rPr>
          <w:noProof/>
        </w:rPr>
        <w:t>2</w:t>
      </w:r>
      <w:r w:rsidR="000F640E">
        <w:t>). This reflects the fact that a lower level of investment is</w:t>
      </w:r>
      <w:r>
        <w:t xml:space="preserve"> required to maintain the </w:t>
      </w:r>
      <w:r w:rsidR="000F640E">
        <w:t>reduced long</w:t>
      </w:r>
      <w:r w:rsidR="00F03697">
        <w:noBreakHyphen/>
      </w:r>
      <w:r w:rsidR="000F640E">
        <w:t xml:space="preserve">run </w:t>
      </w:r>
      <w:r>
        <w:t xml:space="preserve">capital stock. Consumption falls by </w:t>
      </w:r>
      <w:r w:rsidRPr="00E11082">
        <w:t>over a dollar per dollar</w:t>
      </w:r>
      <w:r>
        <w:t xml:space="preserve"> of revenue raised. There is a</w:t>
      </w:r>
      <w:r w:rsidR="006F6D7C">
        <w:t>lso a</w:t>
      </w:r>
      <w:r>
        <w:t xml:space="preserve"> small decline in the value of </w:t>
      </w:r>
      <w:r w:rsidR="008E0F57">
        <w:t>government</w:t>
      </w:r>
      <w:r>
        <w:t xml:space="preserve"> </w:t>
      </w:r>
      <w:r w:rsidR="008E0F57">
        <w:t>spending (</w:t>
      </w:r>
      <w:r w:rsidR="00621AD1">
        <w:t>that is,</w:t>
      </w:r>
      <w:r w:rsidR="008E0F57">
        <w:t xml:space="preserve"> General Government final demand)</w:t>
      </w:r>
      <w:r w:rsidR="000F640E">
        <w:t>. Since the volume of government spending is fixed</w:t>
      </w:r>
      <w:r w:rsidR="00C626AF">
        <w:t>,</w:t>
      </w:r>
      <w:r>
        <w:t xml:space="preserve"> </w:t>
      </w:r>
      <w:r w:rsidR="000F640E">
        <w:t xml:space="preserve">this result is </w:t>
      </w:r>
      <w:r>
        <w:t xml:space="preserve">driven </w:t>
      </w:r>
      <w:r w:rsidR="000F640E">
        <w:t>entirely</w:t>
      </w:r>
      <w:r>
        <w:t xml:space="preserve"> by </w:t>
      </w:r>
      <w:r w:rsidR="000F640E">
        <w:t>the</w:t>
      </w:r>
      <w:r>
        <w:t xml:space="preserve"> decline in the price of government</w:t>
      </w:r>
      <w:r w:rsidR="000F640E">
        <w:t xml:space="preserve"> </w:t>
      </w:r>
      <w:r w:rsidR="00083202">
        <w:t>expenditure</w:t>
      </w:r>
      <w:r>
        <w:t xml:space="preserve">. </w:t>
      </w:r>
      <w:r w:rsidR="000F640E">
        <w:t xml:space="preserve">This price fall reflects the fact that the </w:t>
      </w:r>
      <w:r>
        <w:t xml:space="preserve">government </w:t>
      </w:r>
      <w:r w:rsidR="000F640E">
        <w:t>expenditure basket is biased towards</w:t>
      </w:r>
      <w:r w:rsidR="00007668">
        <w:t xml:space="preserve"> </w:t>
      </w:r>
      <w:r>
        <w:t xml:space="preserve">more labour intensive services </w:t>
      </w:r>
      <w:r w:rsidR="00EA6EF6">
        <w:t xml:space="preserve">and </w:t>
      </w:r>
      <w:r w:rsidR="006F6D7C">
        <w:t xml:space="preserve">the </w:t>
      </w:r>
      <w:r w:rsidR="00EA6EF6">
        <w:t>real wage fall</w:t>
      </w:r>
      <w:r w:rsidR="006F6D7C">
        <w:t>s</w:t>
      </w:r>
      <w:r w:rsidR="00EA6EF6">
        <w:t xml:space="preserve"> </w:t>
      </w:r>
      <w:r w:rsidR="000F640E">
        <w:t xml:space="preserve">relative to the </w:t>
      </w:r>
      <w:r w:rsidR="003703AC">
        <w:t>after</w:t>
      </w:r>
      <w:r w:rsidR="00F03697">
        <w:noBreakHyphen/>
      </w:r>
      <w:r w:rsidR="003703AC">
        <w:t xml:space="preserve">tax </w:t>
      </w:r>
      <w:r w:rsidR="00945C9C">
        <w:t>consumption</w:t>
      </w:r>
      <w:r w:rsidR="000F640E">
        <w:t xml:space="preserve"> price</w:t>
      </w:r>
      <w:r w:rsidR="00945C9C">
        <w:t>.</w:t>
      </w:r>
    </w:p>
    <w:p w14:paraId="29DD69AF" w14:textId="16C1362B" w:rsidR="004F22D0" w:rsidRDefault="004F22D0" w:rsidP="00E82F3E">
      <w:pPr>
        <w:pStyle w:val="Caption1"/>
      </w:pPr>
      <w:bookmarkStart w:id="10" w:name="_Ref398459587"/>
      <w:r>
        <w:t xml:space="preserve">Chart </w:t>
      </w:r>
      <w:r w:rsidR="00866AD9">
        <w:fldChar w:fldCharType="begin"/>
      </w:r>
      <w:r w:rsidR="00866AD9">
        <w:instrText xml:space="preserve"> SEQ Chart \* ARABIC </w:instrText>
      </w:r>
      <w:r w:rsidR="00866AD9">
        <w:fldChar w:fldCharType="separate"/>
      </w:r>
      <w:r w:rsidR="00AA2137">
        <w:rPr>
          <w:noProof/>
        </w:rPr>
        <w:t>2</w:t>
      </w:r>
      <w:r w:rsidR="00866AD9">
        <w:rPr>
          <w:noProof/>
        </w:rPr>
        <w:fldChar w:fldCharType="end"/>
      </w:r>
      <w:bookmarkEnd w:id="10"/>
      <w:r>
        <w:t>: Company income tax</w:t>
      </w:r>
      <w:r w:rsidR="004C5CFD">
        <w:t xml:space="preserve"> — </w:t>
      </w:r>
      <w:r>
        <w:t>Expenditure on GDP response</w:t>
      </w:r>
    </w:p>
    <w:p w14:paraId="29DD69B0" w14:textId="4C26E425" w:rsidR="007740EB" w:rsidRDefault="00866AD9" w:rsidP="00FD52B5">
      <w:pPr>
        <w:pStyle w:val="Caption1"/>
      </w:pPr>
      <w:r>
        <w:pict w14:anchorId="5308C5D9">
          <v:shape id="_x0000_i1032" type="#_x0000_t75" alt="This chart shows the price and volume response of the expenditure components of GDP: consumption; investment; government expenditure and net exports; due to a marginal increase in the company income tax rate." style="width:439.15pt;height:226pt">
            <v:imagedata r:id="rId44" o:title=""/>
          </v:shape>
        </w:pict>
      </w:r>
    </w:p>
    <w:p w14:paraId="42DCA3B9" w14:textId="3BAC8D9A" w:rsidR="00F74E3C" w:rsidRDefault="00F74E3C" w:rsidP="00FF303A">
      <w:pPr>
        <w:pStyle w:val="Source"/>
        <w:ind w:left="426"/>
      </w:pPr>
      <w:bookmarkStart w:id="11" w:name="_Ref398459601"/>
      <w:r>
        <w:rPr>
          <w:lang w:val="en-US"/>
        </w:rPr>
        <w:t xml:space="preserve">Source: </w:t>
      </w:r>
      <w:r w:rsidR="00E007CF">
        <w:t>Treasury estimates</w:t>
      </w:r>
      <w:r>
        <w:t>.</w:t>
      </w:r>
    </w:p>
    <w:p w14:paraId="0CDAFC96" w14:textId="77777777" w:rsidR="00E6097C" w:rsidRDefault="00E6097C" w:rsidP="00E6097C">
      <w:pPr>
        <w:pStyle w:val="SingleParagraph"/>
      </w:pPr>
    </w:p>
    <w:p w14:paraId="29DD69B1" w14:textId="16171C1E" w:rsidR="004F22D0" w:rsidRDefault="004F22D0" w:rsidP="00E82F3E">
      <w:pPr>
        <w:pStyle w:val="Caption1"/>
      </w:pPr>
      <w:bookmarkStart w:id="12" w:name="_Ref404934046"/>
      <w:r>
        <w:t xml:space="preserve">Chart </w:t>
      </w:r>
      <w:r w:rsidR="00866AD9">
        <w:fldChar w:fldCharType="begin"/>
      </w:r>
      <w:r w:rsidR="00866AD9">
        <w:instrText xml:space="preserve"> SEQ Chart \* ARABIC </w:instrText>
      </w:r>
      <w:r w:rsidR="00866AD9">
        <w:fldChar w:fldCharType="separate"/>
      </w:r>
      <w:r w:rsidR="00AA2137">
        <w:rPr>
          <w:noProof/>
        </w:rPr>
        <w:t>3</w:t>
      </w:r>
      <w:r w:rsidR="00866AD9">
        <w:rPr>
          <w:noProof/>
        </w:rPr>
        <w:fldChar w:fldCharType="end"/>
      </w:r>
      <w:bookmarkEnd w:id="11"/>
      <w:bookmarkEnd w:id="12"/>
      <w:r>
        <w:t>: Company income tax</w:t>
      </w:r>
      <w:r w:rsidR="004C5CFD">
        <w:t xml:space="preserve"> — </w:t>
      </w:r>
      <w:r w:rsidRPr="00ED721F">
        <w:t xml:space="preserve">Government </w:t>
      </w:r>
      <w:r>
        <w:t>b</w:t>
      </w:r>
      <w:r w:rsidRPr="00ED721F">
        <w:t xml:space="preserve">udget </w:t>
      </w:r>
      <w:r>
        <w:t>response</w:t>
      </w:r>
    </w:p>
    <w:p w14:paraId="30AC3B03" w14:textId="0293D4DA" w:rsidR="007D0C55" w:rsidRDefault="00866AD9" w:rsidP="00FD52B5">
      <w:pPr>
        <w:pStyle w:val="Caption1"/>
      </w:pPr>
      <w:r>
        <w:pict w14:anchorId="162F9E38">
          <v:shape id="_x0000_i1033" type="#_x0000_t75" alt="This chart shows the effect on the components of the government’s budget of raising one net dollar of additional revenue through raising the company income tax rate." style="width:439.15pt;height:226pt">
            <v:imagedata r:id="rId45" o:title=""/>
          </v:shape>
        </w:pict>
      </w:r>
    </w:p>
    <w:p w14:paraId="2581C879" w14:textId="3AD4E2E7" w:rsidR="00F74E3C" w:rsidRDefault="00F74E3C" w:rsidP="00FF303A">
      <w:pPr>
        <w:pStyle w:val="Source"/>
        <w:ind w:left="426"/>
      </w:pPr>
      <w:r>
        <w:rPr>
          <w:lang w:val="en-US"/>
        </w:rPr>
        <w:t xml:space="preserve">Source: </w:t>
      </w:r>
      <w:r w:rsidR="00E007CF">
        <w:t>Treasury estimates</w:t>
      </w:r>
      <w:r>
        <w:t>.</w:t>
      </w:r>
    </w:p>
    <w:p w14:paraId="29DD69B3" w14:textId="3FE5FBA7" w:rsidR="00306C01" w:rsidRDefault="007740EB" w:rsidP="00306C01">
      <w:r>
        <w:t>The changes to incomes and activity allow us to identify changes to the government</w:t>
      </w:r>
      <w:r w:rsidR="00F03697">
        <w:t>’</w:t>
      </w:r>
      <w:r>
        <w:t xml:space="preserve">s budget position via its income account. </w:t>
      </w:r>
      <w:r w:rsidR="00B843C6">
        <w:t xml:space="preserve">Chart </w:t>
      </w:r>
      <w:r w:rsidR="00B843C6">
        <w:rPr>
          <w:noProof/>
        </w:rPr>
        <w:t>3</w:t>
      </w:r>
      <w:r w:rsidR="00B556C3">
        <w:t xml:space="preserve"> </w:t>
      </w:r>
      <w:r>
        <w:t xml:space="preserve">shows that </w:t>
      </w:r>
      <w:r w:rsidR="00C626AF" w:rsidRPr="00C377F1">
        <w:t xml:space="preserve">around </w:t>
      </w:r>
      <w:r w:rsidR="00F377FC" w:rsidRPr="00C377F1">
        <w:t>2.</w:t>
      </w:r>
      <w:r w:rsidR="003C22E6" w:rsidRPr="007C706E">
        <w:t>7</w:t>
      </w:r>
      <w:r w:rsidR="00EC6FC9" w:rsidRPr="00C377F1">
        <w:t> </w:t>
      </w:r>
      <w:r w:rsidR="00F377FC" w:rsidRPr="00C377F1">
        <w:t>dollars of company income tax</w:t>
      </w:r>
      <w:r w:rsidR="00F377FC">
        <w:t xml:space="preserve"> must be collected </w:t>
      </w:r>
      <w:r>
        <w:lastRenderedPageBreak/>
        <w:t xml:space="preserve">per dollar of net revenue. However, </w:t>
      </w:r>
      <w:r w:rsidRPr="007C706E">
        <w:t>one</w:t>
      </w:r>
      <w:r w:rsidR="00EC6FC9" w:rsidRPr="007C706E">
        <w:t> </w:t>
      </w:r>
      <w:r w:rsidRPr="007C706E">
        <w:t>dollar</w:t>
      </w:r>
      <w:r>
        <w:t xml:space="preserve"> of this </w:t>
      </w:r>
      <w:r w:rsidR="007E6868">
        <w:t xml:space="preserve">additional </w:t>
      </w:r>
      <w:r>
        <w:t>company income tax revenue is lost immediately through increased franking credits</w:t>
      </w:r>
      <w:r w:rsidR="00F377FC">
        <w:t xml:space="preserve">, so the net company tax revenue is roughly </w:t>
      </w:r>
      <w:r w:rsidR="003C22E6" w:rsidRPr="007C706E">
        <w:t>1.</w:t>
      </w:r>
      <w:r w:rsidR="00DB1AD8" w:rsidRPr="007C706E">
        <w:t>7 </w:t>
      </w:r>
      <w:r w:rsidR="00F377FC" w:rsidRPr="007C706E">
        <w:t>dollars</w:t>
      </w:r>
      <w:r w:rsidR="00F377FC">
        <w:t>.</w:t>
      </w:r>
      <w:r w:rsidR="002A726A">
        <w:t xml:space="preserve"> </w:t>
      </w:r>
      <w:r w:rsidR="00306C01">
        <w:t xml:space="preserve">The decline in wages and </w:t>
      </w:r>
      <w:r w:rsidR="00C626AF">
        <w:t xml:space="preserve">working </w:t>
      </w:r>
      <w:r w:rsidR="00306C01">
        <w:t xml:space="preserve">hours causes a fall in </w:t>
      </w:r>
      <w:r w:rsidR="00062F79">
        <w:t xml:space="preserve">the </w:t>
      </w:r>
      <w:r w:rsidR="004A3717">
        <w:t xml:space="preserve">revenue from the </w:t>
      </w:r>
      <w:r w:rsidR="00062F79">
        <w:t xml:space="preserve">flat </w:t>
      </w:r>
      <w:r w:rsidR="00A17F2E">
        <w:t>personal</w:t>
      </w:r>
      <w:r w:rsidR="00306C01">
        <w:t xml:space="preserve"> income tax of </w:t>
      </w:r>
      <w:r w:rsidR="00A17F2E">
        <w:t>around</w:t>
      </w:r>
      <w:r w:rsidR="00306C01">
        <w:t xml:space="preserve"> </w:t>
      </w:r>
      <w:r w:rsidR="00EC6FC9" w:rsidRPr="007C706E">
        <w:t>4</w:t>
      </w:r>
      <w:r w:rsidR="00306C01" w:rsidRPr="007C706E">
        <w:t>0</w:t>
      </w:r>
      <w:r w:rsidR="00EC6FC9" w:rsidRPr="007C706E">
        <w:t> </w:t>
      </w:r>
      <w:r w:rsidR="00306C01" w:rsidRPr="007C706E">
        <w:t>cents</w:t>
      </w:r>
      <w:r w:rsidR="00306C01">
        <w:t xml:space="preserve"> per dollar of net revenue. This is accompanied by a smaller decline in indirect tax, including GST, and also </w:t>
      </w:r>
      <w:r w:rsidR="00062F79">
        <w:t>the broad</w:t>
      </w:r>
      <w:r w:rsidR="00F03697">
        <w:noBreakHyphen/>
      </w:r>
      <w:r w:rsidR="00062F79">
        <w:t xml:space="preserve">based </w:t>
      </w:r>
      <w:r w:rsidR="00306C01">
        <w:t>land tax driven by the general decline in activity. The one dollar increase in net revenue is used to fund a one dollar increase in lump</w:t>
      </w:r>
      <w:r w:rsidR="00F03697">
        <w:noBreakHyphen/>
      </w:r>
      <w:r w:rsidR="00306C01">
        <w:t>sum transfer</w:t>
      </w:r>
      <w:r w:rsidR="008F12A0">
        <w:t>s</w:t>
      </w:r>
      <w:r w:rsidR="00306C01">
        <w:t xml:space="preserve"> to </w:t>
      </w:r>
      <w:r w:rsidR="00033F17">
        <w:t xml:space="preserve">the </w:t>
      </w:r>
      <w:r w:rsidR="00306C01">
        <w:t>household, which returns the governments</w:t>
      </w:r>
      <w:r w:rsidR="00F03697">
        <w:t>’</w:t>
      </w:r>
      <w:r w:rsidR="00306C01">
        <w:t xml:space="preserve"> budget to balance.</w:t>
      </w:r>
    </w:p>
    <w:p w14:paraId="29DD69B4" w14:textId="517BE286" w:rsidR="007740EB" w:rsidRPr="001B5B3E" w:rsidRDefault="00B87A51" w:rsidP="007740EB">
      <w:pPr>
        <w:pStyle w:val="Heading4"/>
      </w:pPr>
      <w:r>
        <w:t>Marginal e</w:t>
      </w:r>
      <w:r w:rsidR="007E6868">
        <w:t>xcess burden and incidence</w:t>
      </w:r>
    </w:p>
    <w:p w14:paraId="29DD69B5" w14:textId="6F8C1BD6" w:rsidR="004E45CC" w:rsidRDefault="00A17F2E" w:rsidP="00DC5E8B">
      <w:r>
        <w:t>H</w:t>
      </w:r>
      <w:r w:rsidR="00DF0B5C">
        <w:t xml:space="preserve">ousehold </w:t>
      </w:r>
      <w:r w:rsidR="004F0290">
        <w:t>welfare</w:t>
      </w:r>
      <w:r w:rsidR="004F0290" w:rsidRPr="001B5B3E">
        <w:t xml:space="preserve"> </w:t>
      </w:r>
      <w:r w:rsidR="004F0290">
        <w:t xml:space="preserve">is </w:t>
      </w:r>
      <w:r>
        <w:t>derived from</w:t>
      </w:r>
      <w:r w:rsidR="004F0290" w:rsidRPr="001B5B3E">
        <w:t xml:space="preserve"> </w:t>
      </w:r>
      <w:r>
        <w:t xml:space="preserve">the </w:t>
      </w:r>
      <w:r w:rsidRPr="001B5B3E">
        <w:t>consumption</w:t>
      </w:r>
      <w:r>
        <w:t xml:space="preserve"> of goods and services, and</w:t>
      </w:r>
      <w:r w:rsidRPr="001B5B3E">
        <w:t xml:space="preserve"> </w:t>
      </w:r>
      <w:r w:rsidR="004F0290" w:rsidRPr="001B5B3E">
        <w:t xml:space="preserve">leisure. </w:t>
      </w:r>
      <w:r>
        <w:t xml:space="preserve">Consistent with Section 2, changes to leisure are </w:t>
      </w:r>
      <w:r w:rsidR="00FE3BA1">
        <w:t>measured</w:t>
      </w:r>
      <w:r>
        <w:t xml:space="preserve"> by pricing leisure at the </w:t>
      </w:r>
      <w:r w:rsidR="00940B98">
        <w:t xml:space="preserve">baseline </w:t>
      </w:r>
      <w:r>
        <w:t>after</w:t>
      </w:r>
      <w:r w:rsidR="00F03697">
        <w:noBreakHyphen/>
      </w:r>
      <w:r>
        <w:t xml:space="preserve">tax wage. </w:t>
      </w:r>
      <w:r w:rsidR="004F0290">
        <w:t>An increase in</w:t>
      </w:r>
      <w:r w:rsidR="004F0290" w:rsidRPr="001B5B3E">
        <w:t xml:space="preserve"> </w:t>
      </w:r>
      <w:r w:rsidR="004F0290">
        <w:t xml:space="preserve">the company income tax </w:t>
      </w:r>
      <w:r w:rsidR="004F0290" w:rsidRPr="001B5B3E">
        <w:t xml:space="preserve">rate </w:t>
      </w:r>
      <w:r w:rsidR="004F0290">
        <w:t xml:space="preserve">implies an overall welfare loss of </w:t>
      </w:r>
      <w:r w:rsidR="00AF00A4">
        <w:t xml:space="preserve">around </w:t>
      </w:r>
      <w:r w:rsidR="000864E7">
        <w:t>50 </w:t>
      </w:r>
      <w:r w:rsidR="004F0290" w:rsidRPr="007C706E">
        <w:t>cents</w:t>
      </w:r>
      <w:r w:rsidR="000864E7">
        <w:t> per </w:t>
      </w:r>
      <w:r w:rsidR="004F0290">
        <w:t>dollar of net revenue</w:t>
      </w:r>
      <w:r w:rsidR="000864E7">
        <w:t xml:space="preserve"> </w:t>
      </w:r>
      <w:r>
        <w:t>(</w:t>
      </w:r>
      <w:r w:rsidR="00B843C6">
        <w:t xml:space="preserve">Chart </w:t>
      </w:r>
      <w:r w:rsidR="00B843C6">
        <w:rPr>
          <w:noProof/>
        </w:rPr>
        <w:t>4</w:t>
      </w:r>
      <w:r>
        <w:t>)</w:t>
      </w:r>
      <w:r w:rsidR="004F0290">
        <w:t xml:space="preserve">. </w:t>
      </w:r>
      <w:r w:rsidR="00721B3A">
        <w:t xml:space="preserve">When viewed from the standpoint of the notional owners of </w:t>
      </w:r>
      <w:r w:rsidR="00333D00">
        <w:t xml:space="preserve">the </w:t>
      </w:r>
      <w:r w:rsidR="00721B3A">
        <w:t xml:space="preserve">factors of production, we find that the </w:t>
      </w:r>
      <w:r w:rsidR="00B87A51">
        <w:t xml:space="preserve">marginal </w:t>
      </w:r>
      <w:r w:rsidR="00721B3A">
        <w:t>excess burden is largely borne by workers</w:t>
      </w:r>
      <w:r w:rsidR="00963118">
        <w:t xml:space="preserve"> </w:t>
      </w:r>
      <w:r w:rsidR="003539E1">
        <w:t>through</w:t>
      </w:r>
      <w:r w:rsidR="00963118">
        <w:t xml:space="preserve"> </w:t>
      </w:r>
      <w:r w:rsidR="00743924">
        <w:t xml:space="preserve">lower </w:t>
      </w:r>
      <w:r w:rsidR="00333D00">
        <w:t xml:space="preserve">real </w:t>
      </w:r>
      <w:r w:rsidR="00743924">
        <w:t>wages</w:t>
      </w:r>
      <w:r w:rsidR="00940B98">
        <w:t>. Domestic capital owners on the other hand, receive a welfare improvement due to the</w:t>
      </w:r>
      <w:r w:rsidR="00743924">
        <w:t xml:space="preserve"> slight increase in after</w:t>
      </w:r>
      <w:r w:rsidR="00F03697">
        <w:noBreakHyphen/>
      </w:r>
      <w:r w:rsidR="00743924">
        <w:t>tax capital income</w:t>
      </w:r>
      <w:r w:rsidR="00940B98">
        <w:t xml:space="preserve"> net of savings</w:t>
      </w:r>
      <w:r w:rsidR="004F0290">
        <w:t>.</w:t>
      </w:r>
    </w:p>
    <w:p w14:paraId="29DD69B6" w14:textId="4B6EC556" w:rsidR="004F22D0" w:rsidRPr="00FD52B5" w:rsidRDefault="004F22D0" w:rsidP="00E82F3E">
      <w:pPr>
        <w:pStyle w:val="Caption1"/>
      </w:pPr>
      <w:bookmarkStart w:id="13" w:name="_Ref398459622"/>
      <w:r w:rsidRPr="00FD52B5">
        <w:t xml:space="preserve">Chart </w:t>
      </w:r>
      <w:r w:rsidR="00866AD9">
        <w:fldChar w:fldCharType="begin"/>
      </w:r>
      <w:r w:rsidR="00866AD9">
        <w:instrText xml:space="preserve"> SEQ Chart \* ARABIC </w:instrText>
      </w:r>
      <w:r w:rsidR="00866AD9">
        <w:fldChar w:fldCharType="separate"/>
      </w:r>
      <w:r w:rsidR="00AA2137">
        <w:rPr>
          <w:noProof/>
        </w:rPr>
        <w:t>4</w:t>
      </w:r>
      <w:r w:rsidR="00866AD9">
        <w:rPr>
          <w:noProof/>
        </w:rPr>
        <w:fldChar w:fldCharType="end"/>
      </w:r>
      <w:bookmarkEnd w:id="13"/>
      <w:r w:rsidRPr="00FD52B5">
        <w:t>: Company income tax</w:t>
      </w:r>
      <w:r w:rsidR="004C5CFD" w:rsidRPr="00FD52B5">
        <w:t xml:space="preserve"> — </w:t>
      </w:r>
      <w:r w:rsidR="00057908" w:rsidRPr="00FD52B5">
        <w:t>Marginal e</w:t>
      </w:r>
      <w:r w:rsidR="00CA644A" w:rsidRPr="00FD52B5">
        <w:t>xcess burden and i</w:t>
      </w:r>
      <w:r w:rsidR="00A34507" w:rsidRPr="00FD52B5">
        <w:t>ncidence</w:t>
      </w:r>
    </w:p>
    <w:p w14:paraId="29DD69B7" w14:textId="528527E0" w:rsidR="005604EC" w:rsidRPr="00FD52B5" w:rsidRDefault="00866AD9" w:rsidP="004737A4">
      <w:pPr>
        <w:pStyle w:val="Caption1"/>
      </w:pPr>
      <w:r>
        <w:pict w14:anchorId="7E1222B0">
          <v:shape id="_x0000_i1034" type="#_x0000_t75" alt="This chart decomposes the incidence of a marginal increase in the company income tax rate into its effect on labour income and capital income." style="width:439.15pt;height:196.75pt">
            <v:imagedata r:id="rId46" o:title=""/>
          </v:shape>
        </w:pict>
      </w:r>
    </w:p>
    <w:p w14:paraId="7EF4A2BE" w14:textId="01734CC1" w:rsidR="00F74E3C" w:rsidRDefault="00F74E3C" w:rsidP="00FF303A">
      <w:pPr>
        <w:pStyle w:val="Source"/>
        <w:ind w:left="378"/>
      </w:pPr>
      <w:r>
        <w:rPr>
          <w:lang w:val="en-US"/>
        </w:rPr>
        <w:t xml:space="preserve">Source: </w:t>
      </w:r>
      <w:r w:rsidR="00E007CF">
        <w:t>Treasury estimates</w:t>
      </w:r>
      <w:r>
        <w:t>.</w:t>
      </w:r>
    </w:p>
    <w:p w14:paraId="29DD69B8" w14:textId="0B63A3AD" w:rsidR="005604EC" w:rsidRDefault="00DF0B5C" w:rsidP="00DC5E8B">
      <w:r>
        <w:t>After</w:t>
      </w:r>
      <w:r w:rsidR="00F03697">
        <w:noBreakHyphen/>
      </w:r>
      <w:r>
        <w:t>tax c</w:t>
      </w:r>
      <w:r w:rsidR="00A36640" w:rsidRPr="001B5B3E">
        <w:t>apital income</w:t>
      </w:r>
      <w:r w:rsidR="00A36640">
        <w:t>, which</w:t>
      </w:r>
      <w:r w:rsidR="00A36640" w:rsidRPr="001B5B3E">
        <w:t xml:space="preserve"> </w:t>
      </w:r>
      <w:r w:rsidR="00A36640">
        <w:t xml:space="preserve">in net terms is </w:t>
      </w:r>
      <w:r w:rsidR="00743924">
        <w:t>slightly greater than</w:t>
      </w:r>
      <w:r w:rsidR="00A36640">
        <w:t xml:space="preserve"> zero, </w:t>
      </w:r>
      <w:r w:rsidR="00A36640" w:rsidRPr="001B5B3E">
        <w:t>can be decomposed into two</w:t>
      </w:r>
      <w:r w:rsidR="00A6064F">
        <w:t> </w:t>
      </w:r>
      <w:r w:rsidR="00A36640" w:rsidRPr="001B5B3E">
        <w:t>components: returns to variabl</w:t>
      </w:r>
      <w:r w:rsidR="00A36640">
        <w:t xml:space="preserve">e capital and </w:t>
      </w:r>
      <w:r w:rsidR="00C626AF">
        <w:t>return</w:t>
      </w:r>
      <w:r w:rsidR="008F12A0">
        <w:t>s</w:t>
      </w:r>
      <w:r w:rsidR="00C626AF">
        <w:t xml:space="preserve"> </w:t>
      </w:r>
      <w:r w:rsidR="00A36640">
        <w:t xml:space="preserve">to fixed factors. </w:t>
      </w:r>
      <w:r w:rsidR="005604EC" w:rsidRPr="001B5B3E">
        <w:t xml:space="preserve">Incomes accruing to fixed factors </w:t>
      </w:r>
      <w:r w:rsidR="005604EC">
        <w:t>de</w:t>
      </w:r>
      <w:r w:rsidR="005604EC" w:rsidRPr="001B5B3E">
        <w:t xml:space="preserve">crease by </w:t>
      </w:r>
      <w:r w:rsidR="00C626AF">
        <w:t xml:space="preserve">around </w:t>
      </w:r>
      <w:r w:rsidR="008D0B98">
        <w:t>57</w:t>
      </w:r>
      <w:r w:rsidR="007C706E" w:rsidRPr="007C706E">
        <w:t xml:space="preserve"> </w:t>
      </w:r>
      <w:r w:rsidR="00632BC7" w:rsidRPr="007C706E">
        <w:t>cents</w:t>
      </w:r>
      <w:r w:rsidR="005604EC" w:rsidRPr="001B5B3E">
        <w:t xml:space="preserve">. </w:t>
      </w:r>
      <w:r w:rsidR="00B07E2A">
        <w:t>T</w:t>
      </w:r>
      <w:r w:rsidR="002C0EDD">
        <w:t xml:space="preserve">he tax </w:t>
      </w:r>
      <w:r w:rsidR="005604EC">
        <w:t>in</w:t>
      </w:r>
      <w:r w:rsidR="005604EC" w:rsidRPr="001B5B3E">
        <w:t xml:space="preserve">crease </w:t>
      </w:r>
      <w:r w:rsidR="005604EC">
        <w:t xml:space="preserve">lowers the </w:t>
      </w:r>
      <w:r w:rsidR="005604EC" w:rsidRPr="001B5B3E">
        <w:t>demand for the fixed factor</w:t>
      </w:r>
      <w:r w:rsidR="00C626AF">
        <w:t>s</w:t>
      </w:r>
      <w:r w:rsidR="005604EC" w:rsidRPr="001B5B3E">
        <w:t xml:space="preserve">, </w:t>
      </w:r>
      <w:r w:rsidR="005604EC">
        <w:t>de</w:t>
      </w:r>
      <w:r w:rsidR="005604EC" w:rsidRPr="001B5B3E">
        <w:t>creasing both the before</w:t>
      </w:r>
      <w:r w:rsidR="00F03697">
        <w:noBreakHyphen/>
      </w:r>
      <w:r w:rsidR="00B07E2A">
        <w:t xml:space="preserve"> </w:t>
      </w:r>
      <w:r w:rsidR="005604EC" w:rsidRPr="001B5B3E">
        <w:t>and after</w:t>
      </w:r>
      <w:r w:rsidR="00F03697">
        <w:noBreakHyphen/>
      </w:r>
      <w:r w:rsidR="005604EC" w:rsidRPr="001B5B3E">
        <w:t>tax rate</w:t>
      </w:r>
      <w:r w:rsidR="00C626AF">
        <w:t>s</w:t>
      </w:r>
      <w:r w:rsidR="005604EC" w:rsidRPr="001B5B3E">
        <w:t xml:space="preserve"> of return.</w:t>
      </w:r>
      <w:r w:rsidR="005604EC">
        <w:t xml:space="preserve"> Conversely, the return on variable capital increases by</w:t>
      </w:r>
      <w:r w:rsidR="00C626AF">
        <w:t xml:space="preserve"> around</w:t>
      </w:r>
      <w:r w:rsidR="005604EC">
        <w:t xml:space="preserve"> </w:t>
      </w:r>
      <w:r w:rsidR="008D0B98">
        <w:t>62</w:t>
      </w:r>
      <w:r w:rsidR="007C706E">
        <w:t> </w:t>
      </w:r>
      <w:r w:rsidR="00632BC7" w:rsidRPr="007C706E">
        <w:t>cents</w:t>
      </w:r>
      <w:r w:rsidR="005604EC" w:rsidRPr="001B5B3E">
        <w:t xml:space="preserve">. </w:t>
      </w:r>
      <w:r w:rsidR="005604EC">
        <w:t xml:space="preserve">This result is driven by </w:t>
      </w:r>
      <w:r w:rsidR="005604EC" w:rsidRPr="001B5B3E">
        <w:t>the small open economy assumption and franking credits.</w:t>
      </w:r>
      <w:r w:rsidR="005604EC">
        <w:t xml:space="preserve"> </w:t>
      </w:r>
      <w:r w:rsidR="005604EC" w:rsidRPr="001B5B3E">
        <w:t>A</w:t>
      </w:r>
      <w:r w:rsidR="0082761E">
        <w:t>n</w:t>
      </w:r>
      <w:r w:rsidR="005604EC" w:rsidRPr="001B5B3E">
        <w:t xml:space="preserve"> </w:t>
      </w:r>
      <w:r w:rsidR="0082761E">
        <w:t>increase</w:t>
      </w:r>
      <w:r w:rsidR="005604EC" w:rsidRPr="001B5B3E">
        <w:t xml:space="preserve"> in the </w:t>
      </w:r>
      <w:r w:rsidR="005604EC">
        <w:t xml:space="preserve">company income tax </w:t>
      </w:r>
      <w:r w:rsidR="005604EC" w:rsidRPr="001B5B3E">
        <w:t xml:space="preserve">rate </w:t>
      </w:r>
      <w:r w:rsidR="0082761E">
        <w:t>means that</w:t>
      </w:r>
      <w:r w:rsidR="0082761E" w:rsidRPr="001B5B3E">
        <w:t xml:space="preserve"> </w:t>
      </w:r>
      <w:r w:rsidR="005604EC" w:rsidRPr="001B5B3E">
        <w:t xml:space="preserve">the </w:t>
      </w:r>
      <w:r w:rsidR="005604EC">
        <w:t>before</w:t>
      </w:r>
      <w:r w:rsidR="00F03697">
        <w:noBreakHyphen/>
      </w:r>
      <w:r w:rsidR="005604EC" w:rsidRPr="001B5B3E">
        <w:t>tax rate of return</w:t>
      </w:r>
      <w:r w:rsidR="005604EC">
        <w:t xml:space="preserve"> on capital </w:t>
      </w:r>
      <w:r w:rsidR="0082761E">
        <w:t xml:space="preserve">has to rise </w:t>
      </w:r>
      <w:r w:rsidR="005604EC">
        <w:t>so that the after</w:t>
      </w:r>
      <w:r w:rsidR="00F03697">
        <w:noBreakHyphen/>
      </w:r>
      <w:r w:rsidR="005604EC">
        <w:t>tax rate of return received by foreign investors matches the globally available rate of return. However</w:t>
      </w:r>
      <w:r w:rsidR="00C626AF">
        <w:t>,</w:t>
      </w:r>
      <w:r w:rsidR="005604EC">
        <w:t xml:space="preserve"> as domestic residents receive franking credits they effectively receive the before</w:t>
      </w:r>
      <w:r w:rsidR="00F03697">
        <w:noBreakHyphen/>
      </w:r>
      <w:r w:rsidR="005604EC">
        <w:t>tax rate of return meaning their return increases with the before</w:t>
      </w:r>
      <w:r w:rsidR="00F03697">
        <w:noBreakHyphen/>
      </w:r>
      <w:r w:rsidR="005604EC">
        <w:t xml:space="preserve">tax rate of return. </w:t>
      </w:r>
      <w:r>
        <w:t xml:space="preserve">A </w:t>
      </w:r>
      <w:r w:rsidR="00554625">
        <w:t>fixed</w:t>
      </w:r>
      <w:r w:rsidR="005604EC">
        <w:t xml:space="preserve"> domestically owned </w:t>
      </w:r>
      <w:r w:rsidR="00B14F43">
        <w:t xml:space="preserve">variable </w:t>
      </w:r>
      <w:r w:rsidR="005604EC">
        <w:t xml:space="preserve">capital stock combined with a higher </w:t>
      </w:r>
      <w:r w:rsidR="00C626AF">
        <w:t>before</w:t>
      </w:r>
      <w:r w:rsidR="00F03697">
        <w:noBreakHyphen/>
      </w:r>
      <w:r w:rsidR="005604EC">
        <w:t>tax return</w:t>
      </w:r>
      <w:r w:rsidR="002C0EDD">
        <w:t xml:space="preserve"> and franking cred</w:t>
      </w:r>
      <w:r w:rsidR="00C626AF">
        <w:t>its</w:t>
      </w:r>
      <w:r w:rsidR="005604EC">
        <w:t xml:space="preserve"> implies domestic income from variable capital increase</w:t>
      </w:r>
      <w:r>
        <w:t>s</w:t>
      </w:r>
      <w:r w:rsidR="005604EC">
        <w:t xml:space="preserve"> despite the increase in the company income tax</w:t>
      </w:r>
      <w:r>
        <w:t xml:space="preserve"> rate</w:t>
      </w:r>
      <w:r w:rsidR="005604EC">
        <w:t xml:space="preserve">. </w:t>
      </w:r>
    </w:p>
    <w:p w14:paraId="29DD69B9" w14:textId="253B64CE" w:rsidR="00795118" w:rsidRDefault="00E80B6D" w:rsidP="00EF76D8">
      <w:r>
        <w:lastRenderedPageBreak/>
        <w:t>Previous empirical research has shown that</w:t>
      </w:r>
      <w:r w:rsidR="00257C3D">
        <w:t xml:space="preserve"> the marginal excess burden of a tax </w:t>
      </w:r>
      <w:r>
        <w:t>rises as the tax</w:t>
      </w:r>
      <w:r w:rsidR="00257C3D">
        <w:t xml:space="preserve"> rate</w:t>
      </w:r>
      <w:r>
        <w:t xml:space="preserve"> increases, with marginal excess burdens rising more steeply as tax rates are raised higher (</w:t>
      </w:r>
      <w:r w:rsidRPr="00145616">
        <w:t>see, for example, Creedy, 2003</w:t>
      </w:r>
      <w:r>
        <w:t>)</w:t>
      </w:r>
      <w:r w:rsidR="00257C3D">
        <w:t xml:space="preserve">. </w:t>
      </w:r>
      <w:r w:rsidR="00B843C6">
        <w:t xml:space="preserve">Chart </w:t>
      </w:r>
      <w:r w:rsidR="00B843C6">
        <w:rPr>
          <w:noProof/>
        </w:rPr>
        <w:t>5</w:t>
      </w:r>
      <w:r w:rsidR="00CF3440">
        <w:t xml:space="preserve"> </w:t>
      </w:r>
      <w:r w:rsidR="00880A9D">
        <w:t xml:space="preserve">reports the results of model simulations </w:t>
      </w:r>
      <w:r>
        <w:t xml:space="preserve">that </w:t>
      </w:r>
      <w:r w:rsidR="000F25DA">
        <w:t>suggest this result extends to</w:t>
      </w:r>
      <w:r w:rsidR="00795118" w:rsidRPr="009455AC">
        <w:t xml:space="preserve"> company income tax </w:t>
      </w:r>
      <w:r>
        <w:t>in Australia</w:t>
      </w:r>
      <w:r w:rsidR="00257C3D">
        <w:t>.</w:t>
      </w:r>
      <w:r w:rsidR="000F25DA">
        <w:rPr>
          <w:rStyle w:val="FootnoteReference"/>
        </w:rPr>
        <w:footnoteReference w:id="24"/>
      </w:r>
      <w:r w:rsidR="00257C3D">
        <w:t xml:space="preserve"> We also find that b</w:t>
      </w:r>
      <w:r w:rsidR="00795118" w:rsidRPr="009455AC">
        <w:t xml:space="preserve">elow a certain rate the </w:t>
      </w:r>
      <w:r w:rsidR="000D37B3">
        <w:t>company income tax</w:t>
      </w:r>
      <w:r w:rsidR="00795118" w:rsidRPr="009455AC">
        <w:t xml:space="preserve"> has a negative marginal excess burden, </w:t>
      </w:r>
      <w:r w:rsidR="00FB1248">
        <w:t>which implies</w:t>
      </w:r>
      <w:r w:rsidR="00795118" w:rsidRPr="009455AC">
        <w:t xml:space="preserve"> that </w:t>
      </w:r>
      <w:r w:rsidR="00FB1248">
        <w:t>the company income tax</w:t>
      </w:r>
      <w:r w:rsidR="00FB1248" w:rsidRPr="009455AC">
        <w:t xml:space="preserve"> is welfare improving </w:t>
      </w:r>
      <w:r w:rsidR="00795118" w:rsidRPr="009455AC">
        <w:t xml:space="preserve">at these low rates. </w:t>
      </w:r>
      <w:r w:rsidR="00FB1248">
        <w:t>This result</w:t>
      </w:r>
      <w:r w:rsidR="00795118" w:rsidRPr="009455AC">
        <w:t xml:space="preserve"> is driven by </w:t>
      </w:r>
      <w:r w:rsidR="00FB1248">
        <w:t xml:space="preserve">the </w:t>
      </w:r>
      <w:r w:rsidR="00795118" w:rsidRPr="009455AC">
        <w:t xml:space="preserve">foreign ownership of fixed factors of production. </w:t>
      </w:r>
      <w:r w:rsidR="00257C3D">
        <w:t>Specifically</w:t>
      </w:r>
      <w:r w:rsidR="00FB1248">
        <w:t>, t</w:t>
      </w:r>
      <w:r w:rsidR="00795118" w:rsidRPr="009455AC">
        <w:t>axing the returns on foreign</w:t>
      </w:r>
      <w:r w:rsidR="00F03697">
        <w:noBreakHyphen/>
      </w:r>
      <w:r w:rsidR="00795118" w:rsidRPr="009455AC">
        <w:t xml:space="preserve">owned fixed factors results in a transfer </w:t>
      </w:r>
      <w:r w:rsidR="00FB1248">
        <w:t xml:space="preserve">of income </w:t>
      </w:r>
      <w:r w:rsidR="00795118" w:rsidRPr="009455AC">
        <w:t xml:space="preserve">from foreigners to domestic residents </w:t>
      </w:r>
      <w:r w:rsidR="00EB1F50">
        <w:t>which</w:t>
      </w:r>
      <w:r w:rsidR="00EB1F50" w:rsidRPr="009455AC">
        <w:t xml:space="preserve"> </w:t>
      </w:r>
      <w:r w:rsidR="00257C3D">
        <w:t>improves</w:t>
      </w:r>
      <w:r w:rsidR="00795118" w:rsidRPr="009455AC">
        <w:t xml:space="preserve"> </w:t>
      </w:r>
      <w:r w:rsidR="00FB1248">
        <w:t xml:space="preserve">the </w:t>
      </w:r>
      <w:r w:rsidR="00795118" w:rsidRPr="009455AC">
        <w:t>welfare</w:t>
      </w:r>
      <w:r w:rsidR="00FB1248">
        <w:t xml:space="preserve"> of</w:t>
      </w:r>
      <w:r w:rsidR="00033F17">
        <w:t xml:space="preserve"> the</w:t>
      </w:r>
      <w:r w:rsidR="00FB1248">
        <w:t xml:space="preserve"> domestic household</w:t>
      </w:r>
      <w:r w:rsidR="00795118" w:rsidRPr="009455AC">
        <w:t xml:space="preserve">. At low </w:t>
      </w:r>
      <w:r w:rsidR="000D37B3">
        <w:t>company income tax</w:t>
      </w:r>
      <w:r w:rsidR="00795118" w:rsidRPr="009455AC">
        <w:t xml:space="preserve"> rates this welfare gain outweighs any welfare cost caused by the distortion inherent in the </w:t>
      </w:r>
      <w:r w:rsidR="000D37B3">
        <w:t>company income tax</w:t>
      </w:r>
      <w:r w:rsidR="00795118" w:rsidRPr="009455AC">
        <w:t>.</w:t>
      </w:r>
      <w:r w:rsidR="00DC25A8">
        <w:t xml:space="preserve"> However, the rate at which the company income tax diminishes welfare is sensitive to some of the parameters in the model. </w:t>
      </w:r>
    </w:p>
    <w:p w14:paraId="29DD69BA" w14:textId="440374BB" w:rsidR="00795118" w:rsidRDefault="00795118" w:rsidP="00E82F3E">
      <w:pPr>
        <w:pStyle w:val="Caption1"/>
      </w:pPr>
      <w:bookmarkStart w:id="14" w:name="_Ref399075007"/>
      <w:r>
        <w:t xml:space="preserve">Chart </w:t>
      </w:r>
      <w:r w:rsidR="00866AD9">
        <w:fldChar w:fldCharType="begin"/>
      </w:r>
      <w:r w:rsidR="00866AD9">
        <w:instrText xml:space="preserve"> SEQ Chart \* ARABIC </w:instrText>
      </w:r>
      <w:r w:rsidR="00866AD9">
        <w:fldChar w:fldCharType="separate"/>
      </w:r>
      <w:r w:rsidR="00AA2137">
        <w:rPr>
          <w:noProof/>
        </w:rPr>
        <w:t>5</w:t>
      </w:r>
      <w:r w:rsidR="00866AD9">
        <w:rPr>
          <w:noProof/>
        </w:rPr>
        <w:fldChar w:fldCharType="end"/>
      </w:r>
      <w:bookmarkEnd w:id="14"/>
      <w:r>
        <w:t xml:space="preserve">: </w:t>
      </w:r>
      <w:r w:rsidR="00CE792A">
        <w:t>Company income tax</w:t>
      </w:r>
      <w:r w:rsidR="004C5CFD">
        <w:t xml:space="preserve"> — </w:t>
      </w:r>
      <w:r w:rsidR="00057908">
        <w:t>Marginal e</w:t>
      </w:r>
      <w:r w:rsidR="00CE792A">
        <w:t xml:space="preserve">xcess </w:t>
      </w:r>
      <w:r>
        <w:t xml:space="preserve">burden </w:t>
      </w:r>
      <w:r w:rsidR="002D2D0C">
        <w:t xml:space="preserve">at </w:t>
      </w:r>
      <w:r w:rsidR="008B5917">
        <w:t>varying rates</w:t>
      </w:r>
    </w:p>
    <w:p w14:paraId="29DD69BB" w14:textId="4F21FBB5" w:rsidR="00795118" w:rsidRDefault="00866AD9" w:rsidP="004737A4">
      <w:pPr>
        <w:pStyle w:val="Caption1"/>
      </w:pPr>
      <w:r>
        <w:pict w14:anchorId="5FED2DB1">
          <v:shape id="_x0000_i1035" type="#_x0000_t75" style="width:438.4pt;height:198.2pt">
            <v:imagedata r:id="rId47" o:title=""/>
          </v:shape>
        </w:pict>
      </w:r>
    </w:p>
    <w:p w14:paraId="0A145C98" w14:textId="1F6D4B49" w:rsidR="00F74E3C" w:rsidRDefault="00F74E3C" w:rsidP="00FF303A">
      <w:pPr>
        <w:pStyle w:val="Source"/>
        <w:ind w:left="284"/>
      </w:pPr>
      <w:r>
        <w:rPr>
          <w:lang w:val="en-US"/>
        </w:rPr>
        <w:t xml:space="preserve">Source: </w:t>
      </w:r>
      <w:r w:rsidR="00E007CF">
        <w:t>Treasury estimates</w:t>
      </w:r>
      <w:r>
        <w:t>.</w:t>
      </w:r>
    </w:p>
    <w:p w14:paraId="29DD69BC" w14:textId="61379D79" w:rsidR="005604EC" w:rsidRPr="001B5B3E" w:rsidRDefault="005604EC" w:rsidP="005604EC">
      <w:pPr>
        <w:pStyle w:val="Heading3"/>
      </w:pPr>
      <w:r w:rsidRPr="008900F0">
        <w:t xml:space="preserve">Comparison with </w:t>
      </w:r>
      <w:r w:rsidR="00D45BAD">
        <w:t>other studies</w:t>
      </w:r>
    </w:p>
    <w:p w14:paraId="29DD69BF" w14:textId="2D0E9458" w:rsidR="00570FD9" w:rsidRDefault="00B843C6" w:rsidP="00EF76D8">
      <w:pPr>
        <w:rPr>
          <w:lang w:eastAsia="en-AU"/>
        </w:rPr>
      </w:pPr>
      <w:r>
        <w:t>Table</w:t>
      </w:r>
      <w:r w:rsidRPr="00EF76D8">
        <w:t xml:space="preserve"> </w:t>
      </w:r>
      <w:r>
        <w:rPr>
          <w:noProof/>
        </w:rPr>
        <w:t>2</w:t>
      </w:r>
      <w:r w:rsidR="00EF76D8" w:rsidRPr="00EF76D8">
        <w:t xml:space="preserve"> </w:t>
      </w:r>
      <w:r w:rsidR="00F624A3">
        <w:rPr>
          <w:lang w:eastAsia="en-AU"/>
        </w:rPr>
        <w:t xml:space="preserve">reports </w:t>
      </w:r>
      <w:r w:rsidR="0017501C">
        <w:rPr>
          <w:lang w:eastAsia="en-AU"/>
        </w:rPr>
        <w:t>the</w:t>
      </w:r>
      <w:r w:rsidR="008B5DB7">
        <w:rPr>
          <w:lang w:eastAsia="en-AU"/>
        </w:rPr>
        <w:t xml:space="preserve"> marginal</w:t>
      </w:r>
      <w:r w:rsidR="0017501C">
        <w:rPr>
          <w:lang w:eastAsia="en-AU"/>
        </w:rPr>
        <w:t xml:space="preserve"> </w:t>
      </w:r>
      <w:r w:rsidR="00C626AF">
        <w:rPr>
          <w:lang w:eastAsia="en-AU"/>
        </w:rPr>
        <w:t xml:space="preserve">excess burden based on the </w:t>
      </w:r>
      <w:r w:rsidR="002C0EDD">
        <w:rPr>
          <w:lang w:eastAsia="en-AU"/>
        </w:rPr>
        <w:t>baseline calibration</w:t>
      </w:r>
      <w:r w:rsidR="0017501C">
        <w:rPr>
          <w:lang w:eastAsia="en-AU"/>
        </w:rPr>
        <w:t xml:space="preserve">, along with the </w:t>
      </w:r>
      <w:r w:rsidR="00FB1A2D">
        <w:rPr>
          <w:lang w:eastAsia="en-AU"/>
        </w:rPr>
        <w:t xml:space="preserve">results of the sensitivity analysis (see Appendix A for details). The </w:t>
      </w:r>
      <w:r w:rsidR="0017501C">
        <w:rPr>
          <w:lang w:eastAsia="en-AU"/>
        </w:rPr>
        <w:t>highest and lowest estimates from the sensitivity analysis</w:t>
      </w:r>
      <w:r w:rsidR="00FB1A2D">
        <w:rPr>
          <w:lang w:eastAsia="en-AU"/>
        </w:rPr>
        <w:t xml:space="preserve"> are highlighted in red and green respectively</w:t>
      </w:r>
      <w:r w:rsidR="0017501C">
        <w:rPr>
          <w:lang w:eastAsia="en-AU"/>
        </w:rPr>
        <w:t>.</w:t>
      </w:r>
      <w:r w:rsidR="0038431B">
        <w:t xml:space="preserve"> </w:t>
      </w:r>
      <w:r w:rsidR="00FB1A2D">
        <w:rPr>
          <w:lang w:eastAsia="en-AU"/>
        </w:rPr>
        <w:t>The</w:t>
      </w:r>
      <w:r w:rsidR="0038431B" w:rsidRPr="0038431B">
        <w:rPr>
          <w:lang w:eastAsia="en-AU"/>
        </w:rPr>
        <w:t xml:space="preserve"> high sensitivity result come</w:t>
      </w:r>
      <w:r w:rsidR="00FB1A2D">
        <w:rPr>
          <w:lang w:eastAsia="en-AU"/>
        </w:rPr>
        <w:t>s</w:t>
      </w:r>
      <w:r w:rsidR="0038431B" w:rsidRPr="0038431B">
        <w:rPr>
          <w:lang w:eastAsia="en-AU"/>
        </w:rPr>
        <w:t xml:space="preserve"> from </w:t>
      </w:r>
      <w:r w:rsidR="001B110F">
        <w:rPr>
          <w:lang w:eastAsia="en-AU"/>
        </w:rPr>
        <w:t xml:space="preserve">altering </w:t>
      </w:r>
      <w:r w:rsidR="0038431B" w:rsidRPr="0038431B">
        <w:rPr>
          <w:lang w:eastAsia="en-AU"/>
        </w:rPr>
        <w:t>the calibration of fixed factors in the model</w:t>
      </w:r>
      <w:r w:rsidR="00570FD9">
        <w:rPr>
          <w:lang w:eastAsia="en-AU"/>
        </w:rPr>
        <w:t xml:space="preserve"> </w:t>
      </w:r>
      <w:r w:rsidR="00570FD9" w:rsidRPr="00570FD9">
        <w:rPr>
          <w:lang w:eastAsia="en-AU"/>
        </w:rPr>
        <w:t>by</w:t>
      </w:r>
      <w:r w:rsidR="0038431B" w:rsidRPr="00570FD9">
        <w:rPr>
          <w:lang w:eastAsia="en-AU"/>
        </w:rPr>
        <w:t xml:space="preserve"> assuming there are no location</w:t>
      </w:r>
      <w:r w:rsidR="00F03697">
        <w:rPr>
          <w:lang w:eastAsia="en-AU"/>
        </w:rPr>
        <w:noBreakHyphen/>
      </w:r>
      <w:r w:rsidR="0038431B" w:rsidRPr="00570FD9">
        <w:rPr>
          <w:lang w:eastAsia="en-AU"/>
        </w:rPr>
        <w:t xml:space="preserve"> or firm</w:t>
      </w:r>
      <w:r w:rsidR="00F03697">
        <w:rPr>
          <w:lang w:eastAsia="en-AU"/>
        </w:rPr>
        <w:noBreakHyphen/>
      </w:r>
      <w:r w:rsidR="0038431B" w:rsidRPr="00570FD9">
        <w:rPr>
          <w:lang w:eastAsia="en-AU"/>
        </w:rPr>
        <w:t>specific fixed factors</w:t>
      </w:r>
      <w:r w:rsidR="00570FD9" w:rsidRPr="00570FD9">
        <w:rPr>
          <w:lang w:eastAsia="en-AU"/>
        </w:rPr>
        <w:t>.</w:t>
      </w:r>
      <w:r w:rsidR="0038431B" w:rsidRPr="00570FD9">
        <w:rPr>
          <w:lang w:eastAsia="en-AU"/>
        </w:rPr>
        <w:t xml:space="preserve"> </w:t>
      </w:r>
      <w:r w:rsidR="00570FD9">
        <w:rPr>
          <w:lang w:eastAsia="en-AU"/>
        </w:rPr>
        <w:t>T</w:t>
      </w:r>
      <w:r w:rsidR="0038431B" w:rsidRPr="00570FD9">
        <w:rPr>
          <w:lang w:eastAsia="en-AU"/>
        </w:rPr>
        <w:t>he low</w:t>
      </w:r>
      <w:r w:rsidR="008B5DB7" w:rsidRPr="00570FD9">
        <w:rPr>
          <w:lang w:eastAsia="en-AU"/>
        </w:rPr>
        <w:t xml:space="preserve"> </w:t>
      </w:r>
      <w:r w:rsidR="00570FD9">
        <w:rPr>
          <w:lang w:eastAsia="en-AU"/>
        </w:rPr>
        <w:t xml:space="preserve">sensitivity result comes from </w:t>
      </w:r>
      <w:r w:rsidR="0038431B" w:rsidRPr="00570FD9">
        <w:rPr>
          <w:lang w:eastAsia="en-AU"/>
        </w:rPr>
        <w:t xml:space="preserve">assuming </w:t>
      </w:r>
      <w:r w:rsidR="00570FD9">
        <w:rPr>
          <w:lang w:eastAsia="en-AU"/>
        </w:rPr>
        <w:t>a low elasticity of substitution between consumption and leisure</w:t>
      </w:r>
      <w:r w:rsidR="003744D4" w:rsidRPr="00570FD9">
        <w:rPr>
          <w:lang w:eastAsia="en-AU"/>
        </w:rPr>
        <w:t>.</w:t>
      </w:r>
    </w:p>
    <w:p w14:paraId="29DD69C0" w14:textId="070AB08A" w:rsidR="00095029" w:rsidRPr="009233EA" w:rsidRDefault="000C59CB" w:rsidP="009233EA">
      <w:pPr>
        <w:pStyle w:val="Caption1"/>
        <w:jc w:val="left"/>
      </w:pPr>
      <w:bookmarkStart w:id="15" w:name="_Ref400362169"/>
      <w:r w:rsidRPr="009233EA">
        <w:lastRenderedPageBreak/>
        <w:t>T</w:t>
      </w:r>
      <w:r w:rsidR="00A24ED7" w:rsidRPr="009233EA">
        <w:t>able</w:t>
      </w:r>
      <w:r w:rsidRPr="009233EA">
        <w:t xml:space="preserve"> </w:t>
      </w:r>
      <w:r w:rsidR="00866AD9">
        <w:fldChar w:fldCharType="begin"/>
      </w:r>
      <w:r w:rsidR="00866AD9">
        <w:instrText xml:space="preserve"> SEQ Table \* ARABIC </w:instrText>
      </w:r>
      <w:r w:rsidR="00866AD9">
        <w:fldChar w:fldCharType="separate"/>
      </w:r>
      <w:r w:rsidR="00AA2137" w:rsidRPr="009233EA">
        <w:t>2</w:t>
      </w:r>
      <w:r w:rsidR="00866AD9">
        <w:fldChar w:fldCharType="end"/>
      </w:r>
      <w:bookmarkEnd w:id="15"/>
      <w:r w:rsidR="00095029" w:rsidRPr="009233EA">
        <w:t>: Company income tax</w:t>
      </w:r>
      <w:r w:rsidR="004C5CFD" w:rsidRPr="009233EA">
        <w:t xml:space="preserve"> — </w:t>
      </w:r>
      <w:r w:rsidR="00057908" w:rsidRPr="009233EA">
        <w:t>Marginal e</w:t>
      </w:r>
      <w:r w:rsidR="00095029" w:rsidRPr="009233EA">
        <w:t xml:space="preserve">xcess burden </w:t>
      </w:r>
      <w:r w:rsidR="0051733E" w:rsidRPr="009233EA">
        <w:t>comparison</w:t>
      </w:r>
    </w:p>
    <w:tbl>
      <w:tblPr>
        <w:tblW w:w="7860" w:type="dxa"/>
        <w:tblInd w:w="108" w:type="dxa"/>
        <w:tblLook w:val="04A0" w:firstRow="1" w:lastRow="0" w:firstColumn="1" w:lastColumn="0" w:noHBand="0" w:noVBand="1"/>
      </w:tblPr>
      <w:tblGrid>
        <w:gridCol w:w="6096"/>
        <w:gridCol w:w="1764"/>
      </w:tblGrid>
      <w:tr w:rsidR="008D0B98" w:rsidRPr="008D0B98" w14:paraId="2E5DD502" w14:textId="77777777" w:rsidTr="008D0B98">
        <w:trPr>
          <w:trHeight w:val="600"/>
        </w:trPr>
        <w:tc>
          <w:tcPr>
            <w:tcW w:w="6096" w:type="dxa"/>
            <w:tcBorders>
              <w:top w:val="single" w:sz="8" w:space="0" w:color="auto"/>
              <w:left w:val="nil"/>
              <w:bottom w:val="single" w:sz="4" w:space="0" w:color="auto"/>
              <w:right w:val="nil"/>
            </w:tcBorders>
            <w:shd w:val="clear" w:color="auto" w:fill="auto"/>
            <w:noWrap/>
            <w:vAlign w:val="bottom"/>
            <w:hideMark/>
          </w:tcPr>
          <w:p w14:paraId="48C7AA83"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 </w:t>
            </w:r>
          </w:p>
        </w:tc>
        <w:tc>
          <w:tcPr>
            <w:tcW w:w="1764" w:type="dxa"/>
            <w:tcBorders>
              <w:top w:val="single" w:sz="8" w:space="0" w:color="auto"/>
              <w:left w:val="nil"/>
              <w:bottom w:val="single" w:sz="4" w:space="0" w:color="auto"/>
              <w:right w:val="nil"/>
            </w:tcBorders>
            <w:shd w:val="clear" w:color="auto" w:fill="auto"/>
            <w:vAlign w:val="center"/>
            <w:hideMark/>
          </w:tcPr>
          <w:p w14:paraId="2EE550E9" w14:textId="3D518FD0" w:rsidR="008D0B98" w:rsidRPr="008D0B98" w:rsidRDefault="008D0B98" w:rsidP="00BF04BA">
            <w:pPr>
              <w:pStyle w:val="TableColumnHeadingCentred"/>
            </w:pPr>
            <w:r w:rsidRPr="008D0B98">
              <w:t>Company</w:t>
            </w:r>
            <w:r w:rsidR="004B7C67">
              <w:t xml:space="preserve"> income tax</w:t>
            </w:r>
            <w:r w:rsidRPr="008D0B98">
              <w:t xml:space="preserve"> MEB</w:t>
            </w:r>
            <w:r w:rsidR="004B7C67">
              <w:t xml:space="preserve"> </w:t>
            </w:r>
            <w:r w:rsidRPr="008D0B98">
              <w:t>($)</w:t>
            </w:r>
          </w:p>
        </w:tc>
      </w:tr>
      <w:tr w:rsidR="008D0B98" w:rsidRPr="008D0B98" w14:paraId="154D7372"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60C189D0"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Baseline</w:t>
            </w:r>
          </w:p>
        </w:tc>
        <w:tc>
          <w:tcPr>
            <w:tcW w:w="1764" w:type="dxa"/>
            <w:tcBorders>
              <w:top w:val="nil"/>
              <w:left w:val="nil"/>
              <w:bottom w:val="nil"/>
              <w:right w:val="nil"/>
            </w:tcBorders>
            <w:shd w:val="clear" w:color="auto" w:fill="auto"/>
            <w:noWrap/>
            <w:vAlign w:val="center"/>
            <w:hideMark/>
          </w:tcPr>
          <w:p w14:paraId="7BD0D377"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0.50</w:t>
            </w:r>
          </w:p>
        </w:tc>
      </w:tr>
      <w:tr w:rsidR="008D0B98" w:rsidRPr="008D0B98" w14:paraId="6FE53353" w14:textId="77777777" w:rsidTr="008D0B98">
        <w:trPr>
          <w:trHeight w:val="300"/>
        </w:trPr>
        <w:tc>
          <w:tcPr>
            <w:tcW w:w="6096" w:type="dxa"/>
            <w:tcBorders>
              <w:top w:val="nil"/>
              <w:left w:val="nil"/>
              <w:bottom w:val="nil"/>
              <w:right w:val="nil"/>
            </w:tcBorders>
            <w:shd w:val="clear" w:color="auto" w:fill="auto"/>
            <w:noWrap/>
            <w:vAlign w:val="bottom"/>
            <w:hideMark/>
          </w:tcPr>
          <w:p w14:paraId="57528F97"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firm behaviour</w:t>
            </w:r>
          </w:p>
        </w:tc>
        <w:tc>
          <w:tcPr>
            <w:tcW w:w="1764" w:type="dxa"/>
            <w:tcBorders>
              <w:top w:val="single" w:sz="4" w:space="0" w:color="auto"/>
              <w:left w:val="nil"/>
              <w:bottom w:val="nil"/>
              <w:right w:val="nil"/>
            </w:tcBorders>
            <w:shd w:val="clear" w:color="auto" w:fill="auto"/>
            <w:noWrap/>
            <w:vAlign w:val="center"/>
            <w:hideMark/>
          </w:tcPr>
          <w:p w14:paraId="155B7005" w14:textId="4F8DC113"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65D58F74" w14:textId="77777777" w:rsidTr="008D0B98">
        <w:trPr>
          <w:trHeight w:val="300"/>
        </w:trPr>
        <w:tc>
          <w:tcPr>
            <w:tcW w:w="6096" w:type="dxa"/>
            <w:tcBorders>
              <w:top w:val="nil"/>
              <w:left w:val="nil"/>
              <w:bottom w:val="nil"/>
              <w:right w:val="nil"/>
            </w:tcBorders>
            <w:shd w:val="clear" w:color="auto" w:fill="auto"/>
            <w:noWrap/>
            <w:vAlign w:val="bottom"/>
            <w:hideMark/>
          </w:tcPr>
          <w:p w14:paraId="46EEEA3E" w14:textId="7A0B7A0C" w:rsidR="008D0B98" w:rsidRPr="008D0B98" w:rsidRDefault="00F5757F" w:rsidP="00F5757F">
            <w:pPr>
              <w:keepNext/>
              <w:spacing w:after="0" w:line="240" w:lineRule="auto"/>
              <w:rPr>
                <w:rFonts w:eastAsia="Times New Roman" w:cs="Times New Roman"/>
                <w:color w:val="000000"/>
                <w:lang w:eastAsia="en-AU"/>
              </w:rPr>
            </w:pPr>
            <w:r>
              <w:rPr>
                <w:rFonts w:eastAsia="Times New Roman" w:cs="Times New Roman"/>
                <w:color w:val="000000"/>
                <w:lang w:eastAsia="en-AU"/>
              </w:rPr>
              <w:t>Economic rents</w:t>
            </w:r>
          </w:p>
        </w:tc>
        <w:tc>
          <w:tcPr>
            <w:tcW w:w="1764" w:type="dxa"/>
            <w:tcBorders>
              <w:top w:val="nil"/>
              <w:left w:val="nil"/>
              <w:bottom w:val="nil"/>
              <w:right w:val="nil"/>
            </w:tcBorders>
            <w:shd w:val="clear" w:color="auto" w:fill="auto"/>
            <w:noWrap/>
            <w:vAlign w:val="center"/>
            <w:hideMark/>
          </w:tcPr>
          <w:p w14:paraId="569D265D"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43300BA0" w14:textId="77777777" w:rsidTr="008D0B98">
        <w:trPr>
          <w:trHeight w:val="300"/>
        </w:trPr>
        <w:tc>
          <w:tcPr>
            <w:tcW w:w="6096" w:type="dxa"/>
            <w:tcBorders>
              <w:top w:val="nil"/>
              <w:left w:val="nil"/>
              <w:bottom w:val="nil"/>
              <w:right w:val="nil"/>
            </w:tcBorders>
            <w:shd w:val="clear" w:color="auto" w:fill="auto"/>
            <w:noWrap/>
            <w:vAlign w:val="bottom"/>
            <w:hideMark/>
          </w:tcPr>
          <w:p w14:paraId="4CED54E5" w14:textId="11512929" w:rsidR="008D0B98" w:rsidRPr="008D0B98" w:rsidRDefault="00F5757F" w:rsidP="00F5757F">
            <w:pPr>
              <w:keepNext/>
              <w:spacing w:after="0" w:line="240" w:lineRule="auto"/>
              <w:ind w:left="720" w:hanging="261"/>
              <w:rPr>
                <w:rFonts w:eastAsia="Times New Roman" w:cs="Times New Roman"/>
                <w:color w:val="000000"/>
                <w:lang w:eastAsia="en-AU"/>
              </w:rPr>
            </w:pPr>
            <w:r>
              <w:rPr>
                <w:rFonts w:eastAsia="Times New Roman" w:cs="Times New Roman"/>
                <w:color w:val="000000"/>
                <w:lang w:eastAsia="en-AU"/>
              </w:rPr>
              <w:t>Low rent share</w:t>
            </w:r>
          </w:p>
        </w:tc>
        <w:tc>
          <w:tcPr>
            <w:tcW w:w="1764" w:type="dxa"/>
            <w:tcBorders>
              <w:top w:val="nil"/>
              <w:left w:val="nil"/>
              <w:bottom w:val="nil"/>
              <w:right w:val="nil"/>
            </w:tcBorders>
            <w:shd w:val="clear" w:color="auto" w:fill="auto"/>
            <w:noWrap/>
            <w:vAlign w:val="center"/>
            <w:hideMark/>
          </w:tcPr>
          <w:p w14:paraId="47DEA36B" w14:textId="77777777" w:rsidR="008D0B98" w:rsidRPr="008D0B98" w:rsidRDefault="008D0B98" w:rsidP="008D0B98">
            <w:pPr>
              <w:keepNext/>
              <w:spacing w:after="0" w:line="240" w:lineRule="auto"/>
              <w:jc w:val="center"/>
              <w:rPr>
                <w:rFonts w:eastAsia="Times New Roman" w:cs="Times New Roman"/>
                <w:b/>
                <w:bCs/>
                <w:color w:val="FF0000"/>
                <w:lang w:eastAsia="en-AU"/>
              </w:rPr>
            </w:pPr>
            <w:r w:rsidRPr="008D0B98">
              <w:rPr>
                <w:rFonts w:eastAsia="Times New Roman" w:cs="Times New Roman"/>
                <w:b/>
                <w:bCs/>
                <w:color w:val="FF0000"/>
                <w:lang w:eastAsia="en-AU"/>
              </w:rPr>
              <w:t>1.35</w:t>
            </w:r>
          </w:p>
        </w:tc>
      </w:tr>
      <w:tr w:rsidR="008D0B98" w:rsidRPr="008D0B98" w14:paraId="072B060A" w14:textId="77777777" w:rsidTr="008D0B98">
        <w:trPr>
          <w:trHeight w:val="300"/>
        </w:trPr>
        <w:tc>
          <w:tcPr>
            <w:tcW w:w="6096" w:type="dxa"/>
            <w:tcBorders>
              <w:top w:val="nil"/>
              <w:left w:val="nil"/>
              <w:bottom w:val="nil"/>
              <w:right w:val="nil"/>
            </w:tcBorders>
            <w:shd w:val="clear" w:color="auto" w:fill="auto"/>
            <w:noWrap/>
            <w:vAlign w:val="bottom"/>
            <w:hideMark/>
          </w:tcPr>
          <w:p w14:paraId="253AC51B" w14:textId="6E8FDD26"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rent share</w:t>
            </w:r>
          </w:p>
        </w:tc>
        <w:tc>
          <w:tcPr>
            <w:tcW w:w="1764" w:type="dxa"/>
            <w:tcBorders>
              <w:top w:val="nil"/>
              <w:left w:val="nil"/>
              <w:bottom w:val="nil"/>
              <w:right w:val="nil"/>
            </w:tcBorders>
            <w:shd w:val="clear" w:color="auto" w:fill="auto"/>
            <w:noWrap/>
            <w:vAlign w:val="center"/>
            <w:hideMark/>
          </w:tcPr>
          <w:p w14:paraId="5AA85754"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0.32</w:t>
            </w:r>
          </w:p>
        </w:tc>
      </w:tr>
      <w:tr w:rsidR="008D0B98" w:rsidRPr="008D0B98" w14:paraId="50BA4DFB" w14:textId="77777777" w:rsidTr="008D0B98">
        <w:trPr>
          <w:trHeight w:val="300"/>
        </w:trPr>
        <w:tc>
          <w:tcPr>
            <w:tcW w:w="6096" w:type="dxa"/>
            <w:tcBorders>
              <w:top w:val="nil"/>
              <w:left w:val="nil"/>
              <w:bottom w:val="nil"/>
              <w:right w:val="nil"/>
            </w:tcBorders>
            <w:shd w:val="clear" w:color="auto" w:fill="auto"/>
            <w:noWrap/>
            <w:vAlign w:val="bottom"/>
            <w:hideMark/>
          </w:tcPr>
          <w:p w14:paraId="18935CEA" w14:textId="2EBD72D2" w:rsidR="008D0B98" w:rsidRPr="008D0B98" w:rsidRDefault="00F5757F" w:rsidP="00F5757F">
            <w:pPr>
              <w:keepNext/>
              <w:spacing w:after="0" w:line="240" w:lineRule="auto"/>
              <w:rPr>
                <w:rFonts w:eastAsia="Times New Roman" w:cs="Times New Roman"/>
                <w:color w:val="000000"/>
                <w:lang w:eastAsia="en-AU"/>
              </w:rPr>
            </w:pPr>
            <w:r>
              <w:rPr>
                <w:rFonts w:eastAsia="Times New Roman" w:cs="Times New Roman"/>
                <w:color w:val="000000"/>
                <w:lang w:eastAsia="en-AU"/>
              </w:rPr>
              <w:t>Foreign ownership of firms</w:t>
            </w:r>
          </w:p>
        </w:tc>
        <w:tc>
          <w:tcPr>
            <w:tcW w:w="1764" w:type="dxa"/>
            <w:tcBorders>
              <w:top w:val="nil"/>
              <w:left w:val="nil"/>
              <w:bottom w:val="nil"/>
              <w:right w:val="nil"/>
            </w:tcBorders>
            <w:shd w:val="clear" w:color="auto" w:fill="auto"/>
            <w:noWrap/>
            <w:vAlign w:val="center"/>
            <w:hideMark/>
          </w:tcPr>
          <w:p w14:paraId="68604815"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1FC6C92B" w14:textId="77777777" w:rsidTr="008D0B98">
        <w:trPr>
          <w:trHeight w:val="300"/>
        </w:trPr>
        <w:tc>
          <w:tcPr>
            <w:tcW w:w="6096" w:type="dxa"/>
            <w:tcBorders>
              <w:top w:val="nil"/>
              <w:left w:val="nil"/>
              <w:bottom w:val="nil"/>
              <w:right w:val="nil"/>
            </w:tcBorders>
            <w:shd w:val="clear" w:color="auto" w:fill="auto"/>
            <w:noWrap/>
            <w:vAlign w:val="bottom"/>
            <w:hideMark/>
          </w:tcPr>
          <w:p w14:paraId="164E75CC" w14:textId="4A9657AF" w:rsidR="008D0B98" w:rsidRPr="008D0B98" w:rsidRDefault="00F5757F" w:rsidP="00F5757F">
            <w:pPr>
              <w:keepNext/>
              <w:spacing w:after="0" w:line="240" w:lineRule="auto"/>
              <w:ind w:left="720" w:hanging="261"/>
              <w:rPr>
                <w:rFonts w:eastAsia="Times New Roman" w:cs="Times New Roman"/>
                <w:color w:val="000000"/>
                <w:lang w:eastAsia="en-AU"/>
              </w:rPr>
            </w:pPr>
            <w:r>
              <w:rPr>
                <w:rFonts w:eastAsia="Times New Roman" w:cs="Times New Roman"/>
                <w:color w:val="000000"/>
                <w:lang w:eastAsia="en-AU"/>
              </w:rPr>
              <w:t>Low foreign ownership</w:t>
            </w:r>
          </w:p>
        </w:tc>
        <w:tc>
          <w:tcPr>
            <w:tcW w:w="1764" w:type="dxa"/>
            <w:tcBorders>
              <w:top w:val="nil"/>
              <w:left w:val="nil"/>
              <w:bottom w:val="nil"/>
              <w:right w:val="nil"/>
            </w:tcBorders>
            <w:shd w:val="clear" w:color="auto" w:fill="auto"/>
            <w:noWrap/>
            <w:vAlign w:val="center"/>
            <w:hideMark/>
          </w:tcPr>
          <w:p w14:paraId="5B09BDE4"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0.71</w:t>
            </w:r>
          </w:p>
        </w:tc>
      </w:tr>
      <w:tr w:rsidR="008D0B98" w:rsidRPr="008D0B98" w14:paraId="0F14325C" w14:textId="77777777" w:rsidTr="008D0B98">
        <w:trPr>
          <w:trHeight w:val="300"/>
        </w:trPr>
        <w:tc>
          <w:tcPr>
            <w:tcW w:w="6096" w:type="dxa"/>
            <w:tcBorders>
              <w:top w:val="nil"/>
              <w:left w:val="nil"/>
              <w:bottom w:val="nil"/>
              <w:right w:val="nil"/>
            </w:tcBorders>
            <w:shd w:val="clear" w:color="auto" w:fill="auto"/>
            <w:noWrap/>
            <w:vAlign w:val="bottom"/>
            <w:hideMark/>
          </w:tcPr>
          <w:p w14:paraId="28203B55" w14:textId="038ECA96"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foreign ownership</w:t>
            </w:r>
          </w:p>
        </w:tc>
        <w:tc>
          <w:tcPr>
            <w:tcW w:w="1764" w:type="dxa"/>
            <w:tcBorders>
              <w:top w:val="nil"/>
              <w:left w:val="nil"/>
              <w:bottom w:val="nil"/>
              <w:right w:val="nil"/>
            </w:tcBorders>
            <w:shd w:val="clear" w:color="auto" w:fill="auto"/>
            <w:noWrap/>
            <w:vAlign w:val="center"/>
            <w:hideMark/>
          </w:tcPr>
          <w:p w14:paraId="7790F501"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0.28</w:t>
            </w:r>
          </w:p>
        </w:tc>
      </w:tr>
      <w:tr w:rsidR="008D0B98" w:rsidRPr="008D0B98" w14:paraId="1231D086" w14:textId="77777777" w:rsidTr="008D0B98">
        <w:trPr>
          <w:trHeight w:val="300"/>
        </w:trPr>
        <w:tc>
          <w:tcPr>
            <w:tcW w:w="6096" w:type="dxa"/>
            <w:tcBorders>
              <w:top w:val="nil"/>
              <w:left w:val="nil"/>
              <w:bottom w:val="nil"/>
              <w:right w:val="nil"/>
            </w:tcBorders>
            <w:shd w:val="clear" w:color="auto" w:fill="auto"/>
            <w:noWrap/>
            <w:vAlign w:val="bottom"/>
            <w:hideMark/>
          </w:tcPr>
          <w:p w14:paraId="14DCA4CD" w14:textId="0B852509" w:rsidR="008D0B98" w:rsidRPr="008D0B98" w:rsidRDefault="004B7C67" w:rsidP="004B7C67">
            <w:pPr>
              <w:keepNext/>
              <w:spacing w:after="0" w:line="240" w:lineRule="auto"/>
              <w:rPr>
                <w:rFonts w:eastAsia="Times New Roman" w:cs="Times New Roman"/>
                <w:color w:val="000000"/>
                <w:lang w:eastAsia="en-AU"/>
              </w:rPr>
            </w:pPr>
            <w:r>
              <w:rPr>
                <w:rFonts w:eastAsia="Times New Roman" w:cs="Times New Roman"/>
                <w:color w:val="000000"/>
                <w:lang w:eastAsia="en-AU"/>
              </w:rPr>
              <w:t>Capital mobility</w:t>
            </w:r>
          </w:p>
        </w:tc>
        <w:tc>
          <w:tcPr>
            <w:tcW w:w="1764" w:type="dxa"/>
            <w:tcBorders>
              <w:top w:val="nil"/>
              <w:left w:val="nil"/>
              <w:bottom w:val="nil"/>
              <w:right w:val="nil"/>
            </w:tcBorders>
            <w:shd w:val="clear" w:color="auto" w:fill="auto"/>
            <w:noWrap/>
            <w:vAlign w:val="center"/>
            <w:hideMark/>
          </w:tcPr>
          <w:p w14:paraId="6FAB1AD8"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119E7873" w14:textId="77777777" w:rsidTr="008D0B98">
        <w:trPr>
          <w:trHeight w:val="300"/>
        </w:trPr>
        <w:tc>
          <w:tcPr>
            <w:tcW w:w="6096" w:type="dxa"/>
            <w:tcBorders>
              <w:top w:val="nil"/>
              <w:left w:val="nil"/>
              <w:bottom w:val="nil"/>
              <w:right w:val="nil"/>
            </w:tcBorders>
            <w:shd w:val="clear" w:color="auto" w:fill="auto"/>
            <w:noWrap/>
            <w:vAlign w:val="bottom"/>
            <w:hideMark/>
          </w:tcPr>
          <w:p w14:paraId="1C19687E" w14:textId="35936D46" w:rsidR="008D0B98" w:rsidRPr="008D0B98" w:rsidRDefault="004B7C67" w:rsidP="004B7C67">
            <w:pPr>
              <w:keepNext/>
              <w:spacing w:after="0" w:line="240" w:lineRule="auto"/>
              <w:ind w:left="720" w:hanging="261"/>
              <w:rPr>
                <w:rFonts w:eastAsia="Times New Roman" w:cs="Times New Roman"/>
                <w:color w:val="000000"/>
                <w:lang w:eastAsia="en-AU"/>
              </w:rPr>
            </w:pPr>
            <w:r>
              <w:rPr>
                <w:rFonts w:eastAsia="Times New Roman" w:cs="Times New Roman"/>
                <w:color w:val="000000"/>
                <w:lang w:eastAsia="en-AU"/>
              </w:rPr>
              <w:t>Imperfect c</w:t>
            </w:r>
            <w:r w:rsidR="008D0B98" w:rsidRPr="008D0B98">
              <w:rPr>
                <w:rFonts w:eastAsia="Times New Roman" w:cs="Times New Roman"/>
                <w:color w:val="000000"/>
                <w:lang w:eastAsia="en-AU"/>
              </w:rPr>
              <w:t>apital mobility</w:t>
            </w:r>
          </w:p>
        </w:tc>
        <w:tc>
          <w:tcPr>
            <w:tcW w:w="1764" w:type="dxa"/>
            <w:tcBorders>
              <w:top w:val="nil"/>
              <w:left w:val="nil"/>
              <w:bottom w:val="nil"/>
              <w:right w:val="nil"/>
            </w:tcBorders>
            <w:shd w:val="clear" w:color="auto" w:fill="auto"/>
            <w:noWrap/>
            <w:vAlign w:val="center"/>
            <w:hideMark/>
          </w:tcPr>
          <w:p w14:paraId="15CA6C03"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0.30</w:t>
            </w:r>
          </w:p>
        </w:tc>
      </w:tr>
      <w:tr w:rsidR="008D0B98" w:rsidRPr="008D0B98" w14:paraId="37D4EBA4" w14:textId="77777777" w:rsidTr="008D0B98">
        <w:trPr>
          <w:trHeight w:val="300"/>
        </w:trPr>
        <w:tc>
          <w:tcPr>
            <w:tcW w:w="6096" w:type="dxa"/>
            <w:tcBorders>
              <w:top w:val="nil"/>
              <w:left w:val="nil"/>
              <w:bottom w:val="nil"/>
              <w:right w:val="nil"/>
            </w:tcBorders>
            <w:shd w:val="clear" w:color="auto" w:fill="auto"/>
            <w:noWrap/>
            <w:vAlign w:val="bottom"/>
            <w:hideMark/>
          </w:tcPr>
          <w:p w14:paraId="077F8097" w14:textId="147EA50F" w:rsidR="008D0B98" w:rsidRPr="008D0B98" w:rsidRDefault="008D0B98" w:rsidP="00DB394A">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Profi</w:t>
            </w:r>
            <w:r w:rsidR="00DB394A">
              <w:rPr>
                <w:rFonts w:eastAsia="Times New Roman" w:cs="Times New Roman"/>
                <w:color w:val="000000"/>
                <w:lang w:eastAsia="en-AU"/>
              </w:rPr>
              <w:t xml:space="preserve">t shifting </w:t>
            </w:r>
          </w:p>
        </w:tc>
        <w:tc>
          <w:tcPr>
            <w:tcW w:w="1764" w:type="dxa"/>
            <w:tcBorders>
              <w:top w:val="nil"/>
              <w:left w:val="nil"/>
              <w:bottom w:val="nil"/>
              <w:right w:val="nil"/>
            </w:tcBorders>
            <w:shd w:val="clear" w:color="auto" w:fill="auto"/>
            <w:noWrap/>
            <w:vAlign w:val="center"/>
            <w:hideMark/>
          </w:tcPr>
          <w:p w14:paraId="4174C5CC"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3960A582" w14:textId="77777777" w:rsidTr="008D0B98">
        <w:trPr>
          <w:trHeight w:val="300"/>
        </w:trPr>
        <w:tc>
          <w:tcPr>
            <w:tcW w:w="6096" w:type="dxa"/>
            <w:tcBorders>
              <w:top w:val="nil"/>
              <w:left w:val="nil"/>
              <w:bottom w:val="nil"/>
              <w:right w:val="nil"/>
            </w:tcBorders>
            <w:shd w:val="clear" w:color="auto" w:fill="auto"/>
            <w:noWrap/>
            <w:vAlign w:val="bottom"/>
            <w:hideMark/>
          </w:tcPr>
          <w:p w14:paraId="7E60C5D2" w14:textId="6487D5DC" w:rsidR="008D0B98" w:rsidRPr="008D0B98" w:rsidRDefault="00B87C5B" w:rsidP="00DB394A">
            <w:pPr>
              <w:keepNext/>
              <w:spacing w:after="0" w:line="240" w:lineRule="auto"/>
              <w:ind w:left="601" w:hanging="142"/>
              <w:rPr>
                <w:rFonts w:eastAsia="Times New Roman" w:cs="Times New Roman"/>
                <w:color w:val="000000"/>
                <w:lang w:eastAsia="en-AU"/>
              </w:rPr>
            </w:pPr>
            <w:r>
              <w:rPr>
                <w:rFonts w:eastAsia="Times New Roman" w:cs="Times New Roman"/>
                <w:color w:val="000000"/>
                <w:lang w:eastAsia="en-AU"/>
              </w:rPr>
              <w:t>Low profit shifting</w:t>
            </w:r>
          </w:p>
        </w:tc>
        <w:tc>
          <w:tcPr>
            <w:tcW w:w="1764" w:type="dxa"/>
            <w:tcBorders>
              <w:top w:val="nil"/>
              <w:left w:val="nil"/>
              <w:bottom w:val="nil"/>
              <w:right w:val="nil"/>
            </w:tcBorders>
            <w:shd w:val="clear" w:color="auto" w:fill="auto"/>
            <w:noWrap/>
            <w:vAlign w:val="center"/>
            <w:hideMark/>
          </w:tcPr>
          <w:p w14:paraId="619201EC"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0.42</w:t>
            </w:r>
          </w:p>
        </w:tc>
      </w:tr>
      <w:tr w:rsidR="008D0B98" w:rsidRPr="008D0B98" w14:paraId="2BAAC84C" w14:textId="77777777" w:rsidTr="008D0B98">
        <w:trPr>
          <w:trHeight w:val="300"/>
        </w:trPr>
        <w:tc>
          <w:tcPr>
            <w:tcW w:w="6096" w:type="dxa"/>
            <w:tcBorders>
              <w:top w:val="nil"/>
              <w:left w:val="nil"/>
              <w:bottom w:val="nil"/>
              <w:right w:val="nil"/>
            </w:tcBorders>
            <w:shd w:val="clear" w:color="auto" w:fill="auto"/>
            <w:noWrap/>
            <w:vAlign w:val="bottom"/>
            <w:hideMark/>
          </w:tcPr>
          <w:p w14:paraId="4BBA3FD9" w14:textId="119644A1" w:rsidR="008D0B98" w:rsidRPr="008D0B98" w:rsidRDefault="00DB394A"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profit shifting</w:t>
            </w:r>
          </w:p>
        </w:tc>
        <w:tc>
          <w:tcPr>
            <w:tcW w:w="1764" w:type="dxa"/>
            <w:tcBorders>
              <w:top w:val="nil"/>
              <w:left w:val="nil"/>
              <w:bottom w:val="nil"/>
              <w:right w:val="nil"/>
            </w:tcBorders>
            <w:shd w:val="clear" w:color="auto" w:fill="auto"/>
            <w:noWrap/>
            <w:vAlign w:val="center"/>
            <w:hideMark/>
          </w:tcPr>
          <w:p w14:paraId="43303695"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0.62</w:t>
            </w:r>
          </w:p>
        </w:tc>
      </w:tr>
      <w:tr w:rsidR="008D0B98" w:rsidRPr="008D0B98" w14:paraId="3BA99D82" w14:textId="77777777" w:rsidTr="008D0B98">
        <w:trPr>
          <w:trHeight w:val="300"/>
        </w:trPr>
        <w:tc>
          <w:tcPr>
            <w:tcW w:w="6096" w:type="dxa"/>
            <w:tcBorders>
              <w:top w:val="nil"/>
              <w:left w:val="nil"/>
              <w:bottom w:val="nil"/>
              <w:right w:val="nil"/>
            </w:tcBorders>
            <w:shd w:val="clear" w:color="auto" w:fill="auto"/>
            <w:noWrap/>
            <w:vAlign w:val="bottom"/>
            <w:hideMark/>
          </w:tcPr>
          <w:p w14:paraId="51D2E11A" w14:textId="5F37A0AF" w:rsidR="008D0B98" w:rsidRPr="008D0B98" w:rsidRDefault="008D0B98" w:rsidP="00F5757F">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Structur</w:t>
            </w:r>
            <w:r w:rsidR="00F5757F">
              <w:rPr>
                <w:rFonts w:eastAsia="Times New Roman" w:cs="Times New Roman"/>
                <w:color w:val="000000"/>
                <w:lang w:eastAsia="en-AU"/>
              </w:rPr>
              <w:t>es</w:t>
            </w:r>
            <w:r w:rsidR="00F03697">
              <w:rPr>
                <w:rFonts w:eastAsia="Times New Roman" w:cs="Times New Roman"/>
                <w:color w:val="000000"/>
                <w:lang w:eastAsia="en-AU"/>
              </w:rPr>
              <w:noBreakHyphen/>
            </w:r>
            <w:r w:rsidR="00F5757F">
              <w:rPr>
                <w:rFonts w:eastAsia="Times New Roman" w:cs="Times New Roman"/>
                <w:color w:val="000000"/>
                <w:lang w:eastAsia="en-AU"/>
              </w:rPr>
              <w:t>land substitution elasticity</w:t>
            </w:r>
          </w:p>
        </w:tc>
        <w:tc>
          <w:tcPr>
            <w:tcW w:w="1764" w:type="dxa"/>
            <w:tcBorders>
              <w:top w:val="nil"/>
              <w:left w:val="nil"/>
              <w:bottom w:val="nil"/>
              <w:right w:val="nil"/>
            </w:tcBorders>
            <w:shd w:val="clear" w:color="auto" w:fill="auto"/>
            <w:noWrap/>
            <w:vAlign w:val="center"/>
            <w:hideMark/>
          </w:tcPr>
          <w:p w14:paraId="221285F4"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3E19ABF9" w14:textId="77777777" w:rsidTr="008D0B98">
        <w:trPr>
          <w:trHeight w:val="300"/>
        </w:trPr>
        <w:tc>
          <w:tcPr>
            <w:tcW w:w="6096" w:type="dxa"/>
            <w:tcBorders>
              <w:top w:val="nil"/>
              <w:left w:val="nil"/>
              <w:bottom w:val="nil"/>
              <w:right w:val="nil"/>
            </w:tcBorders>
            <w:shd w:val="clear" w:color="auto" w:fill="auto"/>
            <w:noWrap/>
            <w:vAlign w:val="bottom"/>
            <w:hideMark/>
          </w:tcPr>
          <w:p w14:paraId="750C6315" w14:textId="55091774" w:rsidR="008D0B98" w:rsidRPr="008D0B98" w:rsidRDefault="00F5757F" w:rsidP="00F5757F">
            <w:pPr>
              <w:keepNext/>
              <w:spacing w:after="0" w:line="240" w:lineRule="auto"/>
              <w:ind w:left="720" w:hanging="261"/>
              <w:rPr>
                <w:rFonts w:eastAsia="Times New Roman" w:cs="Times New Roman"/>
                <w:color w:val="000000"/>
                <w:lang w:eastAsia="en-AU"/>
              </w:rPr>
            </w:pPr>
            <w:r>
              <w:rPr>
                <w:rFonts w:eastAsia="Times New Roman" w:cs="Times New Roman"/>
                <w:color w:val="000000"/>
                <w:lang w:eastAsia="en-AU"/>
              </w:rPr>
              <w:t>Low elasticity</w:t>
            </w:r>
          </w:p>
        </w:tc>
        <w:tc>
          <w:tcPr>
            <w:tcW w:w="1764" w:type="dxa"/>
            <w:tcBorders>
              <w:top w:val="nil"/>
              <w:left w:val="nil"/>
              <w:bottom w:val="nil"/>
              <w:right w:val="nil"/>
            </w:tcBorders>
            <w:shd w:val="clear" w:color="auto" w:fill="auto"/>
            <w:noWrap/>
            <w:vAlign w:val="center"/>
            <w:hideMark/>
          </w:tcPr>
          <w:p w14:paraId="77421B2E"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0.21</w:t>
            </w:r>
          </w:p>
        </w:tc>
      </w:tr>
      <w:tr w:rsidR="008D0B98" w:rsidRPr="008D0B98" w14:paraId="73C7C391" w14:textId="77777777" w:rsidTr="008D0B98">
        <w:trPr>
          <w:trHeight w:val="300"/>
        </w:trPr>
        <w:tc>
          <w:tcPr>
            <w:tcW w:w="6096" w:type="dxa"/>
            <w:tcBorders>
              <w:top w:val="nil"/>
              <w:left w:val="nil"/>
              <w:bottom w:val="nil"/>
              <w:right w:val="nil"/>
            </w:tcBorders>
            <w:shd w:val="clear" w:color="auto" w:fill="auto"/>
            <w:noWrap/>
            <w:vAlign w:val="bottom"/>
            <w:hideMark/>
          </w:tcPr>
          <w:p w14:paraId="79E73776" w14:textId="5E4950DD"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764" w:type="dxa"/>
            <w:tcBorders>
              <w:top w:val="nil"/>
              <w:left w:val="nil"/>
              <w:bottom w:val="nil"/>
              <w:right w:val="nil"/>
            </w:tcBorders>
            <w:shd w:val="clear" w:color="auto" w:fill="auto"/>
            <w:noWrap/>
            <w:vAlign w:val="center"/>
            <w:hideMark/>
          </w:tcPr>
          <w:p w14:paraId="36479910"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0.55</w:t>
            </w:r>
          </w:p>
        </w:tc>
      </w:tr>
      <w:tr w:rsidR="008D0B98" w:rsidRPr="008D0B98" w14:paraId="60E46CA1" w14:textId="77777777" w:rsidTr="008D0B98">
        <w:trPr>
          <w:trHeight w:val="300"/>
        </w:trPr>
        <w:tc>
          <w:tcPr>
            <w:tcW w:w="6096" w:type="dxa"/>
            <w:tcBorders>
              <w:top w:val="nil"/>
              <w:left w:val="nil"/>
              <w:bottom w:val="nil"/>
              <w:right w:val="nil"/>
            </w:tcBorders>
            <w:shd w:val="clear" w:color="auto" w:fill="auto"/>
            <w:noWrap/>
            <w:vAlign w:val="bottom"/>
            <w:hideMark/>
          </w:tcPr>
          <w:p w14:paraId="51A679D3" w14:textId="78A83E48" w:rsidR="008D0B98" w:rsidRPr="008D0B98" w:rsidRDefault="008D0B98" w:rsidP="00F5757F">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Capital</w:t>
            </w:r>
            <w:r w:rsidR="00F03697">
              <w:rPr>
                <w:rFonts w:eastAsia="Times New Roman" w:cs="Times New Roman"/>
                <w:color w:val="000000"/>
                <w:lang w:eastAsia="en-AU"/>
              </w:rPr>
              <w:noBreakHyphen/>
            </w:r>
            <w:r w:rsidRPr="008D0B98">
              <w:rPr>
                <w:rFonts w:eastAsia="Times New Roman" w:cs="Times New Roman"/>
                <w:color w:val="000000"/>
                <w:lang w:eastAsia="en-AU"/>
              </w:rPr>
              <w:t>labour</w:t>
            </w:r>
            <w:r w:rsidR="00F5757F">
              <w:rPr>
                <w:rFonts w:eastAsia="Times New Roman" w:cs="Times New Roman"/>
                <w:color w:val="000000"/>
                <w:lang w:eastAsia="en-AU"/>
              </w:rPr>
              <w:t xml:space="preserve"> substitution elasticity</w:t>
            </w:r>
          </w:p>
        </w:tc>
        <w:tc>
          <w:tcPr>
            <w:tcW w:w="1764" w:type="dxa"/>
            <w:tcBorders>
              <w:top w:val="nil"/>
              <w:left w:val="nil"/>
              <w:bottom w:val="nil"/>
              <w:right w:val="nil"/>
            </w:tcBorders>
            <w:shd w:val="clear" w:color="auto" w:fill="auto"/>
            <w:noWrap/>
            <w:vAlign w:val="center"/>
            <w:hideMark/>
          </w:tcPr>
          <w:p w14:paraId="7A9C7FEC"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47665956" w14:textId="77777777" w:rsidTr="008D0B98">
        <w:trPr>
          <w:trHeight w:val="300"/>
        </w:trPr>
        <w:tc>
          <w:tcPr>
            <w:tcW w:w="6096" w:type="dxa"/>
            <w:tcBorders>
              <w:top w:val="nil"/>
              <w:left w:val="nil"/>
              <w:bottom w:val="nil"/>
              <w:right w:val="nil"/>
            </w:tcBorders>
            <w:shd w:val="clear" w:color="auto" w:fill="auto"/>
            <w:noWrap/>
            <w:vAlign w:val="bottom"/>
            <w:hideMark/>
          </w:tcPr>
          <w:p w14:paraId="36284BE8" w14:textId="0677A865" w:rsidR="008D0B98" w:rsidRPr="008D0B98" w:rsidRDefault="00F5757F" w:rsidP="00F5757F">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764" w:type="dxa"/>
            <w:tcBorders>
              <w:top w:val="nil"/>
              <w:left w:val="nil"/>
              <w:bottom w:val="nil"/>
              <w:right w:val="nil"/>
            </w:tcBorders>
            <w:shd w:val="clear" w:color="auto" w:fill="auto"/>
            <w:noWrap/>
            <w:vAlign w:val="center"/>
            <w:hideMark/>
          </w:tcPr>
          <w:p w14:paraId="42F4E0F1"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0.30</w:t>
            </w:r>
          </w:p>
        </w:tc>
      </w:tr>
      <w:tr w:rsidR="008D0B98" w:rsidRPr="008D0B98" w14:paraId="3C9F35D3"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3C7E25A3" w14:textId="4C9A0740"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764" w:type="dxa"/>
            <w:tcBorders>
              <w:top w:val="nil"/>
              <w:left w:val="nil"/>
              <w:bottom w:val="single" w:sz="4" w:space="0" w:color="auto"/>
              <w:right w:val="nil"/>
            </w:tcBorders>
            <w:shd w:val="clear" w:color="auto" w:fill="auto"/>
            <w:noWrap/>
            <w:vAlign w:val="center"/>
            <w:hideMark/>
          </w:tcPr>
          <w:p w14:paraId="4E76BF8C"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0.79</w:t>
            </w:r>
          </w:p>
        </w:tc>
      </w:tr>
      <w:tr w:rsidR="008D0B98" w:rsidRPr="008D0B98" w14:paraId="62E25506" w14:textId="77777777" w:rsidTr="008D0B98">
        <w:trPr>
          <w:trHeight w:val="300"/>
        </w:trPr>
        <w:tc>
          <w:tcPr>
            <w:tcW w:w="6096" w:type="dxa"/>
            <w:tcBorders>
              <w:top w:val="nil"/>
              <w:left w:val="nil"/>
              <w:bottom w:val="nil"/>
              <w:right w:val="nil"/>
            </w:tcBorders>
            <w:shd w:val="clear" w:color="auto" w:fill="auto"/>
            <w:noWrap/>
            <w:vAlign w:val="bottom"/>
            <w:hideMark/>
          </w:tcPr>
          <w:p w14:paraId="42E0C2EF"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household behaviour</w:t>
            </w:r>
          </w:p>
        </w:tc>
        <w:tc>
          <w:tcPr>
            <w:tcW w:w="1764" w:type="dxa"/>
            <w:tcBorders>
              <w:top w:val="nil"/>
              <w:left w:val="nil"/>
              <w:bottom w:val="nil"/>
              <w:right w:val="nil"/>
            </w:tcBorders>
            <w:shd w:val="clear" w:color="auto" w:fill="auto"/>
            <w:noWrap/>
            <w:vAlign w:val="center"/>
            <w:hideMark/>
          </w:tcPr>
          <w:p w14:paraId="43A31826"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039924DE" w14:textId="77777777" w:rsidTr="008D0B98">
        <w:trPr>
          <w:trHeight w:val="300"/>
        </w:trPr>
        <w:tc>
          <w:tcPr>
            <w:tcW w:w="6096" w:type="dxa"/>
            <w:tcBorders>
              <w:top w:val="nil"/>
              <w:left w:val="nil"/>
              <w:bottom w:val="nil"/>
              <w:right w:val="nil"/>
            </w:tcBorders>
            <w:shd w:val="clear" w:color="auto" w:fill="auto"/>
            <w:noWrap/>
            <w:vAlign w:val="bottom"/>
            <w:hideMark/>
          </w:tcPr>
          <w:p w14:paraId="1FE4C49D" w14:textId="2C1B87E1" w:rsidR="008D0B98" w:rsidRPr="008D0B98" w:rsidRDefault="00F5757F" w:rsidP="004B7C67">
            <w:pPr>
              <w:keepNext/>
              <w:spacing w:after="0" w:line="240" w:lineRule="auto"/>
              <w:rPr>
                <w:rFonts w:eastAsia="Times New Roman" w:cs="Times New Roman"/>
                <w:color w:val="000000"/>
                <w:lang w:eastAsia="en-AU"/>
              </w:rPr>
            </w:pPr>
            <w:r>
              <w:rPr>
                <w:rFonts w:eastAsia="Times New Roman" w:cs="Times New Roman"/>
                <w:color w:val="000000"/>
                <w:lang w:eastAsia="en-AU"/>
              </w:rPr>
              <w:t>Labour</w:t>
            </w:r>
            <w:r w:rsidR="00F03697">
              <w:rPr>
                <w:rFonts w:eastAsia="Times New Roman" w:cs="Times New Roman"/>
                <w:color w:val="000000"/>
                <w:lang w:eastAsia="en-AU"/>
              </w:rPr>
              <w:noBreakHyphen/>
            </w:r>
            <w:r>
              <w:rPr>
                <w:rFonts w:eastAsia="Times New Roman" w:cs="Times New Roman"/>
                <w:color w:val="000000"/>
                <w:lang w:eastAsia="en-AU"/>
              </w:rPr>
              <w:t xml:space="preserve">leisure </w:t>
            </w:r>
            <w:r w:rsidR="004B7C67">
              <w:rPr>
                <w:rFonts w:eastAsia="Times New Roman" w:cs="Times New Roman"/>
                <w:color w:val="000000"/>
                <w:lang w:eastAsia="en-AU"/>
              </w:rPr>
              <w:t>ratio (N:L = 2:1)</w:t>
            </w:r>
          </w:p>
        </w:tc>
        <w:tc>
          <w:tcPr>
            <w:tcW w:w="1764" w:type="dxa"/>
            <w:tcBorders>
              <w:top w:val="nil"/>
              <w:left w:val="nil"/>
              <w:bottom w:val="nil"/>
              <w:right w:val="nil"/>
            </w:tcBorders>
            <w:shd w:val="clear" w:color="auto" w:fill="auto"/>
            <w:noWrap/>
            <w:vAlign w:val="center"/>
            <w:hideMark/>
          </w:tcPr>
          <w:p w14:paraId="2657710F"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5668D731" w14:textId="77777777" w:rsidTr="008D0B98">
        <w:trPr>
          <w:trHeight w:val="300"/>
        </w:trPr>
        <w:tc>
          <w:tcPr>
            <w:tcW w:w="6096" w:type="dxa"/>
            <w:tcBorders>
              <w:top w:val="nil"/>
              <w:left w:val="nil"/>
              <w:bottom w:val="nil"/>
              <w:right w:val="nil"/>
            </w:tcBorders>
            <w:shd w:val="clear" w:color="auto" w:fill="auto"/>
            <w:noWrap/>
            <w:vAlign w:val="bottom"/>
            <w:hideMark/>
          </w:tcPr>
          <w:p w14:paraId="25281904" w14:textId="6CB3D3EB" w:rsidR="008D0B98" w:rsidRPr="008D0B98" w:rsidRDefault="004B7C67" w:rsidP="00F5757F">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Medium (N:L = 1:1)</w:t>
            </w:r>
          </w:p>
        </w:tc>
        <w:tc>
          <w:tcPr>
            <w:tcW w:w="1764" w:type="dxa"/>
            <w:tcBorders>
              <w:top w:val="nil"/>
              <w:left w:val="nil"/>
              <w:bottom w:val="nil"/>
              <w:right w:val="nil"/>
            </w:tcBorders>
            <w:shd w:val="clear" w:color="auto" w:fill="auto"/>
            <w:noWrap/>
            <w:vAlign w:val="center"/>
            <w:hideMark/>
          </w:tcPr>
          <w:p w14:paraId="0E54630E"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0.65</w:t>
            </w:r>
          </w:p>
        </w:tc>
      </w:tr>
      <w:tr w:rsidR="008D0B98" w:rsidRPr="008D0B98" w14:paraId="2ECBA28A" w14:textId="77777777" w:rsidTr="008D0B98">
        <w:trPr>
          <w:trHeight w:val="300"/>
        </w:trPr>
        <w:tc>
          <w:tcPr>
            <w:tcW w:w="6096" w:type="dxa"/>
            <w:tcBorders>
              <w:top w:val="nil"/>
              <w:left w:val="nil"/>
              <w:bottom w:val="nil"/>
              <w:right w:val="nil"/>
            </w:tcBorders>
            <w:shd w:val="clear" w:color="auto" w:fill="auto"/>
            <w:noWrap/>
            <w:vAlign w:val="bottom"/>
            <w:hideMark/>
          </w:tcPr>
          <w:p w14:paraId="0F145B1B" w14:textId="3A5CDDAA" w:rsidR="008D0B98"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Low (</w:t>
            </w:r>
            <w:r w:rsidR="008D0B98" w:rsidRPr="008D0B98">
              <w:rPr>
                <w:rFonts w:eastAsia="Times New Roman" w:cs="Times New Roman"/>
                <w:color w:val="000000"/>
                <w:lang w:eastAsia="en-AU"/>
              </w:rPr>
              <w:t>N:L</w:t>
            </w:r>
            <w:r>
              <w:rPr>
                <w:rFonts w:eastAsia="Times New Roman" w:cs="Times New Roman"/>
                <w:color w:val="000000"/>
                <w:lang w:eastAsia="en-AU"/>
              </w:rPr>
              <w:t xml:space="preserve"> </w:t>
            </w:r>
            <w:r w:rsidR="008D0B98" w:rsidRPr="008D0B98">
              <w:rPr>
                <w:rFonts w:eastAsia="Times New Roman" w:cs="Times New Roman"/>
                <w:color w:val="000000"/>
                <w:lang w:eastAsia="en-AU"/>
              </w:rPr>
              <w:t>=</w:t>
            </w:r>
            <w:r>
              <w:rPr>
                <w:rFonts w:eastAsia="Times New Roman" w:cs="Times New Roman"/>
                <w:color w:val="000000"/>
                <w:lang w:eastAsia="en-AU"/>
              </w:rPr>
              <w:t xml:space="preserve"> </w:t>
            </w:r>
            <w:r w:rsidR="008D0B98" w:rsidRPr="008D0B98">
              <w:rPr>
                <w:rFonts w:eastAsia="Times New Roman" w:cs="Times New Roman"/>
                <w:color w:val="000000"/>
                <w:lang w:eastAsia="en-AU"/>
              </w:rPr>
              <w:t>1:2</w:t>
            </w:r>
            <w:r>
              <w:rPr>
                <w:rFonts w:eastAsia="Times New Roman" w:cs="Times New Roman"/>
                <w:color w:val="000000"/>
                <w:lang w:eastAsia="en-AU"/>
              </w:rPr>
              <w:t>)</w:t>
            </w:r>
          </w:p>
        </w:tc>
        <w:tc>
          <w:tcPr>
            <w:tcW w:w="1764" w:type="dxa"/>
            <w:tcBorders>
              <w:top w:val="nil"/>
              <w:left w:val="nil"/>
              <w:bottom w:val="nil"/>
              <w:right w:val="nil"/>
            </w:tcBorders>
            <w:shd w:val="clear" w:color="auto" w:fill="auto"/>
            <w:noWrap/>
            <w:vAlign w:val="center"/>
            <w:hideMark/>
          </w:tcPr>
          <w:p w14:paraId="1AF7C84B"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0.82</w:t>
            </w:r>
          </w:p>
        </w:tc>
      </w:tr>
      <w:tr w:rsidR="008D0B98" w:rsidRPr="008D0B98" w14:paraId="0BFFC9C8" w14:textId="77777777" w:rsidTr="008D0B98">
        <w:trPr>
          <w:trHeight w:val="300"/>
        </w:trPr>
        <w:tc>
          <w:tcPr>
            <w:tcW w:w="6096" w:type="dxa"/>
            <w:tcBorders>
              <w:top w:val="nil"/>
              <w:left w:val="nil"/>
              <w:bottom w:val="nil"/>
              <w:right w:val="nil"/>
            </w:tcBorders>
            <w:shd w:val="clear" w:color="auto" w:fill="auto"/>
            <w:noWrap/>
            <w:vAlign w:val="bottom"/>
            <w:hideMark/>
          </w:tcPr>
          <w:p w14:paraId="552751F0" w14:textId="11F58A47" w:rsidR="008D0B98" w:rsidRPr="008D0B98" w:rsidRDefault="008D0B98" w:rsidP="00F5757F">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Consumption</w:t>
            </w:r>
            <w:r w:rsidR="00F03697">
              <w:rPr>
                <w:rFonts w:eastAsia="Times New Roman" w:cs="Times New Roman"/>
                <w:color w:val="000000"/>
                <w:lang w:eastAsia="en-AU"/>
              </w:rPr>
              <w:noBreakHyphen/>
            </w:r>
            <w:r w:rsidRPr="008D0B98">
              <w:rPr>
                <w:rFonts w:eastAsia="Times New Roman" w:cs="Times New Roman"/>
                <w:color w:val="000000"/>
                <w:lang w:eastAsia="en-AU"/>
              </w:rPr>
              <w:t xml:space="preserve">leisure substitution </w:t>
            </w:r>
            <w:r w:rsidR="00F5757F">
              <w:rPr>
                <w:rFonts w:eastAsia="Times New Roman" w:cs="Times New Roman"/>
                <w:color w:val="000000"/>
                <w:lang w:eastAsia="en-AU"/>
              </w:rPr>
              <w:t>elasticity</w:t>
            </w:r>
          </w:p>
        </w:tc>
        <w:tc>
          <w:tcPr>
            <w:tcW w:w="1764" w:type="dxa"/>
            <w:tcBorders>
              <w:top w:val="nil"/>
              <w:left w:val="nil"/>
              <w:bottom w:val="nil"/>
              <w:right w:val="nil"/>
            </w:tcBorders>
            <w:shd w:val="clear" w:color="auto" w:fill="auto"/>
            <w:noWrap/>
            <w:vAlign w:val="center"/>
            <w:hideMark/>
          </w:tcPr>
          <w:p w14:paraId="607F3ACE"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6986969E" w14:textId="77777777" w:rsidTr="008D0B98">
        <w:trPr>
          <w:trHeight w:val="300"/>
        </w:trPr>
        <w:tc>
          <w:tcPr>
            <w:tcW w:w="6096" w:type="dxa"/>
            <w:tcBorders>
              <w:top w:val="nil"/>
              <w:left w:val="nil"/>
              <w:bottom w:val="nil"/>
              <w:right w:val="nil"/>
            </w:tcBorders>
            <w:shd w:val="clear" w:color="auto" w:fill="auto"/>
            <w:noWrap/>
            <w:vAlign w:val="bottom"/>
            <w:hideMark/>
          </w:tcPr>
          <w:p w14:paraId="6EECA212" w14:textId="34ADD27A" w:rsidR="008D0B98" w:rsidRPr="008D0B98" w:rsidRDefault="00F5757F" w:rsidP="00F5757F">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764" w:type="dxa"/>
            <w:tcBorders>
              <w:top w:val="nil"/>
              <w:left w:val="nil"/>
              <w:bottom w:val="nil"/>
              <w:right w:val="nil"/>
            </w:tcBorders>
            <w:shd w:val="clear" w:color="auto" w:fill="auto"/>
            <w:noWrap/>
            <w:vAlign w:val="center"/>
            <w:hideMark/>
          </w:tcPr>
          <w:p w14:paraId="07127106" w14:textId="77777777" w:rsidR="008D0B98" w:rsidRPr="008D0B98" w:rsidRDefault="008D0B98" w:rsidP="008D0B98">
            <w:pPr>
              <w:keepNext/>
              <w:spacing w:after="0" w:line="240" w:lineRule="auto"/>
              <w:jc w:val="center"/>
              <w:rPr>
                <w:rFonts w:eastAsia="Times New Roman" w:cs="Times New Roman"/>
                <w:b/>
                <w:bCs/>
                <w:color w:val="008000"/>
                <w:lang w:eastAsia="en-AU"/>
              </w:rPr>
            </w:pPr>
            <w:r w:rsidRPr="008D0B98">
              <w:rPr>
                <w:rFonts w:eastAsia="Times New Roman" w:cs="Times New Roman"/>
                <w:b/>
                <w:bCs/>
                <w:color w:val="008000"/>
                <w:lang w:eastAsia="en-AU"/>
              </w:rPr>
              <w:t>0.20</w:t>
            </w:r>
          </w:p>
        </w:tc>
      </w:tr>
      <w:tr w:rsidR="008D0B98" w:rsidRPr="008D0B98" w14:paraId="12AEB191" w14:textId="77777777" w:rsidTr="008D0B98">
        <w:trPr>
          <w:trHeight w:val="300"/>
        </w:trPr>
        <w:tc>
          <w:tcPr>
            <w:tcW w:w="6096" w:type="dxa"/>
            <w:tcBorders>
              <w:top w:val="nil"/>
              <w:left w:val="nil"/>
              <w:bottom w:val="nil"/>
              <w:right w:val="nil"/>
            </w:tcBorders>
            <w:shd w:val="clear" w:color="auto" w:fill="auto"/>
            <w:noWrap/>
            <w:vAlign w:val="bottom"/>
            <w:hideMark/>
          </w:tcPr>
          <w:p w14:paraId="6B4D2860" w14:textId="7BB897A5"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764" w:type="dxa"/>
            <w:tcBorders>
              <w:top w:val="nil"/>
              <w:left w:val="nil"/>
              <w:bottom w:val="nil"/>
              <w:right w:val="nil"/>
            </w:tcBorders>
            <w:shd w:val="clear" w:color="auto" w:fill="auto"/>
            <w:noWrap/>
            <w:vAlign w:val="center"/>
            <w:hideMark/>
          </w:tcPr>
          <w:p w14:paraId="0A12EA2F"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0.90</w:t>
            </w:r>
          </w:p>
        </w:tc>
      </w:tr>
      <w:tr w:rsidR="008D0B98" w:rsidRPr="008D0B98" w14:paraId="769D7DCC" w14:textId="77777777" w:rsidTr="008D0B98">
        <w:trPr>
          <w:trHeight w:val="300"/>
        </w:trPr>
        <w:tc>
          <w:tcPr>
            <w:tcW w:w="6096" w:type="dxa"/>
            <w:tcBorders>
              <w:top w:val="nil"/>
              <w:left w:val="nil"/>
              <w:bottom w:val="nil"/>
              <w:right w:val="nil"/>
            </w:tcBorders>
            <w:shd w:val="clear" w:color="auto" w:fill="auto"/>
            <w:noWrap/>
            <w:vAlign w:val="bottom"/>
            <w:hideMark/>
          </w:tcPr>
          <w:p w14:paraId="52DECCC2" w14:textId="378132B4" w:rsidR="008D0B98" w:rsidRPr="008D0B98" w:rsidRDefault="008D0B98" w:rsidP="00F5757F">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w:t>
            </w:r>
            <w:r w:rsidR="00F5757F">
              <w:rPr>
                <w:rFonts w:eastAsia="Times New Roman" w:cs="Times New Roman"/>
                <w:color w:val="000000"/>
                <w:lang w:eastAsia="en-AU"/>
              </w:rPr>
              <w:t>on good substitution elasticity</w:t>
            </w:r>
          </w:p>
        </w:tc>
        <w:tc>
          <w:tcPr>
            <w:tcW w:w="1764" w:type="dxa"/>
            <w:tcBorders>
              <w:top w:val="nil"/>
              <w:left w:val="nil"/>
              <w:bottom w:val="nil"/>
              <w:right w:val="nil"/>
            </w:tcBorders>
            <w:shd w:val="clear" w:color="auto" w:fill="auto"/>
            <w:noWrap/>
            <w:vAlign w:val="center"/>
            <w:hideMark/>
          </w:tcPr>
          <w:p w14:paraId="48621A73"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386426FF" w14:textId="77777777" w:rsidTr="008D0B98">
        <w:trPr>
          <w:trHeight w:val="300"/>
        </w:trPr>
        <w:tc>
          <w:tcPr>
            <w:tcW w:w="6096" w:type="dxa"/>
            <w:tcBorders>
              <w:top w:val="nil"/>
              <w:left w:val="nil"/>
              <w:bottom w:val="nil"/>
              <w:right w:val="nil"/>
            </w:tcBorders>
            <w:shd w:val="clear" w:color="auto" w:fill="auto"/>
            <w:noWrap/>
            <w:vAlign w:val="bottom"/>
            <w:hideMark/>
          </w:tcPr>
          <w:p w14:paraId="12EFFB04" w14:textId="2AB9F7C2" w:rsidR="008D0B98" w:rsidRPr="008D0B98" w:rsidRDefault="00F5757F" w:rsidP="00F5757F">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764" w:type="dxa"/>
            <w:tcBorders>
              <w:top w:val="nil"/>
              <w:left w:val="nil"/>
              <w:bottom w:val="nil"/>
              <w:right w:val="nil"/>
            </w:tcBorders>
            <w:shd w:val="clear" w:color="auto" w:fill="auto"/>
            <w:noWrap/>
            <w:vAlign w:val="center"/>
            <w:hideMark/>
          </w:tcPr>
          <w:p w14:paraId="1B7D7E54"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0.49</w:t>
            </w:r>
          </w:p>
        </w:tc>
      </w:tr>
      <w:tr w:rsidR="008D0B98" w:rsidRPr="008D0B98" w14:paraId="277E29D0" w14:textId="77777777" w:rsidTr="008D0B98">
        <w:trPr>
          <w:trHeight w:val="300"/>
        </w:trPr>
        <w:tc>
          <w:tcPr>
            <w:tcW w:w="6096" w:type="dxa"/>
            <w:tcBorders>
              <w:top w:val="nil"/>
              <w:left w:val="nil"/>
              <w:bottom w:val="nil"/>
              <w:right w:val="nil"/>
            </w:tcBorders>
            <w:shd w:val="clear" w:color="auto" w:fill="auto"/>
            <w:noWrap/>
            <w:vAlign w:val="bottom"/>
            <w:hideMark/>
          </w:tcPr>
          <w:p w14:paraId="7538CD3D" w14:textId="1ED1762C" w:rsidR="008D0B98" w:rsidRPr="008D0B98" w:rsidRDefault="00F5757F" w:rsidP="00F5757F">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764" w:type="dxa"/>
            <w:tcBorders>
              <w:top w:val="nil"/>
              <w:left w:val="nil"/>
              <w:bottom w:val="nil"/>
              <w:right w:val="nil"/>
            </w:tcBorders>
            <w:shd w:val="clear" w:color="auto" w:fill="auto"/>
            <w:noWrap/>
            <w:vAlign w:val="center"/>
            <w:hideMark/>
          </w:tcPr>
          <w:p w14:paraId="1F269DBD"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0.51</w:t>
            </w:r>
          </w:p>
        </w:tc>
      </w:tr>
      <w:tr w:rsidR="008D0B98" w:rsidRPr="008D0B98" w14:paraId="4B6F6778" w14:textId="77777777" w:rsidTr="008D0B98">
        <w:trPr>
          <w:trHeight w:val="300"/>
        </w:trPr>
        <w:tc>
          <w:tcPr>
            <w:tcW w:w="6096" w:type="dxa"/>
            <w:tcBorders>
              <w:top w:val="nil"/>
              <w:left w:val="nil"/>
              <w:bottom w:val="nil"/>
              <w:right w:val="nil"/>
            </w:tcBorders>
            <w:shd w:val="clear" w:color="auto" w:fill="auto"/>
            <w:noWrap/>
            <w:vAlign w:val="bottom"/>
            <w:hideMark/>
          </w:tcPr>
          <w:p w14:paraId="2E16D559" w14:textId="77777777" w:rsidR="008D0B98" w:rsidRPr="008D0B98" w:rsidRDefault="008D0B98" w:rsidP="00F5757F">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Savings decision (fixed domestically owned capital stock)</w:t>
            </w:r>
          </w:p>
        </w:tc>
        <w:tc>
          <w:tcPr>
            <w:tcW w:w="1764" w:type="dxa"/>
            <w:tcBorders>
              <w:top w:val="nil"/>
              <w:left w:val="nil"/>
              <w:bottom w:val="nil"/>
              <w:right w:val="nil"/>
            </w:tcBorders>
            <w:shd w:val="clear" w:color="auto" w:fill="auto"/>
            <w:noWrap/>
            <w:vAlign w:val="center"/>
            <w:hideMark/>
          </w:tcPr>
          <w:p w14:paraId="3D03876E" w14:textId="77777777" w:rsidR="008D0B98" w:rsidRPr="008D0B98" w:rsidRDefault="008D0B98" w:rsidP="008D0B98">
            <w:pPr>
              <w:keepNext/>
              <w:spacing w:after="0" w:line="240" w:lineRule="auto"/>
              <w:jc w:val="center"/>
              <w:rPr>
                <w:rFonts w:eastAsia="Times New Roman" w:cs="Times New Roman"/>
                <w:color w:val="000000"/>
                <w:lang w:eastAsia="en-AU"/>
              </w:rPr>
            </w:pPr>
          </w:p>
        </w:tc>
      </w:tr>
      <w:tr w:rsidR="008D0B98" w:rsidRPr="008D0B98" w14:paraId="5D7929A6"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0BE13EA3" w14:textId="77777777" w:rsidR="008D0B98" w:rsidRPr="008D0B98" w:rsidRDefault="008D0B98" w:rsidP="00F5757F">
            <w:pPr>
              <w:keepNext/>
              <w:spacing w:after="0" w:line="240" w:lineRule="auto"/>
              <w:ind w:firstLine="459"/>
              <w:rPr>
                <w:rFonts w:eastAsia="Times New Roman" w:cs="Times New Roman"/>
                <w:color w:val="000000"/>
                <w:lang w:eastAsia="en-AU"/>
              </w:rPr>
            </w:pPr>
            <w:r w:rsidRPr="008D0B98">
              <w:rPr>
                <w:rFonts w:eastAsia="Times New Roman" w:cs="Times New Roman"/>
                <w:color w:val="000000"/>
                <w:lang w:eastAsia="en-AU"/>
              </w:rPr>
              <w:t>Fixed saving rate</w:t>
            </w:r>
          </w:p>
        </w:tc>
        <w:tc>
          <w:tcPr>
            <w:tcW w:w="1764" w:type="dxa"/>
            <w:tcBorders>
              <w:top w:val="nil"/>
              <w:left w:val="nil"/>
              <w:bottom w:val="nil"/>
              <w:right w:val="nil"/>
            </w:tcBorders>
            <w:shd w:val="clear" w:color="auto" w:fill="auto"/>
            <w:noWrap/>
            <w:vAlign w:val="center"/>
            <w:hideMark/>
          </w:tcPr>
          <w:p w14:paraId="5B2CB719"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0.50</w:t>
            </w:r>
          </w:p>
        </w:tc>
      </w:tr>
      <w:tr w:rsidR="008D0B98" w:rsidRPr="008D0B98" w14:paraId="7911DA02" w14:textId="77777777" w:rsidTr="008D0B98">
        <w:trPr>
          <w:trHeight w:val="300"/>
        </w:trPr>
        <w:tc>
          <w:tcPr>
            <w:tcW w:w="6096" w:type="dxa"/>
            <w:tcBorders>
              <w:top w:val="nil"/>
              <w:left w:val="nil"/>
              <w:bottom w:val="nil"/>
              <w:right w:val="nil"/>
            </w:tcBorders>
            <w:shd w:val="clear" w:color="auto" w:fill="auto"/>
            <w:noWrap/>
            <w:vAlign w:val="bottom"/>
            <w:hideMark/>
          </w:tcPr>
          <w:p w14:paraId="0C3FB0E8"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Literature estimates</w:t>
            </w:r>
          </w:p>
        </w:tc>
        <w:tc>
          <w:tcPr>
            <w:tcW w:w="1764" w:type="dxa"/>
            <w:tcBorders>
              <w:top w:val="single" w:sz="4" w:space="0" w:color="auto"/>
              <w:left w:val="nil"/>
              <w:bottom w:val="nil"/>
              <w:right w:val="nil"/>
            </w:tcBorders>
            <w:shd w:val="clear" w:color="auto" w:fill="auto"/>
            <w:noWrap/>
            <w:vAlign w:val="center"/>
            <w:hideMark/>
          </w:tcPr>
          <w:p w14:paraId="02726178"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8D0B98" w:rsidRPr="008D0B98" w14:paraId="0765DF63" w14:textId="77777777" w:rsidTr="008D0B98">
        <w:trPr>
          <w:trHeight w:val="300"/>
        </w:trPr>
        <w:tc>
          <w:tcPr>
            <w:tcW w:w="6096" w:type="dxa"/>
            <w:tcBorders>
              <w:top w:val="nil"/>
              <w:left w:val="nil"/>
              <w:bottom w:val="nil"/>
              <w:right w:val="nil"/>
            </w:tcBorders>
            <w:shd w:val="clear" w:color="auto" w:fill="auto"/>
            <w:noWrap/>
            <w:vAlign w:val="bottom"/>
            <w:hideMark/>
          </w:tcPr>
          <w:p w14:paraId="3CE57F62"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(2010)</w:t>
            </w:r>
          </w:p>
        </w:tc>
        <w:tc>
          <w:tcPr>
            <w:tcW w:w="1764" w:type="dxa"/>
            <w:tcBorders>
              <w:top w:val="nil"/>
              <w:left w:val="nil"/>
              <w:bottom w:val="nil"/>
              <w:right w:val="nil"/>
            </w:tcBorders>
            <w:shd w:val="clear" w:color="auto" w:fill="auto"/>
            <w:noWrap/>
            <w:vAlign w:val="center"/>
            <w:hideMark/>
          </w:tcPr>
          <w:p w14:paraId="4B54985C"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0.40</w:t>
            </w:r>
          </w:p>
        </w:tc>
      </w:tr>
      <w:tr w:rsidR="008D0B98" w:rsidRPr="008D0B98" w14:paraId="20151710" w14:textId="77777777" w:rsidTr="008D0B98">
        <w:trPr>
          <w:trHeight w:val="300"/>
        </w:trPr>
        <w:tc>
          <w:tcPr>
            <w:tcW w:w="6096" w:type="dxa"/>
            <w:tcBorders>
              <w:top w:val="nil"/>
              <w:left w:val="nil"/>
              <w:bottom w:val="nil"/>
              <w:right w:val="nil"/>
            </w:tcBorders>
            <w:shd w:val="clear" w:color="auto" w:fill="auto"/>
            <w:noWrap/>
            <w:vAlign w:val="bottom"/>
            <w:hideMark/>
          </w:tcPr>
          <w:p w14:paraId="6A3783E6"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(2011)</w:t>
            </w:r>
          </w:p>
        </w:tc>
        <w:tc>
          <w:tcPr>
            <w:tcW w:w="1764" w:type="dxa"/>
            <w:tcBorders>
              <w:top w:val="nil"/>
              <w:left w:val="nil"/>
              <w:bottom w:val="nil"/>
              <w:right w:val="nil"/>
            </w:tcBorders>
            <w:shd w:val="clear" w:color="auto" w:fill="auto"/>
            <w:noWrap/>
            <w:vAlign w:val="center"/>
            <w:hideMark/>
          </w:tcPr>
          <w:p w14:paraId="6ECBEB77"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0.37</w:t>
            </w:r>
          </w:p>
        </w:tc>
      </w:tr>
      <w:tr w:rsidR="008D0B98" w:rsidRPr="008D0B98" w14:paraId="5476942C" w14:textId="77777777" w:rsidTr="008D0B98">
        <w:trPr>
          <w:trHeight w:val="315"/>
        </w:trPr>
        <w:tc>
          <w:tcPr>
            <w:tcW w:w="6096" w:type="dxa"/>
            <w:tcBorders>
              <w:top w:val="nil"/>
              <w:left w:val="nil"/>
              <w:bottom w:val="single" w:sz="8" w:space="0" w:color="auto"/>
              <w:right w:val="nil"/>
            </w:tcBorders>
            <w:shd w:val="clear" w:color="auto" w:fill="auto"/>
            <w:noWrap/>
            <w:vAlign w:val="bottom"/>
            <w:hideMark/>
          </w:tcPr>
          <w:p w14:paraId="64228AC4" w14:textId="56631933" w:rsidR="008D0B98" w:rsidRPr="008D0B98" w:rsidRDefault="00496794"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Independent Economics</w:t>
            </w:r>
            <w:r w:rsidR="008D0B98" w:rsidRPr="008D0B98">
              <w:rPr>
                <w:rFonts w:eastAsia="Times New Roman" w:cs="Times New Roman"/>
                <w:color w:val="000000"/>
                <w:lang w:eastAsia="en-AU"/>
              </w:rPr>
              <w:t xml:space="preserve"> (2014)</w:t>
            </w:r>
          </w:p>
        </w:tc>
        <w:tc>
          <w:tcPr>
            <w:tcW w:w="1764" w:type="dxa"/>
            <w:tcBorders>
              <w:top w:val="nil"/>
              <w:left w:val="nil"/>
              <w:bottom w:val="single" w:sz="8" w:space="0" w:color="auto"/>
              <w:right w:val="nil"/>
            </w:tcBorders>
            <w:shd w:val="clear" w:color="auto" w:fill="auto"/>
            <w:noWrap/>
            <w:vAlign w:val="center"/>
            <w:hideMark/>
          </w:tcPr>
          <w:p w14:paraId="1C3265C2" w14:textId="4046BC51" w:rsidR="008D0B98"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p>
        </w:tc>
      </w:tr>
    </w:tbl>
    <w:p w14:paraId="53E36BBF" w14:textId="4BD30CA3" w:rsidR="00F74E3C" w:rsidRDefault="003660E8" w:rsidP="00BF04BA">
      <w:pPr>
        <w:pStyle w:val="Source"/>
        <w:spacing w:after="0"/>
      </w:pPr>
      <w:r>
        <w:t>Source: KPMG</w:t>
      </w:r>
      <w:r w:rsidR="003C22E6">
        <w:t xml:space="preserve"> </w:t>
      </w:r>
      <w:r>
        <w:t>(2010), KPMG</w:t>
      </w:r>
      <w:r w:rsidR="004758A7">
        <w:t xml:space="preserve"> </w:t>
      </w:r>
      <w:r>
        <w:t>(2011) and</w:t>
      </w:r>
      <w:r w:rsidR="00F74E3C">
        <w:t xml:space="preserve"> </w:t>
      </w:r>
      <w:r w:rsidR="00E007CF">
        <w:t>Treasury estimates</w:t>
      </w:r>
      <w:r w:rsidR="00F74E3C">
        <w:t>.</w:t>
      </w:r>
    </w:p>
    <w:p w14:paraId="1B032D43" w14:textId="1E6F9FFD" w:rsidR="00AC3976" w:rsidRDefault="00AC3976" w:rsidP="007D4848">
      <w:pPr>
        <w:pStyle w:val="Source"/>
        <w:spacing w:after="0"/>
      </w:pPr>
      <w:r>
        <w:t>Note</w:t>
      </w:r>
      <w:r w:rsidR="00791D09">
        <w:t>:</w:t>
      </w:r>
      <w:r>
        <w:t xml:space="preserve"> </w:t>
      </w:r>
      <w:r w:rsidR="00496794">
        <w:t>Independent Economics</w:t>
      </w:r>
      <w:r>
        <w:t xml:space="preserve"> (2014) does not report a</w:t>
      </w:r>
      <w:r w:rsidR="00B87A51">
        <w:t xml:space="preserve"> marginal</w:t>
      </w:r>
      <w:r>
        <w:t xml:space="preserve"> excess burden for the company income tax.</w:t>
      </w:r>
    </w:p>
    <w:p w14:paraId="1CB93DAB" w14:textId="77777777" w:rsidR="00FF303A" w:rsidRDefault="00FF303A" w:rsidP="00FF303A">
      <w:pPr>
        <w:pStyle w:val="SingleParagraph"/>
      </w:pPr>
    </w:p>
    <w:p w14:paraId="54E16695" w14:textId="77777777" w:rsidR="00F80047" w:rsidRDefault="00B843C6" w:rsidP="00316992">
      <w:pPr>
        <w:rPr>
          <w:lang w:eastAsia="en-AU"/>
        </w:rPr>
      </w:pPr>
      <w:r>
        <w:t>Table</w:t>
      </w:r>
      <w:r w:rsidRPr="00EF76D8">
        <w:t xml:space="preserve"> </w:t>
      </w:r>
      <w:r>
        <w:rPr>
          <w:noProof/>
        </w:rPr>
        <w:t>2</w:t>
      </w:r>
      <w:r w:rsidR="008B5917">
        <w:t xml:space="preserve"> also </w:t>
      </w:r>
      <w:r w:rsidR="008B5917">
        <w:rPr>
          <w:lang w:eastAsia="en-AU"/>
        </w:rPr>
        <w:t>compares the results from this paper with estimates from other recent Australian studies</w:t>
      </w:r>
      <w:r w:rsidR="00BF04BA">
        <w:rPr>
          <w:lang w:eastAsia="en-AU"/>
        </w:rPr>
        <w:t>.</w:t>
      </w:r>
      <w:r w:rsidR="008B5917">
        <w:rPr>
          <w:rStyle w:val="FootnoteReference"/>
          <w:lang w:eastAsia="en-AU"/>
        </w:rPr>
        <w:footnoteReference w:id="25"/>
      </w:r>
      <w:r w:rsidR="008B5917">
        <w:rPr>
          <w:lang w:eastAsia="en-AU"/>
        </w:rPr>
        <w:t xml:space="preserve"> </w:t>
      </w:r>
    </w:p>
    <w:p w14:paraId="58DFB464" w14:textId="77777777" w:rsidR="00F80047" w:rsidRDefault="00F80047">
      <w:pPr>
        <w:rPr>
          <w:lang w:eastAsia="en-AU"/>
        </w:rPr>
      </w:pPr>
      <w:r>
        <w:rPr>
          <w:lang w:eastAsia="en-AU"/>
        </w:rPr>
        <w:br w:type="page"/>
      </w:r>
    </w:p>
    <w:p w14:paraId="636FC802" w14:textId="662948EE" w:rsidR="008B5917" w:rsidRDefault="008B5917" w:rsidP="00316992">
      <w:r w:rsidRPr="0038431B">
        <w:rPr>
          <w:lang w:eastAsia="en-AU"/>
        </w:rPr>
        <w:lastRenderedPageBreak/>
        <w:t>T</w:t>
      </w:r>
      <w:r>
        <w:rPr>
          <w:lang w:eastAsia="en-AU"/>
        </w:rPr>
        <w:t>he results from the baseline calibration suggest</w:t>
      </w:r>
      <w:r w:rsidRPr="0038431B">
        <w:rPr>
          <w:lang w:eastAsia="en-AU"/>
        </w:rPr>
        <w:t xml:space="preserve"> the </w:t>
      </w:r>
      <w:r>
        <w:rPr>
          <w:lang w:eastAsia="en-AU"/>
        </w:rPr>
        <w:t xml:space="preserve">marginal </w:t>
      </w:r>
      <w:r w:rsidRPr="0038431B">
        <w:rPr>
          <w:lang w:eastAsia="en-AU"/>
        </w:rPr>
        <w:t xml:space="preserve">excess burden of </w:t>
      </w:r>
      <w:r>
        <w:rPr>
          <w:lang w:eastAsia="en-AU"/>
        </w:rPr>
        <w:t xml:space="preserve">the </w:t>
      </w:r>
      <w:r w:rsidRPr="0038431B">
        <w:rPr>
          <w:lang w:eastAsia="en-AU"/>
        </w:rPr>
        <w:t xml:space="preserve">company income tax is higher than </w:t>
      </w:r>
      <w:r>
        <w:rPr>
          <w:lang w:eastAsia="en-AU"/>
        </w:rPr>
        <w:t>that estimated by KPMG (2010 and 2011)</w:t>
      </w:r>
      <w:r w:rsidRPr="0038431B">
        <w:rPr>
          <w:lang w:eastAsia="en-AU"/>
        </w:rPr>
        <w:t xml:space="preserve">. </w:t>
      </w:r>
      <w:r w:rsidRPr="00EF76D8">
        <w:t xml:space="preserve">This is </w:t>
      </w:r>
      <w:r>
        <w:t xml:space="preserve">likely </w:t>
      </w:r>
      <w:r w:rsidRPr="00EF76D8">
        <w:t xml:space="preserve">due </w:t>
      </w:r>
      <w:r>
        <w:t xml:space="preserve">to the fact that </w:t>
      </w:r>
      <w:r w:rsidRPr="00EF76D8">
        <w:t xml:space="preserve">the model </w:t>
      </w:r>
      <w:r>
        <w:t xml:space="preserve">used in this paper </w:t>
      </w:r>
      <w:r w:rsidRPr="00EF76D8">
        <w:t>incorporat</w:t>
      </w:r>
      <w:r>
        <w:t>es</w:t>
      </w:r>
      <w:r w:rsidRPr="00EF76D8">
        <w:t xml:space="preserve"> </w:t>
      </w:r>
      <w:r>
        <w:t xml:space="preserve">features which tend to raise the marginal excess burden, such as international </w:t>
      </w:r>
      <w:r w:rsidRPr="00EF76D8">
        <w:t>profit</w:t>
      </w:r>
      <w:r w:rsidR="00F03697">
        <w:noBreakHyphen/>
      </w:r>
      <w:r w:rsidRPr="00EF76D8">
        <w:t>shifting</w:t>
      </w:r>
      <w:r>
        <w:t>, that were not common in earlier studies.</w:t>
      </w:r>
    </w:p>
    <w:p w14:paraId="29DD69C3" w14:textId="4341CFC1" w:rsidR="00F012EA" w:rsidRDefault="00256B13" w:rsidP="00AC51D8">
      <w:pPr>
        <w:pStyle w:val="Heading2"/>
      </w:pPr>
      <w:r>
        <w:t xml:space="preserve">Personal </w:t>
      </w:r>
      <w:r w:rsidR="005604EC">
        <w:t>income tax</w:t>
      </w:r>
      <w:r w:rsidR="00DB64FA">
        <w:t xml:space="preserve"> on labour and capital</w:t>
      </w:r>
      <w:r w:rsidR="00D56D85">
        <w:t xml:space="preserve"> income</w:t>
      </w:r>
    </w:p>
    <w:p w14:paraId="29DD69C4" w14:textId="0F7D83A6" w:rsidR="004A3717" w:rsidRPr="0037543F" w:rsidRDefault="00B14F43" w:rsidP="004A3717">
      <w:r>
        <w:t xml:space="preserve">The personal income tax system includes the taxation of both labour and capital income. </w:t>
      </w:r>
      <w:r w:rsidR="004A3717">
        <w:t>It is difficult to incorporate progressivity in a model with a representative household, so the modelling reported here assumes a single effective tax rate (hereafter a flat personal income tax) that is applied to labour income and capital income after franking credits</w:t>
      </w:r>
      <w:r w:rsidR="004A3717" w:rsidRPr="004B64F6">
        <w:t xml:space="preserve">. </w:t>
      </w:r>
      <w:r w:rsidR="00AC0877" w:rsidRPr="004B64F6">
        <w:t>In general progressivity raises the marginal excess burden of a tax, which implies</w:t>
      </w:r>
      <w:r w:rsidR="004A3717" w:rsidRPr="004B64F6">
        <w:t xml:space="preserve"> the </w:t>
      </w:r>
      <w:r w:rsidR="008B5DB7" w:rsidRPr="004B64F6">
        <w:t xml:space="preserve">marginal </w:t>
      </w:r>
      <w:r w:rsidR="004A3717" w:rsidRPr="004B64F6">
        <w:t xml:space="preserve">excess burden of the </w:t>
      </w:r>
      <w:r w:rsidR="00AC0877" w:rsidRPr="004B64F6">
        <w:t xml:space="preserve">modelled </w:t>
      </w:r>
      <w:r w:rsidR="004A3717" w:rsidRPr="004B64F6">
        <w:t xml:space="preserve">personal income tax will understate the welfare cost of raising </w:t>
      </w:r>
      <w:r w:rsidR="003F2C1A" w:rsidRPr="004B64F6">
        <w:t xml:space="preserve">revenue via </w:t>
      </w:r>
      <w:r w:rsidR="004A3717" w:rsidRPr="004B64F6">
        <w:t>the actual personal income tax.</w:t>
      </w:r>
    </w:p>
    <w:p w14:paraId="29DD69C5" w14:textId="60D4ED2A" w:rsidR="00AD065F" w:rsidRDefault="00DF3E19" w:rsidP="00FA5BCC">
      <w:r>
        <w:t>As noted in Section 3, t</w:t>
      </w:r>
      <w:r w:rsidR="000771B5">
        <w:t xml:space="preserve">he </w:t>
      </w:r>
      <w:r w:rsidR="00C93749">
        <w:t xml:space="preserve">perfect capital market and </w:t>
      </w:r>
      <w:r w:rsidR="000771B5">
        <w:t xml:space="preserve">fixed </w:t>
      </w:r>
      <w:r w:rsidR="00B179B3">
        <w:t xml:space="preserve">domestic capital stock </w:t>
      </w:r>
      <w:r w:rsidR="008A0E27">
        <w:t>assumptions imply the</w:t>
      </w:r>
      <w:r w:rsidR="00C93749">
        <w:t xml:space="preserve"> </w:t>
      </w:r>
      <w:r w:rsidR="000771B5">
        <w:t xml:space="preserve">capital </w:t>
      </w:r>
      <w:r w:rsidR="00C93749">
        <w:t xml:space="preserve">income </w:t>
      </w:r>
      <w:r w:rsidR="000771B5">
        <w:t xml:space="preserve">component of the personal income </w:t>
      </w:r>
      <w:r w:rsidR="00C93749">
        <w:t>is invariant to changes in personal tax rates</w:t>
      </w:r>
      <w:r w:rsidR="000771B5">
        <w:t>.</w:t>
      </w:r>
      <w:r w:rsidR="008B5DB7" w:rsidRPr="008B5DB7">
        <w:rPr>
          <w:rStyle w:val="FootnoteReference"/>
        </w:rPr>
        <w:t xml:space="preserve"> </w:t>
      </w:r>
      <w:r w:rsidR="000771B5">
        <w:t>The</w:t>
      </w:r>
      <w:r w:rsidR="00AD065F">
        <w:t>refore, the</w:t>
      </w:r>
      <w:r w:rsidR="000771B5">
        <w:t xml:space="preserve"> </w:t>
      </w:r>
      <w:r>
        <w:t xml:space="preserve">distortionary </w:t>
      </w:r>
      <w:r w:rsidR="000771B5">
        <w:t>part of the person</w:t>
      </w:r>
      <w:r w:rsidR="00C86D7C">
        <w:t>al</w:t>
      </w:r>
      <w:r w:rsidR="000771B5">
        <w:t xml:space="preserve"> income tax </w:t>
      </w:r>
      <w:r w:rsidR="00973B3D">
        <w:t xml:space="preserve">modelled in this paper </w:t>
      </w:r>
      <w:r w:rsidR="000771B5">
        <w:t xml:space="preserve">is </w:t>
      </w:r>
      <w:r w:rsidR="008A0E27">
        <w:t xml:space="preserve">effectively </w:t>
      </w:r>
      <w:r w:rsidR="00025A14">
        <w:t>t</w:t>
      </w:r>
      <w:r w:rsidR="000771B5">
        <w:t>he labour income tax component.</w:t>
      </w:r>
      <w:r w:rsidR="003F2C1A">
        <w:t xml:space="preserve"> Given this observation we analyse the labour income tax component separately.</w:t>
      </w:r>
    </w:p>
    <w:p w14:paraId="29DD69C6" w14:textId="77777777" w:rsidR="008C23BD" w:rsidRDefault="008C23BD" w:rsidP="008C23BD">
      <w:pPr>
        <w:pStyle w:val="Heading3"/>
      </w:pPr>
      <w:r>
        <w:t>Theory</w:t>
      </w:r>
      <w:r w:rsidR="00513EE1">
        <w:t xml:space="preserve"> </w:t>
      </w:r>
      <w:r w:rsidR="002C48CA">
        <w:t xml:space="preserve">for </w:t>
      </w:r>
      <w:r w:rsidR="003F2C1A">
        <w:t xml:space="preserve">a flat </w:t>
      </w:r>
      <w:r w:rsidR="00513EE1">
        <w:t>labour income tax</w:t>
      </w:r>
    </w:p>
    <w:p w14:paraId="29DD69C7" w14:textId="04446E7D" w:rsidR="00001DFE" w:rsidRDefault="00025A14" w:rsidP="00DC5E8B">
      <w:r>
        <w:t>T</w:t>
      </w:r>
      <w:r w:rsidR="008C23BD">
        <w:t>he primary distorti</w:t>
      </w:r>
      <w:r w:rsidR="00C03388">
        <w:t>onary</w:t>
      </w:r>
      <w:r w:rsidR="008C23BD">
        <w:t xml:space="preserve"> </w:t>
      </w:r>
      <w:r w:rsidR="00513EE1">
        <w:t>effect</w:t>
      </w:r>
      <w:r w:rsidR="008C23BD">
        <w:t xml:space="preserve"> </w:t>
      </w:r>
      <w:r>
        <w:t xml:space="preserve">of </w:t>
      </w:r>
      <w:r w:rsidR="00AC0877">
        <w:t xml:space="preserve">a </w:t>
      </w:r>
      <w:r>
        <w:t xml:space="preserve">labour income tax </w:t>
      </w:r>
      <w:r w:rsidR="008C23BD">
        <w:t>is on the household</w:t>
      </w:r>
      <w:r w:rsidR="00F03697">
        <w:t>’</w:t>
      </w:r>
      <w:r w:rsidR="00AC0877">
        <w:t>s</w:t>
      </w:r>
      <w:r w:rsidR="008C23BD">
        <w:t xml:space="preserve"> </w:t>
      </w:r>
      <w:r w:rsidR="000C5F61">
        <w:t>choice</w:t>
      </w:r>
      <w:r w:rsidR="008C23BD">
        <w:t xml:space="preserve"> between </w:t>
      </w:r>
      <w:r w:rsidR="000C5F61">
        <w:t xml:space="preserve">the </w:t>
      </w:r>
      <w:r w:rsidR="008C23BD">
        <w:t>consumption</w:t>
      </w:r>
      <w:r w:rsidR="007D5F0C">
        <w:t xml:space="preserve"> of goods and services</w:t>
      </w:r>
      <w:r w:rsidR="000C5F61">
        <w:t xml:space="preserve"> </w:t>
      </w:r>
      <w:r w:rsidR="009E3DEC">
        <w:t>and leisure.</w:t>
      </w:r>
      <w:r w:rsidR="000C5F61">
        <w:t xml:space="preserve"> </w:t>
      </w:r>
      <w:r w:rsidR="00513EE1">
        <w:t>Following Section 2, t</w:t>
      </w:r>
      <w:r w:rsidR="008C23BD">
        <w:t xml:space="preserve">he feasible set of </w:t>
      </w:r>
      <w:r w:rsidR="000C5F61">
        <w:t>consumption/leisure bundles</w:t>
      </w:r>
      <w:r w:rsidR="008C23BD">
        <w:t xml:space="preserve"> is </w:t>
      </w:r>
      <w:r w:rsidR="00C03388">
        <w:t>defin</w:t>
      </w:r>
      <w:r w:rsidR="00D43EFF">
        <w:t>ed</w:t>
      </w:r>
      <w:r w:rsidR="008C23BD">
        <w:t xml:space="preserve"> by the </w:t>
      </w:r>
      <w:r w:rsidR="007D5F0C">
        <w:t>household</w:t>
      </w:r>
      <w:r w:rsidR="00F03697">
        <w:t>’</w:t>
      </w:r>
      <w:r w:rsidR="007D5F0C">
        <w:t xml:space="preserve">s </w:t>
      </w:r>
      <w:r w:rsidR="008C23BD">
        <w:t>budget constraint</w:t>
      </w:r>
      <w:r w:rsidR="00C03388">
        <w:t>,</w:t>
      </w:r>
      <w:r w:rsidR="008C23BD">
        <w:t xml:space="preserve"> </w:t>
      </w:r>
      <w:r w:rsidR="00D43EFF">
        <w:t xml:space="preserve">which </w:t>
      </w:r>
      <w:r w:rsidR="007D5F0C">
        <w:t>reflect</w:t>
      </w:r>
      <w:r w:rsidR="00C03388">
        <w:t>s</w:t>
      </w:r>
      <w:r w:rsidR="007D5F0C">
        <w:t xml:space="preserve"> </w:t>
      </w:r>
      <w:r w:rsidR="00C03388">
        <w:t xml:space="preserve">household </w:t>
      </w:r>
      <w:r w:rsidR="00332085">
        <w:t xml:space="preserve">income </w:t>
      </w:r>
      <w:r w:rsidR="007D5F0C">
        <w:t>from all sources and the relative price</w:t>
      </w:r>
      <w:r w:rsidR="00C03388">
        <w:t>s</w:t>
      </w:r>
      <w:r w:rsidR="007D5F0C">
        <w:t xml:space="preserve"> between the two</w:t>
      </w:r>
      <w:r w:rsidR="00C03388">
        <w:t xml:space="preserve"> options</w:t>
      </w:r>
      <w:r w:rsidR="000C5F61">
        <w:t>, w</w:t>
      </w:r>
      <w:r w:rsidR="00001DFE">
        <w:t>hich is the after</w:t>
      </w:r>
      <w:r w:rsidR="00F03697">
        <w:noBreakHyphen/>
      </w:r>
      <w:r w:rsidR="00001DFE">
        <w:t>tax real wage:</w:t>
      </w:r>
    </w:p>
    <w:p w14:paraId="49213BD5" w14:textId="285FB755" w:rsidR="008F3CC5" w:rsidRDefault="008F3CC5" w:rsidP="008F3CC5">
      <w:pPr>
        <w:pStyle w:val="MTDisplayEquation"/>
      </w:pPr>
      <w:r>
        <w:tab/>
      </w:r>
      <w:r w:rsidR="0026612C" w:rsidRPr="008F3CC5">
        <w:rPr>
          <w:position w:val="-30"/>
        </w:rPr>
        <w:object w:dxaOrig="1080" w:dyaOrig="720" w14:anchorId="19FD85D8">
          <v:shape id="_x0000_i1036" type="#_x0000_t75" alt="Equation 7 is equation 2 repeated. This equation presents the after tax real wage as the ratio of the after tax wage to the after tax price of aggregate consumption goods and services." style="width:54.2pt;height:37.05pt" o:ole="">
            <v:imagedata r:id="rId48" o:title=""/>
          </v:shape>
          <o:OLEObject Type="Embed" ProgID="Equation.DSMT4" ShapeID="_x0000_i1036" DrawAspect="Content" ObjectID="_1489908546" r:id="rId49"/>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7</w:instrText>
      </w:r>
      <w:r w:rsidR="00866AD9">
        <w:rPr>
          <w:noProof/>
        </w:rPr>
        <w:fldChar w:fldCharType="end"/>
      </w:r>
      <w:r>
        <w:instrText>)</w:instrText>
      </w:r>
      <w:r>
        <w:fldChar w:fldCharType="end"/>
      </w:r>
    </w:p>
    <w:p w14:paraId="29DD69C9" w14:textId="77777777" w:rsidR="00001DFE" w:rsidRDefault="00FB480E" w:rsidP="00DC5E8B">
      <w:r>
        <w:t>w</w:t>
      </w:r>
      <w:r w:rsidR="00001DFE">
        <w:t>here</w:t>
      </w:r>
      <w:r>
        <w:t>:</w:t>
      </w:r>
      <w:r w:rsidR="00001DFE">
        <w:t xml:space="preserve"> w is the wage</w:t>
      </w:r>
      <w:r>
        <w:t>;</w:t>
      </w:r>
      <w:r w:rsidR="00001DFE">
        <w:t xml:space="preserve"> p</w:t>
      </w:r>
      <w:r w:rsidR="00001DFE" w:rsidRPr="00450126">
        <w:rPr>
          <w:vertAlign w:val="subscript"/>
        </w:rPr>
        <w:t>c</w:t>
      </w:r>
      <w:r w:rsidR="00001DFE">
        <w:t xml:space="preserve"> is the price of consumption goods and services</w:t>
      </w:r>
      <w:r>
        <w:t>;</w:t>
      </w:r>
      <w:r w:rsidR="00001DFE">
        <w:t xml:space="preserve"> </w:t>
      </w:r>
      <w:r w:rsidR="00001DFE" w:rsidRPr="00450126">
        <w:rPr>
          <w:rFonts w:ascii="Symbol" w:hAnsi="Symbol"/>
        </w:rPr>
        <w:t></w:t>
      </w:r>
      <w:r w:rsidR="00450126" w:rsidRPr="00450126">
        <w:rPr>
          <w:vertAlign w:val="subscript"/>
        </w:rPr>
        <w:t>N</w:t>
      </w:r>
      <w:r w:rsidR="00001DFE">
        <w:t xml:space="preserve"> is the </w:t>
      </w:r>
      <w:r w:rsidR="003F2C1A">
        <w:t xml:space="preserve">flat </w:t>
      </w:r>
      <w:r w:rsidR="00C03388">
        <w:t>labour</w:t>
      </w:r>
      <w:r w:rsidR="00001DFE">
        <w:t xml:space="preserve"> </w:t>
      </w:r>
      <w:r w:rsidR="00C03388">
        <w:t xml:space="preserve">income </w:t>
      </w:r>
      <w:r w:rsidR="00001DFE">
        <w:t>tax rate</w:t>
      </w:r>
      <w:r w:rsidR="001D00A5">
        <w:t xml:space="preserve"> payable by the household</w:t>
      </w:r>
      <w:r>
        <w:t>;</w:t>
      </w:r>
      <w:r w:rsidR="00001DFE">
        <w:t xml:space="preserve"> and </w:t>
      </w:r>
      <w:r w:rsidR="00001DFE" w:rsidRPr="00450126">
        <w:rPr>
          <w:rFonts w:ascii="Symbol" w:hAnsi="Symbol"/>
        </w:rPr>
        <w:t></w:t>
      </w:r>
      <w:r w:rsidR="00001DFE" w:rsidRPr="00450126">
        <w:rPr>
          <w:vertAlign w:val="subscript"/>
        </w:rPr>
        <w:t>c</w:t>
      </w:r>
      <w:r w:rsidR="00001DFE">
        <w:t xml:space="preserve"> is the consumption tax rate</w:t>
      </w:r>
      <w:r w:rsidR="001D00A5">
        <w:t xml:space="preserve"> payable by the household</w:t>
      </w:r>
      <w:r w:rsidR="00001DFE">
        <w:t>.</w:t>
      </w:r>
    </w:p>
    <w:p w14:paraId="2133D4A0" w14:textId="11232709" w:rsidR="008B5917" w:rsidRDefault="00B843C6" w:rsidP="00DC5E8B">
      <w:r w:rsidRPr="000D0E7C">
        <w:t xml:space="preserve">Figure </w:t>
      </w:r>
      <w:r>
        <w:rPr>
          <w:noProof/>
        </w:rPr>
        <w:t>6</w:t>
      </w:r>
      <w:r w:rsidR="008B5917">
        <w:t xml:space="preserve"> demonstrates the utility maximising solution for the representative household. The household effectively faces the budget constraint represented by: the vertical segment XY equal to the sum of the household</w:t>
      </w:r>
      <w:r w:rsidR="00F03697">
        <w:t>’</w:t>
      </w:r>
      <w:r w:rsidR="008B5917">
        <w:t>s net transfer receipts and after</w:t>
      </w:r>
      <w:r w:rsidR="00F03697">
        <w:noBreakHyphen/>
      </w:r>
      <w:r w:rsidR="008B5917">
        <w:t>tax capital income less savings, with the total expressed in terms of after</w:t>
      </w:r>
      <w:r w:rsidR="00F03697">
        <w:noBreakHyphen/>
      </w:r>
      <w:r w:rsidR="008B5917">
        <w:t>tax consumption prices; and the sloped segment YZ, which reflects after</w:t>
      </w:r>
      <w:r w:rsidR="00F03697">
        <w:noBreakHyphen/>
      </w:r>
      <w:r w:rsidR="008B5917">
        <w:t>tax labour income, with the slope equal to the after</w:t>
      </w:r>
      <w:r w:rsidR="00F03697">
        <w:noBreakHyphen/>
      </w:r>
      <w:r w:rsidR="008B5917">
        <w:t>tax real wage.</w:t>
      </w:r>
    </w:p>
    <w:p w14:paraId="29DD69CA" w14:textId="709F72F1" w:rsidR="007907ED" w:rsidRDefault="007907ED" w:rsidP="00E82F3E">
      <w:pPr>
        <w:pStyle w:val="Caption1"/>
      </w:pPr>
      <w:bookmarkStart w:id="16" w:name="_Ref398462587"/>
      <w:r w:rsidRPr="000D0E7C">
        <w:lastRenderedPageBreak/>
        <w:t xml:space="preserve">Figure </w:t>
      </w:r>
      <w:r w:rsidR="00866AD9">
        <w:fldChar w:fldCharType="begin"/>
      </w:r>
      <w:r w:rsidR="00866AD9">
        <w:instrText xml:space="preserve"> SEQ Figure \* ARABIC </w:instrText>
      </w:r>
      <w:r w:rsidR="00866AD9">
        <w:fldChar w:fldCharType="separate"/>
      </w:r>
      <w:r w:rsidR="00AA2137">
        <w:rPr>
          <w:noProof/>
        </w:rPr>
        <w:t>6</w:t>
      </w:r>
      <w:r w:rsidR="00866AD9">
        <w:rPr>
          <w:noProof/>
        </w:rPr>
        <w:fldChar w:fldCharType="end"/>
      </w:r>
      <w:bookmarkEnd w:id="16"/>
      <w:r w:rsidRPr="000D0E7C">
        <w:t xml:space="preserve">: </w:t>
      </w:r>
      <w:r w:rsidR="003F2C1A">
        <w:t>Flat l</w:t>
      </w:r>
      <w:r w:rsidR="00E76197">
        <w:t>abour</w:t>
      </w:r>
      <w:r w:rsidR="00A34507" w:rsidRPr="000D0E7C">
        <w:t xml:space="preserve"> income tax</w:t>
      </w:r>
      <w:r w:rsidR="004C5CFD">
        <w:t xml:space="preserve"> — </w:t>
      </w:r>
      <w:r w:rsidR="00B87A51">
        <w:t>Marginal e</w:t>
      </w:r>
      <w:r w:rsidR="006C57E2" w:rsidRPr="000D0E7C">
        <w:t>xcess burden</w:t>
      </w:r>
      <w:r w:rsidR="00CE792A" w:rsidRPr="000D0E7C">
        <w:t xml:space="preserve"> and activity response</w:t>
      </w:r>
    </w:p>
    <w:p w14:paraId="29DD69CB" w14:textId="5F9D79E6" w:rsidR="00A53A45" w:rsidRDefault="00DC4081" w:rsidP="00926C39">
      <w:pPr>
        <w:pStyle w:val="Caption1"/>
      </w:pPr>
      <w:r w:rsidRPr="00DC4081">
        <w:rPr>
          <w:noProof/>
        </w:rPr>
        <w:drawing>
          <wp:inline distT="0" distB="0" distL="0" distR="0" wp14:anchorId="56080658" wp14:editId="286819D8">
            <wp:extent cx="5569527" cy="4148083"/>
            <wp:effectExtent l="0" t="0" r="0" b="5080"/>
            <wp:docPr id="5" name="Picture 5" descr="Figure 6 is a repeat of Figure 1. This figure describes the household’s consumption leisure choice. The figure represents a graphical solution to a pre  and post tax change to the household’s optimisation problem." title="Flat labour income tax - marginal excess burden and activit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1597" cy="4149625"/>
                    </a:xfrm>
                    <a:prstGeom prst="rect">
                      <a:avLst/>
                    </a:prstGeom>
                    <a:noFill/>
                    <a:ln>
                      <a:noFill/>
                    </a:ln>
                  </pic:spPr>
                </pic:pic>
              </a:graphicData>
            </a:graphic>
          </wp:inline>
        </w:drawing>
      </w:r>
    </w:p>
    <w:p w14:paraId="2D44E924" w14:textId="77777777" w:rsidR="00926C39" w:rsidRDefault="00926C39" w:rsidP="00B066B3">
      <w:pPr>
        <w:pStyle w:val="SingleParagraph"/>
        <w:rPr>
          <w:lang w:eastAsia="en-AU"/>
        </w:rPr>
      </w:pPr>
    </w:p>
    <w:p w14:paraId="17A41F7F" w14:textId="03D354EA" w:rsidR="00D95235" w:rsidRDefault="00D95235" w:rsidP="00D95235">
      <w:r>
        <w:t>The optimal consumption</w:t>
      </w:r>
      <w:r w:rsidR="00F03697">
        <w:noBreakHyphen/>
      </w:r>
      <w:r>
        <w:t>leisure bundle is given by the tangency of the highest feasible indifference curve U</w:t>
      </w:r>
      <w:r w:rsidRPr="0070127F">
        <w:rPr>
          <w:vertAlign w:val="subscript"/>
        </w:rPr>
        <w:t>0</w:t>
      </w:r>
      <w:r>
        <w:t xml:space="preserve"> and the household</w:t>
      </w:r>
      <w:r w:rsidR="00F03697">
        <w:t>’</w:t>
      </w:r>
      <w:r>
        <w:t>s budget constraint, with the utility maximizing outcome given by A. At this point the household</w:t>
      </w:r>
      <w:r w:rsidR="00F03697">
        <w:t>’</w:t>
      </w:r>
      <w:r>
        <w:t>s consumption is equal to C</w:t>
      </w:r>
      <w:r w:rsidRPr="0070127F">
        <w:rPr>
          <w:vertAlign w:val="subscript"/>
        </w:rPr>
        <w:t>0</w:t>
      </w:r>
      <w:r>
        <w:t xml:space="preserve"> and leisure is equal to L</w:t>
      </w:r>
      <w:r w:rsidRPr="0070127F">
        <w:rPr>
          <w:vertAlign w:val="subscript"/>
        </w:rPr>
        <w:t>0</w:t>
      </w:r>
      <w:r>
        <w:t xml:space="preserve">. </w:t>
      </w:r>
      <w:r w:rsidR="00F62B59">
        <w:t>The value of this consumption</w:t>
      </w:r>
      <w:r w:rsidR="00F03697">
        <w:noBreakHyphen/>
      </w:r>
      <w:r w:rsidR="00F62B59">
        <w:t>leisure bundle in terms of consumption units is E(P</w:t>
      </w:r>
      <w:r w:rsidR="00F62B59">
        <w:rPr>
          <w:vertAlign w:val="subscript"/>
        </w:rPr>
        <w:t>0</w:t>
      </w:r>
      <w:r w:rsidR="00F62B59">
        <w:t>,U</w:t>
      </w:r>
      <w:r w:rsidR="00F62B59">
        <w:rPr>
          <w:vertAlign w:val="subscript"/>
        </w:rPr>
        <w:t>0</w:t>
      </w:r>
      <w:r w:rsidR="00F62B59">
        <w:t>), with P</w:t>
      </w:r>
      <w:r w:rsidR="00F62B59">
        <w:rPr>
          <w:vertAlign w:val="subscript"/>
        </w:rPr>
        <w:t>0</w:t>
      </w:r>
      <w:r w:rsidR="00F62B59">
        <w:t xml:space="preserve"> denoting the price vector before the tax change.</w:t>
      </w:r>
    </w:p>
    <w:p w14:paraId="03FA7880" w14:textId="34BD5045" w:rsidR="00D95235" w:rsidRPr="004B64F6" w:rsidRDefault="00D95235" w:rsidP="00FB480E">
      <w:r w:rsidRPr="004B64F6">
        <w:t xml:space="preserve">Similar to the discussion regarding company income tax on page 11, we demonstrate below that a labour income tax change </w:t>
      </w:r>
      <w:r w:rsidR="00412FE5" w:rsidRPr="004B64F6">
        <w:t>leads to</w:t>
      </w:r>
      <w:r w:rsidRPr="004B64F6">
        <w:t xml:space="preserve"> </w:t>
      </w:r>
      <w:r w:rsidR="002A6569" w:rsidRPr="004B64F6">
        <w:t xml:space="preserve">a </w:t>
      </w:r>
      <w:r w:rsidRPr="004B64F6">
        <w:t>lump</w:t>
      </w:r>
      <w:r w:rsidR="00F03697">
        <w:noBreakHyphen/>
      </w:r>
      <w:r w:rsidRPr="004B64F6">
        <w:t xml:space="preserve">sum </w:t>
      </w:r>
      <w:r w:rsidR="002A6569" w:rsidRPr="004B64F6">
        <w:t>transfer that</w:t>
      </w:r>
      <w:r w:rsidR="008F12A0" w:rsidRPr="004B64F6">
        <w:t xml:space="preserve"> exceeds the fall in after</w:t>
      </w:r>
      <w:r w:rsidR="00F03697">
        <w:noBreakHyphen/>
      </w:r>
      <w:r w:rsidRPr="004B64F6">
        <w:t>tax capital income less savings, which increases the vertical segment of the household</w:t>
      </w:r>
      <w:r w:rsidR="00F03697">
        <w:t>’</w:t>
      </w:r>
      <w:r w:rsidRPr="004B64F6">
        <w:t>s budget constraint, and directly or indirectly causes the household</w:t>
      </w:r>
      <w:r w:rsidR="00F03697">
        <w:t>’</w:t>
      </w:r>
      <w:r w:rsidRPr="004B64F6">
        <w:t>s after</w:t>
      </w:r>
      <w:r w:rsidR="00F03697">
        <w:noBreakHyphen/>
      </w:r>
      <w:r w:rsidRPr="004B64F6">
        <w:t>tax real wage to fall. These effects are captured in the budget constraint given by XY</w:t>
      </w:r>
      <w:r w:rsidR="00F03697">
        <w:t>’</w:t>
      </w:r>
      <w:r w:rsidRPr="004B64F6">
        <w:t xml:space="preserve"> and Y</w:t>
      </w:r>
      <w:r w:rsidR="00F03697">
        <w:t>’</w:t>
      </w:r>
      <w:r w:rsidRPr="004B64F6">
        <w:t>Z</w:t>
      </w:r>
      <w:r w:rsidR="00F03697">
        <w:t>’</w:t>
      </w:r>
      <w:r w:rsidRPr="004B64F6">
        <w:t>, with the consumption axis intercept at E(P</w:t>
      </w:r>
      <w:r w:rsidRPr="004B64F6">
        <w:rPr>
          <w:vertAlign w:val="subscript"/>
        </w:rPr>
        <w:t>1</w:t>
      </w:r>
      <w:r w:rsidRPr="004B64F6">
        <w:t>,U</w:t>
      </w:r>
      <w:r w:rsidRPr="004B64F6">
        <w:rPr>
          <w:vertAlign w:val="subscript"/>
        </w:rPr>
        <w:t>1</w:t>
      </w:r>
      <w:r w:rsidRPr="004B64F6">
        <w:t>). The optimal consumption</w:t>
      </w:r>
      <w:r w:rsidR="00F03697">
        <w:noBreakHyphen/>
      </w:r>
      <w:r w:rsidRPr="004B64F6">
        <w:t>leisure bundle under this budget constraint is given by the tangency of the highest feasible indifference curve U</w:t>
      </w:r>
      <w:r w:rsidRPr="004B64F6">
        <w:rPr>
          <w:vertAlign w:val="subscript"/>
        </w:rPr>
        <w:t>1</w:t>
      </w:r>
      <w:r w:rsidRPr="004B64F6">
        <w:t xml:space="preserve"> and the household</w:t>
      </w:r>
      <w:r w:rsidR="00F03697">
        <w:t>’</w:t>
      </w:r>
      <w:r w:rsidRPr="004B64F6">
        <w:t xml:space="preserve">s budget constraint, with the utility maximizing outcome given by B. Under the </w:t>
      </w:r>
      <w:r w:rsidR="002A0742" w:rsidRPr="004B64F6">
        <w:t xml:space="preserve">marginal </w:t>
      </w:r>
      <w:r w:rsidRPr="004B64F6">
        <w:t>tax change the relative price of consumption rises, so household</w:t>
      </w:r>
      <w:r w:rsidR="00F03697">
        <w:t>’</w:t>
      </w:r>
      <w:r w:rsidRPr="004B64F6">
        <w:t>s substitute away from consumption (</w:t>
      </w:r>
      <w:r w:rsidR="00621AD1">
        <w:t>that is</w:t>
      </w:r>
      <w:r w:rsidRPr="004B64F6">
        <w:t>, consumption falls from C</w:t>
      </w:r>
      <w:r w:rsidRPr="004B64F6">
        <w:rPr>
          <w:vertAlign w:val="subscript"/>
        </w:rPr>
        <w:t>0</w:t>
      </w:r>
      <w:r w:rsidRPr="004B64F6">
        <w:t xml:space="preserve"> to C</w:t>
      </w:r>
      <w:r w:rsidRPr="004B64F6">
        <w:rPr>
          <w:vertAlign w:val="subscript"/>
        </w:rPr>
        <w:t>1</w:t>
      </w:r>
      <w:r w:rsidRPr="004B64F6">
        <w:t>) towards leisure (</w:t>
      </w:r>
      <w:r w:rsidR="00621AD1">
        <w:t>that is</w:t>
      </w:r>
      <w:r w:rsidRPr="004B64F6">
        <w:t>, leisure rises from L</w:t>
      </w:r>
      <w:r w:rsidRPr="004B64F6">
        <w:rPr>
          <w:vertAlign w:val="subscript"/>
        </w:rPr>
        <w:t>0</w:t>
      </w:r>
      <w:r w:rsidRPr="004B64F6">
        <w:t xml:space="preserve"> to L</w:t>
      </w:r>
      <w:r w:rsidRPr="004B64F6">
        <w:rPr>
          <w:vertAlign w:val="subscript"/>
        </w:rPr>
        <w:t>1</w:t>
      </w:r>
      <w:r w:rsidRPr="004B64F6">
        <w:t>). The value of this consumption</w:t>
      </w:r>
      <w:r w:rsidR="00F03697">
        <w:noBreakHyphen/>
      </w:r>
      <w:r w:rsidRPr="004B64F6">
        <w:t>leisure bundle in terms of consumption units is E(P</w:t>
      </w:r>
      <w:r w:rsidRPr="004B64F6">
        <w:rPr>
          <w:vertAlign w:val="subscript"/>
        </w:rPr>
        <w:t>1</w:t>
      </w:r>
      <w:r w:rsidRPr="004B64F6">
        <w:t>,U</w:t>
      </w:r>
      <w:r w:rsidRPr="004B64F6">
        <w:rPr>
          <w:vertAlign w:val="subscript"/>
        </w:rPr>
        <w:t>1</w:t>
      </w:r>
      <w:r w:rsidRPr="004B64F6">
        <w:t>), with P</w:t>
      </w:r>
      <w:r w:rsidRPr="004B64F6">
        <w:rPr>
          <w:vertAlign w:val="subscript"/>
        </w:rPr>
        <w:t>1</w:t>
      </w:r>
      <w:r w:rsidRPr="004B64F6">
        <w:t xml:space="preserve"> denoting the price vector after the </w:t>
      </w:r>
      <w:r w:rsidR="002A0742" w:rsidRPr="004B64F6">
        <w:t xml:space="preserve">marginal </w:t>
      </w:r>
      <w:r w:rsidRPr="004B64F6">
        <w:t>tax change.</w:t>
      </w:r>
      <w:r w:rsidR="00F62B59" w:rsidRPr="004B64F6">
        <w:t xml:space="preserve"> </w:t>
      </w:r>
    </w:p>
    <w:p w14:paraId="7042FD71" w14:textId="3DC2D2C1" w:rsidR="00F62B59" w:rsidRDefault="00F62B59" w:rsidP="00FB480E">
      <w:r w:rsidRPr="004B64F6">
        <w:t xml:space="preserve">The </w:t>
      </w:r>
      <w:r w:rsidR="00B87A51" w:rsidRPr="004B64F6">
        <w:t xml:space="preserve">marginal </w:t>
      </w:r>
      <w:r w:rsidRPr="004B64F6">
        <w:t>excess burden associated with the labour income tax change is equal to the vertical distance between E(P</w:t>
      </w:r>
      <w:r w:rsidRPr="004B64F6">
        <w:rPr>
          <w:vertAlign w:val="subscript"/>
        </w:rPr>
        <w:t>0</w:t>
      </w:r>
      <w:r w:rsidRPr="004B64F6">
        <w:t>,U</w:t>
      </w:r>
      <w:r w:rsidRPr="004B64F6">
        <w:rPr>
          <w:vertAlign w:val="subscript"/>
        </w:rPr>
        <w:t>0</w:t>
      </w:r>
      <w:r w:rsidRPr="004B64F6">
        <w:t>) and E(P</w:t>
      </w:r>
      <w:r w:rsidRPr="004B64F6">
        <w:rPr>
          <w:vertAlign w:val="subscript"/>
        </w:rPr>
        <w:t>0</w:t>
      </w:r>
      <w:r w:rsidRPr="004B64F6">
        <w:t>,U</w:t>
      </w:r>
      <w:r w:rsidRPr="004B64F6">
        <w:rPr>
          <w:vertAlign w:val="subscript"/>
        </w:rPr>
        <w:t>1</w:t>
      </w:r>
      <w:r w:rsidRPr="004B64F6">
        <w:t xml:space="preserve">), denoted by </w:t>
      </w:r>
      <w:r w:rsidR="002A0742" w:rsidRPr="004B64F6">
        <w:t>M</w:t>
      </w:r>
      <w:r w:rsidRPr="004B64F6">
        <w:t>EB.</w:t>
      </w:r>
    </w:p>
    <w:p w14:paraId="29DD69CF" w14:textId="77777777" w:rsidR="001D7438" w:rsidRDefault="00C25A41" w:rsidP="001D7438">
      <w:pPr>
        <w:pStyle w:val="Heading3"/>
      </w:pPr>
      <w:r>
        <w:lastRenderedPageBreak/>
        <w:t xml:space="preserve">Results </w:t>
      </w:r>
      <w:r w:rsidR="00B360D3">
        <w:t xml:space="preserve">for </w:t>
      </w:r>
      <w:r w:rsidR="003F2C1A">
        <w:t xml:space="preserve">a </w:t>
      </w:r>
      <w:r w:rsidR="00062F79">
        <w:t xml:space="preserve">flat </w:t>
      </w:r>
      <w:r w:rsidR="00B360D3">
        <w:t>l</w:t>
      </w:r>
      <w:r>
        <w:t>abour income tax</w:t>
      </w:r>
    </w:p>
    <w:p w14:paraId="29DD69D1" w14:textId="384FB252" w:rsidR="00D25B27" w:rsidRPr="007151F9" w:rsidRDefault="001D7438" w:rsidP="007151F9">
      <w:r w:rsidRPr="00513EE1">
        <w:t xml:space="preserve">We analyse the </w:t>
      </w:r>
      <w:r w:rsidR="008B5DB7">
        <w:t xml:space="preserve">marginal </w:t>
      </w:r>
      <w:r w:rsidRPr="00513EE1">
        <w:t xml:space="preserve">excess burden and incidence of </w:t>
      </w:r>
      <w:r w:rsidR="00EB1F50" w:rsidRPr="00513EE1">
        <w:t>the</w:t>
      </w:r>
      <w:r w:rsidR="00EB1F50">
        <w:t xml:space="preserve"> labour</w:t>
      </w:r>
      <w:r w:rsidRPr="00513EE1">
        <w:t xml:space="preserve"> </w:t>
      </w:r>
      <w:r w:rsidR="00E6150B">
        <w:t xml:space="preserve">income tax component of </w:t>
      </w:r>
      <w:r w:rsidR="00EB1F50">
        <w:t>the personal</w:t>
      </w:r>
      <w:r w:rsidRPr="00513EE1">
        <w:t xml:space="preserve"> income tax </w:t>
      </w:r>
      <w:r w:rsidR="00E6150B">
        <w:t xml:space="preserve">system </w:t>
      </w:r>
      <w:r w:rsidRPr="00513EE1">
        <w:t xml:space="preserve">by modelling a marginal increase in the </w:t>
      </w:r>
      <w:r w:rsidR="00062F79">
        <w:t xml:space="preserve">flat </w:t>
      </w:r>
      <w:r w:rsidRPr="00513EE1">
        <w:t xml:space="preserve">tax rate </w:t>
      </w:r>
      <w:r w:rsidR="00E6150B">
        <w:t xml:space="preserve">applied to labour income </w:t>
      </w:r>
      <w:r w:rsidRPr="00513EE1">
        <w:t xml:space="preserve">sufficient to raise one dollar of </w:t>
      </w:r>
      <w:r w:rsidR="008B7B03">
        <w:t xml:space="preserve">net </w:t>
      </w:r>
      <w:r w:rsidRPr="00513EE1">
        <w:t>revenue from all taxes.</w:t>
      </w:r>
    </w:p>
    <w:p w14:paraId="29DD69D2" w14:textId="77777777" w:rsidR="001D7438" w:rsidRDefault="00513EE1" w:rsidP="001D7438">
      <w:pPr>
        <w:pStyle w:val="Heading4"/>
      </w:pPr>
      <w:r>
        <w:t>Activity</w:t>
      </w:r>
    </w:p>
    <w:p w14:paraId="29DD69D3" w14:textId="3CA441AA" w:rsidR="001D7438" w:rsidRDefault="00B843C6" w:rsidP="001D7438">
      <w:r>
        <w:t xml:space="preserve">Chart </w:t>
      </w:r>
      <w:r>
        <w:rPr>
          <w:noProof/>
        </w:rPr>
        <w:t>6</w:t>
      </w:r>
      <w:r w:rsidR="00992B20">
        <w:t xml:space="preserve"> </w:t>
      </w:r>
      <w:r w:rsidR="001D7438" w:rsidRPr="00513EE1">
        <w:t>s</w:t>
      </w:r>
      <w:r w:rsidR="00400C94">
        <w:t>uggests</w:t>
      </w:r>
      <w:r w:rsidR="001D7438" w:rsidRPr="00513EE1">
        <w:t xml:space="preserve"> that the long run effect of raising the </w:t>
      </w:r>
      <w:r w:rsidR="00062F79">
        <w:t xml:space="preserve">flat </w:t>
      </w:r>
      <w:r w:rsidR="00E65697">
        <w:t>labour</w:t>
      </w:r>
      <w:r w:rsidR="00E65697" w:rsidRPr="00513EE1">
        <w:t xml:space="preserve"> </w:t>
      </w:r>
      <w:r w:rsidR="001D7438" w:rsidRPr="00513EE1">
        <w:t>income tax rate on factor income</w:t>
      </w:r>
      <w:r w:rsidR="00393242">
        <w:t>s</w:t>
      </w:r>
      <w:r w:rsidR="001D7438" w:rsidRPr="00513EE1">
        <w:t xml:space="preserve"> is smaller than the change </w:t>
      </w:r>
      <w:r w:rsidR="008B7B03">
        <w:t>of</w:t>
      </w:r>
      <w:r w:rsidR="001D7438" w:rsidRPr="00513EE1">
        <w:t xml:space="preserve"> the company income tax rate</w:t>
      </w:r>
      <w:r w:rsidR="008B7B03">
        <w:t xml:space="preserve"> scenario</w:t>
      </w:r>
      <w:r w:rsidR="001D7438" w:rsidRPr="00513EE1">
        <w:t>. The initial decrease in the supply of labour is partially offset by a slight rise in the before</w:t>
      </w:r>
      <w:r w:rsidR="00F03697">
        <w:noBreakHyphen/>
      </w:r>
      <w:r w:rsidR="001D7438" w:rsidRPr="00513EE1">
        <w:t>tax real wage, with an overall fall in before</w:t>
      </w:r>
      <w:r w:rsidR="00F03697">
        <w:noBreakHyphen/>
      </w:r>
      <w:r w:rsidR="001D7438" w:rsidRPr="00513EE1">
        <w:t>tax labour income. Labour and capital are complements</w:t>
      </w:r>
      <w:r w:rsidR="00A86493">
        <w:t>,</w:t>
      </w:r>
      <w:r w:rsidR="001D7438" w:rsidRPr="00513EE1">
        <w:t xml:space="preserve"> so the </w:t>
      </w:r>
      <w:r w:rsidR="008B7B03">
        <w:t>lower labour</w:t>
      </w:r>
      <w:r w:rsidR="001D7438" w:rsidRPr="00513EE1">
        <w:t xml:space="preserve"> input </w:t>
      </w:r>
      <w:r w:rsidR="00513EE1">
        <w:t xml:space="preserve">also </w:t>
      </w:r>
      <w:r w:rsidR="008B7B03">
        <w:t>reduce</w:t>
      </w:r>
      <w:r w:rsidR="001D7438" w:rsidRPr="00513EE1">
        <w:t>s the marginal product of capital and its rate of return, which results in an outflow of capital from the domestic economy. This is reflected in the fall in before</w:t>
      </w:r>
      <w:r w:rsidR="00F03697">
        <w:noBreakHyphen/>
      </w:r>
      <w:r w:rsidR="001D7438" w:rsidRPr="00513EE1">
        <w:t>tax capital income (</w:t>
      </w:r>
      <w:r w:rsidR="00621AD1">
        <w:t>that is</w:t>
      </w:r>
      <w:r w:rsidR="001D7438" w:rsidRPr="00513EE1">
        <w:t>, GOS) in both volume and price terms. Similarly, reduced consumption has a negative effect on indirect taxes. In aggregate, there is a modest decline in real GDP compared to the company income tax rate scenario and a slight increase in the GDP deflator.</w:t>
      </w:r>
      <w:r w:rsidR="001D7438">
        <w:t xml:space="preserve"> </w:t>
      </w:r>
    </w:p>
    <w:p w14:paraId="29DD69D4" w14:textId="056A6786" w:rsidR="001D7438" w:rsidRDefault="001D7438" w:rsidP="00E82F3E">
      <w:pPr>
        <w:pStyle w:val="Caption1"/>
      </w:pPr>
      <w:bookmarkStart w:id="17" w:name="_Ref401490376"/>
      <w:r>
        <w:t xml:space="preserve">Chart </w:t>
      </w:r>
      <w:r w:rsidR="00866AD9">
        <w:fldChar w:fldCharType="begin"/>
      </w:r>
      <w:r w:rsidR="00866AD9">
        <w:instrText xml:space="preserve"> SEQ Chart \* ARABIC </w:instrText>
      </w:r>
      <w:r w:rsidR="00866AD9">
        <w:fldChar w:fldCharType="separate"/>
      </w:r>
      <w:r w:rsidR="00AA2137">
        <w:rPr>
          <w:noProof/>
        </w:rPr>
        <w:t>6</w:t>
      </w:r>
      <w:r w:rsidR="00866AD9">
        <w:rPr>
          <w:noProof/>
        </w:rPr>
        <w:fldChar w:fldCharType="end"/>
      </w:r>
      <w:bookmarkEnd w:id="17"/>
      <w:r>
        <w:t xml:space="preserve">: </w:t>
      </w:r>
      <w:r w:rsidR="00E65697">
        <w:t>F</w:t>
      </w:r>
      <w:r w:rsidR="00062F79">
        <w:t>lat l</w:t>
      </w:r>
      <w:r w:rsidR="00C25A41">
        <w:t>abour</w:t>
      </w:r>
      <w:r>
        <w:t xml:space="preserve"> income tax</w:t>
      </w:r>
      <w:r w:rsidR="004C5CFD">
        <w:t xml:space="preserve"> — </w:t>
      </w:r>
      <w:r>
        <w:t>Income from GDP response</w:t>
      </w:r>
    </w:p>
    <w:p w14:paraId="29DD69D5" w14:textId="0EE3BB10" w:rsidR="001D7438" w:rsidRDefault="00866AD9" w:rsidP="00FD52B5">
      <w:pPr>
        <w:pStyle w:val="Caption1"/>
      </w:pPr>
      <w:r>
        <w:pict w14:anchorId="506953CA">
          <v:shape id="_x0000_i1037" type="#_x0000_t75" alt="This chart shows the price and volume response of the income components of GDP: capital income; labour income and indirect taxes; due to a marginal increase in the flat labour income tax rate." style="width:439.15pt;height:226pt">
            <v:imagedata r:id="rId51" o:title=""/>
          </v:shape>
        </w:pict>
      </w:r>
    </w:p>
    <w:p w14:paraId="05A0499C" w14:textId="4F0CE6BA" w:rsidR="00F74E3C" w:rsidRDefault="00F74E3C" w:rsidP="00FF303A">
      <w:pPr>
        <w:pStyle w:val="Source"/>
        <w:ind w:left="426"/>
      </w:pPr>
      <w:r>
        <w:rPr>
          <w:lang w:val="en-US"/>
        </w:rPr>
        <w:t xml:space="preserve">Source: </w:t>
      </w:r>
      <w:r w:rsidR="00E007CF">
        <w:t>Treasury estimates</w:t>
      </w:r>
      <w:r>
        <w:t>.</w:t>
      </w:r>
    </w:p>
    <w:p w14:paraId="29DD69D6" w14:textId="0780071C" w:rsidR="001D7438" w:rsidRDefault="001D7438" w:rsidP="001D7438">
      <w:r w:rsidRPr="00513EE1">
        <w:t xml:space="preserve">On the expenditure side, much of the decreased activity flows from </w:t>
      </w:r>
      <w:r w:rsidR="00513EE1">
        <w:t>a</w:t>
      </w:r>
      <w:r w:rsidRPr="00513EE1">
        <w:t xml:space="preserve"> reduction in consumption. This is complemented by a small decrease in investment due to the fall in the capital stock (</w:t>
      </w:r>
      <w:r w:rsidR="00B843C6">
        <w:t xml:space="preserve">Chart </w:t>
      </w:r>
      <w:r w:rsidR="00B843C6">
        <w:rPr>
          <w:noProof/>
        </w:rPr>
        <w:t>7</w:t>
      </w:r>
      <w:r w:rsidRPr="00513EE1">
        <w:t xml:space="preserve">). Both consumption and investment fall by </w:t>
      </w:r>
      <w:r w:rsidRPr="00BD22BE">
        <w:t>less than one dollar</w:t>
      </w:r>
      <w:r w:rsidRPr="00513EE1">
        <w:t xml:space="preserve"> per dollar of revenue raised</w:t>
      </w:r>
      <w:r w:rsidR="00513EE1">
        <w:t>,</w:t>
      </w:r>
      <w:r w:rsidRPr="00513EE1">
        <w:t xml:space="preserve"> while government spending and net exports are largely unaffected.</w:t>
      </w:r>
      <w:r>
        <w:t xml:space="preserve"> </w:t>
      </w:r>
    </w:p>
    <w:p w14:paraId="29DD69D7" w14:textId="792AAF41" w:rsidR="001D7438" w:rsidRDefault="001D7438" w:rsidP="00E82F3E">
      <w:pPr>
        <w:pStyle w:val="Caption1"/>
      </w:pPr>
      <w:bookmarkStart w:id="18" w:name="_Ref401490393"/>
      <w:r>
        <w:lastRenderedPageBreak/>
        <w:t xml:space="preserve">Chart </w:t>
      </w:r>
      <w:r w:rsidR="00866AD9">
        <w:fldChar w:fldCharType="begin"/>
      </w:r>
      <w:r w:rsidR="00866AD9">
        <w:instrText xml:space="preserve"> SEQ Chart \* ARABIC </w:instrText>
      </w:r>
      <w:r w:rsidR="00866AD9">
        <w:fldChar w:fldCharType="separate"/>
      </w:r>
      <w:r w:rsidR="00AA2137">
        <w:rPr>
          <w:noProof/>
        </w:rPr>
        <w:t>7</w:t>
      </w:r>
      <w:r w:rsidR="00866AD9">
        <w:rPr>
          <w:noProof/>
        </w:rPr>
        <w:fldChar w:fldCharType="end"/>
      </w:r>
      <w:bookmarkEnd w:id="18"/>
      <w:r>
        <w:t>:</w:t>
      </w:r>
      <w:r w:rsidRPr="007B2DBD">
        <w:t xml:space="preserve"> </w:t>
      </w:r>
      <w:r w:rsidR="00E65697">
        <w:t>F</w:t>
      </w:r>
      <w:r w:rsidR="00062F79">
        <w:t>lat l</w:t>
      </w:r>
      <w:r w:rsidR="00C25A41">
        <w:t>abour</w:t>
      </w:r>
      <w:r>
        <w:t xml:space="preserve"> income tax</w:t>
      </w:r>
      <w:r w:rsidR="004C5CFD">
        <w:t xml:space="preserve"> — </w:t>
      </w:r>
      <w:r>
        <w:t xml:space="preserve">Expenditure on </w:t>
      </w:r>
      <w:r w:rsidRPr="008900F0">
        <w:t>GD</w:t>
      </w:r>
      <w:r>
        <w:t>P</w:t>
      </w:r>
      <w:r w:rsidRPr="008900F0">
        <w:t xml:space="preserve"> </w:t>
      </w:r>
      <w:r>
        <w:t>response</w:t>
      </w:r>
    </w:p>
    <w:p w14:paraId="29DD69D8" w14:textId="77A5130C" w:rsidR="001D7438" w:rsidRDefault="00866AD9" w:rsidP="00FD52B5">
      <w:pPr>
        <w:pStyle w:val="Caption1"/>
        <w:rPr>
          <w:noProof/>
        </w:rPr>
      </w:pPr>
      <w:r>
        <w:rPr>
          <w:noProof/>
        </w:rPr>
        <w:pict w14:anchorId="19EE9262">
          <v:shape id="_x0000_i1038" type="#_x0000_t75" alt="This chart shows the price and volume response of the expenditure components of GDP: consumption; investment; government expenditure and net exports; due to a marginal increase in the flat labour income tax rate." style="width:439.15pt;height:226pt">
            <v:imagedata r:id="rId52" o:title=""/>
          </v:shape>
        </w:pict>
      </w:r>
    </w:p>
    <w:p w14:paraId="7134964C" w14:textId="3865B520" w:rsidR="00F74E3C" w:rsidRDefault="00F74E3C" w:rsidP="00FF303A">
      <w:pPr>
        <w:pStyle w:val="Source"/>
        <w:ind w:left="426"/>
      </w:pPr>
      <w:r>
        <w:rPr>
          <w:lang w:val="en-US"/>
        </w:rPr>
        <w:t xml:space="preserve">Source: </w:t>
      </w:r>
      <w:r w:rsidR="00E007CF">
        <w:t>Treasury estimates</w:t>
      </w:r>
      <w:r>
        <w:t>.</w:t>
      </w:r>
    </w:p>
    <w:p w14:paraId="29DD69D9" w14:textId="5E6747F1" w:rsidR="001D7438" w:rsidRDefault="001D7438" w:rsidP="001D7438">
      <w:r w:rsidRPr="00513EE1">
        <w:t xml:space="preserve">Unlike the case of the company income tax, </w:t>
      </w:r>
      <w:r w:rsidR="003444C3" w:rsidRPr="00513EE1">
        <w:t xml:space="preserve">the </w:t>
      </w:r>
      <w:r w:rsidR="003444C3">
        <w:t>flat</w:t>
      </w:r>
      <w:r w:rsidR="00062F79">
        <w:t xml:space="preserve"> </w:t>
      </w:r>
      <w:r w:rsidR="00FE2423">
        <w:t>labour</w:t>
      </w:r>
      <w:r w:rsidR="00E65697" w:rsidRPr="00513EE1">
        <w:t xml:space="preserve"> </w:t>
      </w:r>
      <w:r w:rsidRPr="00513EE1">
        <w:t>income tax rate increase has a relatively small effect on other revenue sources (</w:t>
      </w:r>
      <w:r w:rsidR="00B843C6">
        <w:t xml:space="preserve">Chart </w:t>
      </w:r>
      <w:r w:rsidR="00B843C6">
        <w:rPr>
          <w:noProof/>
        </w:rPr>
        <w:t>8</w:t>
      </w:r>
      <w:r w:rsidRPr="00513EE1">
        <w:t>).</w:t>
      </w:r>
    </w:p>
    <w:p w14:paraId="29DD69DA" w14:textId="02C14D0B" w:rsidR="001D7438" w:rsidRDefault="001D7438" w:rsidP="00E82F3E">
      <w:pPr>
        <w:pStyle w:val="Caption1"/>
      </w:pPr>
      <w:bookmarkStart w:id="19" w:name="_Ref401490405"/>
      <w:r>
        <w:t xml:space="preserve">Chart </w:t>
      </w:r>
      <w:r w:rsidR="00866AD9">
        <w:fldChar w:fldCharType="begin"/>
      </w:r>
      <w:r w:rsidR="00866AD9">
        <w:instrText xml:space="preserve"> SEQ Chart \* ARABIC </w:instrText>
      </w:r>
      <w:r w:rsidR="00866AD9">
        <w:fldChar w:fldCharType="separate"/>
      </w:r>
      <w:r w:rsidR="00AA2137">
        <w:rPr>
          <w:noProof/>
        </w:rPr>
        <w:t>8</w:t>
      </w:r>
      <w:r w:rsidR="00866AD9">
        <w:rPr>
          <w:noProof/>
        </w:rPr>
        <w:fldChar w:fldCharType="end"/>
      </w:r>
      <w:bookmarkEnd w:id="19"/>
      <w:r>
        <w:t xml:space="preserve">: </w:t>
      </w:r>
      <w:r w:rsidR="00FE2423">
        <w:t>F</w:t>
      </w:r>
      <w:r w:rsidR="00062F79">
        <w:t>lat l</w:t>
      </w:r>
      <w:r w:rsidR="00C25A41">
        <w:t>abour</w:t>
      </w:r>
      <w:r>
        <w:t xml:space="preserve"> income tax</w:t>
      </w:r>
      <w:r w:rsidR="004C5CFD">
        <w:t xml:space="preserve"> — </w:t>
      </w:r>
      <w:r w:rsidRPr="00ED721F">
        <w:t xml:space="preserve">Government </w:t>
      </w:r>
      <w:r>
        <w:t>b</w:t>
      </w:r>
      <w:r w:rsidRPr="00ED721F">
        <w:t xml:space="preserve">udget </w:t>
      </w:r>
      <w:r>
        <w:t>response</w:t>
      </w:r>
    </w:p>
    <w:p w14:paraId="29DD69DB" w14:textId="35E17B2A" w:rsidR="001D7438" w:rsidRDefault="00866AD9" w:rsidP="00FD52B5">
      <w:pPr>
        <w:pStyle w:val="Caption1"/>
      </w:pPr>
      <w:r>
        <w:pict w14:anchorId="2CDF5D94">
          <v:shape id="_x0000_i1039" type="#_x0000_t75" alt="This chart shows the effect on the components of the government’s budget of raising one net dollar of additional revenue through raising the flat labour income tax rate." style="width:439.15pt;height:226pt">
            <v:imagedata r:id="rId53" o:title=""/>
          </v:shape>
        </w:pict>
      </w:r>
    </w:p>
    <w:p w14:paraId="0976DD65" w14:textId="74B6209D" w:rsidR="00F74E3C" w:rsidRDefault="00F74E3C" w:rsidP="00FF303A">
      <w:pPr>
        <w:pStyle w:val="Source"/>
        <w:ind w:left="392"/>
      </w:pPr>
      <w:r>
        <w:rPr>
          <w:lang w:val="en-US"/>
        </w:rPr>
        <w:t xml:space="preserve">Source: </w:t>
      </w:r>
      <w:r w:rsidR="00E007CF">
        <w:t>Treasury estimates</w:t>
      </w:r>
      <w:r>
        <w:t>.</w:t>
      </w:r>
    </w:p>
    <w:p w14:paraId="29DD69DC" w14:textId="347D4F6F" w:rsidR="001D7438" w:rsidRDefault="00B87A51" w:rsidP="001D7438">
      <w:pPr>
        <w:pStyle w:val="Heading4"/>
      </w:pPr>
      <w:r>
        <w:t>Marginal e</w:t>
      </w:r>
      <w:r w:rsidR="00333D00">
        <w:t>xcess burden and incidence</w:t>
      </w:r>
    </w:p>
    <w:p w14:paraId="29DD69DD" w14:textId="70C2E545" w:rsidR="001D7438" w:rsidRDefault="001D7438" w:rsidP="001D7438">
      <w:r w:rsidRPr="00513EE1">
        <w:t xml:space="preserve">Household welfare declines as a result of this tax </w:t>
      </w:r>
      <w:r w:rsidR="008B7B03">
        <w:t>increase</w:t>
      </w:r>
      <w:r w:rsidRPr="00513EE1">
        <w:t xml:space="preserve">, with </w:t>
      </w:r>
      <w:r w:rsidRPr="00513EE1">
        <w:rPr>
          <w:lang w:eastAsia="en-AU"/>
        </w:rPr>
        <w:t xml:space="preserve">the marginal excess burden of the </w:t>
      </w:r>
      <w:r w:rsidR="00062F79">
        <w:t xml:space="preserve">flat </w:t>
      </w:r>
      <w:r w:rsidR="00E65697">
        <w:rPr>
          <w:lang w:eastAsia="en-AU"/>
        </w:rPr>
        <w:t>labour</w:t>
      </w:r>
      <w:r w:rsidR="00E65697" w:rsidRPr="00513EE1">
        <w:rPr>
          <w:lang w:eastAsia="en-AU"/>
        </w:rPr>
        <w:t xml:space="preserve"> </w:t>
      </w:r>
      <w:r w:rsidRPr="00513EE1">
        <w:rPr>
          <w:lang w:eastAsia="en-AU"/>
        </w:rPr>
        <w:t xml:space="preserve">income tax equal to </w:t>
      </w:r>
      <w:r w:rsidR="00BD22BE" w:rsidRPr="00BD22BE">
        <w:rPr>
          <w:lang w:eastAsia="en-AU"/>
        </w:rPr>
        <w:t>2</w:t>
      </w:r>
      <w:r w:rsidR="00BD22BE">
        <w:rPr>
          <w:lang w:eastAsia="en-AU"/>
        </w:rPr>
        <w:t>1 </w:t>
      </w:r>
      <w:r w:rsidRPr="00BD22BE">
        <w:rPr>
          <w:lang w:eastAsia="en-AU"/>
        </w:rPr>
        <w:t>cents</w:t>
      </w:r>
      <w:r w:rsidRPr="00513EE1">
        <w:rPr>
          <w:lang w:eastAsia="en-AU"/>
        </w:rPr>
        <w:t xml:space="preserve"> per dollar of</w:t>
      </w:r>
      <w:r w:rsidR="003444C3">
        <w:rPr>
          <w:lang w:eastAsia="en-AU"/>
        </w:rPr>
        <w:t xml:space="preserve"> the</w:t>
      </w:r>
      <w:r w:rsidRPr="00513EE1">
        <w:rPr>
          <w:lang w:eastAsia="en-AU"/>
        </w:rPr>
        <w:t xml:space="preserve"> net revenue raised </w:t>
      </w:r>
      <w:r w:rsidRPr="00513EE1">
        <w:t>(</w:t>
      </w:r>
      <w:r w:rsidR="00B843C6">
        <w:t xml:space="preserve">Chart </w:t>
      </w:r>
      <w:r w:rsidR="00B843C6">
        <w:rPr>
          <w:noProof/>
        </w:rPr>
        <w:t>9</w:t>
      </w:r>
      <w:r w:rsidRPr="00513EE1">
        <w:t xml:space="preserve">). </w:t>
      </w:r>
      <w:r w:rsidR="00333D00">
        <w:t>Again, the incidence is largely borne by workers with t</w:t>
      </w:r>
      <w:r w:rsidRPr="00513EE1">
        <w:t xml:space="preserve">he </w:t>
      </w:r>
      <w:r w:rsidR="00333D00">
        <w:t>welfare loss</w:t>
      </w:r>
      <w:r w:rsidRPr="00513EE1">
        <w:t xml:space="preserve"> </w:t>
      </w:r>
      <w:r w:rsidR="005C57D2">
        <w:t>driven by</w:t>
      </w:r>
      <w:r w:rsidRPr="00513EE1">
        <w:t xml:space="preserve"> the fall in after</w:t>
      </w:r>
      <w:r w:rsidR="00F03697">
        <w:noBreakHyphen/>
      </w:r>
      <w:r w:rsidRPr="00513EE1">
        <w:t>tax labour income</w:t>
      </w:r>
      <w:r w:rsidR="00EA46C6">
        <w:t xml:space="preserve"> as </w:t>
      </w:r>
      <w:r w:rsidR="005C57D2">
        <w:t xml:space="preserve">a result of </w:t>
      </w:r>
      <w:r w:rsidRPr="00513EE1">
        <w:t>the decrease in the after</w:t>
      </w:r>
      <w:r w:rsidR="00F03697">
        <w:noBreakHyphen/>
      </w:r>
      <w:r w:rsidRPr="00513EE1">
        <w:t xml:space="preserve">tax </w:t>
      </w:r>
      <w:r w:rsidR="00333D00">
        <w:t xml:space="preserve">real </w:t>
      </w:r>
      <w:r w:rsidRPr="00513EE1">
        <w:t>wage rate</w:t>
      </w:r>
      <w:r w:rsidR="00EA46C6">
        <w:t>.</w:t>
      </w:r>
      <w:r w:rsidR="00EA46C6" w:rsidRPr="00513EE1">
        <w:t xml:space="preserve"> </w:t>
      </w:r>
      <w:r w:rsidR="00EA46C6">
        <w:t>This</w:t>
      </w:r>
      <w:r w:rsidR="00EA46C6" w:rsidRPr="00513EE1">
        <w:t xml:space="preserve"> </w:t>
      </w:r>
      <w:r w:rsidRPr="00513EE1">
        <w:t>is partially offset by the increased lump</w:t>
      </w:r>
      <w:r w:rsidR="00F03697">
        <w:noBreakHyphen/>
      </w:r>
      <w:r w:rsidRPr="00513EE1">
        <w:t xml:space="preserve">sum transfer from the government to </w:t>
      </w:r>
      <w:r w:rsidR="00333D00">
        <w:t xml:space="preserve">the </w:t>
      </w:r>
      <w:r w:rsidRPr="00513EE1">
        <w:t>household. The effect on after</w:t>
      </w:r>
      <w:r w:rsidR="00F03697">
        <w:noBreakHyphen/>
      </w:r>
      <w:r w:rsidRPr="00513EE1">
        <w:t>tax capital income</w:t>
      </w:r>
      <w:r w:rsidR="00333D00">
        <w:t>, albeit small,</w:t>
      </w:r>
      <w:r w:rsidRPr="00513EE1">
        <w:t xml:space="preserve"> is also negative</w:t>
      </w:r>
      <w:r w:rsidR="005713FD">
        <w:t>,</w:t>
      </w:r>
      <w:r w:rsidRPr="00513EE1">
        <w:t xml:space="preserve"> reflecting lower fixed</w:t>
      </w:r>
      <w:r w:rsidR="008A0E27">
        <w:t xml:space="preserve"> capital</w:t>
      </w:r>
      <w:r w:rsidRPr="00513EE1">
        <w:t xml:space="preserve"> income.</w:t>
      </w:r>
    </w:p>
    <w:p w14:paraId="29DD69DE" w14:textId="12F35E34" w:rsidR="001D7438" w:rsidRDefault="001D7438" w:rsidP="00E82F3E">
      <w:pPr>
        <w:pStyle w:val="Caption1"/>
      </w:pPr>
      <w:bookmarkStart w:id="20" w:name="_Ref401490421"/>
      <w:r>
        <w:lastRenderedPageBreak/>
        <w:t xml:space="preserve">Chart </w:t>
      </w:r>
      <w:r w:rsidR="00866AD9">
        <w:fldChar w:fldCharType="begin"/>
      </w:r>
      <w:r w:rsidR="00866AD9">
        <w:instrText xml:space="preserve"> SEQ Chart \* ARABIC </w:instrText>
      </w:r>
      <w:r w:rsidR="00866AD9">
        <w:fldChar w:fldCharType="separate"/>
      </w:r>
      <w:r w:rsidR="00AA2137">
        <w:rPr>
          <w:noProof/>
        </w:rPr>
        <w:t>9</w:t>
      </w:r>
      <w:r w:rsidR="00866AD9">
        <w:rPr>
          <w:noProof/>
        </w:rPr>
        <w:fldChar w:fldCharType="end"/>
      </w:r>
      <w:bookmarkEnd w:id="20"/>
      <w:r>
        <w:t xml:space="preserve">: </w:t>
      </w:r>
      <w:r w:rsidR="00FE2423">
        <w:t>F</w:t>
      </w:r>
      <w:r w:rsidR="00062F79">
        <w:t>lat l</w:t>
      </w:r>
      <w:r w:rsidR="00C25A41">
        <w:t>abour</w:t>
      </w:r>
      <w:r>
        <w:t xml:space="preserve"> income tax</w:t>
      </w:r>
      <w:r w:rsidR="004C5CFD">
        <w:t xml:space="preserve"> — </w:t>
      </w:r>
      <w:r w:rsidR="004B3D73">
        <w:t>Marginal e</w:t>
      </w:r>
      <w:r>
        <w:t>xcess burden and i</w:t>
      </w:r>
      <w:r w:rsidRPr="006A48CA">
        <w:t>ncidence</w:t>
      </w:r>
    </w:p>
    <w:p w14:paraId="29DD69DF" w14:textId="385F216D" w:rsidR="001D7438" w:rsidRDefault="00866AD9" w:rsidP="00B066B3">
      <w:pPr>
        <w:pStyle w:val="Caption1"/>
      </w:pPr>
      <w:r>
        <w:pict w14:anchorId="578D39FF">
          <v:shape id="_x0000_i1040" type="#_x0000_t75" alt="This chart decomposes the incidence of a marginal increase in the flat labour income tax rate into its effect on labour income and capital income." style="width:439.15pt;height:196.75pt">
            <v:imagedata r:id="rId54" o:title=""/>
          </v:shape>
        </w:pict>
      </w:r>
    </w:p>
    <w:p w14:paraId="301821DE" w14:textId="57F94F77" w:rsidR="00F74E3C" w:rsidRDefault="00F74E3C" w:rsidP="00FF303A">
      <w:pPr>
        <w:pStyle w:val="Source"/>
        <w:ind w:left="378"/>
      </w:pPr>
      <w:r>
        <w:rPr>
          <w:lang w:val="en-US"/>
        </w:rPr>
        <w:t xml:space="preserve">Source: </w:t>
      </w:r>
      <w:r w:rsidR="00E007CF">
        <w:t>Treasury estimates</w:t>
      </w:r>
      <w:r>
        <w:t>.</w:t>
      </w:r>
    </w:p>
    <w:p w14:paraId="29DD69E1" w14:textId="2BC13B90" w:rsidR="001D7438" w:rsidRDefault="001D7438" w:rsidP="00E82F3E">
      <w:pPr>
        <w:pStyle w:val="Caption1"/>
      </w:pPr>
      <w:bookmarkStart w:id="21" w:name="_Ref401490441"/>
      <w:r w:rsidRPr="00D462A8">
        <w:t xml:space="preserve">Chart </w:t>
      </w:r>
      <w:r w:rsidR="00866AD9">
        <w:fldChar w:fldCharType="begin"/>
      </w:r>
      <w:r w:rsidR="00866AD9">
        <w:instrText xml:space="preserve"> SEQ Chart \* ARABIC </w:instrText>
      </w:r>
      <w:r w:rsidR="00866AD9">
        <w:fldChar w:fldCharType="separate"/>
      </w:r>
      <w:r w:rsidR="00AA2137">
        <w:rPr>
          <w:noProof/>
        </w:rPr>
        <w:t>10</w:t>
      </w:r>
      <w:r w:rsidR="00866AD9">
        <w:rPr>
          <w:noProof/>
        </w:rPr>
        <w:fldChar w:fldCharType="end"/>
      </w:r>
      <w:bookmarkEnd w:id="21"/>
      <w:r w:rsidRPr="00D462A8">
        <w:t xml:space="preserve">: </w:t>
      </w:r>
      <w:r w:rsidR="00FE2423" w:rsidRPr="00D462A8">
        <w:t>F</w:t>
      </w:r>
      <w:r w:rsidR="00D62342" w:rsidRPr="00D462A8">
        <w:t>lat l</w:t>
      </w:r>
      <w:r w:rsidR="00C25A41" w:rsidRPr="00D462A8">
        <w:t xml:space="preserve">abour </w:t>
      </w:r>
      <w:r w:rsidRPr="00D462A8">
        <w:t>income tax</w:t>
      </w:r>
      <w:r w:rsidR="004C5CFD">
        <w:t xml:space="preserve"> — </w:t>
      </w:r>
      <w:r w:rsidR="004B3D73">
        <w:t>Marginal e</w:t>
      </w:r>
      <w:r w:rsidRPr="00D462A8">
        <w:t>xcess burden at varying rates</w:t>
      </w:r>
    </w:p>
    <w:p w14:paraId="29DD69E2" w14:textId="36F160BD" w:rsidR="001D7438" w:rsidRDefault="00866AD9" w:rsidP="00B066B3">
      <w:pPr>
        <w:pStyle w:val="Caption1"/>
      </w:pPr>
      <w:r>
        <w:pict w14:anchorId="4101F1C3">
          <v:shape id="_x0000_i1041" type="#_x0000_t75" alt="This chart shows the marginal excess burden of the flat labour income tax at different tax rates. The excess burden of the flat labour income tax increases as the tax rate rises. The chart also indicates the marginal excess burden associated with the model derived estimated average personal income tax rate of 16.7 per cent." style="width:439.15pt;height:199.6pt">
            <v:imagedata r:id="rId55" o:title=""/>
          </v:shape>
        </w:pict>
      </w:r>
    </w:p>
    <w:p w14:paraId="28D801A4" w14:textId="155848B0" w:rsidR="00F74E3C" w:rsidRDefault="00F74E3C" w:rsidP="00FF303A">
      <w:pPr>
        <w:pStyle w:val="Source"/>
        <w:ind w:left="294"/>
      </w:pPr>
      <w:r>
        <w:rPr>
          <w:lang w:val="en-US"/>
        </w:rPr>
        <w:t xml:space="preserve">Source: </w:t>
      </w:r>
      <w:r w:rsidR="00E007CF">
        <w:t>Treasury estimates</w:t>
      </w:r>
      <w:r>
        <w:t>.</w:t>
      </w:r>
    </w:p>
    <w:p w14:paraId="15FB3FBB" w14:textId="0A824279" w:rsidR="0067453B" w:rsidRDefault="00B843C6" w:rsidP="0067453B">
      <w:r w:rsidRPr="00D462A8">
        <w:t xml:space="preserve">Chart </w:t>
      </w:r>
      <w:r>
        <w:rPr>
          <w:noProof/>
        </w:rPr>
        <w:t>10</w:t>
      </w:r>
      <w:r w:rsidR="0067453B" w:rsidRPr="00586ED7">
        <w:t xml:space="preserve"> reports the results of model simulations which </w:t>
      </w:r>
      <w:r w:rsidR="0067453B">
        <w:t>show how</w:t>
      </w:r>
      <w:r w:rsidR="0067453B" w:rsidRPr="00586ED7">
        <w:t xml:space="preserve"> the marginal excess burden of </w:t>
      </w:r>
      <w:r w:rsidR="0067453B">
        <w:t>a flat labour income tax increases</w:t>
      </w:r>
      <w:r w:rsidR="0067453B" w:rsidRPr="00586ED7">
        <w:t xml:space="preserve"> as the rate </w:t>
      </w:r>
      <w:r w:rsidR="0067453B">
        <w:t>rises</w:t>
      </w:r>
      <w:r w:rsidR="0067453B" w:rsidRPr="00586ED7">
        <w:t xml:space="preserve">. </w:t>
      </w:r>
      <w:r w:rsidR="0067453B">
        <w:t xml:space="preserve">The chart also shows that </w:t>
      </w:r>
      <w:r w:rsidR="0067453B" w:rsidRPr="00586ED7">
        <w:t xml:space="preserve">the </w:t>
      </w:r>
      <w:r w:rsidR="0067453B">
        <w:t xml:space="preserve">marginal </w:t>
      </w:r>
      <w:r w:rsidR="0067453B" w:rsidRPr="00586ED7">
        <w:t xml:space="preserve">excess burden does not tend towards zero as the rate goes to zero. This reflects the fact that the </w:t>
      </w:r>
      <w:r w:rsidR="00B87A51">
        <w:t xml:space="preserve">marginal </w:t>
      </w:r>
      <w:r w:rsidR="0067453B" w:rsidRPr="00586ED7">
        <w:t>excess burden of a tax also depends on other taxes in the economy. In particular, the</w:t>
      </w:r>
      <w:r w:rsidR="0067453B">
        <w:t xml:space="preserve"> labour income tax component of the </w:t>
      </w:r>
      <w:r w:rsidR="0067453B" w:rsidRPr="00586ED7">
        <w:t xml:space="preserve">personal income tax </w:t>
      </w:r>
      <w:r w:rsidR="0067453B">
        <w:t xml:space="preserve">system </w:t>
      </w:r>
      <w:r w:rsidR="0067453B" w:rsidRPr="00586ED7">
        <w:t xml:space="preserve">and the GST distort the economy through </w:t>
      </w:r>
      <w:r w:rsidR="0067453B">
        <w:t>changes in the after</w:t>
      </w:r>
      <w:r w:rsidR="00F03697">
        <w:noBreakHyphen/>
      </w:r>
      <w:r w:rsidR="0067453B">
        <w:t>tax real wage, which can be rewritten as an additive labour</w:t>
      </w:r>
      <w:r w:rsidR="00F03697">
        <w:noBreakHyphen/>
      </w:r>
      <w:r w:rsidR="0067453B">
        <w:t>consumption tax:</w:t>
      </w:r>
    </w:p>
    <w:p w14:paraId="62C8A3D3" w14:textId="04D0F3BD" w:rsidR="0067453B" w:rsidRDefault="0067453B" w:rsidP="0067453B">
      <w:pPr>
        <w:pStyle w:val="MTDisplayEquation"/>
      </w:pPr>
      <w:r>
        <w:tab/>
      </w:r>
      <w:r w:rsidR="00F96D4E" w:rsidRPr="008F3CC5">
        <w:rPr>
          <w:position w:val="-30"/>
        </w:rPr>
        <w:object w:dxaOrig="4000" w:dyaOrig="680" w14:anchorId="2BB33B6B">
          <v:shape id="_x0000_i1042" type="#_x0000_t75" alt="This equation notes that the after tax real wage can be approximated by the real wage multiplied by one minus the sum of the tax rate on labour income and the tax rate on consumption." style="width:201.05pt;height:37.05pt" o:ole="">
            <v:imagedata r:id="rId56" o:title=""/>
          </v:shape>
          <o:OLEObject Type="Embed" ProgID="Equation.DSMT4" ShapeID="_x0000_i1042" DrawAspect="Content" ObjectID="_1489908547" r:id="rId57"/>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8</w:instrText>
      </w:r>
      <w:r w:rsidR="00866AD9">
        <w:rPr>
          <w:noProof/>
        </w:rPr>
        <w:fldChar w:fldCharType="end"/>
      </w:r>
      <w:r>
        <w:instrText>)</w:instrText>
      </w:r>
      <w:r>
        <w:fldChar w:fldCharType="end"/>
      </w:r>
    </w:p>
    <w:p w14:paraId="4641CD03" w14:textId="36B54879" w:rsidR="0067453B" w:rsidRDefault="0067453B" w:rsidP="0067453B">
      <w:r>
        <w:t xml:space="preserve">where </w:t>
      </w:r>
      <w:r w:rsidRPr="008F3CC5">
        <w:rPr>
          <w:rFonts w:ascii="Symbol" w:hAnsi="Symbol"/>
        </w:rPr>
        <w:t></w:t>
      </w:r>
      <w:r>
        <w:rPr>
          <w:vertAlign w:val="subscript"/>
        </w:rPr>
        <w:t>NC</w:t>
      </w:r>
      <w:r>
        <w:t xml:space="preserve"> = </w:t>
      </w:r>
      <w:r w:rsidRPr="008F3CC5">
        <w:rPr>
          <w:rFonts w:ascii="Symbol" w:hAnsi="Symbol"/>
        </w:rPr>
        <w:t></w:t>
      </w:r>
      <w:r w:rsidRPr="008F3CC5">
        <w:rPr>
          <w:vertAlign w:val="subscript"/>
        </w:rPr>
        <w:t>N</w:t>
      </w:r>
      <w:r>
        <w:t xml:space="preserve"> + </w:t>
      </w:r>
      <w:r w:rsidRPr="008F3CC5">
        <w:rPr>
          <w:rFonts w:ascii="Symbol" w:hAnsi="Symbol"/>
        </w:rPr>
        <w:t></w:t>
      </w:r>
      <w:r>
        <w:rPr>
          <w:vertAlign w:val="subscript"/>
        </w:rPr>
        <w:t>C</w:t>
      </w:r>
      <w:r>
        <w:t>.</w:t>
      </w:r>
    </w:p>
    <w:p w14:paraId="5215DC5A" w14:textId="6A653BDF" w:rsidR="0067453B" w:rsidRPr="004B64F6" w:rsidRDefault="0067453B" w:rsidP="00F74E3C">
      <w:r w:rsidRPr="004B64F6">
        <w:t xml:space="preserve">This suggests that the </w:t>
      </w:r>
      <w:r w:rsidR="00B87A51" w:rsidRPr="004B64F6">
        <w:t xml:space="preserve">marginal </w:t>
      </w:r>
      <w:r w:rsidRPr="004B64F6">
        <w:t xml:space="preserve">excess burdens of the labour income tax and the GST are broadly additive: as the rate of the flat labour income tax goes to zero, the ongoing presence of the GST means that the </w:t>
      </w:r>
      <w:r w:rsidR="00B87A51" w:rsidRPr="004B64F6">
        <w:t xml:space="preserve">marginal </w:t>
      </w:r>
      <w:r w:rsidRPr="004B64F6">
        <w:t xml:space="preserve">excess burden of the flat labour income tax tends to </w:t>
      </w:r>
      <w:r w:rsidR="00AF3A6E" w:rsidRPr="004B64F6">
        <w:t xml:space="preserve">8 cents, which is approximately </w:t>
      </w:r>
      <w:r w:rsidR="00AF3A6E" w:rsidRPr="004B64F6">
        <w:lastRenderedPageBreak/>
        <w:t xml:space="preserve">equal to the change in the </w:t>
      </w:r>
      <w:r w:rsidRPr="004B64F6">
        <w:t xml:space="preserve">marginal excess burden </w:t>
      </w:r>
      <w:r w:rsidR="00AF3A6E" w:rsidRPr="004B64F6">
        <w:t>of the</w:t>
      </w:r>
      <w:r w:rsidRPr="004B64F6">
        <w:t xml:space="preserve"> GST</w:t>
      </w:r>
      <w:r w:rsidR="00AF3A6E" w:rsidRPr="004B64F6">
        <w:t xml:space="preserve"> </w:t>
      </w:r>
      <w:r w:rsidR="00713AE6" w:rsidRPr="004B64F6">
        <w:t xml:space="preserve">from reducing </w:t>
      </w:r>
      <w:r w:rsidR="009633B5" w:rsidRPr="004B64F6">
        <w:t>the GST rate</w:t>
      </w:r>
      <w:r w:rsidR="00AF3A6E" w:rsidRPr="004B64F6">
        <w:t xml:space="preserve"> from 10</w:t>
      </w:r>
      <w:r w:rsidR="009A54B7" w:rsidRPr="004B64F6">
        <w:t> </w:t>
      </w:r>
      <w:r w:rsidR="00AF3A6E" w:rsidRPr="004B64F6">
        <w:t>per</w:t>
      </w:r>
      <w:r w:rsidR="009A54B7" w:rsidRPr="004B64F6">
        <w:t> </w:t>
      </w:r>
      <w:r w:rsidR="00AF3A6E" w:rsidRPr="004B64F6">
        <w:t>cent to</w:t>
      </w:r>
      <w:r w:rsidR="004A2499" w:rsidRPr="004B64F6">
        <w:t xml:space="preserve"> </w:t>
      </w:r>
      <w:r w:rsidR="00AF3A6E" w:rsidRPr="004B64F6">
        <w:t xml:space="preserve">slightly above zero </w:t>
      </w:r>
      <w:r w:rsidR="004A2499" w:rsidRPr="004B64F6">
        <w:t xml:space="preserve">(see </w:t>
      </w:r>
      <w:r w:rsidR="004A2499" w:rsidRPr="004B64F6">
        <w:fldChar w:fldCharType="begin"/>
      </w:r>
      <w:r w:rsidR="004A2499" w:rsidRPr="004B64F6">
        <w:instrText xml:space="preserve"> REF _Ref399151276 \h </w:instrText>
      </w:r>
      <w:r w:rsidR="007F7C24" w:rsidRPr="004B64F6">
        <w:instrText xml:space="preserve"> \* MERGEFORMAT </w:instrText>
      </w:r>
      <w:r w:rsidR="004A2499" w:rsidRPr="004B64F6">
        <w:fldChar w:fldCharType="separate"/>
      </w:r>
      <w:r w:rsidR="00AA2137" w:rsidRPr="002C7E1C">
        <w:t xml:space="preserve">Chart </w:t>
      </w:r>
      <w:r w:rsidR="00AA2137">
        <w:rPr>
          <w:noProof/>
        </w:rPr>
        <w:t>20</w:t>
      </w:r>
      <w:r w:rsidR="004A2499" w:rsidRPr="004B64F6">
        <w:fldChar w:fldCharType="end"/>
      </w:r>
      <w:r w:rsidR="004A2499" w:rsidRPr="004B64F6">
        <w:t xml:space="preserve"> below)</w:t>
      </w:r>
      <w:r w:rsidRPr="004B64F6">
        <w:t>.</w:t>
      </w:r>
    </w:p>
    <w:p w14:paraId="29DD69E3" w14:textId="77777777" w:rsidR="008C23BD" w:rsidRDefault="008C23BD" w:rsidP="008C23BD">
      <w:pPr>
        <w:pStyle w:val="Heading3"/>
      </w:pPr>
      <w:r>
        <w:t>Results</w:t>
      </w:r>
      <w:r w:rsidR="001D7438">
        <w:t xml:space="preserve"> </w:t>
      </w:r>
      <w:r w:rsidR="00B360D3">
        <w:t xml:space="preserve">for </w:t>
      </w:r>
      <w:r w:rsidR="00D94C11">
        <w:t xml:space="preserve">the </w:t>
      </w:r>
      <w:r w:rsidR="00FE2423">
        <w:t>f</w:t>
      </w:r>
      <w:r w:rsidR="00D62342">
        <w:t xml:space="preserve">lat </w:t>
      </w:r>
      <w:r w:rsidR="00B360D3">
        <w:t>p</w:t>
      </w:r>
      <w:r w:rsidR="00C25A41">
        <w:t>ersonal income tax</w:t>
      </w:r>
    </w:p>
    <w:p w14:paraId="29DD69E4" w14:textId="77777777" w:rsidR="00C71A1D" w:rsidRDefault="003A2F01" w:rsidP="00DC5E8B">
      <w:r>
        <w:t xml:space="preserve">We analyse the </w:t>
      </w:r>
      <w:r w:rsidR="008B5DB7">
        <w:t xml:space="preserve">marginal </w:t>
      </w:r>
      <w:r>
        <w:t xml:space="preserve">excess burden and incidence of the </w:t>
      </w:r>
      <w:r w:rsidR="00D62342">
        <w:t xml:space="preserve">flat </w:t>
      </w:r>
      <w:r w:rsidR="00E76197">
        <w:t>personal</w:t>
      </w:r>
      <w:r w:rsidR="00C71A1D">
        <w:t xml:space="preserve"> income tax by modelling a marginal increase in the effective </w:t>
      </w:r>
      <w:r w:rsidR="00E76197">
        <w:t>personal</w:t>
      </w:r>
      <w:r w:rsidR="00C71A1D">
        <w:t xml:space="preserve"> income tax</w:t>
      </w:r>
      <w:r w:rsidR="00D94C11">
        <w:t xml:space="preserve"> rate on both labour and capital income</w:t>
      </w:r>
      <w:r w:rsidR="00C71A1D">
        <w:t xml:space="preserve"> sufficient to raise one dollar of </w:t>
      </w:r>
      <w:r w:rsidR="005713FD">
        <w:t xml:space="preserve">net </w:t>
      </w:r>
      <w:r w:rsidR="00C71A1D">
        <w:t>revenue from all taxes.</w:t>
      </w:r>
    </w:p>
    <w:p w14:paraId="29DD69E5" w14:textId="77777777" w:rsidR="006D13FA" w:rsidRDefault="006D13FA" w:rsidP="006D13FA">
      <w:pPr>
        <w:pStyle w:val="Heading4"/>
      </w:pPr>
      <w:r>
        <w:t>Activity</w:t>
      </w:r>
    </w:p>
    <w:p w14:paraId="29DD69E6" w14:textId="33251908" w:rsidR="008C23BD" w:rsidRDefault="00B843C6" w:rsidP="00DC5E8B">
      <w:r>
        <w:t xml:space="preserve">Chart </w:t>
      </w:r>
      <w:r>
        <w:rPr>
          <w:noProof/>
        </w:rPr>
        <w:t>11</w:t>
      </w:r>
      <w:r w:rsidR="00C71A1D">
        <w:t xml:space="preserve"> reveals that </w:t>
      </w:r>
      <w:r w:rsidR="008C23BD">
        <w:t>the long</w:t>
      </w:r>
      <w:r w:rsidR="00F03697">
        <w:noBreakHyphen/>
      </w:r>
      <w:r w:rsidR="008C23BD">
        <w:t>run</w:t>
      </w:r>
      <w:r w:rsidR="00B12140">
        <w:t xml:space="preserve"> </w:t>
      </w:r>
      <w:r w:rsidR="000F111B">
        <w:t xml:space="preserve">effect </w:t>
      </w:r>
      <w:r w:rsidR="00B12140">
        <w:t xml:space="preserve">of </w:t>
      </w:r>
      <w:r w:rsidR="008C23BD">
        <w:t xml:space="preserve">raising the </w:t>
      </w:r>
      <w:r w:rsidR="00D62342">
        <w:t xml:space="preserve">flat </w:t>
      </w:r>
      <w:r w:rsidR="00E76197">
        <w:t>personal</w:t>
      </w:r>
      <w:r w:rsidR="008C23BD">
        <w:t xml:space="preserve"> income tax rate </w:t>
      </w:r>
      <w:r w:rsidR="00C71A1D">
        <w:t xml:space="preserve">on factor income </w:t>
      </w:r>
      <w:r w:rsidR="00B12140">
        <w:t xml:space="preserve">is </w:t>
      </w:r>
      <w:r w:rsidR="00D94C11">
        <w:t xml:space="preserve">slightly smaller than </w:t>
      </w:r>
      <w:r w:rsidR="005713FD">
        <w:t xml:space="preserve">that from </w:t>
      </w:r>
      <w:r w:rsidR="00D94C11">
        <w:t xml:space="preserve">the change to </w:t>
      </w:r>
      <w:r w:rsidR="008C23BD">
        <w:t xml:space="preserve">the </w:t>
      </w:r>
      <w:r w:rsidR="00D94C11">
        <w:t>labour</w:t>
      </w:r>
      <w:r w:rsidR="008C23BD">
        <w:t xml:space="preserve"> income tax rate</w:t>
      </w:r>
      <w:r w:rsidR="00D94C11">
        <w:t xml:space="preserve"> component</w:t>
      </w:r>
      <w:r w:rsidR="008C23BD">
        <w:t xml:space="preserve">. </w:t>
      </w:r>
    </w:p>
    <w:p w14:paraId="29DD69E7" w14:textId="19E181D8" w:rsidR="007B2DBD" w:rsidRDefault="007B2DBD" w:rsidP="00E82F3E">
      <w:pPr>
        <w:pStyle w:val="Caption1"/>
      </w:pPr>
      <w:bookmarkStart w:id="22" w:name="_Ref398459929"/>
      <w:r>
        <w:t xml:space="preserve">Chart </w:t>
      </w:r>
      <w:r w:rsidR="00866AD9">
        <w:fldChar w:fldCharType="begin"/>
      </w:r>
      <w:r w:rsidR="00866AD9">
        <w:instrText xml:space="preserve"> SEQ Chart \* ARABIC </w:instrText>
      </w:r>
      <w:r w:rsidR="00866AD9">
        <w:fldChar w:fldCharType="separate"/>
      </w:r>
      <w:r w:rsidR="00AA2137">
        <w:rPr>
          <w:noProof/>
        </w:rPr>
        <w:t>11</w:t>
      </w:r>
      <w:r w:rsidR="00866AD9">
        <w:rPr>
          <w:noProof/>
        </w:rPr>
        <w:fldChar w:fldCharType="end"/>
      </w:r>
      <w:bookmarkEnd w:id="22"/>
      <w:r>
        <w:t xml:space="preserve">: </w:t>
      </w:r>
      <w:r w:rsidR="00FE2423">
        <w:t>F</w:t>
      </w:r>
      <w:r w:rsidR="00D62342">
        <w:t>lat p</w:t>
      </w:r>
      <w:r w:rsidR="00E76197">
        <w:t>ersonal</w:t>
      </w:r>
      <w:r>
        <w:t xml:space="preserve"> income tax</w:t>
      </w:r>
      <w:r w:rsidR="004C5CFD">
        <w:t xml:space="preserve"> — </w:t>
      </w:r>
      <w:r>
        <w:t>Income from GDP response</w:t>
      </w:r>
    </w:p>
    <w:p w14:paraId="29DD69E8" w14:textId="25687CA5" w:rsidR="008C23BD" w:rsidRDefault="00866AD9" w:rsidP="00FD52B5">
      <w:pPr>
        <w:pStyle w:val="Caption1"/>
      </w:pPr>
      <w:r>
        <w:pict w14:anchorId="724F7368">
          <v:shape id="_x0000_i1043" type="#_x0000_t75" alt="This chart shows the price and volume response of the income components of GDP: capital income; labour income and indirect taxes; due to a marginal increase in the personal income tax rate." style="width:434.85pt;height:226pt">
            <v:imagedata r:id="rId58" o:title=""/>
          </v:shape>
        </w:pict>
      </w:r>
    </w:p>
    <w:p w14:paraId="01C3A8B4" w14:textId="708FD586" w:rsidR="00F74E3C" w:rsidRDefault="00F74E3C" w:rsidP="00FF303A">
      <w:pPr>
        <w:pStyle w:val="Source"/>
        <w:ind w:left="476"/>
      </w:pPr>
      <w:r>
        <w:rPr>
          <w:lang w:val="en-US"/>
        </w:rPr>
        <w:t xml:space="preserve">Source: </w:t>
      </w:r>
      <w:r w:rsidR="00E007CF">
        <w:t>Treasury estimates</w:t>
      </w:r>
      <w:r>
        <w:t>.</w:t>
      </w:r>
    </w:p>
    <w:p w14:paraId="29DD69E9" w14:textId="12A764F0" w:rsidR="008C23BD" w:rsidRPr="00F80047" w:rsidRDefault="008C23BD" w:rsidP="00F80047">
      <w:r w:rsidRPr="00F80047">
        <w:t>On the expenditure side</w:t>
      </w:r>
      <w:r w:rsidR="00C71A1D" w:rsidRPr="00F80047">
        <w:t>,</w:t>
      </w:r>
      <w:r w:rsidRPr="00F80047">
        <w:t xml:space="preserve"> </w:t>
      </w:r>
      <w:r w:rsidR="00B843C6" w:rsidRPr="00F80047">
        <w:t>Chart 12</w:t>
      </w:r>
      <w:r w:rsidR="004E0E41" w:rsidRPr="00F80047">
        <w:t xml:space="preserve"> reveals slight</w:t>
      </w:r>
      <w:r w:rsidR="008F12A0" w:rsidRPr="00F80047">
        <w:t>ly</w:t>
      </w:r>
      <w:r w:rsidR="004E0E41" w:rsidRPr="00F80047">
        <w:t xml:space="preserve"> smaller responses when compared with the </w:t>
      </w:r>
      <w:r w:rsidR="00D62342" w:rsidRPr="00F80047">
        <w:t xml:space="preserve">flat </w:t>
      </w:r>
      <w:r w:rsidR="004E0E41" w:rsidRPr="00F80047">
        <w:t>labour income component tax change.</w:t>
      </w:r>
    </w:p>
    <w:p w14:paraId="29DD69EA" w14:textId="3AF6ADD7" w:rsidR="007B2DBD" w:rsidRDefault="007B2DBD" w:rsidP="00E82F3E">
      <w:pPr>
        <w:pStyle w:val="Caption1"/>
      </w:pPr>
      <w:bookmarkStart w:id="23" w:name="_Ref398459944"/>
      <w:r>
        <w:lastRenderedPageBreak/>
        <w:t xml:space="preserve">Chart </w:t>
      </w:r>
      <w:r w:rsidR="00866AD9">
        <w:fldChar w:fldCharType="begin"/>
      </w:r>
      <w:r w:rsidR="00866AD9">
        <w:instrText xml:space="preserve"> SEQ Chart \* ARABIC </w:instrText>
      </w:r>
      <w:r w:rsidR="00866AD9">
        <w:fldChar w:fldCharType="separate"/>
      </w:r>
      <w:r w:rsidR="00AA2137">
        <w:rPr>
          <w:noProof/>
        </w:rPr>
        <w:t>12</w:t>
      </w:r>
      <w:r w:rsidR="00866AD9">
        <w:rPr>
          <w:noProof/>
        </w:rPr>
        <w:fldChar w:fldCharType="end"/>
      </w:r>
      <w:bookmarkEnd w:id="23"/>
      <w:r>
        <w:t>:</w:t>
      </w:r>
      <w:r w:rsidRPr="007B2DBD">
        <w:t xml:space="preserve"> </w:t>
      </w:r>
      <w:r w:rsidR="00FE2423">
        <w:t>F</w:t>
      </w:r>
      <w:r w:rsidR="00D62342">
        <w:t xml:space="preserve">lat personal </w:t>
      </w:r>
      <w:r>
        <w:t>income tax</w:t>
      </w:r>
      <w:r w:rsidR="004C5CFD">
        <w:t xml:space="preserve"> — </w:t>
      </w:r>
      <w:r>
        <w:t xml:space="preserve">Expenditure on </w:t>
      </w:r>
      <w:r w:rsidRPr="008900F0">
        <w:t>GD</w:t>
      </w:r>
      <w:r w:rsidR="002F419C">
        <w:t>P</w:t>
      </w:r>
      <w:r w:rsidRPr="008900F0">
        <w:t xml:space="preserve"> </w:t>
      </w:r>
      <w:r>
        <w:t>response</w:t>
      </w:r>
    </w:p>
    <w:p w14:paraId="29DD69EB" w14:textId="599EE5ED" w:rsidR="008C23BD" w:rsidRDefault="00866AD9" w:rsidP="00FD52B5">
      <w:pPr>
        <w:pStyle w:val="Caption1"/>
        <w:rPr>
          <w:noProof/>
        </w:rPr>
      </w:pPr>
      <w:r>
        <w:rPr>
          <w:noProof/>
        </w:rPr>
        <w:pict w14:anchorId="11CB91B5">
          <v:shape id="_x0000_i1044" type="#_x0000_t75" alt="This chart shows the price and volume response of the expenditure components of GDP: consumption; investment; government expenditure and net exports; due to a marginal increase in the flat personal income tax rate." style="width:435.55pt;height:226pt">
            <v:imagedata r:id="rId59" o:title=""/>
          </v:shape>
        </w:pict>
      </w:r>
    </w:p>
    <w:p w14:paraId="4A2BB6BD" w14:textId="5BC1AC31" w:rsidR="00F74E3C" w:rsidRDefault="00F74E3C" w:rsidP="00FF303A">
      <w:pPr>
        <w:pStyle w:val="Source"/>
        <w:ind w:left="490"/>
      </w:pPr>
      <w:r>
        <w:rPr>
          <w:lang w:val="en-US"/>
        </w:rPr>
        <w:t xml:space="preserve">Source: </w:t>
      </w:r>
      <w:r w:rsidR="00E007CF">
        <w:t>Treasury estimates</w:t>
      </w:r>
      <w:r>
        <w:t>.</w:t>
      </w:r>
    </w:p>
    <w:p w14:paraId="29DD69EC" w14:textId="149C9F92" w:rsidR="008C23BD" w:rsidRDefault="004E0E41" w:rsidP="0037543F">
      <w:r>
        <w:t>Similarly, an increase to</w:t>
      </w:r>
      <w:r w:rsidR="00D62342">
        <w:t xml:space="preserve"> </w:t>
      </w:r>
      <w:r w:rsidR="00FE2423">
        <w:t>the</w:t>
      </w:r>
      <w:r w:rsidR="00D62342">
        <w:t xml:space="preserve"> flat</w:t>
      </w:r>
      <w:r>
        <w:t xml:space="preserve"> </w:t>
      </w:r>
      <w:r w:rsidR="0013494F">
        <w:t>personal</w:t>
      </w:r>
      <w:r w:rsidR="008C23BD" w:rsidRPr="00E62E59">
        <w:t xml:space="preserve"> income tax rate </w:t>
      </w:r>
      <w:r>
        <w:t>applied to both labour and capital income</w:t>
      </w:r>
      <w:r w:rsidR="008C23BD" w:rsidRPr="00E62E59">
        <w:t xml:space="preserve"> has </w:t>
      </w:r>
      <w:r w:rsidR="006D13FA">
        <w:t xml:space="preserve">a </w:t>
      </w:r>
      <w:r w:rsidR="00E62E59">
        <w:t xml:space="preserve">relatively small </w:t>
      </w:r>
      <w:r w:rsidR="00B169C4" w:rsidRPr="00E62E59">
        <w:t>effect</w:t>
      </w:r>
      <w:r w:rsidR="008C23BD" w:rsidRPr="00E62E59">
        <w:t xml:space="preserve"> on other revenue sources</w:t>
      </w:r>
      <w:r w:rsidR="00E62E59">
        <w:t xml:space="preserve"> </w:t>
      </w:r>
      <w:r w:rsidR="00E62E59" w:rsidRPr="00E62E59">
        <w:t>(</w:t>
      </w:r>
      <w:r w:rsidR="00B843C6">
        <w:t xml:space="preserve">Chart </w:t>
      </w:r>
      <w:r w:rsidR="00B843C6">
        <w:rPr>
          <w:noProof/>
        </w:rPr>
        <w:t>13</w:t>
      </w:r>
      <w:r w:rsidR="00E62E59" w:rsidRPr="00E62E59">
        <w:t>)</w:t>
      </w:r>
      <w:r w:rsidR="006D13FA">
        <w:t>.</w:t>
      </w:r>
    </w:p>
    <w:p w14:paraId="29DD69ED" w14:textId="291B04F7" w:rsidR="007B2DBD" w:rsidRDefault="007B2DBD" w:rsidP="00E82F3E">
      <w:pPr>
        <w:pStyle w:val="Caption1"/>
      </w:pPr>
      <w:bookmarkStart w:id="24" w:name="_Ref398459971"/>
      <w:r>
        <w:t xml:space="preserve">Chart </w:t>
      </w:r>
      <w:r w:rsidR="00866AD9">
        <w:fldChar w:fldCharType="begin"/>
      </w:r>
      <w:r w:rsidR="00866AD9">
        <w:instrText xml:space="preserve"> SEQ Chart \* ARABIC </w:instrText>
      </w:r>
      <w:r w:rsidR="00866AD9">
        <w:fldChar w:fldCharType="separate"/>
      </w:r>
      <w:r w:rsidR="00AA2137">
        <w:rPr>
          <w:noProof/>
        </w:rPr>
        <w:t>13</w:t>
      </w:r>
      <w:r w:rsidR="00866AD9">
        <w:rPr>
          <w:noProof/>
        </w:rPr>
        <w:fldChar w:fldCharType="end"/>
      </w:r>
      <w:bookmarkEnd w:id="24"/>
      <w:r>
        <w:t xml:space="preserve">: </w:t>
      </w:r>
      <w:r w:rsidR="00FE2423">
        <w:t>F</w:t>
      </w:r>
      <w:r w:rsidR="00D62342">
        <w:t xml:space="preserve">lat personal </w:t>
      </w:r>
      <w:r>
        <w:t>income tax</w:t>
      </w:r>
      <w:r w:rsidR="004C5CFD">
        <w:t xml:space="preserve"> — </w:t>
      </w:r>
      <w:r w:rsidRPr="00ED721F">
        <w:t xml:space="preserve">Government </w:t>
      </w:r>
      <w:r>
        <w:t>b</w:t>
      </w:r>
      <w:r w:rsidRPr="00ED721F">
        <w:t xml:space="preserve">udget </w:t>
      </w:r>
      <w:r>
        <w:t>response</w:t>
      </w:r>
    </w:p>
    <w:p w14:paraId="29DD69EE" w14:textId="3C2E7296" w:rsidR="008C23BD" w:rsidRDefault="00866AD9" w:rsidP="00FD52B5">
      <w:pPr>
        <w:pStyle w:val="Caption1"/>
      </w:pPr>
      <w:r>
        <w:pict w14:anchorId="540E492C">
          <v:shape id="_x0000_i1045" type="#_x0000_t75" alt="This chart shows the impact on the components of the government’s budget of raising one net dollar of additional revenue through raising the flat personal income tax rate." style="width:439.15pt;height:226pt">
            <v:imagedata r:id="rId60" o:title=""/>
          </v:shape>
        </w:pict>
      </w:r>
    </w:p>
    <w:p w14:paraId="0A0E5718" w14:textId="4D8ACA34" w:rsidR="00F74E3C" w:rsidRDefault="00F74E3C" w:rsidP="00FF303A">
      <w:pPr>
        <w:pStyle w:val="Source"/>
        <w:ind w:left="392"/>
      </w:pPr>
      <w:r>
        <w:rPr>
          <w:lang w:val="en-US"/>
        </w:rPr>
        <w:t xml:space="preserve">Source: </w:t>
      </w:r>
      <w:r w:rsidR="00E007CF">
        <w:t>Treasury estimates</w:t>
      </w:r>
      <w:r>
        <w:t>.</w:t>
      </w:r>
    </w:p>
    <w:p w14:paraId="29DD69EF" w14:textId="17F5991C" w:rsidR="006D13FA" w:rsidRDefault="00B87A51" w:rsidP="006D13FA">
      <w:pPr>
        <w:pStyle w:val="Heading4"/>
      </w:pPr>
      <w:r>
        <w:t>Marginal e</w:t>
      </w:r>
      <w:r w:rsidR="00333D00">
        <w:t>xcess burden and incidence</w:t>
      </w:r>
    </w:p>
    <w:p w14:paraId="29DD69F0" w14:textId="360D6635" w:rsidR="008C23BD" w:rsidRDefault="00B12140" w:rsidP="00512688">
      <w:r>
        <w:t xml:space="preserve">Household welfare declines as a result of this tax </w:t>
      </w:r>
      <w:r w:rsidR="005713FD">
        <w:t>increase</w:t>
      </w:r>
      <w:r w:rsidR="003912AC">
        <w:t xml:space="preserve">, with </w:t>
      </w:r>
      <w:r w:rsidR="003912AC">
        <w:rPr>
          <w:lang w:eastAsia="en-AU"/>
        </w:rPr>
        <w:t xml:space="preserve">the marginal excess burden of the </w:t>
      </w:r>
      <w:r w:rsidR="00D62342">
        <w:rPr>
          <w:lang w:eastAsia="en-AU"/>
        </w:rPr>
        <w:t xml:space="preserve">flat </w:t>
      </w:r>
      <w:r w:rsidR="00CA644A">
        <w:rPr>
          <w:lang w:eastAsia="en-AU"/>
        </w:rPr>
        <w:t>personal</w:t>
      </w:r>
      <w:r w:rsidR="003912AC">
        <w:rPr>
          <w:lang w:eastAsia="en-AU"/>
        </w:rPr>
        <w:t xml:space="preserve"> income tax equal to </w:t>
      </w:r>
      <w:r w:rsidR="00D77F69" w:rsidRPr="00BD22BE">
        <w:rPr>
          <w:lang w:eastAsia="en-AU"/>
        </w:rPr>
        <w:t>16</w:t>
      </w:r>
      <w:r w:rsidR="003912AC" w:rsidRPr="00BD22BE">
        <w:rPr>
          <w:lang w:eastAsia="en-AU"/>
        </w:rPr>
        <w:t xml:space="preserve"> </w:t>
      </w:r>
      <w:r w:rsidR="0039255A" w:rsidRPr="00BD22BE">
        <w:rPr>
          <w:lang w:eastAsia="en-AU"/>
        </w:rPr>
        <w:t xml:space="preserve">cents </w:t>
      </w:r>
      <w:r w:rsidR="003912AC" w:rsidRPr="00BD22BE">
        <w:rPr>
          <w:lang w:eastAsia="en-AU"/>
        </w:rPr>
        <w:t>per dollar of net revenue</w:t>
      </w:r>
      <w:r w:rsidR="003912AC">
        <w:rPr>
          <w:lang w:eastAsia="en-AU"/>
        </w:rPr>
        <w:t xml:space="preserve"> raised</w:t>
      </w:r>
      <w:r w:rsidR="0067453B">
        <w:rPr>
          <w:lang w:eastAsia="en-AU"/>
        </w:rPr>
        <w:t xml:space="preserve">. This </w:t>
      </w:r>
      <w:r w:rsidR="004E0E41">
        <w:rPr>
          <w:lang w:eastAsia="en-AU"/>
        </w:rPr>
        <w:t xml:space="preserve">is </w:t>
      </w:r>
      <w:r w:rsidR="00BD22BE">
        <w:rPr>
          <w:lang w:eastAsia="en-AU"/>
        </w:rPr>
        <w:t>5 </w:t>
      </w:r>
      <w:r w:rsidR="004E0E41" w:rsidRPr="00BD22BE">
        <w:rPr>
          <w:lang w:eastAsia="en-AU"/>
        </w:rPr>
        <w:t>cents</w:t>
      </w:r>
      <w:r w:rsidR="004E0E41">
        <w:rPr>
          <w:lang w:eastAsia="en-AU"/>
        </w:rPr>
        <w:t xml:space="preserve"> per dollar of revenue raised lower than the </w:t>
      </w:r>
      <w:r w:rsidR="00D62342">
        <w:rPr>
          <w:lang w:eastAsia="en-AU"/>
        </w:rPr>
        <w:t xml:space="preserve">flat </w:t>
      </w:r>
      <w:r w:rsidR="004E0E41">
        <w:rPr>
          <w:lang w:eastAsia="en-AU"/>
        </w:rPr>
        <w:t xml:space="preserve">labour income tax scenario </w:t>
      </w:r>
      <w:r w:rsidR="003912AC">
        <w:t>(</w:t>
      </w:r>
      <w:r w:rsidR="00B843C6">
        <w:t xml:space="preserve">Chart </w:t>
      </w:r>
      <w:r w:rsidR="00B843C6">
        <w:rPr>
          <w:noProof/>
        </w:rPr>
        <w:t>14</w:t>
      </w:r>
      <w:r w:rsidR="003912AC">
        <w:t>)</w:t>
      </w:r>
      <w:r w:rsidR="004E0E41">
        <w:t xml:space="preserve">. </w:t>
      </w:r>
      <w:r w:rsidR="005F5177" w:rsidRPr="005F5177">
        <w:t xml:space="preserve">This is due to </w:t>
      </w:r>
      <w:r w:rsidR="005F5177">
        <w:t>two critical assumptions in the model</w:t>
      </w:r>
      <w:r w:rsidR="009D3D52">
        <w:t>:</w:t>
      </w:r>
      <w:r w:rsidR="005F5177">
        <w:t xml:space="preserve"> </w:t>
      </w:r>
      <w:r w:rsidR="005F5177" w:rsidRPr="005F5177">
        <w:t>the after</w:t>
      </w:r>
      <w:r w:rsidR="00F03697">
        <w:noBreakHyphen/>
      </w:r>
      <w:r w:rsidR="005F5177" w:rsidRPr="005F5177">
        <w:t xml:space="preserve">tax rate of return on capital </w:t>
      </w:r>
      <w:r w:rsidR="005F5177">
        <w:t>is equal to the global rate of return, which implies the before</w:t>
      </w:r>
      <w:r w:rsidR="00F03697">
        <w:noBreakHyphen/>
      </w:r>
      <w:r w:rsidR="005F5177">
        <w:t>tax return on domestic capital is invariant to changes in the personal income tax system</w:t>
      </w:r>
      <w:r w:rsidR="009D3D52">
        <w:t>; and</w:t>
      </w:r>
      <w:r w:rsidR="005F5177">
        <w:t xml:space="preserve"> </w:t>
      </w:r>
      <w:r w:rsidR="005F5177" w:rsidRPr="005F5177">
        <w:t xml:space="preserve">the fixed domestic </w:t>
      </w:r>
      <w:r w:rsidR="00B179B3">
        <w:t>capital stock assumption</w:t>
      </w:r>
      <w:r w:rsidR="005F5177">
        <w:t xml:space="preserve">. Together these </w:t>
      </w:r>
      <w:r w:rsidR="009D3D52">
        <w:t>assumptions</w:t>
      </w:r>
      <w:r w:rsidR="009D3D52" w:rsidRPr="005F5177">
        <w:t xml:space="preserve"> </w:t>
      </w:r>
      <w:r w:rsidR="005F5177">
        <w:t>imply</w:t>
      </w:r>
      <w:r w:rsidR="008D49D4">
        <w:t xml:space="preserve"> that</w:t>
      </w:r>
      <w:r w:rsidR="005F5177" w:rsidRPr="005F5177">
        <w:t xml:space="preserve"> </w:t>
      </w:r>
      <w:r w:rsidR="005F5177">
        <w:t>before</w:t>
      </w:r>
      <w:r w:rsidR="00F03697">
        <w:noBreakHyphen/>
      </w:r>
      <w:r w:rsidR="005F5177">
        <w:t xml:space="preserve">tax domestic </w:t>
      </w:r>
      <w:r w:rsidR="005F5177" w:rsidRPr="005F5177">
        <w:t xml:space="preserve">capital income </w:t>
      </w:r>
      <w:r w:rsidR="005F5177">
        <w:t>i</w:t>
      </w:r>
      <w:r w:rsidR="005F5177" w:rsidRPr="005F5177">
        <w:t xml:space="preserve">s invariant to changes in </w:t>
      </w:r>
      <w:r w:rsidR="009D3D52">
        <w:t xml:space="preserve">the </w:t>
      </w:r>
      <w:r w:rsidR="005F5177" w:rsidRPr="005F5177">
        <w:t xml:space="preserve">personal income </w:t>
      </w:r>
      <w:r w:rsidR="009D3D52" w:rsidRPr="005F5177">
        <w:t>tax</w:t>
      </w:r>
      <w:r w:rsidR="009D3D52">
        <w:t xml:space="preserve"> system</w:t>
      </w:r>
      <w:r w:rsidR="005F5177" w:rsidRPr="005F5177">
        <w:t>.</w:t>
      </w:r>
    </w:p>
    <w:p w14:paraId="29DD69F1" w14:textId="1474FF87" w:rsidR="007B2DBD" w:rsidRDefault="007B2DBD" w:rsidP="00E82F3E">
      <w:pPr>
        <w:pStyle w:val="Caption1"/>
      </w:pPr>
      <w:bookmarkStart w:id="25" w:name="_Ref398459989"/>
      <w:r>
        <w:lastRenderedPageBreak/>
        <w:t xml:space="preserve">Chart </w:t>
      </w:r>
      <w:r w:rsidR="00866AD9">
        <w:fldChar w:fldCharType="begin"/>
      </w:r>
      <w:r w:rsidR="00866AD9">
        <w:instrText xml:space="preserve"> SEQ Chart \* ARABIC </w:instrText>
      </w:r>
      <w:r w:rsidR="00866AD9">
        <w:fldChar w:fldCharType="separate"/>
      </w:r>
      <w:r w:rsidR="00AA2137">
        <w:rPr>
          <w:noProof/>
        </w:rPr>
        <w:t>14</w:t>
      </w:r>
      <w:r w:rsidR="00866AD9">
        <w:rPr>
          <w:noProof/>
        </w:rPr>
        <w:fldChar w:fldCharType="end"/>
      </w:r>
      <w:bookmarkEnd w:id="25"/>
      <w:r>
        <w:t xml:space="preserve">: </w:t>
      </w:r>
      <w:r w:rsidR="00AC07CD">
        <w:t>F</w:t>
      </w:r>
      <w:r w:rsidR="00D62342">
        <w:t xml:space="preserve">lat personal </w:t>
      </w:r>
      <w:r>
        <w:t>income tax</w:t>
      </w:r>
      <w:r w:rsidR="004C5CFD">
        <w:t xml:space="preserve"> — </w:t>
      </w:r>
      <w:r w:rsidR="004B3D73">
        <w:t>Marginal e</w:t>
      </w:r>
      <w:r w:rsidR="00A34507">
        <w:t>xcess burden and i</w:t>
      </w:r>
      <w:r w:rsidR="00A34507" w:rsidRPr="006A48CA">
        <w:t>ncidence</w:t>
      </w:r>
    </w:p>
    <w:p w14:paraId="29DD69F2" w14:textId="2E7809AA" w:rsidR="008C23BD" w:rsidRDefault="00866AD9" w:rsidP="00B066B3">
      <w:pPr>
        <w:pStyle w:val="Caption1"/>
      </w:pPr>
      <w:r>
        <w:pict w14:anchorId="0D80E505">
          <v:shape id="_x0000_i1046" type="#_x0000_t75" alt="This chart decomposes the incidence of a marginal increase in the flat personal income tax rate into its effect on labour income and capital income." style="width:439.15pt;height:196.75pt">
            <v:imagedata r:id="rId61" o:title=""/>
          </v:shape>
        </w:pict>
      </w:r>
    </w:p>
    <w:p w14:paraId="632FE372" w14:textId="130C4F3C" w:rsidR="00F74E3C" w:rsidRDefault="00F74E3C" w:rsidP="00FF303A">
      <w:pPr>
        <w:pStyle w:val="Source"/>
        <w:ind w:left="364"/>
      </w:pPr>
      <w:r>
        <w:rPr>
          <w:lang w:val="en-US"/>
        </w:rPr>
        <w:t xml:space="preserve">Source: </w:t>
      </w:r>
      <w:r w:rsidR="00E007CF">
        <w:t>Treasury estimates</w:t>
      </w:r>
      <w:r>
        <w:t>.</w:t>
      </w:r>
    </w:p>
    <w:p w14:paraId="29DD69F3" w14:textId="6439A94B" w:rsidR="00137749" w:rsidRDefault="00B843C6" w:rsidP="00137749">
      <w:r w:rsidRPr="00EF4F05">
        <w:t xml:space="preserve">Chart </w:t>
      </w:r>
      <w:r>
        <w:rPr>
          <w:noProof/>
        </w:rPr>
        <w:t>15</w:t>
      </w:r>
      <w:r w:rsidR="00E62E59" w:rsidRPr="00E62E59">
        <w:t xml:space="preserve"> </w:t>
      </w:r>
      <w:r w:rsidR="00E62E59">
        <w:t xml:space="preserve">reports the results of model simulations which </w:t>
      </w:r>
      <w:r w:rsidR="00DC7085">
        <w:t>demonstrate</w:t>
      </w:r>
      <w:r w:rsidR="00E62E59" w:rsidRPr="00E62E59">
        <w:t xml:space="preserve"> that t</w:t>
      </w:r>
      <w:r w:rsidR="00137749" w:rsidRPr="00E62E59">
        <w:t xml:space="preserve">he marginal excess burden of the </w:t>
      </w:r>
      <w:r w:rsidR="00D62342">
        <w:rPr>
          <w:lang w:eastAsia="en-AU"/>
        </w:rPr>
        <w:t xml:space="preserve">flat </w:t>
      </w:r>
      <w:r w:rsidR="007F52FD">
        <w:t>personal</w:t>
      </w:r>
      <w:r w:rsidR="002D2D0C" w:rsidRPr="00E62E59">
        <w:t xml:space="preserve"> income tax </w:t>
      </w:r>
      <w:r w:rsidR="00A83118">
        <w:t xml:space="preserve">also </w:t>
      </w:r>
      <w:r w:rsidR="002D2D0C" w:rsidRPr="00E62E59">
        <w:t>decreases as the</w:t>
      </w:r>
      <w:r w:rsidR="00137749" w:rsidRPr="00E62E59">
        <w:t xml:space="preserve"> rate</w:t>
      </w:r>
      <w:r w:rsidR="002D2D0C" w:rsidRPr="00E62E59">
        <w:t xml:space="preserve"> declines</w:t>
      </w:r>
      <w:r w:rsidR="003D1214">
        <w:t xml:space="preserve">, albeit at a slightly lower level than the </w:t>
      </w:r>
      <w:r w:rsidR="00D62342">
        <w:rPr>
          <w:lang w:eastAsia="en-AU"/>
        </w:rPr>
        <w:t xml:space="preserve">flat </w:t>
      </w:r>
      <w:r w:rsidR="003D1214">
        <w:t>labour income tax component.</w:t>
      </w:r>
      <w:r w:rsidR="00E85F1B">
        <w:t xml:space="preserve"> The difference between the </w:t>
      </w:r>
      <w:r w:rsidR="00B87A51">
        <w:t xml:space="preserve">marginal </w:t>
      </w:r>
      <w:r w:rsidR="00E85F1B">
        <w:t xml:space="preserve">excess burden of the </w:t>
      </w:r>
      <w:r w:rsidR="00D62342">
        <w:rPr>
          <w:lang w:eastAsia="en-AU"/>
        </w:rPr>
        <w:t xml:space="preserve">flat </w:t>
      </w:r>
      <w:r w:rsidR="00E85F1B">
        <w:t xml:space="preserve">labour and personal income taxes </w:t>
      </w:r>
      <w:r w:rsidR="00FE2423">
        <w:t>increase</w:t>
      </w:r>
      <w:r w:rsidR="00AC07CD">
        <w:t>s</w:t>
      </w:r>
      <w:r w:rsidR="00FE2423">
        <w:t xml:space="preserve"> </w:t>
      </w:r>
      <w:r w:rsidR="008D49D4">
        <w:t>as the tax rate rises</w:t>
      </w:r>
      <w:r w:rsidR="00A83118">
        <w:t>.</w:t>
      </w:r>
    </w:p>
    <w:p w14:paraId="29DD69F4" w14:textId="0CEBD193" w:rsidR="0039255A" w:rsidRDefault="0039255A" w:rsidP="00E82F3E">
      <w:pPr>
        <w:pStyle w:val="Caption1"/>
      </w:pPr>
      <w:bookmarkStart w:id="26" w:name="_Ref399142845"/>
      <w:r w:rsidRPr="00EF4F05">
        <w:t xml:space="preserve">Chart </w:t>
      </w:r>
      <w:r w:rsidR="00866AD9">
        <w:fldChar w:fldCharType="begin"/>
      </w:r>
      <w:r w:rsidR="00866AD9">
        <w:instrText xml:space="preserve"> SEQ Chart \* ARABIC </w:instrText>
      </w:r>
      <w:r w:rsidR="00866AD9">
        <w:fldChar w:fldCharType="separate"/>
      </w:r>
      <w:r w:rsidR="00AA2137">
        <w:rPr>
          <w:noProof/>
        </w:rPr>
        <w:t>15</w:t>
      </w:r>
      <w:r w:rsidR="00866AD9">
        <w:rPr>
          <w:noProof/>
        </w:rPr>
        <w:fldChar w:fldCharType="end"/>
      </w:r>
      <w:bookmarkEnd w:id="26"/>
      <w:r w:rsidRPr="00EF4F05">
        <w:t xml:space="preserve">: </w:t>
      </w:r>
      <w:r w:rsidR="00AC07CD" w:rsidRPr="00EF4F05">
        <w:t>F</w:t>
      </w:r>
      <w:r w:rsidR="00D62342" w:rsidRPr="00EF4F05">
        <w:t xml:space="preserve">lat personal </w:t>
      </w:r>
      <w:r w:rsidRPr="00EF4F05">
        <w:t>income tax</w:t>
      </w:r>
      <w:r w:rsidR="004C5CFD">
        <w:t xml:space="preserve"> — </w:t>
      </w:r>
      <w:r w:rsidR="004B3D73">
        <w:t>Marginal e</w:t>
      </w:r>
      <w:r w:rsidRPr="00EF4F05">
        <w:t>xcess burden at varying rates</w:t>
      </w:r>
    </w:p>
    <w:p w14:paraId="57052825" w14:textId="4E0B31F7" w:rsidR="00016169" w:rsidRDefault="00866AD9" w:rsidP="00B066B3">
      <w:pPr>
        <w:pStyle w:val="Caption1"/>
      </w:pPr>
      <w:r>
        <w:rPr>
          <w:highlight w:val="yellow"/>
        </w:rPr>
        <w:pict w14:anchorId="4C7DCAB2">
          <v:shape id="_x0000_i1047" type="#_x0000_t75" alt="This chart shows the marginal excess burden of the flat labour income tax, and flat personal income tax at different tax rates. The excess burden of the flat labour income tax and flat personal income tax increases as the tax rate rises. The marginal excess burden of the flat labour income tax is higher than the marginal excess burden of the flat personal income tax at all tax rates." style="width:439.15pt;height:199.6pt;mso-position-vertical:absolute">
            <v:imagedata r:id="rId62" o:title=""/>
          </v:shape>
        </w:pict>
      </w:r>
    </w:p>
    <w:p w14:paraId="3F35814D" w14:textId="288EA855" w:rsidR="00F74E3C" w:rsidRDefault="00F74E3C" w:rsidP="00FF303A">
      <w:pPr>
        <w:pStyle w:val="Source"/>
        <w:ind w:left="284"/>
      </w:pPr>
      <w:r>
        <w:rPr>
          <w:lang w:val="en-US"/>
        </w:rPr>
        <w:t xml:space="preserve">Source: </w:t>
      </w:r>
      <w:r w:rsidR="00E007CF">
        <w:t>Treasury estimates</w:t>
      </w:r>
      <w:r>
        <w:t>.</w:t>
      </w:r>
    </w:p>
    <w:p w14:paraId="29DD69F6" w14:textId="0A0ADB9A" w:rsidR="00D462A8" w:rsidRPr="00016169" w:rsidRDefault="00D462A8" w:rsidP="00016169">
      <w:pPr>
        <w:rPr>
          <w:rFonts w:eastAsia="Calibri" w:cs="Times New Roman"/>
        </w:rPr>
      </w:pPr>
      <w:r w:rsidRPr="004B64F6">
        <w:rPr>
          <w:rFonts w:eastAsia="Calibri" w:cs="Times New Roman"/>
        </w:rPr>
        <w:t xml:space="preserve">The </w:t>
      </w:r>
      <w:r w:rsidR="0055293E" w:rsidRPr="004B64F6">
        <w:rPr>
          <w:rFonts w:eastAsia="Calibri" w:cs="Times New Roman"/>
        </w:rPr>
        <w:t xml:space="preserve">average </w:t>
      </w:r>
      <w:r w:rsidRPr="004B64F6">
        <w:rPr>
          <w:rFonts w:eastAsia="Calibri" w:cs="Times New Roman"/>
        </w:rPr>
        <w:t xml:space="preserve">personal income tax </w:t>
      </w:r>
      <w:r w:rsidR="0067453B" w:rsidRPr="004B64F6">
        <w:rPr>
          <w:rFonts w:eastAsia="Calibri" w:cs="Times New Roman"/>
        </w:rPr>
        <w:t>rate estimated in the model for the representative household is</w:t>
      </w:r>
      <w:r w:rsidR="0055293E" w:rsidRPr="004B64F6">
        <w:rPr>
          <w:rFonts w:eastAsia="Calibri" w:cs="Times New Roman"/>
        </w:rPr>
        <w:t xml:space="preserve"> 16.7</w:t>
      </w:r>
      <w:r w:rsidR="00224587" w:rsidRPr="004B64F6">
        <w:rPr>
          <w:rFonts w:eastAsia="Calibri" w:cs="Times New Roman"/>
        </w:rPr>
        <w:t> </w:t>
      </w:r>
      <w:r w:rsidR="0055293E" w:rsidRPr="004B64F6">
        <w:rPr>
          <w:rFonts w:eastAsia="Calibri" w:cs="Times New Roman"/>
        </w:rPr>
        <w:t>per</w:t>
      </w:r>
      <w:r w:rsidR="00224587" w:rsidRPr="004B64F6">
        <w:rPr>
          <w:rFonts w:eastAsia="Calibri" w:cs="Times New Roman"/>
        </w:rPr>
        <w:t> </w:t>
      </w:r>
      <w:r w:rsidR="0055293E" w:rsidRPr="004B64F6">
        <w:rPr>
          <w:rFonts w:eastAsia="Calibri" w:cs="Times New Roman"/>
        </w:rPr>
        <w:t>cent</w:t>
      </w:r>
      <w:r w:rsidR="0067453B" w:rsidRPr="004B64F6">
        <w:rPr>
          <w:rFonts w:eastAsia="Calibri" w:cs="Times New Roman"/>
        </w:rPr>
        <w:t xml:space="preserve"> (solid line)</w:t>
      </w:r>
      <w:r w:rsidRPr="004B64F6">
        <w:rPr>
          <w:rFonts w:eastAsia="Calibri" w:cs="Times New Roman"/>
        </w:rPr>
        <w:t>.</w:t>
      </w:r>
      <w:r w:rsidR="0055293E" w:rsidRPr="004B64F6">
        <w:rPr>
          <w:rFonts w:eastAsia="Calibri" w:cs="Times New Roman"/>
        </w:rPr>
        <w:t xml:space="preserve"> Using this average tax rate as the average marginal tax rate gives a marginal excess burden for the taxation of labour income of </w:t>
      </w:r>
      <w:r w:rsidR="00EC6FC9" w:rsidRPr="004B64F6">
        <w:rPr>
          <w:rFonts w:eastAsia="Calibri" w:cs="Times New Roman"/>
        </w:rPr>
        <w:t>21 </w:t>
      </w:r>
      <w:r w:rsidR="0055293E" w:rsidRPr="004B64F6">
        <w:rPr>
          <w:rFonts w:eastAsia="Calibri" w:cs="Times New Roman"/>
        </w:rPr>
        <w:t xml:space="preserve">cents. The marginal excess burden for the same rate </w:t>
      </w:r>
      <w:r w:rsidR="0067453B" w:rsidRPr="004B64F6">
        <w:rPr>
          <w:rFonts w:eastAsia="Calibri" w:cs="Times New Roman"/>
        </w:rPr>
        <w:t>applied to</w:t>
      </w:r>
      <w:r w:rsidR="0055293E" w:rsidRPr="004B64F6">
        <w:rPr>
          <w:rFonts w:eastAsia="Calibri" w:cs="Times New Roman"/>
        </w:rPr>
        <w:t xml:space="preserve"> </w:t>
      </w:r>
      <w:r w:rsidR="0067453B" w:rsidRPr="004B64F6">
        <w:rPr>
          <w:rFonts w:eastAsia="Calibri" w:cs="Times New Roman"/>
        </w:rPr>
        <w:t>both</w:t>
      </w:r>
      <w:r w:rsidR="0055293E" w:rsidRPr="004B64F6">
        <w:rPr>
          <w:rFonts w:eastAsia="Calibri" w:cs="Times New Roman"/>
        </w:rPr>
        <w:t xml:space="preserve"> labour and capital income</w:t>
      </w:r>
      <w:r w:rsidR="009437B6" w:rsidRPr="004B64F6">
        <w:rPr>
          <w:rFonts w:eastAsia="Calibri" w:cs="Times New Roman"/>
        </w:rPr>
        <w:t xml:space="preserve"> (</w:t>
      </w:r>
      <w:r w:rsidR="00621AD1">
        <w:rPr>
          <w:rFonts w:eastAsia="Calibri" w:cs="Times New Roman"/>
        </w:rPr>
        <w:t>that is</w:t>
      </w:r>
      <w:r w:rsidR="009437B6" w:rsidRPr="004B64F6">
        <w:rPr>
          <w:rFonts w:eastAsia="Calibri" w:cs="Times New Roman"/>
        </w:rPr>
        <w:t>, personal income)</w:t>
      </w:r>
      <w:r w:rsidR="0055293E" w:rsidRPr="004B64F6">
        <w:rPr>
          <w:rFonts w:eastAsia="Calibri" w:cs="Times New Roman"/>
        </w:rPr>
        <w:t xml:space="preserve"> is</w:t>
      </w:r>
      <w:r w:rsidRPr="004B64F6">
        <w:rPr>
          <w:rFonts w:eastAsia="Calibri" w:cs="Times New Roman"/>
        </w:rPr>
        <w:t xml:space="preserve"> </w:t>
      </w:r>
      <w:r w:rsidR="00042DB0" w:rsidRPr="004B64F6">
        <w:rPr>
          <w:rFonts w:eastAsia="Calibri" w:cs="Times New Roman"/>
        </w:rPr>
        <w:t>16</w:t>
      </w:r>
      <w:r w:rsidR="000E566B" w:rsidRPr="004B64F6">
        <w:rPr>
          <w:rFonts w:eastAsia="Calibri" w:cs="Times New Roman"/>
        </w:rPr>
        <w:t> </w:t>
      </w:r>
      <w:r w:rsidR="00042DB0" w:rsidRPr="004B64F6">
        <w:rPr>
          <w:rFonts w:eastAsia="Calibri" w:cs="Times New Roman"/>
        </w:rPr>
        <w:t>cents.</w:t>
      </w:r>
      <w:r w:rsidR="00F7451C" w:rsidRPr="004B64F6">
        <w:rPr>
          <w:rFonts w:eastAsia="Calibri" w:cs="Times New Roman"/>
        </w:rPr>
        <w:t xml:space="preserve"> T</w:t>
      </w:r>
      <w:r w:rsidR="00F7451C" w:rsidRPr="004B64F6">
        <w:t>he average tax rate on individuals</w:t>
      </w:r>
      <w:r w:rsidR="00F03697">
        <w:t>’</w:t>
      </w:r>
      <w:r w:rsidR="00F7451C" w:rsidRPr="004B64F6">
        <w:t xml:space="preserve"> taxable income </w:t>
      </w:r>
      <w:r w:rsidR="00B80F2C" w:rsidRPr="004B64F6">
        <w:t>in 2011</w:t>
      </w:r>
      <w:r w:rsidR="00F03697">
        <w:noBreakHyphen/>
      </w:r>
      <w:r w:rsidR="00B80F2C" w:rsidRPr="004B64F6">
        <w:t xml:space="preserve">12 </w:t>
      </w:r>
      <w:r w:rsidR="00F7451C" w:rsidRPr="004B64F6">
        <w:t xml:space="preserve">based on tax return data for resident individuals </w:t>
      </w:r>
      <w:r w:rsidR="00B80F2C" w:rsidRPr="004B64F6">
        <w:t>was</w:t>
      </w:r>
      <w:r w:rsidR="00F7451C" w:rsidRPr="004B64F6">
        <w:t xml:space="preserve"> </w:t>
      </w:r>
      <w:r w:rsidR="00D60E57" w:rsidRPr="004B64F6">
        <w:t xml:space="preserve">around </w:t>
      </w:r>
      <w:r w:rsidR="00F7451C" w:rsidRPr="004B64F6">
        <w:t xml:space="preserve">21.5 per cent (see </w:t>
      </w:r>
      <w:r w:rsidR="00F7451C" w:rsidRPr="004B64F6">
        <w:rPr>
          <w:rFonts w:eastAsia="Calibri" w:cs="Times New Roman"/>
        </w:rPr>
        <w:t xml:space="preserve">Appendix B). Using this average tax rate as the average marginal tax rate gives a marginal excess burden for the taxation of labour income of </w:t>
      </w:r>
      <w:r w:rsidR="001A5F80" w:rsidRPr="004B64F6">
        <w:rPr>
          <w:rFonts w:eastAsia="Calibri" w:cs="Times New Roman"/>
        </w:rPr>
        <w:t>27</w:t>
      </w:r>
      <w:r w:rsidR="00F7451C" w:rsidRPr="004B64F6">
        <w:rPr>
          <w:rFonts w:eastAsia="Calibri" w:cs="Times New Roman"/>
        </w:rPr>
        <w:t> cents (dashed line).</w:t>
      </w:r>
    </w:p>
    <w:p w14:paraId="29DD69F9" w14:textId="613DD069" w:rsidR="00D462A8" w:rsidRDefault="00152C30" w:rsidP="00292665">
      <w:r w:rsidRPr="00152C30">
        <w:rPr>
          <w:rFonts w:eastAsia="Calibri" w:cs="Times New Roman"/>
        </w:rPr>
        <w:t>A feature of Australia</w:t>
      </w:r>
      <w:r w:rsidR="00F03697">
        <w:rPr>
          <w:rFonts w:eastAsia="Calibri" w:cs="Times New Roman"/>
        </w:rPr>
        <w:t>’</w:t>
      </w:r>
      <w:r w:rsidRPr="00152C30">
        <w:rPr>
          <w:rFonts w:eastAsia="Calibri" w:cs="Times New Roman"/>
        </w:rPr>
        <w:t xml:space="preserve">s current progressive income tax system, however, is that the marginal tax rate faced by individuals is higher than their average tax rate. We do not capture this feature directly within </w:t>
      </w:r>
      <w:r w:rsidRPr="00152C30">
        <w:rPr>
          <w:rFonts w:eastAsia="Calibri" w:cs="Times New Roman"/>
        </w:rPr>
        <w:lastRenderedPageBreak/>
        <w:t>our model. However, we illustrate how the marginal excess burden would rise at a higher average marginal tax rate on labour (and individu</w:t>
      </w:r>
      <w:r w:rsidR="009437B6">
        <w:rPr>
          <w:rFonts w:eastAsia="Calibri" w:cs="Times New Roman"/>
        </w:rPr>
        <w:t>als</w:t>
      </w:r>
      <w:r w:rsidR="00F03697">
        <w:rPr>
          <w:rFonts w:eastAsia="Calibri" w:cs="Times New Roman"/>
        </w:rPr>
        <w:t>’</w:t>
      </w:r>
      <w:r w:rsidR="009437B6">
        <w:rPr>
          <w:rFonts w:eastAsia="Calibri" w:cs="Times New Roman"/>
        </w:rPr>
        <w:t xml:space="preserve"> labour and capital income)</w:t>
      </w:r>
      <w:r w:rsidRPr="00152C30">
        <w:rPr>
          <w:rFonts w:eastAsia="Calibri" w:cs="Times New Roman"/>
        </w:rPr>
        <w:t xml:space="preserve">. </w:t>
      </w:r>
      <w:r w:rsidR="009437B6">
        <w:rPr>
          <w:rFonts w:eastAsia="Calibri" w:cs="Times New Roman"/>
        </w:rPr>
        <w:t>T</w:t>
      </w:r>
      <w:r w:rsidRPr="00152C30">
        <w:rPr>
          <w:rFonts w:eastAsia="Calibri" w:cs="Times New Roman"/>
        </w:rPr>
        <w:t>he average marginal tax rate on taxable income in 2011</w:t>
      </w:r>
      <w:r w:rsidR="00F03697">
        <w:rPr>
          <w:rFonts w:eastAsia="Calibri" w:cs="Times New Roman"/>
        </w:rPr>
        <w:noBreakHyphen/>
      </w:r>
      <w:r w:rsidRPr="00152C30">
        <w:rPr>
          <w:rFonts w:eastAsia="Calibri" w:cs="Times New Roman"/>
        </w:rPr>
        <w:t>12</w:t>
      </w:r>
      <w:r w:rsidR="009437B6">
        <w:rPr>
          <w:rFonts w:eastAsia="Calibri" w:cs="Times New Roman"/>
        </w:rPr>
        <w:t xml:space="preserve"> </w:t>
      </w:r>
      <w:r w:rsidR="009437B6" w:rsidRPr="00152C30">
        <w:rPr>
          <w:rFonts w:eastAsia="Calibri" w:cs="Times New Roman"/>
        </w:rPr>
        <w:t>(with each taxpayer</w:t>
      </w:r>
      <w:r w:rsidR="00F03697">
        <w:rPr>
          <w:rFonts w:eastAsia="Calibri" w:cs="Times New Roman"/>
        </w:rPr>
        <w:t>’</w:t>
      </w:r>
      <w:r w:rsidR="009437B6" w:rsidRPr="00152C30">
        <w:rPr>
          <w:rFonts w:eastAsia="Calibri" w:cs="Times New Roman"/>
        </w:rPr>
        <w:t>s approximate marginal tax rate weighted equally, described further in Appendix B)</w:t>
      </w:r>
      <w:r w:rsidRPr="00152C30">
        <w:rPr>
          <w:rFonts w:eastAsia="Calibri" w:cs="Times New Roman"/>
        </w:rPr>
        <w:t xml:space="preserve"> </w:t>
      </w:r>
      <w:r w:rsidR="009437B6">
        <w:rPr>
          <w:rFonts w:eastAsia="Calibri" w:cs="Times New Roman"/>
        </w:rPr>
        <w:t>is estimated to be</w:t>
      </w:r>
      <w:r w:rsidR="003C604C">
        <w:rPr>
          <w:rFonts w:eastAsia="Calibri" w:cs="Times New Roman"/>
        </w:rPr>
        <w:t xml:space="preserve"> around</w:t>
      </w:r>
      <w:r w:rsidR="009437B6">
        <w:rPr>
          <w:rFonts w:eastAsia="Calibri" w:cs="Times New Roman"/>
        </w:rPr>
        <w:t xml:space="preserve"> 25 per </w:t>
      </w:r>
      <w:r w:rsidR="009437B6" w:rsidRPr="00152C30">
        <w:rPr>
          <w:rFonts w:eastAsia="Calibri" w:cs="Times New Roman"/>
        </w:rPr>
        <w:t>cent</w:t>
      </w:r>
      <w:r w:rsidRPr="00152C30">
        <w:rPr>
          <w:rFonts w:eastAsia="Calibri" w:cs="Times New Roman"/>
        </w:rPr>
        <w:t>. The marginal excess burden for a marginal tax rate on labour income of</w:t>
      </w:r>
      <w:r w:rsidR="00C83AB3">
        <w:rPr>
          <w:rFonts w:eastAsia="Calibri" w:cs="Times New Roman"/>
        </w:rPr>
        <w:t xml:space="preserve"> 25 per cent is around </w:t>
      </w:r>
      <w:r w:rsidR="00C83AB3" w:rsidRPr="004F16F7">
        <w:rPr>
          <w:rFonts w:eastAsia="Calibri" w:cs="Times New Roman"/>
        </w:rPr>
        <w:t>32 cents</w:t>
      </w:r>
      <w:r w:rsidR="009437B6">
        <w:rPr>
          <w:rFonts w:eastAsia="Calibri" w:cs="Times New Roman"/>
        </w:rPr>
        <w:t xml:space="preserve"> (dotted line)</w:t>
      </w:r>
      <w:r w:rsidR="00C83AB3">
        <w:rPr>
          <w:rFonts w:eastAsia="Calibri" w:cs="Times New Roman"/>
        </w:rPr>
        <w:t>.</w:t>
      </w:r>
      <w:r w:rsidR="00C83AB3">
        <w:rPr>
          <w:rStyle w:val="FootnoteReference"/>
          <w:rFonts w:eastAsia="Calibri" w:cs="Times New Roman"/>
        </w:rPr>
        <w:footnoteReference w:id="26"/>
      </w:r>
      <w:r w:rsidRPr="00152C30">
        <w:rPr>
          <w:rFonts w:eastAsia="Calibri" w:cs="Times New Roman"/>
        </w:rPr>
        <w:t xml:space="preserve"> If the elasticity of labour supply, which </w:t>
      </w:r>
      <w:r w:rsidR="009437B6">
        <w:rPr>
          <w:rFonts w:eastAsia="Calibri" w:cs="Times New Roman"/>
        </w:rPr>
        <w:t>is</w:t>
      </w:r>
      <w:r w:rsidRPr="00152C30">
        <w:rPr>
          <w:rFonts w:eastAsia="Calibri" w:cs="Times New Roman"/>
        </w:rPr>
        <w:t xml:space="preserve"> 0.15 in our baseline calibration, was similar across the income distribution, this marginal excess burden estimate might be a reasonable approximation of the efficiency of a progressive income tax structure (but ignoring interactions between the tax and transfer systems that affect effective marginal tax rates). However, empirical research has shown that labour supply elasticities do significantly vary across the population, particularly between men and women (see</w:t>
      </w:r>
      <w:r w:rsidR="00F80047">
        <w:rPr>
          <w:rFonts w:eastAsia="Calibri" w:cs="Times New Roman"/>
        </w:rPr>
        <w:t> </w:t>
      </w:r>
      <w:r w:rsidR="00D60E57">
        <w:rPr>
          <w:rFonts w:eastAsia="Calibri" w:cs="Times New Roman"/>
        </w:rPr>
        <w:t xml:space="preserve">Table 1 sourced from </w:t>
      </w:r>
      <w:r w:rsidRPr="00152C30">
        <w:rPr>
          <w:rFonts w:eastAsia="Calibri" w:cs="Times New Roman"/>
        </w:rPr>
        <w:t>Dandie and Mercante, 2007). Thus the marginal exc</w:t>
      </w:r>
      <w:r w:rsidR="00C83AB3">
        <w:rPr>
          <w:rFonts w:eastAsia="Calibri" w:cs="Times New Roman"/>
        </w:rPr>
        <w:t>ess burden for a tax rate of 25 per </w:t>
      </w:r>
      <w:r w:rsidRPr="00152C30">
        <w:rPr>
          <w:rFonts w:eastAsia="Calibri" w:cs="Times New Roman"/>
        </w:rPr>
        <w:t>cent is presented as an illustration only (and not an alternative estimate).</w:t>
      </w:r>
    </w:p>
    <w:p w14:paraId="29DD69FA" w14:textId="3EBE6BCB" w:rsidR="008C23BD" w:rsidRDefault="008C23BD" w:rsidP="002F0761">
      <w:pPr>
        <w:pStyle w:val="Heading3"/>
      </w:pPr>
      <w:r>
        <w:t xml:space="preserve">Comparison with </w:t>
      </w:r>
      <w:r w:rsidR="00D45BAD">
        <w:t>other studies</w:t>
      </w:r>
    </w:p>
    <w:p w14:paraId="29DD69FB" w14:textId="3594ED2E" w:rsidR="006748AE" w:rsidRDefault="00B843C6" w:rsidP="00EA4917">
      <w:pPr>
        <w:rPr>
          <w:lang w:eastAsia="en-AU"/>
        </w:rPr>
      </w:pPr>
      <w:r w:rsidRPr="006F246D">
        <w:t xml:space="preserve">Table </w:t>
      </w:r>
      <w:r>
        <w:rPr>
          <w:noProof/>
        </w:rPr>
        <w:t>3</w:t>
      </w:r>
      <w:r w:rsidR="00EA4917" w:rsidRPr="00B16B7C">
        <w:t xml:space="preserve"> </w:t>
      </w:r>
      <w:r w:rsidR="00570FD9">
        <w:rPr>
          <w:lang w:eastAsia="en-AU"/>
        </w:rPr>
        <w:t>reports the marginal excess burden based on the baseline calibration, along with the results of the sensitivity analysis (see Appendix A for details). The highest and lowest estimates from the sensitivity analysis are highlighted in red and green respectively.</w:t>
      </w:r>
      <w:r w:rsidR="00B16B7C">
        <w:rPr>
          <w:lang w:eastAsia="en-AU"/>
        </w:rPr>
        <w:t xml:space="preserve"> </w:t>
      </w:r>
      <w:r w:rsidR="000A48D4">
        <w:rPr>
          <w:lang w:eastAsia="en-AU"/>
        </w:rPr>
        <w:t xml:space="preserve">Estimates </w:t>
      </w:r>
      <w:r w:rsidR="00B16B7C">
        <w:rPr>
          <w:lang w:eastAsia="en-AU"/>
        </w:rPr>
        <w:t xml:space="preserve">for the </w:t>
      </w:r>
      <w:r w:rsidR="00D62342">
        <w:rPr>
          <w:lang w:eastAsia="en-AU"/>
        </w:rPr>
        <w:t xml:space="preserve">flat </w:t>
      </w:r>
      <w:r w:rsidR="00B16B7C">
        <w:rPr>
          <w:lang w:eastAsia="en-AU"/>
        </w:rPr>
        <w:t xml:space="preserve">personal income tax </w:t>
      </w:r>
      <w:r w:rsidR="000A48D4">
        <w:rPr>
          <w:lang w:eastAsia="en-AU"/>
        </w:rPr>
        <w:t>are always lower than for the</w:t>
      </w:r>
      <w:r w:rsidR="00B16B7C">
        <w:rPr>
          <w:lang w:eastAsia="en-AU"/>
        </w:rPr>
        <w:t xml:space="preserve"> </w:t>
      </w:r>
      <w:r w:rsidR="00D62342">
        <w:rPr>
          <w:lang w:eastAsia="en-AU"/>
        </w:rPr>
        <w:t xml:space="preserve">flat </w:t>
      </w:r>
      <w:r w:rsidR="00B16B7C">
        <w:rPr>
          <w:lang w:eastAsia="en-AU"/>
        </w:rPr>
        <w:t xml:space="preserve">labour income tax component. </w:t>
      </w:r>
      <w:r w:rsidR="006748AE" w:rsidRPr="00B16B7C">
        <w:rPr>
          <w:lang w:eastAsia="en-AU"/>
        </w:rPr>
        <w:t xml:space="preserve">The high sensitivity estimate results from a high </w:t>
      </w:r>
      <w:r w:rsidR="000A48D4">
        <w:rPr>
          <w:lang w:eastAsia="en-AU"/>
        </w:rPr>
        <w:t>elasticity of substitution between consumption and leisure. Similar to the corporate tax rate sensitivity, t</w:t>
      </w:r>
      <w:r w:rsidR="006748AE" w:rsidRPr="00B16B7C">
        <w:rPr>
          <w:lang w:eastAsia="en-AU"/>
        </w:rPr>
        <w:t xml:space="preserve">he lower estimate </w:t>
      </w:r>
      <w:r w:rsidR="000A48D4">
        <w:rPr>
          <w:lang w:eastAsia="en-AU"/>
        </w:rPr>
        <w:t>(a</w:t>
      </w:r>
      <w:r w:rsidR="00B87A51">
        <w:rPr>
          <w:lang w:eastAsia="en-AU"/>
        </w:rPr>
        <w:t xml:space="preserve"> </w:t>
      </w:r>
      <w:r w:rsidR="00B16B7C">
        <w:rPr>
          <w:lang w:eastAsia="en-AU"/>
        </w:rPr>
        <w:t xml:space="preserve">zero </w:t>
      </w:r>
      <w:r w:rsidR="00B87A51">
        <w:rPr>
          <w:lang w:eastAsia="en-AU"/>
        </w:rPr>
        <w:t xml:space="preserve">marginal </w:t>
      </w:r>
      <w:r w:rsidR="00B16B7C">
        <w:rPr>
          <w:lang w:eastAsia="en-AU"/>
        </w:rPr>
        <w:t>excess burden</w:t>
      </w:r>
      <w:r w:rsidR="000A48D4">
        <w:rPr>
          <w:lang w:eastAsia="en-AU"/>
        </w:rPr>
        <w:t>)</w:t>
      </w:r>
      <w:r w:rsidR="00B16B7C">
        <w:rPr>
          <w:lang w:eastAsia="en-AU"/>
        </w:rPr>
        <w:t xml:space="preserve"> </w:t>
      </w:r>
      <w:r w:rsidR="006748AE" w:rsidRPr="00B16B7C">
        <w:rPr>
          <w:lang w:eastAsia="en-AU"/>
        </w:rPr>
        <w:t>assumes no substitution between consumption and leisure.</w:t>
      </w:r>
    </w:p>
    <w:p w14:paraId="29DD69FC" w14:textId="697E6200" w:rsidR="000A48D4" w:rsidRPr="006748AE" w:rsidRDefault="000A48D4" w:rsidP="00EA4917">
      <w:r>
        <w:t xml:space="preserve">Estimates of the marginal excess burden </w:t>
      </w:r>
      <w:r w:rsidR="00185D68">
        <w:t xml:space="preserve">of the personal income tax </w:t>
      </w:r>
      <w:r>
        <w:t xml:space="preserve">published by KPMG (2010 and 2011) and </w:t>
      </w:r>
      <w:r w:rsidR="00496794">
        <w:t>Independent Economics</w:t>
      </w:r>
      <w:r w:rsidR="006C116E">
        <w:t xml:space="preserve"> (</w:t>
      </w:r>
      <w:r>
        <w:t xml:space="preserve">2014) reported in </w:t>
      </w:r>
      <w:r w:rsidR="00B843C6" w:rsidRPr="006F246D">
        <w:t xml:space="preserve">Table </w:t>
      </w:r>
      <w:r w:rsidR="00B843C6">
        <w:rPr>
          <w:noProof/>
        </w:rPr>
        <w:t>3</w:t>
      </w:r>
      <w:r>
        <w:t xml:space="preserve"> </w:t>
      </w:r>
      <w:r w:rsidR="00185D68">
        <w:t>are limited to the</w:t>
      </w:r>
      <w:r w:rsidR="005F5177">
        <w:t xml:space="preserve"> labour income tax</w:t>
      </w:r>
      <w:r w:rsidR="00185D68">
        <w:t xml:space="preserve"> component</w:t>
      </w:r>
      <w:r w:rsidR="005F5177">
        <w:t xml:space="preserve">. </w:t>
      </w:r>
      <w:r w:rsidR="00185D68">
        <w:t>Our</w:t>
      </w:r>
      <w:r w:rsidR="00185D68" w:rsidRPr="006748AE">
        <w:t xml:space="preserve"> baseline calibration </w:t>
      </w:r>
      <w:r w:rsidR="00185D68">
        <w:t>generates</w:t>
      </w:r>
      <w:r w:rsidR="00185D68" w:rsidRPr="006748AE">
        <w:t xml:space="preserve"> an </w:t>
      </w:r>
      <w:r w:rsidR="00B87A51">
        <w:t xml:space="preserve">marginal </w:t>
      </w:r>
      <w:r w:rsidR="00185D68" w:rsidRPr="006748AE">
        <w:t xml:space="preserve">excess burden </w:t>
      </w:r>
      <w:r w:rsidR="00185D68">
        <w:t>for the flat labour income tax that is</w:t>
      </w:r>
      <w:r w:rsidR="00185D68" w:rsidRPr="006748AE">
        <w:t xml:space="preserve"> </w:t>
      </w:r>
      <w:r w:rsidR="00185D68">
        <w:t xml:space="preserve">slightly </w:t>
      </w:r>
      <w:r w:rsidR="00185D68" w:rsidRPr="006748AE">
        <w:t xml:space="preserve">lower than </w:t>
      </w:r>
      <w:r w:rsidR="00185D68">
        <w:t xml:space="preserve">estimates reported in </w:t>
      </w:r>
      <w:r w:rsidR="00D60E57">
        <w:t>these earlier</w:t>
      </w:r>
      <w:r w:rsidR="00185D68">
        <w:t xml:space="preserve"> studies, which likely reflects the fact that</w:t>
      </w:r>
      <w:r w:rsidR="00185D68" w:rsidRPr="00AF6A48">
        <w:t xml:space="preserve"> KPMG and </w:t>
      </w:r>
      <w:r w:rsidR="00496794">
        <w:t>Independent Economics</w:t>
      </w:r>
      <w:r w:rsidR="00185D68" w:rsidRPr="00AF6A48">
        <w:t xml:space="preserve"> </w:t>
      </w:r>
      <w:r w:rsidR="00185D68">
        <w:t>assume a higher</w:t>
      </w:r>
      <w:r w:rsidR="00185D68" w:rsidRPr="00AF6A48">
        <w:t xml:space="preserve"> tax rate of labour income, which raises the marginal excess burden</w:t>
      </w:r>
      <w:r w:rsidR="00185D68">
        <w:t xml:space="preserve"> (see </w:t>
      </w:r>
      <w:r w:rsidR="00B843C6" w:rsidRPr="00EF4F05">
        <w:t xml:space="preserve">Chart </w:t>
      </w:r>
      <w:r w:rsidR="00B843C6">
        <w:rPr>
          <w:noProof/>
        </w:rPr>
        <w:t>15</w:t>
      </w:r>
      <w:r w:rsidR="00185D68">
        <w:t>)</w:t>
      </w:r>
      <w:r w:rsidR="00185D68" w:rsidRPr="00AF6A48">
        <w:t>.</w:t>
      </w:r>
      <w:r w:rsidR="00185D68">
        <w:t xml:space="preserve"> </w:t>
      </w:r>
      <w:r w:rsidR="005F5177">
        <w:t xml:space="preserve">In particular, </w:t>
      </w:r>
      <w:r w:rsidR="00185D68">
        <w:t xml:space="preserve">these earlier studies </w:t>
      </w:r>
      <w:r w:rsidR="005F5177">
        <w:t xml:space="preserve">ignore the capital income </w:t>
      </w:r>
      <w:r w:rsidR="00185D68">
        <w:t xml:space="preserve">component and </w:t>
      </w:r>
      <w:r w:rsidR="005F5177">
        <w:t xml:space="preserve">calibrate the </w:t>
      </w:r>
      <w:r w:rsidR="00185D68">
        <w:t>model</w:t>
      </w:r>
      <w:r w:rsidR="00F03697">
        <w:t>’</w:t>
      </w:r>
      <w:r w:rsidR="00185D68">
        <w:t xml:space="preserve">s </w:t>
      </w:r>
      <w:r w:rsidR="005F5177">
        <w:t xml:space="preserve">effective </w:t>
      </w:r>
      <w:r w:rsidR="00AF6A48">
        <w:t xml:space="preserve">tax </w:t>
      </w:r>
      <w:r w:rsidR="005F5177">
        <w:t xml:space="preserve">rate to </w:t>
      </w:r>
      <w:r w:rsidR="00AF6A48">
        <w:t xml:space="preserve">only the </w:t>
      </w:r>
      <w:r w:rsidR="005F5177">
        <w:t>labour income</w:t>
      </w:r>
      <w:r w:rsidR="00AF6A48">
        <w:t xml:space="preserve"> component</w:t>
      </w:r>
      <w:r>
        <w:t xml:space="preserve">. </w:t>
      </w:r>
    </w:p>
    <w:p w14:paraId="29DD69FD" w14:textId="4D18662F" w:rsidR="00095029" w:rsidRDefault="00BB2C74" w:rsidP="00E82F3E">
      <w:pPr>
        <w:pStyle w:val="Caption1"/>
      </w:pPr>
      <w:bookmarkStart w:id="27" w:name="_Ref400004234"/>
      <w:r w:rsidRPr="006F246D">
        <w:lastRenderedPageBreak/>
        <w:t xml:space="preserve">Table </w:t>
      </w:r>
      <w:r w:rsidR="00866AD9">
        <w:fldChar w:fldCharType="begin"/>
      </w:r>
      <w:r w:rsidR="00866AD9">
        <w:instrText xml:space="preserve"> SEQ Table \* ARABIC</w:instrText>
      </w:r>
      <w:r w:rsidR="00866AD9">
        <w:instrText xml:space="preserve"> </w:instrText>
      </w:r>
      <w:r w:rsidR="00866AD9">
        <w:fldChar w:fldCharType="separate"/>
      </w:r>
      <w:r w:rsidR="00AA2137">
        <w:rPr>
          <w:noProof/>
        </w:rPr>
        <w:t>3</w:t>
      </w:r>
      <w:r w:rsidR="00866AD9">
        <w:rPr>
          <w:noProof/>
        </w:rPr>
        <w:fldChar w:fldCharType="end"/>
      </w:r>
      <w:bookmarkEnd w:id="27"/>
      <w:r w:rsidR="00095029" w:rsidRPr="006F246D">
        <w:t xml:space="preserve">: </w:t>
      </w:r>
      <w:r w:rsidR="00AC07CD" w:rsidRPr="006F246D">
        <w:t>F</w:t>
      </w:r>
      <w:r w:rsidR="00D62342" w:rsidRPr="006F246D">
        <w:t>lat p</w:t>
      </w:r>
      <w:r w:rsidR="00E7491F" w:rsidRPr="006F246D">
        <w:t>ersonal</w:t>
      </w:r>
      <w:r w:rsidR="00095029" w:rsidRPr="006F246D">
        <w:t xml:space="preserve"> income tax</w:t>
      </w:r>
      <w:r w:rsidR="004C5CFD">
        <w:t xml:space="preserve"> — </w:t>
      </w:r>
      <w:r w:rsidR="0051143B" w:rsidRPr="006F246D">
        <w:t>Marginal e</w:t>
      </w:r>
      <w:r w:rsidR="00095029" w:rsidRPr="006F246D">
        <w:t xml:space="preserve">xcess burden </w:t>
      </w:r>
      <w:r w:rsidR="00EB3C40" w:rsidRPr="006F246D">
        <w:t>comparison</w:t>
      </w:r>
    </w:p>
    <w:tbl>
      <w:tblPr>
        <w:tblW w:w="9460" w:type="dxa"/>
        <w:tblInd w:w="108" w:type="dxa"/>
        <w:tblLook w:val="04A0" w:firstRow="1" w:lastRow="0" w:firstColumn="1" w:lastColumn="0" w:noHBand="0" w:noVBand="1"/>
      </w:tblPr>
      <w:tblGrid>
        <w:gridCol w:w="6096"/>
        <w:gridCol w:w="1712"/>
        <w:gridCol w:w="1652"/>
      </w:tblGrid>
      <w:tr w:rsidR="00590A13" w:rsidRPr="006C0A05" w14:paraId="5A0A4845" w14:textId="77777777" w:rsidTr="006C0A05">
        <w:trPr>
          <w:trHeight w:val="600"/>
        </w:trPr>
        <w:tc>
          <w:tcPr>
            <w:tcW w:w="6096" w:type="dxa"/>
            <w:tcBorders>
              <w:top w:val="single" w:sz="8" w:space="0" w:color="auto"/>
              <w:left w:val="nil"/>
              <w:bottom w:val="single" w:sz="4" w:space="0" w:color="auto"/>
              <w:right w:val="nil"/>
            </w:tcBorders>
            <w:shd w:val="clear" w:color="auto" w:fill="auto"/>
            <w:noWrap/>
            <w:vAlign w:val="bottom"/>
            <w:hideMark/>
          </w:tcPr>
          <w:p w14:paraId="4E91B2C1" w14:textId="2536FA93" w:rsidR="00590A13" w:rsidRPr="006C0A05" w:rsidRDefault="00590A13" w:rsidP="006C0A05">
            <w:pPr>
              <w:keepNext/>
              <w:spacing w:after="0" w:line="240" w:lineRule="auto"/>
              <w:rPr>
                <w:rFonts w:eastAsia="Times New Roman" w:cs="Times New Roman"/>
                <w:color w:val="000000"/>
                <w:lang w:eastAsia="en-AU"/>
              </w:rPr>
            </w:pPr>
            <w:r>
              <w:rPr>
                <w:color w:val="000000"/>
              </w:rPr>
              <w:t> </w:t>
            </w:r>
          </w:p>
        </w:tc>
        <w:tc>
          <w:tcPr>
            <w:tcW w:w="1712" w:type="dxa"/>
            <w:tcBorders>
              <w:top w:val="single" w:sz="8" w:space="0" w:color="auto"/>
              <w:left w:val="nil"/>
              <w:bottom w:val="single" w:sz="4" w:space="0" w:color="auto"/>
              <w:right w:val="nil"/>
            </w:tcBorders>
            <w:shd w:val="clear" w:color="auto" w:fill="auto"/>
            <w:vAlign w:val="center"/>
            <w:hideMark/>
          </w:tcPr>
          <w:p w14:paraId="46837FD6" w14:textId="732A2526" w:rsidR="00590A13" w:rsidRPr="006C0A05" w:rsidRDefault="00590A13" w:rsidP="009A29E1">
            <w:pPr>
              <w:pStyle w:val="TableColumnHeadingCentred"/>
            </w:pPr>
            <w:r>
              <w:rPr>
                <w:rFonts w:ascii="Calibri" w:hAnsi="Calibri"/>
                <w:color w:val="000000"/>
                <w:sz w:val="22"/>
                <w:szCs w:val="22"/>
              </w:rPr>
              <w:t>Personal income tax MEB ($)</w:t>
            </w:r>
          </w:p>
        </w:tc>
        <w:tc>
          <w:tcPr>
            <w:tcW w:w="1652" w:type="dxa"/>
            <w:tcBorders>
              <w:top w:val="single" w:sz="8" w:space="0" w:color="auto"/>
              <w:left w:val="nil"/>
              <w:bottom w:val="single" w:sz="4" w:space="0" w:color="auto"/>
              <w:right w:val="nil"/>
            </w:tcBorders>
            <w:shd w:val="clear" w:color="auto" w:fill="auto"/>
            <w:vAlign w:val="center"/>
            <w:hideMark/>
          </w:tcPr>
          <w:p w14:paraId="3DCC19E5" w14:textId="5A5E6479" w:rsidR="00590A13" w:rsidRPr="006C0A05" w:rsidRDefault="00590A13" w:rsidP="009A29E1">
            <w:pPr>
              <w:pStyle w:val="TableColumnHeadingCentred"/>
            </w:pPr>
            <w:r>
              <w:rPr>
                <w:rFonts w:ascii="Calibri" w:hAnsi="Calibri"/>
                <w:color w:val="000000"/>
                <w:sz w:val="22"/>
                <w:szCs w:val="22"/>
              </w:rPr>
              <w:t>Labour income tax MEB ($)</w:t>
            </w:r>
          </w:p>
        </w:tc>
      </w:tr>
      <w:tr w:rsidR="00590A13" w:rsidRPr="006C0A05" w14:paraId="609257D1" w14:textId="77777777" w:rsidTr="006C0A05">
        <w:trPr>
          <w:trHeight w:val="300"/>
        </w:trPr>
        <w:tc>
          <w:tcPr>
            <w:tcW w:w="6096" w:type="dxa"/>
            <w:tcBorders>
              <w:top w:val="nil"/>
              <w:left w:val="nil"/>
              <w:bottom w:val="nil"/>
              <w:right w:val="nil"/>
            </w:tcBorders>
            <w:shd w:val="clear" w:color="auto" w:fill="auto"/>
            <w:noWrap/>
            <w:vAlign w:val="bottom"/>
            <w:hideMark/>
          </w:tcPr>
          <w:p w14:paraId="5783765A" w14:textId="523F8D02" w:rsidR="00590A13" w:rsidRPr="006C0A05" w:rsidRDefault="00590A13" w:rsidP="006C0A05">
            <w:pPr>
              <w:keepNext/>
              <w:spacing w:after="0" w:line="240" w:lineRule="auto"/>
              <w:rPr>
                <w:rFonts w:eastAsia="Times New Roman" w:cs="Times New Roman"/>
                <w:b/>
                <w:bCs/>
                <w:color w:val="000000"/>
                <w:lang w:eastAsia="en-AU"/>
              </w:rPr>
            </w:pPr>
            <w:r>
              <w:rPr>
                <w:b/>
                <w:bCs/>
                <w:color w:val="000000"/>
              </w:rPr>
              <w:t>Baseline</w:t>
            </w:r>
          </w:p>
        </w:tc>
        <w:tc>
          <w:tcPr>
            <w:tcW w:w="1712" w:type="dxa"/>
            <w:tcBorders>
              <w:top w:val="nil"/>
              <w:left w:val="nil"/>
              <w:bottom w:val="nil"/>
              <w:right w:val="nil"/>
            </w:tcBorders>
            <w:shd w:val="clear" w:color="auto" w:fill="auto"/>
            <w:noWrap/>
            <w:vAlign w:val="center"/>
            <w:hideMark/>
          </w:tcPr>
          <w:p w14:paraId="69603B20" w14:textId="163B3BF4"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2BC93210" w14:textId="7F675FD8"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0.21</w:t>
            </w:r>
          </w:p>
        </w:tc>
      </w:tr>
      <w:tr w:rsidR="00590A13" w:rsidRPr="006C0A05" w14:paraId="67368737" w14:textId="77777777" w:rsidTr="006C0A05">
        <w:trPr>
          <w:trHeight w:val="300"/>
        </w:trPr>
        <w:tc>
          <w:tcPr>
            <w:tcW w:w="6096" w:type="dxa"/>
            <w:tcBorders>
              <w:top w:val="nil"/>
              <w:left w:val="nil"/>
              <w:bottom w:val="nil"/>
              <w:right w:val="nil"/>
            </w:tcBorders>
            <w:shd w:val="clear" w:color="auto" w:fill="auto"/>
            <w:noWrap/>
            <w:vAlign w:val="bottom"/>
            <w:hideMark/>
          </w:tcPr>
          <w:p w14:paraId="693FDC1E" w14:textId="70191E48" w:rsidR="00590A13" w:rsidRPr="006C0A05" w:rsidRDefault="00590A13" w:rsidP="006C0A05">
            <w:pPr>
              <w:keepNext/>
              <w:spacing w:after="0" w:line="240" w:lineRule="auto"/>
              <w:ind w:firstLineChars="100" w:firstLine="220"/>
              <w:rPr>
                <w:rFonts w:eastAsia="Times New Roman" w:cs="Times New Roman"/>
                <w:color w:val="000000"/>
                <w:lang w:eastAsia="en-AU"/>
              </w:rPr>
            </w:pPr>
            <w:r>
              <w:rPr>
                <w:color w:val="000000"/>
              </w:rPr>
              <w:t>Average tax rate on personal taxable income</w:t>
            </w:r>
          </w:p>
        </w:tc>
        <w:tc>
          <w:tcPr>
            <w:tcW w:w="1712" w:type="dxa"/>
            <w:tcBorders>
              <w:top w:val="nil"/>
              <w:left w:val="nil"/>
              <w:bottom w:val="nil"/>
              <w:right w:val="nil"/>
            </w:tcBorders>
            <w:shd w:val="clear" w:color="auto" w:fill="auto"/>
            <w:noWrap/>
            <w:vAlign w:val="center"/>
            <w:hideMark/>
          </w:tcPr>
          <w:p w14:paraId="51EC5A04" w14:textId="69D07FA8"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0.21</w:t>
            </w:r>
          </w:p>
        </w:tc>
        <w:tc>
          <w:tcPr>
            <w:tcW w:w="1652" w:type="dxa"/>
            <w:tcBorders>
              <w:top w:val="nil"/>
              <w:left w:val="nil"/>
              <w:bottom w:val="nil"/>
              <w:right w:val="nil"/>
            </w:tcBorders>
            <w:shd w:val="clear" w:color="auto" w:fill="auto"/>
            <w:noWrap/>
            <w:vAlign w:val="center"/>
            <w:hideMark/>
          </w:tcPr>
          <w:p w14:paraId="7346339A" w14:textId="60BDBD28"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0.27</w:t>
            </w:r>
          </w:p>
        </w:tc>
      </w:tr>
      <w:tr w:rsidR="00590A13" w:rsidRPr="006C0A05" w14:paraId="0441CAC6" w14:textId="77777777" w:rsidTr="006C0A05">
        <w:trPr>
          <w:trHeight w:val="300"/>
        </w:trPr>
        <w:tc>
          <w:tcPr>
            <w:tcW w:w="6096" w:type="dxa"/>
            <w:tcBorders>
              <w:top w:val="nil"/>
              <w:left w:val="nil"/>
              <w:bottom w:val="nil"/>
              <w:right w:val="nil"/>
            </w:tcBorders>
            <w:shd w:val="clear" w:color="auto" w:fill="auto"/>
            <w:noWrap/>
            <w:vAlign w:val="bottom"/>
            <w:hideMark/>
          </w:tcPr>
          <w:p w14:paraId="31EE34F4" w14:textId="4AD91BEC" w:rsidR="00590A13" w:rsidRPr="006C0A05" w:rsidRDefault="00590A13" w:rsidP="006C0A05">
            <w:pPr>
              <w:keepNext/>
              <w:spacing w:after="0" w:line="240" w:lineRule="auto"/>
              <w:ind w:firstLineChars="100" w:firstLine="220"/>
              <w:rPr>
                <w:rFonts w:eastAsia="Times New Roman" w:cs="Times New Roman"/>
                <w:color w:val="000000"/>
                <w:lang w:eastAsia="en-AU"/>
              </w:rPr>
            </w:pPr>
            <w:r>
              <w:rPr>
                <w:color w:val="000000"/>
              </w:rPr>
              <w:t>Average marginal tax rate (individuals weighted)</w:t>
            </w:r>
          </w:p>
        </w:tc>
        <w:tc>
          <w:tcPr>
            <w:tcW w:w="1712" w:type="dxa"/>
            <w:tcBorders>
              <w:top w:val="nil"/>
              <w:left w:val="nil"/>
              <w:bottom w:val="nil"/>
              <w:right w:val="nil"/>
            </w:tcBorders>
            <w:shd w:val="clear" w:color="auto" w:fill="auto"/>
            <w:noWrap/>
            <w:vAlign w:val="center"/>
            <w:hideMark/>
          </w:tcPr>
          <w:p w14:paraId="1A7244AB" w14:textId="5801F262"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0.25</w:t>
            </w:r>
          </w:p>
        </w:tc>
        <w:tc>
          <w:tcPr>
            <w:tcW w:w="1652" w:type="dxa"/>
            <w:tcBorders>
              <w:top w:val="nil"/>
              <w:left w:val="nil"/>
              <w:bottom w:val="nil"/>
              <w:right w:val="nil"/>
            </w:tcBorders>
            <w:shd w:val="clear" w:color="auto" w:fill="auto"/>
            <w:noWrap/>
            <w:vAlign w:val="center"/>
            <w:hideMark/>
          </w:tcPr>
          <w:p w14:paraId="2CC1074C" w14:textId="208054EB" w:rsidR="00590A13" w:rsidRPr="006C0A05" w:rsidRDefault="00590A13" w:rsidP="006C0A05">
            <w:pPr>
              <w:keepNext/>
              <w:spacing w:after="0" w:line="240" w:lineRule="auto"/>
              <w:jc w:val="center"/>
              <w:rPr>
                <w:rFonts w:eastAsia="Times New Roman" w:cs="Times New Roman"/>
                <w:color w:val="000000"/>
                <w:lang w:eastAsia="en-AU"/>
              </w:rPr>
            </w:pPr>
            <w:r>
              <w:rPr>
                <w:color w:val="000000"/>
              </w:rPr>
              <w:t>0.32</w:t>
            </w:r>
          </w:p>
        </w:tc>
      </w:tr>
      <w:tr w:rsidR="00590A13" w:rsidRPr="006C0A05" w14:paraId="6F094E05" w14:textId="77777777" w:rsidTr="006C0A05">
        <w:trPr>
          <w:trHeight w:val="300"/>
        </w:trPr>
        <w:tc>
          <w:tcPr>
            <w:tcW w:w="6096" w:type="dxa"/>
            <w:tcBorders>
              <w:top w:val="single" w:sz="4" w:space="0" w:color="auto"/>
              <w:left w:val="nil"/>
              <w:bottom w:val="nil"/>
              <w:right w:val="nil"/>
            </w:tcBorders>
            <w:shd w:val="clear" w:color="auto" w:fill="auto"/>
            <w:noWrap/>
            <w:vAlign w:val="bottom"/>
            <w:hideMark/>
          </w:tcPr>
          <w:p w14:paraId="6B0CD170" w14:textId="06C6D021" w:rsidR="00590A13" w:rsidRPr="006C0A05" w:rsidRDefault="00590A13" w:rsidP="006C0A05">
            <w:pPr>
              <w:keepNext/>
              <w:spacing w:after="0" w:line="240" w:lineRule="auto"/>
              <w:rPr>
                <w:rFonts w:eastAsia="Times New Roman" w:cs="Times New Roman"/>
                <w:b/>
                <w:bCs/>
                <w:color w:val="000000"/>
                <w:lang w:eastAsia="en-AU"/>
              </w:rPr>
            </w:pPr>
            <w:r>
              <w:rPr>
                <w:b/>
                <w:bCs/>
                <w:color w:val="000000"/>
              </w:rPr>
              <w:t>Sensitivities: Parameters governing firm behaviour</w:t>
            </w:r>
          </w:p>
        </w:tc>
        <w:tc>
          <w:tcPr>
            <w:tcW w:w="1712" w:type="dxa"/>
            <w:tcBorders>
              <w:top w:val="single" w:sz="4" w:space="0" w:color="auto"/>
              <w:left w:val="nil"/>
              <w:bottom w:val="nil"/>
              <w:right w:val="nil"/>
            </w:tcBorders>
            <w:shd w:val="clear" w:color="auto" w:fill="auto"/>
            <w:noWrap/>
            <w:vAlign w:val="center"/>
            <w:hideMark/>
          </w:tcPr>
          <w:p w14:paraId="65CBA8C6" w14:textId="58A92829" w:rsidR="00590A13" w:rsidRPr="006C0A05" w:rsidRDefault="00590A13" w:rsidP="006C0A05">
            <w:pPr>
              <w:keepNext/>
              <w:spacing w:after="0" w:line="240" w:lineRule="auto"/>
              <w:jc w:val="center"/>
              <w:rPr>
                <w:rFonts w:eastAsia="Times New Roman" w:cs="Times New Roman"/>
                <w:color w:val="000000"/>
                <w:lang w:eastAsia="en-AU"/>
              </w:rPr>
            </w:pPr>
            <w:r>
              <w:rPr>
                <w:color w:val="000000"/>
              </w:rPr>
              <w:t> </w:t>
            </w:r>
          </w:p>
        </w:tc>
        <w:tc>
          <w:tcPr>
            <w:tcW w:w="1652" w:type="dxa"/>
            <w:tcBorders>
              <w:top w:val="single" w:sz="4" w:space="0" w:color="auto"/>
              <w:left w:val="nil"/>
              <w:bottom w:val="nil"/>
              <w:right w:val="nil"/>
            </w:tcBorders>
            <w:shd w:val="clear" w:color="auto" w:fill="auto"/>
            <w:noWrap/>
            <w:vAlign w:val="center"/>
            <w:hideMark/>
          </w:tcPr>
          <w:p w14:paraId="5116B422" w14:textId="1B469E85" w:rsidR="00590A13" w:rsidRPr="006C0A05" w:rsidRDefault="00590A13" w:rsidP="006C0A05">
            <w:pPr>
              <w:keepNext/>
              <w:spacing w:after="0" w:line="240" w:lineRule="auto"/>
              <w:jc w:val="center"/>
              <w:rPr>
                <w:rFonts w:eastAsia="Times New Roman" w:cs="Times New Roman"/>
                <w:color w:val="000000"/>
                <w:lang w:eastAsia="en-AU"/>
              </w:rPr>
            </w:pPr>
            <w:r>
              <w:rPr>
                <w:color w:val="000000"/>
              </w:rPr>
              <w:t> </w:t>
            </w:r>
          </w:p>
        </w:tc>
      </w:tr>
      <w:tr w:rsidR="00590A13" w:rsidRPr="006C0A05" w14:paraId="1B0C1A60" w14:textId="77777777" w:rsidTr="006C0A05">
        <w:trPr>
          <w:trHeight w:val="300"/>
        </w:trPr>
        <w:tc>
          <w:tcPr>
            <w:tcW w:w="6096" w:type="dxa"/>
            <w:tcBorders>
              <w:top w:val="nil"/>
              <w:left w:val="nil"/>
              <w:bottom w:val="nil"/>
              <w:right w:val="nil"/>
            </w:tcBorders>
            <w:shd w:val="clear" w:color="auto" w:fill="auto"/>
            <w:noWrap/>
            <w:vAlign w:val="bottom"/>
            <w:hideMark/>
          </w:tcPr>
          <w:p w14:paraId="53031591" w14:textId="41B5525C" w:rsidR="00590A13" w:rsidRPr="006C0A05" w:rsidRDefault="00590A13" w:rsidP="006C0A05">
            <w:pPr>
              <w:keepNext/>
              <w:spacing w:after="0" w:line="240" w:lineRule="auto"/>
              <w:rPr>
                <w:rFonts w:eastAsia="Times New Roman" w:cs="Times New Roman"/>
                <w:color w:val="000000"/>
                <w:lang w:eastAsia="en-AU"/>
              </w:rPr>
            </w:pPr>
            <w:r>
              <w:rPr>
                <w:color w:val="000000"/>
              </w:rPr>
              <w:t>Economic rents</w:t>
            </w:r>
          </w:p>
        </w:tc>
        <w:tc>
          <w:tcPr>
            <w:tcW w:w="1712" w:type="dxa"/>
            <w:tcBorders>
              <w:top w:val="nil"/>
              <w:left w:val="nil"/>
              <w:bottom w:val="nil"/>
              <w:right w:val="nil"/>
            </w:tcBorders>
            <w:shd w:val="clear" w:color="auto" w:fill="auto"/>
            <w:noWrap/>
            <w:vAlign w:val="center"/>
            <w:hideMark/>
          </w:tcPr>
          <w:p w14:paraId="385F5057"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3B99EC54"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2533396F" w14:textId="77777777" w:rsidTr="006C0A05">
        <w:trPr>
          <w:trHeight w:val="300"/>
        </w:trPr>
        <w:tc>
          <w:tcPr>
            <w:tcW w:w="6096" w:type="dxa"/>
            <w:tcBorders>
              <w:top w:val="nil"/>
              <w:left w:val="nil"/>
              <w:bottom w:val="nil"/>
              <w:right w:val="nil"/>
            </w:tcBorders>
            <w:shd w:val="clear" w:color="auto" w:fill="auto"/>
            <w:noWrap/>
            <w:vAlign w:val="bottom"/>
            <w:hideMark/>
          </w:tcPr>
          <w:p w14:paraId="3A5C8FC5" w14:textId="0B5BEF53"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rent share</w:t>
            </w:r>
          </w:p>
        </w:tc>
        <w:tc>
          <w:tcPr>
            <w:tcW w:w="1712" w:type="dxa"/>
            <w:tcBorders>
              <w:top w:val="nil"/>
              <w:left w:val="nil"/>
              <w:bottom w:val="nil"/>
              <w:right w:val="nil"/>
            </w:tcBorders>
            <w:shd w:val="clear" w:color="auto" w:fill="auto"/>
            <w:noWrap/>
            <w:vAlign w:val="center"/>
            <w:hideMark/>
          </w:tcPr>
          <w:p w14:paraId="0C044991" w14:textId="4B9B7ED4"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0.20</w:t>
            </w:r>
          </w:p>
        </w:tc>
        <w:tc>
          <w:tcPr>
            <w:tcW w:w="1652" w:type="dxa"/>
            <w:tcBorders>
              <w:top w:val="nil"/>
              <w:left w:val="nil"/>
              <w:bottom w:val="nil"/>
              <w:right w:val="nil"/>
            </w:tcBorders>
            <w:shd w:val="clear" w:color="auto" w:fill="auto"/>
            <w:noWrap/>
            <w:vAlign w:val="center"/>
            <w:hideMark/>
          </w:tcPr>
          <w:p w14:paraId="1B8700B7" w14:textId="485CCFEA"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0.25</w:t>
            </w:r>
          </w:p>
        </w:tc>
      </w:tr>
      <w:tr w:rsidR="00590A13" w:rsidRPr="006C0A05" w14:paraId="4FAB022D" w14:textId="77777777" w:rsidTr="006C0A05">
        <w:trPr>
          <w:trHeight w:val="300"/>
        </w:trPr>
        <w:tc>
          <w:tcPr>
            <w:tcW w:w="6096" w:type="dxa"/>
            <w:tcBorders>
              <w:top w:val="nil"/>
              <w:left w:val="nil"/>
              <w:bottom w:val="nil"/>
              <w:right w:val="nil"/>
            </w:tcBorders>
            <w:shd w:val="clear" w:color="auto" w:fill="auto"/>
            <w:noWrap/>
            <w:vAlign w:val="bottom"/>
            <w:hideMark/>
          </w:tcPr>
          <w:p w14:paraId="392F1FB5" w14:textId="60EB8984"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rent share</w:t>
            </w:r>
          </w:p>
        </w:tc>
        <w:tc>
          <w:tcPr>
            <w:tcW w:w="1712" w:type="dxa"/>
            <w:tcBorders>
              <w:top w:val="nil"/>
              <w:left w:val="nil"/>
              <w:bottom w:val="nil"/>
              <w:right w:val="nil"/>
            </w:tcBorders>
            <w:shd w:val="clear" w:color="auto" w:fill="auto"/>
            <w:noWrap/>
            <w:vAlign w:val="center"/>
            <w:hideMark/>
          </w:tcPr>
          <w:p w14:paraId="5FE02810" w14:textId="062C9B50"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0.15</w:t>
            </w:r>
          </w:p>
        </w:tc>
        <w:tc>
          <w:tcPr>
            <w:tcW w:w="1652" w:type="dxa"/>
            <w:tcBorders>
              <w:top w:val="nil"/>
              <w:left w:val="nil"/>
              <w:bottom w:val="nil"/>
              <w:right w:val="nil"/>
            </w:tcBorders>
            <w:shd w:val="clear" w:color="auto" w:fill="auto"/>
            <w:noWrap/>
            <w:vAlign w:val="center"/>
            <w:hideMark/>
          </w:tcPr>
          <w:p w14:paraId="356DC854" w14:textId="09D660FF"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0.20</w:t>
            </w:r>
          </w:p>
        </w:tc>
      </w:tr>
      <w:tr w:rsidR="00590A13" w:rsidRPr="006C0A05" w14:paraId="18B9A8A4" w14:textId="77777777" w:rsidTr="006C0A05">
        <w:trPr>
          <w:trHeight w:val="300"/>
        </w:trPr>
        <w:tc>
          <w:tcPr>
            <w:tcW w:w="6096" w:type="dxa"/>
            <w:tcBorders>
              <w:top w:val="nil"/>
              <w:left w:val="nil"/>
              <w:bottom w:val="nil"/>
              <w:right w:val="nil"/>
            </w:tcBorders>
            <w:shd w:val="clear" w:color="auto" w:fill="auto"/>
            <w:noWrap/>
            <w:vAlign w:val="bottom"/>
            <w:hideMark/>
          </w:tcPr>
          <w:p w14:paraId="6E7F5302" w14:textId="2C466C23" w:rsidR="00590A13" w:rsidRPr="006C0A05" w:rsidRDefault="00590A13" w:rsidP="006C0A05">
            <w:pPr>
              <w:keepNext/>
              <w:spacing w:after="0" w:line="240" w:lineRule="auto"/>
              <w:rPr>
                <w:rFonts w:eastAsia="Times New Roman" w:cs="Times New Roman"/>
                <w:color w:val="000000"/>
                <w:lang w:eastAsia="en-AU"/>
              </w:rPr>
            </w:pPr>
            <w:r>
              <w:rPr>
                <w:color w:val="000000"/>
              </w:rPr>
              <w:t>Foreign ownership of firms</w:t>
            </w:r>
          </w:p>
        </w:tc>
        <w:tc>
          <w:tcPr>
            <w:tcW w:w="1712" w:type="dxa"/>
            <w:tcBorders>
              <w:top w:val="nil"/>
              <w:left w:val="nil"/>
              <w:bottom w:val="nil"/>
              <w:right w:val="nil"/>
            </w:tcBorders>
            <w:shd w:val="clear" w:color="auto" w:fill="auto"/>
            <w:noWrap/>
            <w:vAlign w:val="center"/>
            <w:hideMark/>
          </w:tcPr>
          <w:p w14:paraId="25A06BB0"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6501170"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7ED16C67" w14:textId="77777777" w:rsidTr="006C0A05">
        <w:trPr>
          <w:trHeight w:val="300"/>
        </w:trPr>
        <w:tc>
          <w:tcPr>
            <w:tcW w:w="6096" w:type="dxa"/>
            <w:tcBorders>
              <w:top w:val="nil"/>
              <w:left w:val="nil"/>
              <w:bottom w:val="nil"/>
              <w:right w:val="nil"/>
            </w:tcBorders>
            <w:shd w:val="clear" w:color="auto" w:fill="auto"/>
            <w:noWrap/>
            <w:vAlign w:val="bottom"/>
            <w:hideMark/>
          </w:tcPr>
          <w:p w14:paraId="258762D6" w14:textId="718B96D6"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foreign ownership</w:t>
            </w:r>
          </w:p>
        </w:tc>
        <w:tc>
          <w:tcPr>
            <w:tcW w:w="1712" w:type="dxa"/>
            <w:tcBorders>
              <w:top w:val="nil"/>
              <w:left w:val="nil"/>
              <w:bottom w:val="nil"/>
              <w:right w:val="nil"/>
            </w:tcBorders>
            <w:shd w:val="clear" w:color="auto" w:fill="auto"/>
            <w:noWrap/>
            <w:vAlign w:val="center"/>
            <w:hideMark/>
          </w:tcPr>
          <w:p w14:paraId="55E77B9D" w14:textId="47F199BB"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0.17</w:t>
            </w:r>
          </w:p>
        </w:tc>
        <w:tc>
          <w:tcPr>
            <w:tcW w:w="1652" w:type="dxa"/>
            <w:tcBorders>
              <w:top w:val="nil"/>
              <w:left w:val="nil"/>
              <w:bottom w:val="nil"/>
              <w:right w:val="nil"/>
            </w:tcBorders>
            <w:shd w:val="clear" w:color="auto" w:fill="auto"/>
            <w:noWrap/>
            <w:vAlign w:val="center"/>
            <w:hideMark/>
          </w:tcPr>
          <w:p w14:paraId="2C7E2801" w14:textId="0DC62A75"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0.23</w:t>
            </w:r>
          </w:p>
        </w:tc>
      </w:tr>
      <w:tr w:rsidR="00590A13" w:rsidRPr="006C0A05" w14:paraId="4ADFB925" w14:textId="77777777" w:rsidTr="006C0A05">
        <w:trPr>
          <w:trHeight w:val="300"/>
        </w:trPr>
        <w:tc>
          <w:tcPr>
            <w:tcW w:w="6096" w:type="dxa"/>
            <w:tcBorders>
              <w:top w:val="nil"/>
              <w:left w:val="nil"/>
              <w:bottom w:val="nil"/>
              <w:right w:val="nil"/>
            </w:tcBorders>
            <w:shd w:val="clear" w:color="auto" w:fill="auto"/>
            <w:noWrap/>
            <w:vAlign w:val="bottom"/>
            <w:hideMark/>
          </w:tcPr>
          <w:p w14:paraId="4338948B" w14:textId="642747C3"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foreign ownership</w:t>
            </w:r>
          </w:p>
        </w:tc>
        <w:tc>
          <w:tcPr>
            <w:tcW w:w="1712" w:type="dxa"/>
            <w:tcBorders>
              <w:top w:val="nil"/>
              <w:left w:val="nil"/>
              <w:bottom w:val="nil"/>
              <w:right w:val="nil"/>
            </w:tcBorders>
            <w:shd w:val="clear" w:color="auto" w:fill="auto"/>
            <w:noWrap/>
            <w:vAlign w:val="center"/>
            <w:hideMark/>
          </w:tcPr>
          <w:p w14:paraId="6CA76C57" w14:textId="54854090"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6DF42942" w14:textId="0F57C4E3"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0.19</w:t>
            </w:r>
          </w:p>
        </w:tc>
      </w:tr>
      <w:tr w:rsidR="00590A13" w:rsidRPr="006C0A05" w14:paraId="5091567D" w14:textId="77777777" w:rsidTr="006C0A05">
        <w:trPr>
          <w:trHeight w:val="300"/>
        </w:trPr>
        <w:tc>
          <w:tcPr>
            <w:tcW w:w="6096" w:type="dxa"/>
            <w:tcBorders>
              <w:top w:val="nil"/>
              <w:left w:val="nil"/>
              <w:bottom w:val="nil"/>
              <w:right w:val="nil"/>
            </w:tcBorders>
            <w:shd w:val="clear" w:color="auto" w:fill="auto"/>
            <w:noWrap/>
            <w:vAlign w:val="bottom"/>
            <w:hideMark/>
          </w:tcPr>
          <w:p w14:paraId="03CE9723" w14:textId="7EF5E273" w:rsidR="00590A13" w:rsidRPr="006C0A05" w:rsidRDefault="00590A13" w:rsidP="006C0A05">
            <w:pPr>
              <w:keepNext/>
              <w:spacing w:after="0" w:line="240" w:lineRule="auto"/>
              <w:rPr>
                <w:rFonts w:eastAsia="Times New Roman" w:cs="Times New Roman"/>
                <w:color w:val="000000"/>
                <w:lang w:eastAsia="en-AU"/>
              </w:rPr>
            </w:pPr>
            <w:r>
              <w:rPr>
                <w:color w:val="000000"/>
              </w:rPr>
              <w:t>Capital mobility</w:t>
            </w:r>
          </w:p>
        </w:tc>
        <w:tc>
          <w:tcPr>
            <w:tcW w:w="1712" w:type="dxa"/>
            <w:tcBorders>
              <w:top w:val="nil"/>
              <w:left w:val="nil"/>
              <w:bottom w:val="nil"/>
              <w:right w:val="nil"/>
            </w:tcBorders>
            <w:shd w:val="clear" w:color="auto" w:fill="auto"/>
            <w:noWrap/>
            <w:vAlign w:val="center"/>
            <w:hideMark/>
          </w:tcPr>
          <w:p w14:paraId="2788D343"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471D77FF"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46ECAE8B" w14:textId="77777777" w:rsidTr="006C0A05">
        <w:trPr>
          <w:trHeight w:val="300"/>
        </w:trPr>
        <w:tc>
          <w:tcPr>
            <w:tcW w:w="6096" w:type="dxa"/>
            <w:tcBorders>
              <w:top w:val="nil"/>
              <w:left w:val="nil"/>
              <w:bottom w:val="nil"/>
              <w:right w:val="nil"/>
            </w:tcBorders>
            <w:shd w:val="clear" w:color="auto" w:fill="auto"/>
            <w:noWrap/>
            <w:vAlign w:val="bottom"/>
            <w:hideMark/>
          </w:tcPr>
          <w:p w14:paraId="72AFE5FA" w14:textId="4811A1C2"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Imperfect capital mobility</w:t>
            </w:r>
          </w:p>
        </w:tc>
        <w:tc>
          <w:tcPr>
            <w:tcW w:w="1712" w:type="dxa"/>
            <w:tcBorders>
              <w:top w:val="nil"/>
              <w:left w:val="nil"/>
              <w:bottom w:val="nil"/>
              <w:right w:val="nil"/>
            </w:tcBorders>
            <w:shd w:val="clear" w:color="auto" w:fill="auto"/>
            <w:noWrap/>
            <w:vAlign w:val="center"/>
            <w:hideMark/>
          </w:tcPr>
          <w:p w14:paraId="6116AF97" w14:textId="6CAB279A"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0.15</w:t>
            </w:r>
          </w:p>
        </w:tc>
        <w:tc>
          <w:tcPr>
            <w:tcW w:w="1652" w:type="dxa"/>
            <w:tcBorders>
              <w:top w:val="nil"/>
              <w:left w:val="nil"/>
              <w:bottom w:val="nil"/>
              <w:right w:val="nil"/>
            </w:tcBorders>
            <w:shd w:val="clear" w:color="auto" w:fill="auto"/>
            <w:noWrap/>
            <w:vAlign w:val="center"/>
            <w:hideMark/>
          </w:tcPr>
          <w:p w14:paraId="3E5B12CA" w14:textId="172D5F2E"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0.19</w:t>
            </w:r>
          </w:p>
        </w:tc>
      </w:tr>
      <w:tr w:rsidR="00590A13" w:rsidRPr="006C0A05" w14:paraId="31DC2BEF" w14:textId="77777777" w:rsidTr="006C0A05">
        <w:trPr>
          <w:trHeight w:val="300"/>
        </w:trPr>
        <w:tc>
          <w:tcPr>
            <w:tcW w:w="6096" w:type="dxa"/>
            <w:tcBorders>
              <w:top w:val="nil"/>
              <w:left w:val="nil"/>
              <w:bottom w:val="nil"/>
              <w:right w:val="nil"/>
            </w:tcBorders>
            <w:shd w:val="clear" w:color="auto" w:fill="auto"/>
            <w:noWrap/>
            <w:vAlign w:val="bottom"/>
            <w:hideMark/>
          </w:tcPr>
          <w:p w14:paraId="00F0D833" w14:textId="6F70307B" w:rsidR="00590A13" w:rsidRPr="006C0A05" w:rsidRDefault="00590A13" w:rsidP="006C0A05">
            <w:pPr>
              <w:keepNext/>
              <w:spacing w:after="0" w:line="240" w:lineRule="auto"/>
              <w:rPr>
                <w:rFonts w:eastAsia="Times New Roman" w:cs="Times New Roman"/>
                <w:color w:val="000000"/>
                <w:lang w:eastAsia="en-AU"/>
              </w:rPr>
            </w:pPr>
            <w:r>
              <w:rPr>
                <w:color w:val="000000"/>
              </w:rPr>
              <w:t xml:space="preserve">Profit shifting </w:t>
            </w:r>
          </w:p>
        </w:tc>
        <w:tc>
          <w:tcPr>
            <w:tcW w:w="1712" w:type="dxa"/>
            <w:tcBorders>
              <w:top w:val="nil"/>
              <w:left w:val="nil"/>
              <w:bottom w:val="nil"/>
              <w:right w:val="nil"/>
            </w:tcBorders>
            <w:shd w:val="clear" w:color="auto" w:fill="auto"/>
            <w:noWrap/>
            <w:vAlign w:val="center"/>
            <w:hideMark/>
          </w:tcPr>
          <w:p w14:paraId="32A2DDDE"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2D26501D"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2EB09812" w14:textId="77777777" w:rsidTr="006C0A05">
        <w:trPr>
          <w:trHeight w:val="300"/>
        </w:trPr>
        <w:tc>
          <w:tcPr>
            <w:tcW w:w="6096" w:type="dxa"/>
            <w:tcBorders>
              <w:top w:val="nil"/>
              <w:left w:val="nil"/>
              <w:bottom w:val="nil"/>
              <w:right w:val="nil"/>
            </w:tcBorders>
            <w:shd w:val="clear" w:color="auto" w:fill="auto"/>
            <w:noWrap/>
            <w:vAlign w:val="bottom"/>
            <w:hideMark/>
          </w:tcPr>
          <w:p w14:paraId="668E4547" w14:textId="42C9B855"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profit shifting</w:t>
            </w:r>
          </w:p>
        </w:tc>
        <w:tc>
          <w:tcPr>
            <w:tcW w:w="1712" w:type="dxa"/>
            <w:tcBorders>
              <w:top w:val="nil"/>
              <w:left w:val="nil"/>
              <w:bottom w:val="nil"/>
              <w:right w:val="nil"/>
            </w:tcBorders>
            <w:shd w:val="clear" w:color="auto" w:fill="auto"/>
            <w:noWrap/>
            <w:vAlign w:val="center"/>
            <w:hideMark/>
          </w:tcPr>
          <w:p w14:paraId="7B04A7FE" w14:textId="64A3BE01"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0.17</w:t>
            </w:r>
          </w:p>
        </w:tc>
        <w:tc>
          <w:tcPr>
            <w:tcW w:w="1652" w:type="dxa"/>
            <w:tcBorders>
              <w:top w:val="nil"/>
              <w:left w:val="nil"/>
              <w:bottom w:val="nil"/>
              <w:right w:val="nil"/>
            </w:tcBorders>
            <w:shd w:val="clear" w:color="auto" w:fill="auto"/>
            <w:noWrap/>
            <w:vAlign w:val="center"/>
            <w:hideMark/>
          </w:tcPr>
          <w:p w14:paraId="7CADB2C8" w14:textId="0BBFAFB9"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0.22</w:t>
            </w:r>
          </w:p>
        </w:tc>
      </w:tr>
      <w:tr w:rsidR="00590A13" w:rsidRPr="006C0A05" w14:paraId="0262F361" w14:textId="77777777" w:rsidTr="006C0A05">
        <w:trPr>
          <w:trHeight w:val="300"/>
        </w:trPr>
        <w:tc>
          <w:tcPr>
            <w:tcW w:w="6096" w:type="dxa"/>
            <w:tcBorders>
              <w:top w:val="nil"/>
              <w:left w:val="nil"/>
              <w:bottom w:val="nil"/>
              <w:right w:val="nil"/>
            </w:tcBorders>
            <w:shd w:val="clear" w:color="auto" w:fill="auto"/>
            <w:noWrap/>
            <w:vAlign w:val="bottom"/>
            <w:hideMark/>
          </w:tcPr>
          <w:p w14:paraId="47C6B64B" w14:textId="483866BF"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profit shifting</w:t>
            </w:r>
          </w:p>
        </w:tc>
        <w:tc>
          <w:tcPr>
            <w:tcW w:w="1712" w:type="dxa"/>
            <w:tcBorders>
              <w:top w:val="nil"/>
              <w:left w:val="nil"/>
              <w:bottom w:val="nil"/>
              <w:right w:val="nil"/>
            </w:tcBorders>
            <w:shd w:val="clear" w:color="auto" w:fill="auto"/>
            <w:noWrap/>
            <w:vAlign w:val="center"/>
            <w:hideMark/>
          </w:tcPr>
          <w:p w14:paraId="2D4C273A" w14:textId="114E1DC8"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5D899696" w14:textId="359E5697"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0.20</w:t>
            </w:r>
          </w:p>
        </w:tc>
      </w:tr>
      <w:tr w:rsidR="00590A13" w:rsidRPr="006C0A05" w14:paraId="3147B31E" w14:textId="77777777" w:rsidTr="006C0A05">
        <w:trPr>
          <w:trHeight w:val="300"/>
        </w:trPr>
        <w:tc>
          <w:tcPr>
            <w:tcW w:w="6096" w:type="dxa"/>
            <w:tcBorders>
              <w:top w:val="nil"/>
              <w:left w:val="nil"/>
              <w:bottom w:val="nil"/>
              <w:right w:val="nil"/>
            </w:tcBorders>
            <w:shd w:val="clear" w:color="auto" w:fill="auto"/>
            <w:noWrap/>
            <w:vAlign w:val="bottom"/>
            <w:hideMark/>
          </w:tcPr>
          <w:p w14:paraId="291F7F85" w14:textId="6F2B1D39" w:rsidR="00590A13" w:rsidRPr="006C0A05" w:rsidRDefault="00590A13" w:rsidP="006C0A05">
            <w:pPr>
              <w:keepNext/>
              <w:spacing w:after="0" w:line="240" w:lineRule="auto"/>
              <w:rPr>
                <w:rFonts w:eastAsia="Times New Roman" w:cs="Times New Roman"/>
                <w:color w:val="000000"/>
                <w:lang w:eastAsia="en-AU"/>
              </w:rPr>
            </w:pPr>
            <w:r>
              <w:rPr>
                <w:color w:val="000000"/>
              </w:rPr>
              <w:t>Structures</w:t>
            </w:r>
            <w:r w:rsidR="00F03697">
              <w:rPr>
                <w:color w:val="000000"/>
              </w:rPr>
              <w:noBreakHyphen/>
            </w:r>
            <w:r>
              <w:rPr>
                <w:color w:val="000000"/>
              </w:rPr>
              <w:t>land substitution elasticity</w:t>
            </w:r>
          </w:p>
        </w:tc>
        <w:tc>
          <w:tcPr>
            <w:tcW w:w="1712" w:type="dxa"/>
            <w:tcBorders>
              <w:top w:val="nil"/>
              <w:left w:val="nil"/>
              <w:bottom w:val="nil"/>
              <w:right w:val="nil"/>
            </w:tcBorders>
            <w:shd w:val="clear" w:color="auto" w:fill="auto"/>
            <w:noWrap/>
            <w:vAlign w:val="center"/>
            <w:hideMark/>
          </w:tcPr>
          <w:p w14:paraId="386BDC66"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CF2FFB0"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04DFDD01" w14:textId="77777777" w:rsidTr="006C0A05">
        <w:trPr>
          <w:trHeight w:val="300"/>
        </w:trPr>
        <w:tc>
          <w:tcPr>
            <w:tcW w:w="6096" w:type="dxa"/>
            <w:tcBorders>
              <w:top w:val="nil"/>
              <w:left w:val="nil"/>
              <w:bottom w:val="nil"/>
              <w:right w:val="nil"/>
            </w:tcBorders>
            <w:shd w:val="clear" w:color="auto" w:fill="auto"/>
            <w:noWrap/>
            <w:vAlign w:val="bottom"/>
            <w:hideMark/>
          </w:tcPr>
          <w:p w14:paraId="26AF57DF" w14:textId="63B068B2"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elasticity</w:t>
            </w:r>
          </w:p>
        </w:tc>
        <w:tc>
          <w:tcPr>
            <w:tcW w:w="1712" w:type="dxa"/>
            <w:tcBorders>
              <w:top w:val="nil"/>
              <w:left w:val="nil"/>
              <w:bottom w:val="nil"/>
              <w:right w:val="nil"/>
            </w:tcBorders>
            <w:shd w:val="clear" w:color="auto" w:fill="auto"/>
            <w:noWrap/>
            <w:vAlign w:val="center"/>
            <w:hideMark/>
          </w:tcPr>
          <w:p w14:paraId="2FCAD4EA" w14:textId="75D3C10B"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0.12</w:t>
            </w:r>
          </w:p>
        </w:tc>
        <w:tc>
          <w:tcPr>
            <w:tcW w:w="1652" w:type="dxa"/>
            <w:tcBorders>
              <w:top w:val="nil"/>
              <w:left w:val="nil"/>
              <w:bottom w:val="nil"/>
              <w:right w:val="nil"/>
            </w:tcBorders>
            <w:shd w:val="clear" w:color="auto" w:fill="auto"/>
            <w:noWrap/>
            <w:vAlign w:val="center"/>
            <w:hideMark/>
          </w:tcPr>
          <w:p w14:paraId="1356D2C0" w14:textId="7157C064"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r>
      <w:tr w:rsidR="00590A13" w:rsidRPr="006C0A05" w14:paraId="7EF06DFB" w14:textId="77777777" w:rsidTr="006C0A05">
        <w:trPr>
          <w:trHeight w:val="300"/>
        </w:trPr>
        <w:tc>
          <w:tcPr>
            <w:tcW w:w="6096" w:type="dxa"/>
            <w:tcBorders>
              <w:top w:val="nil"/>
              <w:left w:val="nil"/>
              <w:bottom w:val="nil"/>
              <w:right w:val="nil"/>
            </w:tcBorders>
            <w:shd w:val="clear" w:color="auto" w:fill="auto"/>
            <w:noWrap/>
            <w:vAlign w:val="bottom"/>
            <w:hideMark/>
          </w:tcPr>
          <w:p w14:paraId="1B2E2D42" w14:textId="235393D4"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elasticity</w:t>
            </w:r>
          </w:p>
        </w:tc>
        <w:tc>
          <w:tcPr>
            <w:tcW w:w="1712" w:type="dxa"/>
            <w:tcBorders>
              <w:top w:val="nil"/>
              <w:left w:val="nil"/>
              <w:bottom w:val="nil"/>
              <w:right w:val="nil"/>
            </w:tcBorders>
            <w:shd w:val="clear" w:color="auto" w:fill="auto"/>
            <w:noWrap/>
            <w:vAlign w:val="center"/>
            <w:hideMark/>
          </w:tcPr>
          <w:p w14:paraId="558AF1CD" w14:textId="34EE6BE6"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0.17</w:t>
            </w:r>
          </w:p>
        </w:tc>
        <w:tc>
          <w:tcPr>
            <w:tcW w:w="1652" w:type="dxa"/>
            <w:tcBorders>
              <w:top w:val="nil"/>
              <w:left w:val="nil"/>
              <w:bottom w:val="nil"/>
              <w:right w:val="nil"/>
            </w:tcBorders>
            <w:shd w:val="clear" w:color="auto" w:fill="auto"/>
            <w:noWrap/>
            <w:vAlign w:val="center"/>
            <w:hideMark/>
          </w:tcPr>
          <w:p w14:paraId="4E6B217C" w14:textId="687B1BC5"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0.22</w:t>
            </w:r>
          </w:p>
        </w:tc>
      </w:tr>
      <w:tr w:rsidR="00590A13" w:rsidRPr="006C0A05" w14:paraId="6D7C465A" w14:textId="77777777" w:rsidTr="006C0A05">
        <w:trPr>
          <w:trHeight w:val="300"/>
        </w:trPr>
        <w:tc>
          <w:tcPr>
            <w:tcW w:w="6096" w:type="dxa"/>
            <w:tcBorders>
              <w:top w:val="nil"/>
              <w:left w:val="nil"/>
              <w:bottom w:val="nil"/>
              <w:right w:val="nil"/>
            </w:tcBorders>
            <w:shd w:val="clear" w:color="auto" w:fill="auto"/>
            <w:noWrap/>
            <w:vAlign w:val="bottom"/>
            <w:hideMark/>
          </w:tcPr>
          <w:p w14:paraId="68B83183" w14:textId="61C7E596" w:rsidR="00590A13" w:rsidRPr="006C0A05" w:rsidRDefault="00590A13" w:rsidP="006C0A05">
            <w:pPr>
              <w:keepNext/>
              <w:spacing w:after="0" w:line="240" w:lineRule="auto"/>
              <w:rPr>
                <w:rFonts w:eastAsia="Times New Roman" w:cs="Times New Roman"/>
                <w:color w:val="000000"/>
                <w:lang w:eastAsia="en-AU"/>
              </w:rPr>
            </w:pPr>
            <w:r>
              <w:rPr>
                <w:color w:val="000000"/>
              </w:rPr>
              <w:t>Capital</w:t>
            </w:r>
            <w:r w:rsidR="00F03697">
              <w:rPr>
                <w:color w:val="000000"/>
              </w:rPr>
              <w:noBreakHyphen/>
            </w:r>
            <w:r>
              <w:rPr>
                <w:color w:val="000000"/>
              </w:rPr>
              <w:t>labour substitution elasticity</w:t>
            </w:r>
          </w:p>
        </w:tc>
        <w:tc>
          <w:tcPr>
            <w:tcW w:w="1712" w:type="dxa"/>
            <w:tcBorders>
              <w:top w:val="nil"/>
              <w:left w:val="nil"/>
              <w:bottom w:val="nil"/>
              <w:right w:val="nil"/>
            </w:tcBorders>
            <w:shd w:val="clear" w:color="auto" w:fill="auto"/>
            <w:noWrap/>
            <w:vAlign w:val="center"/>
            <w:hideMark/>
          </w:tcPr>
          <w:p w14:paraId="7D506E0A"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19A74B7"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475A4886" w14:textId="77777777" w:rsidTr="006C0A05">
        <w:trPr>
          <w:trHeight w:val="300"/>
        </w:trPr>
        <w:tc>
          <w:tcPr>
            <w:tcW w:w="6096" w:type="dxa"/>
            <w:tcBorders>
              <w:top w:val="nil"/>
              <w:left w:val="nil"/>
              <w:bottom w:val="nil"/>
              <w:right w:val="nil"/>
            </w:tcBorders>
            <w:shd w:val="clear" w:color="auto" w:fill="auto"/>
            <w:noWrap/>
            <w:vAlign w:val="bottom"/>
            <w:hideMark/>
          </w:tcPr>
          <w:p w14:paraId="53A3DB89" w14:textId="0881A072"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elasticity</w:t>
            </w:r>
          </w:p>
        </w:tc>
        <w:tc>
          <w:tcPr>
            <w:tcW w:w="1712" w:type="dxa"/>
            <w:tcBorders>
              <w:top w:val="nil"/>
              <w:left w:val="nil"/>
              <w:bottom w:val="nil"/>
              <w:right w:val="nil"/>
            </w:tcBorders>
            <w:shd w:val="clear" w:color="auto" w:fill="auto"/>
            <w:noWrap/>
            <w:vAlign w:val="center"/>
            <w:hideMark/>
          </w:tcPr>
          <w:p w14:paraId="502A05BD" w14:textId="23940D9D"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0.17</w:t>
            </w:r>
          </w:p>
        </w:tc>
        <w:tc>
          <w:tcPr>
            <w:tcW w:w="1652" w:type="dxa"/>
            <w:tcBorders>
              <w:top w:val="nil"/>
              <w:left w:val="nil"/>
              <w:bottom w:val="nil"/>
              <w:right w:val="nil"/>
            </w:tcBorders>
            <w:shd w:val="clear" w:color="auto" w:fill="auto"/>
            <w:noWrap/>
            <w:vAlign w:val="center"/>
            <w:hideMark/>
          </w:tcPr>
          <w:p w14:paraId="772AFDDF" w14:textId="479A3BD0"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0.22</w:t>
            </w:r>
          </w:p>
        </w:tc>
      </w:tr>
      <w:tr w:rsidR="00590A13" w:rsidRPr="006C0A05" w14:paraId="7C9E433C" w14:textId="77777777" w:rsidTr="006C0A05">
        <w:trPr>
          <w:trHeight w:val="300"/>
        </w:trPr>
        <w:tc>
          <w:tcPr>
            <w:tcW w:w="6096" w:type="dxa"/>
            <w:tcBorders>
              <w:top w:val="nil"/>
              <w:left w:val="nil"/>
              <w:bottom w:val="single" w:sz="4" w:space="0" w:color="auto"/>
              <w:right w:val="nil"/>
            </w:tcBorders>
            <w:shd w:val="clear" w:color="auto" w:fill="auto"/>
            <w:noWrap/>
            <w:vAlign w:val="bottom"/>
            <w:hideMark/>
          </w:tcPr>
          <w:p w14:paraId="6D9D27E6" w14:textId="1F17A9BB"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elasticity</w:t>
            </w:r>
          </w:p>
        </w:tc>
        <w:tc>
          <w:tcPr>
            <w:tcW w:w="1712" w:type="dxa"/>
            <w:tcBorders>
              <w:top w:val="nil"/>
              <w:left w:val="nil"/>
              <w:bottom w:val="single" w:sz="4" w:space="0" w:color="auto"/>
              <w:right w:val="nil"/>
            </w:tcBorders>
            <w:shd w:val="clear" w:color="auto" w:fill="auto"/>
            <w:noWrap/>
            <w:vAlign w:val="center"/>
            <w:hideMark/>
          </w:tcPr>
          <w:p w14:paraId="41109FFC" w14:textId="7F9389D6"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single" w:sz="4" w:space="0" w:color="auto"/>
              <w:right w:val="nil"/>
            </w:tcBorders>
            <w:shd w:val="clear" w:color="auto" w:fill="auto"/>
            <w:noWrap/>
            <w:vAlign w:val="center"/>
            <w:hideMark/>
          </w:tcPr>
          <w:p w14:paraId="35D662EF" w14:textId="7B22BBDD"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0.20</w:t>
            </w:r>
          </w:p>
        </w:tc>
      </w:tr>
      <w:tr w:rsidR="00590A13" w:rsidRPr="006C0A05" w14:paraId="55C1315E" w14:textId="77777777" w:rsidTr="006C0A05">
        <w:trPr>
          <w:trHeight w:val="300"/>
        </w:trPr>
        <w:tc>
          <w:tcPr>
            <w:tcW w:w="6096" w:type="dxa"/>
            <w:tcBorders>
              <w:top w:val="nil"/>
              <w:left w:val="nil"/>
              <w:bottom w:val="nil"/>
              <w:right w:val="nil"/>
            </w:tcBorders>
            <w:shd w:val="clear" w:color="auto" w:fill="auto"/>
            <w:noWrap/>
            <w:vAlign w:val="bottom"/>
            <w:hideMark/>
          </w:tcPr>
          <w:p w14:paraId="5E8661E3" w14:textId="273B8D87" w:rsidR="00590A13" w:rsidRPr="006C0A05" w:rsidRDefault="00590A13" w:rsidP="006C0A05">
            <w:pPr>
              <w:keepNext/>
              <w:spacing w:after="0" w:line="240" w:lineRule="auto"/>
              <w:rPr>
                <w:rFonts w:eastAsia="Times New Roman" w:cs="Times New Roman"/>
                <w:b/>
                <w:bCs/>
                <w:color w:val="000000"/>
                <w:lang w:eastAsia="en-AU"/>
              </w:rPr>
            </w:pPr>
            <w:r>
              <w:rPr>
                <w:b/>
                <w:bCs/>
                <w:color w:val="000000"/>
              </w:rPr>
              <w:t>Sensitivities: Parameters governing household behaviour</w:t>
            </w:r>
          </w:p>
        </w:tc>
        <w:tc>
          <w:tcPr>
            <w:tcW w:w="1712" w:type="dxa"/>
            <w:tcBorders>
              <w:top w:val="nil"/>
              <w:left w:val="nil"/>
              <w:bottom w:val="nil"/>
              <w:right w:val="nil"/>
            </w:tcBorders>
            <w:shd w:val="clear" w:color="auto" w:fill="auto"/>
            <w:noWrap/>
            <w:vAlign w:val="center"/>
            <w:hideMark/>
          </w:tcPr>
          <w:p w14:paraId="64661C80"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3C604EF0"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78CFF547" w14:textId="77777777" w:rsidTr="006C0A05">
        <w:trPr>
          <w:trHeight w:val="300"/>
        </w:trPr>
        <w:tc>
          <w:tcPr>
            <w:tcW w:w="6096" w:type="dxa"/>
            <w:tcBorders>
              <w:top w:val="nil"/>
              <w:left w:val="nil"/>
              <w:bottom w:val="nil"/>
              <w:right w:val="nil"/>
            </w:tcBorders>
            <w:shd w:val="clear" w:color="auto" w:fill="auto"/>
            <w:noWrap/>
            <w:vAlign w:val="bottom"/>
            <w:hideMark/>
          </w:tcPr>
          <w:p w14:paraId="6F8FB75E" w14:textId="6D08A16A" w:rsidR="00590A13" w:rsidRPr="006C0A05" w:rsidRDefault="00590A13" w:rsidP="006C0A05">
            <w:pPr>
              <w:keepNext/>
              <w:spacing w:after="0" w:line="240" w:lineRule="auto"/>
              <w:rPr>
                <w:rFonts w:eastAsia="Times New Roman" w:cs="Times New Roman"/>
                <w:color w:val="000000"/>
                <w:lang w:eastAsia="en-AU"/>
              </w:rPr>
            </w:pPr>
            <w:r>
              <w:rPr>
                <w:color w:val="000000"/>
              </w:rPr>
              <w:t>Labour</w:t>
            </w:r>
            <w:r w:rsidR="00F03697">
              <w:rPr>
                <w:color w:val="000000"/>
              </w:rPr>
              <w:noBreakHyphen/>
            </w:r>
            <w:r>
              <w:rPr>
                <w:color w:val="000000"/>
              </w:rPr>
              <w:t>leisure ratio (N:L = 2:1)</w:t>
            </w:r>
          </w:p>
        </w:tc>
        <w:tc>
          <w:tcPr>
            <w:tcW w:w="1712" w:type="dxa"/>
            <w:tcBorders>
              <w:top w:val="nil"/>
              <w:left w:val="nil"/>
              <w:bottom w:val="nil"/>
              <w:right w:val="nil"/>
            </w:tcBorders>
            <w:shd w:val="clear" w:color="auto" w:fill="auto"/>
            <w:noWrap/>
            <w:vAlign w:val="center"/>
            <w:hideMark/>
          </w:tcPr>
          <w:p w14:paraId="777A7147"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2F58B2CB"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30FC3234" w14:textId="77777777" w:rsidTr="006C0A05">
        <w:trPr>
          <w:trHeight w:val="300"/>
        </w:trPr>
        <w:tc>
          <w:tcPr>
            <w:tcW w:w="6096" w:type="dxa"/>
            <w:tcBorders>
              <w:top w:val="nil"/>
              <w:left w:val="nil"/>
              <w:bottom w:val="nil"/>
              <w:right w:val="nil"/>
            </w:tcBorders>
            <w:shd w:val="clear" w:color="auto" w:fill="auto"/>
            <w:noWrap/>
            <w:vAlign w:val="bottom"/>
            <w:hideMark/>
          </w:tcPr>
          <w:p w14:paraId="5D019555" w14:textId="0232D778"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Medium (N:L = 1:1)</w:t>
            </w:r>
          </w:p>
        </w:tc>
        <w:tc>
          <w:tcPr>
            <w:tcW w:w="1712" w:type="dxa"/>
            <w:tcBorders>
              <w:top w:val="nil"/>
              <w:left w:val="nil"/>
              <w:bottom w:val="nil"/>
              <w:right w:val="nil"/>
            </w:tcBorders>
            <w:shd w:val="clear" w:color="auto" w:fill="auto"/>
            <w:noWrap/>
            <w:vAlign w:val="center"/>
            <w:hideMark/>
          </w:tcPr>
          <w:p w14:paraId="20CAD757" w14:textId="2FFA1906"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0.25</w:t>
            </w:r>
          </w:p>
        </w:tc>
        <w:tc>
          <w:tcPr>
            <w:tcW w:w="1652" w:type="dxa"/>
            <w:tcBorders>
              <w:top w:val="nil"/>
              <w:left w:val="nil"/>
              <w:bottom w:val="nil"/>
              <w:right w:val="nil"/>
            </w:tcBorders>
            <w:shd w:val="clear" w:color="auto" w:fill="auto"/>
            <w:noWrap/>
            <w:vAlign w:val="center"/>
            <w:hideMark/>
          </w:tcPr>
          <w:p w14:paraId="20B3E8F1" w14:textId="6E3CCB0F" w:rsidR="00590A13" w:rsidRPr="006C0A05" w:rsidRDefault="00590A13" w:rsidP="006C0A05">
            <w:pPr>
              <w:keepNext/>
              <w:spacing w:after="0" w:line="240" w:lineRule="auto"/>
              <w:jc w:val="center"/>
              <w:rPr>
                <w:rFonts w:eastAsia="Times New Roman" w:cs="Times New Roman"/>
                <w:color w:val="000000"/>
                <w:lang w:eastAsia="en-AU"/>
              </w:rPr>
            </w:pPr>
            <w:r>
              <w:rPr>
                <w:color w:val="000000"/>
              </w:rPr>
              <w:t>0.33</w:t>
            </w:r>
          </w:p>
        </w:tc>
      </w:tr>
      <w:tr w:rsidR="00590A13" w:rsidRPr="006C0A05" w14:paraId="0BB13A66" w14:textId="77777777" w:rsidTr="006C0A05">
        <w:trPr>
          <w:trHeight w:val="300"/>
        </w:trPr>
        <w:tc>
          <w:tcPr>
            <w:tcW w:w="6096" w:type="dxa"/>
            <w:tcBorders>
              <w:top w:val="nil"/>
              <w:left w:val="nil"/>
              <w:bottom w:val="nil"/>
              <w:right w:val="nil"/>
            </w:tcBorders>
            <w:shd w:val="clear" w:color="auto" w:fill="auto"/>
            <w:noWrap/>
            <w:vAlign w:val="bottom"/>
            <w:hideMark/>
          </w:tcPr>
          <w:p w14:paraId="561EC7C3" w14:textId="142EC640"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(N:L = 1:2)</w:t>
            </w:r>
          </w:p>
        </w:tc>
        <w:tc>
          <w:tcPr>
            <w:tcW w:w="1712" w:type="dxa"/>
            <w:tcBorders>
              <w:top w:val="nil"/>
              <w:left w:val="nil"/>
              <w:bottom w:val="nil"/>
              <w:right w:val="nil"/>
            </w:tcBorders>
            <w:shd w:val="clear" w:color="auto" w:fill="auto"/>
            <w:noWrap/>
            <w:vAlign w:val="center"/>
            <w:hideMark/>
          </w:tcPr>
          <w:p w14:paraId="75E259A1" w14:textId="5D9D984D" w:rsidR="00590A13" w:rsidRPr="006C0A05" w:rsidRDefault="00590A13" w:rsidP="006C0A05">
            <w:pPr>
              <w:keepNext/>
              <w:spacing w:after="0" w:line="240" w:lineRule="auto"/>
              <w:jc w:val="center"/>
              <w:rPr>
                <w:rFonts w:eastAsia="Times New Roman" w:cs="Times New Roman"/>
                <w:color w:val="000000"/>
                <w:lang w:eastAsia="en-AU"/>
              </w:rPr>
            </w:pPr>
            <w:r>
              <w:rPr>
                <w:color w:val="000000"/>
              </w:rPr>
              <w:t>0.34</w:t>
            </w:r>
          </w:p>
        </w:tc>
        <w:tc>
          <w:tcPr>
            <w:tcW w:w="1652" w:type="dxa"/>
            <w:tcBorders>
              <w:top w:val="nil"/>
              <w:left w:val="nil"/>
              <w:bottom w:val="nil"/>
              <w:right w:val="nil"/>
            </w:tcBorders>
            <w:shd w:val="clear" w:color="auto" w:fill="auto"/>
            <w:noWrap/>
            <w:vAlign w:val="center"/>
            <w:hideMark/>
          </w:tcPr>
          <w:p w14:paraId="079574DF" w14:textId="5332B1CB" w:rsidR="00590A13" w:rsidRPr="006C0A05" w:rsidRDefault="00590A13" w:rsidP="006C0A05">
            <w:pPr>
              <w:keepNext/>
              <w:spacing w:after="0" w:line="240" w:lineRule="auto"/>
              <w:jc w:val="center"/>
              <w:rPr>
                <w:rFonts w:eastAsia="Times New Roman" w:cs="Times New Roman"/>
                <w:color w:val="000000"/>
                <w:lang w:eastAsia="en-AU"/>
              </w:rPr>
            </w:pPr>
            <w:r>
              <w:rPr>
                <w:color w:val="000000"/>
              </w:rPr>
              <w:t>0.46</w:t>
            </w:r>
          </w:p>
        </w:tc>
      </w:tr>
      <w:tr w:rsidR="00590A13" w:rsidRPr="006C0A05" w14:paraId="781105E5" w14:textId="77777777" w:rsidTr="006C0A05">
        <w:trPr>
          <w:trHeight w:val="300"/>
        </w:trPr>
        <w:tc>
          <w:tcPr>
            <w:tcW w:w="6096" w:type="dxa"/>
            <w:tcBorders>
              <w:top w:val="nil"/>
              <w:left w:val="nil"/>
              <w:bottom w:val="nil"/>
              <w:right w:val="nil"/>
            </w:tcBorders>
            <w:shd w:val="clear" w:color="auto" w:fill="auto"/>
            <w:noWrap/>
            <w:vAlign w:val="bottom"/>
            <w:hideMark/>
          </w:tcPr>
          <w:p w14:paraId="291A150D" w14:textId="57993D81" w:rsidR="00590A13" w:rsidRPr="006C0A05" w:rsidRDefault="00590A13" w:rsidP="006C0A05">
            <w:pPr>
              <w:keepNext/>
              <w:spacing w:after="0" w:line="240" w:lineRule="auto"/>
              <w:rPr>
                <w:rFonts w:eastAsia="Times New Roman" w:cs="Times New Roman"/>
                <w:color w:val="000000"/>
                <w:lang w:eastAsia="en-AU"/>
              </w:rPr>
            </w:pPr>
            <w:r>
              <w:rPr>
                <w:color w:val="000000"/>
              </w:rPr>
              <w:t>Consumption</w:t>
            </w:r>
            <w:r w:rsidR="00F03697">
              <w:rPr>
                <w:color w:val="000000"/>
              </w:rPr>
              <w:noBreakHyphen/>
            </w:r>
            <w:r>
              <w:rPr>
                <w:color w:val="000000"/>
              </w:rPr>
              <w:t>leisure substitution elasticity</w:t>
            </w:r>
          </w:p>
        </w:tc>
        <w:tc>
          <w:tcPr>
            <w:tcW w:w="1712" w:type="dxa"/>
            <w:tcBorders>
              <w:top w:val="nil"/>
              <w:left w:val="nil"/>
              <w:bottom w:val="nil"/>
              <w:right w:val="nil"/>
            </w:tcBorders>
            <w:shd w:val="clear" w:color="auto" w:fill="auto"/>
            <w:noWrap/>
            <w:vAlign w:val="center"/>
            <w:hideMark/>
          </w:tcPr>
          <w:p w14:paraId="68A65DD3"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516A5A24"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51E31ADF" w14:textId="77777777" w:rsidTr="006C0A05">
        <w:trPr>
          <w:trHeight w:val="300"/>
        </w:trPr>
        <w:tc>
          <w:tcPr>
            <w:tcW w:w="6096" w:type="dxa"/>
            <w:tcBorders>
              <w:top w:val="nil"/>
              <w:left w:val="nil"/>
              <w:bottom w:val="nil"/>
              <w:right w:val="nil"/>
            </w:tcBorders>
            <w:shd w:val="clear" w:color="auto" w:fill="auto"/>
            <w:noWrap/>
            <w:vAlign w:val="bottom"/>
            <w:hideMark/>
          </w:tcPr>
          <w:p w14:paraId="401C14D5" w14:textId="40C4B406"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elasticity</w:t>
            </w:r>
          </w:p>
        </w:tc>
        <w:tc>
          <w:tcPr>
            <w:tcW w:w="1712" w:type="dxa"/>
            <w:tcBorders>
              <w:top w:val="nil"/>
              <w:left w:val="nil"/>
              <w:bottom w:val="nil"/>
              <w:right w:val="nil"/>
            </w:tcBorders>
            <w:shd w:val="clear" w:color="auto" w:fill="auto"/>
            <w:noWrap/>
            <w:vAlign w:val="center"/>
            <w:hideMark/>
          </w:tcPr>
          <w:p w14:paraId="105805C6" w14:textId="595A600E" w:rsidR="00590A13" w:rsidRPr="006C0A05" w:rsidRDefault="00590A13" w:rsidP="006C0A05">
            <w:pPr>
              <w:keepNext/>
              <w:spacing w:after="0" w:line="240" w:lineRule="auto"/>
              <w:jc w:val="center"/>
              <w:rPr>
                <w:rFonts w:eastAsia="Times New Roman" w:cs="Times New Roman"/>
                <w:b/>
                <w:bCs/>
                <w:color w:val="008000"/>
                <w:lang w:eastAsia="en-AU"/>
              </w:rPr>
            </w:pPr>
            <w:r>
              <w:rPr>
                <w:b/>
                <w:bCs/>
                <w:color w:val="008000"/>
              </w:rPr>
              <w:t>0.00</w:t>
            </w:r>
          </w:p>
        </w:tc>
        <w:tc>
          <w:tcPr>
            <w:tcW w:w="1652" w:type="dxa"/>
            <w:tcBorders>
              <w:top w:val="nil"/>
              <w:left w:val="nil"/>
              <w:bottom w:val="nil"/>
              <w:right w:val="nil"/>
            </w:tcBorders>
            <w:shd w:val="clear" w:color="auto" w:fill="auto"/>
            <w:noWrap/>
            <w:vAlign w:val="center"/>
            <w:hideMark/>
          </w:tcPr>
          <w:p w14:paraId="1BE240F8" w14:textId="2B1D0037" w:rsidR="00590A13" w:rsidRPr="006C0A05" w:rsidRDefault="00590A13" w:rsidP="006C0A05">
            <w:pPr>
              <w:keepNext/>
              <w:spacing w:after="0" w:line="240" w:lineRule="auto"/>
              <w:jc w:val="center"/>
              <w:rPr>
                <w:rFonts w:eastAsia="Times New Roman" w:cs="Times New Roman"/>
                <w:b/>
                <w:bCs/>
                <w:color w:val="008000"/>
                <w:lang w:eastAsia="en-AU"/>
              </w:rPr>
            </w:pPr>
            <w:r>
              <w:rPr>
                <w:b/>
                <w:bCs/>
                <w:color w:val="008000"/>
              </w:rPr>
              <w:t>0.00</w:t>
            </w:r>
          </w:p>
        </w:tc>
      </w:tr>
      <w:tr w:rsidR="00590A13" w:rsidRPr="006C0A05" w14:paraId="1846E79D" w14:textId="77777777" w:rsidTr="006C0A05">
        <w:trPr>
          <w:trHeight w:val="300"/>
        </w:trPr>
        <w:tc>
          <w:tcPr>
            <w:tcW w:w="6096" w:type="dxa"/>
            <w:tcBorders>
              <w:top w:val="nil"/>
              <w:left w:val="nil"/>
              <w:bottom w:val="nil"/>
              <w:right w:val="nil"/>
            </w:tcBorders>
            <w:shd w:val="clear" w:color="auto" w:fill="auto"/>
            <w:noWrap/>
            <w:vAlign w:val="bottom"/>
            <w:hideMark/>
          </w:tcPr>
          <w:p w14:paraId="108AC05F" w14:textId="54BCF3B4"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elasticity</w:t>
            </w:r>
          </w:p>
        </w:tc>
        <w:tc>
          <w:tcPr>
            <w:tcW w:w="1712" w:type="dxa"/>
            <w:tcBorders>
              <w:top w:val="nil"/>
              <w:left w:val="nil"/>
              <w:bottom w:val="nil"/>
              <w:right w:val="nil"/>
            </w:tcBorders>
            <w:shd w:val="clear" w:color="auto" w:fill="auto"/>
            <w:noWrap/>
            <w:vAlign w:val="center"/>
            <w:hideMark/>
          </w:tcPr>
          <w:p w14:paraId="3602AA72" w14:textId="37FA0B96" w:rsidR="00590A13" w:rsidRPr="006C0A05" w:rsidRDefault="00590A13" w:rsidP="006C0A05">
            <w:pPr>
              <w:keepNext/>
              <w:spacing w:after="0" w:line="240" w:lineRule="auto"/>
              <w:jc w:val="center"/>
              <w:rPr>
                <w:rFonts w:eastAsia="Times New Roman" w:cs="Times New Roman"/>
                <w:b/>
                <w:bCs/>
                <w:color w:val="FF0000"/>
                <w:lang w:eastAsia="en-AU"/>
              </w:rPr>
            </w:pPr>
            <w:r>
              <w:rPr>
                <w:b/>
                <w:bCs/>
                <w:color w:val="FF0000"/>
              </w:rPr>
              <w:t>0.35</w:t>
            </w:r>
          </w:p>
        </w:tc>
        <w:tc>
          <w:tcPr>
            <w:tcW w:w="1652" w:type="dxa"/>
            <w:tcBorders>
              <w:top w:val="nil"/>
              <w:left w:val="nil"/>
              <w:bottom w:val="nil"/>
              <w:right w:val="nil"/>
            </w:tcBorders>
            <w:shd w:val="clear" w:color="auto" w:fill="auto"/>
            <w:noWrap/>
            <w:vAlign w:val="center"/>
            <w:hideMark/>
          </w:tcPr>
          <w:p w14:paraId="1F519828" w14:textId="78686F15" w:rsidR="00590A13" w:rsidRPr="006C0A05" w:rsidRDefault="00590A13" w:rsidP="006C0A05">
            <w:pPr>
              <w:keepNext/>
              <w:spacing w:after="0" w:line="240" w:lineRule="auto"/>
              <w:jc w:val="center"/>
              <w:rPr>
                <w:rFonts w:eastAsia="Times New Roman" w:cs="Times New Roman"/>
                <w:b/>
                <w:bCs/>
                <w:color w:val="FF0000"/>
                <w:lang w:eastAsia="en-AU"/>
              </w:rPr>
            </w:pPr>
            <w:r>
              <w:rPr>
                <w:b/>
                <w:bCs/>
                <w:color w:val="FF0000"/>
              </w:rPr>
              <w:t>0.48</w:t>
            </w:r>
          </w:p>
        </w:tc>
      </w:tr>
      <w:tr w:rsidR="00590A13" w:rsidRPr="006C0A05" w14:paraId="17881C65" w14:textId="77777777" w:rsidTr="006C0A05">
        <w:trPr>
          <w:trHeight w:val="300"/>
        </w:trPr>
        <w:tc>
          <w:tcPr>
            <w:tcW w:w="6096" w:type="dxa"/>
            <w:tcBorders>
              <w:top w:val="nil"/>
              <w:left w:val="nil"/>
              <w:bottom w:val="nil"/>
              <w:right w:val="nil"/>
            </w:tcBorders>
            <w:shd w:val="clear" w:color="auto" w:fill="auto"/>
            <w:noWrap/>
            <w:vAlign w:val="bottom"/>
            <w:hideMark/>
          </w:tcPr>
          <w:p w14:paraId="73302489" w14:textId="4846EE79" w:rsidR="00590A13" w:rsidRPr="006C0A05" w:rsidRDefault="00590A13" w:rsidP="006C0A05">
            <w:pPr>
              <w:keepNext/>
              <w:spacing w:after="0" w:line="240" w:lineRule="auto"/>
              <w:rPr>
                <w:rFonts w:eastAsia="Times New Roman" w:cs="Times New Roman"/>
                <w:color w:val="000000"/>
                <w:lang w:eastAsia="en-AU"/>
              </w:rPr>
            </w:pPr>
            <w:r>
              <w:rPr>
                <w:color w:val="000000"/>
              </w:rPr>
              <w:t>Consumption good substitution elasticity</w:t>
            </w:r>
          </w:p>
        </w:tc>
        <w:tc>
          <w:tcPr>
            <w:tcW w:w="1712" w:type="dxa"/>
            <w:tcBorders>
              <w:top w:val="nil"/>
              <w:left w:val="nil"/>
              <w:bottom w:val="nil"/>
              <w:right w:val="nil"/>
            </w:tcBorders>
            <w:shd w:val="clear" w:color="auto" w:fill="auto"/>
            <w:noWrap/>
            <w:vAlign w:val="center"/>
            <w:hideMark/>
          </w:tcPr>
          <w:p w14:paraId="18F685F2"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447D573A"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5D912922" w14:textId="77777777" w:rsidTr="006C0A05">
        <w:trPr>
          <w:trHeight w:val="300"/>
        </w:trPr>
        <w:tc>
          <w:tcPr>
            <w:tcW w:w="6096" w:type="dxa"/>
            <w:tcBorders>
              <w:top w:val="nil"/>
              <w:left w:val="nil"/>
              <w:bottom w:val="nil"/>
              <w:right w:val="nil"/>
            </w:tcBorders>
            <w:shd w:val="clear" w:color="auto" w:fill="auto"/>
            <w:noWrap/>
            <w:vAlign w:val="bottom"/>
            <w:hideMark/>
          </w:tcPr>
          <w:p w14:paraId="5BB61DBD" w14:textId="3F6001E9"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Low elasticity</w:t>
            </w:r>
          </w:p>
        </w:tc>
        <w:tc>
          <w:tcPr>
            <w:tcW w:w="1712" w:type="dxa"/>
            <w:tcBorders>
              <w:top w:val="nil"/>
              <w:left w:val="nil"/>
              <w:bottom w:val="nil"/>
              <w:right w:val="nil"/>
            </w:tcBorders>
            <w:shd w:val="clear" w:color="auto" w:fill="auto"/>
            <w:noWrap/>
            <w:vAlign w:val="center"/>
            <w:hideMark/>
          </w:tcPr>
          <w:p w14:paraId="749FCDB3" w14:textId="7295DBE6"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31A33767" w14:textId="06DA2D1C"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0.21</w:t>
            </w:r>
          </w:p>
        </w:tc>
      </w:tr>
      <w:tr w:rsidR="00590A13" w:rsidRPr="006C0A05" w14:paraId="70330B00" w14:textId="77777777" w:rsidTr="006C0A05">
        <w:trPr>
          <w:trHeight w:val="300"/>
        </w:trPr>
        <w:tc>
          <w:tcPr>
            <w:tcW w:w="6096" w:type="dxa"/>
            <w:tcBorders>
              <w:top w:val="nil"/>
              <w:left w:val="nil"/>
              <w:bottom w:val="nil"/>
              <w:right w:val="nil"/>
            </w:tcBorders>
            <w:shd w:val="clear" w:color="auto" w:fill="auto"/>
            <w:noWrap/>
            <w:vAlign w:val="bottom"/>
            <w:hideMark/>
          </w:tcPr>
          <w:p w14:paraId="24E3D877" w14:textId="78A8052A"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High elasticity</w:t>
            </w:r>
          </w:p>
        </w:tc>
        <w:tc>
          <w:tcPr>
            <w:tcW w:w="1712" w:type="dxa"/>
            <w:tcBorders>
              <w:top w:val="nil"/>
              <w:left w:val="nil"/>
              <w:bottom w:val="nil"/>
              <w:right w:val="nil"/>
            </w:tcBorders>
            <w:shd w:val="clear" w:color="auto" w:fill="auto"/>
            <w:noWrap/>
            <w:vAlign w:val="center"/>
            <w:hideMark/>
          </w:tcPr>
          <w:p w14:paraId="53F42246" w14:textId="508F303C"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57D3B77D" w14:textId="77E09E1D"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0.21</w:t>
            </w:r>
          </w:p>
        </w:tc>
      </w:tr>
      <w:tr w:rsidR="00590A13" w:rsidRPr="006C0A05" w14:paraId="1D964EFE" w14:textId="77777777" w:rsidTr="006C0A05">
        <w:trPr>
          <w:trHeight w:val="300"/>
        </w:trPr>
        <w:tc>
          <w:tcPr>
            <w:tcW w:w="6096" w:type="dxa"/>
            <w:tcBorders>
              <w:top w:val="nil"/>
              <w:left w:val="nil"/>
              <w:bottom w:val="nil"/>
              <w:right w:val="nil"/>
            </w:tcBorders>
            <w:shd w:val="clear" w:color="auto" w:fill="auto"/>
            <w:noWrap/>
            <w:vAlign w:val="bottom"/>
            <w:hideMark/>
          </w:tcPr>
          <w:p w14:paraId="713A01F9" w14:textId="5AC17C3C" w:rsidR="00590A13" w:rsidRPr="006C0A05" w:rsidRDefault="00590A13" w:rsidP="006C0A05">
            <w:pPr>
              <w:keepNext/>
              <w:spacing w:after="0" w:line="240" w:lineRule="auto"/>
              <w:rPr>
                <w:rFonts w:eastAsia="Times New Roman" w:cs="Times New Roman"/>
                <w:color w:val="000000"/>
                <w:lang w:eastAsia="en-AU"/>
              </w:rPr>
            </w:pPr>
            <w:r>
              <w:rPr>
                <w:color w:val="000000"/>
              </w:rPr>
              <w:t>Savings decision (fixed domestically owned capital stock)</w:t>
            </w:r>
          </w:p>
        </w:tc>
        <w:tc>
          <w:tcPr>
            <w:tcW w:w="1712" w:type="dxa"/>
            <w:tcBorders>
              <w:top w:val="nil"/>
              <w:left w:val="nil"/>
              <w:bottom w:val="nil"/>
              <w:right w:val="nil"/>
            </w:tcBorders>
            <w:shd w:val="clear" w:color="auto" w:fill="auto"/>
            <w:noWrap/>
            <w:vAlign w:val="center"/>
            <w:hideMark/>
          </w:tcPr>
          <w:p w14:paraId="596A9AC7" w14:textId="77777777" w:rsidR="00590A13" w:rsidRPr="006C0A05" w:rsidRDefault="00590A13" w:rsidP="006C0A05">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69C09EBB" w14:textId="77777777" w:rsidR="00590A13" w:rsidRPr="006C0A05" w:rsidRDefault="00590A13" w:rsidP="006C0A05">
            <w:pPr>
              <w:keepNext/>
              <w:spacing w:after="0" w:line="240" w:lineRule="auto"/>
              <w:jc w:val="center"/>
              <w:rPr>
                <w:rFonts w:eastAsia="Times New Roman" w:cs="Times New Roman"/>
                <w:color w:val="000000"/>
                <w:lang w:eastAsia="en-AU"/>
              </w:rPr>
            </w:pPr>
          </w:p>
        </w:tc>
      </w:tr>
      <w:tr w:rsidR="00590A13" w:rsidRPr="006C0A05" w14:paraId="191D69CF" w14:textId="77777777" w:rsidTr="006C0A05">
        <w:trPr>
          <w:trHeight w:val="300"/>
        </w:trPr>
        <w:tc>
          <w:tcPr>
            <w:tcW w:w="6096" w:type="dxa"/>
            <w:tcBorders>
              <w:top w:val="nil"/>
              <w:left w:val="nil"/>
              <w:bottom w:val="single" w:sz="4" w:space="0" w:color="auto"/>
              <w:right w:val="nil"/>
            </w:tcBorders>
            <w:shd w:val="clear" w:color="auto" w:fill="auto"/>
            <w:noWrap/>
            <w:vAlign w:val="bottom"/>
            <w:hideMark/>
          </w:tcPr>
          <w:p w14:paraId="2A611EB2" w14:textId="5012A343" w:rsidR="00590A13" w:rsidRPr="006C0A05" w:rsidRDefault="00590A13" w:rsidP="006C0A05">
            <w:pPr>
              <w:keepNext/>
              <w:spacing w:after="0" w:line="240" w:lineRule="auto"/>
              <w:ind w:firstLineChars="200" w:firstLine="440"/>
              <w:rPr>
                <w:rFonts w:eastAsia="Times New Roman" w:cs="Times New Roman"/>
                <w:color w:val="000000"/>
                <w:lang w:eastAsia="en-AU"/>
              </w:rPr>
            </w:pPr>
            <w:r>
              <w:rPr>
                <w:color w:val="000000"/>
              </w:rPr>
              <w:t>Fixed saving rate</w:t>
            </w:r>
          </w:p>
        </w:tc>
        <w:tc>
          <w:tcPr>
            <w:tcW w:w="1712" w:type="dxa"/>
            <w:tcBorders>
              <w:top w:val="nil"/>
              <w:left w:val="nil"/>
              <w:bottom w:val="nil"/>
              <w:right w:val="nil"/>
            </w:tcBorders>
            <w:shd w:val="clear" w:color="auto" w:fill="auto"/>
            <w:noWrap/>
            <w:vAlign w:val="center"/>
            <w:hideMark/>
          </w:tcPr>
          <w:p w14:paraId="6AE363E2" w14:textId="193222FC" w:rsidR="00590A13" w:rsidRPr="006C0A05" w:rsidRDefault="00590A13" w:rsidP="006C0A05">
            <w:pPr>
              <w:keepNext/>
              <w:spacing w:after="0" w:line="240" w:lineRule="auto"/>
              <w:jc w:val="center"/>
              <w:rPr>
                <w:rFonts w:eastAsia="Times New Roman" w:cs="Times New Roman"/>
                <w:color w:val="000000"/>
                <w:lang w:eastAsia="en-AU"/>
              </w:rPr>
            </w:pPr>
            <w:r>
              <w:rPr>
                <w:color w:val="000000"/>
              </w:rPr>
              <w:t>0.16</w:t>
            </w:r>
          </w:p>
        </w:tc>
        <w:tc>
          <w:tcPr>
            <w:tcW w:w="1652" w:type="dxa"/>
            <w:tcBorders>
              <w:top w:val="nil"/>
              <w:left w:val="nil"/>
              <w:bottom w:val="nil"/>
              <w:right w:val="nil"/>
            </w:tcBorders>
            <w:shd w:val="clear" w:color="auto" w:fill="auto"/>
            <w:noWrap/>
            <w:vAlign w:val="center"/>
            <w:hideMark/>
          </w:tcPr>
          <w:p w14:paraId="307BD169" w14:textId="25E50970"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0.21</w:t>
            </w:r>
          </w:p>
        </w:tc>
      </w:tr>
      <w:tr w:rsidR="00590A13" w:rsidRPr="006C0A05" w14:paraId="4B84F673" w14:textId="77777777" w:rsidTr="006C0A05">
        <w:trPr>
          <w:trHeight w:val="300"/>
        </w:trPr>
        <w:tc>
          <w:tcPr>
            <w:tcW w:w="6096" w:type="dxa"/>
            <w:tcBorders>
              <w:top w:val="nil"/>
              <w:left w:val="nil"/>
              <w:bottom w:val="nil"/>
              <w:right w:val="nil"/>
            </w:tcBorders>
            <w:shd w:val="clear" w:color="auto" w:fill="auto"/>
            <w:noWrap/>
            <w:vAlign w:val="bottom"/>
            <w:hideMark/>
          </w:tcPr>
          <w:p w14:paraId="1870FAAD" w14:textId="65E66BB4" w:rsidR="00590A13" w:rsidRPr="006C0A05" w:rsidRDefault="00590A13" w:rsidP="006C0A05">
            <w:pPr>
              <w:keepNext/>
              <w:spacing w:after="0" w:line="240" w:lineRule="auto"/>
              <w:rPr>
                <w:rFonts w:eastAsia="Times New Roman" w:cs="Times New Roman"/>
                <w:b/>
                <w:bCs/>
                <w:color w:val="000000"/>
                <w:lang w:eastAsia="en-AU"/>
              </w:rPr>
            </w:pPr>
            <w:r>
              <w:rPr>
                <w:b/>
                <w:bCs/>
                <w:color w:val="000000"/>
              </w:rPr>
              <w:t>Literature estimates</w:t>
            </w:r>
          </w:p>
        </w:tc>
        <w:tc>
          <w:tcPr>
            <w:tcW w:w="1712" w:type="dxa"/>
            <w:tcBorders>
              <w:top w:val="single" w:sz="4" w:space="0" w:color="auto"/>
              <w:left w:val="nil"/>
              <w:bottom w:val="nil"/>
              <w:right w:val="nil"/>
            </w:tcBorders>
            <w:shd w:val="clear" w:color="auto" w:fill="auto"/>
            <w:noWrap/>
            <w:vAlign w:val="center"/>
            <w:hideMark/>
          </w:tcPr>
          <w:p w14:paraId="414D7578" w14:textId="56C547B9" w:rsidR="00590A13" w:rsidRPr="006C0A05" w:rsidRDefault="00590A13" w:rsidP="006C0A05">
            <w:pPr>
              <w:keepNext/>
              <w:spacing w:after="0" w:line="240" w:lineRule="auto"/>
              <w:jc w:val="center"/>
              <w:rPr>
                <w:rFonts w:eastAsia="Times New Roman" w:cs="Times New Roman"/>
                <w:color w:val="000000"/>
                <w:lang w:eastAsia="en-AU"/>
              </w:rPr>
            </w:pPr>
            <w:r>
              <w:rPr>
                <w:color w:val="000000"/>
              </w:rPr>
              <w:t> </w:t>
            </w:r>
          </w:p>
        </w:tc>
        <w:tc>
          <w:tcPr>
            <w:tcW w:w="1652" w:type="dxa"/>
            <w:tcBorders>
              <w:top w:val="single" w:sz="4" w:space="0" w:color="auto"/>
              <w:left w:val="nil"/>
              <w:bottom w:val="nil"/>
              <w:right w:val="nil"/>
            </w:tcBorders>
            <w:shd w:val="clear" w:color="auto" w:fill="auto"/>
            <w:noWrap/>
            <w:vAlign w:val="center"/>
            <w:hideMark/>
          </w:tcPr>
          <w:p w14:paraId="53A06664" w14:textId="41016099" w:rsidR="00590A13" w:rsidRPr="006C0A05" w:rsidRDefault="00590A13" w:rsidP="006C0A05">
            <w:pPr>
              <w:keepNext/>
              <w:spacing w:after="0" w:line="240" w:lineRule="auto"/>
              <w:jc w:val="center"/>
              <w:rPr>
                <w:rFonts w:eastAsia="Times New Roman" w:cs="Times New Roman"/>
                <w:color w:val="000000"/>
                <w:lang w:eastAsia="en-AU"/>
              </w:rPr>
            </w:pPr>
            <w:r>
              <w:rPr>
                <w:color w:val="000000"/>
              </w:rPr>
              <w:t> </w:t>
            </w:r>
          </w:p>
        </w:tc>
      </w:tr>
      <w:tr w:rsidR="00590A13" w:rsidRPr="006C0A05" w14:paraId="33CD28D7" w14:textId="77777777" w:rsidTr="006C0A05">
        <w:trPr>
          <w:trHeight w:val="300"/>
        </w:trPr>
        <w:tc>
          <w:tcPr>
            <w:tcW w:w="6096" w:type="dxa"/>
            <w:tcBorders>
              <w:top w:val="nil"/>
              <w:left w:val="nil"/>
              <w:bottom w:val="nil"/>
              <w:right w:val="nil"/>
            </w:tcBorders>
            <w:shd w:val="clear" w:color="auto" w:fill="auto"/>
            <w:noWrap/>
            <w:vAlign w:val="bottom"/>
            <w:hideMark/>
          </w:tcPr>
          <w:p w14:paraId="46EF77BD" w14:textId="720B4964" w:rsidR="00590A13" w:rsidRPr="006C0A05" w:rsidRDefault="00590A13" w:rsidP="006C0A05">
            <w:pPr>
              <w:keepNext/>
              <w:spacing w:after="0" w:line="240" w:lineRule="auto"/>
              <w:rPr>
                <w:rFonts w:eastAsia="Times New Roman" w:cs="Times New Roman"/>
                <w:color w:val="000000"/>
                <w:lang w:eastAsia="en-AU"/>
              </w:rPr>
            </w:pPr>
            <w:r>
              <w:rPr>
                <w:color w:val="000000"/>
              </w:rPr>
              <w:t>KPMG (2010)</w:t>
            </w:r>
          </w:p>
        </w:tc>
        <w:tc>
          <w:tcPr>
            <w:tcW w:w="1712" w:type="dxa"/>
            <w:tcBorders>
              <w:top w:val="nil"/>
              <w:left w:val="nil"/>
              <w:bottom w:val="nil"/>
              <w:right w:val="nil"/>
            </w:tcBorders>
            <w:shd w:val="clear" w:color="auto" w:fill="auto"/>
            <w:noWrap/>
            <w:vAlign w:val="center"/>
            <w:hideMark/>
          </w:tcPr>
          <w:p w14:paraId="6BD15EF4" w14:textId="2A7095C5" w:rsidR="00590A13" w:rsidRPr="006C0A05" w:rsidRDefault="00F03697" w:rsidP="006C0A05">
            <w:pPr>
              <w:keepNext/>
              <w:spacing w:after="0" w:line="240" w:lineRule="auto"/>
              <w:jc w:val="center"/>
              <w:rPr>
                <w:rFonts w:eastAsia="Times New Roman" w:cs="Times New Roman"/>
                <w:color w:val="000000"/>
                <w:lang w:eastAsia="en-AU"/>
              </w:rPr>
            </w:pPr>
            <w:r>
              <w:rPr>
                <w:color w:val="000000"/>
              </w:rPr>
              <w:noBreakHyphen/>
            </w:r>
          </w:p>
        </w:tc>
        <w:tc>
          <w:tcPr>
            <w:tcW w:w="1652" w:type="dxa"/>
            <w:tcBorders>
              <w:top w:val="nil"/>
              <w:left w:val="nil"/>
              <w:bottom w:val="nil"/>
              <w:right w:val="nil"/>
            </w:tcBorders>
            <w:shd w:val="clear" w:color="auto" w:fill="auto"/>
            <w:noWrap/>
            <w:vAlign w:val="center"/>
            <w:hideMark/>
          </w:tcPr>
          <w:p w14:paraId="5A34B9EA" w14:textId="05AC1737"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0.24</w:t>
            </w:r>
          </w:p>
        </w:tc>
      </w:tr>
      <w:tr w:rsidR="00590A13" w:rsidRPr="006C0A05" w14:paraId="4DA09223" w14:textId="77777777" w:rsidTr="006C0A05">
        <w:trPr>
          <w:trHeight w:val="300"/>
        </w:trPr>
        <w:tc>
          <w:tcPr>
            <w:tcW w:w="6096" w:type="dxa"/>
            <w:tcBorders>
              <w:top w:val="nil"/>
              <w:left w:val="nil"/>
              <w:bottom w:val="nil"/>
              <w:right w:val="nil"/>
            </w:tcBorders>
            <w:shd w:val="clear" w:color="auto" w:fill="auto"/>
            <w:noWrap/>
            <w:vAlign w:val="bottom"/>
            <w:hideMark/>
          </w:tcPr>
          <w:p w14:paraId="60A489FC" w14:textId="37F4F20A" w:rsidR="00590A13" w:rsidRPr="006C0A05" w:rsidRDefault="00590A13" w:rsidP="006C0A05">
            <w:pPr>
              <w:keepNext/>
              <w:spacing w:after="0" w:line="240" w:lineRule="auto"/>
              <w:rPr>
                <w:rFonts w:eastAsia="Times New Roman" w:cs="Times New Roman"/>
                <w:color w:val="000000"/>
                <w:lang w:eastAsia="en-AU"/>
              </w:rPr>
            </w:pPr>
            <w:r>
              <w:rPr>
                <w:color w:val="000000"/>
              </w:rPr>
              <w:t>KPMG (2011)</w:t>
            </w:r>
          </w:p>
        </w:tc>
        <w:tc>
          <w:tcPr>
            <w:tcW w:w="1712" w:type="dxa"/>
            <w:tcBorders>
              <w:top w:val="nil"/>
              <w:left w:val="nil"/>
              <w:bottom w:val="nil"/>
              <w:right w:val="nil"/>
            </w:tcBorders>
            <w:shd w:val="clear" w:color="auto" w:fill="auto"/>
            <w:noWrap/>
            <w:vAlign w:val="center"/>
            <w:hideMark/>
          </w:tcPr>
          <w:p w14:paraId="234E6622" w14:textId="5BDC0BAA" w:rsidR="00590A13" w:rsidRPr="006C0A05" w:rsidRDefault="00F03697" w:rsidP="006C0A05">
            <w:pPr>
              <w:keepNext/>
              <w:spacing w:after="0" w:line="240" w:lineRule="auto"/>
              <w:jc w:val="center"/>
              <w:rPr>
                <w:rFonts w:eastAsia="Times New Roman" w:cs="Times New Roman"/>
                <w:color w:val="000000"/>
                <w:lang w:eastAsia="en-AU"/>
              </w:rPr>
            </w:pPr>
            <w:r>
              <w:rPr>
                <w:color w:val="000000"/>
              </w:rPr>
              <w:noBreakHyphen/>
            </w:r>
          </w:p>
        </w:tc>
        <w:tc>
          <w:tcPr>
            <w:tcW w:w="1652" w:type="dxa"/>
            <w:tcBorders>
              <w:top w:val="nil"/>
              <w:left w:val="nil"/>
              <w:bottom w:val="nil"/>
              <w:right w:val="nil"/>
            </w:tcBorders>
            <w:shd w:val="clear" w:color="auto" w:fill="auto"/>
            <w:noWrap/>
            <w:vAlign w:val="center"/>
            <w:hideMark/>
          </w:tcPr>
          <w:p w14:paraId="11B0FB2C" w14:textId="03DE0655"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0.24</w:t>
            </w:r>
          </w:p>
        </w:tc>
      </w:tr>
      <w:tr w:rsidR="00590A13" w:rsidRPr="006C0A05" w14:paraId="59E79BA3" w14:textId="77777777" w:rsidTr="006C0A05">
        <w:trPr>
          <w:trHeight w:val="315"/>
        </w:trPr>
        <w:tc>
          <w:tcPr>
            <w:tcW w:w="6096" w:type="dxa"/>
            <w:tcBorders>
              <w:top w:val="nil"/>
              <w:left w:val="nil"/>
              <w:bottom w:val="single" w:sz="8" w:space="0" w:color="auto"/>
              <w:right w:val="nil"/>
            </w:tcBorders>
            <w:shd w:val="clear" w:color="auto" w:fill="auto"/>
            <w:noWrap/>
            <w:vAlign w:val="bottom"/>
            <w:hideMark/>
          </w:tcPr>
          <w:p w14:paraId="241329AD" w14:textId="26432B8B" w:rsidR="00590A13" w:rsidRPr="006C0A05" w:rsidRDefault="00590A13" w:rsidP="006C0A05">
            <w:pPr>
              <w:keepNext/>
              <w:spacing w:after="0" w:line="240" w:lineRule="auto"/>
              <w:rPr>
                <w:rFonts w:eastAsia="Times New Roman" w:cs="Times New Roman"/>
                <w:color w:val="000000"/>
                <w:lang w:eastAsia="en-AU"/>
              </w:rPr>
            </w:pPr>
            <w:r>
              <w:rPr>
                <w:color w:val="000000"/>
              </w:rPr>
              <w:t>Independent Economics (2014)</w:t>
            </w:r>
          </w:p>
        </w:tc>
        <w:tc>
          <w:tcPr>
            <w:tcW w:w="1712" w:type="dxa"/>
            <w:tcBorders>
              <w:top w:val="nil"/>
              <w:left w:val="nil"/>
              <w:bottom w:val="single" w:sz="8" w:space="0" w:color="auto"/>
              <w:right w:val="nil"/>
            </w:tcBorders>
            <w:shd w:val="clear" w:color="auto" w:fill="auto"/>
            <w:noWrap/>
            <w:vAlign w:val="center"/>
            <w:hideMark/>
          </w:tcPr>
          <w:p w14:paraId="0E3286FA" w14:textId="71A744DB" w:rsidR="00590A13" w:rsidRPr="006C0A05" w:rsidRDefault="00F03697" w:rsidP="006C0A05">
            <w:pPr>
              <w:keepNext/>
              <w:spacing w:after="0" w:line="240" w:lineRule="auto"/>
              <w:jc w:val="center"/>
              <w:rPr>
                <w:rFonts w:eastAsia="Times New Roman" w:cs="Times New Roman"/>
                <w:color w:val="000000"/>
                <w:lang w:eastAsia="en-AU"/>
              </w:rPr>
            </w:pPr>
            <w:r>
              <w:rPr>
                <w:color w:val="000000"/>
              </w:rPr>
              <w:noBreakHyphen/>
            </w:r>
          </w:p>
        </w:tc>
        <w:tc>
          <w:tcPr>
            <w:tcW w:w="1652" w:type="dxa"/>
            <w:tcBorders>
              <w:top w:val="nil"/>
              <w:left w:val="nil"/>
              <w:bottom w:val="single" w:sz="8" w:space="0" w:color="auto"/>
              <w:right w:val="nil"/>
            </w:tcBorders>
            <w:shd w:val="clear" w:color="auto" w:fill="auto"/>
            <w:noWrap/>
            <w:vAlign w:val="center"/>
            <w:hideMark/>
          </w:tcPr>
          <w:p w14:paraId="4370CFFB" w14:textId="3AE6696A" w:rsidR="00590A13" w:rsidRPr="006C0A05" w:rsidRDefault="00590A13" w:rsidP="006C0A05">
            <w:pPr>
              <w:keepNext/>
              <w:spacing w:after="0" w:line="240" w:lineRule="auto"/>
              <w:jc w:val="center"/>
              <w:rPr>
                <w:rFonts w:eastAsia="Times New Roman" w:cs="Times New Roman"/>
                <w:color w:val="000000"/>
                <w:lang w:eastAsia="en-AU"/>
              </w:rPr>
            </w:pPr>
            <w:r>
              <w:rPr>
                <w:color w:val="000000"/>
              </w:rPr>
              <w:t>0.22</w:t>
            </w:r>
          </w:p>
        </w:tc>
      </w:tr>
    </w:tbl>
    <w:p w14:paraId="740A256F" w14:textId="27D905C4" w:rsidR="00F74E3C" w:rsidRPr="0055740C" w:rsidRDefault="008C632E" w:rsidP="0055740C">
      <w:pPr>
        <w:pStyle w:val="Source"/>
      </w:pPr>
      <w:r w:rsidRPr="0055740C">
        <w:t>Source: KPMG (2010), KPMG (2011)</w:t>
      </w:r>
      <w:r w:rsidR="008B6624" w:rsidRPr="0055740C">
        <w:t xml:space="preserve">, </w:t>
      </w:r>
      <w:r w:rsidR="00496794" w:rsidRPr="0055740C">
        <w:t>Independent Economics</w:t>
      </w:r>
      <w:r w:rsidR="008B6624" w:rsidRPr="0055740C">
        <w:t xml:space="preserve"> </w:t>
      </w:r>
      <w:r w:rsidR="00EA2CBC" w:rsidRPr="0055740C">
        <w:t>(</w:t>
      </w:r>
      <w:r w:rsidR="008B6624" w:rsidRPr="0055740C">
        <w:t>2014</w:t>
      </w:r>
      <w:r w:rsidR="00EA2CBC" w:rsidRPr="0055740C">
        <w:t>)</w:t>
      </w:r>
      <w:r w:rsidRPr="0055740C">
        <w:t xml:space="preserve"> and </w:t>
      </w:r>
      <w:r w:rsidR="00E007CF" w:rsidRPr="0055740C">
        <w:t>Treasury estimates</w:t>
      </w:r>
      <w:r w:rsidR="00F74E3C" w:rsidRPr="0055740C">
        <w:t>.</w:t>
      </w:r>
    </w:p>
    <w:p w14:paraId="29DD6A00" w14:textId="77777777" w:rsidR="00913C78" w:rsidRDefault="00913C78" w:rsidP="00AC51D8">
      <w:pPr>
        <w:pStyle w:val="Heading2"/>
      </w:pPr>
      <w:r w:rsidRPr="00202F1F">
        <w:lastRenderedPageBreak/>
        <w:t>Goods and services tax</w:t>
      </w:r>
    </w:p>
    <w:p w14:paraId="29DD6A01" w14:textId="0FE7156A" w:rsidR="00913C78" w:rsidRPr="00106652" w:rsidRDefault="00B9001B">
      <w:r>
        <w:t>In this section, we examine the marginal excess burden of an increase in the GST rate on the current base</w:t>
      </w:r>
      <w:r w:rsidR="00900EA5">
        <w:t xml:space="preserve"> (</w:t>
      </w:r>
      <w:r w:rsidR="00621AD1">
        <w:t>that is</w:t>
      </w:r>
      <w:r w:rsidR="00900EA5">
        <w:t>, a marginal increase in the current 10 per cent rate on the current base)</w:t>
      </w:r>
      <w:r>
        <w:t xml:space="preserve">. We also examine the marginal excess burden for an alternative GST </w:t>
      </w:r>
      <w:r>
        <w:rPr>
          <w:lang w:val="en-US" w:eastAsia="en-AU"/>
        </w:rPr>
        <w:t xml:space="preserve">base that </w:t>
      </w:r>
      <w:r w:rsidR="003A02AB">
        <w:rPr>
          <w:lang w:val="en-US" w:eastAsia="en-AU"/>
        </w:rPr>
        <w:t>covers</w:t>
      </w:r>
      <w:r>
        <w:rPr>
          <w:lang w:val="en-US" w:eastAsia="en-AU"/>
        </w:rPr>
        <w:t xml:space="preserve"> </w:t>
      </w:r>
      <w:r w:rsidR="003A02AB">
        <w:t>fresh food, health services, education, childcare, as well as water, sewerage and drainage services</w:t>
      </w:r>
      <w:r w:rsidR="003D0364">
        <w:rPr>
          <w:lang w:val="en-US" w:eastAsia="en-AU"/>
        </w:rPr>
        <w:t xml:space="preserve">. For this scenario we </w:t>
      </w:r>
      <w:r w:rsidR="00900EA5">
        <w:rPr>
          <w:lang w:val="en-US" w:eastAsia="en-AU"/>
        </w:rPr>
        <w:t xml:space="preserve">maintain the </w:t>
      </w:r>
      <w:r w:rsidR="00C73C66">
        <w:rPr>
          <w:lang w:val="en-US" w:eastAsia="en-AU"/>
        </w:rPr>
        <w:t xml:space="preserve">current </w:t>
      </w:r>
      <w:r w:rsidR="00900EA5">
        <w:rPr>
          <w:lang w:val="en-US" w:eastAsia="en-AU"/>
        </w:rPr>
        <w:t xml:space="preserve">level of revenue and </w:t>
      </w:r>
      <w:r w:rsidR="00613756">
        <w:rPr>
          <w:lang w:val="en-US" w:eastAsia="en-AU"/>
        </w:rPr>
        <w:t xml:space="preserve">harmonise </w:t>
      </w:r>
      <w:r w:rsidR="00C73C66">
        <w:rPr>
          <w:lang w:val="en-US" w:eastAsia="en-AU"/>
        </w:rPr>
        <w:t>the</w:t>
      </w:r>
      <w:r w:rsidR="00900EA5">
        <w:rPr>
          <w:lang w:val="en-US" w:eastAsia="en-AU"/>
        </w:rPr>
        <w:t xml:space="preserve"> rate across new and existing taxable goods and services</w:t>
      </w:r>
      <w:r w:rsidR="00C73C66">
        <w:rPr>
          <w:lang w:val="en-US" w:eastAsia="en-AU"/>
        </w:rPr>
        <w:t>.</w:t>
      </w:r>
    </w:p>
    <w:p w14:paraId="29DD6A02" w14:textId="77777777" w:rsidR="00913C78" w:rsidRDefault="00913C78" w:rsidP="00913C78">
      <w:pPr>
        <w:pStyle w:val="Heading3"/>
      </w:pPr>
      <w:r>
        <w:t>Theory</w:t>
      </w:r>
    </w:p>
    <w:p w14:paraId="29DD6A03" w14:textId="398C078F" w:rsidR="00151440" w:rsidRDefault="001F0010" w:rsidP="001F0010">
      <w:pPr>
        <w:rPr>
          <w:lang w:val="en-US" w:eastAsia="en-AU"/>
        </w:rPr>
      </w:pPr>
      <w:r>
        <w:rPr>
          <w:lang w:val="en-US" w:eastAsia="en-AU"/>
        </w:rPr>
        <w:t xml:space="preserve">The theory governing the impact of the GST is </w:t>
      </w:r>
      <w:r w:rsidR="00151440">
        <w:rPr>
          <w:lang w:val="en-US" w:eastAsia="en-AU"/>
        </w:rPr>
        <w:t>virtually identical</w:t>
      </w:r>
      <w:r>
        <w:rPr>
          <w:lang w:val="en-US" w:eastAsia="en-AU"/>
        </w:rPr>
        <w:t xml:space="preserve"> to the labour income tax</w:t>
      </w:r>
      <w:r w:rsidR="002B67A6">
        <w:rPr>
          <w:lang w:val="en-US" w:eastAsia="en-AU"/>
        </w:rPr>
        <w:t xml:space="preserve"> component of the personal income tax</w:t>
      </w:r>
      <w:r w:rsidR="00456FC8">
        <w:rPr>
          <w:lang w:val="en-US" w:eastAsia="en-AU"/>
        </w:rPr>
        <w:t>.</w:t>
      </w:r>
      <w:r>
        <w:rPr>
          <w:lang w:val="en-US" w:eastAsia="en-AU"/>
        </w:rPr>
        <w:t xml:space="preserve"> </w:t>
      </w:r>
      <w:r w:rsidR="00151440">
        <w:rPr>
          <w:lang w:val="en-US" w:eastAsia="en-AU"/>
        </w:rPr>
        <w:t>In particular, the direct effect on</w:t>
      </w:r>
      <w:r w:rsidR="002F3976">
        <w:rPr>
          <w:lang w:val="en-US" w:eastAsia="en-AU"/>
        </w:rPr>
        <w:t xml:space="preserve"> the household</w:t>
      </w:r>
      <w:r w:rsidR="00151440">
        <w:rPr>
          <w:lang w:val="en-US" w:eastAsia="en-AU"/>
        </w:rPr>
        <w:t xml:space="preserve"> </w:t>
      </w:r>
      <w:r w:rsidR="00456FC8">
        <w:rPr>
          <w:lang w:val="en-US" w:eastAsia="en-AU"/>
        </w:rPr>
        <w:t>from</w:t>
      </w:r>
      <w:r w:rsidR="00151440">
        <w:rPr>
          <w:lang w:val="en-US" w:eastAsia="en-AU"/>
        </w:rPr>
        <w:t xml:space="preserve"> a change to the labour </w:t>
      </w:r>
      <w:r w:rsidR="00456FC8">
        <w:rPr>
          <w:lang w:val="en-US" w:eastAsia="en-AU"/>
        </w:rPr>
        <w:t xml:space="preserve">income </w:t>
      </w:r>
      <w:r w:rsidR="00151440">
        <w:rPr>
          <w:lang w:val="en-US" w:eastAsia="en-AU"/>
        </w:rPr>
        <w:t xml:space="preserve">tax and GST </w:t>
      </w:r>
      <w:r w:rsidR="003A2F01">
        <w:rPr>
          <w:lang w:val="en-US" w:eastAsia="en-AU"/>
        </w:rPr>
        <w:t>is</w:t>
      </w:r>
      <w:r w:rsidR="00151440">
        <w:rPr>
          <w:lang w:val="en-US" w:eastAsia="en-AU"/>
        </w:rPr>
        <w:t xml:space="preserve"> through the after</w:t>
      </w:r>
      <w:r w:rsidR="00F03697">
        <w:rPr>
          <w:lang w:val="en-US" w:eastAsia="en-AU"/>
        </w:rPr>
        <w:noBreakHyphen/>
      </w:r>
      <w:r w:rsidR="00151440">
        <w:rPr>
          <w:lang w:val="en-US" w:eastAsia="en-AU"/>
        </w:rPr>
        <w:t>tax real wage:</w:t>
      </w:r>
    </w:p>
    <w:p w14:paraId="2CA3BF15" w14:textId="317CD8EF" w:rsidR="008F3CC5" w:rsidRPr="001F2B12" w:rsidRDefault="008F3CC5" w:rsidP="008F3CC5">
      <w:pPr>
        <w:pStyle w:val="MTDisplayEquation"/>
      </w:pPr>
      <w:r>
        <w:tab/>
      </w:r>
      <w:r w:rsidR="00F96D4E" w:rsidRPr="008F3CC5">
        <w:rPr>
          <w:position w:val="-30"/>
        </w:rPr>
        <w:object w:dxaOrig="1080" w:dyaOrig="720" w14:anchorId="63133831">
          <v:shape id="_x0000_i1048" type="#_x0000_t75" alt="Equation 9 is equation 2 repeated. This equation presents the after tax real wage as the ratio of the after tax wage to the after tax price of aggregate consumption goods and services." style="width:54.2pt;height:37.05pt" o:ole="">
            <v:imagedata r:id="rId63" o:title=""/>
          </v:shape>
          <o:OLEObject Type="Embed" ProgID="Equation.DSMT4" ShapeID="_x0000_i1048" DrawAspect="Content" ObjectID="_1489908548" r:id="rId64"/>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9</w:instrText>
      </w:r>
      <w:r w:rsidR="00866AD9">
        <w:rPr>
          <w:noProof/>
        </w:rPr>
        <w:fldChar w:fldCharType="end"/>
      </w:r>
      <w:r>
        <w:instrText>)</w:instrText>
      </w:r>
      <w:r>
        <w:fldChar w:fldCharType="end"/>
      </w:r>
    </w:p>
    <w:p w14:paraId="29DD6A04" w14:textId="34775A34" w:rsidR="00450126" w:rsidRPr="001F2B12" w:rsidRDefault="008F3CC5" w:rsidP="008F3CC5">
      <w:pPr>
        <w:pStyle w:val="MTDisplayEquation"/>
        <w:rPr>
          <w:rFonts w:eastAsiaTheme="minorEastAsia"/>
        </w:rPr>
      </w:pPr>
      <w:r>
        <w:t>where: w is the wage; p</w:t>
      </w:r>
      <w:r w:rsidRPr="00450126">
        <w:rPr>
          <w:vertAlign w:val="subscript"/>
        </w:rPr>
        <w:t>c</w:t>
      </w:r>
      <w:r>
        <w:t xml:space="preserve"> is the price of consumption goods and services; </w:t>
      </w:r>
      <w:r w:rsidRPr="00450126">
        <w:rPr>
          <w:rFonts w:ascii="Symbol" w:hAnsi="Symbol"/>
        </w:rPr>
        <w:t></w:t>
      </w:r>
      <w:r w:rsidRPr="00450126">
        <w:rPr>
          <w:vertAlign w:val="subscript"/>
        </w:rPr>
        <w:t>N</w:t>
      </w:r>
      <w:r>
        <w:t xml:space="preserve"> is the flat labour income tax rate payable by the household; and </w:t>
      </w:r>
      <w:r w:rsidRPr="00450126">
        <w:rPr>
          <w:rFonts w:ascii="Symbol" w:hAnsi="Symbol"/>
        </w:rPr>
        <w:t></w:t>
      </w:r>
      <w:r w:rsidRPr="00450126">
        <w:rPr>
          <w:vertAlign w:val="subscript"/>
        </w:rPr>
        <w:t>c</w:t>
      </w:r>
      <w:r>
        <w:t xml:space="preserve"> is the GST tax rate payable by the household.</w:t>
      </w:r>
    </w:p>
    <w:p w14:paraId="29DD6A05" w14:textId="1A157496" w:rsidR="00713923" w:rsidRDefault="002B67A6" w:rsidP="001F0010">
      <w:pPr>
        <w:rPr>
          <w:lang w:val="en-US" w:eastAsia="en-AU"/>
        </w:rPr>
      </w:pPr>
      <w:r>
        <w:rPr>
          <w:lang w:val="en-US" w:eastAsia="en-AU"/>
        </w:rPr>
        <w:t>A</w:t>
      </w:r>
      <w:r w:rsidR="00456FC8">
        <w:rPr>
          <w:lang w:val="en-US" w:eastAsia="en-AU"/>
        </w:rPr>
        <w:t xml:space="preserve"> common</w:t>
      </w:r>
      <w:r w:rsidR="00151440">
        <w:rPr>
          <w:lang w:val="en-US" w:eastAsia="en-AU"/>
        </w:rPr>
        <w:t xml:space="preserve"> change to </w:t>
      </w:r>
      <w:r w:rsidR="003A2F01">
        <w:rPr>
          <w:lang w:val="en-US" w:eastAsia="en-AU"/>
        </w:rPr>
        <w:t xml:space="preserve">either the </w:t>
      </w:r>
      <w:r w:rsidR="00EA2CBC">
        <w:rPr>
          <w:lang w:val="en-US" w:eastAsia="en-AU"/>
        </w:rPr>
        <w:t xml:space="preserve">flat </w:t>
      </w:r>
      <w:r w:rsidR="003A2F01">
        <w:rPr>
          <w:lang w:val="en-US" w:eastAsia="en-AU"/>
        </w:rPr>
        <w:t xml:space="preserve">labour </w:t>
      </w:r>
      <w:r w:rsidR="00456FC8">
        <w:rPr>
          <w:lang w:val="en-US" w:eastAsia="en-AU"/>
        </w:rPr>
        <w:t xml:space="preserve">income </w:t>
      </w:r>
      <w:r w:rsidR="003A2F01">
        <w:rPr>
          <w:lang w:val="en-US" w:eastAsia="en-AU"/>
        </w:rPr>
        <w:t>tax or</w:t>
      </w:r>
      <w:r w:rsidR="002F3976">
        <w:rPr>
          <w:lang w:val="en-US" w:eastAsia="en-AU"/>
        </w:rPr>
        <w:t xml:space="preserve"> the</w:t>
      </w:r>
      <w:r w:rsidR="003A2F01">
        <w:rPr>
          <w:lang w:val="en-US" w:eastAsia="en-AU"/>
        </w:rPr>
        <w:t xml:space="preserve"> </w:t>
      </w:r>
      <w:r w:rsidR="00EA2CBC">
        <w:rPr>
          <w:lang w:val="en-US" w:eastAsia="en-AU"/>
        </w:rPr>
        <w:t>broad</w:t>
      </w:r>
      <w:r w:rsidR="00F03697">
        <w:rPr>
          <w:lang w:val="en-US" w:eastAsia="en-AU"/>
        </w:rPr>
        <w:noBreakHyphen/>
      </w:r>
      <w:r w:rsidR="00EA2CBC">
        <w:rPr>
          <w:lang w:val="en-US" w:eastAsia="en-AU"/>
        </w:rPr>
        <w:t xml:space="preserve">based </w:t>
      </w:r>
      <w:r w:rsidR="003A2F01">
        <w:rPr>
          <w:lang w:val="en-US" w:eastAsia="en-AU"/>
        </w:rPr>
        <w:t>consumption tax will have the same proportional effect on the slope of the household</w:t>
      </w:r>
      <w:r w:rsidR="00F03697">
        <w:rPr>
          <w:lang w:val="en-US" w:eastAsia="en-AU"/>
        </w:rPr>
        <w:t>’</w:t>
      </w:r>
      <w:r w:rsidR="003A2F01">
        <w:rPr>
          <w:lang w:val="en-US" w:eastAsia="en-AU"/>
        </w:rPr>
        <w:t xml:space="preserve">s budget constraint. </w:t>
      </w:r>
    </w:p>
    <w:p w14:paraId="29DD6A06" w14:textId="75C1F9B5" w:rsidR="001F0010" w:rsidRDefault="00EA2CBC" w:rsidP="001F0010">
      <w:pPr>
        <w:rPr>
          <w:lang w:val="en-US" w:eastAsia="en-AU"/>
        </w:rPr>
      </w:pPr>
      <w:r>
        <w:rPr>
          <w:lang w:val="en-US" w:eastAsia="en-AU"/>
        </w:rPr>
        <w:t>Given that the current GST is applied to a narrow</w:t>
      </w:r>
      <w:r w:rsidR="00F03697">
        <w:rPr>
          <w:lang w:val="en-US" w:eastAsia="en-AU"/>
        </w:rPr>
        <w:noBreakHyphen/>
      </w:r>
      <w:r>
        <w:rPr>
          <w:lang w:val="en-US" w:eastAsia="en-AU"/>
        </w:rPr>
        <w:t>base</w:t>
      </w:r>
      <w:r w:rsidR="00713923">
        <w:rPr>
          <w:lang w:val="en-US" w:eastAsia="en-AU"/>
        </w:rPr>
        <w:t xml:space="preserve"> which means it </w:t>
      </w:r>
      <w:r w:rsidR="00012FFD">
        <w:rPr>
          <w:lang w:val="en-US" w:eastAsia="en-AU"/>
        </w:rPr>
        <w:t>imposes greater</w:t>
      </w:r>
      <w:r w:rsidR="002F60DA">
        <w:rPr>
          <w:lang w:val="en-US" w:eastAsia="en-AU"/>
        </w:rPr>
        <w:t xml:space="preserve"> distortions </w:t>
      </w:r>
      <w:r w:rsidR="00012FFD">
        <w:rPr>
          <w:lang w:val="en-US" w:eastAsia="en-AU"/>
        </w:rPr>
        <w:t>than a homogeneous</w:t>
      </w:r>
      <w:r w:rsidR="002F60DA">
        <w:rPr>
          <w:lang w:val="en-US" w:eastAsia="en-AU"/>
        </w:rPr>
        <w:t xml:space="preserve"> goods and services </w:t>
      </w:r>
      <w:r w:rsidR="00012FFD">
        <w:rPr>
          <w:lang w:val="en-US" w:eastAsia="en-AU"/>
        </w:rPr>
        <w:t>tax</w:t>
      </w:r>
      <w:r>
        <w:rPr>
          <w:lang w:val="en-US" w:eastAsia="en-AU"/>
        </w:rPr>
        <w:t xml:space="preserve">, </w:t>
      </w:r>
      <w:r w:rsidR="00012FFD">
        <w:rPr>
          <w:lang w:val="en-US" w:eastAsia="en-AU"/>
        </w:rPr>
        <w:t xml:space="preserve">so </w:t>
      </w:r>
      <w:r w:rsidR="003A2F01">
        <w:rPr>
          <w:lang w:val="en-US" w:eastAsia="en-AU"/>
        </w:rPr>
        <w:t xml:space="preserve">we </w:t>
      </w:r>
      <w:r w:rsidR="00012FFD">
        <w:rPr>
          <w:lang w:val="en-US" w:eastAsia="en-AU"/>
        </w:rPr>
        <w:t xml:space="preserve">would </w:t>
      </w:r>
      <w:r w:rsidR="003A2F01">
        <w:rPr>
          <w:lang w:val="en-US" w:eastAsia="en-AU"/>
        </w:rPr>
        <w:t xml:space="preserve">expect a change to the GST to have a </w:t>
      </w:r>
      <w:r w:rsidR="00EF6783">
        <w:rPr>
          <w:lang w:val="en-US" w:eastAsia="en-AU"/>
        </w:rPr>
        <w:t xml:space="preserve">slightly </w:t>
      </w:r>
      <w:r>
        <w:rPr>
          <w:lang w:val="en-US" w:eastAsia="en-AU"/>
        </w:rPr>
        <w:t xml:space="preserve">larger </w:t>
      </w:r>
      <w:r w:rsidR="003A2F01">
        <w:rPr>
          <w:lang w:val="en-US" w:eastAsia="en-AU"/>
        </w:rPr>
        <w:t xml:space="preserve">effect on welfare and activity </w:t>
      </w:r>
      <w:r>
        <w:rPr>
          <w:lang w:val="en-US" w:eastAsia="en-AU"/>
        </w:rPr>
        <w:t xml:space="preserve">than </w:t>
      </w:r>
      <w:r w:rsidR="00876E3A">
        <w:rPr>
          <w:lang w:val="en-US" w:eastAsia="en-AU"/>
        </w:rPr>
        <w:t>was reported above for</w:t>
      </w:r>
      <w:r>
        <w:rPr>
          <w:lang w:val="en-US" w:eastAsia="en-AU"/>
        </w:rPr>
        <w:t xml:space="preserve"> </w:t>
      </w:r>
      <w:r w:rsidR="00876E3A">
        <w:rPr>
          <w:lang w:val="en-US" w:eastAsia="en-AU"/>
        </w:rPr>
        <w:t xml:space="preserve">a </w:t>
      </w:r>
      <w:r>
        <w:rPr>
          <w:lang w:val="en-US" w:eastAsia="en-AU"/>
        </w:rPr>
        <w:t xml:space="preserve">change in </w:t>
      </w:r>
      <w:r w:rsidR="003A2F01">
        <w:rPr>
          <w:lang w:val="en-US" w:eastAsia="en-AU"/>
        </w:rPr>
        <w:t xml:space="preserve">the </w:t>
      </w:r>
      <w:r>
        <w:rPr>
          <w:lang w:val="en-US" w:eastAsia="en-AU"/>
        </w:rPr>
        <w:t xml:space="preserve">flat </w:t>
      </w:r>
      <w:r w:rsidR="002B67A6">
        <w:rPr>
          <w:lang w:val="en-US" w:eastAsia="en-AU"/>
        </w:rPr>
        <w:t>labour income tax</w:t>
      </w:r>
      <w:r w:rsidR="003A2F01">
        <w:rPr>
          <w:lang w:val="en-US" w:eastAsia="en-AU"/>
        </w:rPr>
        <w:t>.</w:t>
      </w:r>
    </w:p>
    <w:p w14:paraId="29DD6A07" w14:textId="77777777" w:rsidR="00913C78" w:rsidRDefault="00913C78" w:rsidP="00913C78">
      <w:pPr>
        <w:pStyle w:val="Heading3"/>
      </w:pPr>
      <w:r>
        <w:t>Results</w:t>
      </w:r>
    </w:p>
    <w:p w14:paraId="29DD6A08" w14:textId="77777777" w:rsidR="003A2F01" w:rsidRDefault="003A2F01" w:rsidP="003A2F01">
      <w:r>
        <w:t xml:space="preserve">We analyse the </w:t>
      </w:r>
      <w:r w:rsidR="00B32538">
        <w:t xml:space="preserve">marginal </w:t>
      </w:r>
      <w:r>
        <w:t xml:space="preserve">excess burden and incidence of the goods and services tax by modelling a marginal increase in the </w:t>
      </w:r>
      <w:r w:rsidR="00CA644A">
        <w:t>goods and services</w:t>
      </w:r>
      <w:r>
        <w:t xml:space="preserve"> tax rate sufficient to raise one dollar of revenue from all taxes.</w:t>
      </w:r>
    </w:p>
    <w:p w14:paraId="29DD6A09" w14:textId="77777777" w:rsidR="002B67A6" w:rsidRPr="003A2F01" w:rsidRDefault="002B67A6" w:rsidP="002B67A6">
      <w:pPr>
        <w:pStyle w:val="Heading4"/>
        <w:rPr>
          <w:lang w:val="en-US" w:eastAsia="en-AU"/>
        </w:rPr>
      </w:pPr>
      <w:r>
        <w:t>Activity</w:t>
      </w:r>
    </w:p>
    <w:p w14:paraId="29DD6A0A" w14:textId="2442C10D" w:rsidR="00C90158" w:rsidRDefault="00B843C6" w:rsidP="00C90158">
      <w:r>
        <w:t xml:space="preserve">Chart </w:t>
      </w:r>
      <w:r>
        <w:rPr>
          <w:noProof/>
        </w:rPr>
        <w:t>16</w:t>
      </w:r>
      <w:r w:rsidR="00C90158">
        <w:t xml:space="preserve"> </w:t>
      </w:r>
      <w:r w:rsidR="002F3976">
        <w:t>shows</w:t>
      </w:r>
      <w:r w:rsidR="00C90158">
        <w:t xml:space="preserve"> that the long</w:t>
      </w:r>
      <w:r w:rsidR="00F03697">
        <w:noBreakHyphen/>
      </w:r>
      <w:r w:rsidR="00C90158">
        <w:t xml:space="preserve">run effect of raising the GST rate on factor income is larger than in the case of the change in the </w:t>
      </w:r>
      <w:r w:rsidR="00D62342">
        <w:rPr>
          <w:lang w:eastAsia="en-AU"/>
        </w:rPr>
        <w:t xml:space="preserve">flat </w:t>
      </w:r>
      <w:r w:rsidR="00876E3A">
        <w:t xml:space="preserve">labour </w:t>
      </w:r>
      <w:r w:rsidR="00C90158">
        <w:t xml:space="preserve">income tax rate. The difference is </w:t>
      </w:r>
      <w:r w:rsidR="00876E3A">
        <w:t xml:space="preserve">largely </w:t>
      </w:r>
      <w:r w:rsidR="00C90158">
        <w:t>due to the price effect with the volume effects roughly similar. Th</w:t>
      </w:r>
      <w:r w:rsidR="002B67A6">
        <w:t>e larger price response</w:t>
      </w:r>
      <w:r w:rsidR="00C90158">
        <w:t xml:space="preserve"> reflects the fact that the </w:t>
      </w:r>
      <w:r w:rsidR="001F442C">
        <w:t>numeraire</w:t>
      </w:r>
      <w:r w:rsidR="00C90158">
        <w:t xml:space="preserve"> is the after</w:t>
      </w:r>
      <w:r w:rsidR="00F03697">
        <w:noBreakHyphen/>
      </w:r>
      <w:r w:rsidR="00C90158">
        <w:t xml:space="preserve">tax consumption price which rises in the GST scenario, but not in the </w:t>
      </w:r>
      <w:r w:rsidR="00D62342">
        <w:rPr>
          <w:lang w:eastAsia="en-AU"/>
        </w:rPr>
        <w:t xml:space="preserve">flat </w:t>
      </w:r>
      <w:r w:rsidR="00876E3A">
        <w:t xml:space="preserve">labour </w:t>
      </w:r>
      <w:r w:rsidR="005F4C7B">
        <w:t xml:space="preserve">income </w:t>
      </w:r>
      <w:r w:rsidR="00C90158">
        <w:t>tax scenario</w:t>
      </w:r>
      <w:r w:rsidR="00264BC9">
        <w:t>s</w:t>
      </w:r>
      <w:r w:rsidR="00C90158">
        <w:t>.</w:t>
      </w:r>
    </w:p>
    <w:p w14:paraId="29DD6A0B" w14:textId="361589BC" w:rsidR="00C90158" w:rsidRDefault="00C90158" w:rsidP="00C90158">
      <w:r>
        <w:t xml:space="preserve">The same factors underlying the </w:t>
      </w:r>
      <w:r w:rsidR="00D62342">
        <w:rPr>
          <w:lang w:eastAsia="en-AU"/>
        </w:rPr>
        <w:t xml:space="preserve">flat </w:t>
      </w:r>
      <w:r w:rsidR="00876E3A">
        <w:t xml:space="preserve">labour </w:t>
      </w:r>
      <w:r>
        <w:t>income tax scenario are at work in this scenario. The initial decrease in the supply of labour due to the lower after</w:t>
      </w:r>
      <w:r w:rsidR="00F03697">
        <w:noBreakHyphen/>
      </w:r>
      <w:r>
        <w:t>tax real wage is partially offset by a slight rise in the before</w:t>
      </w:r>
      <w:r w:rsidR="00F03697">
        <w:noBreakHyphen/>
      </w:r>
      <w:r>
        <w:t xml:space="preserve">tax real wage. </w:t>
      </w:r>
      <w:r w:rsidR="00FD7B2D">
        <w:t>Again, l</w:t>
      </w:r>
      <w:r>
        <w:t xml:space="preserve">abour and capital are complements so the decreased labour input lowers the marginal product of capital and its rate of return, which results in an outflow of capital from the domestic economy. This is reflected in the fall in GOS in both volume and price terms. </w:t>
      </w:r>
      <w:r w:rsidR="00FD7B2D">
        <w:t xml:space="preserve">The tax rate </w:t>
      </w:r>
      <w:r w:rsidR="00FD7B2D">
        <w:lastRenderedPageBreak/>
        <w:t>change has a</w:t>
      </w:r>
      <w:r w:rsidR="00A613C8">
        <w:t xml:space="preserve"> </w:t>
      </w:r>
      <w:r w:rsidR="00FD7B2D">
        <w:t xml:space="preserve">positive </w:t>
      </w:r>
      <w:r>
        <w:t xml:space="preserve">effect on indirect taxes. In aggregate there is a </w:t>
      </w:r>
      <w:r w:rsidR="00FD7B2D">
        <w:t xml:space="preserve">similar </w:t>
      </w:r>
      <w:r>
        <w:t xml:space="preserve">decline in real GDP </w:t>
      </w:r>
      <w:r w:rsidR="00A613C8">
        <w:t xml:space="preserve">relative </w:t>
      </w:r>
      <w:r w:rsidR="00FD7B2D">
        <w:t xml:space="preserve">to the </w:t>
      </w:r>
      <w:r w:rsidR="00D62342">
        <w:rPr>
          <w:lang w:eastAsia="en-AU"/>
        </w:rPr>
        <w:t xml:space="preserve">flat </w:t>
      </w:r>
      <w:r w:rsidR="00F7451C">
        <w:t>labour</w:t>
      </w:r>
      <w:r w:rsidR="00FD7B2D">
        <w:t xml:space="preserve"> income tax scenario </w:t>
      </w:r>
      <w:r>
        <w:t xml:space="preserve">and a </w:t>
      </w:r>
      <w:r w:rsidR="00A613C8">
        <w:t xml:space="preserve">relatively </w:t>
      </w:r>
      <w:r w:rsidR="00FD7B2D">
        <w:t>larger de</w:t>
      </w:r>
      <w:r>
        <w:t>crease in the GDP deflator</w:t>
      </w:r>
      <w:r w:rsidR="00FD7B2D">
        <w:t xml:space="preserve"> due to </w:t>
      </w:r>
      <w:r w:rsidR="00F17C26">
        <w:t xml:space="preserve">the </w:t>
      </w:r>
      <w:r w:rsidR="00FD7B2D">
        <w:t xml:space="preserve">change in the </w:t>
      </w:r>
      <w:r w:rsidR="001F442C">
        <w:t>numeraire</w:t>
      </w:r>
      <w:r w:rsidR="002B67A6">
        <w:t>.</w:t>
      </w:r>
    </w:p>
    <w:p w14:paraId="29DD6A0C" w14:textId="0BB4C14D" w:rsidR="001E62CC" w:rsidRDefault="001E62CC" w:rsidP="00E82F3E">
      <w:pPr>
        <w:pStyle w:val="Caption1"/>
      </w:pPr>
      <w:bookmarkStart w:id="28" w:name="_Ref398460076"/>
      <w:r>
        <w:t xml:space="preserve">Chart </w:t>
      </w:r>
      <w:r w:rsidR="00866AD9">
        <w:fldChar w:fldCharType="begin"/>
      </w:r>
      <w:r w:rsidR="00866AD9">
        <w:instrText xml:space="preserve"> SEQ Chart \* ARABIC </w:instrText>
      </w:r>
      <w:r w:rsidR="00866AD9">
        <w:fldChar w:fldCharType="separate"/>
      </w:r>
      <w:r w:rsidR="00AA2137">
        <w:rPr>
          <w:noProof/>
        </w:rPr>
        <w:t>16</w:t>
      </w:r>
      <w:r w:rsidR="00866AD9">
        <w:rPr>
          <w:noProof/>
        </w:rPr>
        <w:fldChar w:fldCharType="end"/>
      </w:r>
      <w:bookmarkEnd w:id="28"/>
      <w:r>
        <w:t>:</w:t>
      </w:r>
      <w:r w:rsidRPr="001E62CC">
        <w:t xml:space="preserve"> </w:t>
      </w:r>
      <w:r>
        <w:t>Goods and services tax</w:t>
      </w:r>
      <w:r w:rsidR="004C5CFD">
        <w:t xml:space="preserve"> — </w:t>
      </w:r>
      <w:r>
        <w:t>Income from GDP response</w:t>
      </w:r>
    </w:p>
    <w:p w14:paraId="29DD6A0D" w14:textId="7BE316ED" w:rsidR="00913C78" w:rsidRDefault="00866AD9" w:rsidP="00FD52B5">
      <w:pPr>
        <w:pStyle w:val="Caption1"/>
      </w:pPr>
      <w:r>
        <w:pict w14:anchorId="0E8027AC">
          <v:shape id="_x0000_i1049" type="#_x0000_t75" alt="This chart shows the price and volume response of the income components of GDP: capital income; labour income and indirect taxes; due to a marginal increase in the goods and services tax rate." style="width:439.15pt;height:226pt">
            <v:imagedata r:id="rId65" o:title=""/>
          </v:shape>
        </w:pict>
      </w:r>
    </w:p>
    <w:p w14:paraId="1080BBFA" w14:textId="14484B72" w:rsidR="00F74E3C" w:rsidRDefault="00F74E3C" w:rsidP="0055740C">
      <w:pPr>
        <w:pStyle w:val="Source"/>
        <w:ind w:left="426"/>
      </w:pPr>
      <w:r>
        <w:rPr>
          <w:lang w:val="en-US"/>
        </w:rPr>
        <w:t xml:space="preserve">Source: </w:t>
      </w:r>
      <w:r w:rsidR="00E007CF">
        <w:t>Treasury estimates</w:t>
      </w:r>
      <w:r>
        <w:t>.</w:t>
      </w:r>
    </w:p>
    <w:p w14:paraId="29DD6A0E" w14:textId="367A5451" w:rsidR="00FD7B2D" w:rsidRPr="00913C78" w:rsidRDefault="00A613C8" w:rsidP="00FD7B2D">
      <w:r>
        <w:t>Turning to</w:t>
      </w:r>
      <w:r w:rsidR="00FD7B2D" w:rsidRPr="00913C78">
        <w:t xml:space="preserve"> the expenditure side</w:t>
      </w:r>
      <w:r>
        <w:t>,</w:t>
      </w:r>
      <w:r w:rsidR="00FD7B2D" w:rsidRPr="00913C78">
        <w:t xml:space="preserve"> </w:t>
      </w:r>
      <w:r w:rsidR="00D52F17">
        <w:t xml:space="preserve">the volume responses are similar to the </w:t>
      </w:r>
      <w:r w:rsidR="00D62342">
        <w:rPr>
          <w:lang w:eastAsia="en-AU"/>
        </w:rPr>
        <w:t xml:space="preserve">flat </w:t>
      </w:r>
      <w:r w:rsidR="00876E3A">
        <w:t xml:space="preserve">labour </w:t>
      </w:r>
      <w:r w:rsidR="00D52F17">
        <w:t xml:space="preserve">income tax, with the large price effects reflecting the change in the </w:t>
      </w:r>
      <w:r w:rsidR="001F442C">
        <w:t>numeraire</w:t>
      </w:r>
      <w:r w:rsidR="00FD7B2D">
        <w:t xml:space="preserve"> (</w:t>
      </w:r>
      <w:r w:rsidR="00B843C6">
        <w:t xml:space="preserve">Chart </w:t>
      </w:r>
      <w:r w:rsidR="00B843C6">
        <w:rPr>
          <w:noProof/>
        </w:rPr>
        <w:t>17</w:t>
      </w:r>
      <w:r w:rsidR="00FD7B2D">
        <w:t>)</w:t>
      </w:r>
      <w:r w:rsidR="00D52F17">
        <w:t>.</w:t>
      </w:r>
    </w:p>
    <w:p w14:paraId="29DD6A0F" w14:textId="31765C04" w:rsidR="001E62CC" w:rsidRDefault="001E62CC" w:rsidP="00E82F3E">
      <w:pPr>
        <w:pStyle w:val="Caption1"/>
      </w:pPr>
      <w:bookmarkStart w:id="29" w:name="_Ref398460090"/>
      <w:r>
        <w:t xml:space="preserve">Chart </w:t>
      </w:r>
      <w:r w:rsidR="00866AD9">
        <w:fldChar w:fldCharType="begin"/>
      </w:r>
      <w:r w:rsidR="00866AD9">
        <w:instrText xml:space="preserve"> SEQ Chart \* ARABIC </w:instrText>
      </w:r>
      <w:r w:rsidR="00866AD9">
        <w:fldChar w:fldCharType="separate"/>
      </w:r>
      <w:r w:rsidR="00AA2137">
        <w:rPr>
          <w:noProof/>
        </w:rPr>
        <w:t>17</w:t>
      </w:r>
      <w:r w:rsidR="00866AD9">
        <w:rPr>
          <w:noProof/>
        </w:rPr>
        <w:fldChar w:fldCharType="end"/>
      </w:r>
      <w:bookmarkEnd w:id="29"/>
      <w:r>
        <w:t>: Goods and services tax</w:t>
      </w:r>
      <w:r w:rsidR="004C5CFD">
        <w:t xml:space="preserve"> — </w:t>
      </w:r>
      <w:r>
        <w:t xml:space="preserve">Expenditure on </w:t>
      </w:r>
      <w:r w:rsidRPr="008900F0">
        <w:t xml:space="preserve">GDP </w:t>
      </w:r>
      <w:r>
        <w:t>response</w:t>
      </w:r>
    </w:p>
    <w:p w14:paraId="29DD6A10" w14:textId="65437124" w:rsidR="005604EC" w:rsidRDefault="00866AD9" w:rsidP="00FD52B5">
      <w:pPr>
        <w:pStyle w:val="Caption1"/>
      </w:pPr>
      <w:r>
        <w:pict w14:anchorId="5D51256C">
          <v:shape id="_x0000_i1050" type="#_x0000_t75" alt="This chart shows the price and volume response of the expenditure components of GDP: consumption; investment; government expenditure and net exports; due to a marginal increase in the goods and services tax rate." style="width:439.15pt;height:226pt">
            <v:imagedata r:id="rId66" o:title=""/>
          </v:shape>
        </w:pict>
      </w:r>
    </w:p>
    <w:p w14:paraId="35B82CB4" w14:textId="237ED43C" w:rsidR="00F74E3C" w:rsidRDefault="00F74E3C" w:rsidP="0055740C">
      <w:pPr>
        <w:pStyle w:val="Source"/>
        <w:ind w:left="426"/>
      </w:pPr>
      <w:r>
        <w:rPr>
          <w:lang w:val="en-US"/>
        </w:rPr>
        <w:t xml:space="preserve">Source: </w:t>
      </w:r>
      <w:r w:rsidR="00E007CF">
        <w:t>Treasury estimates</w:t>
      </w:r>
      <w:r>
        <w:t>.</w:t>
      </w:r>
    </w:p>
    <w:p w14:paraId="29DD6A11" w14:textId="1628D438" w:rsidR="00466DF7" w:rsidRPr="00466DF7" w:rsidRDefault="00B843C6" w:rsidP="00DC5E8B">
      <w:r>
        <w:t xml:space="preserve">Chart </w:t>
      </w:r>
      <w:r>
        <w:rPr>
          <w:noProof/>
        </w:rPr>
        <w:t>18</w:t>
      </w:r>
      <w:r w:rsidR="00D52F17">
        <w:t xml:space="preserve"> </w:t>
      </w:r>
      <w:r w:rsidR="002F3976">
        <w:t>shows</w:t>
      </w:r>
      <w:r w:rsidR="00D52F17">
        <w:t xml:space="preserve"> that </w:t>
      </w:r>
      <w:r w:rsidR="00466DF7">
        <w:t>ar</w:t>
      </w:r>
      <w:r w:rsidR="00D52F17">
        <w:t xml:space="preserve">ound </w:t>
      </w:r>
      <w:r w:rsidR="00D52F17" w:rsidRPr="006F246D">
        <w:t>1.</w:t>
      </w:r>
      <w:r w:rsidR="00EC6FC9" w:rsidRPr="006F246D">
        <w:t>30 </w:t>
      </w:r>
      <w:r w:rsidR="00E54AFE" w:rsidRPr="006F246D">
        <w:t>dollars</w:t>
      </w:r>
      <w:r w:rsidR="00E54AFE">
        <w:t xml:space="preserve"> </w:t>
      </w:r>
      <w:r w:rsidR="00D52F17">
        <w:t xml:space="preserve">of GST </w:t>
      </w:r>
      <w:r w:rsidR="00E54AFE">
        <w:t xml:space="preserve">revenue </w:t>
      </w:r>
      <w:r w:rsidR="00D52F17">
        <w:t>must be raised to offset the fall in revenue to other tax heads.</w:t>
      </w:r>
      <w:r w:rsidR="00A63A43">
        <w:t xml:space="preserve"> Again the respons</w:t>
      </w:r>
      <w:r w:rsidR="00A613C8">
        <w:t>e</w:t>
      </w:r>
      <w:r w:rsidR="00A63A43">
        <w:t xml:space="preserve"> of other tax heads is somewhat large</w:t>
      </w:r>
      <w:r w:rsidR="00A613C8">
        <w:t>r</w:t>
      </w:r>
      <w:r w:rsidR="00A63A43">
        <w:t xml:space="preserve"> than reported for the </w:t>
      </w:r>
      <w:r w:rsidR="00D62342">
        <w:rPr>
          <w:lang w:eastAsia="en-AU"/>
        </w:rPr>
        <w:t xml:space="preserve">flat </w:t>
      </w:r>
      <w:r w:rsidR="00876E3A">
        <w:t xml:space="preserve">labour </w:t>
      </w:r>
      <w:r w:rsidR="00A63A43">
        <w:t>income tax scenario, which reflects changes in the</w:t>
      </w:r>
      <w:r w:rsidR="004D7C9D">
        <w:t xml:space="preserve"> </w:t>
      </w:r>
      <w:r w:rsidR="001F442C">
        <w:t>numeraire</w:t>
      </w:r>
      <w:r w:rsidR="00A63A43">
        <w:t xml:space="preserve">. These differences are largely </w:t>
      </w:r>
      <w:r w:rsidR="00A63A43">
        <w:lastRenderedPageBreak/>
        <w:t xml:space="preserve">offset by the positive contribution from the price of government </w:t>
      </w:r>
      <w:r w:rsidR="00A613C8">
        <w:t>expenditure</w:t>
      </w:r>
      <w:r w:rsidR="00A63A43">
        <w:t>, which also reflects the change in the</w:t>
      </w:r>
      <w:r w:rsidR="004D7C9D">
        <w:t xml:space="preserve"> </w:t>
      </w:r>
      <w:r w:rsidR="001F442C">
        <w:t>numeraire</w:t>
      </w:r>
      <w:r w:rsidR="00A63A43">
        <w:t>.</w:t>
      </w:r>
    </w:p>
    <w:p w14:paraId="29DD6A12" w14:textId="4757AF67" w:rsidR="001E62CC" w:rsidRDefault="001E62CC" w:rsidP="00E82F3E">
      <w:pPr>
        <w:pStyle w:val="Caption1"/>
      </w:pPr>
      <w:bookmarkStart w:id="30" w:name="_Ref398460101"/>
      <w:r>
        <w:t xml:space="preserve">Chart </w:t>
      </w:r>
      <w:r w:rsidR="00866AD9">
        <w:fldChar w:fldCharType="begin"/>
      </w:r>
      <w:r w:rsidR="00866AD9">
        <w:instrText xml:space="preserve"> SEQ Chart \* ARABIC </w:instrText>
      </w:r>
      <w:r w:rsidR="00866AD9">
        <w:fldChar w:fldCharType="separate"/>
      </w:r>
      <w:r w:rsidR="00AA2137">
        <w:rPr>
          <w:noProof/>
        </w:rPr>
        <w:t>18</w:t>
      </w:r>
      <w:r w:rsidR="00866AD9">
        <w:rPr>
          <w:noProof/>
        </w:rPr>
        <w:fldChar w:fldCharType="end"/>
      </w:r>
      <w:bookmarkEnd w:id="30"/>
      <w:r>
        <w:t>: Goods and services tax</w:t>
      </w:r>
      <w:r w:rsidR="004C5CFD">
        <w:t xml:space="preserve"> — </w:t>
      </w:r>
      <w:r w:rsidRPr="006A48CA">
        <w:t xml:space="preserve">Government </w:t>
      </w:r>
      <w:r>
        <w:t>b</w:t>
      </w:r>
      <w:r w:rsidRPr="006A48CA">
        <w:t xml:space="preserve">udget </w:t>
      </w:r>
      <w:r>
        <w:t>response</w:t>
      </w:r>
    </w:p>
    <w:p w14:paraId="29DD6A13" w14:textId="32F42AAA" w:rsidR="005604EC" w:rsidRDefault="00866AD9" w:rsidP="00FD52B5">
      <w:pPr>
        <w:pStyle w:val="Caption1"/>
      </w:pPr>
      <w:r>
        <w:pict w14:anchorId="1FDCB457">
          <v:shape id="_x0000_i1051" type="#_x0000_t75" alt="This chart shows the impact on the components of the government’s budget of raising one net dollar of additional revenue through raising the goods and services tax rate." style="width:439.15pt;height:226pt">
            <v:imagedata r:id="rId67" o:title=""/>
          </v:shape>
        </w:pict>
      </w:r>
    </w:p>
    <w:p w14:paraId="7597C8C8" w14:textId="573D3144" w:rsidR="00F74E3C" w:rsidRDefault="00F74E3C" w:rsidP="0055740C">
      <w:pPr>
        <w:pStyle w:val="Source"/>
        <w:ind w:left="392"/>
      </w:pPr>
      <w:r>
        <w:rPr>
          <w:lang w:val="en-US"/>
        </w:rPr>
        <w:t xml:space="preserve">Source: </w:t>
      </w:r>
      <w:r w:rsidR="00E007CF">
        <w:t>Treasury estimates</w:t>
      </w:r>
      <w:r>
        <w:t>.</w:t>
      </w:r>
    </w:p>
    <w:p w14:paraId="29DD6A14" w14:textId="5018A088" w:rsidR="00A613C8" w:rsidRDefault="007B5309" w:rsidP="0037543F">
      <w:pPr>
        <w:pStyle w:val="Heading4"/>
      </w:pPr>
      <w:r>
        <w:t>Marginal e</w:t>
      </w:r>
      <w:r w:rsidR="00613756">
        <w:t>xcess burden and incidence</w:t>
      </w:r>
    </w:p>
    <w:p w14:paraId="29DD6A15" w14:textId="5BD373F8" w:rsidR="00E74874" w:rsidRPr="00E74874" w:rsidRDefault="00E74874" w:rsidP="0037543F">
      <w:r w:rsidRPr="00B16B7C">
        <w:t>The increase in the rate of the GST causes household welfare to decline</w:t>
      </w:r>
      <w:r w:rsidR="003C342C" w:rsidRPr="00B16B7C">
        <w:t xml:space="preserve">, with </w:t>
      </w:r>
      <w:r w:rsidR="003C342C" w:rsidRPr="00B16B7C">
        <w:rPr>
          <w:lang w:eastAsia="en-AU"/>
        </w:rPr>
        <w:t xml:space="preserve">the marginal excess burden of the GST estimated to be </w:t>
      </w:r>
      <w:r w:rsidR="00361698" w:rsidRPr="006F246D">
        <w:rPr>
          <w:lang w:eastAsia="en-AU"/>
        </w:rPr>
        <w:t xml:space="preserve">19 </w:t>
      </w:r>
      <w:r w:rsidR="00AD403D" w:rsidRPr="006F246D">
        <w:rPr>
          <w:lang w:eastAsia="en-AU"/>
        </w:rPr>
        <w:t xml:space="preserve">cents </w:t>
      </w:r>
      <w:r w:rsidR="003C342C" w:rsidRPr="006F246D">
        <w:rPr>
          <w:lang w:eastAsia="en-AU"/>
        </w:rPr>
        <w:t>per dollar</w:t>
      </w:r>
      <w:r w:rsidR="003C342C" w:rsidRPr="00B16B7C">
        <w:rPr>
          <w:lang w:eastAsia="en-AU"/>
        </w:rPr>
        <w:t xml:space="preserve"> of net revenue raised</w:t>
      </w:r>
      <w:r w:rsidR="0058183E" w:rsidRPr="00B16B7C">
        <w:rPr>
          <w:lang w:eastAsia="en-AU"/>
        </w:rPr>
        <w:t>,</w:t>
      </w:r>
      <w:r w:rsidR="002F419C" w:rsidRPr="00B16B7C">
        <w:t xml:space="preserve"> </w:t>
      </w:r>
      <w:r w:rsidR="00AB447E" w:rsidRPr="00B16B7C">
        <w:t xml:space="preserve">which is </w:t>
      </w:r>
      <w:r w:rsidR="00613756">
        <w:t xml:space="preserve">lower </w:t>
      </w:r>
      <w:r w:rsidR="00AB447E" w:rsidRPr="00B16B7C">
        <w:t>tha</w:t>
      </w:r>
      <w:r w:rsidR="00A613C8" w:rsidRPr="00B16B7C">
        <w:t>n</w:t>
      </w:r>
      <w:r w:rsidR="00AB447E" w:rsidRPr="00B16B7C">
        <w:t xml:space="preserve"> the </w:t>
      </w:r>
      <w:r w:rsidR="007B5309">
        <w:t xml:space="preserve">marginal </w:t>
      </w:r>
      <w:r w:rsidR="00AB447E" w:rsidRPr="00B16B7C">
        <w:t xml:space="preserve">excess burden of </w:t>
      </w:r>
      <w:r w:rsidR="00361698" w:rsidRPr="006F246D">
        <w:t xml:space="preserve">21 </w:t>
      </w:r>
      <w:r w:rsidR="00AB447E" w:rsidRPr="006F246D">
        <w:t>cents per dollar</w:t>
      </w:r>
      <w:r w:rsidR="00AB447E" w:rsidRPr="00B16B7C">
        <w:t xml:space="preserve"> of net revenue under the </w:t>
      </w:r>
      <w:r w:rsidR="00D62342">
        <w:rPr>
          <w:lang w:eastAsia="en-AU"/>
        </w:rPr>
        <w:t xml:space="preserve">flat </w:t>
      </w:r>
      <w:r w:rsidR="00134519" w:rsidRPr="00B16B7C">
        <w:t>labour</w:t>
      </w:r>
      <w:r w:rsidR="00AB447E" w:rsidRPr="00B16B7C">
        <w:t xml:space="preserve"> income tax scenario </w:t>
      </w:r>
      <w:r w:rsidR="002F419C" w:rsidRPr="00B16B7C">
        <w:t>(</w:t>
      </w:r>
      <w:r w:rsidR="00B843C6">
        <w:t xml:space="preserve">Chart </w:t>
      </w:r>
      <w:r w:rsidR="00B843C6">
        <w:rPr>
          <w:noProof/>
        </w:rPr>
        <w:t>19</w:t>
      </w:r>
      <w:r w:rsidR="00AB447E" w:rsidRPr="00B16B7C">
        <w:t>).</w:t>
      </w:r>
    </w:p>
    <w:p w14:paraId="29DD6A16" w14:textId="7B01C1D5" w:rsidR="001E62CC" w:rsidRDefault="001E62CC" w:rsidP="00E82F3E">
      <w:pPr>
        <w:pStyle w:val="Caption1"/>
      </w:pPr>
      <w:bookmarkStart w:id="31" w:name="_Ref398460136"/>
      <w:r>
        <w:t xml:space="preserve">Chart </w:t>
      </w:r>
      <w:r w:rsidR="00866AD9">
        <w:fldChar w:fldCharType="begin"/>
      </w:r>
      <w:r w:rsidR="00866AD9">
        <w:instrText xml:space="preserve"> SEQ Chart \* ARABIC </w:instrText>
      </w:r>
      <w:r w:rsidR="00866AD9">
        <w:fldChar w:fldCharType="separate"/>
      </w:r>
      <w:r w:rsidR="00AA2137">
        <w:rPr>
          <w:noProof/>
        </w:rPr>
        <w:t>19</w:t>
      </w:r>
      <w:r w:rsidR="00866AD9">
        <w:rPr>
          <w:noProof/>
        </w:rPr>
        <w:fldChar w:fldCharType="end"/>
      </w:r>
      <w:bookmarkEnd w:id="31"/>
      <w:r>
        <w:t>: Goods and services tax</w:t>
      </w:r>
      <w:r w:rsidR="004C5CFD">
        <w:t xml:space="preserve"> — </w:t>
      </w:r>
      <w:r w:rsidR="0051143B">
        <w:t>Marginal e</w:t>
      </w:r>
      <w:r w:rsidR="00A34507">
        <w:t>xcess burden and incidence</w:t>
      </w:r>
    </w:p>
    <w:p w14:paraId="29DD6A17" w14:textId="0B3BF0DC" w:rsidR="005604EC" w:rsidRDefault="00866AD9" w:rsidP="00B066B3">
      <w:pPr>
        <w:pStyle w:val="Caption1"/>
      </w:pPr>
      <w:r>
        <w:pict w14:anchorId="491D4C24">
          <v:shape id="_x0000_i1052" type="#_x0000_t75" alt="This chart decomposes the incidence of a marginal increase in the goods and services tax rate into its effect on labour income and capital income." style="width:439.15pt;height:196.75pt">
            <v:imagedata r:id="rId68" o:title=""/>
          </v:shape>
        </w:pict>
      </w:r>
    </w:p>
    <w:p w14:paraId="5AFEA73A" w14:textId="18F2A425" w:rsidR="00F74E3C" w:rsidRDefault="00F74E3C" w:rsidP="0055740C">
      <w:pPr>
        <w:pStyle w:val="Source"/>
        <w:ind w:left="364"/>
      </w:pPr>
      <w:r>
        <w:rPr>
          <w:lang w:val="en-US"/>
        </w:rPr>
        <w:t xml:space="preserve">Source: </w:t>
      </w:r>
      <w:r w:rsidR="00E007CF">
        <w:t>Treasury estimates</w:t>
      </w:r>
      <w:r>
        <w:t>.</w:t>
      </w:r>
    </w:p>
    <w:p w14:paraId="29DD6A18" w14:textId="4B4C6BC7" w:rsidR="002D2D0C" w:rsidRDefault="00EC53E5" w:rsidP="002D2D0C">
      <w:r w:rsidRPr="004B64F6">
        <w:t xml:space="preserve">As </w:t>
      </w:r>
      <w:r w:rsidR="00AD403D" w:rsidRPr="004B64F6">
        <w:t xml:space="preserve">discussed for the </w:t>
      </w:r>
      <w:r w:rsidR="00882D97" w:rsidRPr="004B64F6">
        <w:t>personal</w:t>
      </w:r>
      <w:r w:rsidR="00AD403D" w:rsidRPr="004B64F6">
        <w:t xml:space="preserve"> and </w:t>
      </w:r>
      <w:r w:rsidR="005F4C7B" w:rsidRPr="004B64F6">
        <w:t>company income taxes</w:t>
      </w:r>
      <w:r w:rsidR="00AD403D" w:rsidRPr="004B64F6">
        <w:t xml:space="preserve">, </w:t>
      </w:r>
      <w:r w:rsidRPr="004B64F6">
        <w:t>t</w:t>
      </w:r>
      <w:r w:rsidR="002D2D0C" w:rsidRPr="004B64F6">
        <w:t xml:space="preserve">he marginal excess burden of the </w:t>
      </w:r>
      <w:r w:rsidRPr="004B64F6">
        <w:t>GST</w:t>
      </w:r>
      <w:r w:rsidR="002D2D0C" w:rsidRPr="004B64F6">
        <w:t xml:space="preserve"> </w:t>
      </w:r>
      <w:r w:rsidR="00613756" w:rsidRPr="004B64F6">
        <w:t xml:space="preserve">also </w:t>
      </w:r>
      <w:r w:rsidR="002D2D0C" w:rsidRPr="004B64F6">
        <w:t xml:space="preserve">declines at lower rates as shown in </w:t>
      </w:r>
      <w:r w:rsidR="00B843C6" w:rsidRPr="004B64F6">
        <w:t xml:space="preserve">Chart </w:t>
      </w:r>
      <w:r w:rsidR="00B843C6" w:rsidRPr="004B64F6">
        <w:rPr>
          <w:noProof/>
        </w:rPr>
        <w:t>20</w:t>
      </w:r>
      <w:r w:rsidR="00655289" w:rsidRPr="004B64F6">
        <w:t>. As</w:t>
      </w:r>
      <w:r w:rsidR="00BD3655" w:rsidRPr="004B64F6">
        <w:t xml:space="preserve"> the </w:t>
      </w:r>
      <w:r w:rsidR="00655289" w:rsidRPr="004B64F6">
        <w:t xml:space="preserve">GST </w:t>
      </w:r>
      <w:r w:rsidR="00BD3655" w:rsidRPr="004B64F6">
        <w:t xml:space="preserve">rate approaches zero </w:t>
      </w:r>
      <w:r w:rsidR="00655289" w:rsidRPr="004B64F6">
        <w:t xml:space="preserve">the marginal excess burden </w:t>
      </w:r>
      <w:r w:rsidR="00142D43" w:rsidRPr="004B64F6">
        <w:t xml:space="preserve">of the GST </w:t>
      </w:r>
      <w:r w:rsidR="00655289" w:rsidRPr="004B64F6">
        <w:t xml:space="preserve">falls by around </w:t>
      </w:r>
      <w:r w:rsidR="000911BC" w:rsidRPr="004B64F6">
        <w:t>5</w:t>
      </w:r>
      <w:r w:rsidR="00655289" w:rsidRPr="004B64F6">
        <w:t xml:space="preserve"> cents to </w:t>
      </w:r>
      <w:r w:rsidR="00BD3655" w:rsidRPr="004B64F6">
        <w:t>1</w:t>
      </w:r>
      <w:r w:rsidR="000911BC" w:rsidRPr="004B64F6">
        <w:t>4</w:t>
      </w:r>
      <w:r w:rsidR="00BD3655" w:rsidRPr="004B64F6">
        <w:t xml:space="preserve"> cents. </w:t>
      </w:r>
      <w:r w:rsidR="00655289" w:rsidRPr="004B64F6">
        <w:t>As outlined above, t</w:t>
      </w:r>
      <w:r w:rsidR="00BD3655" w:rsidRPr="004B64F6">
        <w:t xml:space="preserve">his residual value </w:t>
      </w:r>
      <w:r w:rsidR="00655289" w:rsidRPr="004B64F6">
        <w:t xml:space="preserve">largely </w:t>
      </w:r>
      <w:r w:rsidR="00BD3655" w:rsidRPr="004B64F6">
        <w:t xml:space="preserve">reflects the ongoing presence of the </w:t>
      </w:r>
      <w:r w:rsidR="00080465" w:rsidRPr="004B64F6">
        <w:t>flat labour</w:t>
      </w:r>
      <w:r w:rsidR="00BD3655" w:rsidRPr="004B64F6">
        <w:t xml:space="preserve"> income tax</w:t>
      </w:r>
      <w:r w:rsidR="00674743" w:rsidRPr="004B64F6">
        <w:t>.</w:t>
      </w:r>
      <w:r w:rsidR="00BD3655" w:rsidRPr="004B64F6">
        <w:t xml:space="preserve"> In particular, we show above that as the </w:t>
      </w:r>
      <w:r w:rsidR="00080465" w:rsidRPr="004B64F6">
        <w:t xml:space="preserve">flat </w:t>
      </w:r>
      <w:r w:rsidR="00080465" w:rsidRPr="004B64F6">
        <w:lastRenderedPageBreak/>
        <w:t>labour</w:t>
      </w:r>
      <w:r w:rsidR="00BD3655" w:rsidRPr="004B64F6">
        <w:t xml:space="preserve"> income tax rate approache</w:t>
      </w:r>
      <w:r w:rsidR="00A7292A" w:rsidRPr="004B64F6">
        <w:t>s</w:t>
      </w:r>
      <w:r w:rsidR="00BD3655" w:rsidRPr="004B64F6">
        <w:t xml:space="preserve"> zero its marginal excess burden </w:t>
      </w:r>
      <w:r w:rsidR="00A7292A" w:rsidRPr="004B64F6">
        <w:t>falls</w:t>
      </w:r>
      <w:r w:rsidR="00BD3655" w:rsidRPr="004B64F6">
        <w:t xml:space="preserve"> </w:t>
      </w:r>
      <w:r w:rsidR="00655289" w:rsidRPr="004B64F6">
        <w:t xml:space="preserve">from 21 cents to </w:t>
      </w:r>
      <w:r w:rsidR="00A7292A" w:rsidRPr="004B64F6">
        <w:t>8</w:t>
      </w:r>
      <w:r w:rsidR="00655289" w:rsidRPr="004B64F6">
        <w:t xml:space="preserve"> cents, which suggests </w:t>
      </w:r>
      <w:r w:rsidR="00142D43" w:rsidRPr="004B64F6">
        <w:t>it</w:t>
      </w:r>
      <w:r w:rsidR="00655289" w:rsidRPr="004B64F6">
        <w:t xml:space="preserve"> is responsible for around 1</w:t>
      </w:r>
      <w:r w:rsidR="00A7292A" w:rsidRPr="004B64F6">
        <w:t>3</w:t>
      </w:r>
      <w:r w:rsidR="00655289" w:rsidRPr="004B64F6">
        <w:t xml:space="preserve"> cents of the marginal excess burden</w:t>
      </w:r>
      <w:r w:rsidR="00142D43" w:rsidRPr="004B64F6">
        <w:t xml:space="preserve"> of the GST</w:t>
      </w:r>
      <w:r w:rsidR="00655289" w:rsidRPr="004B64F6">
        <w:t>.</w:t>
      </w:r>
    </w:p>
    <w:p w14:paraId="29DD6A19" w14:textId="01B02AD9" w:rsidR="00AB447E" w:rsidRDefault="00AB447E" w:rsidP="00E82F3E">
      <w:pPr>
        <w:pStyle w:val="Caption1"/>
      </w:pPr>
      <w:bookmarkStart w:id="32" w:name="_Ref399151276"/>
      <w:r w:rsidRPr="002C7E1C">
        <w:t xml:space="preserve">Chart </w:t>
      </w:r>
      <w:r w:rsidR="00866AD9">
        <w:fldChar w:fldCharType="begin"/>
      </w:r>
      <w:r w:rsidR="00866AD9">
        <w:instrText xml:space="preserve"> SEQ Cha</w:instrText>
      </w:r>
      <w:r w:rsidR="00866AD9">
        <w:instrText xml:space="preserve">rt \* ARABIC </w:instrText>
      </w:r>
      <w:r w:rsidR="00866AD9">
        <w:fldChar w:fldCharType="separate"/>
      </w:r>
      <w:r w:rsidR="00AA2137">
        <w:rPr>
          <w:noProof/>
        </w:rPr>
        <w:t>20</w:t>
      </w:r>
      <w:r w:rsidR="00866AD9">
        <w:rPr>
          <w:noProof/>
        </w:rPr>
        <w:fldChar w:fldCharType="end"/>
      </w:r>
      <w:bookmarkEnd w:id="32"/>
      <w:r w:rsidRPr="002C7E1C">
        <w:t>: Goods and services tax</w:t>
      </w:r>
      <w:r w:rsidR="004C5CFD">
        <w:t xml:space="preserve"> — </w:t>
      </w:r>
      <w:r w:rsidR="0051143B">
        <w:t>Marginal e</w:t>
      </w:r>
      <w:r w:rsidRPr="002C7E1C">
        <w:t>xcess burden at varying rates</w:t>
      </w:r>
    </w:p>
    <w:p w14:paraId="29DD6A1A" w14:textId="6729DFC4" w:rsidR="00120069" w:rsidRDefault="00866AD9" w:rsidP="00B066B3">
      <w:pPr>
        <w:pStyle w:val="Caption1"/>
      </w:pPr>
      <w:r>
        <w:pict w14:anchorId="69E5A47B">
          <v:shape id="_x0000_i1053" type="#_x0000_t75" alt="This chart shows the marginal excess burden of the goods and services tax at different tax rates. The excess burden of the goods and services tax increases as the tax rate rises. The chart also indicates the marginal excess burden associated with the baseline goods and services tax rate of 10 per cent." style="width:439.15pt;height:201.05pt">
            <v:imagedata r:id="rId69" o:title=""/>
          </v:shape>
        </w:pict>
      </w:r>
    </w:p>
    <w:p w14:paraId="76623E99" w14:textId="3E3ED4A7" w:rsidR="00F74E3C" w:rsidRDefault="00F74E3C" w:rsidP="0055740C">
      <w:pPr>
        <w:pStyle w:val="Source"/>
        <w:ind w:left="284"/>
      </w:pPr>
      <w:r>
        <w:rPr>
          <w:lang w:val="en-US"/>
        </w:rPr>
        <w:t xml:space="preserve">Source: </w:t>
      </w:r>
      <w:r w:rsidR="00E007CF">
        <w:t>Treasury estimates</w:t>
      </w:r>
      <w:r>
        <w:t>.</w:t>
      </w:r>
    </w:p>
    <w:p w14:paraId="29DD6A1B" w14:textId="249FE73E" w:rsidR="004324CD" w:rsidRPr="00E9490E" w:rsidRDefault="00B360D3" w:rsidP="004324CD">
      <w:pPr>
        <w:pStyle w:val="Heading3"/>
      </w:pPr>
      <w:r w:rsidRPr="00E9490E">
        <w:t>Results for a broad</w:t>
      </w:r>
      <w:r w:rsidR="00F03697">
        <w:noBreakHyphen/>
      </w:r>
      <w:r w:rsidRPr="00E9490E">
        <w:t>based goods and services tax</w:t>
      </w:r>
    </w:p>
    <w:p w14:paraId="29DD6A1C" w14:textId="7A837FB6" w:rsidR="001364E6" w:rsidRPr="00E641CD" w:rsidRDefault="00A1620E" w:rsidP="001364E6">
      <w:r>
        <w:t>Next w</w:t>
      </w:r>
      <w:r w:rsidR="001364E6" w:rsidRPr="00E9490E">
        <w:t xml:space="preserve">e analyse the </w:t>
      </w:r>
      <w:r w:rsidR="004B5A5E">
        <w:t xml:space="preserve">marginal </w:t>
      </w:r>
      <w:r w:rsidR="001364E6" w:rsidRPr="00E9490E">
        <w:t xml:space="preserve">excess burden and incidence of </w:t>
      </w:r>
      <w:r w:rsidR="0082659D" w:rsidRPr="00E9490E">
        <w:t>a hypothetical broad</w:t>
      </w:r>
      <w:r w:rsidR="00F03697">
        <w:noBreakHyphen/>
      </w:r>
      <w:r w:rsidR="0082659D" w:rsidRPr="00E9490E">
        <w:t xml:space="preserve">based </w:t>
      </w:r>
      <w:r w:rsidR="001364E6" w:rsidRPr="00E9490E">
        <w:t xml:space="preserve">goods and services tax by </w:t>
      </w:r>
      <w:r w:rsidR="0082659D" w:rsidRPr="00E9490E">
        <w:t>recalibrating the model to a harmonised tax rate across non</w:t>
      </w:r>
      <w:r w:rsidR="00F03697">
        <w:noBreakHyphen/>
      </w:r>
      <w:r w:rsidR="00ED21B8" w:rsidRPr="00E9490E">
        <w:t>rental</w:t>
      </w:r>
      <w:r w:rsidR="0082659D" w:rsidRPr="00E9490E">
        <w:t xml:space="preserve"> consumption goods and services, and then </w:t>
      </w:r>
      <w:r w:rsidR="001364E6" w:rsidRPr="00E9490E">
        <w:t>modelling a marginal increase in the goods and services tax rate sufficient to raise one dollar of revenue from all taxes.</w:t>
      </w:r>
    </w:p>
    <w:p w14:paraId="29DD6A1D" w14:textId="77777777" w:rsidR="001364E6" w:rsidRPr="00E641CD" w:rsidRDefault="001364E6" w:rsidP="001364E6">
      <w:pPr>
        <w:pStyle w:val="Heading4"/>
        <w:rPr>
          <w:lang w:val="en-US" w:eastAsia="en-AU"/>
        </w:rPr>
      </w:pPr>
      <w:r w:rsidRPr="00E641CD">
        <w:t xml:space="preserve">Activity </w:t>
      </w:r>
    </w:p>
    <w:p w14:paraId="29DD6A1E" w14:textId="7B177569" w:rsidR="001364E6" w:rsidRPr="008357DA" w:rsidRDefault="00B843C6" w:rsidP="001364E6">
      <w:r>
        <w:t xml:space="preserve">Chart </w:t>
      </w:r>
      <w:r>
        <w:rPr>
          <w:noProof/>
        </w:rPr>
        <w:t>21</w:t>
      </w:r>
      <w:r w:rsidR="001364E6" w:rsidRPr="008357DA">
        <w:t xml:space="preserve"> reveals that the long run effect of raising </w:t>
      </w:r>
      <w:r w:rsidR="008357DA" w:rsidRPr="008357DA">
        <w:t>a broad</w:t>
      </w:r>
      <w:r w:rsidR="00F03697">
        <w:noBreakHyphen/>
      </w:r>
      <w:r w:rsidR="008357DA" w:rsidRPr="008357DA">
        <w:t xml:space="preserve">based </w:t>
      </w:r>
      <w:r w:rsidR="001364E6" w:rsidRPr="008357DA">
        <w:t xml:space="preserve">GST rate on factor income is </w:t>
      </w:r>
      <w:r w:rsidR="008357DA" w:rsidRPr="008357DA">
        <w:t>smaller</w:t>
      </w:r>
      <w:r w:rsidR="001364E6" w:rsidRPr="008357DA">
        <w:t xml:space="preserve"> than </w:t>
      </w:r>
      <w:r w:rsidR="008357DA" w:rsidRPr="008357DA">
        <w:t>for the current GST base</w:t>
      </w:r>
      <w:r w:rsidR="001364E6" w:rsidRPr="008357DA">
        <w:t xml:space="preserve">. The difference </w:t>
      </w:r>
      <w:r w:rsidR="008357DA">
        <w:t xml:space="preserve">reflects the fact that </w:t>
      </w:r>
      <w:r w:rsidR="008357DA" w:rsidRPr="008357DA">
        <w:t xml:space="preserve">calibrated GST rate is lower which implies a lower </w:t>
      </w:r>
      <w:r w:rsidR="004B5A5E">
        <w:t xml:space="preserve">marginal </w:t>
      </w:r>
      <w:r w:rsidR="008357DA" w:rsidRPr="008357DA">
        <w:t>excess burden</w:t>
      </w:r>
      <w:r w:rsidR="001364E6" w:rsidRPr="008357DA">
        <w:t>.</w:t>
      </w:r>
    </w:p>
    <w:p w14:paraId="29DD6A1F" w14:textId="79D9B587" w:rsidR="001364E6" w:rsidRDefault="001364E6" w:rsidP="00E82F3E">
      <w:pPr>
        <w:pStyle w:val="Caption1"/>
      </w:pPr>
      <w:bookmarkStart w:id="33" w:name="_Ref401492899"/>
      <w:r>
        <w:lastRenderedPageBreak/>
        <w:t xml:space="preserve">Chart </w:t>
      </w:r>
      <w:r w:rsidR="00866AD9">
        <w:fldChar w:fldCharType="begin"/>
      </w:r>
      <w:r w:rsidR="00866AD9">
        <w:instrText xml:space="preserve"> SEQ Chart \* ARABIC </w:instrText>
      </w:r>
      <w:r w:rsidR="00866AD9">
        <w:fldChar w:fldCharType="separate"/>
      </w:r>
      <w:r w:rsidR="00AA2137">
        <w:rPr>
          <w:noProof/>
        </w:rPr>
        <w:t>21</w:t>
      </w:r>
      <w:r w:rsidR="00866AD9">
        <w:rPr>
          <w:noProof/>
        </w:rPr>
        <w:fldChar w:fldCharType="end"/>
      </w:r>
      <w:bookmarkEnd w:id="33"/>
      <w:r>
        <w:t>:</w:t>
      </w:r>
      <w:r w:rsidRPr="001E62CC">
        <w:t xml:space="preserve"> </w:t>
      </w:r>
      <w:r w:rsidR="00B360D3">
        <w:t>Broad</w:t>
      </w:r>
      <w:r w:rsidR="00F03697">
        <w:noBreakHyphen/>
      </w:r>
      <w:r w:rsidR="00B360D3">
        <w:t>based GST</w:t>
      </w:r>
      <w:r w:rsidR="004C5CFD">
        <w:t xml:space="preserve"> — </w:t>
      </w:r>
      <w:r>
        <w:t>Income from GDP response</w:t>
      </w:r>
    </w:p>
    <w:p w14:paraId="29DD6A20" w14:textId="4A4BD3F6" w:rsidR="001364E6" w:rsidRDefault="00866AD9" w:rsidP="00FD52B5">
      <w:pPr>
        <w:pStyle w:val="Caption1"/>
      </w:pPr>
      <w:r>
        <w:pict w14:anchorId="41592B26">
          <v:shape id="_x0000_i1054" type="#_x0000_t75" alt="This chart shows the price and volume response of the income components of GDP: capital income; labour income and indirect taxes; due to a marginal increase in a hypothetical broad based goods and services tax rate." style="width:439.15pt;height:226pt">
            <v:imagedata r:id="rId70" o:title=""/>
          </v:shape>
        </w:pict>
      </w:r>
    </w:p>
    <w:p w14:paraId="3223A45F" w14:textId="038291D8" w:rsidR="00016169" w:rsidRDefault="00016169" w:rsidP="0055740C">
      <w:pPr>
        <w:pStyle w:val="Source"/>
        <w:ind w:left="426"/>
      </w:pPr>
      <w:r>
        <w:rPr>
          <w:lang w:val="en-US"/>
        </w:rPr>
        <w:t xml:space="preserve">Source: </w:t>
      </w:r>
      <w:r w:rsidR="00E007CF">
        <w:t>Treasury estimates</w:t>
      </w:r>
      <w:r>
        <w:t>.</w:t>
      </w:r>
    </w:p>
    <w:p w14:paraId="29DD6A21" w14:textId="077D4183" w:rsidR="001364E6" w:rsidRPr="00913C78" w:rsidRDefault="001364E6" w:rsidP="001364E6">
      <w:r w:rsidRPr="008357DA">
        <w:t xml:space="preserve">Turning to the expenditure side, the volume responses are </w:t>
      </w:r>
      <w:r w:rsidR="008357DA">
        <w:t>also smaller than under the current base</w:t>
      </w:r>
      <w:r w:rsidRPr="008357DA">
        <w:t xml:space="preserve"> (</w:t>
      </w:r>
      <w:r w:rsidR="00B843C6">
        <w:t xml:space="preserve">Chart </w:t>
      </w:r>
      <w:r w:rsidR="00B843C6">
        <w:rPr>
          <w:noProof/>
        </w:rPr>
        <w:t>22</w:t>
      </w:r>
      <w:r w:rsidRPr="008357DA">
        <w:t>).</w:t>
      </w:r>
    </w:p>
    <w:p w14:paraId="29DD6A22" w14:textId="5507FF3E" w:rsidR="001364E6" w:rsidRDefault="001364E6" w:rsidP="00E82F3E">
      <w:pPr>
        <w:pStyle w:val="Caption1"/>
      </w:pPr>
      <w:bookmarkStart w:id="34" w:name="_Ref401492916"/>
      <w:r>
        <w:t xml:space="preserve">Chart </w:t>
      </w:r>
      <w:r w:rsidR="00866AD9">
        <w:fldChar w:fldCharType="begin"/>
      </w:r>
      <w:r w:rsidR="00866AD9">
        <w:instrText xml:space="preserve"> SEQ Chart \* ARABIC </w:instrText>
      </w:r>
      <w:r w:rsidR="00866AD9">
        <w:fldChar w:fldCharType="separate"/>
      </w:r>
      <w:r w:rsidR="00AA2137">
        <w:rPr>
          <w:noProof/>
        </w:rPr>
        <w:t>22</w:t>
      </w:r>
      <w:r w:rsidR="00866AD9">
        <w:rPr>
          <w:noProof/>
        </w:rPr>
        <w:fldChar w:fldCharType="end"/>
      </w:r>
      <w:bookmarkEnd w:id="34"/>
      <w:r>
        <w:t xml:space="preserve">: </w:t>
      </w:r>
      <w:r w:rsidR="00B360D3">
        <w:t>Broad</w:t>
      </w:r>
      <w:r w:rsidR="00F03697">
        <w:noBreakHyphen/>
      </w:r>
      <w:r w:rsidR="00B360D3">
        <w:t>based GST</w:t>
      </w:r>
      <w:r w:rsidR="004C5CFD">
        <w:t xml:space="preserve"> — </w:t>
      </w:r>
      <w:r>
        <w:t xml:space="preserve">Expenditure on </w:t>
      </w:r>
      <w:r w:rsidRPr="008900F0">
        <w:t xml:space="preserve">GDP </w:t>
      </w:r>
      <w:r>
        <w:t>response</w:t>
      </w:r>
    </w:p>
    <w:p w14:paraId="29DD6A23" w14:textId="2DA3619C" w:rsidR="001364E6" w:rsidRDefault="00866AD9" w:rsidP="00FD52B5">
      <w:pPr>
        <w:pStyle w:val="Caption1"/>
      </w:pPr>
      <w:r>
        <w:pict w14:anchorId="3169415F">
          <v:shape id="_x0000_i1055" type="#_x0000_t75" alt="This chart shows the price and volume response of the expenditure components of GDP: consumption; investment; government expenditure and net exports; due to a marginal increase in a hypothetical broad based goods and services tax rate." style="width:439.15pt;height:226pt">
            <v:imagedata r:id="rId71" o:title=""/>
          </v:shape>
        </w:pict>
      </w:r>
    </w:p>
    <w:p w14:paraId="032B3189" w14:textId="01003795" w:rsidR="00016169" w:rsidRDefault="00016169" w:rsidP="0055740C">
      <w:pPr>
        <w:pStyle w:val="Source"/>
        <w:ind w:left="426"/>
      </w:pPr>
      <w:r>
        <w:rPr>
          <w:lang w:val="en-US"/>
        </w:rPr>
        <w:t xml:space="preserve">Source: </w:t>
      </w:r>
      <w:r w:rsidR="00E007CF">
        <w:t>Treasury estimates</w:t>
      </w:r>
      <w:r>
        <w:t>.</w:t>
      </w:r>
    </w:p>
    <w:p w14:paraId="29DD6A24" w14:textId="3548E34C" w:rsidR="001364E6" w:rsidRPr="00466DF7" w:rsidRDefault="00B843C6" w:rsidP="001364E6">
      <w:r>
        <w:t xml:space="preserve">Chart </w:t>
      </w:r>
      <w:r>
        <w:rPr>
          <w:noProof/>
        </w:rPr>
        <w:t>23</w:t>
      </w:r>
      <w:r w:rsidR="008357DA" w:rsidRPr="00A47077">
        <w:t xml:space="preserve"> </w:t>
      </w:r>
      <w:r w:rsidR="00A47077" w:rsidRPr="00A47077">
        <w:t xml:space="preserve">reveals that around </w:t>
      </w:r>
      <w:r w:rsidR="00A47077" w:rsidRPr="006F246D">
        <w:t>1.30</w:t>
      </w:r>
      <w:r w:rsidR="00566039" w:rsidRPr="006F246D">
        <w:t> </w:t>
      </w:r>
      <w:r w:rsidR="001364E6" w:rsidRPr="006F246D">
        <w:t>dollars</w:t>
      </w:r>
      <w:r w:rsidR="001364E6" w:rsidRPr="00A47077">
        <w:t xml:space="preserve"> of GST revenue must be raised to offset the fall</w:t>
      </w:r>
      <w:r w:rsidR="008357DA" w:rsidRPr="00A47077">
        <w:t xml:space="preserve"> in revenue to other tax heads.</w:t>
      </w:r>
    </w:p>
    <w:p w14:paraId="29DD6A25" w14:textId="2624F6AD" w:rsidR="001364E6" w:rsidRDefault="001364E6" w:rsidP="00E82F3E">
      <w:pPr>
        <w:pStyle w:val="Caption1"/>
      </w:pPr>
      <w:bookmarkStart w:id="35" w:name="_Ref401492953"/>
      <w:r>
        <w:lastRenderedPageBreak/>
        <w:t xml:space="preserve">Chart </w:t>
      </w:r>
      <w:r w:rsidR="00866AD9">
        <w:fldChar w:fldCharType="begin"/>
      </w:r>
      <w:r w:rsidR="00866AD9">
        <w:instrText xml:space="preserve"> SEQ Chart \* ARABIC </w:instrText>
      </w:r>
      <w:r w:rsidR="00866AD9">
        <w:fldChar w:fldCharType="separate"/>
      </w:r>
      <w:r w:rsidR="00AA2137">
        <w:rPr>
          <w:noProof/>
        </w:rPr>
        <w:t>23</w:t>
      </w:r>
      <w:r w:rsidR="00866AD9">
        <w:rPr>
          <w:noProof/>
        </w:rPr>
        <w:fldChar w:fldCharType="end"/>
      </w:r>
      <w:bookmarkEnd w:id="35"/>
      <w:r>
        <w:t xml:space="preserve">: </w:t>
      </w:r>
      <w:r w:rsidR="00B360D3">
        <w:t>Broad</w:t>
      </w:r>
      <w:r w:rsidR="00F03697">
        <w:noBreakHyphen/>
      </w:r>
      <w:r w:rsidR="00B360D3">
        <w:t>based GST</w:t>
      </w:r>
      <w:r w:rsidR="004C5CFD">
        <w:t xml:space="preserve"> — </w:t>
      </w:r>
      <w:r w:rsidRPr="006A48CA">
        <w:t xml:space="preserve">Government </w:t>
      </w:r>
      <w:r>
        <w:t>b</w:t>
      </w:r>
      <w:r w:rsidRPr="006A48CA">
        <w:t xml:space="preserve">udget </w:t>
      </w:r>
      <w:r>
        <w:t>response</w:t>
      </w:r>
    </w:p>
    <w:p w14:paraId="29DD6A26" w14:textId="3F87BD24" w:rsidR="001364E6" w:rsidRDefault="00866AD9" w:rsidP="00FD52B5">
      <w:pPr>
        <w:pStyle w:val="Caption1"/>
      </w:pPr>
      <w:r>
        <w:pict w14:anchorId="6EEE66B4">
          <v:shape id="_x0000_i1056" type="#_x0000_t75" alt="This chart shows the impact on the components of the government’s budget of raising one net dollar of additional revenue through raising a hypothetical broad based goods and services tax rate." style="width:439.15pt;height:226pt">
            <v:imagedata r:id="rId72" o:title=""/>
          </v:shape>
        </w:pict>
      </w:r>
    </w:p>
    <w:p w14:paraId="78B3E71D" w14:textId="22B6BC9E" w:rsidR="00F74E3C" w:rsidRDefault="00F74E3C" w:rsidP="0055740C">
      <w:pPr>
        <w:pStyle w:val="Source"/>
        <w:ind w:left="392"/>
      </w:pPr>
      <w:r>
        <w:rPr>
          <w:lang w:val="en-US"/>
        </w:rPr>
        <w:t xml:space="preserve">Source: </w:t>
      </w:r>
      <w:r w:rsidR="00E007CF">
        <w:t>Treasury estimates</w:t>
      </w:r>
      <w:r>
        <w:t>.</w:t>
      </w:r>
    </w:p>
    <w:p w14:paraId="29DD6A27" w14:textId="29E39EBF" w:rsidR="001364E6" w:rsidRDefault="007B5309" w:rsidP="001364E6">
      <w:pPr>
        <w:pStyle w:val="Heading4"/>
      </w:pPr>
      <w:r>
        <w:t>Marginal e</w:t>
      </w:r>
      <w:r w:rsidR="00361698">
        <w:t>xcess burden and incidence</w:t>
      </w:r>
    </w:p>
    <w:p w14:paraId="29DD6A28" w14:textId="7D3F0865" w:rsidR="001364E6" w:rsidRPr="00E74874" w:rsidRDefault="008357DA" w:rsidP="001364E6">
      <w:r w:rsidRPr="00A47077">
        <w:t>I</w:t>
      </w:r>
      <w:r w:rsidR="001364E6" w:rsidRPr="00A47077">
        <w:t>ncreas</w:t>
      </w:r>
      <w:r w:rsidRPr="00A47077">
        <w:t>ing</w:t>
      </w:r>
      <w:r w:rsidR="001364E6" w:rsidRPr="00A47077">
        <w:t xml:space="preserve"> </w:t>
      </w:r>
      <w:r w:rsidRPr="00A47077">
        <w:t xml:space="preserve">the </w:t>
      </w:r>
      <w:r w:rsidR="001D35C2" w:rsidRPr="00A47077">
        <w:t>broad</w:t>
      </w:r>
      <w:r w:rsidR="00F03697">
        <w:noBreakHyphen/>
      </w:r>
      <w:r w:rsidR="001D35C2" w:rsidRPr="00A47077">
        <w:t xml:space="preserve">based </w:t>
      </w:r>
      <w:r w:rsidR="001364E6" w:rsidRPr="00A47077">
        <w:t>GST causes household welfare to decline</w:t>
      </w:r>
      <w:r w:rsidR="001D35C2" w:rsidRPr="00A47077">
        <w:t xml:space="preserve"> by less than </w:t>
      </w:r>
      <w:r w:rsidR="003B0B93" w:rsidRPr="00A47077">
        <w:t xml:space="preserve">under the </w:t>
      </w:r>
      <w:r w:rsidR="001D35C2" w:rsidRPr="00A47077">
        <w:t>current</w:t>
      </w:r>
      <w:r w:rsidR="003B0B93" w:rsidRPr="00A47077">
        <w:t xml:space="preserve"> </w:t>
      </w:r>
      <w:r w:rsidR="001D35C2" w:rsidRPr="00A47077">
        <w:t>base</w:t>
      </w:r>
      <w:r w:rsidR="001364E6" w:rsidRPr="00A47077">
        <w:t xml:space="preserve">, with </w:t>
      </w:r>
      <w:r w:rsidR="001364E6" w:rsidRPr="00A47077">
        <w:rPr>
          <w:lang w:eastAsia="en-AU"/>
        </w:rPr>
        <w:t xml:space="preserve">the marginal excess burden of the GST estimated to be </w:t>
      </w:r>
      <w:r w:rsidR="00361698" w:rsidRPr="006F246D">
        <w:rPr>
          <w:lang w:eastAsia="en-AU"/>
        </w:rPr>
        <w:t>2 </w:t>
      </w:r>
      <w:r w:rsidR="001364E6" w:rsidRPr="006F246D">
        <w:rPr>
          <w:lang w:eastAsia="en-AU"/>
        </w:rPr>
        <w:t>cents per dollar</w:t>
      </w:r>
      <w:r w:rsidR="001364E6" w:rsidRPr="00A47077">
        <w:rPr>
          <w:lang w:eastAsia="en-AU"/>
        </w:rPr>
        <w:t xml:space="preserve"> of net revenue raised</w:t>
      </w:r>
      <w:r w:rsidR="001D35C2" w:rsidRPr="00A47077">
        <w:rPr>
          <w:lang w:eastAsia="en-AU"/>
        </w:rPr>
        <w:t xml:space="preserve"> lower than under the current base </w:t>
      </w:r>
      <w:r w:rsidR="001364E6" w:rsidRPr="00A47077">
        <w:t>(</w:t>
      </w:r>
      <w:r w:rsidR="00B843C6">
        <w:t xml:space="preserve">Chart </w:t>
      </w:r>
      <w:r w:rsidR="00B843C6">
        <w:rPr>
          <w:noProof/>
        </w:rPr>
        <w:t>24</w:t>
      </w:r>
      <w:r w:rsidR="001364E6" w:rsidRPr="00A47077">
        <w:t>).</w:t>
      </w:r>
      <w:r w:rsidR="001364E6">
        <w:t xml:space="preserve"> </w:t>
      </w:r>
    </w:p>
    <w:p w14:paraId="29DD6A29" w14:textId="78320C70" w:rsidR="001364E6" w:rsidRDefault="001364E6" w:rsidP="00E82F3E">
      <w:pPr>
        <w:pStyle w:val="Caption1"/>
      </w:pPr>
      <w:bookmarkStart w:id="36" w:name="_Ref401492984"/>
      <w:r>
        <w:t xml:space="preserve">Chart </w:t>
      </w:r>
      <w:r w:rsidR="00866AD9">
        <w:fldChar w:fldCharType="begin"/>
      </w:r>
      <w:r w:rsidR="00866AD9">
        <w:instrText xml:space="preserve"> SEQ Chart \* ARABIC </w:instrText>
      </w:r>
      <w:r w:rsidR="00866AD9">
        <w:fldChar w:fldCharType="separate"/>
      </w:r>
      <w:r w:rsidR="00AA2137">
        <w:rPr>
          <w:noProof/>
        </w:rPr>
        <w:t>24</w:t>
      </w:r>
      <w:r w:rsidR="00866AD9">
        <w:rPr>
          <w:noProof/>
        </w:rPr>
        <w:fldChar w:fldCharType="end"/>
      </w:r>
      <w:bookmarkEnd w:id="36"/>
      <w:r>
        <w:t xml:space="preserve">: </w:t>
      </w:r>
      <w:r w:rsidR="00B360D3">
        <w:t>Broad</w:t>
      </w:r>
      <w:r w:rsidR="00F03697">
        <w:noBreakHyphen/>
      </w:r>
      <w:r w:rsidR="00B360D3">
        <w:t>based GST</w:t>
      </w:r>
      <w:r w:rsidR="004C5CFD">
        <w:t xml:space="preserve"> — </w:t>
      </w:r>
      <w:r w:rsidR="0051143B">
        <w:t>Marginal e</w:t>
      </w:r>
      <w:r>
        <w:t>xcess burden and incidence</w:t>
      </w:r>
    </w:p>
    <w:p w14:paraId="29DD6A2A" w14:textId="6363D317" w:rsidR="001364E6" w:rsidRDefault="00866AD9" w:rsidP="00B066B3">
      <w:pPr>
        <w:pStyle w:val="Caption1"/>
      </w:pPr>
      <w:r>
        <w:pict w14:anchorId="7BCF1C95">
          <v:shape id="_x0000_i1057" type="#_x0000_t75" alt="This chart decomposes the incidence of a marginal increase in a hypothetical broad based goods and services tax rate into its effect on labour income and capital income." style="width:449.8pt;height:196.75pt">
            <v:imagedata r:id="rId73" o:title=""/>
          </v:shape>
        </w:pict>
      </w:r>
    </w:p>
    <w:p w14:paraId="35F0E5FC" w14:textId="4C6AB52C" w:rsidR="00016169" w:rsidRDefault="00016169" w:rsidP="0055740C">
      <w:pPr>
        <w:pStyle w:val="Source"/>
        <w:ind w:left="284"/>
      </w:pPr>
      <w:r>
        <w:rPr>
          <w:lang w:val="en-US"/>
        </w:rPr>
        <w:t xml:space="preserve">Source: </w:t>
      </w:r>
      <w:r w:rsidR="00E007CF">
        <w:t>Treasury estimates</w:t>
      </w:r>
      <w:r>
        <w:t>.</w:t>
      </w:r>
    </w:p>
    <w:p w14:paraId="29DD6A2B" w14:textId="71030946" w:rsidR="00ED21B8" w:rsidRDefault="00ED21B8" w:rsidP="00ED21B8">
      <w:pPr>
        <w:pStyle w:val="Heading3"/>
      </w:pPr>
      <w:r>
        <w:t xml:space="preserve">Comparison with </w:t>
      </w:r>
      <w:r w:rsidR="00D45BAD">
        <w:t>other studies</w:t>
      </w:r>
    </w:p>
    <w:p w14:paraId="29DD6A2C" w14:textId="75485F4F" w:rsidR="00ED21B8" w:rsidRDefault="00B843C6" w:rsidP="00ED21B8">
      <w:pPr>
        <w:rPr>
          <w:lang w:eastAsia="en-AU"/>
        </w:rPr>
      </w:pPr>
      <w:r>
        <w:t xml:space="preserve">Table </w:t>
      </w:r>
      <w:r>
        <w:rPr>
          <w:noProof/>
        </w:rPr>
        <w:t>4</w:t>
      </w:r>
      <w:r w:rsidR="00ED21B8">
        <w:rPr>
          <w:lang w:eastAsia="en-AU"/>
        </w:rPr>
        <w:t xml:space="preserve"> </w:t>
      </w:r>
      <w:r w:rsidR="00C93749">
        <w:rPr>
          <w:lang w:eastAsia="en-AU"/>
        </w:rPr>
        <w:t>reports the marginal excess burden based on the baseline calibration, along with the results of the sensitivity analysis (see Appendix A for details). The highest and lowest estimates from the sensitivity analysis are highlighted in red and green respectively.</w:t>
      </w:r>
      <w:r w:rsidR="00ED21B8" w:rsidRPr="006748AE">
        <w:t xml:space="preserve"> </w:t>
      </w:r>
      <w:r w:rsidR="00ED21B8" w:rsidRPr="006748AE">
        <w:rPr>
          <w:lang w:eastAsia="en-AU"/>
        </w:rPr>
        <w:t xml:space="preserve">The high sensitivity estimate results from </w:t>
      </w:r>
      <w:r w:rsidR="00ED21B8">
        <w:rPr>
          <w:lang w:eastAsia="en-AU"/>
        </w:rPr>
        <w:t xml:space="preserve">a high </w:t>
      </w:r>
      <w:r w:rsidR="00C93749">
        <w:rPr>
          <w:lang w:eastAsia="en-AU"/>
        </w:rPr>
        <w:t>elasticity of substitution between consumption and leisure</w:t>
      </w:r>
      <w:r w:rsidR="00ED21B8">
        <w:rPr>
          <w:lang w:eastAsia="en-AU"/>
        </w:rPr>
        <w:t>, while the lower estimate assumes no substitution between consumption and leisure</w:t>
      </w:r>
      <w:r w:rsidR="00ED21B8" w:rsidRPr="0059168B">
        <w:rPr>
          <w:lang w:eastAsia="en-AU"/>
        </w:rPr>
        <w:t>.</w:t>
      </w:r>
      <w:r w:rsidR="00ED21B8">
        <w:rPr>
          <w:lang w:eastAsia="en-AU"/>
        </w:rPr>
        <w:t xml:space="preserve"> In contrast to the </w:t>
      </w:r>
      <w:r w:rsidR="00EA1EF4">
        <w:rPr>
          <w:lang w:eastAsia="en-AU"/>
        </w:rPr>
        <w:t xml:space="preserve">flat </w:t>
      </w:r>
      <w:r w:rsidR="00ED21B8">
        <w:rPr>
          <w:lang w:eastAsia="en-AU"/>
        </w:rPr>
        <w:t xml:space="preserve">personal income tax, </w:t>
      </w:r>
      <w:r w:rsidR="00ED21B8">
        <w:rPr>
          <w:lang w:eastAsia="en-AU"/>
        </w:rPr>
        <w:lastRenderedPageBreak/>
        <w:t xml:space="preserve">the latter sensitivity implies a </w:t>
      </w:r>
      <w:r w:rsidR="004B5A5E">
        <w:rPr>
          <w:lang w:eastAsia="en-AU"/>
        </w:rPr>
        <w:t xml:space="preserve">marginal </w:t>
      </w:r>
      <w:r w:rsidR="00ED21B8">
        <w:rPr>
          <w:lang w:eastAsia="en-AU"/>
        </w:rPr>
        <w:t>excess burden greater than zero due to the fact that the GST base does not include all consumption goods and services.</w:t>
      </w:r>
    </w:p>
    <w:p w14:paraId="49AD7578" w14:textId="09F9880F" w:rsidR="000D766D" w:rsidRDefault="00B843C6" w:rsidP="00C93749">
      <w:r w:rsidRPr="004B64F6">
        <w:t xml:space="preserve">Table </w:t>
      </w:r>
      <w:r w:rsidRPr="004B64F6">
        <w:rPr>
          <w:noProof/>
        </w:rPr>
        <w:t>4</w:t>
      </w:r>
      <w:r w:rsidR="00C93749" w:rsidRPr="004B64F6">
        <w:t xml:space="preserve"> also reports results from earlier studies. We find that our estimate of </w:t>
      </w:r>
      <w:r w:rsidR="002F3976" w:rsidRPr="004B64F6">
        <w:t xml:space="preserve">the </w:t>
      </w:r>
      <w:r w:rsidR="00C93749" w:rsidRPr="004B64F6">
        <w:t>marginal excess burden</w:t>
      </w:r>
      <w:r w:rsidR="002F3976" w:rsidRPr="004B64F6">
        <w:t xml:space="preserve"> of the GST</w:t>
      </w:r>
      <w:r w:rsidR="00C93749" w:rsidRPr="004B64F6">
        <w:t xml:space="preserve"> is higher than estimates reported by KPMG (2010 and 2011) and </w:t>
      </w:r>
      <w:r w:rsidR="00496794" w:rsidRPr="004B64F6">
        <w:t>Independent Economics</w:t>
      </w:r>
      <w:r w:rsidR="006C116E" w:rsidRPr="004B64F6">
        <w:t xml:space="preserve"> (</w:t>
      </w:r>
      <w:r w:rsidR="00C93749" w:rsidRPr="004B64F6">
        <w:t xml:space="preserve">2014). </w:t>
      </w:r>
      <w:r w:rsidR="001C5516" w:rsidRPr="004B64F6">
        <w:t xml:space="preserve">Despite having similar underlying models, it is difficult to isolate the precise reasons for differences between the </w:t>
      </w:r>
      <w:r w:rsidR="00496794" w:rsidRPr="004B64F6">
        <w:t>Independent Economics</w:t>
      </w:r>
      <w:r w:rsidR="001C5516" w:rsidRPr="004B64F6">
        <w:t xml:space="preserve"> (2014) and the current study because </w:t>
      </w:r>
      <w:r w:rsidR="006C116E" w:rsidRPr="004B64F6">
        <w:t>Independent Economics</w:t>
      </w:r>
      <w:r w:rsidR="001C5516" w:rsidRPr="004B64F6">
        <w:t xml:space="preserve"> and the Treasury updated the calibration of the model to latest data and implemented their GST modules separately. However, earlier analysis by KPMG (2010 and 2011) suggests that updating the calibration of the model to latest data can yield somewhat different results</w:t>
      </w:r>
      <w:r w:rsidR="008703B9" w:rsidRPr="004B64F6">
        <w:t xml:space="preserve"> for the GST</w:t>
      </w:r>
      <w:r w:rsidR="001C5516" w:rsidRPr="004B64F6">
        <w:t xml:space="preserve">. For example, KPMG (2010) estimated a GST </w:t>
      </w:r>
      <w:r w:rsidR="007B5309" w:rsidRPr="004B64F6">
        <w:t xml:space="preserve">marginal </w:t>
      </w:r>
      <w:r w:rsidR="001C5516" w:rsidRPr="004B64F6">
        <w:t xml:space="preserve">excess burden of 8 cents </w:t>
      </w:r>
      <w:r w:rsidR="001E236B" w:rsidRPr="004B64F6">
        <w:t>whereas</w:t>
      </w:r>
      <w:r w:rsidR="001C5516" w:rsidRPr="004B64F6">
        <w:t xml:space="preserve"> KPMG (2011) estimated a </w:t>
      </w:r>
      <w:r w:rsidR="007B5309" w:rsidRPr="004B64F6">
        <w:t xml:space="preserve">GST marginal </w:t>
      </w:r>
      <w:r w:rsidR="001C5516" w:rsidRPr="004B64F6">
        <w:t>excess burden of 12 cents</w:t>
      </w:r>
      <w:r w:rsidR="008703B9" w:rsidRPr="004B64F6">
        <w:t xml:space="preserve">, while maintaining a marginal excess burden for the labour income tax of 24 cents. This suggests that subtle variations in model calibration can affect the </w:t>
      </w:r>
      <w:r w:rsidR="00D23053" w:rsidRPr="004B64F6">
        <w:t xml:space="preserve">relative </w:t>
      </w:r>
      <w:r w:rsidR="007B5309" w:rsidRPr="004B64F6">
        <w:t xml:space="preserve">marginal </w:t>
      </w:r>
      <w:r w:rsidR="00D23053" w:rsidRPr="004B64F6">
        <w:t>excess burden of the</w:t>
      </w:r>
      <w:r w:rsidR="008703B9" w:rsidRPr="004B64F6">
        <w:t xml:space="preserve"> GST.</w:t>
      </w:r>
    </w:p>
    <w:p w14:paraId="29DD6A2F" w14:textId="125E6138" w:rsidR="00ED21B8" w:rsidRDefault="00BB2C74" w:rsidP="00E82F3E">
      <w:pPr>
        <w:pStyle w:val="Caption1"/>
      </w:pPr>
      <w:bookmarkStart w:id="37" w:name="_Ref400550291"/>
      <w:r>
        <w:lastRenderedPageBreak/>
        <w:t>T</w:t>
      </w:r>
      <w:r w:rsidR="00A24ED7">
        <w:t>able</w:t>
      </w:r>
      <w:r>
        <w:t xml:space="preserve"> </w:t>
      </w:r>
      <w:r w:rsidR="00866AD9">
        <w:fldChar w:fldCharType="begin"/>
      </w:r>
      <w:r w:rsidR="00866AD9">
        <w:instrText xml:space="preserve"> SEQ Table \* ARABIC </w:instrText>
      </w:r>
      <w:r w:rsidR="00866AD9">
        <w:fldChar w:fldCharType="separate"/>
      </w:r>
      <w:r w:rsidR="00AA2137">
        <w:rPr>
          <w:noProof/>
        </w:rPr>
        <w:t>4</w:t>
      </w:r>
      <w:r w:rsidR="00866AD9">
        <w:rPr>
          <w:noProof/>
        </w:rPr>
        <w:fldChar w:fldCharType="end"/>
      </w:r>
      <w:bookmarkEnd w:id="37"/>
      <w:r w:rsidR="00ED21B8">
        <w:t>: Goods and services tax</w:t>
      </w:r>
      <w:r w:rsidR="004C5CFD">
        <w:t xml:space="preserve"> — </w:t>
      </w:r>
      <w:r w:rsidR="0051143B">
        <w:t>Marginal e</w:t>
      </w:r>
      <w:r w:rsidR="00ED21B8">
        <w:t>xcess burden comparison</w:t>
      </w:r>
    </w:p>
    <w:tbl>
      <w:tblPr>
        <w:tblW w:w="9400" w:type="dxa"/>
        <w:tblInd w:w="108" w:type="dxa"/>
        <w:tblLook w:val="04A0" w:firstRow="1" w:lastRow="0" w:firstColumn="1" w:lastColumn="0" w:noHBand="0" w:noVBand="1"/>
      </w:tblPr>
      <w:tblGrid>
        <w:gridCol w:w="6096"/>
        <w:gridCol w:w="1652"/>
        <w:gridCol w:w="1652"/>
      </w:tblGrid>
      <w:tr w:rsidR="008D0B98" w:rsidRPr="008D0B98" w14:paraId="2E6B80E1" w14:textId="77777777" w:rsidTr="008D0B98">
        <w:trPr>
          <w:trHeight w:val="600"/>
        </w:trPr>
        <w:tc>
          <w:tcPr>
            <w:tcW w:w="6096" w:type="dxa"/>
            <w:tcBorders>
              <w:top w:val="single" w:sz="8" w:space="0" w:color="auto"/>
              <w:left w:val="nil"/>
              <w:bottom w:val="single" w:sz="4" w:space="0" w:color="auto"/>
              <w:right w:val="nil"/>
            </w:tcBorders>
            <w:shd w:val="clear" w:color="auto" w:fill="auto"/>
            <w:noWrap/>
            <w:vAlign w:val="bottom"/>
            <w:hideMark/>
          </w:tcPr>
          <w:p w14:paraId="27176C87"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 </w:t>
            </w:r>
          </w:p>
        </w:tc>
        <w:tc>
          <w:tcPr>
            <w:tcW w:w="1652" w:type="dxa"/>
            <w:tcBorders>
              <w:top w:val="single" w:sz="8" w:space="0" w:color="auto"/>
              <w:left w:val="nil"/>
              <w:bottom w:val="single" w:sz="4" w:space="0" w:color="auto"/>
              <w:right w:val="nil"/>
            </w:tcBorders>
            <w:shd w:val="clear" w:color="auto" w:fill="auto"/>
            <w:vAlign w:val="center"/>
            <w:hideMark/>
          </w:tcPr>
          <w:p w14:paraId="48AB2B7E" w14:textId="23687827" w:rsidR="008D0B98" w:rsidRPr="009233EA" w:rsidRDefault="00B87C5B" w:rsidP="008D0B98">
            <w:pPr>
              <w:keepNext/>
              <w:spacing w:after="0" w:line="240" w:lineRule="auto"/>
              <w:jc w:val="center"/>
              <w:rPr>
                <w:rFonts w:eastAsia="Times New Roman" w:cs="Times New Roman"/>
                <w:b/>
                <w:color w:val="000000"/>
                <w:lang w:eastAsia="en-AU"/>
              </w:rPr>
            </w:pPr>
            <w:r w:rsidRPr="009233EA">
              <w:rPr>
                <w:rFonts w:eastAsia="Times New Roman" w:cs="Times New Roman"/>
                <w:b/>
                <w:color w:val="000000"/>
                <w:lang w:eastAsia="en-AU"/>
              </w:rPr>
              <w:t>Current</w:t>
            </w:r>
            <w:r w:rsidR="00F03697" w:rsidRPr="009233EA">
              <w:rPr>
                <w:rFonts w:eastAsia="Times New Roman" w:cs="Times New Roman"/>
                <w:b/>
                <w:color w:val="000000"/>
                <w:lang w:eastAsia="en-AU"/>
              </w:rPr>
              <w:noBreakHyphen/>
            </w:r>
            <w:r w:rsidRPr="009233EA">
              <w:rPr>
                <w:rFonts w:eastAsia="Times New Roman" w:cs="Times New Roman"/>
                <w:b/>
                <w:color w:val="000000"/>
                <w:lang w:eastAsia="en-AU"/>
              </w:rPr>
              <w:t xml:space="preserve">base </w:t>
            </w:r>
            <w:r w:rsidR="008D0B98" w:rsidRPr="009233EA">
              <w:rPr>
                <w:rFonts w:eastAsia="Times New Roman" w:cs="Times New Roman"/>
                <w:b/>
                <w:color w:val="000000"/>
                <w:lang w:eastAsia="en-AU"/>
              </w:rPr>
              <w:t>GST MEB ($)</w:t>
            </w:r>
          </w:p>
        </w:tc>
        <w:tc>
          <w:tcPr>
            <w:tcW w:w="1652" w:type="dxa"/>
            <w:tcBorders>
              <w:top w:val="single" w:sz="8" w:space="0" w:color="auto"/>
              <w:left w:val="nil"/>
              <w:bottom w:val="single" w:sz="4" w:space="0" w:color="auto"/>
              <w:right w:val="nil"/>
            </w:tcBorders>
            <w:shd w:val="clear" w:color="auto" w:fill="auto"/>
            <w:vAlign w:val="center"/>
            <w:hideMark/>
          </w:tcPr>
          <w:p w14:paraId="69B0604E" w14:textId="275E9FE6" w:rsidR="008D0B98" w:rsidRPr="009233EA" w:rsidRDefault="008D0B98" w:rsidP="00B87C5B">
            <w:pPr>
              <w:keepNext/>
              <w:spacing w:after="0" w:line="240" w:lineRule="auto"/>
              <w:jc w:val="center"/>
              <w:rPr>
                <w:rFonts w:eastAsia="Times New Roman" w:cs="Times New Roman"/>
                <w:b/>
                <w:color w:val="000000"/>
                <w:lang w:eastAsia="en-AU"/>
              </w:rPr>
            </w:pPr>
            <w:r w:rsidRPr="009233EA">
              <w:rPr>
                <w:rFonts w:eastAsia="Times New Roman" w:cs="Times New Roman"/>
                <w:b/>
                <w:color w:val="000000"/>
                <w:lang w:eastAsia="en-AU"/>
              </w:rPr>
              <w:t>Broad</w:t>
            </w:r>
            <w:r w:rsidR="00F03697" w:rsidRPr="009233EA">
              <w:rPr>
                <w:rFonts w:eastAsia="Times New Roman" w:cs="Times New Roman"/>
                <w:b/>
                <w:color w:val="000000"/>
                <w:lang w:eastAsia="en-AU"/>
              </w:rPr>
              <w:noBreakHyphen/>
            </w:r>
            <w:r w:rsidRPr="009233EA">
              <w:rPr>
                <w:rFonts w:eastAsia="Times New Roman" w:cs="Times New Roman"/>
                <w:b/>
                <w:color w:val="000000"/>
                <w:lang w:eastAsia="en-AU"/>
              </w:rPr>
              <w:t>based GST MEB ($)</w:t>
            </w:r>
          </w:p>
        </w:tc>
      </w:tr>
      <w:tr w:rsidR="008D0B98" w:rsidRPr="008D0B98" w14:paraId="2A3D013E"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6D3C0AD5"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 xml:space="preserve">Baseline </w:t>
            </w:r>
          </w:p>
        </w:tc>
        <w:tc>
          <w:tcPr>
            <w:tcW w:w="1652" w:type="dxa"/>
            <w:tcBorders>
              <w:top w:val="nil"/>
              <w:left w:val="nil"/>
              <w:bottom w:val="nil"/>
              <w:right w:val="nil"/>
            </w:tcBorders>
            <w:shd w:val="clear" w:color="auto" w:fill="auto"/>
            <w:noWrap/>
            <w:vAlign w:val="center"/>
            <w:hideMark/>
          </w:tcPr>
          <w:p w14:paraId="33787814"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0.19</w:t>
            </w:r>
          </w:p>
        </w:tc>
        <w:tc>
          <w:tcPr>
            <w:tcW w:w="1652" w:type="dxa"/>
            <w:tcBorders>
              <w:top w:val="nil"/>
              <w:left w:val="nil"/>
              <w:bottom w:val="nil"/>
              <w:right w:val="nil"/>
            </w:tcBorders>
            <w:shd w:val="clear" w:color="auto" w:fill="auto"/>
            <w:noWrap/>
            <w:vAlign w:val="center"/>
            <w:hideMark/>
          </w:tcPr>
          <w:p w14:paraId="2FA363EB"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r>
      <w:tr w:rsidR="004B7C67" w:rsidRPr="008D0B98" w14:paraId="73C78AF7" w14:textId="77777777" w:rsidTr="008D0B98">
        <w:trPr>
          <w:trHeight w:val="300"/>
        </w:trPr>
        <w:tc>
          <w:tcPr>
            <w:tcW w:w="6096" w:type="dxa"/>
            <w:tcBorders>
              <w:top w:val="nil"/>
              <w:left w:val="nil"/>
              <w:bottom w:val="nil"/>
              <w:right w:val="nil"/>
            </w:tcBorders>
            <w:shd w:val="clear" w:color="auto" w:fill="auto"/>
            <w:noWrap/>
            <w:vAlign w:val="bottom"/>
            <w:hideMark/>
          </w:tcPr>
          <w:p w14:paraId="01657D52" w14:textId="01442E7F" w:rsidR="004B7C67" w:rsidRPr="008D0B98" w:rsidRDefault="004B7C67"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firm behaviour</w:t>
            </w:r>
          </w:p>
        </w:tc>
        <w:tc>
          <w:tcPr>
            <w:tcW w:w="1652" w:type="dxa"/>
            <w:tcBorders>
              <w:top w:val="single" w:sz="4" w:space="0" w:color="auto"/>
              <w:left w:val="nil"/>
              <w:bottom w:val="nil"/>
              <w:right w:val="nil"/>
            </w:tcBorders>
            <w:shd w:val="clear" w:color="auto" w:fill="auto"/>
            <w:noWrap/>
            <w:vAlign w:val="center"/>
            <w:hideMark/>
          </w:tcPr>
          <w:p w14:paraId="2D856571"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c>
          <w:tcPr>
            <w:tcW w:w="1652" w:type="dxa"/>
            <w:tcBorders>
              <w:top w:val="single" w:sz="4" w:space="0" w:color="auto"/>
              <w:left w:val="nil"/>
              <w:bottom w:val="nil"/>
              <w:right w:val="nil"/>
            </w:tcBorders>
            <w:shd w:val="clear" w:color="auto" w:fill="auto"/>
            <w:noWrap/>
            <w:vAlign w:val="center"/>
            <w:hideMark/>
          </w:tcPr>
          <w:p w14:paraId="719171CC"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4B7C67" w:rsidRPr="008D0B98" w14:paraId="31BEB852" w14:textId="77777777" w:rsidTr="008D0B98">
        <w:trPr>
          <w:trHeight w:val="300"/>
        </w:trPr>
        <w:tc>
          <w:tcPr>
            <w:tcW w:w="6096" w:type="dxa"/>
            <w:tcBorders>
              <w:top w:val="nil"/>
              <w:left w:val="nil"/>
              <w:bottom w:val="nil"/>
              <w:right w:val="nil"/>
            </w:tcBorders>
            <w:shd w:val="clear" w:color="auto" w:fill="auto"/>
            <w:noWrap/>
            <w:vAlign w:val="bottom"/>
            <w:hideMark/>
          </w:tcPr>
          <w:p w14:paraId="492B24E2" w14:textId="54134CE0" w:rsidR="004B7C67" w:rsidRPr="008D0B98" w:rsidRDefault="004B7C67"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Economic rents</w:t>
            </w:r>
          </w:p>
        </w:tc>
        <w:tc>
          <w:tcPr>
            <w:tcW w:w="1652" w:type="dxa"/>
            <w:tcBorders>
              <w:top w:val="nil"/>
              <w:left w:val="nil"/>
              <w:bottom w:val="nil"/>
              <w:right w:val="nil"/>
            </w:tcBorders>
            <w:shd w:val="clear" w:color="auto" w:fill="auto"/>
            <w:noWrap/>
            <w:vAlign w:val="center"/>
            <w:hideMark/>
          </w:tcPr>
          <w:p w14:paraId="1732D562"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430DDEE"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49EB361D" w14:textId="77777777" w:rsidTr="008D0B98">
        <w:trPr>
          <w:trHeight w:val="300"/>
        </w:trPr>
        <w:tc>
          <w:tcPr>
            <w:tcW w:w="6096" w:type="dxa"/>
            <w:tcBorders>
              <w:top w:val="nil"/>
              <w:left w:val="nil"/>
              <w:bottom w:val="nil"/>
              <w:right w:val="nil"/>
            </w:tcBorders>
            <w:shd w:val="clear" w:color="auto" w:fill="auto"/>
            <w:noWrap/>
            <w:vAlign w:val="bottom"/>
            <w:hideMark/>
          </w:tcPr>
          <w:p w14:paraId="7CB1F8DA" w14:textId="58E67EC8" w:rsidR="004B7C67" w:rsidRPr="008D0B98" w:rsidRDefault="004B7C67"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rent share</w:t>
            </w:r>
          </w:p>
        </w:tc>
        <w:tc>
          <w:tcPr>
            <w:tcW w:w="1652" w:type="dxa"/>
            <w:tcBorders>
              <w:top w:val="nil"/>
              <w:left w:val="nil"/>
              <w:bottom w:val="nil"/>
              <w:right w:val="nil"/>
            </w:tcBorders>
            <w:shd w:val="clear" w:color="auto" w:fill="auto"/>
            <w:noWrap/>
            <w:vAlign w:val="center"/>
            <w:hideMark/>
          </w:tcPr>
          <w:p w14:paraId="52A4C5F2"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0.25</w:t>
            </w:r>
          </w:p>
        </w:tc>
        <w:tc>
          <w:tcPr>
            <w:tcW w:w="1652" w:type="dxa"/>
            <w:tcBorders>
              <w:top w:val="nil"/>
              <w:left w:val="nil"/>
              <w:bottom w:val="nil"/>
              <w:right w:val="nil"/>
            </w:tcBorders>
            <w:shd w:val="clear" w:color="auto" w:fill="auto"/>
            <w:noWrap/>
            <w:vAlign w:val="center"/>
            <w:hideMark/>
          </w:tcPr>
          <w:p w14:paraId="164AAD68"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0.22</w:t>
            </w:r>
          </w:p>
        </w:tc>
      </w:tr>
      <w:tr w:rsidR="004B7C67" w:rsidRPr="008D0B98" w14:paraId="09D2C571" w14:textId="77777777" w:rsidTr="008D0B98">
        <w:trPr>
          <w:trHeight w:val="300"/>
        </w:trPr>
        <w:tc>
          <w:tcPr>
            <w:tcW w:w="6096" w:type="dxa"/>
            <w:tcBorders>
              <w:top w:val="nil"/>
              <w:left w:val="nil"/>
              <w:bottom w:val="nil"/>
              <w:right w:val="nil"/>
            </w:tcBorders>
            <w:shd w:val="clear" w:color="auto" w:fill="auto"/>
            <w:noWrap/>
            <w:vAlign w:val="bottom"/>
            <w:hideMark/>
          </w:tcPr>
          <w:p w14:paraId="5F87CD60" w14:textId="5259E975"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rent share</w:t>
            </w:r>
          </w:p>
        </w:tc>
        <w:tc>
          <w:tcPr>
            <w:tcW w:w="1652" w:type="dxa"/>
            <w:tcBorders>
              <w:top w:val="nil"/>
              <w:left w:val="nil"/>
              <w:bottom w:val="nil"/>
              <w:right w:val="nil"/>
            </w:tcBorders>
            <w:shd w:val="clear" w:color="auto" w:fill="auto"/>
            <w:noWrap/>
            <w:vAlign w:val="center"/>
            <w:hideMark/>
          </w:tcPr>
          <w:p w14:paraId="77DEC9B7"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0.18</w:t>
            </w:r>
          </w:p>
        </w:tc>
        <w:tc>
          <w:tcPr>
            <w:tcW w:w="1652" w:type="dxa"/>
            <w:tcBorders>
              <w:top w:val="nil"/>
              <w:left w:val="nil"/>
              <w:bottom w:val="nil"/>
              <w:right w:val="nil"/>
            </w:tcBorders>
            <w:shd w:val="clear" w:color="auto" w:fill="auto"/>
            <w:noWrap/>
            <w:vAlign w:val="center"/>
            <w:hideMark/>
          </w:tcPr>
          <w:p w14:paraId="38ED7CA0"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0.15</w:t>
            </w:r>
          </w:p>
        </w:tc>
      </w:tr>
      <w:tr w:rsidR="004B7C67" w:rsidRPr="008D0B98" w14:paraId="75929798" w14:textId="77777777" w:rsidTr="008D0B98">
        <w:trPr>
          <w:trHeight w:val="300"/>
        </w:trPr>
        <w:tc>
          <w:tcPr>
            <w:tcW w:w="6096" w:type="dxa"/>
            <w:tcBorders>
              <w:top w:val="nil"/>
              <w:left w:val="nil"/>
              <w:bottom w:val="nil"/>
              <w:right w:val="nil"/>
            </w:tcBorders>
            <w:shd w:val="clear" w:color="auto" w:fill="auto"/>
            <w:noWrap/>
            <w:vAlign w:val="bottom"/>
            <w:hideMark/>
          </w:tcPr>
          <w:p w14:paraId="75ED462E" w14:textId="5B042D58" w:rsidR="004B7C67" w:rsidRPr="008D0B98" w:rsidRDefault="004B7C67"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Foreign ownership of firms</w:t>
            </w:r>
          </w:p>
        </w:tc>
        <w:tc>
          <w:tcPr>
            <w:tcW w:w="1652" w:type="dxa"/>
            <w:tcBorders>
              <w:top w:val="nil"/>
              <w:left w:val="nil"/>
              <w:bottom w:val="nil"/>
              <w:right w:val="nil"/>
            </w:tcBorders>
            <w:shd w:val="clear" w:color="auto" w:fill="auto"/>
            <w:noWrap/>
            <w:vAlign w:val="center"/>
            <w:hideMark/>
          </w:tcPr>
          <w:p w14:paraId="2AAA5384"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6352ABB8"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54B7EF21" w14:textId="77777777" w:rsidTr="008D0B98">
        <w:trPr>
          <w:trHeight w:val="300"/>
        </w:trPr>
        <w:tc>
          <w:tcPr>
            <w:tcW w:w="6096" w:type="dxa"/>
            <w:tcBorders>
              <w:top w:val="nil"/>
              <w:left w:val="nil"/>
              <w:bottom w:val="nil"/>
              <w:right w:val="nil"/>
            </w:tcBorders>
            <w:shd w:val="clear" w:color="auto" w:fill="auto"/>
            <w:noWrap/>
            <w:vAlign w:val="bottom"/>
            <w:hideMark/>
          </w:tcPr>
          <w:p w14:paraId="13CE95B0" w14:textId="6F6BF163" w:rsidR="004B7C67" w:rsidRPr="008D0B98" w:rsidRDefault="004B7C67"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foreign ownership</w:t>
            </w:r>
          </w:p>
        </w:tc>
        <w:tc>
          <w:tcPr>
            <w:tcW w:w="1652" w:type="dxa"/>
            <w:tcBorders>
              <w:top w:val="nil"/>
              <w:left w:val="nil"/>
              <w:bottom w:val="nil"/>
              <w:right w:val="nil"/>
            </w:tcBorders>
            <w:shd w:val="clear" w:color="auto" w:fill="auto"/>
            <w:noWrap/>
            <w:vAlign w:val="center"/>
            <w:hideMark/>
          </w:tcPr>
          <w:p w14:paraId="775130F7"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0.20</w:t>
            </w:r>
          </w:p>
        </w:tc>
        <w:tc>
          <w:tcPr>
            <w:tcW w:w="1652" w:type="dxa"/>
            <w:tcBorders>
              <w:top w:val="nil"/>
              <w:left w:val="nil"/>
              <w:bottom w:val="nil"/>
              <w:right w:val="nil"/>
            </w:tcBorders>
            <w:shd w:val="clear" w:color="auto" w:fill="auto"/>
            <w:noWrap/>
            <w:vAlign w:val="center"/>
            <w:hideMark/>
          </w:tcPr>
          <w:p w14:paraId="00D05E22"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0.18</w:t>
            </w:r>
          </w:p>
        </w:tc>
      </w:tr>
      <w:tr w:rsidR="004B7C67" w:rsidRPr="008D0B98" w14:paraId="4AC408C3" w14:textId="77777777" w:rsidTr="008D0B98">
        <w:trPr>
          <w:trHeight w:val="300"/>
        </w:trPr>
        <w:tc>
          <w:tcPr>
            <w:tcW w:w="6096" w:type="dxa"/>
            <w:tcBorders>
              <w:top w:val="nil"/>
              <w:left w:val="nil"/>
              <w:bottom w:val="nil"/>
              <w:right w:val="nil"/>
            </w:tcBorders>
            <w:shd w:val="clear" w:color="auto" w:fill="auto"/>
            <w:noWrap/>
            <w:vAlign w:val="bottom"/>
            <w:hideMark/>
          </w:tcPr>
          <w:p w14:paraId="2F5DA859" w14:textId="0E48A0E9"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foreign ownership</w:t>
            </w:r>
          </w:p>
        </w:tc>
        <w:tc>
          <w:tcPr>
            <w:tcW w:w="1652" w:type="dxa"/>
            <w:tcBorders>
              <w:top w:val="nil"/>
              <w:left w:val="nil"/>
              <w:bottom w:val="nil"/>
              <w:right w:val="nil"/>
            </w:tcBorders>
            <w:shd w:val="clear" w:color="auto" w:fill="auto"/>
            <w:noWrap/>
            <w:vAlign w:val="center"/>
            <w:hideMark/>
          </w:tcPr>
          <w:p w14:paraId="371017BA"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0.19</w:t>
            </w:r>
          </w:p>
        </w:tc>
        <w:tc>
          <w:tcPr>
            <w:tcW w:w="1652" w:type="dxa"/>
            <w:tcBorders>
              <w:top w:val="nil"/>
              <w:left w:val="nil"/>
              <w:bottom w:val="nil"/>
              <w:right w:val="nil"/>
            </w:tcBorders>
            <w:shd w:val="clear" w:color="auto" w:fill="auto"/>
            <w:noWrap/>
            <w:vAlign w:val="center"/>
            <w:hideMark/>
          </w:tcPr>
          <w:p w14:paraId="7F6B19A7"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0.16</w:t>
            </w:r>
          </w:p>
        </w:tc>
      </w:tr>
      <w:tr w:rsidR="004B7C67" w:rsidRPr="008D0B98" w14:paraId="4ACF41AA" w14:textId="77777777" w:rsidTr="008D0B98">
        <w:trPr>
          <w:trHeight w:val="300"/>
        </w:trPr>
        <w:tc>
          <w:tcPr>
            <w:tcW w:w="6096" w:type="dxa"/>
            <w:tcBorders>
              <w:top w:val="nil"/>
              <w:left w:val="nil"/>
              <w:bottom w:val="nil"/>
              <w:right w:val="nil"/>
            </w:tcBorders>
            <w:shd w:val="clear" w:color="auto" w:fill="auto"/>
            <w:noWrap/>
            <w:vAlign w:val="bottom"/>
            <w:hideMark/>
          </w:tcPr>
          <w:p w14:paraId="5D910CA9" w14:textId="4302D0E8" w:rsidR="004B7C67" w:rsidRPr="008D0B98" w:rsidRDefault="004B7C67"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Capital mobility</w:t>
            </w:r>
          </w:p>
        </w:tc>
        <w:tc>
          <w:tcPr>
            <w:tcW w:w="1652" w:type="dxa"/>
            <w:tcBorders>
              <w:top w:val="nil"/>
              <w:left w:val="nil"/>
              <w:bottom w:val="nil"/>
              <w:right w:val="nil"/>
            </w:tcBorders>
            <w:shd w:val="clear" w:color="auto" w:fill="auto"/>
            <w:noWrap/>
            <w:vAlign w:val="center"/>
            <w:hideMark/>
          </w:tcPr>
          <w:p w14:paraId="209F97D9"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25911B41"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57E28D39" w14:textId="77777777" w:rsidTr="008D0B98">
        <w:trPr>
          <w:trHeight w:val="300"/>
        </w:trPr>
        <w:tc>
          <w:tcPr>
            <w:tcW w:w="6096" w:type="dxa"/>
            <w:tcBorders>
              <w:top w:val="nil"/>
              <w:left w:val="nil"/>
              <w:bottom w:val="nil"/>
              <w:right w:val="nil"/>
            </w:tcBorders>
            <w:shd w:val="clear" w:color="auto" w:fill="auto"/>
            <w:noWrap/>
            <w:vAlign w:val="bottom"/>
            <w:hideMark/>
          </w:tcPr>
          <w:p w14:paraId="0C16E151" w14:textId="6D944D0F" w:rsidR="004B7C67" w:rsidRPr="008D0B98" w:rsidRDefault="004B7C67"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Imperfect c</w:t>
            </w:r>
            <w:r w:rsidRPr="008D0B98">
              <w:rPr>
                <w:rFonts w:eastAsia="Times New Roman" w:cs="Times New Roman"/>
                <w:color w:val="000000"/>
                <w:lang w:eastAsia="en-AU"/>
              </w:rPr>
              <w:t>apital mobility</w:t>
            </w:r>
          </w:p>
        </w:tc>
        <w:tc>
          <w:tcPr>
            <w:tcW w:w="1652" w:type="dxa"/>
            <w:tcBorders>
              <w:top w:val="nil"/>
              <w:left w:val="nil"/>
              <w:bottom w:val="nil"/>
              <w:right w:val="nil"/>
            </w:tcBorders>
            <w:shd w:val="clear" w:color="auto" w:fill="auto"/>
            <w:noWrap/>
            <w:vAlign w:val="center"/>
            <w:hideMark/>
          </w:tcPr>
          <w:p w14:paraId="64CE89A2"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c>
          <w:tcPr>
            <w:tcW w:w="1652" w:type="dxa"/>
            <w:tcBorders>
              <w:top w:val="nil"/>
              <w:left w:val="nil"/>
              <w:bottom w:val="nil"/>
              <w:right w:val="nil"/>
            </w:tcBorders>
            <w:shd w:val="clear" w:color="auto" w:fill="auto"/>
            <w:noWrap/>
            <w:vAlign w:val="center"/>
            <w:hideMark/>
          </w:tcPr>
          <w:p w14:paraId="6283084E"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0.15</w:t>
            </w:r>
          </w:p>
        </w:tc>
      </w:tr>
      <w:tr w:rsidR="004B7C67" w:rsidRPr="008D0B98" w14:paraId="691354A4" w14:textId="77777777" w:rsidTr="008D0B98">
        <w:trPr>
          <w:trHeight w:val="300"/>
        </w:trPr>
        <w:tc>
          <w:tcPr>
            <w:tcW w:w="6096" w:type="dxa"/>
            <w:tcBorders>
              <w:top w:val="nil"/>
              <w:left w:val="nil"/>
              <w:bottom w:val="nil"/>
              <w:right w:val="nil"/>
            </w:tcBorders>
            <w:shd w:val="clear" w:color="auto" w:fill="auto"/>
            <w:noWrap/>
            <w:vAlign w:val="bottom"/>
            <w:hideMark/>
          </w:tcPr>
          <w:p w14:paraId="2950AB56" w14:textId="3BC6549A" w:rsidR="004B7C67" w:rsidRPr="008D0B98" w:rsidRDefault="004B7C67"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Profi</w:t>
            </w:r>
            <w:r w:rsidR="00B87C5B">
              <w:rPr>
                <w:rFonts w:eastAsia="Times New Roman" w:cs="Times New Roman"/>
                <w:color w:val="000000"/>
                <w:lang w:eastAsia="en-AU"/>
              </w:rPr>
              <w:t>t shifting</w:t>
            </w:r>
          </w:p>
        </w:tc>
        <w:tc>
          <w:tcPr>
            <w:tcW w:w="1652" w:type="dxa"/>
            <w:tcBorders>
              <w:top w:val="nil"/>
              <w:left w:val="nil"/>
              <w:bottom w:val="nil"/>
              <w:right w:val="nil"/>
            </w:tcBorders>
            <w:shd w:val="clear" w:color="auto" w:fill="auto"/>
            <w:noWrap/>
            <w:vAlign w:val="center"/>
            <w:hideMark/>
          </w:tcPr>
          <w:p w14:paraId="16C9BDBD"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5480B7AD"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436F97D1" w14:textId="77777777" w:rsidTr="008D0B98">
        <w:trPr>
          <w:trHeight w:val="300"/>
        </w:trPr>
        <w:tc>
          <w:tcPr>
            <w:tcW w:w="6096" w:type="dxa"/>
            <w:tcBorders>
              <w:top w:val="nil"/>
              <w:left w:val="nil"/>
              <w:bottom w:val="nil"/>
              <w:right w:val="nil"/>
            </w:tcBorders>
            <w:shd w:val="clear" w:color="auto" w:fill="auto"/>
            <w:noWrap/>
            <w:vAlign w:val="bottom"/>
            <w:hideMark/>
          </w:tcPr>
          <w:p w14:paraId="25A30DE4" w14:textId="3D4A2CFD" w:rsidR="004B7C67"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profit shifting</w:t>
            </w:r>
          </w:p>
        </w:tc>
        <w:tc>
          <w:tcPr>
            <w:tcW w:w="1652" w:type="dxa"/>
            <w:tcBorders>
              <w:top w:val="nil"/>
              <w:left w:val="nil"/>
              <w:bottom w:val="nil"/>
              <w:right w:val="nil"/>
            </w:tcBorders>
            <w:shd w:val="clear" w:color="auto" w:fill="auto"/>
            <w:noWrap/>
            <w:vAlign w:val="center"/>
            <w:hideMark/>
          </w:tcPr>
          <w:p w14:paraId="7B58B665"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0.20</w:t>
            </w:r>
          </w:p>
        </w:tc>
        <w:tc>
          <w:tcPr>
            <w:tcW w:w="1652" w:type="dxa"/>
            <w:tcBorders>
              <w:top w:val="nil"/>
              <w:left w:val="nil"/>
              <w:bottom w:val="nil"/>
              <w:right w:val="nil"/>
            </w:tcBorders>
            <w:shd w:val="clear" w:color="auto" w:fill="auto"/>
            <w:noWrap/>
            <w:vAlign w:val="center"/>
            <w:hideMark/>
          </w:tcPr>
          <w:p w14:paraId="155A4757"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0.18</w:t>
            </w:r>
          </w:p>
        </w:tc>
      </w:tr>
      <w:tr w:rsidR="004B7C67" w:rsidRPr="008D0B98" w14:paraId="03338656" w14:textId="77777777" w:rsidTr="008D0B98">
        <w:trPr>
          <w:trHeight w:val="300"/>
        </w:trPr>
        <w:tc>
          <w:tcPr>
            <w:tcW w:w="6096" w:type="dxa"/>
            <w:tcBorders>
              <w:top w:val="nil"/>
              <w:left w:val="nil"/>
              <w:bottom w:val="nil"/>
              <w:right w:val="nil"/>
            </w:tcBorders>
            <w:shd w:val="clear" w:color="auto" w:fill="auto"/>
            <w:noWrap/>
            <w:vAlign w:val="bottom"/>
            <w:hideMark/>
          </w:tcPr>
          <w:p w14:paraId="2B200425" w14:textId="59A52A4D"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profit shifting</w:t>
            </w:r>
          </w:p>
        </w:tc>
        <w:tc>
          <w:tcPr>
            <w:tcW w:w="1652" w:type="dxa"/>
            <w:tcBorders>
              <w:top w:val="nil"/>
              <w:left w:val="nil"/>
              <w:bottom w:val="nil"/>
              <w:right w:val="nil"/>
            </w:tcBorders>
            <w:shd w:val="clear" w:color="auto" w:fill="auto"/>
            <w:noWrap/>
            <w:vAlign w:val="center"/>
            <w:hideMark/>
          </w:tcPr>
          <w:p w14:paraId="064BC368"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0.19</w:t>
            </w:r>
          </w:p>
        </w:tc>
        <w:tc>
          <w:tcPr>
            <w:tcW w:w="1652" w:type="dxa"/>
            <w:tcBorders>
              <w:top w:val="nil"/>
              <w:left w:val="nil"/>
              <w:bottom w:val="nil"/>
              <w:right w:val="nil"/>
            </w:tcBorders>
            <w:shd w:val="clear" w:color="auto" w:fill="auto"/>
            <w:noWrap/>
            <w:vAlign w:val="center"/>
            <w:hideMark/>
          </w:tcPr>
          <w:p w14:paraId="23941698"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0.16</w:t>
            </w:r>
          </w:p>
        </w:tc>
      </w:tr>
      <w:tr w:rsidR="004B7C67" w:rsidRPr="008D0B98" w14:paraId="4BF50B79" w14:textId="77777777" w:rsidTr="008D0B98">
        <w:trPr>
          <w:trHeight w:val="300"/>
        </w:trPr>
        <w:tc>
          <w:tcPr>
            <w:tcW w:w="6096" w:type="dxa"/>
            <w:tcBorders>
              <w:top w:val="nil"/>
              <w:left w:val="nil"/>
              <w:bottom w:val="nil"/>
              <w:right w:val="nil"/>
            </w:tcBorders>
            <w:shd w:val="clear" w:color="auto" w:fill="auto"/>
            <w:noWrap/>
            <w:vAlign w:val="bottom"/>
            <w:hideMark/>
          </w:tcPr>
          <w:p w14:paraId="6AB53ECC" w14:textId="657949F3" w:rsidR="004B7C67" w:rsidRPr="008D0B98" w:rsidRDefault="004B7C67"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Structur</w:t>
            </w:r>
            <w:r>
              <w:rPr>
                <w:rFonts w:eastAsia="Times New Roman" w:cs="Times New Roman"/>
                <w:color w:val="000000"/>
                <w:lang w:eastAsia="en-AU"/>
              </w:rPr>
              <w:t>es</w:t>
            </w:r>
            <w:r w:rsidR="00F03697">
              <w:rPr>
                <w:rFonts w:eastAsia="Times New Roman" w:cs="Times New Roman"/>
                <w:color w:val="000000"/>
                <w:lang w:eastAsia="en-AU"/>
              </w:rPr>
              <w:noBreakHyphen/>
            </w:r>
            <w:r>
              <w:rPr>
                <w:rFonts w:eastAsia="Times New Roman" w:cs="Times New Roman"/>
                <w:color w:val="000000"/>
                <w:lang w:eastAsia="en-AU"/>
              </w:rPr>
              <w:t>land substitution elasticity</w:t>
            </w:r>
          </w:p>
        </w:tc>
        <w:tc>
          <w:tcPr>
            <w:tcW w:w="1652" w:type="dxa"/>
            <w:tcBorders>
              <w:top w:val="nil"/>
              <w:left w:val="nil"/>
              <w:bottom w:val="nil"/>
              <w:right w:val="nil"/>
            </w:tcBorders>
            <w:shd w:val="clear" w:color="auto" w:fill="auto"/>
            <w:noWrap/>
            <w:vAlign w:val="center"/>
            <w:hideMark/>
          </w:tcPr>
          <w:p w14:paraId="463702BC"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4770C2FC"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07CF77DB" w14:textId="77777777" w:rsidTr="008D0B98">
        <w:trPr>
          <w:trHeight w:val="300"/>
        </w:trPr>
        <w:tc>
          <w:tcPr>
            <w:tcW w:w="6096" w:type="dxa"/>
            <w:tcBorders>
              <w:top w:val="nil"/>
              <w:left w:val="nil"/>
              <w:bottom w:val="nil"/>
              <w:right w:val="nil"/>
            </w:tcBorders>
            <w:shd w:val="clear" w:color="auto" w:fill="auto"/>
            <w:noWrap/>
            <w:vAlign w:val="bottom"/>
            <w:hideMark/>
          </w:tcPr>
          <w:p w14:paraId="12C5F734" w14:textId="3875CDCF" w:rsidR="004B7C67" w:rsidRPr="008D0B98" w:rsidRDefault="004B7C67"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652" w:type="dxa"/>
            <w:tcBorders>
              <w:top w:val="nil"/>
              <w:left w:val="nil"/>
              <w:bottom w:val="nil"/>
              <w:right w:val="nil"/>
            </w:tcBorders>
            <w:shd w:val="clear" w:color="auto" w:fill="auto"/>
            <w:noWrap/>
            <w:vAlign w:val="center"/>
            <w:hideMark/>
          </w:tcPr>
          <w:p w14:paraId="4FA93BFD"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0.15</w:t>
            </w:r>
          </w:p>
        </w:tc>
        <w:tc>
          <w:tcPr>
            <w:tcW w:w="1652" w:type="dxa"/>
            <w:tcBorders>
              <w:top w:val="nil"/>
              <w:left w:val="nil"/>
              <w:bottom w:val="nil"/>
              <w:right w:val="nil"/>
            </w:tcBorders>
            <w:shd w:val="clear" w:color="auto" w:fill="auto"/>
            <w:noWrap/>
            <w:vAlign w:val="center"/>
            <w:hideMark/>
          </w:tcPr>
          <w:p w14:paraId="2A6F384C"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0.12</w:t>
            </w:r>
          </w:p>
        </w:tc>
      </w:tr>
      <w:tr w:rsidR="004B7C67" w:rsidRPr="008D0B98" w14:paraId="7BA247D4" w14:textId="77777777" w:rsidTr="008D0B98">
        <w:trPr>
          <w:trHeight w:val="300"/>
        </w:trPr>
        <w:tc>
          <w:tcPr>
            <w:tcW w:w="6096" w:type="dxa"/>
            <w:tcBorders>
              <w:top w:val="nil"/>
              <w:left w:val="nil"/>
              <w:bottom w:val="nil"/>
              <w:right w:val="nil"/>
            </w:tcBorders>
            <w:shd w:val="clear" w:color="auto" w:fill="auto"/>
            <w:noWrap/>
            <w:vAlign w:val="bottom"/>
            <w:hideMark/>
          </w:tcPr>
          <w:p w14:paraId="3D35C189" w14:textId="39183589"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652" w:type="dxa"/>
            <w:tcBorders>
              <w:top w:val="nil"/>
              <w:left w:val="nil"/>
              <w:bottom w:val="nil"/>
              <w:right w:val="nil"/>
            </w:tcBorders>
            <w:shd w:val="clear" w:color="auto" w:fill="auto"/>
            <w:noWrap/>
            <w:vAlign w:val="center"/>
            <w:hideMark/>
          </w:tcPr>
          <w:p w14:paraId="524E685B"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0.20</w:t>
            </w:r>
          </w:p>
        </w:tc>
        <w:tc>
          <w:tcPr>
            <w:tcW w:w="1652" w:type="dxa"/>
            <w:tcBorders>
              <w:top w:val="nil"/>
              <w:left w:val="nil"/>
              <w:bottom w:val="nil"/>
              <w:right w:val="nil"/>
            </w:tcBorders>
            <w:shd w:val="clear" w:color="auto" w:fill="auto"/>
            <w:noWrap/>
            <w:vAlign w:val="center"/>
            <w:hideMark/>
          </w:tcPr>
          <w:p w14:paraId="25063EC1"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r>
      <w:tr w:rsidR="004B7C67" w:rsidRPr="008D0B98" w14:paraId="369BA17F" w14:textId="77777777" w:rsidTr="008D0B98">
        <w:trPr>
          <w:trHeight w:val="300"/>
        </w:trPr>
        <w:tc>
          <w:tcPr>
            <w:tcW w:w="6096" w:type="dxa"/>
            <w:tcBorders>
              <w:top w:val="nil"/>
              <w:left w:val="nil"/>
              <w:bottom w:val="nil"/>
              <w:right w:val="nil"/>
            </w:tcBorders>
            <w:shd w:val="clear" w:color="auto" w:fill="auto"/>
            <w:noWrap/>
            <w:vAlign w:val="bottom"/>
            <w:hideMark/>
          </w:tcPr>
          <w:p w14:paraId="1BAA886E" w14:textId="7D9DEDFE" w:rsidR="004B7C67" w:rsidRPr="008D0B98" w:rsidRDefault="004B7C67"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Capital</w:t>
            </w:r>
            <w:r w:rsidR="00F03697">
              <w:rPr>
                <w:rFonts w:eastAsia="Times New Roman" w:cs="Times New Roman"/>
                <w:color w:val="000000"/>
                <w:lang w:eastAsia="en-AU"/>
              </w:rPr>
              <w:noBreakHyphen/>
            </w:r>
            <w:r w:rsidRPr="008D0B98">
              <w:rPr>
                <w:rFonts w:eastAsia="Times New Roman" w:cs="Times New Roman"/>
                <w:color w:val="000000"/>
                <w:lang w:eastAsia="en-AU"/>
              </w:rPr>
              <w:t>labour</w:t>
            </w:r>
            <w:r>
              <w:rPr>
                <w:rFonts w:eastAsia="Times New Roman" w:cs="Times New Roman"/>
                <w:color w:val="000000"/>
                <w:lang w:eastAsia="en-AU"/>
              </w:rPr>
              <w:t xml:space="preserve"> substitution elasticity</w:t>
            </w:r>
          </w:p>
        </w:tc>
        <w:tc>
          <w:tcPr>
            <w:tcW w:w="1652" w:type="dxa"/>
            <w:tcBorders>
              <w:top w:val="nil"/>
              <w:left w:val="nil"/>
              <w:bottom w:val="nil"/>
              <w:right w:val="nil"/>
            </w:tcBorders>
            <w:shd w:val="clear" w:color="auto" w:fill="auto"/>
            <w:noWrap/>
            <w:vAlign w:val="center"/>
            <w:hideMark/>
          </w:tcPr>
          <w:p w14:paraId="7840938A"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6068FC15"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5225CA27" w14:textId="77777777" w:rsidTr="008D0B98">
        <w:trPr>
          <w:trHeight w:val="300"/>
        </w:trPr>
        <w:tc>
          <w:tcPr>
            <w:tcW w:w="6096" w:type="dxa"/>
            <w:tcBorders>
              <w:top w:val="nil"/>
              <w:left w:val="nil"/>
              <w:bottom w:val="nil"/>
              <w:right w:val="nil"/>
            </w:tcBorders>
            <w:shd w:val="clear" w:color="auto" w:fill="auto"/>
            <w:noWrap/>
            <w:vAlign w:val="bottom"/>
            <w:hideMark/>
          </w:tcPr>
          <w:p w14:paraId="0B8F663F" w14:textId="620A2C00" w:rsidR="004B7C67" w:rsidRPr="008D0B98" w:rsidRDefault="004B7C67"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652" w:type="dxa"/>
            <w:tcBorders>
              <w:top w:val="nil"/>
              <w:left w:val="nil"/>
              <w:bottom w:val="nil"/>
              <w:right w:val="nil"/>
            </w:tcBorders>
            <w:shd w:val="clear" w:color="auto" w:fill="auto"/>
            <w:noWrap/>
            <w:vAlign w:val="center"/>
            <w:hideMark/>
          </w:tcPr>
          <w:p w14:paraId="175241F3"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0.18</w:t>
            </w:r>
          </w:p>
        </w:tc>
        <w:tc>
          <w:tcPr>
            <w:tcW w:w="1652" w:type="dxa"/>
            <w:tcBorders>
              <w:top w:val="nil"/>
              <w:left w:val="nil"/>
              <w:bottom w:val="nil"/>
              <w:right w:val="nil"/>
            </w:tcBorders>
            <w:shd w:val="clear" w:color="auto" w:fill="auto"/>
            <w:noWrap/>
            <w:vAlign w:val="center"/>
            <w:hideMark/>
          </w:tcPr>
          <w:p w14:paraId="49B8D08F"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0.16</w:t>
            </w:r>
          </w:p>
        </w:tc>
      </w:tr>
      <w:tr w:rsidR="004B7C67" w:rsidRPr="008D0B98" w14:paraId="02F2A375"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0EC90998" w14:textId="291318EF"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652" w:type="dxa"/>
            <w:tcBorders>
              <w:top w:val="nil"/>
              <w:left w:val="nil"/>
              <w:bottom w:val="single" w:sz="4" w:space="0" w:color="auto"/>
              <w:right w:val="nil"/>
            </w:tcBorders>
            <w:shd w:val="clear" w:color="auto" w:fill="auto"/>
            <w:noWrap/>
            <w:vAlign w:val="center"/>
            <w:hideMark/>
          </w:tcPr>
          <w:p w14:paraId="5181D460"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0.20</w:t>
            </w:r>
          </w:p>
        </w:tc>
        <w:tc>
          <w:tcPr>
            <w:tcW w:w="1652" w:type="dxa"/>
            <w:tcBorders>
              <w:top w:val="nil"/>
              <w:left w:val="nil"/>
              <w:bottom w:val="single" w:sz="4" w:space="0" w:color="auto"/>
              <w:right w:val="nil"/>
            </w:tcBorders>
            <w:shd w:val="clear" w:color="auto" w:fill="auto"/>
            <w:noWrap/>
            <w:vAlign w:val="center"/>
            <w:hideMark/>
          </w:tcPr>
          <w:p w14:paraId="7CBD3DA3"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0.18</w:t>
            </w:r>
          </w:p>
        </w:tc>
      </w:tr>
      <w:tr w:rsidR="004B7C67" w:rsidRPr="008D0B98" w14:paraId="35D753C2" w14:textId="77777777" w:rsidTr="008D0B98">
        <w:trPr>
          <w:trHeight w:val="300"/>
        </w:trPr>
        <w:tc>
          <w:tcPr>
            <w:tcW w:w="6096" w:type="dxa"/>
            <w:tcBorders>
              <w:top w:val="nil"/>
              <w:left w:val="nil"/>
              <w:bottom w:val="nil"/>
              <w:right w:val="nil"/>
            </w:tcBorders>
            <w:shd w:val="clear" w:color="auto" w:fill="auto"/>
            <w:noWrap/>
            <w:vAlign w:val="bottom"/>
            <w:hideMark/>
          </w:tcPr>
          <w:p w14:paraId="3175821E" w14:textId="70F79CC7" w:rsidR="004B7C67" w:rsidRPr="008D0B98" w:rsidRDefault="004B7C67"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household behaviour</w:t>
            </w:r>
          </w:p>
        </w:tc>
        <w:tc>
          <w:tcPr>
            <w:tcW w:w="1652" w:type="dxa"/>
            <w:tcBorders>
              <w:top w:val="nil"/>
              <w:left w:val="nil"/>
              <w:bottom w:val="nil"/>
              <w:right w:val="nil"/>
            </w:tcBorders>
            <w:shd w:val="clear" w:color="auto" w:fill="auto"/>
            <w:noWrap/>
            <w:vAlign w:val="center"/>
            <w:hideMark/>
          </w:tcPr>
          <w:p w14:paraId="040D7EBD"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4C3C7DE"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648EBFBD" w14:textId="77777777" w:rsidTr="008D0B98">
        <w:trPr>
          <w:trHeight w:val="300"/>
        </w:trPr>
        <w:tc>
          <w:tcPr>
            <w:tcW w:w="6096" w:type="dxa"/>
            <w:tcBorders>
              <w:top w:val="nil"/>
              <w:left w:val="nil"/>
              <w:bottom w:val="nil"/>
              <w:right w:val="nil"/>
            </w:tcBorders>
            <w:shd w:val="clear" w:color="auto" w:fill="auto"/>
            <w:noWrap/>
            <w:vAlign w:val="bottom"/>
            <w:hideMark/>
          </w:tcPr>
          <w:p w14:paraId="20B51797" w14:textId="1DB0774F" w:rsidR="004B7C67" w:rsidRPr="008D0B98" w:rsidRDefault="004B7C67"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Labour</w:t>
            </w:r>
            <w:r w:rsidR="00F03697">
              <w:rPr>
                <w:rFonts w:eastAsia="Times New Roman" w:cs="Times New Roman"/>
                <w:color w:val="000000"/>
                <w:lang w:eastAsia="en-AU"/>
              </w:rPr>
              <w:noBreakHyphen/>
            </w:r>
            <w:r>
              <w:rPr>
                <w:rFonts w:eastAsia="Times New Roman" w:cs="Times New Roman"/>
                <w:color w:val="000000"/>
                <w:lang w:eastAsia="en-AU"/>
              </w:rPr>
              <w:t>leisure ratio (N:L = 2:1)</w:t>
            </w:r>
          </w:p>
        </w:tc>
        <w:tc>
          <w:tcPr>
            <w:tcW w:w="1652" w:type="dxa"/>
            <w:tcBorders>
              <w:top w:val="nil"/>
              <w:left w:val="nil"/>
              <w:bottom w:val="nil"/>
              <w:right w:val="nil"/>
            </w:tcBorders>
            <w:shd w:val="clear" w:color="auto" w:fill="auto"/>
            <w:noWrap/>
            <w:vAlign w:val="center"/>
            <w:hideMark/>
          </w:tcPr>
          <w:p w14:paraId="5E56B4B9"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3F60183D"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41BE42AB" w14:textId="77777777" w:rsidTr="008D0B98">
        <w:trPr>
          <w:trHeight w:val="300"/>
        </w:trPr>
        <w:tc>
          <w:tcPr>
            <w:tcW w:w="6096" w:type="dxa"/>
            <w:tcBorders>
              <w:top w:val="nil"/>
              <w:left w:val="nil"/>
              <w:bottom w:val="nil"/>
              <w:right w:val="nil"/>
            </w:tcBorders>
            <w:shd w:val="clear" w:color="auto" w:fill="auto"/>
            <w:noWrap/>
            <w:vAlign w:val="bottom"/>
            <w:hideMark/>
          </w:tcPr>
          <w:p w14:paraId="535E9EDC" w14:textId="51F6B252" w:rsidR="004B7C67" w:rsidRPr="008D0B98" w:rsidRDefault="004B7C67" w:rsidP="004B7C67">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Medium (N:L = 1:1)</w:t>
            </w:r>
          </w:p>
        </w:tc>
        <w:tc>
          <w:tcPr>
            <w:tcW w:w="1652" w:type="dxa"/>
            <w:tcBorders>
              <w:top w:val="nil"/>
              <w:left w:val="nil"/>
              <w:bottom w:val="nil"/>
              <w:right w:val="nil"/>
            </w:tcBorders>
            <w:shd w:val="clear" w:color="auto" w:fill="auto"/>
            <w:noWrap/>
            <w:vAlign w:val="center"/>
            <w:hideMark/>
          </w:tcPr>
          <w:p w14:paraId="700138A8"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0.27</w:t>
            </w:r>
          </w:p>
        </w:tc>
        <w:tc>
          <w:tcPr>
            <w:tcW w:w="1652" w:type="dxa"/>
            <w:tcBorders>
              <w:top w:val="nil"/>
              <w:left w:val="nil"/>
              <w:bottom w:val="nil"/>
              <w:right w:val="nil"/>
            </w:tcBorders>
            <w:shd w:val="clear" w:color="auto" w:fill="auto"/>
            <w:noWrap/>
            <w:vAlign w:val="center"/>
            <w:hideMark/>
          </w:tcPr>
          <w:p w14:paraId="79E783F5"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0.25</w:t>
            </w:r>
          </w:p>
        </w:tc>
      </w:tr>
      <w:tr w:rsidR="004B7C67" w:rsidRPr="008D0B98" w14:paraId="3DD43C59" w14:textId="77777777" w:rsidTr="008D0B98">
        <w:trPr>
          <w:trHeight w:val="300"/>
        </w:trPr>
        <w:tc>
          <w:tcPr>
            <w:tcW w:w="6096" w:type="dxa"/>
            <w:tcBorders>
              <w:top w:val="nil"/>
              <w:left w:val="nil"/>
              <w:bottom w:val="nil"/>
              <w:right w:val="nil"/>
            </w:tcBorders>
            <w:shd w:val="clear" w:color="auto" w:fill="auto"/>
            <w:noWrap/>
            <w:vAlign w:val="bottom"/>
            <w:hideMark/>
          </w:tcPr>
          <w:p w14:paraId="3B106CEB" w14:textId="7A4677A1"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Low (</w:t>
            </w:r>
            <w:r w:rsidRPr="008D0B98">
              <w:rPr>
                <w:rFonts w:eastAsia="Times New Roman" w:cs="Times New Roman"/>
                <w:color w:val="000000"/>
                <w:lang w:eastAsia="en-AU"/>
              </w:rPr>
              <w:t>N:L</w:t>
            </w:r>
            <w:r>
              <w:rPr>
                <w:rFonts w:eastAsia="Times New Roman" w:cs="Times New Roman"/>
                <w:color w:val="000000"/>
                <w:lang w:eastAsia="en-AU"/>
              </w:rPr>
              <w:t xml:space="preserve"> </w:t>
            </w:r>
            <w:r w:rsidRPr="008D0B98">
              <w:rPr>
                <w:rFonts w:eastAsia="Times New Roman" w:cs="Times New Roman"/>
                <w:color w:val="000000"/>
                <w:lang w:eastAsia="en-AU"/>
              </w:rPr>
              <w:t>=</w:t>
            </w:r>
            <w:r>
              <w:rPr>
                <w:rFonts w:eastAsia="Times New Roman" w:cs="Times New Roman"/>
                <w:color w:val="000000"/>
                <w:lang w:eastAsia="en-AU"/>
              </w:rPr>
              <w:t xml:space="preserve"> </w:t>
            </w:r>
            <w:r w:rsidRPr="008D0B98">
              <w:rPr>
                <w:rFonts w:eastAsia="Times New Roman" w:cs="Times New Roman"/>
                <w:color w:val="000000"/>
                <w:lang w:eastAsia="en-AU"/>
              </w:rPr>
              <w:t>1:2</w:t>
            </w:r>
            <w:r>
              <w:rPr>
                <w:rFonts w:eastAsia="Times New Roman" w:cs="Times New Roman"/>
                <w:color w:val="000000"/>
                <w:lang w:eastAsia="en-AU"/>
              </w:rPr>
              <w:t>)</w:t>
            </w:r>
          </w:p>
        </w:tc>
        <w:tc>
          <w:tcPr>
            <w:tcW w:w="1652" w:type="dxa"/>
            <w:tcBorders>
              <w:top w:val="nil"/>
              <w:left w:val="nil"/>
              <w:bottom w:val="nil"/>
              <w:right w:val="nil"/>
            </w:tcBorders>
            <w:shd w:val="clear" w:color="auto" w:fill="auto"/>
            <w:noWrap/>
            <w:vAlign w:val="center"/>
            <w:hideMark/>
          </w:tcPr>
          <w:p w14:paraId="002F4233"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0.36</w:t>
            </w:r>
          </w:p>
        </w:tc>
        <w:tc>
          <w:tcPr>
            <w:tcW w:w="1652" w:type="dxa"/>
            <w:tcBorders>
              <w:top w:val="nil"/>
              <w:left w:val="nil"/>
              <w:bottom w:val="nil"/>
              <w:right w:val="nil"/>
            </w:tcBorders>
            <w:shd w:val="clear" w:color="auto" w:fill="auto"/>
            <w:noWrap/>
            <w:vAlign w:val="center"/>
            <w:hideMark/>
          </w:tcPr>
          <w:p w14:paraId="300B554D"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0.33</w:t>
            </w:r>
          </w:p>
        </w:tc>
      </w:tr>
      <w:tr w:rsidR="004B7C67" w:rsidRPr="008D0B98" w14:paraId="108D42C0" w14:textId="77777777" w:rsidTr="008D0B98">
        <w:trPr>
          <w:trHeight w:val="300"/>
        </w:trPr>
        <w:tc>
          <w:tcPr>
            <w:tcW w:w="6096" w:type="dxa"/>
            <w:tcBorders>
              <w:top w:val="nil"/>
              <w:left w:val="nil"/>
              <w:bottom w:val="nil"/>
              <w:right w:val="nil"/>
            </w:tcBorders>
            <w:shd w:val="clear" w:color="auto" w:fill="auto"/>
            <w:noWrap/>
            <w:vAlign w:val="bottom"/>
            <w:hideMark/>
          </w:tcPr>
          <w:p w14:paraId="121BEE3D" w14:textId="7C0C9109" w:rsidR="004B7C67" w:rsidRPr="008D0B98" w:rsidRDefault="004B7C67" w:rsidP="004B7C67">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Consumption</w:t>
            </w:r>
            <w:r w:rsidR="00F03697">
              <w:rPr>
                <w:rFonts w:eastAsia="Times New Roman" w:cs="Times New Roman"/>
                <w:color w:val="000000"/>
                <w:lang w:eastAsia="en-AU"/>
              </w:rPr>
              <w:noBreakHyphen/>
            </w:r>
            <w:r w:rsidRPr="008D0B98">
              <w:rPr>
                <w:rFonts w:eastAsia="Times New Roman" w:cs="Times New Roman"/>
                <w:color w:val="000000"/>
                <w:lang w:eastAsia="en-AU"/>
              </w:rPr>
              <w:t xml:space="preserve">leisure substitution </w:t>
            </w:r>
            <w:r>
              <w:rPr>
                <w:rFonts w:eastAsia="Times New Roman" w:cs="Times New Roman"/>
                <w:color w:val="000000"/>
                <w:lang w:eastAsia="en-AU"/>
              </w:rPr>
              <w:t>elasticity</w:t>
            </w:r>
          </w:p>
        </w:tc>
        <w:tc>
          <w:tcPr>
            <w:tcW w:w="1652" w:type="dxa"/>
            <w:tcBorders>
              <w:top w:val="nil"/>
              <w:left w:val="nil"/>
              <w:bottom w:val="nil"/>
              <w:right w:val="nil"/>
            </w:tcBorders>
            <w:shd w:val="clear" w:color="auto" w:fill="auto"/>
            <w:noWrap/>
            <w:vAlign w:val="center"/>
            <w:hideMark/>
          </w:tcPr>
          <w:p w14:paraId="548F4DB6"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18A517C3"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11A9CD52" w14:textId="77777777" w:rsidTr="008D0B98">
        <w:trPr>
          <w:trHeight w:val="300"/>
        </w:trPr>
        <w:tc>
          <w:tcPr>
            <w:tcW w:w="6096" w:type="dxa"/>
            <w:tcBorders>
              <w:top w:val="nil"/>
              <w:left w:val="nil"/>
              <w:bottom w:val="nil"/>
              <w:right w:val="nil"/>
            </w:tcBorders>
            <w:shd w:val="clear" w:color="auto" w:fill="auto"/>
            <w:noWrap/>
            <w:vAlign w:val="bottom"/>
            <w:hideMark/>
          </w:tcPr>
          <w:p w14:paraId="164667FD" w14:textId="571550CE" w:rsidR="004B7C67" w:rsidRPr="008D0B98" w:rsidRDefault="004B7C67" w:rsidP="004B7C67">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652" w:type="dxa"/>
            <w:tcBorders>
              <w:top w:val="nil"/>
              <w:left w:val="nil"/>
              <w:bottom w:val="nil"/>
              <w:right w:val="nil"/>
            </w:tcBorders>
            <w:shd w:val="clear" w:color="auto" w:fill="auto"/>
            <w:noWrap/>
            <w:vAlign w:val="center"/>
            <w:hideMark/>
          </w:tcPr>
          <w:p w14:paraId="26101D25" w14:textId="77777777" w:rsidR="004B7C67" w:rsidRPr="008D0B98" w:rsidRDefault="004B7C67" w:rsidP="008D0B98">
            <w:pPr>
              <w:keepNext/>
              <w:spacing w:after="0" w:line="240" w:lineRule="auto"/>
              <w:jc w:val="center"/>
              <w:rPr>
                <w:rFonts w:eastAsia="Times New Roman" w:cs="Times New Roman"/>
                <w:b/>
                <w:bCs/>
                <w:color w:val="008000"/>
                <w:lang w:eastAsia="en-AU"/>
              </w:rPr>
            </w:pPr>
            <w:r w:rsidRPr="008D0B98">
              <w:rPr>
                <w:rFonts w:eastAsia="Times New Roman" w:cs="Times New Roman"/>
                <w:b/>
                <w:bCs/>
                <w:color w:val="008000"/>
                <w:lang w:eastAsia="en-AU"/>
              </w:rPr>
              <w:t>0.03</w:t>
            </w:r>
          </w:p>
        </w:tc>
        <w:tc>
          <w:tcPr>
            <w:tcW w:w="1652" w:type="dxa"/>
            <w:tcBorders>
              <w:top w:val="nil"/>
              <w:left w:val="nil"/>
              <w:bottom w:val="nil"/>
              <w:right w:val="nil"/>
            </w:tcBorders>
            <w:shd w:val="clear" w:color="auto" w:fill="auto"/>
            <w:noWrap/>
            <w:vAlign w:val="center"/>
            <w:hideMark/>
          </w:tcPr>
          <w:p w14:paraId="533ACBD0" w14:textId="77777777" w:rsidR="004B7C67" w:rsidRPr="008D0B98" w:rsidRDefault="004B7C67" w:rsidP="008D0B98">
            <w:pPr>
              <w:keepNext/>
              <w:spacing w:after="0" w:line="240" w:lineRule="auto"/>
              <w:jc w:val="center"/>
              <w:rPr>
                <w:rFonts w:eastAsia="Times New Roman" w:cs="Times New Roman"/>
                <w:b/>
                <w:bCs/>
                <w:color w:val="008000"/>
                <w:lang w:eastAsia="en-AU"/>
              </w:rPr>
            </w:pPr>
            <w:r w:rsidRPr="008D0B98">
              <w:rPr>
                <w:rFonts w:eastAsia="Times New Roman" w:cs="Times New Roman"/>
                <w:b/>
                <w:bCs/>
                <w:color w:val="008000"/>
                <w:lang w:eastAsia="en-AU"/>
              </w:rPr>
              <w:t>0.01</w:t>
            </w:r>
          </w:p>
        </w:tc>
      </w:tr>
      <w:tr w:rsidR="004B7C67" w:rsidRPr="008D0B98" w14:paraId="571734B2" w14:textId="77777777" w:rsidTr="008D0B98">
        <w:trPr>
          <w:trHeight w:val="300"/>
        </w:trPr>
        <w:tc>
          <w:tcPr>
            <w:tcW w:w="6096" w:type="dxa"/>
            <w:tcBorders>
              <w:top w:val="nil"/>
              <w:left w:val="nil"/>
              <w:bottom w:val="nil"/>
              <w:right w:val="nil"/>
            </w:tcBorders>
            <w:shd w:val="clear" w:color="auto" w:fill="auto"/>
            <w:noWrap/>
            <w:vAlign w:val="bottom"/>
            <w:hideMark/>
          </w:tcPr>
          <w:p w14:paraId="3A3685B3" w14:textId="4501910D"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652" w:type="dxa"/>
            <w:tcBorders>
              <w:top w:val="nil"/>
              <w:left w:val="nil"/>
              <w:bottom w:val="nil"/>
              <w:right w:val="nil"/>
            </w:tcBorders>
            <w:shd w:val="clear" w:color="auto" w:fill="auto"/>
            <w:noWrap/>
            <w:vAlign w:val="center"/>
            <w:hideMark/>
          </w:tcPr>
          <w:p w14:paraId="58B405BC" w14:textId="77777777" w:rsidR="004B7C67" w:rsidRPr="008D0B98" w:rsidRDefault="004B7C67" w:rsidP="008D0B98">
            <w:pPr>
              <w:keepNext/>
              <w:spacing w:after="0" w:line="240" w:lineRule="auto"/>
              <w:jc w:val="center"/>
              <w:rPr>
                <w:rFonts w:eastAsia="Times New Roman" w:cs="Times New Roman"/>
                <w:b/>
                <w:bCs/>
                <w:color w:val="FF0000"/>
                <w:lang w:eastAsia="en-AU"/>
              </w:rPr>
            </w:pPr>
            <w:r w:rsidRPr="008D0B98">
              <w:rPr>
                <w:rFonts w:eastAsia="Times New Roman" w:cs="Times New Roman"/>
                <w:b/>
                <w:bCs/>
                <w:color w:val="FF0000"/>
                <w:lang w:eastAsia="en-AU"/>
              </w:rPr>
              <w:t>0.37</w:t>
            </w:r>
          </w:p>
        </w:tc>
        <w:tc>
          <w:tcPr>
            <w:tcW w:w="1652" w:type="dxa"/>
            <w:tcBorders>
              <w:top w:val="nil"/>
              <w:left w:val="nil"/>
              <w:bottom w:val="nil"/>
              <w:right w:val="nil"/>
            </w:tcBorders>
            <w:shd w:val="clear" w:color="auto" w:fill="auto"/>
            <w:noWrap/>
            <w:vAlign w:val="center"/>
            <w:hideMark/>
          </w:tcPr>
          <w:p w14:paraId="0D4CD1BF" w14:textId="77777777" w:rsidR="004B7C67" w:rsidRPr="008D0B98" w:rsidRDefault="004B7C67" w:rsidP="008D0B98">
            <w:pPr>
              <w:keepNext/>
              <w:spacing w:after="0" w:line="240" w:lineRule="auto"/>
              <w:jc w:val="center"/>
              <w:rPr>
                <w:rFonts w:eastAsia="Times New Roman" w:cs="Times New Roman"/>
                <w:b/>
                <w:bCs/>
                <w:color w:val="FF0000"/>
                <w:lang w:eastAsia="en-AU"/>
              </w:rPr>
            </w:pPr>
            <w:r w:rsidRPr="008D0B98">
              <w:rPr>
                <w:rFonts w:eastAsia="Times New Roman" w:cs="Times New Roman"/>
                <w:b/>
                <w:bCs/>
                <w:color w:val="FF0000"/>
                <w:lang w:eastAsia="en-AU"/>
              </w:rPr>
              <w:t>0.34</w:t>
            </w:r>
          </w:p>
        </w:tc>
      </w:tr>
      <w:tr w:rsidR="004B7C67" w:rsidRPr="008D0B98" w14:paraId="5B840324" w14:textId="77777777" w:rsidTr="008D0B98">
        <w:trPr>
          <w:trHeight w:val="300"/>
        </w:trPr>
        <w:tc>
          <w:tcPr>
            <w:tcW w:w="6096" w:type="dxa"/>
            <w:tcBorders>
              <w:top w:val="nil"/>
              <w:left w:val="nil"/>
              <w:bottom w:val="nil"/>
              <w:right w:val="nil"/>
            </w:tcBorders>
            <w:shd w:val="clear" w:color="auto" w:fill="auto"/>
            <w:noWrap/>
            <w:vAlign w:val="bottom"/>
            <w:hideMark/>
          </w:tcPr>
          <w:p w14:paraId="304D863A" w14:textId="27F850A4" w:rsidR="004B7C67" w:rsidRPr="008D0B98" w:rsidRDefault="004B7C67" w:rsidP="004B7C67">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w:t>
            </w:r>
            <w:r>
              <w:rPr>
                <w:rFonts w:eastAsia="Times New Roman" w:cs="Times New Roman"/>
                <w:color w:val="000000"/>
                <w:lang w:eastAsia="en-AU"/>
              </w:rPr>
              <w:t>on good substitution elasticity</w:t>
            </w:r>
          </w:p>
        </w:tc>
        <w:tc>
          <w:tcPr>
            <w:tcW w:w="1652" w:type="dxa"/>
            <w:tcBorders>
              <w:top w:val="nil"/>
              <w:left w:val="nil"/>
              <w:bottom w:val="nil"/>
              <w:right w:val="nil"/>
            </w:tcBorders>
            <w:shd w:val="clear" w:color="auto" w:fill="auto"/>
            <w:noWrap/>
            <w:vAlign w:val="center"/>
            <w:hideMark/>
          </w:tcPr>
          <w:p w14:paraId="292338B0"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474274B4"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1A4FA68A" w14:textId="77777777" w:rsidTr="008D0B98">
        <w:trPr>
          <w:trHeight w:val="300"/>
        </w:trPr>
        <w:tc>
          <w:tcPr>
            <w:tcW w:w="6096" w:type="dxa"/>
            <w:tcBorders>
              <w:top w:val="nil"/>
              <w:left w:val="nil"/>
              <w:bottom w:val="nil"/>
              <w:right w:val="nil"/>
            </w:tcBorders>
            <w:shd w:val="clear" w:color="auto" w:fill="auto"/>
            <w:noWrap/>
            <w:vAlign w:val="bottom"/>
            <w:hideMark/>
          </w:tcPr>
          <w:p w14:paraId="72796F8A" w14:textId="676F2BA2" w:rsidR="004B7C67" w:rsidRPr="008D0B98" w:rsidRDefault="004B7C67" w:rsidP="004B7C67">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1652" w:type="dxa"/>
            <w:tcBorders>
              <w:top w:val="nil"/>
              <w:left w:val="nil"/>
              <w:bottom w:val="nil"/>
              <w:right w:val="nil"/>
            </w:tcBorders>
            <w:shd w:val="clear" w:color="auto" w:fill="auto"/>
            <w:noWrap/>
            <w:vAlign w:val="center"/>
            <w:hideMark/>
          </w:tcPr>
          <w:p w14:paraId="37B8FDD0"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c>
          <w:tcPr>
            <w:tcW w:w="1652" w:type="dxa"/>
            <w:tcBorders>
              <w:top w:val="nil"/>
              <w:left w:val="nil"/>
              <w:bottom w:val="nil"/>
              <w:right w:val="nil"/>
            </w:tcBorders>
            <w:shd w:val="clear" w:color="auto" w:fill="auto"/>
            <w:noWrap/>
            <w:vAlign w:val="center"/>
            <w:hideMark/>
          </w:tcPr>
          <w:p w14:paraId="4EEDF7FE"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r>
      <w:tr w:rsidR="004B7C67" w:rsidRPr="008D0B98" w14:paraId="0ED8C263" w14:textId="77777777" w:rsidTr="008D0B98">
        <w:trPr>
          <w:trHeight w:val="300"/>
        </w:trPr>
        <w:tc>
          <w:tcPr>
            <w:tcW w:w="6096" w:type="dxa"/>
            <w:tcBorders>
              <w:top w:val="nil"/>
              <w:left w:val="nil"/>
              <w:bottom w:val="nil"/>
              <w:right w:val="nil"/>
            </w:tcBorders>
            <w:shd w:val="clear" w:color="auto" w:fill="auto"/>
            <w:noWrap/>
            <w:vAlign w:val="bottom"/>
            <w:hideMark/>
          </w:tcPr>
          <w:p w14:paraId="7CB4B8BF" w14:textId="5A1527D5" w:rsidR="004B7C67" w:rsidRPr="008D0B98" w:rsidRDefault="004B7C67"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1652" w:type="dxa"/>
            <w:tcBorders>
              <w:top w:val="nil"/>
              <w:left w:val="nil"/>
              <w:bottom w:val="nil"/>
              <w:right w:val="nil"/>
            </w:tcBorders>
            <w:shd w:val="clear" w:color="auto" w:fill="auto"/>
            <w:noWrap/>
            <w:vAlign w:val="center"/>
            <w:hideMark/>
          </w:tcPr>
          <w:p w14:paraId="3C207591"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0.22</w:t>
            </w:r>
          </w:p>
        </w:tc>
        <w:tc>
          <w:tcPr>
            <w:tcW w:w="1652" w:type="dxa"/>
            <w:tcBorders>
              <w:top w:val="nil"/>
              <w:left w:val="nil"/>
              <w:bottom w:val="nil"/>
              <w:right w:val="nil"/>
            </w:tcBorders>
            <w:shd w:val="clear" w:color="auto" w:fill="auto"/>
            <w:noWrap/>
            <w:vAlign w:val="center"/>
            <w:hideMark/>
          </w:tcPr>
          <w:p w14:paraId="444B1105"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r>
      <w:tr w:rsidR="004B7C67" w:rsidRPr="008D0B98" w14:paraId="666C21E5" w14:textId="77777777" w:rsidTr="008D0B98">
        <w:trPr>
          <w:trHeight w:val="300"/>
        </w:trPr>
        <w:tc>
          <w:tcPr>
            <w:tcW w:w="6096" w:type="dxa"/>
            <w:tcBorders>
              <w:top w:val="nil"/>
              <w:left w:val="nil"/>
              <w:bottom w:val="nil"/>
              <w:right w:val="nil"/>
            </w:tcBorders>
            <w:shd w:val="clear" w:color="auto" w:fill="auto"/>
            <w:noWrap/>
            <w:vAlign w:val="bottom"/>
            <w:hideMark/>
          </w:tcPr>
          <w:p w14:paraId="2CA61413" w14:textId="1181A012" w:rsidR="004B7C67" w:rsidRPr="008D0B98" w:rsidRDefault="004B7C67" w:rsidP="004B7C67">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Savings decision (fixed domestically owned capital stock)</w:t>
            </w:r>
          </w:p>
        </w:tc>
        <w:tc>
          <w:tcPr>
            <w:tcW w:w="1652" w:type="dxa"/>
            <w:tcBorders>
              <w:top w:val="nil"/>
              <w:left w:val="nil"/>
              <w:bottom w:val="nil"/>
              <w:right w:val="nil"/>
            </w:tcBorders>
            <w:shd w:val="clear" w:color="auto" w:fill="auto"/>
            <w:noWrap/>
            <w:vAlign w:val="center"/>
            <w:hideMark/>
          </w:tcPr>
          <w:p w14:paraId="7A5CFB02" w14:textId="77777777" w:rsidR="004B7C67" w:rsidRPr="008D0B98" w:rsidRDefault="004B7C67" w:rsidP="008D0B98">
            <w:pPr>
              <w:keepNext/>
              <w:spacing w:after="0" w:line="240" w:lineRule="auto"/>
              <w:jc w:val="center"/>
              <w:rPr>
                <w:rFonts w:eastAsia="Times New Roman" w:cs="Times New Roman"/>
                <w:color w:val="000000"/>
                <w:lang w:eastAsia="en-AU"/>
              </w:rPr>
            </w:pPr>
          </w:p>
        </w:tc>
        <w:tc>
          <w:tcPr>
            <w:tcW w:w="1652" w:type="dxa"/>
            <w:tcBorders>
              <w:top w:val="nil"/>
              <w:left w:val="nil"/>
              <w:bottom w:val="nil"/>
              <w:right w:val="nil"/>
            </w:tcBorders>
            <w:shd w:val="clear" w:color="auto" w:fill="auto"/>
            <w:noWrap/>
            <w:vAlign w:val="center"/>
            <w:hideMark/>
          </w:tcPr>
          <w:p w14:paraId="5C168153" w14:textId="77777777" w:rsidR="004B7C67" w:rsidRPr="008D0B98" w:rsidRDefault="004B7C67" w:rsidP="008D0B98">
            <w:pPr>
              <w:keepNext/>
              <w:spacing w:after="0" w:line="240" w:lineRule="auto"/>
              <w:jc w:val="center"/>
              <w:rPr>
                <w:rFonts w:eastAsia="Times New Roman" w:cs="Times New Roman"/>
                <w:color w:val="000000"/>
                <w:lang w:eastAsia="en-AU"/>
              </w:rPr>
            </w:pPr>
          </w:p>
        </w:tc>
      </w:tr>
      <w:tr w:rsidR="004B7C67" w:rsidRPr="008D0B98" w14:paraId="2E5720FA"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5D5D38BD" w14:textId="0AF51606" w:rsidR="004B7C67" w:rsidRPr="008D0B98" w:rsidRDefault="004B7C67" w:rsidP="004B7C67">
            <w:pPr>
              <w:keepNext/>
              <w:spacing w:after="0" w:line="240" w:lineRule="auto"/>
              <w:ind w:firstLine="459"/>
              <w:rPr>
                <w:rFonts w:eastAsia="Times New Roman" w:cs="Times New Roman"/>
                <w:color w:val="000000"/>
                <w:lang w:eastAsia="en-AU"/>
              </w:rPr>
            </w:pPr>
            <w:r w:rsidRPr="008D0B98">
              <w:rPr>
                <w:rFonts w:eastAsia="Times New Roman" w:cs="Times New Roman"/>
                <w:color w:val="000000"/>
                <w:lang w:eastAsia="en-AU"/>
              </w:rPr>
              <w:t>Fixed saving rate</w:t>
            </w:r>
          </w:p>
        </w:tc>
        <w:tc>
          <w:tcPr>
            <w:tcW w:w="1652" w:type="dxa"/>
            <w:tcBorders>
              <w:top w:val="nil"/>
              <w:left w:val="nil"/>
              <w:bottom w:val="nil"/>
              <w:right w:val="nil"/>
            </w:tcBorders>
            <w:shd w:val="clear" w:color="auto" w:fill="auto"/>
            <w:noWrap/>
            <w:vAlign w:val="center"/>
            <w:hideMark/>
          </w:tcPr>
          <w:p w14:paraId="5C568FBD"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0.19</w:t>
            </w:r>
          </w:p>
        </w:tc>
        <w:tc>
          <w:tcPr>
            <w:tcW w:w="1652" w:type="dxa"/>
            <w:tcBorders>
              <w:top w:val="nil"/>
              <w:left w:val="nil"/>
              <w:bottom w:val="nil"/>
              <w:right w:val="nil"/>
            </w:tcBorders>
            <w:shd w:val="clear" w:color="auto" w:fill="auto"/>
            <w:noWrap/>
            <w:vAlign w:val="center"/>
            <w:hideMark/>
          </w:tcPr>
          <w:p w14:paraId="7FD520C5"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0.17</w:t>
            </w:r>
          </w:p>
        </w:tc>
      </w:tr>
      <w:tr w:rsidR="004B7C67" w:rsidRPr="008D0B98" w14:paraId="73E2E01D" w14:textId="77777777" w:rsidTr="008D0B98">
        <w:trPr>
          <w:trHeight w:val="300"/>
        </w:trPr>
        <w:tc>
          <w:tcPr>
            <w:tcW w:w="6096" w:type="dxa"/>
            <w:tcBorders>
              <w:top w:val="nil"/>
              <w:left w:val="nil"/>
              <w:bottom w:val="nil"/>
              <w:right w:val="nil"/>
            </w:tcBorders>
            <w:shd w:val="clear" w:color="auto" w:fill="auto"/>
            <w:noWrap/>
            <w:vAlign w:val="bottom"/>
            <w:hideMark/>
          </w:tcPr>
          <w:p w14:paraId="5F98D097" w14:textId="6BD47E8B" w:rsidR="004B7C67" w:rsidRPr="008D0B98" w:rsidRDefault="004B7C67"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Literature estimates</w:t>
            </w:r>
          </w:p>
        </w:tc>
        <w:tc>
          <w:tcPr>
            <w:tcW w:w="1652" w:type="dxa"/>
            <w:tcBorders>
              <w:top w:val="single" w:sz="4" w:space="0" w:color="auto"/>
              <w:left w:val="nil"/>
              <w:bottom w:val="nil"/>
              <w:right w:val="nil"/>
            </w:tcBorders>
            <w:shd w:val="clear" w:color="auto" w:fill="auto"/>
            <w:noWrap/>
            <w:vAlign w:val="center"/>
            <w:hideMark/>
          </w:tcPr>
          <w:p w14:paraId="04870C6C"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c>
          <w:tcPr>
            <w:tcW w:w="1652" w:type="dxa"/>
            <w:tcBorders>
              <w:top w:val="single" w:sz="4" w:space="0" w:color="auto"/>
              <w:left w:val="nil"/>
              <w:bottom w:val="nil"/>
              <w:right w:val="nil"/>
            </w:tcBorders>
            <w:shd w:val="clear" w:color="auto" w:fill="auto"/>
            <w:noWrap/>
            <w:vAlign w:val="center"/>
            <w:hideMark/>
          </w:tcPr>
          <w:p w14:paraId="4BF43D5C"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4B7C67" w:rsidRPr="008D0B98" w14:paraId="39516113" w14:textId="77777777" w:rsidTr="008D0B98">
        <w:trPr>
          <w:trHeight w:val="300"/>
        </w:trPr>
        <w:tc>
          <w:tcPr>
            <w:tcW w:w="6096" w:type="dxa"/>
            <w:tcBorders>
              <w:top w:val="nil"/>
              <w:left w:val="nil"/>
              <w:bottom w:val="nil"/>
              <w:right w:val="nil"/>
            </w:tcBorders>
            <w:shd w:val="clear" w:color="auto" w:fill="auto"/>
            <w:noWrap/>
            <w:vAlign w:val="bottom"/>
            <w:hideMark/>
          </w:tcPr>
          <w:p w14:paraId="61BCB5BD" w14:textId="057F3C8B" w:rsidR="004B7C67" w:rsidRPr="008D0B98" w:rsidRDefault="004B7C67"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(2010)</w:t>
            </w:r>
          </w:p>
        </w:tc>
        <w:tc>
          <w:tcPr>
            <w:tcW w:w="1652" w:type="dxa"/>
            <w:tcBorders>
              <w:top w:val="nil"/>
              <w:left w:val="nil"/>
              <w:bottom w:val="nil"/>
              <w:right w:val="nil"/>
            </w:tcBorders>
            <w:shd w:val="clear" w:color="auto" w:fill="auto"/>
            <w:noWrap/>
            <w:vAlign w:val="center"/>
            <w:hideMark/>
          </w:tcPr>
          <w:p w14:paraId="1F950195"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0.08</w:t>
            </w:r>
          </w:p>
        </w:tc>
        <w:tc>
          <w:tcPr>
            <w:tcW w:w="1652" w:type="dxa"/>
            <w:tcBorders>
              <w:top w:val="nil"/>
              <w:left w:val="nil"/>
              <w:bottom w:val="nil"/>
              <w:right w:val="nil"/>
            </w:tcBorders>
            <w:shd w:val="clear" w:color="auto" w:fill="auto"/>
            <w:noWrap/>
            <w:vAlign w:val="center"/>
            <w:hideMark/>
          </w:tcPr>
          <w:p w14:paraId="326A7683" w14:textId="6D3C78B4" w:rsidR="004B7C67"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p>
        </w:tc>
      </w:tr>
      <w:tr w:rsidR="004B7C67" w:rsidRPr="008D0B98" w14:paraId="7F8F7A24" w14:textId="77777777" w:rsidTr="008D0B98">
        <w:trPr>
          <w:trHeight w:val="300"/>
        </w:trPr>
        <w:tc>
          <w:tcPr>
            <w:tcW w:w="6096" w:type="dxa"/>
            <w:tcBorders>
              <w:top w:val="nil"/>
              <w:left w:val="nil"/>
              <w:bottom w:val="nil"/>
              <w:right w:val="nil"/>
            </w:tcBorders>
            <w:shd w:val="clear" w:color="auto" w:fill="auto"/>
            <w:noWrap/>
            <w:vAlign w:val="bottom"/>
            <w:hideMark/>
          </w:tcPr>
          <w:p w14:paraId="0205D572" w14:textId="71F307C7" w:rsidR="004B7C67" w:rsidRPr="008D0B98" w:rsidRDefault="004B7C67"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(2011)</w:t>
            </w:r>
          </w:p>
        </w:tc>
        <w:tc>
          <w:tcPr>
            <w:tcW w:w="1652" w:type="dxa"/>
            <w:tcBorders>
              <w:top w:val="nil"/>
              <w:left w:val="nil"/>
              <w:bottom w:val="nil"/>
              <w:right w:val="nil"/>
            </w:tcBorders>
            <w:shd w:val="clear" w:color="auto" w:fill="auto"/>
            <w:noWrap/>
            <w:vAlign w:val="center"/>
            <w:hideMark/>
          </w:tcPr>
          <w:p w14:paraId="34DA2B17"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0.12</w:t>
            </w:r>
          </w:p>
        </w:tc>
        <w:tc>
          <w:tcPr>
            <w:tcW w:w="1652" w:type="dxa"/>
            <w:tcBorders>
              <w:top w:val="nil"/>
              <w:left w:val="nil"/>
              <w:bottom w:val="nil"/>
              <w:right w:val="nil"/>
            </w:tcBorders>
            <w:shd w:val="clear" w:color="auto" w:fill="auto"/>
            <w:noWrap/>
            <w:vAlign w:val="center"/>
            <w:hideMark/>
          </w:tcPr>
          <w:p w14:paraId="30B3DF6F" w14:textId="564181F4" w:rsidR="004B7C67"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p>
        </w:tc>
      </w:tr>
      <w:tr w:rsidR="004B7C67" w:rsidRPr="008D0B98" w14:paraId="1D131228" w14:textId="77777777" w:rsidTr="008D0B98">
        <w:trPr>
          <w:trHeight w:val="315"/>
        </w:trPr>
        <w:tc>
          <w:tcPr>
            <w:tcW w:w="6096" w:type="dxa"/>
            <w:tcBorders>
              <w:top w:val="nil"/>
              <w:left w:val="nil"/>
              <w:bottom w:val="single" w:sz="8" w:space="0" w:color="auto"/>
              <w:right w:val="nil"/>
            </w:tcBorders>
            <w:shd w:val="clear" w:color="auto" w:fill="auto"/>
            <w:noWrap/>
            <w:vAlign w:val="bottom"/>
            <w:hideMark/>
          </w:tcPr>
          <w:p w14:paraId="3E4DA898" w14:textId="6EAB075A" w:rsidR="004B7C67" w:rsidRPr="008D0B98" w:rsidRDefault="004B7C67"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Independent Economics</w:t>
            </w:r>
            <w:r w:rsidRPr="008D0B98">
              <w:rPr>
                <w:rFonts w:eastAsia="Times New Roman" w:cs="Times New Roman"/>
                <w:color w:val="000000"/>
                <w:lang w:eastAsia="en-AU"/>
              </w:rPr>
              <w:t xml:space="preserve"> (2014)</w:t>
            </w:r>
          </w:p>
        </w:tc>
        <w:tc>
          <w:tcPr>
            <w:tcW w:w="1652" w:type="dxa"/>
            <w:tcBorders>
              <w:top w:val="nil"/>
              <w:left w:val="nil"/>
              <w:bottom w:val="single" w:sz="8" w:space="0" w:color="auto"/>
              <w:right w:val="nil"/>
            </w:tcBorders>
            <w:shd w:val="clear" w:color="auto" w:fill="auto"/>
            <w:noWrap/>
            <w:vAlign w:val="center"/>
            <w:hideMark/>
          </w:tcPr>
          <w:p w14:paraId="4449B040" w14:textId="77777777" w:rsidR="004B7C67" w:rsidRPr="008D0B98" w:rsidRDefault="004B7C67"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0.13</w:t>
            </w:r>
          </w:p>
        </w:tc>
        <w:tc>
          <w:tcPr>
            <w:tcW w:w="1652" w:type="dxa"/>
            <w:tcBorders>
              <w:top w:val="nil"/>
              <w:left w:val="nil"/>
              <w:bottom w:val="single" w:sz="8" w:space="0" w:color="auto"/>
              <w:right w:val="nil"/>
            </w:tcBorders>
            <w:shd w:val="clear" w:color="auto" w:fill="auto"/>
            <w:noWrap/>
            <w:vAlign w:val="center"/>
            <w:hideMark/>
          </w:tcPr>
          <w:p w14:paraId="59FB69B4" w14:textId="2831D792" w:rsidR="004B7C67"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p>
        </w:tc>
      </w:tr>
    </w:tbl>
    <w:p w14:paraId="57D50056" w14:textId="6EDAD683" w:rsidR="00F74E3C" w:rsidRDefault="00ED21B8" w:rsidP="009A29E1">
      <w:pPr>
        <w:pStyle w:val="Source"/>
      </w:pPr>
      <w:r w:rsidRPr="004F16F7">
        <w:t xml:space="preserve">Source: </w:t>
      </w:r>
      <w:r w:rsidR="00583BD7" w:rsidRPr="004F16F7">
        <w:t xml:space="preserve">KPMG (2010), KPMG (2011), </w:t>
      </w:r>
      <w:r w:rsidR="00496794">
        <w:t>Independent Economics</w:t>
      </w:r>
      <w:r w:rsidR="00583BD7" w:rsidRPr="004F16F7">
        <w:t xml:space="preserve"> (2014) and </w:t>
      </w:r>
      <w:r w:rsidR="00E007CF">
        <w:t>Treasury estimates</w:t>
      </w:r>
      <w:r w:rsidR="00F74E3C">
        <w:t>.</w:t>
      </w:r>
    </w:p>
    <w:p w14:paraId="57F89D75" w14:textId="77777777" w:rsidR="00BD126F" w:rsidRDefault="00BD126F" w:rsidP="00F74E3C"/>
    <w:p w14:paraId="77BD65F2" w14:textId="77777777" w:rsidR="00BD126F" w:rsidRDefault="00BD126F" w:rsidP="00F74E3C"/>
    <w:p w14:paraId="29DD6A32" w14:textId="5FB2A806" w:rsidR="005604EC" w:rsidRDefault="00EA1EF4" w:rsidP="00AC51D8">
      <w:pPr>
        <w:pStyle w:val="Heading2"/>
      </w:pPr>
      <w:r>
        <w:lastRenderedPageBreak/>
        <w:t>Broad</w:t>
      </w:r>
      <w:r w:rsidR="00F03697">
        <w:noBreakHyphen/>
      </w:r>
      <w:r>
        <w:t xml:space="preserve">based </w:t>
      </w:r>
      <w:r w:rsidR="00E716F9">
        <w:t>l</w:t>
      </w:r>
      <w:r w:rsidR="00E716F9" w:rsidRPr="00202F1F">
        <w:t xml:space="preserve">and </w:t>
      </w:r>
      <w:r w:rsidR="005604EC" w:rsidRPr="00202F1F">
        <w:t>tax</w:t>
      </w:r>
    </w:p>
    <w:p w14:paraId="29DD6A36" w14:textId="5E3B728F" w:rsidR="0087011B" w:rsidRPr="0037543F" w:rsidRDefault="00E716F9" w:rsidP="00DC5E8B">
      <w:r>
        <w:t xml:space="preserve">Land tax is modelled as a </w:t>
      </w:r>
      <w:r w:rsidR="00BD2F90">
        <w:t xml:space="preserve">hypothetical </w:t>
      </w:r>
      <w:r>
        <w:t>b</w:t>
      </w:r>
      <w:r w:rsidR="00EA1EF4">
        <w:t>road</w:t>
      </w:r>
      <w:r w:rsidR="00F03697">
        <w:noBreakHyphen/>
      </w:r>
      <w:r w:rsidR="00EA1EF4">
        <w:t>based l</w:t>
      </w:r>
      <w:r w:rsidR="0087011B">
        <w:t>and tax</w:t>
      </w:r>
      <w:r w:rsidR="008D4C21">
        <w:t xml:space="preserve"> </w:t>
      </w:r>
      <w:r w:rsidR="00BD2F90">
        <w:t xml:space="preserve">similar to </w:t>
      </w:r>
      <w:r w:rsidR="008D4C21">
        <w:t>municipal rates</w:t>
      </w:r>
      <w:r w:rsidR="0087011B">
        <w:t>.</w:t>
      </w:r>
    </w:p>
    <w:p w14:paraId="29DD6A37" w14:textId="4164423E" w:rsidR="005604EC" w:rsidRDefault="005604EC" w:rsidP="005604EC">
      <w:pPr>
        <w:pStyle w:val="Heading3"/>
      </w:pPr>
      <w:r>
        <w:t>Theory</w:t>
      </w:r>
      <w:r w:rsidR="00E80EF0">
        <w:t xml:space="preserve"> and assumptions</w:t>
      </w:r>
    </w:p>
    <w:p w14:paraId="29DD6A38" w14:textId="106AC301" w:rsidR="00D63BE6" w:rsidRDefault="00B843C6">
      <w:r>
        <w:t xml:space="preserve">Figure </w:t>
      </w:r>
      <w:r>
        <w:rPr>
          <w:noProof/>
        </w:rPr>
        <w:t>7</w:t>
      </w:r>
      <w:r w:rsidR="00D63BE6">
        <w:t xml:space="preserve"> describes the land market. </w:t>
      </w:r>
      <w:r w:rsidR="009F07E4" w:rsidRPr="00D63BE6">
        <w:t>The t</w:t>
      </w:r>
      <w:r w:rsidR="00790A23" w:rsidRPr="00D63BE6">
        <w:t>otal amount of each type of l</w:t>
      </w:r>
      <w:r w:rsidR="00DC7124" w:rsidRPr="00D63BE6">
        <w:t xml:space="preserve">and </w:t>
      </w:r>
      <w:r w:rsidR="00A85164">
        <w:t>(residential and non</w:t>
      </w:r>
      <w:r w:rsidR="00F03697">
        <w:noBreakHyphen/>
      </w:r>
      <w:r w:rsidR="00790A23" w:rsidRPr="00D63BE6">
        <w:t xml:space="preserve">residential) </w:t>
      </w:r>
      <w:r w:rsidR="00DC7124" w:rsidRPr="00D63BE6">
        <w:t>is assumed to be in fixed supply</w:t>
      </w:r>
      <w:r w:rsidR="00EC7787" w:rsidRPr="00D63BE6">
        <w:t>.</w:t>
      </w:r>
      <w:r w:rsidR="00D63BE6">
        <w:t xml:space="preserve"> Land users pay the before</w:t>
      </w:r>
      <w:r w:rsidR="00F03697">
        <w:noBreakHyphen/>
      </w:r>
      <w:r w:rsidR="00D63BE6">
        <w:t>tax rental rate given by the intersection of demand and supply at q</w:t>
      </w:r>
      <w:r w:rsidR="00D63BE6" w:rsidRPr="00D63BE6">
        <w:rPr>
          <w:vertAlign w:val="subscript"/>
        </w:rPr>
        <w:t>bt</w:t>
      </w:r>
      <w:r w:rsidR="00D63BE6" w:rsidRPr="00D63BE6">
        <w:t>.</w:t>
      </w:r>
      <w:r w:rsidR="00E038A1">
        <w:t xml:space="preserve"> Prior to the tax change, land</w:t>
      </w:r>
      <w:r w:rsidR="00F03697">
        <w:noBreakHyphen/>
      </w:r>
      <w:r w:rsidR="00D63BE6">
        <w:t>owners receive the after tax rental rate of q</w:t>
      </w:r>
      <w:r w:rsidR="00D63BE6" w:rsidRPr="00D63BE6">
        <w:rPr>
          <w:vertAlign w:val="subscript"/>
        </w:rPr>
        <w:t>at</w:t>
      </w:r>
      <w:r w:rsidR="00D63BE6">
        <w:t>. This implies tax revenue equal to A. This figure shows that an increase in the land tax is completely borne by the land</w:t>
      </w:r>
      <w:r w:rsidR="00F03697">
        <w:noBreakHyphen/>
      </w:r>
      <w:r w:rsidR="00D63BE6">
        <w:t>owner</w:t>
      </w:r>
      <w:r w:rsidR="00E038A1">
        <w:t>s.</w:t>
      </w:r>
      <w:r w:rsidR="00D63BE6">
        <w:t xml:space="preserve"> </w:t>
      </w:r>
      <w:r w:rsidR="00E038A1">
        <w:t>T</w:t>
      </w:r>
      <w:r w:rsidR="00D63BE6">
        <w:t>he after</w:t>
      </w:r>
      <w:r w:rsidR="00F03697">
        <w:noBreakHyphen/>
      </w:r>
      <w:r w:rsidR="00D63BE6">
        <w:t>tax rental ra</w:t>
      </w:r>
      <w:r w:rsidR="00E038A1">
        <w:t>te falls</w:t>
      </w:r>
      <w:r w:rsidR="00D63BE6">
        <w:t xml:space="preserve"> to q</w:t>
      </w:r>
      <w:r w:rsidR="00D63BE6" w:rsidRPr="00D63BE6">
        <w:rPr>
          <w:vertAlign w:val="subscript"/>
        </w:rPr>
        <w:t>at</w:t>
      </w:r>
      <w:r w:rsidR="00F03697">
        <w:t>’</w:t>
      </w:r>
      <w:r w:rsidR="00D63BE6">
        <w:t xml:space="preserve"> and </w:t>
      </w:r>
      <w:r w:rsidR="003F5456">
        <w:t xml:space="preserve">the land </w:t>
      </w:r>
      <w:r w:rsidR="00D63BE6">
        <w:t xml:space="preserve">tax revenue </w:t>
      </w:r>
      <w:r w:rsidR="00E038A1">
        <w:t>increases</w:t>
      </w:r>
      <w:r w:rsidR="00D63BE6">
        <w:t xml:space="preserve"> by B. </w:t>
      </w:r>
    </w:p>
    <w:p w14:paraId="29DD6A39" w14:textId="1530D9CB" w:rsidR="005604EC" w:rsidRPr="00D63BE6" w:rsidRDefault="00DC7124">
      <w:r w:rsidRPr="00D63BE6">
        <w:t xml:space="preserve">In a closed economy model in which the tax revenue </w:t>
      </w:r>
      <w:r w:rsidR="00D63BE6">
        <w:t>is</w:t>
      </w:r>
      <w:r w:rsidRPr="00D63BE6">
        <w:t xml:space="preserve"> returned as a lump</w:t>
      </w:r>
      <w:r w:rsidR="00F03697">
        <w:noBreakHyphen/>
      </w:r>
      <w:r w:rsidRPr="00D63BE6">
        <w:t>sum transfer</w:t>
      </w:r>
      <w:r w:rsidR="006F1C1A" w:rsidRPr="00D63BE6">
        <w:t>,</w:t>
      </w:r>
      <w:r w:rsidRPr="00D63BE6">
        <w:t xml:space="preserve"> this would imply</w:t>
      </w:r>
      <w:r w:rsidR="005604EC" w:rsidRPr="00D63BE6">
        <w:t xml:space="preserve"> </w:t>
      </w:r>
      <w:r w:rsidRPr="00D63BE6">
        <w:t>no change to the economy</w:t>
      </w:r>
      <w:r w:rsidR="005604EC" w:rsidRPr="00D63BE6">
        <w:t>.</w:t>
      </w:r>
      <w:r w:rsidRPr="00D63BE6">
        <w:t xml:space="preserve"> However, taxing land in an open economy </w:t>
      </w:r>
      <w:r w:rsidR="009F07E4" w:rsidRPr="00D63BE6">
        <w:t xml:space="preserve">with foreign ownership </w:t>
      </w:r>
      <w:r w:rsidRPr="00D63BE6">
        <w:t xml:space="preserve">will have </w:t>
      </w:r>
      <w:r w:rsidR="00367CCF">
        <w:t>aggregate welfare</w:t>
      </w:r>
      <w:r w:rsidR="00367CCF" w:rsidRPr="00D63BE6">
        <w:t xml:space="preserve"> </w:t>
      </w:r>
      <w:r w:rsidRPr="00D63BE6">
        <w:t xml:space="preserve">impacts. </w:t>
      </w:r>
      <w:r w:rsidR="003F5456">
        <w:t xml:space="preserve">Since </w:t>
      </w:r>
      <w:r w:rsidRPr="00D63BE6">
        <w:t>the revenue collected from foreign and domestic land owners is only redistributed to</w:t>
      </w:r>
      <w:r w:rsidR="00297DB9" w:rsidRPr="00D63BE6">
        <w:t xml:space="preserve"> the</w:t>
      </w:r>
      <w:r w:rsidRPr="00D63BE6">
        <w:t xml:space="preserve"> domestic household</w:t>
      </w:r>
      <w:r w:rsidR="00E038A1">
        <w:t>,</w:t>
      </w:r>
      <w:r w:rsidRPr="00D63BE6">
        <w:t xml:space="preserve"> </w:t>
      </w:r>
      <w:r w:rsidR="00962F66">
        <w:t>an increase in land tax</w:t>
      </w:r>
      <w:r w:rsidR="00962F66" w:rsidRPr="00D63BE6">
        <w:t xml:space="preserve"> </w:t>
      </w:r>
      <w:r w:rsidRPr="00D63BE6">
        <w:t>result</w:t>
      </w:r>
      <w:r w:rsidR="003F5456">
        <w:t>s</w:t>
      </w:r>
      <w:r w:rsidRPr="00D63BE6">
        <w:t xml:space="preserve"> in a net transfer to </w:t>
      </w:r>
      <w:r w:rsidR="00297DB9" w:rsidRPr="00D63BE6">
        <w:t xml:space="preserve">the </w:t>
      </w:r>
      <w:r w:rsidRPr="00D63BE6">
        <w:t xml:space="preserve">domestic household. </w:t>
      </w:r>
      <w:r w:rsidR="00297DB9" w:rsidRPr="00D63BE6">
        <w:t>The d</w:t>
      </w:r>
      <w:r w:rsidRPr="00D63BE6">
        <w:t>omestic household will receive a net windfall gain from the lump</w:t>
      </w:r>
      <w:r w:rsidR="00F03697">
        <w:noBreakHyphen/>
      </w:r>
      <w:r w:rsidRPr="00D63BE6">
        <w:t xml:space="preserve">sum transfer that exceeds </w:t>
      </w:r>
      <w:r w:rsidR="00297DB9" w:rsidRPr="00D63BE6">
        <w:t>its</w:t>
      </w:r>
      <w:r w:rsidRPr="00D63BE6">
        <w:t xml:space="preserve"> tax expense. This increase in income is expected to result in both increased consumption and increased leisure.</w:t>
      </w:r>
    </w:p>
    <w:p w14:paraId="29DD6A3A" w14:textId="7CB4EBAF" w:rsidR="001E62CC" w:rsidRDefault="001E62CC" w:rsidP="00E82F3E">
      <w:pPr>
        <w:pStyle w:val="Caption1"/>
      </w:pPr>
      <w:bookmarkStart w:id="38" w:name="_Ref398459161"/>
      <w:r>
        <w:t xml:space="preserve">Figure </w:t>
      </w:r>
      <w:r w:rsidR="00866AD9">
        <w:fldChar w:fldCharType="begin"/>
      </w:r>
      <w:r w:rsidR="00866AD9">
        <w:instrText xml:space="preserve"> SEQ Figure \* ARABIC </w:instrText>
      </w:r>
      <w:r w:rsidR="00866AD9">
        <w:fldChar w:fldCharType="separate"/>
      </w:r>
      <w:r w:rsidR="00AA2137">
        <w:rPr>
          <w:noProof/>
        </w:rPr>
        <w:t>7</w:t>
      </w:r>
      <w:r w:rsidR="00866AD9">
        <w:rPr>
          <w:noProof/>
        </w:rPr>
        <w:fldChar w:fldCharType="end"/>
      </w:r>
      <w:bookmarkEnd w:id="38"/>
      <w:r>
        <w:t xml:space="preserve">: </w:t>
      </w:r>
      <w:r w:rsidR="00EA1EF4">
        <w:t>Broad</w:t>
      </w:r>
      <w:r w:rsidR="00F03697">
        <w:noBreakHyphen/>
      </w:r>
      <w:r w:rsidR="00EA1EF4">
        <w:t xml:space="preserve">based land </w:t>
      </w:r>
      <w:r>
        <w:t>tax</w:t>
      </w:r>
      <w:r w:rsidR="004C5CFD">
        <w:t xml:space="preserve"> — </w:t>
      </w:r>
      <w:r>
        <w:t>Land market response</w:t>
      </w:r>
    </w:p>
    <w:p w14:paraId="29DD6A3B" w14:textId="363564CD" w:rsidR="005604EC" w:rsidRDefault="00026B2F" w:rsidP="00FD52B5">
      <w:pPr>
        <w:pStyle w:val="Caption1"/>
      </w:pPr>
      <w:r w:rsidRPr="00026B2F">
        <w:rPr>
          <w:noProof/>
        </w:rPr>
        <w:drawing>
          <wp:inline distT="0" distB="0" distL="0" distR="0" wp14:anchorId="7427AA64" wp14:editId="77125037">
            <wp:extent cx="3058795" cy="3324860"/>
            <wp:effectExtent l="0" t="0" r="0" b="0"/>
            <wp:docPr id="19" name="Picture 19" descr="This figure describes the land market response to a marginal increase in the broad based land tax rate." title="Broad-based land tax - land marke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8795" cy="3324860"/>
                    </a:xfrm>
                    <a:prstGeom prst="rect">
                      <a:avLst/>
                    </a:prstGeom>
                    <a:noFill/>
                    <a:ln>
                      <a:noFill/>
                    </a:ln>
                  </pic:spPr>
                </pic:pic>
              </a:graphicData>
            </a:graphic>
          </wp:inline>
        </w:drawing>
      </w:r>
    </w:p>
    <w:p w14:paraId="29DD6A3C" w14:textId="77777777" w:rsidR="005604EC" w:rsidRDefault="005604EC" w:rsidP="005604EC">
      <w:pPr>
        <w:pStyle w:val="Heading3"/>
      </w:pPr>
      <w:r>
        <w:t>Results</w:t>
      </w:r>
    </w:p>
    <w:p w14:paraId="29DD6A3D" w14:textId="5E89911B" w:rsidR="005604EC" w:rsidRDefault="00CF30A1">
      <w:r>
        <w:t xml:space="preserve">We analyse the </w:t>
      </w:r>
      <w:r w:rsidR="004B5A5E">
        <w:t xml:space="preserve">marginal </w:t>
      </w:r>
      <w:r>
        <w:t xml:space="preserve">excess burden and incidence of the </w:t>
      </w:r>
      <w:r w:rsidR="00EA1EF4">
        <w:t>broad</w:t>
      </w:r>
      <w:r w:rsidR="00F03697">
        <w:noBreakHyphen/>
      </w:r>
      <w:r w:rsidR="00EA1EF4">
        <w:t xml:space="preserve">based </w:t>
      </w:r>
      <w:r>
        <w:t>land tax b</w:t>
      </w:r>
      <w:r w:rsidR="005604EC">
        <w:t xml:space="preserve">y uniformly increasing </w:t>
      </w:r>
      <w:r>
        <w:t xml:space="preserve">the </w:t>
      </w:r>
      <w:r w:rsidR="005604EC">
        <w:t>rate on both residential and non</w:t>
      </w:r>
      <w:r w:rsidR="00F03697">
        <w:noBreakHyphen/>
      </w:r>
      <w:r w:rsidR="005604EC">
        <w:t xml:space="preserve">residential </w:t>
      </w:r>
      <w:r w:rsidR="006F1C1A">
        <w:t>land</w:t>
      </w:r>
      <w:r w:rsidR="005604EC">
        <w:t xml:space="preserve"> </w:t>
      </w:r>
      <w:r>
        <w:t>by an amount sufficient to raise one</w:t>
      </w:r>
      <w:r w:rsidR="00A6064F">
        <w:t> </w:t>
      </w:r>
      <w:r>
        <w:t>dollar of revenue from all taxes</w:t>
      </w:r>
      <w:r w:rsidR="005604EC">
        <w:t>.</w:t>
      </w:r>
    </w:p>
    <w:p w14:paraId="29DD6A3E" w14:textId="77777777" w:rsidR="00DE2C44" w:rsidRDefault="00DE2C44" w:rsidP="00DE2C44">
      <w:pPr>
        <w:pStyle w:val="Heading4"/>
      </w:pPr>
      <w:r>
        <w:lastRenderedPageBreak/>
        <w:t>Activity</w:t>
      </w:r>
    </w:p>
    <w:p w14:paraId="29DD6A3F" w14:textId="0CD9B827" w:rsidR="005604EC" w:rsidRPr="000E76B0" w:rsidRDefault="005604EC">
      <w:r>
        <w:t xml:space="preserve">As suggested by the theory </w:t>
      </w:r>
      <w:r w:rsidR="00EA1EF4">
        <w:t>broad</w:t>
      </w:r>
      <w:r w:rsidR="00F03697">
        <w:noBreakHyphen/>
      </w:r>
      <w:r w:rsidR="00EA1EF4">
        <w:t xml:space="preserve">based </w:t>
      </w:r>
      <w:r>
        <w:t xml:space="preserve">land tax has </w:t>
      </w:r>
      <w:r w:rsidR="00ED21B8">
        <w:t>a very slight</w:t>
      </w:r>
      <w:r>
        <w:t xml:space="preserve"> impact on </w:t>
      </w:r>
      <w:r w:rsidR="00760593">
        <w:t>factor income</w:t>
      </w:r>
      <w:r>
        <w:t xml:space="preserve"> as seen in </w:t>
      </w:r>
      <w:r w:rsidR="00B843C6">
        <w:t xml:space="preserve">Chart </w:t>
      </w:r>
      <w:r w:rsidR="00B843C6">
        <w:rPr>
          <w:noProof/>
        </w:rPr>
        <w:t>25</w:t>
      </w:r>
      <w:r>
        <w:t xml:space="preserve">. </w:t>
      </w:r>
    </w:p>
    <w:p w14:paraId="29DD6A40" w14:textId="4B61F8BA" w:rsidR="001E62CC" w:rsidRDefault="001E62CC" w:rsidP="00E82F3E">
      <w:pPr>
        <w:pStyle w:val="Caption1"/>
      </w:pPr>
      <w:bookmarkStart w:id="39" w:name="_Ref398460177"/>
      <w:r>
        <w:t xml:space="preserve">Chart </w:t>
      </w:r>
      <w:r w:rsidR="00866AD9">
        <w:fldChar w:fldCharType="begin"/>
      </w:r>
      <w:r w:rsidR="00866AD9">
        <w:instrText xml:space="preserve"> SEQ Chart \* ARABIC </w:instrText>
      </w:r>
      <w:r w:rsidR="00866AD9">
        <w:fldChar w:fldCharType="separate"/>
      </w:r>
      <w:r w:rsidR="00AA2137">
        <w:rPr>
          <w:noProof/>
        </w:rPr>
        <w:t>25</w:t>
      </w:r>
      <w:r w:rsidR="00866AD9">
        <w:rPr>
          <w:noProof/>
        </w:rPr>
        <w:fldChar w:fldCharType="end"/>
      </w:r>
      <w:bookmarkEnd w:id="39"/>
      <w:r>
        <w:t>:</w:t>
      </w:r>
      <w:r w:rsidRPr="001E62CC">
        <w:t xml:space="preserve"> </w:t>
      </w:r>
      <w:r w:rsidR="00EA1EF4">
        <w:t>Broad</w:t>
      </w:r>
      <w:r w:rsidR="00F03697">
        <w:noBreakHyphen/>
      </w:r>
      <w:r w:rsidR="00EA1EF4">
        <w:t xml:space="preserve">based land </w:t>
      </w:r>
      <w:r>
        <w:t>tax</w:t>
      </w:r>
      <w:r w:rsidR="004C5CFD">
        <w:t xml:space="preserve"> — </w:t>
      </w:r>
      <w:r>
        <w:t>Income from GDP response</w:t>
      </w:r>
    </w:p>
    <w:p w14:paraId="29DD6A41" w14:textId="075E1067" w:rsidR="005604EC" w:rsidRDefault="00866AD9" w:rsidP="00FD52B5">
      <w:pPr>
        <w:pStyle w:val="Caption1"/>
      </w:pPr>
      <w:r>
        <w:pict w14:anchorId="26FBE8E4">
          <v:shape id="_x0000_i1058" type="#_x0000_t75" alt="This chart shows the price and volume response of the income components of GDP: capital income; labour income and indirect taxes; due to a marginal increase in the broad based land tax rate." style="width:439.15pt;height:226pt">
            <v:imagedata r:id="rId75" o:title=""/>
          </v:shape>
        </w:pict>
      </w:r>
    </w:p>
    <w:p w14:paraId="2A1F3969" w14:textId="181B3F25" w:rsidR="00016169" w:rsidRDefault="00016169" w:rsidP="0055740C">
      <w:pPr>
        <w:pStyle w:val="Source"/>
        <w:ind w:left="426"/>
      </w:pPr>
      <w:r>
        <w:rPr>
          <w:lang w:val="en-US"/>
        </w:rPr>
        <w:t xml:space="preserve">Source: </w:t>
      </w:r>
      <w:r w:rsidR="00E007CF">
        <w:t>Treasury estimates</w:t>
      </w:r>
      <w:r>
        <w:t>.</w:t>
      </w:r>
    </w:p>
    <w:p w14:paraId="29DD6A42" w14:textId="126F8327" w:rsidR="005604EC" w:rsidRPr="008B2975" w:rsidRDefault="00760593" w:rsidP="0037543F">
      <w:r>
        <w:t xml:space="preserve">The foreign ownership of land means that increasing </w:t>
      </w:r>
      <w:r w:rsidR="00EA1EF4">
        <w:t>broad</w:t>
      </w:r>
      <w:r w:rsidR="00F03697">
        <w:noBreakHyphen/>
      </w:r>
      <w:r w:rsidR="00EA1EF4">
        <w:t xml:space="preserve">based </w:t>
      </w:r>
      <w:r>
        <w:t>land tax results in a small income transfer to domestic residents, which is reflected by a small increase in consumption (</w:t>
      </w:r>
      <w:r w:rsidR="00B843C6">
        <w:t xml:space="preserve">Chart </w:t>
      </w:r>
      <w:r w:rsidR="00B843C6">
        <w:rPr>
          <w:noProof/>
        </w:rPr>
        <w:t>26</w:t>
      </w:r>
      <w:r>
        <w:t xml:space="preserve">). </w:t>
      </w:r>
      <w:r w:rsidR="00A85164">
        <w:t>The </w:t>
      </w:r>
      <w:r w:rsidR="005604EC">
        <w:t xml:space="preserve">small increase in consumption is </w:t>
      </w:r>
      <w:r>
        <w:t>largely</w:t>
      </w:r>
      <w:r w:rsidR="005604EC">
        <w:t xml:space="preserve"> offset by </w:t>
      </w:r>
      <w:r>
        <w:t xml:space="preserve">a </w:t>
      </w:r>
      <w:r w:rsidR="005604EC">
        <w:t>decline</w:t>
      </w:r>
      <w:r>
        <w:t xml:space="preserve"> in net exports, with a negligible effect on GDP</w:t>
      </w:r>
      <w:r w:rsidR="005604EC">
        <w:t>.</w:t>
      </w:r>
    </w:p>
    <w:p w14:paraId="29DD6A43" w14:textId="3DAEAFC2" w:rsidR="001E62CC" w:rsidRDefault="001E62CC" w:rsidP="00E82F3E">
      <w:pPr>
        <w:pStyle w:val="Caption1"/>
      </w:pPr>
      <w:bookmarkStart w:id="40" w:name="_Ref398460206"/>
      <w:r>
        <w:t xml:space="preserve">Chart </w:t>
      </w:r>
      <w:r w:rsidR="00866AD9">
        <w:fldChar w:fldCharType="begin"/>
      </w:r>
      <w:r w:rsidR="00866AD9">
        <w:instrText xml:space="preserve"> SEQ Chart \* ARABIC </w:instrText>
      </w:r>
      <w:r w:rsidR="00866AD9">
        <w:fldChar w:fldCharType="separate"/>
      </w:r>
      <w:r w:rsidR="00AA2137">
        <w:rPr>
          <w:noProof/>
        </w:rPr>
        <w:t>26</w:t>
      </w:r>
      <w:r w:rsidR="00866AD9">
        <w:rPr>
          <w:noProof/>
        </w:rPr>
        <w:fldChar w:fldCharType="end"/>
      </w:r>
      <w:bookmarkEnd w:id="40"/>
      <w:r>
        <w:t xml:space="preserve">: </w:t>
      </w:r>
      <w:r w:rsidR="00EA1EF4">
        <w:t>Broad</w:t>
      </w:r>
      <w:r w:rsidR="00F03697">
        <w:noBreakHyphen/>
      </w:r>
      <w:r w:rsidR="00EA1EF4">
        <w:t>based land</w:t>
      </w:r>
      <w:r w:rsidR="00EA1EF4" w:rsidDel="00EA1EF4">
        <w:t xml:space="preserve"> </w:t>
      </w:r>
      <w:r>
        <w:t>tax</w:t>
      </w:r>
      <w:r w:rsidR="004C5CFD">
        <w:t xml:space="preserve"> — </w:t>
      </w:r>
      <w:r>
        <w:t xml:space="preserve">Expenditure on </w:t>
      </w:r>
      <w:r w:rsidRPr="008900F0">
        <w:t xml:space="preserve">GDP </w:t>
      </w:r>
      <w:r>
        <w:t>response</w:t>
      </w:r>
    </w:p>
    <w:p w14:paraId="29DD6A44" w14:textId="760DF33A" w:rsidR="005604EC" w:rsidRDefault="00866AD9" w:rsidP="00FD52B5">
      <w:pPr>
        <w:pStyle w:val="Caption1"/>
      </w:pPr>
      <w:r>
        <w:pict w14:anchorId="6F407E5E">
          <v:shape id="_x0000_i1059" type="#_x0000_t75" alt="This chart shows the price and volume response of the expenditure components of GDP: consumption; investment; government expenditure and net exports; due to a marginal increase in the broad based land tax rate." style="width:439.15pt;height:226pt">
            <v:imagedata r:id="rId76" o:title=""/>
          </v:shape>
        </w:pict>
      </w:r>
    </w:p>
    <w:p w14:paraId="58264469" w14:textId="32538163" w:rsidR="00016169" w:rsidRDefault="00016169" w:rsidP="0055740C">
      <w:pPr>
        <w:pStyle w:val="Source"/>
        <w:ind w:left="426"/>
      </w:pPr>
      <w:r>
        <w:rPr>
          <w:lang w:val="en-US"/>
        </w:rPr>
        <w:t xml:space="preserve">Source: </w:t>
      </w:r>
      <w:r w:rsidR="00E007CF">
        <w:t>Treasury estimates</w:t>
      </w:r>
      <w:r>
        <w:t>.</w:t>
      </w:r>
    </w:p>
    <w:p w14:paraId="6882E9D9" w14:textId="77777777" w:rsidR="007259DC" w:rsidRDefault="007259DC">
      <w:r>
        <w:br w:type="page"/>
      </w:r>
    </w:p>
    <w:p w14:paraId="29DD6A45" w14:textId="3CB435DB" w:rsidR="005604EC" w:rsidRPr="008B2975" w:rsidRDefault="008B1A25" w:rsidP="0037543F">
      <w:r>
        <w:lastRenderedPageBreak/>
        <w:t>A</w:t>
      </w:r>
      <w:r w:rsidR="00360B46">
        <w:t xml:space="preserve"> change in </w:t>
      </w:r>
      <w:r w:rsidR="00EA1EF4">
        <w:t>broad</w:t>
      </w:r>
      <w:r w:rsidR="00F03697">
        <w:noBreakHyphen/>
      </w:r>
      <w:r w:rsidR="00EA1EF4">
        <w:t xml:space="preserve">based </w:t>
      </w:r>
      <w:r w:rsidR="005604EC">
        <w:t>land tax causes few distortions in the economy</w:t>
      </w:r>
      <w:r>
        <w:t xml:space="preserve"> and therefore implies little change to revenues from other tax heads. </w:t>
      </w:r>
      <w:r w:rsidR="00EA1EF4">
        <w:t>Broad</w:t>
      </w:r>
      <w:r w:rsidR="00F03697">
        <w:noBreakHyphen/>
      </w:r>
      <w:r w:rsidR="00EA1EF4">
        <w:t>based l</w:t>
      </w:r>
      <w:r w:rsidR="00E038A1">
        <w:t>and tax is, however, a tax</w:t>
      </w:r>
      <w:r>
        <w:t xml:space="preserve"> </w:t>
      </w:r>
      <w:r w:rsidR="00B846C4">
        <w:t>deduction</w:t>
      </w:r>
      <w:r w:rsidR="009A6A61">
        <w:t xml:space="preserve"> </w:t>
      </w:r>
      <w:r>
        <w:t>for firms</w:t>
      </w:r>
      <w:r w:rsidR="00E038A1">
        <w:t xml:space="preserve"> and households</w:t>
      </w:r>
      <w:r>
        <w:t xml:space="preserve"> which requires around </w:t>
      </w:r>
      <w:r w:rsidRPr="00D640D7">
        <w:t>1.15</w:t>
      </w:r>
      <w:r w:rsidR="00F05DF5" w:rsidRPr="00D640D7">
        <w:t> </w:t>
      </w:r>
      <w:r w:rsidRPr="00D640D7">
        <w:t>dollars</w:t>
      </w:r>
      <w:r>
        <w:t xml:space="preserve"> </w:t>
      </w:r>
      <w:r w:rsidR="00A24328">
        <w:t xml:space="preserve">of revenue </w:t>
      </w:r>
      <w:r>
        <w:t xml:space="preserve">to be </w:t>
      </w:r>
      <w:r w:rsidR="00A24328">
        <w:t xml:space="preserve">raised </w:t>
      </w:r>
      <w:r>
        <w:t>from</w:t>
      </w:r>
      <w:r w:rsidR="005604EC">
        <w:t xml:space="preserve"> </w:t>
      </w:r>
      <w:r w:rsidR="00A24328">
        <w:t xml:space="preserve">the </w:t>
      </w:r>
      <w:r w:rsidR="00EA1EF4">
        <w:t>broad</w:t>
      </w:r>
      <w:r w:rsidR="00F03697">
        <w:noBreakHyphen/>
      </w:r>
      <w:r w:rsidR="00EA1EF4">
        <w:t xml:space="preserve">based </w:t>
      </w:r>
      <w:r w:rsidR="005604EC">
        <w:t>land tax</w:t>
      </w:r>
      <w:r>
        <w:t xml:space="preserve"> to achieve a net revenue increase of one dollar (</w:t>
      </w:r>
      <w:r w:rsidR="00B843C6">
        <w:t xml:space="preserve">Chart </w:t>
      </w:r>
      <w:r w:rsidR="00B843C6">
        <w:rPr>
          <w:noProof/>
        </w:rPr>
        <w:t>27</w:t>
      </w:r>
      <w:r w:rsidR="00E038A1">
        <w:t>).</w:t>
      </w:r>
    </w:p>
    <w:p w14:paraId="29DD6A46" w14:textId="0783767F" w:rsidR="001E62CC" w:rsidRDefault="001E62CC" w:rsidP="00E82F3E">
      <w:pPr>
        <w:pStyle w:val="Caption1"/>
      </w:pPr>
      <w:bookmarkStart w:id="41" w:name="_Ref398460215"/>
      <w:r>
        <w:t xml:space="preserve">Chart </w:t>
      </w:r>
      <w:r w:rsidR="00866AD9">
        <w:fldChar w:fldCharType="begin"/>
      </w:r>
      <w:r w:rsidR="00866AD9">
        <w:instrText xml:space="preserve"> SEQ Chart \* ARABIC </w:instrText>
      </w:r>
      <w:r w:rsidR="00866AD9">
        <w:fldChar w:fldCharType="separate"/>
      </w:r>
      <w:r w:rsidR="00AA2137">
        <w:rPr>
          <w:noProof/>
        </w:rPr>
        <w:t>27</w:t>
      </w:r>
      <w:r w:rsidR="00866AD9">
        <w:rPr>
          <w:noProof/>
        </w:rPr>
        <w:fldChar w:fldCharType="end"/>
      </w:r>
      <w:bookmarkEnd w:id="41"/>
      <w:r>
        <w:t xml:space="preserve">: </w:t>
      </w:r>
      <w:r w:rsidR="00EA1EF4">
        <w:t>Broad</w:t>
      </w:r>
      <w:r w:rsidR="00F03697">
        <w:noBreakHyphen/>
      </w:r>
      <w:r w:rsidR="00EA1EF4">
        <w:t>based land</w:t>
      </w:r>
      <w:r w:rsidR="00EA1EF4" w:rsidDel="00EA1EF4">
        <w:t xml:space="preserve"> </w:t>
      </w:r>
      <w:r>
        <w:t>tax</w:t>
      </w:r>
      <w:r w:rsidR="004C5CFD">
        <w:t xml:space="preserve"> — </w:t>
      </w:r>
      <w:r w:rsidRPr="006A48CA">
        <w:t xml:space="preserve">Government </w:t>
      </w:r>
      <w:r>
        <w:t>b</w:t>
      </w:r>
      <w:r w:rsidRPr="006A48CA">
        <w:t xml:space="preserve">udget </w:t>
      </w:r>
      <w:r>
        <w:t>response</w:t>
      </w:r>
    </w:p>
    <w:p w14:paraId="29DD6A47" w14:textId="34EF833C" w:rsidR="005604EC" w:rsidRDefault="00866AD9" w:rsidP="00FD52B5">
      <w:pPr>
        <w:pStyle w:val="Caption1"/>
      </w:pPr>
      <w:r>
        <w:pict w14:anchorId="72BD34AB">
          <v:shape id="_x0000_i1060" type="#_x0000_t75" alt="This chart shows the impact on the components of the government’s budget of raising one net dollar of additional revenue through raising the broad based land tax rate." style="width:439.15pt;height:226pt">
            <v:imagedata r:id="rId77" o:title=""/>
          </v:shape>
        </w:pict>
      </w:r>
    </w:p>
    <w:p w14:paraId="77295CB9" w14:textId="79B3C47D" w:rsidR="00016169" w:rsidRDefault="00016169" w:rsidP="0055740C">
      <w:pPr>
        <w:pStyle w:val="Source"/>
        <w:ind w:left="426"/>
      </w:pPr>
      <w:r>
        <w:rPr>
          <w:lang w:val="en-US"/>
        </w:rPr>
        <w:t xml:space="preserve">Source: </w:t>
      </w:r>
      <w:r w:rsidR="00E007CF">
        <w:t>Treasury estimates</w:t>
      </w:r>
      <w:r>
        <w:t>.</w:t>
      </w:r>
    </w:p>
    <w:p w14:paraId="29DD6A48" w14:textId="4C457B1B" w:rsidR="00DE2C44" w:rsidRDefault="007B5309" w:rsidP="00DE2C44">
      <w:pPr>
        <w:pStyle w:val="Heading4"/>
      </w:pPr>
      <w:r>
        <w:t>Marginal e</w:t>
      </w:r>
      <w:r w:rsidR="00613756">
        <w:t>xcess burden and incidence</w:t>
      </w:r>
    </w:p>
    <w:p w14:paraId="29DD6A49" w14:textId="51C4B991" w:rsidR="005604EC" w:rsidRPr="000E76B0" w:rsidRDefault="005604EC" w:rsidP="0037543F">
      <w:r>
        <w:t xml:space="preserve">The net transfer of income </w:t>
      </w:r>
      <w:r w:rsidR="006F1C1A">
        <w:t xml:space="preserve">between </w:t>
      </w:r>
      <w:r>
        <w:t>foreign</w:t>
      </w:r>
      <w:r w:rsidR="006F1C1A">
        <w:t xml:space="preserve"> and</w:t>
      </w:r>
      <w:r>
        <w:t xml:space="preserve"> domestic households raises welfare</w:t>
      </w:r>
      <w:r w:rsidR="002F419C">
        <w:t xml:space="preserve"> (</w:t>
      </w:r>
      <w:r w:rsidR="00B843C6">
        <w:t xml:space="preserve">Chart </w:t>
      </w:r>
      <w:r w:rsidR="00B843C6">
        <w:rPr>
          <w:noProof/>
        </w:rPr>
        <w:t>28</w:t>
      </w:r>
      <w:r w:rsidR="002F419C">
        <w:t>)</w:t>
      </w:r>
      <w:r w:rsidR="009B0546">
        <w:t xml:space="preserve">. As </w:t>
      </w:r>
      <w:r>
        <w:t>detail</w:t>
      </w:r>
      <w:r w:rsidR="00DE2C44">
        <w:t>ed</w:t>
      </w:r>
      <w:r>
        <w:t xml:space="preserve"> above</w:t>
      </w:r>
      <w:r w:rsidR="00DE2C44">
        <w:t>,</w:t>
      </w:r>
      <w:r>
        <w:t xml:space="preserve"> </w:t>
      </w:r>
      <w:r w:rsidR="009B0546">
        <w:t>the t</w:t>
      </w:r>
      <w:r w:rsidR="009B0546" w:rsidRPr="00CF30A1">
        <w:t xml:space="preserve">otal foreign ownership </w:t>
      </w:r>
      <w:r w:rsidR="009B0546">
        <w:t xml:space="preserve">share </w:t>
      </w:r>
      <w:r w:rsidR="009B0546" w:rsidRPr="00CF30A1">
        <w:t>of</w:t>
      </w:r>
      <w:r w:rsidR="009B0546">
        <w:t xml:space="preserve"> </w:t>
      </w:r>
      <w:r w:rsidR="00557D5B">
        <w:t xml:space="preserve">factor </w:t>
      </w:r>
      <w:r w:rsidR="009B0546">
        <w:t>income from</w:t>
      </w:r>
      <w:r w:rsidR="009B0546" w:rsidRPr="00CF30A1">
        <w:t xml:space="preserve"> land</w:t>
      </w:r>
      <w:r w:rsidR="00557D5B">
        <w:t xml:space="preserve"> </w:t>
      </w:r>
      <w:r w:rsidR="009B0546" w:rsidRPr="00CF30A1">
        <w:t xml:space="preserve">is </w:t>
      </w:r>
      <w:r w:rsidR="009B0546">
        <w:t xml:space="preserve">estimated to be </w:t>
      </w:r>
      <w:r w:rsidR="009B0546" w:rsidRPr="00EE7B07">
        <w:t>around 10</w:t>
      </w:r>
      <w:r w:rsidR="009B0546">
        <w:t> per </w:t>
      </w:r>
      <w:r w:rsidR="009B0546" w:rsidRPr="00CF30A1">
        <w:t>cent</w:t>
      </w:r>
      <w:r w:rsidR="00557D5B">
        <w:t>. C</w:t>
      </w:r>
      <w:r>
        <w:t>onsistent with th</w:t>
      </w:r>
      <w:r w:rsidR="00557D5B">
        <w:t>at,</w:t>
      </w:r>
      <w:r>
        <w:t xml:space="preserve"> welfare </w:t>
      </w:r>
      <w:r w:rsidR="00A24328">
        <w:t>improves</w:t>
      </w:r>
      <w:r>
        <w:t xml:space="preserve"> by </w:t>
      </w:r>
      <w:r w:rsidR="00BD126F">
        <w:t>10</w:t>
      </w:r>
      <w:r w:rsidR="00566039" w:rsidRPr="004F16F7">
        <w:t> </w:t>
      </w:r>
      <w:r w:rsidRPr="004F16F7">
        <w:t>cents per dollar</w:t>
      </w:r>
      <w:r>
        <w:t xml:space="preserve"> of net revenue raised. </w:t>
      </w:r>
      <w:r w:rsidR="00A24328">
        <w:t xml:space="preserve">In other words, the </w:t>
      </w:r>
      <w:r w:rsidR="00EA1EF4">
        <w:t>broad</w:t>
      </w:r>
      <w:r w:rsidR="00F03697">
        <w:noBreakHyphen/>
      </w:r>
      <w:r w:rsidR="00EA1EF4">
        <w:t xml:space="preserve">based </w:t>
      </w:r>
      <w:r w:rsidR="00A24328">
        <w:t xml:space="preserve">land tax change implies a loss of income to </w:t>
      </w:r>
      <w:r w:rsidR="00297DB9">
        <w:t xml:space="preserve">the </w:t>
      </w:r>
      <w:r w:rsidR="00A24328">
        <w:t xml:space="preserve">domestic household of </w:t>
      </w:r>
      <w:r w:rsidR="00A24328" w:rsidRPr="004F16F7">
        <w:t>9</w:t>
      </w:r>
      <w:r w:rsidR="004F16F7">
        <w:t>0</w:t>
      </w:r>
      <w:r w:rsidR="00566039" w:rsidRPr="004F16F7">
        <w:t> </w:t>
      </w:r>
      <w:r w:rsidR="00A24328" w:rsidRPr="004F16F7">
        <w:t>cents</w:t>
      </w:r>
      <w:r w:rsidR="00A24328">
        <w:t>, while the lump</w:t>
      </w:r>
      <w:r w:rsidR="00F03697">
        <w:noBreakHyphen/>
      </w:r>
      <w:r w:rsidR="00A24328">
        <w:t xml:space="preserve">sum transfer increases their income by one dollar, which implies a net income gain of </w:t>
      </w:r>
      <w:r w:rsidR="004F16F7">
        <w:t>10</w:t>
      </w:r>
      <w:r w:rsidR="00566039" w:rsidRPr="004F16F7">
        <w:t> </w:t>
      </w:r>
      <w:r w:rsidR="00A24328" w:rsidRPr="004F16F7">
        <w:t>cents</w:t>
      </w:r>
      <w:r>
        <w:t>.</w:t>
      </w:r>
    </w:p>
    <w:p w14:paraId="29DD6A4A" w14:textId="0E14B140" w:rsidR="001E62CC" w:rsidRDefault="001E62CC" w:rsidP="00E82F3E">
      <w:pPr>
        <w:pStyle w:val="Caption1"/>
      </w:pPr>
      <w:bookmarkStart w:id="42" w:name="_Ref398460230"/>
      <w:r>
        <w:t xml:space="preserve">Chart </w:t>
      </w:r>
      <w:r w:rsidR="00866AD9">
        <w:fldChar w:fldCharType="begin"/>
      </w:r>
      <w:r w:rsidR="00866AD9">
        <w:instrText xml:space="preserve"> SEQ Chart \* ARABIC </w:instrText>
      </w:r>
      <w:r w:rsidR="00866AD9">
        <w:fldChar w:fldCharType="separate"/>
      </w:r>
      <w:r w:rsidR="00AA2137">
        <w:rPr>
          <w:noProof/>
        </w:rPr>
        <w:t>28</w:t>
      </w:r>
      <w:r w:rsidR="00866AD9">
        <w:rPr>
          <w:noProof/>
        </w:rPr>
        <w:fldChar w:fldCharType="end"/>
      </w:r>
      <w:bookmarkEnd w:id="42"/>
      <w:r>
        <w:t xml:space="preserve">: </w:t>
      </w:r>
      <w:r w:rsidR="00EA1EF4">
        <w:t>Broad</w:t>
      </w:r>
      <w:r w:rsidR="00F03697">
        <w:noBreakHyphen/>
      </w:r>
      <w:r w:rsidR="00EA1EF4">
        <w:t>based land</w:t>
      </w:r>
      <w:r w:rsidR="00EA1EF4" w:rsidDel="00EA1EF4">
        <w:t xml:space="preserve"> </w:t>
      </w:r>
      <w:r>
        <w:t>tax</w:t>
      </w:r>
      <w:r w:rsidR="004C5CFD">
        <w:t xml:space="preserve"> — </w:t>
      </w:r>
      <w:r w:rsidR="0051143B">
        <w:t>Marginal e</w:t>
      </w:r>
      <w:r w:rsidR="00A34507">
        <w:t>xcess burden and incidence</w:t>
      </w:r>
    </w:p>
    <w:p w14:paraId="29DD6A4B" w14:textId="3AF80236" w:rsidR="005604EC" w:rsidRDefault="00866AD9" w:rsidP="00B066B3">
      <w:pPr>
        <w:pStyle w:val="Caption1"/>
        <w:rPr>
          <w:noProof/>
        </w:rPr>
      </w:pPr>
      <w:r>
        <w:rPr>
          <w:noProof/>
        </w:rPr>
        <w:pict w14:anchorId="0F9A6A98">
          <v:shape id="_x0000_i1061" type="#_x0000_t75" alt="This chart decomposes the incidence of a marginal increase in the broad based land tax rate into its effect on labour income and capital income." style="width:449.8pt;height:196.75pt">
            <v:imagedata r:id="rId78" o:title=""/>
          </v:shape>
        </w:pict>
      </w:r>
    </w:p>
    <w:p w14:paraId="3DC0A18D" w14:textId="29695846" w:rsidR="00016169" w:rsidRDefault="00016169" w:rsidP="0055740C">
      <w:pPr>
        <w:pStyle w:val="Source"/>
        <w:ind w:left="284"/>
      </w:pPr>
      <w:r>
        <w:rPr>
          <w:lang w:val="en-US"/>
        </w:rPr>
        <w:t xml:space="preserve">Source: </w:t>
      </w:r>
      <w:r w:rsidR="00E007CF">
        <w:t>Treasury estimates</w:t>
      </w:r>
      <w:r>
        <w:t>.</w:t>
      </w:r>
    </w:p>
    <w:p w14:paraId="29DD6A4C" w14:textId="058D2A25" w:rsidR="00DE2C44" w:rsidRDefault="00AC2484" w:rsidP="00AC2484">
      <w:pPr>
        <w:pStyle w:val="Heading3"/>
      </w:pPr>
      <w:r>
        <w:lastRenderedPageBreak/>
        <w:t xml:space="preserve">Comparison with </w:t>
      </w:r>
      <w:r w:rsidR="00D45BAD">
        <w:t>other studies</w:t>
      </w:r>
    </w:p>
    <w:p w14:paraId="29DD6A4D" w14:textId="27CA44FC" w:rsidR="00AC2484" w:rsidRDefault="00B843C6" w:rsidP="00AC2484">
      <w:pPr>
        <w:rPr>
          <w:lang w:eastAsia="en-AU"/>
        </w:rPr>
      </w:pPr>
      <w:r>
        <w:t xml:space="preserve">Table </w:t>
      </w:r>
      <w:r>
        <w:rPr>
          <w:noProof/>
        </w:rPr>
        <w:t>5</w:t>
      </w:r>
      <w:r w:rsidR="00791B57">
        <w:rPr>
          <w:lang w:eastAsia="en-AU"/>
        </w:rPr>
        <w:t xml:space="preserve"> </w:t>
      </w:r>
      <w:r w:rsidR="008513EA" w:rsidRPr="008513EA">
        <w:rPr>
          <w:lang w:eastAsia="en-AU"/>
        </w:rPr>
        <w:t>reports the marginal excess burden based on the baseline calibration, along with the results of the sensitivity analysis (see Appendix A for details). The highest and lowest estimates from the sensitivity analysis are highlighte</w:t>
      </w:r>
      <w:r w:rsidR="008513EA">
        <w:rPr>
          <w:lang w:eastAsia="en-AU"/>
        </w:rPr>
        <w:t>d in red and green respectively</w:t>
      </w:r>
      <w:r w:rsidR="00791B57">
        <w:rPr>
          <w:lang w:eastAsia="en-AU"/>
        </w:rPr>
        <w:t>. The baseline</w:t>
      </w:r>
      <w:r w:rsidR="00791B57" w:rsidRPr="00791B57">
        <w:rPr>
          <w:lang w:eastAsia="en-AU"/>
        </w:rPr>
        <w:t xml:space="preserve"> negative </w:t>
      </w:r>
      <w:r w:rsidR="007B5309">
        <w:rPr>
          <w:lang w:eastAsia="en-AU"/>
        </w:rPr>
        <w:t xml:space="preserve">marginal </w:t>
      </w:r>
      <w:r w:rsidR="00791B57" w:rsidRPr="00791B57">
        <w:rPr>
          <w:lang w:eastAsia="en-AU"/>
        </w:rPr>
        <w:t xml:space="preserve">excess burden reported here is driven by the assumption of foreign ownership of land. </w:t>
      </w:r>
      <w:r w:rsidR="00791B57">
        <w:rPr>
          <w:lang w:eastAsia="en-AU"/>
        </w:rPr>
        <w:t>The lowest estimate is due to d</w:t>
      </w:r>
      <w:r w:rsidR="00791B57" w:rsidRPr="00791B57">
        <w:rPr>
          <w:lang w:eastAsia="en-AU"/>
        </w:rPr>
        <w:t xml:space="preserve">oubling </w:t>
      </w:r>
      <w:r w:rsidR="00791B57">
        <w:rPr>
          <w:lang w:eastAsia="en-AU"/>
        </w:rPr>
        <w:t xml:space="preserve">the </w:t>
      </w:r>
      <w:r w:rsidR="00791B57" w:rsidRPr="00791B57">
        <w:rPr>
          <w:lang w:eastAsia="en-AU"/>
        </w:rPr>
        <w:t xml:space="preserve">foreign ownership </w:t>
      </w:r>
      <w:r w:rsidR="00791B57">
        <w:rPr>
          <w:lang w:eastAsia="en-AU"/>
        </w:rPr>
        <w:t xml:space="preserve">share which </w:t>
      </w:r>
      <w:r w:rsidR="00791B57" w:rsidRPr="00791B57">
        <w:rPr>
          <w:lang w:eastAsia="en-AU"/>
        </w:rPr>
        <w:t xml:space="preserve">broadly doubles the benefit to </w:t>
      </w:r>
      <w:r w:rsidR="00791B57">
        <w:rPr>
          <w:lang w:eastAsia="en-AU"/>
        </w:rPr>
        <w:t>A</w:t>
      </w:r>
      <w:r w:rsidR="00791B57" w:rsidRPr="00791B57">
        <w:rPr>
          <w:lang w:eastAsia="en-AU"/>
        </w:rPr>
        <w:t>ustralians of taxing land</w:t>
      </w:r>
      <w:r w:rsidR="006F1C1A">
        <w:rPr>
          <w:lang w:eastAsia="en-AU"/>
        </w:rPr>
        <w:t>. T</w:t>
      </w:r>
      <w:r w:rsidR="00791B57">
        <w:rPr>
          <w:lang w:eastAsia="en-AU"/>
        </w:rPr>
        <w:t>he highest estimate</w:t>
      </w:r>
      <w:r w:rsidR="00791B57" w:rsidRPr="00791B57">
        <w:rPr>
          <w:lang w:eastAsia="en-AU"/>
        </w:rPr>
        <w:t xml:space="preserve"> </w:t>
      </w:r>
      <w:r w:rsidR="00791B57">
        <w:rPr>
          <w:lang w:eastAsia="en-AU"/>
        </w:rPr>
        <w:t>a</w:t>
      </w:r>
      <w:r w:rsidR="00791B57" w:rsidRPr="00791B57">
        <w:rPr>
          <w:lang w:eastAsia="en-AU"/>
        </w:rPr>
        <w:t>ssum</w:t>
      </w:r>
      <w:r w:rsidR="006F1C1A">
        <w:rPr>
          <w:lang w:eastAsia="en-AU"/>
        </w:rPr>
        <w:t>es</w:t>
      </w:r>
      <w:r w:rsidR="00791B57" w:rsidRPr="00791B57">
        <w:rPr>
          <w:lang w:eastAsia="en-AU"/>
        </w:rPr>
        <w:t xml:space="preserve"> </w:t>
      </w:r>
      <w:r w:rsidR="00791B57">
        <w:rPr>
          <w:lang w:eastAsia="en-AU"/>
        </w:rPr>
        <w:t>t</w:t>
      </w:r>
      <w:r w:rsidR="00791B57" w:rsidRPr="00791B57">
        <w:rPr>
          <w:lang w:eastAsia="en-AU"/>
        </w:rPr>
        <w:t xml:space="preserve">here is no foreign ownership in Australia </w:t>
      </w:r>
      <w:r w:rsidR="00791B57">
        <w:rPr>
          <w:lang w:eastAsia="en-AU"/>
        </w:rPr>
        <w:t>which implies</w:t>
      </w:r>
      <w:r w:rsidR="00791B57" w:rsidRPr="00791B57">
        <w:rPr>
          <w:lang w:eastAsia="en-AU"/>
        </w:rPr>
        <w:t xml:space="preserve"> </w:t>
      </w:r>
      <w:r w:rsidR="00EA1EF4">
        <w:t>broad</w:t>
      </w:r>
      <w:r w:rsidR="00F03697">
        <w:noBreakHyphen/>
      </w:r>
      <w:r w:rsidR="00EA1EF4">
        <w:t xml:space="preserve">based </w:t>
      </w:r>
      <w:r w:rsidR="00791B57">
        <w:rPr>
          <w:lang w:eastAsia="en-AU"/>
        </w:rPr>
        <w:t xml:space="preserve">land tax has </w:t>
      </w:r>
      <w:r w:rsidR="00CB68AA">
        <w:rPr>
          <w:lang w:eastAsia="en-AU"/>
        </w:rPr>
        <w:t xml:space="preserve">a </w:t>
      </w:r>
      <w:r w:rsidR="00791B57">
        <w:rPr>
          <w:lang w:eastAsia="en-AU"/>
        </w:rPr>
        <w:t xml:space="preserve">zero </w:t>
      </w:r>
      <w:r w:rsidR="004B5A5E">
        <w:rPr>
          <w:lang w:eastAsia="en-AU"/>
        </w:rPr>
        <w:t xml:space="preserve">marginal </w:t>
      </w:r>
      <w:r w:rsidR="00791B57">
        <w:rPr>
          <w:lang w:eastAsia="en-AU"/>
        </w:rPr>
        <w:t>excess burden.</w:t>
      </w:r>
    </w:p>
    <w:p w14:paraId="29DD6A4E" w14:textId="2A658517" w:rsidR="00D47E32" w:rsidRDefault="00EF01C7" w:rsidP="00AC2484">
      <w:pPr>
        <w:rPr>
          <w:lang w:eastAsia="en-AU"/>
        </w:rPr>
      </w:pPr>
      <w:r>
        <w:rPr>
          <w:lang w:eastAsia="en-AU"/>
        </w:rPr>
        <w:t>While the modelling reported here focuses on a broad</w:t>
      </w:r>
      <w:r w:rsidR="00F03697">
        <w:rPr>
          <w:lang w:eastAsia="en-AU"/>
        </w:rPr>
        <w:noBreakHyphen/>
      </w:r>
      <w:r>
        <w:rPr>
          <w:lang w:eastAsia="en-AU"/>
        </w:rPr>
        <w:t>based tax on land, earlier economy</w:t>
      </w:r>
      <w:r w:rsidR="00F03697">
        <w:rPr>
          <w:lang w:eastAsia="en-AU"/>
        </w:rPr>
        <w:noBreakHyphen/>
      </w:r>
      <w:r>
        <w:rPr>
          <w:lang w:eastAsia="en-AU"/>
        </w:rPr>
        <w:t xml:space="preserve">wide studies, such as the </w:t>
      </w:r>
      <w:r>
        <w:t xml:space="preserve">CGE analysis of the Current Australian Tax </w:t>
      </w:r>
      <w:r w:rsidRPr="00DD39D3">
        <w:t>System</w:t>
      </w:r>
      <w:r w:rsidRPr="00DD39D3" w:rsidDel="00085A85">
        <w:rPr>
          <w:lang w:eastAsia="en-AU"/>
        </w:rPr>
        <w:t xml:space="preserve"> </w:t>
      </w:r>
      <w:r w:rsidRPr="00DD39D3">
        <w:rPr>
          <w:lang w:eastAsia="en-AU"/>
        </w:rPr>
        <w:t>report (KPMG, 2010)</w:t>
      </w:r>
      <w:r>
        <w:rPr>
          <w:lang w:eastAsia="en-AU"/>
        </w:rPr>
        <w:t xml:space="preserve"> analysed land taxes and municipal rates separately. Both were found to be relatively efficient, with municipal rates being slightly more efficient due to its broader base. In a recent report for </w:t>
      </w:r>
      <w:r w:rsidR="00A24B97">
        <w:rPr>
          <w:lang w:eastAsia="en-AU"/>
        </w:rPr>
        <w:t>the Housing Industry Association</w:t>
      </w:r>
      <w:r>
        <w:rPr>
          <w:lang w:eastAsia="en-AU"/>
        </w:rPr>
        <w:t>, Independent Economics</w:t>
      </w:r>
      <w:r w:rsidR="00A24B97">
        <w:rPr>
          <w:lang w:eastAsia="en-AU"/>
        </w:rPr>
        <w:t xml:space="preserve"> (2014)</w:t>
      </w:r>
      <w:r>
        <w:rPr>
          <w:lang w:eastAsia="en-AU"/>
        </w:rPr>
        <w:t xml:space="preserve"> used a similar framework to this paper, which yielded an estimated a negative </w:t>
      </w:r>
      <w:r w:rsidR="007B5309">
        <w:rPr>
          <w:lang w:eastAsia="en-AU"/>
        </w:rPr>
        <w:t xml:space="preserve">marginal </w:t>
      </w:r>
      <w:r>
        <w:rPr>
          <w:lang w:eastAsia="en-AU"/>
        </w:rPr>
        <w:t>excess burden for land</w:t>
      </w:r>
      <w:r w:rsidR="00F03697">
        <w:rPr>
          <w:lang w:eastAsia="en-AU"/>
        </w:rPr>
        <w:noBreakHyphen/>
      </w:r>
      <w:r>
        <w:rPr>
          <w:lang w:eastAsia="en-AU"/>
        </w:rPr>
        <w:t xml:space="preserve">tax </w:t>
      </w:r>
      <w:r w:rsidR="00E038A1">
        <w:rPr>
          <w:lang w:eastAsia="en-AU"/>
        </w:rPr>
        <w:t>that is similar to the estimate</w:t>
      </w:r>
      <w:r>
        <w:rPr>
          <w:lang w:eastAsia="en-AU"/>
        </w:rPr>
        <w:t xml:space="preserve"> reported here.</w:t>
      </w:r>
    </w:p>
    <w:p w14:paraId="29DD6A4F" w14:textId="0EB7C8E5" w:rsidR="00D62342" w:rsidRDefault="00D62342" w:rsidP="00D62342">
      <w:pPr>
        <w:rPr>
          <w:lang w:eastAsia="en-AU"/>
        </w:rPr>
      </w:pPr>
      <w:r>
        <w:rPr>
          <w:lang w:eastAsia="en-AU"/>
        </w:rPr>
        <w:t xml:space="preserve">The 2011 NSW Financial Audit examined land tax, as currently legislated, and found it to have a </w:t>
      </w:r>
      <w:r w:rsidR="00707EB7">
        <w:rPr>
          <w:lang w:eastAsia="en-AU"/>
        </w:rPr>
        <w:t xml:space="preserve">marginal </w:t>
      </w:r>
      <w:r>
        <w:rPr>
          <w:lang w:eastAsia="en-AU"/>
        </w:rPr>
        <w:t xml:space="preserve">excess burden of </w:t>
      </w:r>
      <w:r w:rsidR="00707EB7">
        <w:rPr>
          <w:lang w:eastAsia="en-AU"/>
        </w:rPr>
        <w:t>9</w:t>
      </w:r>
      <w:r w:rsidR="00566039" w:rsidRPr="00B51EF6">
        <w:rPr>
          <w:lang w:eastAsia="en-AU"/>
        </w:rPr>
        <w:t> </w:t>
      </w:r>
      <w:r w:rsidR="000219A5" w:rsidRPr="00B51EF6">
        <w:rPr>
          <w:lang w:eastAsia="en-AU"/>
        </w:rPr>
        <w:t>cents</w:t>
      </w:r>
      <w:r w:rsidR="00BC51EE">
        <w:rPr>
          <w:lang w:eastAsia="en-AU"/>
        </w:rPr>
        <w:t xml:space="preserve"> per dollar of net revenue</w:t>
      </w:r>
      <w:r w:rsidR="006A12A8">
        <w:rPr>
          <w:lang w:eastAsia="en-AU"/>
        </w:rPr>
        <w:t xml:space="preserve"> (</w:t>
      </w:r>
      <w:r w:rsidR="00DF2858">
        <w:rPr>
          <w:lang w:eastAsia="en-AU"/>
        </w:rPr>
        <w:t xml:space="preserve">see </w:t>
      </w:r>
      <w:r w:rsidR="006A12A8">
        <w:rPr>
          <w:lang w:eastAsia="en-AU"/>
        </w:rPr>
        <w:t>New South Wales Treasury, 2011)</w:t>
      </w:r>
      <w:r>
        <w:rPr>
          <w:lang w:eastAsia="en-AU"/>
        </w:rPr>
        <w:t>. They acknowledge that a well</w:t>
      </w:r>
      <w:r w:rsidR="00F03697">
        <w:rPr>
          <w:lang w:eastAsia="en-AU"/>
        </w:rPr>
        <w:noBreakHyphen/>
      </w:r>
      <w:r>
        <w:rPr>
          <w:lang w:eastAsia="en-AU"/>
        </w:rPr>
        <w:t xml:space="preserve">designed land tax could achieve a zero excess burden, and attribute the higher distortionary impact of the real world tax to its narrow base. Land tax does not apply to the </w:t>
      </w:r>
      <w:r w:rsidR="008B158C">
        <w:rPr>
          <w:lang w:eastAsia="en-AU"/>
        </w:rPr>
        <w:t xml:space="preserve">principal </w:t>
      </w:r>
      <w:r>
        <w:rPr>
          <w:lang w:eastAsia="en-AU"/>
        </w:rPr>
        <w:t>place of residence, which discourages the provision of rental accommodation. Further, the application of land tax to the aggregate holdings combined with a tax free threshold discourages investment by institutional investors, such as superannuation funds</w:t>
      </w:r>
      <w:r w:rsidR="00B846C4">
        <w:rPr>
          <w:lang w:eastAsia="en-AU"/>
        </w:rPr>
        <w:t>.</w:t>
      </w:r>
      <w:r w:rsidR="00B846C4">
        <w:rPr>
          <w:rStyle w:val="FootnoteReference"/>
          <w:lang w:eastAsia="en-AU"/>
        </w:rPr>
        <w:footnoteReference w:id="27"/>
      </w:r>
      <w:r>
        <w:rPr>
          <w:lang w:eastAsia="en-AU"/>
        </w:rPr>
        <w:t xml:space="preserve"> </w:t>
      </w:r>
      <w:r w:rsidR="000219A5">
        <w:rPr>
          <w:lang w:eastAsia="en-AU"/>
        </w:rPr>
        <w:t>Consistent with our analysis t</w:t>
      </w:r>
      <w:r>
        <w:rPr>
          <w:lang w:eastAsia="en-AU"/>
        </w:rPr>
        <w:t xml:space="preserve">hey find the marginal excess burden of slightly lowering the tax free threshold to be </w:t>
      </w:r>
      <w:r w:rsidR="00A8739E" w:rsidRPr="00A8739E">
        <w:rPr>
          <w:lang w:eastAsia="en-AU"/>
        </w:rPr>
        <w:t>negative 8</w:t>
      </w:r>
      <w:r w:rsidR="001C3069" w:rsidRPr="00A8739E">
        <w:rPr>
          <w:lang w:eastAsia="en-AU"/>
        </w:rPr>
        <w:t> </w:t>
      </w:r>
      <w:r w:rsidR="00BC51EE" w:rsidRPr="00A8739E">
        <w:rPr>
          <w:lang w:eastAsia="en-AU"/>
        </w:rPr>
        <w:t>cents</w:t>
      </w:r>
      <w:r w:rsidR="007259DC">
        <w:rPr>
          <w:lang w:eastAsia="en-AU"/>
        </w:rPr>
        <w:t> </w:t>
      </w:r>
      <w:r w:rsidR="00BC51EE" w:rsidRPr="00A8739E">
        <w:rPr>
          <w:lang w:eastAsia="en-AU"/>
        </w:rPr>
        <w:t>per</w:t>
      </w:r>
      <w:r w:rsidR="00A6064F">
        <w:rPr>
          <w:lang w:eastAsia="en-AU"/>
        </w:rPr>
        <w:t> </w:t>
      </w:r>
      <w:r w:rsidR="00BC51EE" w:rsidRPr="00A8739E">
        <w:rPr>
          <w:lang w:eastAsia="en-AU"/>
        </w:rPr>
        <w:t>dollar of net revenue</w:t>
      </w:r>
      <w:r w:rsidRPr="00A8739E">
        <w:rPr>
          <w:lang w:eastAsia="en-AU"/>
        </w:rPr>
        <w:t>.</w:t>
      </w:r>
    </w:p>
    <w:p w14:paraId="29DD6A50" w14:textId="7426805B" w:rsidR="00357294" w:rsidRDefault="00BB2C74" w:rsidP="009233EA">
      <w:pPr>
        <w:pStyle w:val="Caption1"/>
        <w:jc w:val="left"/>
      </w:pPr>
      <w:bookmarkStart w:id="43" w:name="_Ref400004269"/>
      <w:r>
        <w:lastRenderedPageBreak/>
        <w:t xml:space="preserve">Table </w:t>
      </w:r>
      <w:r w:rsidR="00866AD9">
        <w:fldChar w:fldCharType="begin"/>
      </w:r>
      <w:r w:rsidR="00866AD9">
        <w:instrText xml:space="preserve"> SEQ Table \* ARABIC </w:instrText>
      </w:r>
      <w:r w:rsidR="00866AD9">
        <w:fldChar w:fldCharType="separate"/>
      </w:r>
      <w:r w:rsidR="00AA2137">
        <w:rPr>
          <w:noProof/>
        </w:rPr>
        <w:t>5</w:t>
      </w:r>
      <w:r w:rsidR="00866AD9">
        <w:rPr>
          <w:noProof/>
        </w:rPr>
        <w:fldChar w:fldCharType="end"/>
      </w:r>
      <w:bookmarkEnd w:id="43"/>
      <w:r w:rsidR="00357294">
        <w:t xml:space="preserve">: </w:t>
      </w:r>
      <w:r w:rsidR="00EA1EF4">
        <w:t>Broad</w:t>
      </w:r>
      <w:r w:rsidR="00F03697">
        <w:noBreakHyphen/>
      </w:r>
      <w:r w:rsidR="00EA1EF4">
        <w:t>based land</w:t>
      </w:r>
      <w:r w:rsidR="00EA1EF4" w:rsidDel="00EA1EF4">
        <w:t xml:space="preserve"> </w:t>
      </w:r>
      <w:r w:rsidR="00357294">
        <w:t>tax</w:t>
      </w:r>
      <w:r w:rsidR="004C5CFD">
        <w:t xml:space="preserve"> — </w:t>
      </w:r>
      <w:r w:rsidR="0051143B">
        <w:t>Marginal e</w:t>
      </w:r>
      <w:r w:rsidR="00357294">
        <w:t xml:space="preserve">xcess burden </w:t>
      </w:r>
      <w:r w:rsidR="00EB3C40">
        <w:t>comparison</w:t>
      </w:r>
    </w:p>
    <w:tbl>
      <w:tblPr>
        <w:tblW w:w="8140" w:type="dxa"/>
        <w:tblInd w:w="108" w:type="dxa"/>
        <w:tblLook w:val="04A0" w:firstRow="1" w:lastRow="0" w:firstColumn="1" w:lastColumn="0" w:noHBand="0" w:noVBand="1"/>
      </w:tblPr>
      <w:tblGrid>
        <w:gridCol w:w="6096"/>
        <w:gridCol w:w="2044"/>
      </w:tblGrid>
      <w:tr w:rsidR="008D0B98" w:rsidRPr="008D0B98" w14:paraId="463217BB" w14:textId="77777777" w:rsidTr="008D0B98">
        <w:trPr>
          <w:trHeight w:val="600"/>
        </w:trPr>
        <w:tc>
          <w:tcPr>
            <w:tcW w:w="6096" w:type="dxa"/>
            <w:tcBorders>
              <w:top w:val="single" w:sz="8" w:space="0" w:color="auto"/>
              <w:left w:val="nil"/>
              <w:bottom w:val="single" w:sz="4" w:space="0" w:color="auto"/>
              <w:right w:val="nil"/>
            </w:tcBorders>
            <w:shd w:val="clear" w:color="auto" w:fill="auto"/>
            <w:noWrap/>
            <w:vAlign w:val="bottom"/>
            <w:hideMark/>
          </w:tcPr>
          <w:p w14:paraId="1E4B6FA3"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 </w:t>
            </w:r>
          </w:p>
        </w:tc>
        <w:tc>
          <w:tcPr>
            <w:tcW w:w="2044" w:type="dxa"/>
            <w:tcBorders>
              <w:top w:val="single" w:sz="8" w:space="0" w:color="auto"/>
              <w:left w:val="nil"/>
              <w:bottom w:val="single" w:sz="4" w:space="0" w:color="auto"/>
              <w:right w:val="nil"/>
            </w:tcBorders>
            <w:shd w:val="clear" w:color="auto" w:fill="auto"/>
            <w:vAlign w:val="center"/>
            <w:hideMark/>
          </w:tcPr>
          <w:p w14:paraId="4F0677E3"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Municipal rates and land tax MEB ($)</w:t>
            </w:r>
          </w:p>
        </w:tc>
      </w:tr>
      <w:tr w:rsidR="008D0B98" w:rsidRPr="008D0B98" w14:paraId="16F415DE"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0AC539BA"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 xml:space="preserve">Baseline </w:t>
            </w:r>
          </w:p>
        </w:tc>
        <w:tc>
          <w:tcPr>
            <w:tcW w:w="2044" w:type="dxa"/>
            <w:tcBorders>
              <w:top w:val="nil"/>
              <w:left w:val="nil"/>
              <w:bottom w:val="nil"/>
              <w:right w:val="nil"/>
            </w:tcBorders>
            <w:shd w:val="clear" w:color="auto" w:fill="auto"/>
            <w:noWrap/>
            <w:vAlign w:val="center"/>
            <w:hideMark/>
          </w:tcPr>
          <w:p w14:paraId="4B445169" w14:textId="0748EC29" w:rsidR="008D0B98"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8D0B98" w:rsidRPr="008D0B98">
              <w:rPr>
                <w:rFonts w:eastAsia="Times New Roman" w:cs="Times New Roman"/>
                <w:color w:val="000000"/>
                <w:lang w:eastAsia="en-AU"/>
              </w:rPr>
              <w:t>0.10</w:t>
            </w:r>
          </w:p>
        </w:tc>
      </w:tr>
      <w:tr w:rsidR="00B87C5B" w:rsidRPr="008D0B98" w14:paraId="70191D9E" w14:textId="77777777" w:rsidTr="008D0B98">
        <w:trPr>
          <w:trHeight w:val="300"/>
        </w:trPr>
        <w:tc>
          <w:tcPr>
            <w:tcW w:w="6096" w:type="dxa"/>
            <w:tcBorders>
              <w:top w:val="nil"/>
              <w:left w:val="nil"/>
              <w:bottom w:val="nil"/>
              <w:right w:val="nil"/>
            </w:tcBorders>
            <w:shd w:val="clear" w:color="auto" w:fill="auto"/>
            <w:noWrap/>
            <w:vAlign w:val="bottom"/>
            <w:hideMark/>
          </w:tcPr>
          <w:p w14:paraId="2CF7AEA1" w14:textId="5279D424"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firm behaviour</w:t>
            </w:r>
          </w:p>
        </w:tc>
        <w:tc>
          <w:tcPr>
            <w:tcW w:w="2044" w:type="dxa"/>
            <w:tcBorders>
              <w:top w:val="single" w:sz="4" w:space="0" w:color="auto"/>
              <w:left w:val="nil"/>
              <w:bottom w:val="nil"/>
              <w:right w:val="nil"/>
            </w:tcBorders>
            <w:shd w:val="clear" w:color="auto" w:fill="auto"/>
            <w:noWrap/>
            <w:vAlign w:val="center"/>
            <w:hideMark/>
          </w:tcPr>
          <w:p w14:paraId="34F32D2E"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B87C5B" w:rsidRPr="008D0B98" w14:paraId="317019A6" w14:textId="77777777" w:rsidTr="008D0B98">
        <w:trPr>
          <w:trHeight w:val="300"/>
        </w:trPr>
        <w:tc>
          <w:tcPr>
            <w:tcW w:w="6096" w:type="dxa"/>
            <w:tcBorders>
              <w:top w:val="nil"/>
              <w:left w:val="nil"/>
              <w:bottom w:val="nil"/>
              <w:right w:val="nil"/>
            </w:tcBorders>
            <w:shd w:val="clear" w:color="auto" w:fill="auto"/>
            <w:noWrap/>
            <w:vAlign w:val="bottom"/>
            <w:hideMark/>
          </w:tcPr>
          <w:p w14:paraId="0E92236C" w14:textId="06E20F85"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Economic rents</w:t>
            </w:r>
          </w:p>
        </w:tc>
        <w:tc>
          <w:tcPr>
            <w:tcW w:w="2044" w:type="dxa"/>
            <w:tcBorders>
              <w:top w:val="nil"/>
              <w:left w:val="nil"/>
              <w:bottom w:val="nil"/>
              <w:right w:val="nil"/>
            </w:tcBorders>
            <w:shd w:val="clear" w:color="auto" w:fill="auto"/>
            <w:noWrap/>
            <w:vAlign w:val="center"/>
            <w:hideMark/>
          </w:tcPr>
          <w:p w14:paraId="1765A4CD"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11DB88E6" w14:textId="77777777" w:rsidTr="008D0B98">
        <w:trPr>
          <w:trHeight w:val="300"/>
        </w:trPr>
        <w:tc>
          <w:tcPr>
            <w:tcW w:w="6096" w:type="dxa"/>
            <w:tcBorders>
              <w:top w:val="nil"/>
              <w:left w:val="nil"/>
              <w:bottom w:val="nil"/>
              <w:right w:val="nil"/>
            </w:tcBorders>
            <w:shd w:val="clear" w:color="auto" w:fill="auto"/>
            <w:noWrap/>
            <w:vAlign w:val="bottom"/>
            <w:hideMark/>
          </w:tcPr>
          <w:p w14:paraId="3494D297" w14:textId="4A2670CF"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rent share</w:t>
            </w:r>
          </w:p>
        </w:tc>
        <w:tc>
          <w:tcPr>
            <w:tcW w:w="2044" w:type="dxa"/>
            <w:tcBorders>
              <w:top w:val="nil"/>
              <w:left w:val="nil"/>
              <w:bottom w:val="nil"/>
              <w:right w:val="nil"/>
            </w:tcBorders>
            <w:shd w:val="clear" w:color="auto" w:fill="auto"/>
            <w:noWrap/>
            <w:vAlign w:val="center"/>
            <w:hideMark/>
          </w:tcPr>
          <w:p w14:paraId="4C5FCA2A" w14:textId="6132DEA7"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0.14</w:t>
            </w:r>
          </w:p>
        </w:tc>
      </w:tr>
      <w:tr w:rsidR="00B87C5B" w:rsidRPr="008D0B98" w14:paraId="05C4EBF5" w14:textId="77777777" w:rsidTr="008D0B98">
        <w:trPr>
          <w:trHeight w:val="300"/>
        </w:trPr>
        <w:tc>
          <w:tcPr>
            <w:tcW w:w="6096" w:type="dxa"/>
            <w:tcBorders>
              <w:top w:val="nil"/>
              <w:left w:val="nil"/>
              <w:bottom w:val="nil"/>
              <w:right w:val="nil"/>
            </w:tcBorders>
            <w:shd w:val="clear" w:color="auto" w:fill="auto"/>
            <w:noWrap/>
            <w:vAlign w:val="bottom"/>
            <w:hideMark/>
          </w:tcPr>
          <w:p w14:paraId="2E1F98A7" w14:textId="24A5F370"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rent share</w:t>
            </w:r>
          </w:p>
        </w:tc>
        <w:tc>
          <w:tcPr>
            <w:tcW w:w="2044" w:type="dxa"/>
            <w:tcBorders>
              <w:top w:val="nil"/>
              <w:left w:val="nil"/>
              <w:bottom w:val="nil"/>
              <w:right w:val="nil"/>
            </w:tcBorders>
            <w:shd w:val="clear" w:color="auto" w:fill="auto"/>
            <w:noWrap/>
            <w:vAlign w:val="center"/>
            <w:hideMark/>
          </w:tcPr>
          <w:p w14:paraId="0D3001E2" w14:textId="1C62A813"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0.07</w:t>
            </w:r>
          </w:p>
        </w:tc>
      </w:tr>
      <w:tr w:rsidR="00B87C5B" w:rsidRPr="008D0B98" w14:paraId="6DF68D64" w14:textId="77777777" w:rsidTr="008D0B98">
        <w:trPr>
          <w:trHeight w:val="300"/>
        </w:trPr>
        <w:tc>
          <w:tcPr>
            <w:tcW w:w="6096" w:type="dxa"/>
            <w:tcBorders>
              <w:top w:val="nil"/>
              <w:left w:val="nil"/>
              <w:bottom w:val="nil"/>
              <w:right w:val="nil"/>
            </w:tcBorders>
            <w:shd w:val="clear" w:color="auto" w:fill="auto"/>
            <w:noWrap/>
            <w:vAlign w:val="bottom"/>
            <w:hideMark/>
          </w:tcPr>
          <w:p w14:paraId="6E9CD9F6" w14:textId="70172F12" w:rsidR="00B87C5B" w:rsidRPr="008D0B98" w:rsidRDefault="00B87C5B"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Foreign ownership of firms</w:t>
            </w:r>
          </w:p>
        </w:tc>
        <w:tc>
          <w:tcPr>
            <w:tcW w:w="2044" w:type="dxa"/>
            <w:tcBorders>
              <w:top w:val="nil"/>
              <w:left w:val="nil"/>
              <w:bottom w:val="nil"/>
              <w:right w:val="nil"/>
            </w:tcBorders>
            <w:shd w:val="clear" w:color="auto" w:fill="auto"/>
            <w:noWrap/>
            <w:vAlign w:val="center"/>
            <w:hideMark/>
          </w:tcPr>
          <w:p w14:paraId="1262A8E8"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4CF44F4B" w14:textId="77777777" w:rsidTr="008D0B98">
        <w:trPr>
          <w:trHeight w:val="300"/>
        </w:trPr>
        <w:tc>
          <w:tcPr>
            <w:tcW w:w="6096" w:type="dxa"/>
            <w:tcBorders>
              <w:top w:val="nil"/>
              <w:left w:val="nil"/>
              <w:bottom w:val="nil"/>
              <w:right w:val="nil"/>
            </w:tcBorders>
            <w:shd w:val="clear" w:color="auto" w:fill="auto"/>
            <w:noWrap/>
            <w:vAlign w:val="bottom"/>
            <w:hideMark/>
          </w:tcPr>
          <w:p w14:paraId="269B2F9D" w14:textId="7195255B"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foreign ownership</w:t>
            </w:r>
          </w:p>
        </w:tc>
        <w:tc>
          <w:tcPr>
            <w:tcW w:w="2044" w:type="dxa"/>
            <w:tcBorders>
              <w:top w:val="nil"/>
              <w:left w:val="nil"/>
              <w:bottom w:val="nil"/>
              <w:right w:val="nil"/>
            </w:tcBorders>
            <w:shd w:val="clear" w:color="auto" w:fill="auto"/>
            <w:noWrap/>
            <w:vAlign w:val="center"/>
            <w:hideMark/>
          </w:tcPr>
          <w:p w14:paraId="2A7E5E4C" w14:textId="77777777" w:rsidR="00B87C5B" w:rsidRPr="008D0B98" w:rsidRDefault="00B87C5B" w:rsidP="008D0B98">
            <w:pPr>
              <w:keepNext/>
              <w:spacing w:after="0" w:line="240" w:lineRule="auto"/>
              <w:jc w:val="center"/>
              <w:rPr>
                <w:rFonts w:eastAsia="Times New Roman" w:cs="Times New Roman"/>
                <w:b/>
                <w:bCs/>
                <w:color w:val="FF0000"/>
                <w:lang w:eastAsia="en-AU"/>
              </w:rPr>
            </w:pPr>
            <w:r w:rsidRPr="008D0B98">
              <w:rPr>
                <w:rFonts w:eastAsia="Times New Roman" w:cs="Times New Roman"/>
                <w:b/>
                <w:bCs/>
                <w:color w:val="FF0000"/>
                <w:lang w:eastAsia="en-AU"/>
              </w:rPr>
              <w:t>0.00</w:t>
            </w:r>
          </w:p>
        </w:tc>
      </w:tr>
      <w:tr w:rsidR="00B87C5B" w:rsidRPr="008D0B98" w14:paraId="293DBE4E" w14:textId="77777777" w:rsidTr="008D0B98">
        <w:trPr>
          <w:trHeight w:val="300"/>
        </w:trPr>
        <w:tc>
          <w:tcPr>
            <w:tcW w:w="6096" w:type="dxa"/>
            <w:tcBorders>
              <w:top w:val="nil"/>
              <w:left w:val="nil"/>
              <w:bottom w:val="nil"/>
              <w:right w:val="nil"/>
            </w:tcBorders>
            <w:shd w:val="clear" w:color="auto" w:fill="auto"/>
            <w:noWrap/>
            <w:vAlign w:val="bottom"/>
            <w:hideMark/>
          </w:tcPr>
          <w:p w14:paraId="5392C73D" w14:textId="4C6CCB27"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foreign ownership</w:t>
            </w:r>
          </w:p>
        </w:tc>
        <w:tc>
          <w:tcPr>
            <w:tcW w:w="2044" w:type="dxa"/>
            <w:tcBorders>
              <w:top w:val="nil"/>
              <w:left w:val="nil"/>
              <w:bottom w:val="nil"/>
              <w:right w:val="nil"/>
            </w:tcBorders>
            <w:shd w:val="clear" w:color="auto" w:fill="auto"/>
            <w:noWrap/>
            <w:vAlign w:val="center"/>
            <w:hideMark/>
          </w:tcPr>
          <w:p w14:paraId="40F24494" w14:textId="3A796BB3" w:rsidR="00B87C5B" w:rsidRPr="008D0B98" w:rsidRDefault="00F03697" w:rsidP="008D0B98">
            <w:pPr>
              <w:keepNext/>
              <w:spacing w:after="0" w:line="240" w:lineRule="auto"/>
              <w:jc w:val="center"/>
              <w:rPr>
                <w:rFonts w:eastAsia="Times New Roman" w:cs="Times New Roman"/>
                <w:b/>
                <w:bCs/>
                <w:color w:val="008000"/>
                <w:lang w:eastAsia="en-AU"/>
              </w:rPr>
            </w:pPr>
            <w:r>
              <w:rPr>
                <w:rFonts w:eastAsia="Times New Roman" w:cs="Times New Roman"/>
                <w:b/>
                <w:bCs/>
                <w:color w:val="008000"/>
                <w:lang w:eastAsia="en-AU"/>
              </w:rPr>
              <w:noBreakHyphen/>
            </w:r>
            <w:r w:rsidR="00B87C5B" w:rsidRPr="008D0B98">
              <w:rPr>
                <w:rFonts w:eastAsia="Times New Roman" w:cs="Times New Roman"/>
                <w:b/>
                <w:bCs/>
                <w:color w:val="008000"/>
                <w:lang w:eastAsia="en-AU"/>
              </w:rPr>
              <w:t>0.20</w:t>
            </w:r>
          </w:p>
        </w:tc>
      </w:tr>
      <w:tr w:rsidR="00B87C5B" w:rsidRPr="008D0B98" w14:paraId="3A6F44EE" w14:textId="77777777" w:rsidTr="008D0B98">
        <w:trPr>
          <w:trHeight w:val="300"/>
        </w:trPr>
        <w:tc>
          <w:tcPr>
            <w:tcW w:w="6096" w:type="dxa"/>
            <w:tcBorders>
              <w:top w:val="nil"/>
              <w:left w:val="nil"/>
              <w:bottom w:val="nil"/>
              <w:right w:val="nil"/>
            </w:tcBorders>
            <w:shd w:val="clear" w:color="auto" w:fill="auto"/>
            <w:noWrap/>
            <w:vAlign w:val="bottom"/>
            <w:hideMark/>
          </w:tcPr>
          <w:p w14:paraId="40BA7653" w14:textId="02544276" w:rsidR="00B87C5B" w:rsidRPr="008D0B98" w:rsidRDefault="00B87C5B"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Capital mobility</w:t>
            </w:r>
          </w:p>
        </w:tc>
        <w:tc>
          <w:tcPr>
            <w:tcW w:w="2044" w:type="dxa"/>
            <w:tcBorders>
              <w:top w:val="nil"/>
              <w:left w:val="nil"/>
              <w:bottom w:val="nil"/>
              <w:right w:val="nil"/>
            </w:tcBorders>
            <w:shd w:val="clear" w:color="auto" w:fill="auto"/>
            <w:noWrap/>
            <w:vAlign w:val="center"/>
            <w:hideMark/>
          </w:tcPr>
          <w:p w14:paraId="4C5A2CA3"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25BA4FF2" w14:textId="77777777" w:rsidTr="008D0B98">
        <w:trPr>
          <w:trHeight w:val="300"/>
        </w:trPr>
        <w:tc>
          <w:tcPr>
            <w:tcW w:w="6096" w:type="dxa"/>
            <w:tcBorders>
              <w:top w:val="nil"/>
              <w:left w:val="nil"/>
              <w:bottom w:val="nil"/>
              <w:right w:val="nil"/>
            </w:tcBorders>
            <w:shd w:val="clear" w:color="auto" w:fill="auto"/>
            <w:noWrap/>
            <w:vAlign w:val="bottom"/>
            <w:hideMark/>
          </w:tcPr>
          <w:p w14:paraId="59B41E86" w14:textId="3FD35F29"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Imperfect c</w:t>
            </w:r>
            <w:r w:rsidRPr="008D0B98">
              <w:rPr>
                <w:rFonts w:eastAsia="Times New Roman" w:cs="Times New Roman"/>
                <w:color w:val="000000"/>
                <w:lang w:eastAsia="en-AU"/>
              </w:rPr>
              <w:t>apital mobility</w:t>
            </w:r>
          </w:p>
        </w:tc>
        <w:tc>
          <w:tcPr>
            <w:tcW w:w="2044" w:type="dxa"/>
            <w:tcBorders>
              <w:top w:val="nil"/>
              <w:left w:val="nil"/>
              <w:bottom w:val="nil"/>
              <w:right w:val="nil"/>
            </w:tcBorders>
            <w:shd w:val="clear" w:color="auto" w:fill="auto"/>
            <w:noWrap/>
            <w:vAlign w:val="center"/>
            <w:hideMark/>
          </w:tcPr>
          <w:p w14:paraId="6E03E021" w14:textId="3B48F9CA"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0.12</w:t>
            </w:r>
          </w:p>
        </w:tc>
      </w:tr>
      <w:tr w:rsidR="00B87C5B" w:rsidRPr="008D0B98" w14:paraId="38BF225E" w14:textId="77777777" w:rsidTr="008D0B98">
        <w:trPr>
          <w:trHeight w:val="300"/>
        </w:trPr>
        <w:tc>
          <w:tcPr>
            <w:tcW w:w="6096" w:type="dxa"/>
            <w:tcBorders>
              <w:top w:val="nil"/>
              <w:left w:val="nil"/>
              <w:bottom w:val="nil"/>
              <w:right w:val="nil"/>
            </w:tcBorders>
            <w:shd w:val="clear" w:color="auto" w:fill="auto"/>
            <w:noWrap/>
            <w:vAlign w:val="bottom"/>
            <w:hideMark/>
          </w:tcPr>
          <w:p w14:paraId="7799B76D" w14:textId="706391C4"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Profi</w:t>
            </w:r>
            <w:r>
              <w:rPr>
                <w:rFonts w:eastAsia="Times New Roman" w:cs="Times New Roman"/>
                <w:color w:val="000000"/>
                <w:lang w:eastAsia="en-AU"/>
              </w:rPr>
              <w:t>t shifting</w:t>
            </w:r>
          </w:p>
        </w:tc>
        <w:tc>
          <w:tcPr>
            <w:tcW w:w="2044" w:type="dxa"/>
            <w:tcBorders>
              <w:top w:val="nil"/>
              <w:left w:val="nil"/>
              <w:bottom w:val="nil"/>
              <w:right w:val="nil"/>
            </w:tcBorders>
            <w:shd w:val="clear" w:color="auto" w:fill="auto"/>
            <w:noWrap/>
            <w:vAlign w:val="center"/>
            <w:hideMark/>
          </w:tcPr>
          <w:p w14:paraId="5F1EB97F"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59399D4D" w14:textId="77777777" w:rsidTr="008D0B98">
        <w:trPr>
          <w:trHeight w:val="300"/>
        </w:trPr>
        <w:tc>
          <w:tcPr>
            <w:tcW w:w="6096" w:type="dxa"/>
            <w:tcBorders>
              <w:top w:val="nil"/>
              <w:left w:val="nil"/>
              <w:bottom w:val="nil"/>
              <w:right w:val="nil"/>
            </w:tcBorders>
            <w:shd w:val="clear" w:color="auto" w:fill="auto"/>
            <w:noWrap/>
            <w:vAlign w:val="bottom"/>
            <w:hideMark/>
          </w:tcPr>
          <w:p w14:paraId="179632D6" w14:textId="31EBEE14"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profit shifting</w:t>
            </w:r>
          </w:p>
        </w:tc>
        <w:tc>
          <w:tcPr>
            <w:tcW w:w="2044" w:type="dxa"/>
            <w:tcBorders>
              <w:top w:val="nil"/>
              <w:left w:val="nil"/>
              <w:bottom w:val="nil"/>
              <w:right w:val="nil"/>
            </w:tcBorders>
            <w:shd w:val="clear" w:color="auto" w:fill="auto"/>
            <w:noWrap/>
            <w:vAlign w:val="center"/>
            <w:hideMark/>
          </w:tcPr>
          <w:p w14:paraId="7829088A" w14:textId="15180DC2"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355B7E23" w14:textId="77777777" w:rsidTr="008D0B98">
        <w:trPr>
          <w:trHeight w:val="300"/>
        </w:trPr>
        <w:tc>
          <w:tcPr>
            <w:tcW w:w="6096" w:type="dxa"/>
            <w:tcBorders>
              <w:top w:val="nil"/>
              <w:left w:val="nil"/>
              <w:bottom w:val="nil"/>
              <w:right w:val="nil"/>
            </w:tcBorders>
            <w:shd w:val="clear" w:color="auto" w:fill="auto"/>
            <w:noWrap/>
            <w:vAlign w:val="bottom"/>
            <w:hideMark/>
          </w:tcPr>
          <w:p w14:paraId="125486E4" w14:textId="2A590F33"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profit shifting</w:t>
            </w:r>
          </w:p>
        </w:tc>
        <w:tc>
          <w:tcPr>
            <w:tcW w:w="2044" w:type="dxa"/>
            <w:tcBorders>
              <w:top w:val="nil"/>
              <w:left w:val="nil"/>
              <w:bottom w:val="nil"/>
              <w:right w:val="nil"/>
            </w:tcBorders>
            <w:shd w:val="clear" w:color="auto" w:fill="auto"/>
            <w:noWrap/>
            <w:vAlign w:val="center"/>
            <w:hideMark/>
          </w:tcPr>
          <w:p w14:paraId="4FC78C3A" w14:textId="3413C5EA"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05D06503" w14:textId="77777777" w:rsidTr="008D0B98">
        <w:trPr>
          <w:trHeight w:val="300"/>
        </w:trPr>
        <w:tc>
          <w:tcPr>
            <w:tcW w:w="6096" w:type="dxa"/>
            <w:tcBorders>
              <w:top w:val="nil"/>
              <w:left w:val="nil"/>
              <w:bottom w:val="nil"/>
              <w:right w:val="nil"/>
            </w:tcBorders>
            <w:shd w:val="clear" w:color="auto" w:fill="auto"/>
            <w:noWrap/>
            <w:vAlign w:val="bottom"/>
            <w:hideMark/>
          </w:tcPr>
          <w:p w14:paraId="1202E23A" w14:textId="0BE9AC4E"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Structur</w:t>
            </w:r>
            <w:r>
              <w:rPr>
                <w:rFonts w:eastAsia="Times New Roman" w:cs="Times New Roman"/>
                <w:color w:val="000000"/>
                <w:lang w:eastAsia="en-AU"/>
              </w:rPr>
              <w:t>es</w:t>
            </w:r>
            <w:r w:rsidR="00F03697">
              <w:rPr>
                <w:rFonts w:eastAsia="Times New Roman" w:cs="Times New Roman"/>
                <w:color w:val="000000"/>
                <w:lang w:eastAsia="en-AU"/>
              </w:rPr>
              <w:noBreakHyphen/>
            </w:r>
            <w:r>
              <w:rPr>
                <w:rFonts w:eastAsia="Times New Roman" w:cs="Times New Roman"/>
                <w:color w:val="000000"/>
                <w:lang w:eastAsia="en-AU"/>
              </w:rPr>
              <w:t>land substitution elasticity</w:t>
            </w:r>
          </w:p>
        </w:tc>
        <w:tc>
          <w:tcPr>
            <w:tcW w:w="2044" w:type="dxa"/>
            <w:tcBorders>
              <w:top w:val="nil"/>
              <w:left w:val="nil"/>
              <w:bottom w:val="nil"/>
              <w:right w:val="nil"/>
            </w:tcBorders>
            <w:shd w:val="clear" w:color="auto" w:fill="auto"/>
            <w:noWrap/>
            <w:vAlign w:val="center"/>
            <w:hideMark/>
          </w:tcPr>
          <w:p w14:paraId="13AD98ED"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538B14E1" w14:textId="77777777" w:rsidTr="008D0B98">
        <w:trPr>
          <w:trHeight w:val="300"/>
        </w:trPr>
        <w:tc>
          <w:tcPr>
            <w:tcW w:w="6096" w:type="dxa"/>
            <w:tcBorders>
              <w:top w:val="nil"/>
              <w:left w:val="nil"/>
              <w:bottom w:val="nil"/>
              <w:right w:val="nil"/>
            </w:tcBorders>
            <w:shd w:val="clear" w:color="auto" w:fill="auto"/>
            <w:noWrap/>
            <w:vAlign w:val="bottom"/>
            <w:hideMark/>
          </w:tcPr>
          <w:p w14:paraId="26BFDE50" w14:textId="198CCA08"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044" w:type="dxa"/>
            <w:tcBorders>
              <w:top w:val="nil"/>
              <w:left w:val="nil"/>
              <w:bottom w:val="nil"/>
              <w:right w:val="nil"/>
            </w:tcBorders>
            <w:shd w:val="clear" w:color="auto" w:fill="auto"/>
            <w:noWrap/>
            <w:vAlign w:val="center"/>
            <w:hideMark/>
          </w:tcPr>
          <w:p w14:paraId="29C05BB6" w14:textId="456A3202"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68C687D2" w14:textId="77777777" w:rsidTr="008D0B98">
        <w:trPr>
          <w:trHeight w:val="300"/>
        </w:trPr>
        <w:tc>
          <w:tcPr>
            <w:tcW w:w="6096" w:type="dxa"/>
            <w:tcBorders>
              <w:top w:val="nil"/>
              <w:left w:val="nil"/>
              <w:bottom w:val="nil"/>
              <w:right w:val="nil"/>
            </w:tcBorders>
            <w:shd w:val="clear" w:color="auto" w:fill="auto"/>
            <w:noWrap/>
            <w:vAlign w:val="bottom"/>
            <w:hideMark/>
          </w:tcPr>
          <w:p w14:paraId="19ACEBAF" w14:textId="39BE7DD2"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044" w:type="dxa"/>
            <w:tcBorders>
              <w:top w:val="nil"/>
              <w:left w:val="nil"/>
              <w:bottom w:val="nil"/>
              <w:right w:val="nil"/>
            </w:tcBorders>
            <w:shd w:val="clear" w:color="auto" w:fill="auto"/>
            <w:noWrap/>
            <w:vAlign w:val="center"/>
            <w:hideMark/>
          </w:tcPr>
          <w:p w14:paraId="19DA5A4A" w14:textId="18D590F8"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3BA5786C" w14:textId="77777777" w:rsidTr="008D0B98">
        <w:trPr>
          <w:trHeight w:val="300"/>
        </w:trPr>
        <w:tc>
          <w:tcPr>
            <w:tcW w:w="6096" w:type="dxa"/>
            <w:tcBorders>
              <w:top w:val="nil"/>
              <w:left w:val="nil"/>
              <w:bottom w:val="nil"/>
              <w:right w:val="nil"/>
            </w:tcBorders>
            <w:shd w:val="clear" w:color="auto" w:fill="auto"/>
            <w:noWrap/>
            <w:vAlign w:val="bottom"/>
            <w:hideMark/>
          </w:tcPr>
          <w:p w14:paraId="2355734F" w14:textId="011FA848"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Capital</w:t>
            </w:r>
            <w:r w:rsidR="00F03697">
              <w:rPr>
                <w:rFonts w:eastAsia="Times New Roman" w:cs="Times New Roman"/>
                <w:color w:val="000000"/>
                <w:lang w:eastAsia="en-AU"/>
              </w:rPr>
              <w:noBreakHyphen/>
            </w:r>
            <w:r w:rsidRPr="008D0B98">
              <w:rPr>
                <w:rFonts w:eastAsia="Times New Roman" w:cs="Times New Roman"/>
                <w:color w:val="000000"/>
                <w:lang w:eastAsia="en-AU"/>
              </w:rPr>
              <w:t>labour</w:t>
            </w:r>
            <w:r>
              <w:rPr>
                <w:rFonts w:eastAsia="Times New Roman" w:cs="Times New Roman"/>
                <w:color w:val="000000"/>
                <w:lang w:eastAsia="en-AU"/>
              </w:rPr>
              <w:t xml:space="preserve"> substitution elasticity</w:t>
            </w:r>
          </w:p>
        </w:tc>
        <w:tc>
          <w:tcPr>
            <w:tcW w:w="2044" w:type="dxa"/>
            <w:tcBorders>
              <w:top w:val="nil"/>
              <w:left w:val="nil"/>
              <w:bottom w:val="nil"/>
              <w:right w:val="nil"/>
            </w:tcBorders>
            <w:shd w:val="clear" w:color="auto" w:fill="auto"/>
            <w:noWrap/>
            <w:vAlign w:val="center"/>
            <w:hideMark/>
          </w:tcPr>
          <w:p w14:paraId="20356662"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2772C4DD" w14:textId="77777777" w:rsidTr="008D0B98">
        <w:trPr>
          <w:trHeight w:val="300"/>
        </w:trPr>
        <w:tc>
          <w:tcPr>
            <w:tcW w:w="6096" w:type="dxa"/>
            <w:tcBorders>
              <w:top w:val="nil"/>
              <w:left w:val="nil"/>
              <w:bottom w:val="nil"/>
              <w:right w:val="nil"/>
            </w:tcBorders>
            <w:shd w:val="clear" w:color="auto" w:fill="auto"/>
            <w:noWrap/>
            <w:vAlign w:val="bottom"/>
            <w:hideMark/>
          </w:tcPr>
          <w:p w14:paraId="56099143" w14:textId="721DC04B"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044" w:type="dxa"/>
            <w:tcBorders>
              <w:top w:val="nil"/>
              <w:left w:val="nil"/>
              <w:bottom w:val="nil"/>
              <w:right w:val="nil"/>
            </w:tcBorders>
            <w:shd w:val="clear" w:color="auto" w:fill="auto"/>
            <w:noWrap/>
            <w:vAlign w:val="center"/>
            <w:hideMark/>
          </w:tcPr>
          <w:p w14:paraId="4816A2DD" w14:textId="058F0704"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3830E256"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78F71E2F" w14:textId="59BA51AE"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044" w:type="dxa"/>
            <w:tcBorders>
              <w:top w:val="nil"/>
              <w:left w:val="nil"/>
              <w:bottom w:val="single" w:sz="4" w:space="0" w:color="auto"/>
              <w:right w:val="nil"/>
            </w:tcBorders>
            <w:shd w:val="clear" w:color="auto" w:fill="auto"/>
            <w:noWrap/>
            <w:vAlign w:val="center"/>
            <w:hideMark/>
          </w:tcPr>
          <w:p w14:paraId="3B4DF15A" w14:textId="157FC5C0"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620AB208" w14:textId="77777777" w:rsidTr="008D0B98">
        <w:trPr>
          <w:trHeight w:val="300"/>
        </w:trPr>
        <w:tc>
          <w:tcPr>
            <w:tcW w:w="6096" w:type="dxa"/>
            <w:tcBorders>
              <w:top w:val="nil"/>
              <w:left w:val="nil"/>
              <w:bottom w:val="nil"/>
              <w:right w:val="nil"/>
            </w:tcBorders>
            <w:shd w:val="clear" w:color="auto" w:fill="auto"/>
            <w:noWrap/>
            <w:vAlign w:val="bottom"/>
            <w:hideMark/>
          </w:tcPr>
          <w:p w14:paraId="4667D283" w14:textId="33AA8607"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household behaviour</w:t>
            </w:r>
          </w:p>
        </w:tc>
        <w:tc>
          <w:tcPr>
            <w:tcW w:w="2044" w:type="dxa"/>
            <w:tcBorders>
              <w:top w:val="nil"/>
              <w:left w:val="nil"/>
              <w:bottom w:val="nil"/>
              <w:right w:val="nil"/>
            </w:tcBorders>
            <w:shd w:val="clear" w:color="auto" w:fill="auto"/>
            <w:noWrap/>
            <w:vAlign w:val="center"/>
            <w:hideMark/>
          </w:tcPr>
          <w:p w14:paraId="1803BA31"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12598E28" w14:textId="77777777" w:rsidTr="008D0B98">
        <w:trPr>
          <w:trHeight w:val="300"/>
        </w:trPr>
        <w:tc>
          <w:tcPr>
            <w:tcW w:w="6096" w:type="dxa"/>
            <w:tcBorders>
              <w:top w:val="nil"/>
              <w:left w:val="nil"/>
              <w:bottom w:val="nil"/>
              <w:right w:val="nil"/>
            </w:tcBorders>
            <w:shd w:val="clear" w:color="auto" w:fill="auto"/>
            <w:noWrap/>
            <w:vAlign w:val="bottom"/>
            <w:hideMark/>
          </w:tcPr>
          <w:p w14:paraId="4F5CBAA4" w14:textId="5299FC56"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Labour</w:t>
            </w:r>
            <w:r w:rsidR="00F03697">
              <w:rPr>
                <w:rFonts w:eastAsia="Times New Roman" w:cs="Times New Roman"/>
                <w:color w:val="000000"/>
                <w:lang w:eastAsia="en-AU"/>
              </w:rPr>
              <w:noBreakHyphen/>
            </w:r>
            <w:r>
              <w:rPr>
                <w:rFonts w:eastAsia="Times New Roman" w:cs="Times New Roman"/>
                <w:color w:val="000000"/>
                <w:lang w:eastAsia="en-AU"/>
              </w:rPr>
              <w:t>leisure ratio (N:L = 2:1)</w:t>
            </w:r>
          </w:p>
        </w:tc>
        <w:tc>
          <w:tcPr>
            <w:tcW w:w="2044" w:type="dxa"/>
            <w:tcBorders>
              <w:top w:val="nil"/>
              <w:left w:val="nil"/>
              <w:bottom w:val="nil"/>
              <w:right w:val="nil"/>
            </w:tcBorders>
            <w:shd w:val="clear" w:color="auto" w:fill="auto"/>
            <w:noWrap/>
            <w:vAlign w:val="center"/>
            <w:hideMark/>
          </w:tcPr>
          <w:p w14:paraId="33710856"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55FCFEF6" w14:textId="77777777" w:rsidTr="008D0B98">
        <w:trPr>
          <w:trHeight w:val="300"/>
        </w:trPr>
        <w:tc>
          <w:tcPr>
            <w:tcW w:w="6096" w:type="dxa"/>
            <w:tcBorders>
              <w:top w:val="nil"/>
              <w:left w:val="nil"/>
              <w:bottom w:val="nil"/>
              <w:right w:val="nil"/>
            </w:tcBorders>
            <w:shd w:val="clear" w:color="auto" w:fill="auto"/>
            <w:noWrap/>
            <w:vAlign w:val="bottom"/>
            <w:hideMark/>
          </w:tcPr>
          <w:p w14:paraId="10AF4FE1" w14:textId="01B89E21"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Medium (N:L = 1:1)</w:t>
            </w:r>
          </w:p>
        </w:tc>
        <w:tc>
          <w:tcPr>
            <w:tcW w:w="2044" w:type="dxa"/>
            <w:tcBorders>
              <w:top w:val="nil"/>
              <w:left w:val="nil"/>
              <w:bottom w:val="nil"/>
              <w:right w:val="nil"/>
            </w:tcBorders>
            <w:shd w:val="clear" w:color="auto" w:fill="auto"/>
            <w:noWrap/>
            <w:vAlign w:val="center"/>
            <w:hideMark/>
          </w:tcPr>
          <w:p w14:paraId="309818D2" w14:textId="53731BE9"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2DD08809" w14:textId="77777777" w:rsidTr="008D0B98">
        <w:trPr>
          <w:trHeight w:val="300"/>
        </w:trPr>
        <w:tc>
          <w:tcPr>
            <w:tcW w:w="6096" w:type="dxa"/>
            <w:tcBorders>
              <w:top w:val="nil"/>
              <w:left w:val="nil"/>
              <w:bottom w:val="nil"/>
              <w:right w:val="nil"/>
            </w:tcBorders>
            <w:shd w:val="clear" w:color="auto" w:fill="auto"/>
            <w:noWrap/>
            <w:vAlign w:val="bottom"/>
            <w:hideMark/>
          </w:tcPr>
          <w:p w14:paraId="65CE18ED" w14:textId="157D7E7B"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Low (</w:t>
            </w:r>
            <w:r w:rsidRPr="008D0B98">
              <w:rPr>
                <w:rFonts w:eastAsia="Times New Roman" w:cs="Times New Roman"/>
                <w:color w:val="000000"/>
                <w:lang w:eastAsia="en-AU"/>
              </w:rPr>
              <w:t>N:L</w:t>
            </w:r>
            <w:r>
              <w:rPr>
                <w:rFonts w:eastAsia="Times New Roman" w:cs="Times New Roman"/>
                <w:color w:val="000000"/>
                <w:lang w:eastAsia="en-AU"/>
              </w:rPr>
              <w:t xml:space="preserve"> </w:t>
            </w:r>
            <w:r w:rsidRPr="008D0B98">
              <w:rPr>
                <w:rFonts w:eastAsia="Times New Roman" w:cs="Times New Roman"/>
                <w:color w:val="000000"/>
                <w:lang w:eastAsia="en-AU"/>
              </w:rPr>
              <w:t>=</w:t>
            </w:r>
            <w:r>
              <w:rPr>
                <w:rFonts w:eastAsia="Times New Roman" w:cs="Times New Roman"/>
                <w:color w:val="000000"/>
                <w:lang w:eastAsia="en-AU"/>
              </w:rPr>
              <w:t xml:space="preserve"> </w:t>
            </w:r>
            <w:r w:rsidRPr="008D0B98">
              <w:rPr>
                <w:rFonts w:eastAsia="Times New Roman" w:cs="Times New Roman"/>
                <w:color w:val="000000"/>
                <w:lang w:eastAsia="en-AU"/>
              </w:rPr>
              <w:t>1:2</w:t>
            </w:r>
            <w:r>
              <w:rPr>
                <w:rFonts w:eastAsia="Times New Roman" w:cs="Times New Roman"/>
                <w:color w:val="000000"/>
                <w:lang w:eastAsia="en-AU"/>
              </w:rPr>
              <w:t>)</w:t>
            </w:r>
          </w:p>
        </w:tc>
        <w:tc>
          <w:tcPr>
            <w:tcW w:w="2044" w:type="dxa"/>
            <w:tcBorders>
              <w:top w:val="nil"/>
              <w:left w:val="nil"/>
              <w:bottom w:val="nil"/>
              <w:right w:val="nil"/>
            </w:tcBorders>
            <w:shd w:val="clear" w:color="auto" w:fill="auto"/>
            <w:noWrap/>
            <w:vAlign w:val="center"/>
            <w:hideMark/>
          </w:tcPr>
          <w:p w14:paraId="2E9F3C14" w14:textId="3BB7E17D"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15D4FE75" w14:textId="77777777" w:rsidTr="008D0B98">
        <w:trPr>
          <w:trHeight w:val="300"/>
        </w:trPr>
        <w:tc>
          <w:tcPr>
            <w:tcW w:w="6096" w:type="dxa"/>
            <w:tcBorders>
              <w:top w:val="nil"/>
              <w:left w:val="nil"/>
              <w:bottom w:val="nil"/>
              <w:right w:val="nil"/>
            </w:tcBorders>
            <w:shd w:val="clear" w:color="auto" w:fill="auto"/>
            <w:noWrap/>
            <w:vAlign w:val="bottom"/>
            <w:hideMark/>
          </w:tcPr>
          <w:p w14:paraId="33FF80A9" w14:textId="2A9A395F"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Consumption</w:t>
            </w:r>
            <w:r w:rsidR="00F03697">
              <w:rPr>
                <w:rFonts w:eastAsia="Times New Roman" w:cs="Times New Roman"/>
                <w:color w:val="000000"/>
                <w:lang w:eastAsia="en-AU"/>
              </w:rPr>
              <w:noBreakHyphen/>
            </w:r>
            <w:r w:rsidRPr="008D0B98">
              <w:rPr>
                <w:rFonts w:eastAsia="Times New Roman" w:cs="Times New Roman"/>
                <w:color w:val="000000"/>
                <w:lang w:eastAsia="en-AU"/>
              </w:rPr>
              <w:t xml:space="preserve">leisure substitution </w:t>
            </w:r>
            <w:r>
              <w:rPr>
                <w:rFonts w:eastAsia="Times New Roman" w:cs="Times New Roman"/>
                <w:color w:val="000000"/>
                <w:lang w:eastAsia="en-AU"/>
              </w:rPr>
              <w:t>elasticity</w:t>
            </w:r>
          </w:p>
        </w:tc>
        <w:tc>
          <w:tcPr>
            <w:tcW w:w="2044" w:type="dxa"/>
            <w:tcBorders>
              <w:top w:val="nil"/>
              <w:left w:val="nil"/>
              <w:bottom w:val="nil"/>
              <w:right w:val="nil"/>
            </w:tcBorders>
            <w:shd w:val="clear" w:color="auto" w:fill="auto"/>
            <w:noWrap/>
            <w:vAlign w:val="center"/>
            <w:hideMark/>
          </w:tcPr>
          <w:p w14:paraId="6BF7A07E"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6AECDBF3" w14:textId="77777777" w:rsidTr="008D0B98">
        <w:trPr>
          <w:trHeight w:val="300"/>
        </w:trPr>
        <w:tc>
          <w:tcPr>
            <w:tcW w:w="6096" w:type="dxa"/>
            <w:tcBorders>
              <w:top w:val="nil"/>
              <w:left w:val="nil"/>
              <w:bottom w:val="nil"/>
              <w:right w:val="nil"/>
            </w:tcBorders>
            <w:shd w:val="clear" w:color="auto" w:fill="auto"/>
            <w:noWrap/>
            <w:vAlign w:val="bottom"/>
            <w:hideMark/>
          </w:tcPr>
          <w:p w14:paraId="27328B93" w14:textId="0A1D7C34"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044" w:type="dxa"/>
            <w:tcBorders>
              <w:top w:val="nil"/>
              <w:left w:val="nil"/>
              <w:bottom w:val="nil"/>
              <w:right w:val="nil"/>
            </w:tcBorders>
            <w:shd w:val="clear" w:color="auto" w:fill="auto"/>
            <w:noWrap/>
            <w:vAlign w:val="center"/>
            <w:hideMark/>
          </w:tcPr>
          <w:p w14:paraId="59213B4D" w14:textId="4F63ED3D"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0.09</w:t>
            </w:r>
          </w:p>
        </w:tc>
      </w:tr>
      <w:tr w:rsidR="00B87C5B" w:rsidRPr="008D0B98" w14:paraId="054E1267" w14:textId="77777777" w:rsidTr="008D0B98">
        <w:trPr>
          <w:trHeight w:val="300"/>
        </w:trPr>
        <w:tc>
          <w:tcPr>
            <w:tcW w:w="6096" w:type="dxa"/>
            <w:tcBorders>
              <w:top w:val="nil"/>
              <w:left w:val="nil"/>
              <w:bottom w:val="nil"/>
              <w:right w:val="nil"/>
            </w:tcBorders>
            <w:shd w:val="clear" w:color="auto" w:fill="auto"/>
            <w:noWrap/>
            <w:vAlign w:val="bottom"/>
            <w:hideMark/>
          </w:tcPr>
          <w:p w14:paraId="1BBEF776" w14:textId="345DBC0E"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044" w:type="dxa"/>
            <w:tcBorders>
              <w:top w:val="nil"/>
              <w:left w:val="nil"/>
              <w:bottom w:val="nil"/>
              <w:right w:val="nil"/>
            </w:tcBorders>
            <w:shd w:val="clear" w:color="auto" w:fill="auto"/>
            <w:noWrap/>
            <w:vAlign w:val="center"/>
            <w:hideMark/>
          </w:tcPr>
          <w:p w14:paraId="082818DA" w14:textId="237FB46F"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76303166" w14:textId="77777777" w:rsidTr="008D0B98">
        <w:trPr>
          <w:trHeight w:val="300"/>
        </w:trPr>
        <w:tc>
          <w:tcPr>
            <w:tcW w:w="6096" w:type="dxa"/>
            <w:tcBorders>
              <w:top w:val="nil"/>
              <w:left w:val="nil"/>
              <w:bottom w:val="nil"/>
              <w:right w:val="nil"/>
            </w:tcBorders>
            <w:shd w:val="clear" w:color="auto" w:fill="auto"/>
            <w:noWrap/>
            <w:vAlign w:val="bottom"/>
            <w:hideMark/>
          </w:tcPr>
          <w:p w14:paraId="1F24BD88" w14:textId="3DB532D9"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w:t>
            </w:r>
            <w:r>
              <w:rPr>
                <w:rFonts w:eastAsia="Times New Roman" w:cs="Times New Roman"/>
                <w:color w:val="000000"/>
                <w:lang w:eastAsia="en-AU"/>
              </w:rPr>
              <w:t>on good substitution elasticity</w:t>
            </w:r>
          </w:p>
        </w:tc>
        <w:tc>
          <w:tcPr>
            <w:tcW w:w="2044" w:type="dxa"/>
            <w:tcBorders>
              <w:top w:val="nil"/>
              <w:left w:val="nil"/>
              <w:bottom w:val="nil"/>
              <w:right w:val="nil"/>
            </w:tcBorders>
            <w:shd w:val="clear" w:color="auto" w:fill="auto"/>
            <w:noWrap/>
            <w:vAlign w:val="center"/>
            <w:hideMark/>
          </w:tcPr>
          <w:p w14:paraId="5F87C227"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129C363E" w14:textId="77777777" w:rsidTr="008D0B98">
        <w:trPr>
          <w:trHeight w:val="300"/>
        </w:trPr>
        <w:tc>
          <w:tcPr>
            <w:tcW w:w="6096" w:type="dxa"/>
            <w:tcBorders>
              <w:top w:val="nil"/>
              <w:left w:val="nil"/>
              <w:bottom w:val="nil"/>
              <w:right w:val="nil"/>
            </w:tcBorders>
            <w:shd w:val="clear" w:color="auto" w:fill="auto"/>
            <w:noWrap/>
            <w:vAlign w:val="bottom"/>
            <w:hideMark/>
          </w:tcPr>
          <w:p w14:paraId="31E41117" w14:textId="3B543C38"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044" w:type="dxa"/>
            <w:tcBorders>
              <w:top w:val="nil"/>
              <w:left w:val="nil"/>
              <w:bottom w:val="nil"/>
              <w:right w:val="nil"/>
            </w:tcBorders>
            <w:shd w:val="clear" w:color="auto" w:fill="auto"/>
            <w:noWrap/>
            <w:vAlign w:val="center"/>
            <w:hideMark/>
          </w:tcPr>
          <w:p w14:paraId="15705C93" w14:textId="4517E26F"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6D28FF8F" w14:textId="77777777" w:rsidTr="008D0B98">
        <w:trPr>
          <w:trHeight w:val="300"/>
        </w:trPr>
        <w:tc>
          <w:tcPr>
            <w:tcW w:w="6096" w:type="dxa"/>
            <w:tcBorders>
              <w:top w:val="nil"/>
              <w:left w:val="nil"/>
              <w:bottom w:val="nil"/>
              <w:right w:val="nil"/>
            </w:tcBorders>
            <w:shd w:val="clear" w:color="auto" w:fill="auto"/>
            <w:noWrap/>
            <w:vAlign w:val="bottom"/>
            <w:hideMark/>
          </w:tcPr>
          <w:p w14:paraId="0DD99CE7" w14:textId="24292AD5"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044" w:type="dxa"/>
            <w:tcBorders>
              <w:top w:val="nil"/>
              <w:left w:val="nil"/>
              <w:bottom w:val="nil"/>
              <w:right w:val="nil"/>
            </w:tcBorders>
            <w:shd w:val="clear" w:color="auto" w:fill="auto"/>
            <w:noWrap/>
            <w:vAlign w:val="center"/>
            <w:hideMark/>
          </w:tcPr>
          <w:p w14:paraId="7064FC1E" w14:textId="559A919E"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5975CDA4" w14:textId="77777777" w:rsidTr="008D0B98">
        <w:trPr>
          <w:trHeight w:val="300"/>
        </w:trPr>
        <w:tc>
          <w:tcPr>
            <w:tcW w:w="6096" w:type="dxa"/>
            <w:tcBorders>
              <w:top w:val="nil"/>
              <w:left w:val="nil"/>
              <w:bottom w:val="nil"/>
              <w:right w:val="nil"/>
            </w:tcBorders>
            <w:shd w:val="clear" w:color="auto" w:fill="auto"/>
            <w:noWrap/>
            <w:vAlign w:val="bottom"/>
            <w:hideMark/>
          </w:tcPr>
          <w:p w14:paraId="58E10A1B" w14:textId="3ABA65BF"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Savings decision (fixed domestically owned capital stock)</w:t>
            </w:r>
          </w:p>
        </w:tc>
        <w:tc>
          <w:tcPr>
            <w:tcW w:w="2044" w:type="dxa"/>
            <w:tcBorders>
              <w:top w:val="nil"/>
              <w:left w:val="nil"/>
              <w:bottom w:val="nil"/>
              <w:right w:val="nil"/>
            </w:tcBorders>
            <w:shd w:val="clear" w:color="auto" w:fill="auto"/>
            <w:noWrap/>
            <w:vAlign w:val="center"/>
            <w:hideMark/>
          </w:tcPr>
          <w:p w14:paraId="4C4DA312"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6EE7C045"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175F0032" w14:textId="3221261C" w:rsidR="00B87C5B" w:rsidRPr="008D0B98" w:rsidRDefault="00B87C5B" w:rsidP="00B87C5B">
            <w:pPr>
              <w:keepNext/>
              <w:spacing w:after="0" w:line="240" w:lineRule="auto"/>
              <w:ind w:firstLine="459"/>
              <w:rPr>
                <w:rFonts w:eastAsia="Times New Roman" w:cs="Times New Roman"/>
                <w:color w:val="000000"/>
                <w:lang w:eastAsia="en-AU"/>
              </w:rPr>
            </w:pPr>
            <w:r w:rsidRPr="008D0B98">
              <w:rPr>
                <w:rFonts w:eastAsia="Times New Roman" w:cs="Times New Roman"/>
                <w:color w:val="000000"/>
                <w:lang w:eastAsia="en-AU"/>
              </w:rPr>
              <w:t>Fixed saving rate</w:t>
            </w:r>
          </w:p>
        </w:tc>
        <w:tc>
          <w:tcPr>
            <w:tcW w:w="2044" w:type="dxa"/>
            <w:tcBorders>
              <w:top w:val="nil"/>
              <w:left w:val="nil"/>
              <w:bottom w:val="nil"/>
              <w:right w:val="nil"/>
            </w:tcBorders>
            <w:shd w:val="clear" w:color="auto" w:fill="auto"/>
            <w:noWrap/>
            <w:vAlign w:val="center"/>
            <w:hideMark/>
          </w:tcPr>
          <w:p w14:paraId="32973C0E" w14:textId="67438904"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0.10</w:t>
            </w:r>
          </w:p>
        </w:tc>
      </w:tr>
      <w:tr w:rsidR="00B87C5B" w:rsidRPr="008D0B98" w14:paraId="4291C1E1" w14:textId="77777777" w:rsidTr="008D0B98">
        <w:trPr>
          <w:trHeight w:val="300"/>
        </w:trPr>
        <w:tc>
          <w:tcPr>
            <w:tcW w:w="6096" w:type="dxa"/>
            <w:tcBorders>
              <w:top w:val="nil"/>
              <w:left w:val="nil"/>
              <w:bottom w:val="nil"/>
              <w:right w:val="nil"/>
            </w:tcBorders>
            <w:shd w:val="clear" w:color="auto" w:fill="auto"/>
            <w:noWrap/>
            <w:vAlign w:val="bottom"/>
            <w:hideMark/>
          </w:tcPr>
          <w:p w14:paraId="4BC81971" w14:textId="25668A6C"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Literature estimates</w:t>
            </w:r>
          </w:p>
        </w:tc>
        <w:tc>
          <w:tcPr>
            <w:tcW w:w="2044" w:type="dxa"/>
            <w:tcBorders>
              <w:top w:val="single" w:sz="4" w:space="0" w:color="auto"/>
              <w:left w:val="nil"/>
              <w:bottom w:val="nil"/>
              <w:right w:val="nil"/>
            </w:tcBorders>
            <w:shd w:val="clear" w:color="auto" w:fill="auto"/>
            <w:noWrap/>
            <w:vAlign w:val="center"/>
            <w:hideMark/>
          </w:tcPr>
          <w:p w14:paraId="5684DFFD"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B87C5B" w:rsidRPr="008D0B98" w14:paraId="002BC02D" w14:textId="77777777" w:rsidTr="008D0B98">
        <w:trPr>
          <w:trHeight w:val="300"/>
        </w:trPr>
        <w:tc>
          <w:tcPr>
            <w:tcW w:w="6096" w:type="dxa"/>
            <w:tcBorders>
              <w:top w:val="nil"/>
              <w:left w:val="nil"/>
              <w:bottom w:val="nil"/>
              <w:right w:val="nil"/>
            </w:tcBorders>
            <w:shd w:val="clear" w:color="auto" w:fill="auto"/>
            <w:noWrap/>
            <w:vAlign w:val="bottom"/>
            <w:hideMark/>
          </w:tcPr>
          <w:p w14:paraId="6CC7ADD3" w14:textId="476836D7" w:rsidR="00B87C5B" w:rsidRPr="008D0B98" w:rsidRDefault="00B87C5B"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(2010)</w:t>
            </w:r>
          </w:p>
        </w:tc>
        <w:tc>
          <w:tcPr>
            <w:tcW w:w="2044" w:type="dxa"/>
            <w:tcBorders>
              <w:top w:val="nil"/>
              <w:left w:val="nil"/>
              <w:bottom w:val="nil"/>
              <w:right w:val="nil"/>
            </w:tcBorders>
            <w:shd w:val="clear" w:color="auto" w:fill="auto"/>
            <w:noWrap/>
            <w:vAlign w:val="center"/>
            <w:hideMark/>
          </w:tcPr>
          <w:p w14:paraId="436476BB"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0.08</w:t>
            </w:r>
          </w:p>
        </w:tc>
      </w:tr>
      <w:tr w:rsidR="00B87C5B" w:rsidRPr="008D0B98" w14:paraId="1F06B558" w14:textId="77777777" w:rsidTr="008D0B98">
        <w:trPr>
          <w:trHeight w:val="300"/>
        </w:trPr>
        <w:tc>
          <w:tcPr>
            <w:tcW w:w="6096" w:type="dxa"/>
            <w:tcBorders>
              <w:top w:val="nil"/>
              <w:left w:val="nil"/>
              <w:bottom w:val="nil"/>
              <w:right w:val="nil"/>
            </w:tcBorders>
            <w:shd w:val="clear" w:color="auto" w:fill="auto"/>
            <w:noWrap/>
            <w:vAlign w:val="bottom"/>
            <w:hideMark/>
          </w:tcPr>
          <w:p w14:paraId="29782277" w14:textId="73654400" w:rsidR="00B87C5B" w:rsidRPr="008D0B98" w:rsidRDefault="00B87C5B"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(2011)</w:t>
            </w:r>
          </w:p>
        </w:tc>
        <w:tc>
          <w:tcPr>
            <w:tcW w:w="2044" w:type="dxa"/>
            <w:tcBorders>
              <w:top w:val="nil"/>
              <w:left w:val="nil"/>
              <w:bottom w:val="nil"/>
              <w:right w:val="nil"/>
            </w:tcBorders>
            <w:shd w:val="clear" w:color="auto" w:fill="auto"/>
            <w:noWrap/>
            <w:vAlign w:val="center"/>
            <w:hideMark/>
          </w:tcPr>
          <w:p w14:paraId="00CEF7D7"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0.09</w:t>
            </w:r>
          </w:p>
        </w:tc>
      </w:tr>
      <w:tr w:rsidR="00B87C5B" w:rsidRPr="008D0B98" w14:paraId="77B4D8A3" w14:textId="77777777" w:rsidTr="008D0B98">
        <w:trPr>
          <w:trHeight w:val="315"/>
        </w:trPr>
        <w:tc>
          <w:tcPr>
            <w:tcW w:w="6096" w:type="dxa"/>
            <w:tcBorders>
              <w:top w:val="nil"/>
              <w:left w:val="nil"/>
              <w:bottom w:val="single" w:sz="8" w:space="0" w:color="auto"/>
              <w:right w:val="nil"/>
            </w:tcBorders>
            <w:shd w:val="clear" w:color="auto" w:fill="auto"/>
            <w:noWrap/>
            <w:vAlign w:val="bottom"/>
            <w:hideMark/>
          </w:tcPr>
          <w:p w14:paraId="5F67BA53" w14:textId="7525506A"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Independent Economics</w:t>
            </w:r>
            <w:r w:rsidRPr="008D0B98">
              <w:rPr>
                <w:rFonts w:eastAsia="Times New Roman" w:cs="Times New Roman"/>
                <w:color w:val="000000"/>
                <w:lang w:eastAsia="en-AU"/>
              </w:rPr>
              <w:t xml:space="preserve"> (2014)</w:t>
            </w:r>
          </w:p>
        </w:tc>
        <w:tc>
          <w:tcPr>
            <w:tcW w:w="2044" w:type="dxa"/>
            <w:tcBorders>
              <w:top w:val="nil"/>
              <w:left w:val="nil"/>
              <w:bottom w:val="single" w:sz="8" w:space="0" w:color="auto"/>
              <w:right w:val="nil"/>
            </w:tcBorders>
            <w:shd w:val="clear" w:color="auto" w:fill="auto"/>
            <w:noWrap/>
            <w:vAlign w:val="center"/>
            <w:hideMark/>
          </w:tcPr>
          <w:p w14:paraId="2963E0D3" w14:textId="1B1AA327" w:rsidR="00B87C5B" w:rsidRPr="008D0B98" w:rsidRDefault="00F03697" w:rsidP="008D0B98">
            <w:pPr>
              <w:keepNext/>
              <w:spacing w:after="0" w:line="240" w:lineRule="auto"/>
              <w:jc w:val="center"/>
              <w:rPr>
                <w:rFonts w:eastAsia="Times New Roman" w:cs="Times New Roman"/>
                <w:color w:val="000000"/>
                <w:lang w:eastAsia="en-AU"/>
              </w:rPr>
            </w:pPr>
            <w:r>
              <w:rPr>
                <w:rFonts w:eastAsia="Times New Roman" w:cs="Times New Roman"/>
                <w:color w:val="000000"/>
                <w:lang w:eastAsia="en-AU"/>
              </w:rPr>
              <w:noBreakHyphen/>
            </w:r>
            <w:r w:rsidR="00B87C5B" w:rsidRPr="008D0B98">
              <w:rPr>
                <w:rFonts w:eastAsia="Times New Roman" w:cs="Times New Roman"/>
                <w:color w:val="000000"/>
                <w:lang w:eastAsia="en-AU"/>
              </w:rPr>
              <w:t>0.08</w:t>
            </w:r>
          </w:p>
        </w:tc>
      </w:tr>
    </w:tbl>
    <w:p w14:paraId="02CD4C9C" w14:textId="30EA5563" w:rsidR="00F74E3C" w:rsidRPr="00AC51D8" w:rsidRDefault="008C632E" w:rsidP="00AC51D8">
      <w:pPr>
        <w:pStyle w:val="Source"/>
        <w:spacing w:after="180"/>
      </w:pPr>
      <w:r w:rsidRPr="00AC51D8">
        <w:t xml:space="preserve">Source: </w:t>
      </w:r>
      <w:r w:rsidR="00583BD7" w:rsidRPr="00AC51D8">
        <w:t xml:space="preserve">KPMG (2010), KPMG (2011), </w:t>
      </w:r>
      <w:r w:rsidR="00496794" w:rsidRPr="00AC51D8">
        <w:t>Independent Economics</w:t>
      </w:r>
      <w:r w:rsidR="00583BD7" w:rsidRPr="00AC51D8">
        <w:t xml:space="preserve"> (2014) and</w:t>
      </w:r>
      <w:r w:rsidR="00F74E3C" w:rsidRPr="00AC51D8">
        <w:t xml:space="preserve"> </w:t>
      </w:r>
      <w:r w:rsidR="00E007CF" w:rsidRPr="00AC51D8">
        <w:t>Treasury estimates</w:t>
      </w:r>
      <w:r w:rsidR="00F74E3C" w:rsidRPr="00AC51D8">
        <w:t>.</w:t>
      </w:r>
    </w:p>
    <w:p w14:paraId="29DD6A53" w14:textId="77777777" w:rsidR="005604EC" w:rsidRDefault="005604EC" w:rsidP="00AC51D8">
      <w:pPr>
        <w:pStyle w:val="Heading2"/>
      </w:pPr>
      <w:r w:rsidRPr="001B5B3E">
        <w:t>Stamp duty</w:t>
      </w:r>
      <w:r w:rsidR="0087011B">
        <w:t xml:space="preserve"> on conveyances</w:t>
      </w:r>
    </w:p>
    <w:p w14:paraId="29DD6A54" w14:textId="77777777" w:rsidR="001C3069" w:rsidRDefault="005604EC" w:rsidP="00AC51D8">
      <w:pPr>
        <w:spacing w:after="0"/>
      </w:pPr>
      <w:r>
        <w:t xml:space="preserve">Stamp duties are a tax paid on the value of </w:t>
      </w:r>
      <w:r w:rsidR="006F1C1A">
        <w:t xml:space="preserve">an asset </w:t>
      </w:r>
      <w:r>
        <w:t xml:space="preserve">when </w:t>
      </w:r>
      <w:r w:rsidR="00344BDF">
        <w:t xml:space="preserve">ownership is </w:t>
      </w:r>
      <w:r>
        <w:t xml:space="preserve">transferred, often inclusive of the value of any capital improvements. </w:t>
      </w:r>
      <w:r w:rsidR="008A693F">
        <w:t>Stamp duty on conveyances is currently levied on the transfer of motor vehicles, insurance, and land and structures. The analysis reported here only focuses on stamp duty on conveyances levied on the transfer of land and structures.</w:t>
      </w:r>
    </w:p>
    <w:p w14:paraId="29DD6A55" w14:textId="4E03528B" w:rsidR="005604EC" w:rsidRDefault="005604EC" w:rsidP="005604EC">
      <w:pPr>
        <w:pStyle w:val="Heading3"/>
      </w:pPr>
      <w:r>
        <w:lastRenderedPageBreak/>
        <w:t>Theory</w:t>
      </w:r>
      <w:r w:rsidR="00677CC8">
        <w:t xml:space="preserve"> and assumptions</w:t>
      </w:r>
    </w:p>
    <w:p w14:paraId="29DD6A56" w14:textId="72CBC86D" w:rsidR="009412C2" w:rsidRDefault="00AF3BC2" w:rsidP="005604EC">
      <w:r>
        <w:t xml:space="preserve">It is difficult to capture </w:t>
      </w:r>
      <w:r w:rsidR="00A85164">
        <w:t xml:space="preserve">a </w:t>
      </w:r>
      <w:r w:rsidR="009E465D">
        <w:t xml:space="preserve">capital </w:t>
      </w:r>
      <w:r>
        <w:t>transactions tax in a model with a s</w:t>
      </w:r>
      <w:r w:rsidR="00A85164">
        <w:t>ingle representative agent. The </w:t>
      </w:r>
      <w:r>
        <w:t>approach adopted here is to treat real estate services as an investment good which improves the</w:t>
      </w:r>
      <w:r w:rsidR="005604EC">
        <w:t xml:space="preserve"> productivity of the firm</w:t>
      </w:r>
      <w:r>
        <w:t>.</w:t>
      </w:r>
      <w:r w:rsidR="005604EC">
        <w:t xml:space="preserve"> </w:t>
      </w:r>
      <w:r w:rsidR="009412C2">
        <w:t>One way of thinking about this is that real estate agents play a valuable role in finding producers that value the capital the most</w:t>
      </w:r>
      <w:r w:rsidR="008B158C">
        <w:t xml:space="preserve"> (</w:t>
      </w:r>
      <w:r w:rsidR="00621AD1">
        <w:t>that is</w:t>
      </w:r>
      <w:r w:rsidR="008B158C">
        <w:t>, the producer with the highest productivity)</w:t>
      </w:r>
      <w:r w:rsidR="009412C2">
        <w:t xml:space="preserve">. </w:t>
      </w:r>
      <w:r w:rsidR="00FD430D">
        <w:t>Therefore a potential owner will be willing to pay a real estate fee equal to the profit they will enjoy over the previous owner.</w:t>
      </w:r>
      <w:r w:rsidR="009E465D">
        <w:t xml:space="preserve"> Within this setting the conveyance duty is treated as a tax on the value of investment.</w:t>
      </w:r>
    </w:p>
    <w:p w14:paraId="29DD6A57" w14:textId="19D4CD59" w:rsidR="005604EC" w:rsidRDefault="00AF3BC2" w:rsidP="005604EC">
      <w:r>
        <w:t>Following the ABS</w:t>
      </w:r>
      <w:r w:rsidR="00F03697">
        <w:t>’</w:t>
      </w:r>
      <w:r>
        <w:t>s National Accounting definition real estate services are referred to as</w:t>
      </w:r>
      <w:r w:rsidR="005604EC">
        <w:t xml:space="preserve"> ownership transfer costs (OTCs). </w:t>
      </w:r>
      <w:r>
        <w:t>As with other types of capital</w:t>
      </w:r>
      <w:r w:rsidR="00EF01C7">
        <w:t>,</w:t>
      </w:r>
      <w:r>
        <w:t xml:space="preserve"> OTCs depreciate over time, which </w:t>
      </w:r>
      <w:r w:rsidR="00B2132C">
        <w:t>implies a constant long</w:t>
      </w:r>
      <w:r w:rsidR="00F03697">
        <w:noBreakHyphen/>
      </w:r>
      <w:r w:rsidR="00B2132C">
        <w:t>run ratio of OTC</w:t>
      </w:r>
      <w:r w:rsidR="00324999">
        <w:t>s</w:t>
      </w:r>
      <w:r w:rsidR="00B2132C">
        <w:t xml:space="preserve"> to capital stock</w:t>
      </w:r>
      <w:r w:rsidR="004D2517">
        <w:t xml:space="preserve"> (</w:t>
      </w:r>
      <w:r w:rsidR="00621AD1">
        <w:t>that is</w:t>
      </w:r>
      <w:r w:rsidR="004D2517">
        <w:t>, the quality of the match between producer and capital depreciates over time)</w:t>
      </w:r>
      <w:r w:rsidR="005604EC">
        <w:t>.</w:t>
      </w:r>
    </w:p>
    <w:p w14:paraId="29DD6A58" w14:textId="04AE196B" w:rsidR="005604EC" w:rsidRDefault="005604EC" w:rsidP="005604EC">
      <w:r>
        <w:t xml:space="preserve">Increasing stamp duty </w:t>
      </w:r>
      <w:r w:rsidR="00324999">
        <w:t xml:space="preserve">on conveyances </w:t>
      </w:r>
      <w:r>
        <w:t>increases the cost of transferring property</w:t>
      </w:r>
      <w:r w:rsidR="00324999">
        <w:t xml:space="preserve"> and</w:t>
      </w:r>
      <w:r w:rsidR="006758F2">
        <w:t xml:space="preserve"> </w:t>
      </w:r>
      <w:r w:rsidR="00324999">
        <w:t xml:space="preserve">reduces </w:t>
      </w:r>
      <w:r w:rsidR="00456E0E">
        <w:t>the number of property transfers</w:t>
      </w:r>
      <w:r>
        <w:t xml:space="preserve">. </w:t>
      </w:r>
      <w:r w:rsidR="006758F2">
        <w:t xml:space="preserve">This leads to a lower demand for OTCs. </w:t>
      </w:r>
      <w:r w:rsidR="008B158C">
        <w:t xml:space="preserve">Since </w:t>
      </w:r>
      <w:r>
        <w:t xml:space="preserve">OTCs </w:t>
      </w:r>
      <w:r w:rsidR="008B158C">
        <w:t>improve</w:t>
      </w:r>
      <w:r>
        <w:t xml:space="preserve"> the productivity of firms</w:t>
      </w:r>
      <w:r w:rsidR="00324999">
        <w:t xml:space="preserve"> by </w:t>
      </w:r>
      <w:r w:rsidR="008B158C">
        <w:t>allocating</w:t>
      </w:r>
      <w:r w:rsidR="00024CFA">
        <w:t xml:space="preserve"> </w:t>
      </w:r>
      <w:r w:rsidR="008B158C">
        <w:t xml:space="preserve">the </w:t>
      </w:r>
      <w:r w:rsidR="00324999">
        <w:t>capital</w:t>
      </w:r>
      <w:r w:rsidR="00024CFA">
        <w:t xml:space="preserve"> stock</w:t>
      </w:r>
      <w:r w:rsidR="008B158C">
        <w:t xml:space="preserve"> to the producer</w:t>
      </w:r>
      <w:r w:rsidR="006758F2">
        <w:t>s</w:t>
      </w:r>
      <w:r w:rsidR="008B158C">
        <w:t xml:space="preserve"> with </w:t>
      </w:r>
      <w:r w:rsidR="006758F2">
        <w:t>higher</w:t>
      </w:r>
      <w:r w:rsidR="008B158C">
        <w:t xml:space="preserve"> productivity</w:t>
      </w:r>
      <w:r>
        <w:t xml:space="preserve">, </w:t>
      </w:r>
      <w:r w:rsidR="006758F2">
        <w:t>a lower</w:t>
      </w:r>
      <w:r w:rsidR="00324999">
        <w:t xml:space="preserve"> level of OTCs</w:t>
      </w:r>
      <w:r>
        <w:t xml:space="preserve"> </w:t>
      </w:r>
      <w:r w:rsidR="00324999">
        <w:t>is expected</w:t>
      </w:r>
      <w:r>
        <w:t xml:space="preserve"> to decrease </w:t>
      </w:r>
      <w:r w:rsidR="00324999">
        <w:t xml:space="preserve">labour </w:t>
      </w:r>
      <w:r>
        <w:t>productivity</w:t>
      </w:r>
      <w:r w:rsidR="00024CFA">
        <w:t>,</w:t>
      </w:r>
      <w:r w:rsidR="00324999">
        <w:t xml:space="preserve"> and in turn real </w:t>
      </w:r>
      <w:r w:rsidR="00C40031">
        <w:t>after</w:t>
      </w:r>
      <w:r w:rsidR="00F03697">
        <w:noBreakHyphen/>
      </w:r>
      <w:r w:rsidR="00C40031">
        <w:t xml:space="preserve">tax </w:t>
      </w:r>
      <w:r w:rsidR="00324999">
        <w:t xml:space="preserve">wages and household </w:t>
      </w:r>
      <w:r w:rsidR="00024CFA">
        <w:t>welfare</w:t>
      </w:r>
      <w:r w:rsidR="00324999">
        <w:t>.</w:t>
      </w:r>
    </w:p>
    <w:p w14:paraId="29DD6A59" w14:textId="26A4798A" w:rsidR="007A127F" w:rsidRDefault="00113774">
      <w:r w:rsidRPr="004B64F6">
        <w:t xml:space="preserve">It is important to recognise that </w:t>
      </w:r>
      <w:r w:rsidR="00DF2858" w:rsidRPr="004B64F6">
        <w:t xml:space="preserve">a </w:t>
      </w:r>
      <w:r w:rsidRPr="004B64F6">
        <w:t xml:space="preserve">tax on investment </w:t>
      </w:r>
      <w:r w:rsidR="00DF2858" w:rsidRPr="004B64F6">
        <w:t>will raise less revenue than a tax on capital income that has an equivalent tax rate</w:t>
      </w:r>
      <w:r w:rsidRPr="004B64F6">
        <w:t xml:space="preserve">. </w:t>
      </w:r>
      <w:r w:rsidR="00DF2858" w:rsidRPr="004B64F6">
        <w:t>This implies a</w:t>
      </w:r>
      <w:r w:rsidR="007A127F" w:rsidRPr="004B64F6">
        <w:t>n investment tax that raises the same amount of revenue as a company income tax</w:t>
      </w:r>
      <w:r w:rsidR="00DE4F88" w:rsidRPr="004B64F6">
        <w:t>,</w:t>
      </w:r>
      <w:r w:rsidR="007A127F" w:rsidRPr="004B64F6">
        <w:t xml:space="preserve"> </w:t>
      </w:r>
      <w:r w:rsidR="00DF2858" w:rsidRPr="004B64F6">
        <w:t>imposes a higher</w:t>
      </w:r>
      <w:r w:rsidR="007A127F" w:rsidRPr="004B64F6">
        <w:t xml:space="preserve"> user cost of capital and is therefore </w:t>
      </w:r>
      <w:r w:rsidR="00207A8C" w:rsidRPr="004B64F6">
        <w:t xml:space="preserve">less </w:t>
      </w:r>
      <w:r w:rsidR="007A127F" w:rsidRPr="004B64F6">
        <w:t>efficient</w:t>
      </w:r>
      <w:r w:rsidR="00F80047">
        <w:br/>
      </w:r>
      <w:r w:rsidR="00207A8C" w:rsidRPr="004B64F6">
        <w:t>(</w:t>
      </w:r>
      <w:r w:rsidR="00621AD1">
        <w:t>that is</w:t>
      </w:r>
      <w:r w:rsidR="00207A8C" w:rsidRPr="004B64F6">
        <w:t xml:space="preserve">, implies a larger </w:t>
      </w:r>
      <w:r w:rsidR="007B5309" w:rsidRPr="004B64F6">
        <w:t xml:space="preserve">marginal </w:t>
      </w:r>
      <w:r w:rsidR="00207A8C" w:rsidRPr="004B64F6">
        <w:t>excess burden)</w:t>
      </w:r>
      <w:r w:rsidR="007A127F" w:rsidRPr="004B64F6">
        <w:t>.</w:t>
      </w:r>
    </w:p>
    <w:p w14:paraId="29DD6A5A" w14:textId="506F12FA" w:rsidR="00542398" w:rsidRDefault="00542398" w:rsidP="00542398">
      <w:r>
        <w:t xml:space="preserve">To see </w:t>
      </w:r>
      <w:r w:rsidR="00CB7533">
        <w:t xml:space="preserve">why an investment tax generates a </w:t>
      </w:r>
      <w:r>
        <w:t xml:space="preserve">higher </w:t>
      </w:r>
      <w:r w:rsidR="007B5309">
        <w:t xml:space="preserve">marginal </w:t>
      </w:r>
      <w:r>
        <w:t xml:space="preserve">excess burden we </w:t>
      </w:r>
      <w:r w:rsidR="00CB7533">
        <w:t>consider</w:t>
      </w:r>
      <w:r>
        <w:t xml:space="preserve"> a simplified example of a company </w:t>
      </w:r>
      <w:r w:rsidR="002007C9">
        <w:t xml:space="preserve">income </w:t>
      </w:r>
      <w:r>
        <w:t xml:space="preserve">tax with no deductions. Theory suggests that </w:t>
      </w:r>
      <w:r w:rsidRPr="00542398">
        <w:t>investors will buy capital until the expected return on capital or present value of revenue is equal to the cost of investment. Hence in equilibrium we have</w:t>
      </w:r>
      <w:r w:rsidR="00207A8C">
        <w:t>:</w:t>
      </w:r>
    </w:p>
    <w:p w14:paraId="5EEA95D9" w14:textId="22D338D5" w:rsidR="00DA6EBC" w:rsidRPr="00542398" w:rsidRDefault="00DA6EBC" w:rsidP="00DA6EBC">
      <w:pPr>
        <w:pStyle w:val="MTDisplayEquation"/>
      </w:pPr>
      <w:r>
        <w:tab/>
      </w:r>
      <w:r w:rsidR="00F96D4E" w:rsidRPr="00DA6EBC">
        <w:rPr>
          <w:position w:val="-14"/>
        </w:rPr>
        <w:object w:dxaOrig="3480" w:dyaOrig="400" w14:anchorId="7808718D">
          <v:shape id="_x0000_i1062" type="#_x0000_t75" alt="This equation states in words that the present value of earnings is equal to the cost of investment." style="width:175.35pt;height:22.1pt;mso-position-horizontal:absolute" o:ole="">
            <v:imagedata r:id="rId79" o:title=""/>
          </v:shape>
          <o:OLEObject Type="Embed" ProgID="Equation.DSMT4" ShapeID="_x0000_i1062" DrawAspect="Content" ObjectID="_1489908549" r:id="rId80"/>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10</w:instrText>
      </w:r>
      <w:r w:rsidR="00866AD9">
        <w:rPr>
          <w:noProof/>
        </w:rPr>
        <w:fldChar w:fldCharType="end"/>
      </w:r>
      <w:r>
        <w:instrText>)</w:instrText>
      </w:r>
      <w:r>
        <w:fldChar w:fldCharType="end"/>
      </w:r>
    </w:p>
    <w:p w14:paraId="29DD6A5C" w14:textId="1345E444" w:rsidR="00542398" w:rsidRDefault="00542398" w:rsidP="00542398">
      <w:r w:rsidRPr="00542398">
        <w:t xml:space="preserve">The present value of </w:t>
      </w:r>
      <w:r w:rsidR="00207A8C">
        <w:t>earnings</w:t>
      </w:r>
      <w:r w:rsidRPr="00542398">
        <w:t xml:space="preserve"> from the investment is given by the sum of </w:t>
      </w:r>
      <w:r w:rsidR="00207A8C">
        <w:t xml:space="preserve">the </w:t>
      </w:r>
      <w:r w:rsidRPr="00542398">
        <w:t>after</w:t>
      </w:r>
      <w:r w:rsidR="00F03697">
        <w:noBreakHyphen/>
      </w:r>
      <w:r w:rsidRPr="00542398">
        <w:t xml:space="preserve">tax returns in each year discounted by the real interest rate </w:t>
      </w:r>
      <w:r w:rsidR="00DA6EBC">
        <w:t xml:space="preserve">denoted by </w:t>
      </w:r>
      <w:r w:rsidR="00207A8C">
        <w:t>r</w:t>
      </w:r>
      <w:r w:rsidR="00DA6EBC">
        <w:t xml:space="preserve"> </w:t>
      </w:r>
      <w:r w:rsidRPr="00542398">
        <w:t>and allowing for economic depreciation</w:t>
      </w:r>
      <w:r w:rsidR="00DA6EBC">
        <w:t xml:space="preserve"> denoted by </w:t>
      </w:r>
      <w:r w:rsidR="00207A8C" w:rsidRPr="00D11D35">
        <w:rPr>
          <w:rFonts w:ascii="Symbol" w:hAnsi="Symbol"/>
        </w:rPr>
        <w:t></w:t>
      </w:r>
      <w:r w:rsidRPr="00542398">
        <w:t xml:space="preserve">. Using </w:t>
      </w:r>
      <w:r w:rsidR="00DA6EBC">
        <w:t xml:space="preserve">q </w:t>
      </w:r>
      <w:r w:rsidRPr="00512688">
        <w:t xml:space="preserve">to denote the </w:t>
      </w:r>
      <w:r w:rsidR="00207A8C">
        <w:t xml:space="preserve">real </w:t>
      </w:r>
      <w:r w:rsidRPr="00512688">
        <w:t>rental rate of capital</w:t>
      </w:r>
      <w:r w:rsidR="00207A8C">
        <w:t xml:space="preserve"> and </w:t>
      </w:r>
      <w:r w:rsidR="00207A8C" w:rsidRPr="00D11D35">
        <w:rPr>
          <w:rFonts w:ascii="Symbol" w:hAnsi="Symbol"/>
        </w:rPr>
        <w:t></w:t>
      </w:r>
      <w:r w:rsidR="00D11D35" w:rsidRPr="00D11D35">
        <w:rPr>
          <w:vertAlign w:val="subscript"/>
        </w:rPr>
        <w:t>K</w:t>
      </w:r>
      <w:r w:rsidR="00207A8C">
        <w:t xml:space="preserve"> the company income tax</w:t>
      </w:r>
      <w:r w:rsidR="006F1C1A">
        <w:t xml:space="preserve">, </w:t>
      </w:r>
      <w:r w:rsidRPr="00542398">
        <w:t>the expected return is given by</w:t>
      </w:r>
      <w:r w:rsidR="00207A8C">
        <w:t>:</w:t>
      </w:r>
    </w:p>
    <w:p w14:paraId="1C9122EA" w14:textId="487FC7A7" w:rsidR="00DA6EBC" w:rsidRPr="00542398" w:rsidRDefault="00DA6EBC" w:rsidP="00DA6EBC">
      <w:pPr>
        <w:pStyle w:val="MTDisplayEquation"/>
      </w:pPr>
      <w:r>
        <w:tab/>
      </w:r>
      <w:r w:rsidR="00F96D4E" w:rsidRPr="00DA6EBC">
        <w:rPr>
          <w:position w:val="-32"/>
        </w:rPr>
        <w:object w:dxaOrig="4720" w:dyaOrig="740" w14:anchorId="0884BFD9">
          <v:shape id="_x0000_i1063" type="#_x0000_t75" alt="This equation presents the present value of the earnings from variable capital as the after tax rental rate of capital divided by the sum of the depreciation rate and the real interest rate." style="width:235.95pt;height:37.05pt" o:ole="">
            <v:imagedata r:id="rId81" o:title=""/>
          </v:shape>
          <o:OLEObject Type="Embed" ProgID="Equation.DSMT4" ShapeID="_x0000_i1063" DrawAspect="Content" ObjectID="_1489908550" r:id="rId82"/>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11</w:instrText>
      </w:r>
      <w:r w:rsidR="00866AD9">
        <w:rPr>
          <w:noProof/>
        </w:rPr>
        <w:fldChar w:fldCharType="end"/>
      </w:r>
      <w:r>
        <w:instrText>)</w:instrText>
      </w:r>
      <w:r>
        <w:fldChar w:fldCharType="end"/>
      </w:r>
    </w:p>
    <w:p w14:paraId="29DD6A5E" w14:textId="77777777" w:rsidR="00542398" w:rsidRDefault="00542398" w:rsidP="00542398">
      <w:r w:rsidRPr="00542398">
        <w:t>The cost of investment is given by the price of investment plus any tax applied to investment</w:t>
      </w:r>
      <w:r w:rsidR="006F1C1A">
        <w:t>:</w:t>
      </w:r>
    </w:p>
    <w:p w14:paraId="27B552DF" w14:textId="321AB44D" w:rsidR="00DA6EBC" w:rsidRPr="00542398" w:rsidRDefault="00DA6EBC" w:rsidP="00DA6EBC">
      <w:pPr>
        <w:pStyle w:val="MTDisplayEquation"/>
      </w:pPr>
      <w:r>
        <w:tab/>
      </w:r>
      <w:r w:rsidR="00F96D4E" w:rsidRPr="00DA6EBC">
        <w:rPr>
          <w:position w:val="-14"/>
        </w:rPr>
        <w:object w:dxaOrig="3000" w:dyaOrig="400" w14:anchorId="0CCE6E7D">
          <v:shape id="_x0000_i1064" type="#_x0000_t75" alt="This equation presents the cost of investment as the price of investment multiplied by one plus the tax rate on investment." style="width:151.15pt;height:22.1pt;mso-position-horizontal:absolute" o:ole="">
            <v:imagedata r:id="rId83" o:title=""/>
          </v:shape>
          <o:OLEObject Type="Embed" ProgID="Equation.DSMT4" ShapeID="_x0000_i1064" DrawAspect="Content" ObjectID="_1489908551" r:id="rId84"/>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12</w:instrText>
      </w:r>
      <w:r w:rsidR="00866AD9">
        <w:rPr>
          <w:noProof/>
        </w:rPr>
        <w:fldChar w:fldCharType="end"/>
      </w:r>
      <w:r>
        <w:instrText>)</w:instrText>
      </w:r>
      <w:r>
        <w:fldChar w:fldCharType="end"/>
      </w:r>
    </w:p>
    <w:p w14:paraId="29DD6A60" w14:textId="54CF1B3A" w:rsidR="00207A8C" w:rsidRPr="00512688" w:rsidRDefault="00742D2D" w:rsidP="00542398">
      <w:pPr>
        <w:rPr>
          <w:rFonts w:eastAsiaTheme="minorEastAsia"/>
        </w:rPr>
      </w:pPr>
      <w:r>
        <w:rPr>
          <w:rFonts w:eastAsiaTheme="minorEastAsia"/>
        </w:rPr>
        <w:t>w</w:t>
      </w:r>
      <w:r w:rsidR="00207A8C">
        <w:rPr>
          <w:rFonts w:eastAsiaTheme="minorEastAsia"/>
        </w:rPr>
        <w:t xml:space="preserve">here </w:t>
      </w:r>
      <w:r w:rsidR="00207A8C" w:rsidRPr="00742D2D">
        <w:rPr>
          <w:rFonts w:ascii="Symbol" w:eastAsiaTheme="minorEastAsia" w:hAnsi="Symbol"/>
        </w:rPr>
        <w:t></w:t>
      </w:r>
      <w:r w:rsidRPr="00742D2D">
        <w:rPr>
          <w:rFonts w:eastAsiaTheme="minorEastAsia"/>
          <w:vertAlign w:val="subscript"/>
        </w:rPr>
        <w:t>I</w:t>
      </w:r>
      <w:r w:rsidR="00207A8C">
        <w:rPr>
          <w:rFonts w:eastAsiaTheme="minorEastAsia"/>
        </w:rPr>
        <w:t xml:space="preserve"> is the investment tax rate and p</w:t>
      </w:r>
      <w:r w:rsidRPr="00742D2D">
        <w:rPr>
          <w:rFonts w:eastAsiaTheme="minorEastAsia"/>
          <w:vertAlign w:val="subscript"/>
        </w:rPr>
        <w:t>I</w:t>
      </w:r>
      <w:r w:rsidR="00207A8C">
        <w:rPr>
          <w:rFonts w:eastAsiaTheme="minorEastAsia"/>
        </w:rPr>
        <w:t xml:space="preserve"> is the price of investment</w:t>
      </w:r>
      <w:r w:rsidR="00AC51D8">
        <w:rPr>
          <w:rFonts w:eastAsiaTheme="minorEastAsia"/>
        </w:rPr>
        <w:t>.</w:t>
      </w:r>
    </w:p>
    <w:p w14:paraId="29DD6A61" w14:textId="77777777" w:rsidR="00542398" w:rsidRDefault="00207A8C" w:rsidP="00542398">
      <w:pPr>
        <w:rPr>
          <w:rFonts w:eastAsiaTheme="minorEastAsia"/>
        </w:rPr>
      </w:pPr>
      <w:r>
        <w:rPr>
          <w:rFonts w:eastAsiaTheme="minorEastAsia"/>
        </w:rPr>
        <w:lastRenderedPageBreak/>
        <w:t>In equilibrium the present value of the earnings must equal the cost of investment:</w:t>
      </w:r>
    </w:p>
    <w:p w14:paraId="1A406CFD" w14:textId="150FF1DE" w:rsidR="00DA6EBC" w:rsidRPr="00542398" w:rsidRDefault="00DA6EBC" w:rsidP="00DA6EBC">
      <w:pPr>
        <w:pStyle w:val="MTDisplayEquation"/>
      </w:pPr>
      <w:r>
        <w:tab/>
      </w:r>
      <w:r w:rsidR="00F96D4E" w:rsidRPr="00DA6EBC">
        <w:rPr>
          <w:position w:val="-24"/>
        </w:rPr>
        <w:object w:dxaOrig="2140" w:dyaOrig="660" w14:anchorId="447E8A33">
          <v:shape id="_x0000_i1065" type="#_x0000_t75" alt="This equation notes that the present value of earnings derived in equation 11 must equal the cost of investment derived in equation 12." style="width:106.2pt;height:32.8pt" o:ole="">
            <v:imagedata r:id="rId85" o:title=""/>
          </v:shape>
          <o:OLEObject Type="Embed" ProgID="Equation.DSMT4" ShapeID="_x0000_i1065" DrawAspect="Content" ObjectID="_1489908552" r:id="rId86"/>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13</w:instrText>
      </w:r>
      <w:r w:rsidR="00866AD9">
        <w:rPr>
          <w:noProof/>
        </w:rPr>
        <w:fldChar w:fldCharType="end"/>
      </w:r>
      <w:r>
        <w:instrText>)</w:instrText>
      </w:r>
      <w:r>
        <w:fldChar w:fldCharType="end"/>
      </w:r>
    </w:p>
    <w:p w14:paraId="29DD6A63" w14:textId="09B724F3" w:rsidR="00542398" w:rsidRDefault="00207A8C" w:rsidP="00542398">
      <w:pPr>
        <w:rPr>
          <w:rFonts w:eastAsiaTheme="minorEastAsia"/>
        </w:rPr>
      </w:pPr>
      <w:r>
        <w:rPr>
          <w:rFonts w:eastAsiaTheme="minorEastAsia"/>
        </w:rPr>
        <w:t>w</w:t>
      </w:r>
      <w:r w:rsidR="00542398">
        <w:rPr>
          <w:rFonts w:eastAsiaTheme="minorEastAsia"/>
        </w:rPr>
        <w:t xml:space="preserve">hich implies the </w:t>
      </w:r>
      <w:r>
        <w:rPr>
          <w:rFonts w:eastAsiaTheme="minorEastAsia"/>
        </w:rPr>
        <w:t xml:space="preserve">return on investment </w:t>
      </w:r>
      <w:r w:rsidR="00DA098F">
        <w:rPr>
          <w:rFonts w:eastAsiaTheme="minorEastAsia"/>
        </w:rPr>
        <w:t xml:space="preserve">under </w:t>
      </w:r>
      <w:r w:rsidR="00B843C6">
        <w:rPr>
          <w:rFonts w:eastAsiaTheme="minorEastAsia"/>
        </w:rPr>
        <w:t xml:space="preserve">both </w:t>
      </w:r>
      <w:r w:rsidR="00DA098F">
        <w:rPr>
          <w:rFonts w:eastAsiaTheme="minorEastAsia"/>
        </w:rPr>
        <w:t xml:space="preserve">investment and capital taxation </w:t>
      </w:r>
      <w:r>
        <w:rPr>
          <w:rFonts w:eastAsiaTheme="minorEastAsia"/>
        </w:rPr>
        <w:t>is:</w:t>
      </w:r>
    </w:p>
    <w:p w14:paraId="670D82F1" w14:textId="6081E9A8" w:rsidR="00DA6EBC" w:rsidRPr="00512688" w:rsidRDefault="00DA6EBC" w:rsidP="00DA6EBC">
      <w:pPr>
        <w:pStyle w:val="MTDisplayEquation"/>
      </w:pPr>
      <w:r>
        <w:tab/>
      </w:r>
      <w:r w:rsidR="00F96D4E" w:rsidRPr="00DA6EBC">
        <w:rPr>
          <w:position w:val="-32"/>
        </w:rPr>
        <w:object w:dxaOrig="2000" w:dyaOrig="740" w14:anchorId="23358335">
          <v:shape id="_x0000_i1066" type="#_x0000_t75" alt="This equation presents the return on investment (that is, the ratio of the rental rate of capital to the price of investment) under both capital and investment taxation as the product of: the depreciation rate plus the real interest rate; and the ratio of one plus the investment tax rate and one minus the capital income tax rate." style="width:101.25pt;height:37.05pt" o:ole="">
            <v:imagedata r:id="rId87" o:title=""/>
          </v:shape>
          <o:OLEObject Type="Embed" ProgID="Equation.DSMT4" ShapeID="_x0000_i1066" DrawAspect="Content" ObjectID="_1489908553" r:id="rId88"/>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14</w:instrText>
      </w:r>
      <w:r w:rsidR="00866AD9">
        <w:rPr>
          <w:noProof/>
        </w:rPr>
        <w:fldChar w:fldCharType="end"/>
      </w:r>
      <w:r>
        <w:instrText>)</w:instrText>
      </w:r>
      <w:r>
        <w:fldChar w:fldCharType="end"/>
      </w:r>
    </w:p>
    <w:p w14:paraId="29DD6A65" w14:textId="7733840E" w:rsidR="0001053E" w:rsidRDefault="00DA098F" w:rsidP="00542398">
      <w:pPr>
        <w:rPr>
          <w:rFonts w:eastAsiaTheme="minorEastAsia"/>
        </w:rPr>
      </w:pPr>
      <w:r>
        <w:rPr>
          <w:rFonts w:eastAsiaTheme="minorEastAsia"/>
        </w:rPr>
        <w:t>For e</w:t>
      </w:r>
      <w:r w:rsidR="0001053E" w:rsidRPr="00512688">
        <w:rPr>
          <w:rFonts w:eastAsiaTheme="minorEastAsia"/>
        </w:rPr>
        <w:t>qual investment and capital tax</w:t>
      </w:r>
      <w:r>
        <w:rPr>
          <w:rFonts w:eastAsiaTheme="minorEastAsia"/>
        </w:rPr>
        <w:t xml:space="preserve"> rate</w:t>
      </w:r>
      <w:r w:rsidR="0085726E">
        <w:rPr>
          <w:rFonts w:eastAsiaTheme="minorEastAsia"/>
        </w:rPr>
        <w:t>s</w:t>
      </w:r>
      <w:r w:rsidR="0001053E" w:rsidRPr="00512688">
        <w:rPr>
          <w:rFonts w:eastAsiaTheme="minorEastAsia"/>
        </w:rPr>
        <w:t xml:space="preserve"> </w:t>
      </w:r>
      <w:r w:rsidR="0001053E">
        <w:rPr>
          <w:rFonts w:eastAsiaTheme="minorEastAsia"/>
        </w:rPr>
        <w:t>(</w:t>
      </w:r>
      <w:r w:rsidR="00621AD1">
        <w:rPr>
          <w:rFonts w:eastAsiaTheme="minorEastAsia"/>
        </w:rPr>
        <w:t>that is</w:t>
      </w:r>
      <w:r w:rsidR="0001053E">
        <w:rPr>
          <w:rFonts w:eastAsiaTheme="minorEastAsia"/>
        </w:rPr>
        <w:t xml:space="preserve">, </w:t>
      </w:r>
      <w:r w:rsidR="0001053E" w:rsidRPr="002C7E1C">
        <w:rPr>
          <w:rFonts w:ascii="Symbol" w:eastAsiaTheme="minorEastAsia" w:hAnsi="Symbol"/>
        </w:rPr>
        <w:t></w:t>
      </w:r>
      <w:r w:rsidR="0001053E">
        <w:rPr>
          <w:rFonts w:eastAsiaTheme="minorEastAsia"/>
          <w:vertAlign w:val="subscript"/>
        </w:rPr>
        <w:t>I</w:t>
      </w:r>
      <w:r w:rsidR="0001053E">
        <w:rPr>
          <w:rFonts w:eastAsiaTheme="minorEastAsia"/>
        </w:rPr>
        <w:t>=</w:t>
      </w:r>
      <w:r w:rsidR="0001053E" w:rsidRPr="002C7E1C">
        <w:rPr>
          <w:rFonts w:ascii="Symbol" w:eastAsiaTheme="minorEastAsia" w:hAnsi="Symbol"/>
        </w:rPr>
        <w:t></w:t>
      </w:r>
      <w:r w:rsidR="0001053E" w:rsidRPr="002C7E1C">
        <w:rPr>
          <w:rFonts w:eastAsiaTheme="minorEastAsia"/>
          <w:vertAlign w:val="subscript"/>
        </w:rPr>
        <w:t>K</w:t>
      </w:r>
      <w:r w:rsidR="0001053E">
        <w:rPr>
          <w:rFonts w:eastAsiaTheme="minorEastAsia"/>
        </w:rPr>
        <w:t xml:space="preserve">) </w:t>
      </w:r>
      <w:r>
        <w:rPr>
          <w:rFonts w:eastAsiaTheme="minorEastAsia"/>
        </w:rPr>
        <w:t>it follows that</w:t>
      </w:r>
      <w:r w:rsidR="0001053E">
        <w:rPr>
          <w:rFonts w:eastAsiaTheme="minorEastAsia"/>
        </w:rPr>
        <w:t>:</w:t>
      </w:r>
    </w:p>
    <w:p w14:paraId="520958BB" w14:textId="3B054A20" w:rsidR="00DA6EBC" w:rsidRPr="0001053E" w:rsidRDefault="00DA6EBC" w:rsidP="00DA6EBC">
      <w:pPr>
        <w:pStyle w:val="MTDisplayEquation"/>
      </w:pPr>
      <w:r>
        <w:tab/>
      </w:r>
      <w:r w:rsidR="00F96D4E" w:rsidRPr="00DA6EBC">
        <w:rPr>
          <w:position w:val="-32"/>
        </w:rPr>
        <w:object w:dxaOrig="2680" w:dyaOrig="700" w14:anchorId="007463BA">
          <v:shape id="_x0000_i1067" type="#_x0000_t75" alt="This equation notes that for equivalent investment and capital tax rates that the inverse of one minus the capital income tax rate is approximately equal to one plus the investment tax rate." style="width:134pt;height:37.05pt" o:ole="">
            <v:imagedata r:id="rId89" o:title=""/>
          </v:shape>
          <o:OLEObject Type="Embed" ProgID="Equation.DSMT4" ShapeID="_x0000_i1067" DrawAspect="Content" ObjectID="_1489908554" r:id="rId90"/>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15</w:instrText>
      </w:r>
      <w:r w:rsidR="00866AD9">
        <w:rPr>
          <w:noProof/>
        </w:rPr>
        <w:fldChar w:fldCharType="end"/>
      </w:r>
      <w:r>
        <w:instrText>)</w:instrText>
      </w:r>
      <w:r>
        <w:fldChar w:fldCharType="end"/>
      </w:r>
    </w:p>
    <w:p w14:paraId="29DD6A67" w14:textId="77777777" w:rsidR="006D2CE3" w:rsidRDefault="00DA098F" w:rsidP="00542398">
      <w:pPr>
        <w:rPr>
          <w:rFonts w:eastAsiaTheme="minorEastAsia"/>
        </w:rPr>
      </w:pPr>
      <w:r>
        <w:rPr>
          <w:rFonts w:eastAsiaTheme="minorEastAsia"/>
        </w:rPr>
        <w:t>This implies that an investment tax has the same effect</w:t>
      </w:r>
      <w:r w:rsidRPr="00512688">
        <w:rPr>
          <w:rFonts w:eastAsiaTheme="minorEastAsia"/>
        </w:rPr>
        <w:t xml:space="preserve"> on the </w:t>
      </w:r>
      <w:r>
        <w:rPr>
          <w:rFonts w:eastAsiaTheme="minorEastAsia"/>
        </w:rPr>
        <w:t>required return on investment as a capital tax</w:t>
      </w:r>
      <w:r w:rsidR="0001053E">
        <w:rPr>
          <w:rFonts w:eastAsiaTheme="minorEastAsia"/>
        </w:rPr>
        <w:t>:</w:t>
      </w:r>
    </w:p>
    <w:p w14:paraId="3EBF7456" w14:textId="6F29A34E" w:rsidR="00DA6EBC" w:rsidRDefault="00DA6EBC" w:rsidP="00DA6EBC">
      <w:pPr>
        <w:pStyle w:val="MTDisplayEquation"/>
      </w:pPr>
      <w:r>
        <w:tab/>
      </w:r>
      <w:r w:rsidR="00F96D4E" w:rsidRPr="00DA6EBC">
        <w:rPr>
          <w:position w:val="-32"/>
        </w:rPr>
        <w:object w:dxaOrig="3600" w:dyaOrig="700" w14:anchorId="6E73740A">
          <v:shape id="_x0000_i1068" type="#_x0000_t75" alt="This equation shows that an investment tax has the same effect on the required return on investment as a capital tax. " style="width:181.05pt;height:37.05pt" o:ole="">
            <v:imagedata r:id="rId91" o:title=""/>
          </v:shape>
          <o:OLEObject Type="Embed" ProgID="Equation.DSMT4" ShapeID="_x0000_i1068" DrawAspect="Content" ObjectID="_1489908555" r:id="rId92"/>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16</w:instrText>
      </w:r>
      <w:r w:rsidR="00866AD9">
        <w:rPr>
          <w:noProof/>
        </w:rPr>
        <w:fldChar w:fldCharType="end"/>
      </w:r>
      <w:r>
        <w:instrText>)</w:instrText>
      </w:r>
      <w:r>
        <w:fldChar w:fldCharType="end"/>
      </w:r>
    </w:p>
    <w:p w14:paraId="29DD6A69" w14:textId="77777777" w:rsidR="00542398" w:rsidRPr="00512688" w:rsidRDefault="00DA098F" w:rsidP="00542398">
      <w:pPr>
        <w:rPr>
          <w:rFonts w:eastAsiaTheme="minorEastAsia"/>
        </w:rPr>
      </w:pPr>
      <w:r>
        <w:rPr>
          <w:rFonts w:eastAsiaTheme="minorEastAsia"/>
        </w:rPr>
        <w:t xml:space="preserve">which implies equal investment and capital tax rates impose the same partial equilibrium distortion in the capital market. </w:t>
      </w:r>
      <w:r w:rsidR="004113AE">
        <w:rPr>
          <w:rFonts w:eastAsiaTheme="minorEastAsia"/>
        </w:rPr>
        <w:t>However</w:t>
      </w:r>
      <w:r>
        <w:rPr>
          <w:rFonts w:eastAsiaTheme="minorEastAsia"/>
        </w:rPr>
        <w:t>,</w:t>
      </w:r>
      <w:r w:rsidR="004113AE">
        <w:rPr>
          <w:rFonts w:eastAsiaTheme="minorEastAsia"/>
        </w:rPr>
        <w:t xml:space="preserve"> </w:t>
      </w:r>
      <w:r>
        <w:rPr>
          <w:rFonts w:eastAsiaTheme="minorEastAsia"/>
        </w:rPr>
        <w:t>it is relatively easy to show that an investment tax raises less revenue than a capital tax</w:t>
      </w:r>
      <w:r w:rsidR="00947972">
        <w:rPr>
          <w:rFonts w:eastAsiaTheme="minorEastAsia"/>
        </w:rPr>
        <w:t>,</w:t>
      </w:r>
      <w:r w:rsidR="006D2CE3">
        <w:rPr>
          <w:rFonts w:eastAsiaTheme="minorEastAsia"/>
        </w:rPr>
        <w:t xml:space="preserve"> which </w:t>
      </w:r>
      <w:r w:rsidR="00947972">
        <w:rPr>
          <w:rFonts w:eastAsiaTheme="minorEastAsia"/>
        </w:rPr>
        <w:t>suggests</w:t>
      </w:r>
      <w:r w:rsidR="006D2CE3">
        <w:rPr>
          <w:rFonts w:eastAsiaTheme="minorEastAsia"/>
        </w:rPr>
        <w:t xml:space="preserve"> </w:t>
      </w:r>
      <w:r>
        <w:rPr>
          <w:rFonts w:eastAsiaTheme="minorEastAsia"/>
        </w:rPr>
        <w:t>the former imposes a greater burden</w:t>
      </w:r>
      <w:r w:rsidR="0001053E">
        <w:rPr>
          <w:rFonts w:eastAsiaTheme="minorEastAsia"/>
        </w:rPr>
        <w:t xml:space="preserve"> in</w:t>
      </w:r>
      <w:r w:rsidR="006D2CE3">
        <w:rPr>
          <w:rFonts w:eastAsiaTheme="minorEastAsia"/>
        </w:rPr>
        <w:t xml:space="preserve"> general </w:t>
      </w:r>
      <w:r w:rsidR="00470BEF">
        <w:rPr>
          <w:rFonts w:eastAsiaTheme="minorEastAsia"/>
        </w:rPr>
        <w:t>equilibrium</w:t>
      </w:r>
      <w:r w:rsidR="004113AE">
        <w:rPr>
          <w:rFonts w:eastAsiaTheme="minorEastAsia"/>
        </w:rPr>
        <w:t>.</w:t>
      </w:r>
    </w:p>
    <w:p w14:paraId="29DD6A6A" w14:textId="77777777" w:rsidR="00542398" w:rsidRDefault="00666682" w:rsidP="00542398">
      <w:pPr>
        <w:rPr>
          <w:rFonts w:eastAsiaTheme="minorEastAsia"/>
        </w:rPr>
      </w:pPr>
      <w:r>
        <w:rPr>
          <w:rFonts w:eastAsiaTheme="minorEastAsia"/>
        </w:rPr>
        <w:t>For example, t</w:t>
      </w:r>
      <w:r w:rsidR="00542398" w:rsidRPr="00512688">
        <w:rPr>
          <w:rFonts w:eastAsiaTheme="minorEastAsia"/>
        </w:rPr>
        <w:t>he revenue from the capital tax is given by</w:t>
      </w:r>
      <w:r w:rsidR="005E0309">
        <w:rPr>
          <w:rFonts w:eastAsiaTheme="minorEastAsia"/>
        </w:rPr>
        <w:t>:</w:t>
      </w:r>
    </w:p>
    <w:p w14:paraId="0CFBCEEA" w14:textId="12C9D6FE" w:rsidR="00E2402D" w:rsidRPr="00512688" w:rsidRDefault="00E2402D" w:rsidP="00E2402D">
      <w:pPr>
        <w:pStyle w:val="MTDisplayEquation"/>
      </w:pPr>
      <w:r>
        <w:tab/>
      </w:r>
      <w:r w:rsidR="00F96D4E" w:rsidRPr="00E2402D">
        <w:rPr>
          <w:position w:val="-12"/>
        </w:rPr>
        <w:object w:dxaOrig="1240" w:dyaOrig="360" w14:anchorId="5C98E183">
          <v:shape id="_x0000_i1069" type="#_x0000_t75" alt="This equation presents the revenue from a capital income tax as the product of: the capital income tax rate; the rental rate of capital; and the capital stock." style="width:62pt;height:19.25pt" o:ole="">
            <v:imagedata r:id="rId93" o:title=""/>
          </v:shape>
          <o:OLEObject Type="Embed" ProgID="Equation.DSMT4" ShapeID="_x0000_i1069" DrawAspect="Content" ObjectID="_1489908556" r:id="rId94"/>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17</w:instrText>
      </w:r>
      <w:r w:rsidR="00866AD9">
        <w:rPr>
          <w:noProof/>
        </w:rPr>
        <w:fldChar w:fldCharType="end"/>
      </w:r>
      <w:r>
        <w:instrText>)</w:instrText>
      </w:r>
      <w:r>
        <w:fldChar w:fldCharType="end"/>
      </w:r>
    </w:p>
    <w:p w14:paraId="29DD6A6C" w14:textId="77777777" w:rsidR="00542398" w:rsidRDefault="00470BEF" w:rsidP="00542398">
      <w:pPr>
        <w:rPr>
          <w:rFonts w:eastAsiaTheme="minorEastAsia"/>
        </w:rPr>
      </w:pPr>
      <w:r>
        <w:rPr>
          <w:rFonts w:eastAsiaTheme="minorEastAsia"/>
        </w:rPr>
        <w:t>a</w:t>
      </w:r>
      <w:r w:rsidR="00542398" w:rsidRPr="00512688">
        <w:rPr>
          <w:rFonts w:eastAsiaTheme="minorEastAsia"/>
        </w:rPr>
        <w:t>nd from the investment tax</w:t>
      </w:r>
      <w:r w:rsidR="005E0309">
        <w:rPr>
          <w:rFonts w:eastAsiaTheme="minorEastAsia"/>
        </w:rPr>
        <w:t>:</w:t>
      </w:r>
    </w:p>
    <w:p w14:paraId="70305472" w14:textId="1990B0D6" w:rsidR="00E2402D" w:rsidRPr="00512688" w:rsidRDefault="00E2402D" w:rsidP="00E2402D">
      <w:pPr>
        <w:pStyle w:val="MTDisplayEquation"/>
      </w:pPr>
      <w:r>
        <w:tab/>
      </w:r>
      <w:r w:rsidR="00F96D4E" w:rsidRPr="00E2402D">
        <w:rPr>
          <w:position w:val="-12"/>
        </w:rPr>
        <w:object w:dxaOrig="1200" w:dyaOrig="360" w14:anchorId="58E75972">
          <v:shape id="_x0000_i1070" type="#_x0000_t75" alt="This equation presents the revenue from an investment tax as the product of: the investment tax rate; the price of investment; and the level of investment." style="width:61.3pt;height:19.25pt" o:ole="">
            <v:imagedata r:id="rId95" o:title=""/>
          </v:shape>
          <o:OLEObject Type="Embed" ProgID="Equation.DSMT4" ShapeID="_x0000_i1070" DrawAspect="Content" ObjectID="_1489908557" r:id="rId96"/>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w:instrText>
      </w:r>
      <w:r w:rsidR="00866AD9">
        <w:instrText xml:space="preserve">Eqn \c \* Arabic \* MERGEFORMAT </w:instrText>
      </w:r>
      <w:r w:rsidR="00866AD9">
        <w:fldChar w:fldCharType="separate"/>
      </w:r>
      <w:r w:rsidR="00AA2137">
        <w:rPr>
          <w:noProof/>
        </w:rPr>
        <w:instrText>18</w:instrText>
      </w:r>
      <w:r w:rsidR="00866AD9">
        <w:rPr>
          <w:noProof/>
        </w:rPr>
        <w:fldChar w:fldCharType="end"/>
      </w:r>
      <w:r>
        <w:instrText>)</w:instrText>
      </w:r>
      <w:r>
        <w:fldChar w:fldCharType="end"/>
      </w:r>
    </w:p>
    <w:p w14:paraId="29DD6A6E" w14:textId="3341E26A" w:rsidR="00542398" w:rsidRDefault="00666682" w:rsidP="00542398">
      <w:pPr>
        <w:rPr>
          <w:rFonts w:eastAsiaTheme="minorEastAsia"/>
        </w:rPr>
      </w:pPr>
      <w:r>
        <w:rPr>
          <w:rFonts w:eastAsiaTheme="minorEastAsia"/>
        </w:rPr>
        <w:t>I</w:t>
      </w:r>
      <w:r w:rsidR="00470BEF">
        <w:rPr>
          <w:rFonts w:eastAsiaTheme="minorEastAsia"/>
        </w:rPr>
        <w:t>n</w:t>
      </w:r>
      <w:r w:rsidR="005E0309">
        <w:rPr>
          <w:rFonts w:eastAsiaTheme="minorEastAsia"/>
        </w:rPr>
        <w:t xml:space="preserve"> the long</w:t>
      </w:r>
      <w:r w:rsidR="00F03697">
        <w:rPr>
          <w:rFonts w:eastAsiaTheme="minorEastAsia"/>
        </w:rPr>
        <w:noBreakHyphen/>
      </w:r>
      <w:r w:rsidR="005E0309">
        <w:rPr>
          <w:rFonts w:eastAsiaTheme="minorEastAsia"/>
        </w:rPr>
        <w:t>run the</w:t>
      </w:r>
      <w:r w:rsidR="00542398" w:rsidRPr="00512688">
        <w:rPr>
          <w:rFonts w:eastAsiaTheme="minorEastAsia"/>
        </w:rPr>
        <w:t xml:space="preserve"> investment </w:t>
      </w:r>
      <w:r w:rsidR="005E0309">
        <w:rPr>
          <w:rFonts w:eastAsiaTheme="minorEastAsia"/>
        </w:rPr>
        <w:t>(I) to capital (K) ratio is equal to:</w:t>
      </w:r>
    </w:p>
    <w:p w14:paraId="64DF7E4F" w14:textId="22473135" w:rsidR="00E2402D" w:rsidRPr="00512688" w:rsidRDefault="00E2402D" w:rsidP="00E2402D">
      <w:pPr>
        <w:pStyle w:val="MTDisplayEquation"/>
      </w:pPr>
      <w:r>
        <w:tab/>
      </w:r>
      <w:r w:rsidR="000E7C09" w:rsidRPr="00E2402D">
        <w:rPr>
          <w:position w:val="-24"/>
        </w:rPr>
        <w:object w:dxaOrig="1240" w:dyaOrig="620" w14:anchorId="53435799">
          <v:shape id="_x0000_i1071" type="#_x0000_t75" alt="This equation notes that the long-run investment to capital ratio is equal to the sum of the depreciation rate and the long-run growth rate of GDP." style="width:62pt;height:30.65pt" o:ole="">
            <v:imagedata r:id="rId97" o:title=""/>
          </v:shape>
          <o:OLEObject Type="Embed" ProgID="Equation.DSMT4" ShapeID="_x0000_i1071" DrawAspect="Content" ObjectID="_1489908558" r:id="rId98"/>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19</w:instrText>
      </w:r>
      <w:r w:rsidR="00866AD9">
        <w:rPr>
          <w:noProof/>
        </w:rPr>
        <w:fldChar w:fldCharType="end"/>
      </w:r>
      <w:r>
        <w:instrText>)</w:instrText>
      </w:r>
      <w:r>
        <w:fldChar w:fldCharType="end"/>
      </w:r>
    </w:p>
    <w:p w14:paraId="29DD6A70" w14:textId="35F34971" w:rsidR="005E0309" w:rsidRDefault="005E0309" w:rsidP="00542398">
      <w:pPr>
        <w:rPr>
          <w:rFonts w:eastAsiaTheme="minorEastAsia"/>
        </w:rPr>
      </w:pPr>
      <w:r>
        <w:rPr>
          <w:rFonts w:eastAsiaTheme="minorEastAsia"/>
        </w:rPr>
        <w:t>where g is the long</w:t>
      </w:r>
      <w:r w:rsidR="00F03697">
        <w:rPr>
          <w:rFonts w:eastAsiaTheme="minorEastAsia"/>
        </w:rPr>
        <w:noBreakHyphen/>
      </w:r>
      <w:r>
        <w:rPr>
          <w:rFonts w:eastAsiaTheme="minorEastAsia"/>
        </w:rPr>
        <w:t>run growth rate of GDP.</w:t>
      </w:r>
    </w:p>
    <w:p w14:paraId="29DD6A71" w14:textId="77777777" w:rsidR="00542398" w:rsidRDefault="005E0309" w:rsidP="00542398">
      <w:pPr>
        <w:rPr>
          <w:rFonts w:eastAsiaTheme="minorEastAsia"/>
        </w:rPr>
      </w:pPr>
      <w:r>
        <w:rPr>
          <w:rFonts w:eastAsiaTheme="minorEastAsia"/>
        </w:rPr>
        <w:t xml:space="preserve">The </w:t>
      </w:r>
      <w:r w:rsidR="006F1C1A">
        <w:rPr>
          <w:rFonts w:eastAsiaTheme="minorEastAsia"/>
        </w:rPr>
        <w:t xml:space="preserve">revenue </w:t>
      </w:r>
      <w:r>
        <w:rPr>
          <w:rFonts w:eastAsiaTheme="minorEastAsia"/>
        </w:rPr>
        <w:t xml:space="preserve">ratio </w:t>
      </w:r>
      <w:r w:rsidR="0040783C">
        <w:rPr>
          <w:rFonts w:eastAsiaTheme="minorEastAsia"/>
        </w:rPr>
        <w:t>implies</w:t>
      </w:r>
      <w:r>
        <w:rPr>
          <w:rFonts w:eastAsiaTheme="minorEastAsia"/>
        </w:rPr>
        <w:t>:</w:t>
      </w:r>
    </w:p>
    <w:p w14:paraId="3FE5BC6D" w14:textId="5D6BD86B" w:rsidR="00E2402D" w:rsidRDefault="00E2402D" w:rsidP="00E2402D">
      <w:pPr>
        <w:pStyle w:val="MTDisplayEquation"/>
      </w:pPr>
      <w:r>
        <w:tab/>
      </w:r>
      <w:r w:rsidR="000E7C09" w:rsidRPr="00E2402D">
        <w:rPr>
          <w:position w:val="-30"/>
        </w:rPr>
        <w:object w:dxaOrig="1400" w:dyaOrig="680" w14:anchorId="5209E9F3">
          <v:shape id="_x0000_i1072" type="#_x0000_t75" alt="This equation describes the ratio of the revenue from a capital tax to that from an investment tax as the ratio of the right hand side of equation 17 to right hand side of equation 18." style="width:71.3pt;height:37.05pt" o:ole="">
            <v:imagedata r:id="rId99" o:title=""/>
          </v:shape>
          <o:OLEObject Type="Embed" ProgID="Equation.DSMT4" ShapeID="_x0000_i1072" DrawAspect="Content" ObjectID="_1489908559" r:id="rId100"/>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20</w:instrText>
      </w:r>
      <w:r w:rsidR="00866AD9">
        <w:rPr>
          <w:noProof/>
        </w:rPr>
        <w:fldChar w:fldCharType="end"/>
      </w:r>
      <w:r>
        <w:instrText>)</w:instrText>
      </w:r>
      <w:r>
        <w:fldChar w:fldCharType="end"/>
      </w:r>
    </w:p>
    <w:p w14:paraId="6597EF7F" w14:textId="77777777" w:rsidR="00AC51D8" w:rsidRDefault="00AC51D8">
      <w:pPr>
        <w:rPr>
          <w:rFonts w:eastAsiaTheme="minorEastAsia"/>
        </w:rPr>
      </w:pPr>
      <w:r>
        <w:rPr>
          <w:rFonts w:eastAsiaTheme="minorEastAsia"/>
        </w:rPr>
        <w:br w:type="page"/>
      </w:r>
    </w:p>
    <w:p w14:paraId="29DD6A73" w14:textId="42A240AC" w:rsidR="00542398" w:rsidRDefault="00666682" w:rsidP="00542398">
      <w:pPr>
        <w:rPr>
          <w:rFonts w:eastAsiaTheme="minorEastAsia"/>
        </w:rPr>
      </w:pPr>
      <w:r>
        <w:rPr>
          <w:rFonts w:eastAsiaTheme="minorEastAsia"/>
        </w:rPr>
        <w:lastRenderedPageBreak/>
        <w:t>When c</w:t>
      </w:r>
      <w:r w:rsidR="004113AE">
        <w:rPr>
          <w:rFonts w:eastAsiaTheme="minorEastAsia"/>
        </w:rPr>
        <w:t>ombin</w:t>
      </w:r>
      <w:r>
        <w:rPr>
          <w:rFonts w:eastAsiaTheme="minorEastAsia"/>
        </w:rPr>
        <w:t>ed with</w:t>
      </w:r>
      <w:r w:rsidR="004113AE">
        <w:rPr>
          <w:rFonts w:eastAsiaTheme="minorEastAsia"/>
        </w:rPr>
        <w:t xml:space="preserve"> the </w:t>
      </w:r>
      <w:r w:rsidR="005E0309">
        <w:rPr>
          <w:rFonts w:eastAsiaTheme="minorEastAsia"/>
        </w:rPr>
        <w:t>return on investment and investment to capital ratio relationships</w:t>
      </w:r>
      <w:r w:rsidR="0040783C">
        <w:rPr>
          <w:rFonts w:eastAsiaTheme="minorEastAsia"/>
        </w:rPr>
        <w:t xml:space="preserve"> from above</w:t>
      </w:r>
      <w:r w:rsidR="006F1C1A">
        <w:rPr>
          <w:rFonts w:eastAsiaTheme="minorEastAsia"/>
        </w:rPr>
        <w:t>,</w:t>
      </w:r>
      <w:r w:rsidR="005E0309">
        <w:rPr>
          <w:rFonts w:eastAsiaTheme="minorEastAsia"/>
        </w:rPr>
        <w:t xml:space="preserve"> </w:t>
      </w:r>
      <w:r>
        <w:rPr>
          <w:rFonts w:eastAsiaTheme="minorEastAsia"/>
        </w:rPr>
        <w:t xml:space="preserve">this </w:t>
      </w:r>
      <w:r w:rsidR="005E0309">
        <w:rPr>
          <w:rFonts w:eastAsiaTheme="minorEastAsia"/>
        </w:rPr>
        <w:t>implies:</w:t>
      </w:r>
    </w:p>
    <w:p w14:paraId="7005CCD1" w14:textId="615E1550" w:rsidR="00E2402D" w:rsidRPr="00512688" w:rsidRDefault="00E2402D" w:rsidP="00E2402D">
      <w:pPr>
        <w:pStyle w:val="MTDisplayEquation"/>
      </w:pPr>
      <w:r>
        <w:tab/>
      </w:r>
      <w:r w:rsidR="000E7C09" w:rsidRPr="00E2402D">
        <w:rPr>
          <w:position w:val="-32"/>
        </w:rPr>
        <w:object w:dxaOrig="2580" w:dyaOrig="740" w14:anchorId="7ED9D5A6">
          <v:shape id="_x0000_i1073" type="#_x0000_t75" alt="This equation describes the ratio of the revenue from a capital tax to that from an investment tax as the product of: the ratio of the capital income tax rate to the investment tax rate; the ratio of one plus the tax rate on investment to one minus the tax rate on capital income; and the ratio of the depreciation rate plus the real interest rate, to the depreciation rate plus the long run GDP growth rate." style="width:128.3pt;height:37.05pt;mso-position-horizontal:absolute" o:ole="">
            <v:imagedata r:id="rId101" o:title=""/>
          </v:shape>
          <o:OLEObject Type="Embed" ProgID="Equation.DSMT4" ShapeID="_x0000_i1073" DrawAspect="Content" ObjectID="_1489908560" r:id="rId102"/>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21</w:instrText>
      </w:r>
      <w:r w:rsidR="00866AD9">
        <w:rPr>
          <w:noProof/>
        </w:rPr>
        <w:fldChar w:fldCharType="end"/>
      </w:r>
      <w:r>
        <w:instrText>)</w:instrText>
      </w:r>
      <w:r>
        <w:fldChar w:fldCharType="end"/>
      </w:r>
    </w:p>
    <w:p w14:paraId="29DD6A75" w14:textId="164C878B" w:rsidR="00542398" w:rsidRDefault="00091EE2">
      <w:pPr>
        <w:rPr>
          <w:rFonts w:eastAsiaTheme="minorEastAsia"/>
        </w:rPr>
      </w:pPr>
      <w:r>
        <w:rPr>
          <w:rFonts w:eastAsiaTheme="minorEastAsia"/>
        </w:rPr>
        <w:t>Equal tax rates imply (1+</w:t>
      </w:r>
      <w:r w:rsidRPr="00E2402D">
        <w:rPr>
          <w:rFonts w:ascii="Symbol" w:eastAsiaTheme="minorEastAsia" w:hAnsi="Symbol"/>
        </w:rPr>
        <w:t></w:t>
      </w:r>
      <w:r w:rsidRPr="00E2402D">
        <w:rPr>
          <w:rFonts w:eastAsiaTheme="minorEastAsia"/>
          <w:vertAlign w:val="subscript"/>
        </w:rPr>
        <w:t>I</w:t>
      </w:r>
      <w:r>
        <w:rPr>
          <w:rFonts w:eastAsiaTheme="minorEastAsia"/>
        </w:rPr>
        <w:t>)/(1</w:t>
      </w:r>
      <w:r w:rsidR="00F03697">
        <w:rPr>
          <w:rFonts w:eastAsiaTheme="minorEastAsia"/>
        </w:rPr>
        <w:noBreakHyphen/>
      </w:r>
      <w:r w:rsidRPr="00E2402D">
        <w:rPr>
          <w:rFonts w:ascii="Symbol" w:eastAsiaTheme="minorEastAsia" w:hAnsi="Symbol"/>
        </w:rPr>
        <w:t></w:t>
      </w:r>
      <w:r w:rsidRPr="00E2402D">
        <w:rPr>
          <w:rFonts w:eastAsiaTheme="minorEastAsia"/>
          <w:vertAlign w:val="subscript"/>
        </w:rPr>
        <w:t>K</w:t>
      </w:r>
      <w:r>
        <w:rPr>
          <w:rFonts w:eastAsiaTheme="minorEastAsia"/>
        </w:rPr>
        <w:t>)&gt;1, while d</w:t>
      </w:r>
      <w:r w:rsidR="00666682">
        <w:rPr>
          <w:rFonts w:eastAsiaTheme="minorEastAsia"/>
        </w:rPr>
        <w:t xml:space="preserve">ynamic stability requires </w:t>
      </w:r>
      <w:r w:rsidR="00C3110D">
        <w:rPr>
          <w:rFonts w:eastAsiaTheme="minorEastAsia"/>
        </w:rPr>
        <w:t>the</w:t>
      </w:r>
      <w:r w:rsidR="0027202C">
        <w:rPr>
          <w:rFonts w:eastAsiaTheme="minorEastAsia"/>
        </w:rPr>
        <w:t xml:space="preserve"> return on capital </w:t>
      </w:r>
      <w:r w:rsidR="00666682">
        <w:rPr>
          <w:rFonts w:eastAsiaTheme="minorEastAsia"/>
        </w:rPr>
        <w:t>to</w:t>
      </w:r>
      <w:r w:rsidR="006F1C1A">
        <w:rPr>
          <w:rFonts w:eastAsiaTheme="minorEastAsia"/>
        </w:rPr>
        <w:t xml:space="preserve"> be</w:t>
      </w:r>
      <w:r w:rsidR="00666682">
        <w:rPr>
          <w:rFonts w:eastAsiaTheme="minorEastAsia"/>
        </w:rPr>
        <w:t xml:space="preserve"> </w:t>
      </w:r>
      <w:r w:rsidR="0027202C">
        <w:rPr>
          <w:rFonts w:eastAsiaTheme="minorEastAsia"/>
        </w:rPr>
        <w:t xml:space="preserve">higher than the </w:t>
      </w:r>
      <w:r w:rsidR="00C3110D">
        <w:rPr>
          <w:rFonts w:eastAsiaTheme="minorEastAsia"/>
        </w:rPr>
        <w:t>long</w:t>
      </w:r>
      <w:r w:rsidR="00F03697">
        <w:rPr>
          <w:rFonts w:eastAsiaTheme="minorEastAsia"/>
        </w:rPr>
        <w:noBreakHyphen/>
      </w:r>
      <w:r w:rsidR="00C3110D">
        <w:rPr>
          <w:rFonts w:eastAsiaTheme="minorEastAsia"/>
        </w:rPr>
        <w:t xml:space="preserve">run </w:t>
      </w:r>
      <w:r w:rsidR="0027202C">
        <w:rPr>
          <w:rFonts w:eastAsiaTheme="minorEastAsia"/>
        </w:rPr>
        <w:t>growth rate</w:t>
      </w:r>
      <w:r w:rsidR="00C3110D">
        <w:rPr>
          <w:rFonts w:eastAsiaTheme="minorEastAsia"/>
        </w:rPr>
        <w:t xml:space="preserve"> of output (</w:t>
      </w:r>
      <w:r w:rsidR="00621AD1">
        <w:rPr>
          <w:rFonts w:eastAsiaTheme="minorEastAsia"/>
        </w:rPr>
        <w:t>that is</w:t>
      </w:r>
      <w:r w:rsidR="00C3110D">
        <w:rPr>
          <w:rFonts w:eastAsiaTheme="minorEastAsia"/>
        </w:rPr>
        <w:t>,</w:t>
      </w:r>
      <w:r w:rsidR="00E2402D">
        <w:rPr>
          <w:rFonts w:eastAsiaTheme="minorEastAsia"/>
        </w:rPr>
        <w:t> r&gt;g</w:t>
      </w:r>
      <w:r w:rsidR="00666682">
        <w:rPr>
          <w:rFonts w:eastAsiaTheme="minorEastAsia"/>
        </w:rPr>
        <w:t xml:space="preserve">), </w:t>
      </w:r>
      <w:r w:rsidR="006F1C1A">
        <w:rPr>
          <w:rFonts w:eastAsiaTheme="minorEastAsia"/>
        </w:rPr>
        <w:t>so</w:t>
      </w:r>
      <w:r w:rsidR="0027202C">
        <w:rPr>
          <w:rFonts w:eastAsiaTheme="minorEastAsia"/>
        </w:rPr>
        <w:t xml:space="preserve"> </w:t>
      </w:r>
      <w:r>
        <w:rPr>
          <w:rFonts w:eastAsiaTheme="minorEastAsia"/>
        </w:rPr>
        <w:t xml:space="preserve">it follows that </w:t>
      </w:r>
      <w:r w:rsidR="0027202C">
        <w:rPr>
          <w:rFonts w:eastAsiaTheme="minorEastAsia"/>
        </w:rPr>
        <w:t xml:space="preserve">the revenue from </w:t>
      </w:r>
      <w:r w:rsidR="00666682">
        <w:rPr>
          <w:rFonts w:eastAsiaTheme="minorEastAsia"/>
        </w:rPr>
        <w:t>the</w:t>
      </w:r>
      <w:r w:rsidR="0027202C">
        <w:rPr>
          <w:rFonts w:eastAsiaTheme="minorEastAsia"/>
        </w:rPr>
        <w:t xml:space="preserve"> capital tax will be great</w:t>
      </w:r>
      <w:r w:rsidR="00A53A31">
        <w:rPr>
          <w:rFonts w:eastAsiaTheme="minorEastAsia"/>
        </w:rPr>
        <w:t>er</w:t>
      </w:r>
      <w:r w:rsidR="0027202C">
        <w:rPr>
          <w:rFonts w:eastAsiaTheme="minorEastAsia"/>
        </w:rPr>
        <w:t xml:space="preserve"> than that for an investment tax</w:t>
      </w:r>
      <w:r w:rsidR="00C3110D">
        <w:rPr>
          <w:rFonts w:eastAsiaTheme="minorEastAsia"/>
        </w:rPr>
        <w:t xml:space="preserve"> with an equivalent rate (</w:t>
      </w:r>
      <w:r w:rsidR="00621AD1">
        <w:rPr>
          <w:rFonts w:eastAsiaTheme="minorEastAsia"/>
        </w:rPr>
        <w:t>that is</w:t>
      </w:r>
      <w:r w:rsidR="00C3110D">
        <w:rPr>
          <w:rFonts w:eastAsiaTheme="minorEastAsia"/>
        </w:rPr>
        <w:t>,</w:t>
      </w:r>
      <w:r w:rsidR="00E2402D">
        <w:rPr>
          <w:rFonts w:eastAsiaTheme="minorEastAsia"/>
        </w:rPr>
        <w:t xml:space="preserve"> R</w:t>
      </w:r>
      <w:r w:rsidR="00E2402D" w:rsidRPr="00E2402D">
        <w:rPr>
          <w:rFonts w:eastAsiaTheme="minorEastAsia"/>
          <w:vertAlign w:val="subscript"/>
        </w:rPr>
        <w:t>K</w:t>
      </w:r>
      <w:r w:rsidR="00E2402D">
        <w:rPr>
          <w:rFonts w:eastAsiaTheme="minorEastAsia"/>
        </w:rPr>
        <w:t>&gt;R</w:t>
      </w:r>
      <w:r w:rsidR="00E2402D" w:rsidRPr="00E2402D">
        <w:rPr>
          <w:rFonts w:eastAsiaTheme="minorEastAsia"/>
          <w:vertAlign w:val="subscript"/>
        </w:rPr>
        <w:t>I</w:t>
      </w:r>
      <w:r w:rsidR="00C3110D">
        <w:rPr>
          <w:rFonts w:eastAsiaTheme="minorEastAsia"/>
        </w:rPr>
        <w:t>).</w:t>
      </w:r>
      <w:r w:rsidR="00470BEF">
        <w:rPr>
          <w:rFonts w:eastAsiaTheme="minorEastAsia"/>
        </w:rPr>
        <w:t xml:space="preserve"> </w:t>
      </w:r>
      <w:r w:rsidR="00666682">
        <w:rPr>
          <w:rFonts w:eastAsiaTheme="minorEastAsia"/>
        </w:rPr>
        <w:t xml:space="preserve">Given the earlier analysis, </w:t>
      </w:r>
      <w:r>
        <w:rPr>
          <w:rFonts w:eastAsiaTheme="minorEastAsia"/>
        </w:rPr>
        <w:t xml:space="preserve">this </w:t>
      </w:r>
      <w:r w:rsidR="00A93BF1">
        <w:rPr>
          <w:rFonts w:eastAsiaTheme="minorEastAsia"/>
        </w:rPr>
        <w:t>means</w:t>
      </w:r>
      <w:r w:rsidR="00666682">
        <w:rPr>
          <w:rFonts w:eastAsiaTheme="minorEastAsia"/>
        </w:rPr>
        <w:t xml:space="preserve"> that </w:t>
      </w:r>
      <w:r w:rsidR="00470BEF">
        <w:rPr>
          <w:rFonts w:eastAsiaTheme="minorEastAsia"/>
        </w:rPr>
        <w:t xml:space="preserve">an investment tax that raises the same revenue as a capital </w:t>
      </w:r>
      <w:r w:rsidR="00821CBE">
        <w:rPr>
          <w:rFonts w:eastAsiaTheme="minorEastAsia"/>
        </w:rPr>
        <w:t xml:space="preserve">income </w:t>
      </w:r>
      <w:r w:rsidR="00A7239C">
        <w:rPr>
          <w:rFonts w:eastAsiaTheme="minorEastAsia"/>
        </w:rPr>
        <w:t>tax must have a higher tax rate, which implies</w:t>
      </w:r>
      <w:r w:rsidR="00470BEF">
        <w:rPr>
          <w:rFonts w:eastAsiaTheme="minorEastAsia"/>
        </w:rPr>
        <w:t xml:space="preserve"> </w:t>
      </w:r>
      <w:r w:rsidR="0040783C">
        <w:rPr>
          <w:rFonts w:eastAsiaTheme="minorEastAsia"/>
        </w:rPr>
        <w:t xml:space="preserve">it has a </w:t>
      </w:r>
      <w:r w:rsidR="00470BEF">
        <w:rPr>
          <w:rFonts w:eastAsiaTheme="minorEastAsia"/>
        </w:rPr>
        <w:t xml:space="preserve">greater distortion </w:t>
      </w:r>
      <w:r w:rsidR="00A7239C">
        <w:rPr>
          <w:rFonts w:eastAsiaTheme="minorEastAsia"/>
        </w:rPr>
        <w:t>in</w:t>
      </w:r>
      <w:r w:rsidR="00470BEF">
        <w:rPr>
          <w:rFonts w:eastAsiaTheme="minorEastAsia"/>
        </w:rPr>
        <w:t xml:space="preserve"> the capital market.</w:t>
      </w:r>
    </w:p>
    <w:p w14:paraId="29DD6A76" w14:textId="143FD381" w:rsidR="0040783C" w:rsidRDefault="0040783C" w:rsidP="0040783C">
      <w:r w:rsidRPr="001178CC">
        <w:t xml:space="preserve">The baseline calibration of stamp duty on conveyances </w:t>
      </w:r>
      <w:r>
        <w:t>follows the ABS National Accounts in modelling stamp duty as a component of OTCs.</w:t>
      </w:r>
      <w:r w:rsidRPr="001178CC">
        <w:t xml:space="preserve"> The value of indirect taxes on OT</w:t>
      </w:r>
      <w:r>
        <w:t>Cs is calculated from ABS</w:t>
      </w:r>
      <w:r w:rsidRPr="001178CC">
        <w:t xml:space="preserve"> </w:t>
      </w:r>
      <w:r>
        <w:t>Input</w:t>
      </w:r>
      <w:r w:rsidR="00F03697">
        <w:noBreakHyphen/>
      </w:r>
      <w:r>
        <w:t>Output Table</w:t>
      </w:r>
      <w:r w:rsidRPr="001178CC">
        <w:t xml:space="preserve"> </w:t>
      </w:r>
      <w:r w:rsidRPr="000E2F30">
        <w:t xml:space="preserve">(ABS </w:t>
      </w:r>
      <w:r w:rsidR="008B3D13">
        <w:t>C</w:t>
      </w:r>
      <w:r w:rsidR="008B3D13" w:rsidRPr="000E2F30">
        <w:t>at</w:t>
      </w:r>
      <w:r w:rsidRPr="000E2F30">
        <w:t>. 5209.0)</w:t>
      </w:r>
      <w:r>
        <w:t xml:space="preserve"> for 2007</w:t>
      </w:r>
      <w:r w:rsidR="00F03697">
        <w:noBreakHyphen/>
      </w:r>
      <w:r>
        <w:t>08. Based on these data, stamp duty</w:t>
      </w:r>
      <w:r w:rsidRPr="001178CC">
        <w:t xml:space="preserve"> account</w:t>
      </w:r>
      <w:r>
        <w:t>s</w:t>
      </w:r>
      <w:r w:rsidRPr="001178CC">
        <w:t xml:space="preserve"> for around 45</w:t>
      </w:r>
      <w:r w:rsidR="00BC51EE">
        <w:t> </w:t>
      </w:r>
      <w:r w:rsidRPr="001178CC">
        <w:t>per cent</w:t>
      </w:r>
      <w:r>
        <w:t xml:space="preserve"> of ownership transfer costs. </w:t>
      </w:r>
    </w:p>
    <w:p w14:paraId="29DD6A77" w14:textId="77777777" w:rsidR="005604EC" w:rsidRDefault="005604EC" w:rsidP="005604EC">
      <w:pPr>
        <w:pStyle w:val="Heading3"/>
      </w:pPr>
      <w:r>
        <w:t>Results</w:t>
      </w:r>
    </w:p>
    <w:p w14:paraId="29DD6A78" w14:textId="77777777" w:rsidR="005604EC" w:rsidRDefault="008336E2" w:rsidP="00947972">
      <w:r>
        <w:t xml:space="preserve">We analyse the </w:t>
      </w:r>
      <w:r w:rsidR="004B5A5E">
        <w:t xml:space="preserve">marginal </w:t>
      </w:r>
      <w:r>
        <w:t xml:space="preserve">excess burden and incidence of </w:t>
      </w:r>
      <w:r w:rsidR="005604EC">
        <w:t xml:space="preserve">stamp duty </w:t>
      </w:r>
      <w:r>
        <w:t xml:space="preserve">on conveyances </w:t>
      </w:r>
      <w:r w:rsidR="005604EC">
        <w:t xml:space="preserve">by increasing the tax rate on </w:t>
      </w:r>
      <w:r>
        <w:t>investment in structures modelled as</w:t>
      </w:r>
      <w:r w:rsidR="005604EC">
        <w:t xml:space="preserve"> OTCs.</w:t>
      </w:r>
    </w:p>
    <w:p w14:paraId="29DD6A79" w14:textId="77777777" w:rsidR="006A73DB" w:rsidRDefault="006A73DB" w:rsidP="006A73DB">
      <w:pPr>
        <w:pStyle w:val="Heading4"/>
      </w:pPr>
      <w:r>
        <w:t>Activity</w:t>
      </w:r>
    </w:p>
    <w:p w14:paraId="29DD6A7A" w14:textId="1E7198C3" w:rsidR="005604EC" w:rsidRDefault="008336E2" w:rsidP="00947972">
      <w:r>
        <w:t>Increasing</w:t>
      </w:r>
      <w:r w:rsidR="005604EC">
        <w:t xml:space="preserve"> stamp duty increases the cost of investing in OTCs which leads to a subst</w:t>
      </w:r>
      <w:r>
        <w:t>itu</w:t>
      </w:r>
      <w:r w:rsidR="005604EC">
        <w:t xml:space="preserve">tion away from transferring property </w:t>
      </w:r>
      <w:r>
        <w:t xml:space="preserve">and </w:t>
      </w:r>
      <w:r w:rsidR="005604EC">
        <w:t xml:space="preserve">also </w:t>
      </w:r>
      <w:r w:rsidR="00FF5945">
        <w:t xml:space="preserve">a rise </w:t>
      </w:r>
      <w:r w:rsidR="001122EC">
        <w:t xml:space="preserve">in </w:t>
      </w:r>
      <w:r w:rsidR="00A505B1">
        <w:t>the before</w:t>
      </w:r>
      <w:r w:rsidR="00F03697">
        <w:noBreakHyphen/>
      </w:r>
      <w:r w:rsidR="00A505B1">
        <w:t>tax</w:t>
      </w:r>
      <w:r>
        <w:t xml:space="preserve"> </w:t>
      </w:r>
      <w:r w:rsidR="00FF5945">
        <w:t>rental rate</w:t>
      </w:r>
      <w:r w:rsidR="00A505B1">
        <w:t xml:space="preserve"> o</w:t>
      </w:r>
      <w:r w:rsidR="00FF5945">
        <w:t>f</w:t>
      </w:r>
      <w:r w:rsidR="00A505B1">
        <w:t xml:space="preserve"> s</w:t>
      </w:r>
      <w:r w:rsidR="005604EC">
        <w:t>tructures</w:t>
      </w:r>
      <w:r>
        <w:t xml:space="preserve">. </w:t>
      </w:r>
      <w:r w:rsidR="00A505B1">
        <w:t xml:space="preserve">A higher </w:t>
      </w:r>
      <w:r w:rsidR="00FF5945">
        <w:t>rental rate</w:t>
      </w:r>
      <w:r w:rsidR="00A505B1">
        <w:t xml:space="preserve"> causes the </w:t>
      </w:r>
      <w:r w:rsidR="005604EC">
        <w:t xml:space="preserve">quantity demanded </w:t>
      </w:r>
      <w:r w:rsidR="00A505B1">
        <w:t>to fall, which implies lower structures investment and a small</w:t>
      </w:r>
      <w:r w:rsidR="001122EC">
        <w:t>er</w:t>
      </w:r>
      <w:r w:rsidR="005604EC">
        <w:t xml:space="preserve"> capital stock</w:t>
      </w:r>
      <w:r w:rsidR="00A505B1">
        <w:t>.</w:t>
      </w:r>
      <w:r w:rsidR="005604EC">
        <w:t xml:space="preserve"> </w:t>
      </w:r>
      <w:r w:rsidR="00A505B1">
        <w:t xml:space="preserve">The overall effect on GOS is negative, with the </w:t>
      </w:r>
      <w:r w:rsidR="005604EC">
        <w:t>lower v</w:t>
      </w:r>
      <w:r w:rsidR="00A505B1">
        <w:t xml:space="preserve">olume of capital more than offsetting </w:t>
      </w:r>
      <w:r w:rsidR="00821CBE">
        <w:t xml:space="preserve">the </w:t>
      </w:r>
      <w:r w:rsidR="005604EC">
        <w:t xml:space="preserve">increased </w:t>
      </w:r>
      <w:r w:rsidR="00A505B1">
        <w:t>before</w:t>
      </w:r>
      <w:r w:rsidR="00F03697">
        <w:noBreakHyphen/>
      </w:r>
      <w:r w:rsidR="00A505B1">
        <w:t>tax return</w:t>
      </w:r>
      <w:r w:rsidR="005E1827">
        <w:t xml:space="preserve"> (</w:t>
      </w:r>
      <w:r w:rsidR="00B843C6" w:rsidRPr="00A47077">
        <w:t xml:space="preserve">Chart </w:t>
      </w:r>
      <w:r w:rsidR="00B843C6">
        <w:rPr>
          <w:noProof/>
        </w:rPr>
        <w:t>29</w:t>
      </w:r>
      <w:r w:rsidR="005E1827">
        <w:t>)</w:t>
      </w:r>
      <w:r w:rsidR="005604EC">
        <w:t xml:space="preserve">. The decrease in capital leads to lower </w:t>
      </w:r>
      <w:r w:rsidR="00FF5E18">
        <w:t xml:space="preserve">labour productivity and labour demand, which in turn implies lower real </w:t>
      </w:r>
      <w:r w:rsidR="005604EC">
        <w:t xml:space="preserve">wages and lower hours worked. Increasing stamp </w:t>
      </w:r>
      <w:r w:rsidR="00FF5E18">
        <w:t xml:space="preserve">duty </w:t>
      </w:r>
      <w:r w:rsidR="005604EC">
        <w:t xml:space="preserve">raises the price of indirect taxes and therefore the price of GDP relative to consumption </w:t>
      </w:r>
      <w:r w:rsidR="00FF5E18">
        <w:t xml:space="preserve">prices, however the reduction in volume due to the smaller capital stock and decline in </w:t>
      </w:r>
      <w:r w:rsidR="00C51123">
        <w:t xml:space="preserve">working </w:t>
      </w:r>
      <w:r w:rsidR="00FF5E18">
        <w:t xml:space="preserve">hours dominate which implies a fall in the value of GDP </w:t>
      </w:r>
      <w:r w:rsidR="005E1827">
        <w:t>(</w:t>
      </w:r>
      <w:r w:rsidR="00B843C6" w:rsidRPr="00A47077">
        <w:t xml:space="preserve">Chart </w:t>
      </w:r>
      <w:r w:rsidR="00B843C6">
        <w:rPr>
          <w:noProof/>
        </w:rPr>
        <w:t>30</w:t>
      </w:r>
      <w:r w:rsidR="005E1827">
        <w:t>)</w:t>
      </w:r>
      <w:r w:rsidR="005604EC">
        <w:t xml:space="preserve">. </w:t>
      </w:r>
    </w:p>
    <w:p w14:paraId="29DD6A7B" w14:textId="7B31FA6B" w:rsidR="00BC6E55" w:rsidRDefault="00BC6E55" w:rsidP="00E82F3E">
      <w:pPr>
        <w:pStyle w:val="Caption1"/>
      </w:pPr>
      <w:bookmarkStart w:id="44" w:name="_Ref398460284"/>
      <w:r w:rsidRPr="00A47077">
        <w:lastRenderedPageBreak/>
        <w:t xml:space="preserve">Chart </w:t>
      </w:r>
      <w:r w:rsidR="00866AD9">
        <w:fldChar w:fldCharType="begin"/>
      </w:r>
      <w:r w:rsidR="00866AD9">
        <w:instrText xml:space="preserve"> SEQ Chart \* ARABIC </w:instrText>
      </w:r>
      <w:r w:rsidR="00866AD9">
        <w:fldChar w:fldCharType="separate"/>
      </w:r>
      <w:r w:rsidR="00AA2137">
        <w:rPr>
          <w:noProof/>
        </w:rPr>
        <w:t>29</w:t>
      </w:r>
      <w:r w:rsidR="00866AD9">
        <w:rPr>
          <w:noProof/>
        </w:rPr>
        <w:fldChar w:fldCharType="end"/>
      </w:r>
      <w:bookmarkEnd w:id="44"/>
      <w:r w:rsidRPr="00A47077">
        <w:t>: Stamp duty</w:t>
      </w:r>
      <w:r w:rsidR="004C5CFD">
        <w:t xml:space="preserve"> — </w:t>
      </w:r>
      <w:r w:rsidRPr="00A47077">
        <w:t>Income from GDP response</w:t>
      </w:r>
    </w:p>
    <w:p w14:paraId="29DD6A7C" w14:textId="4CD9F4EA" w:rsidR="005604EC" w:rsidRDefault="00866AD9" w:rsidP="00FD52B5">
      <w:pPr>
        <w:pStyle w:val="Caption1"/>
      </w:pPr>
      <w:r>
        <w:pict w14:anchorId="390167A1">
          <v:shape id="_x0000_i1074" type="#_x0000_t75" alt="This chart shows the price and volume response of the income components of GDP: capital income; labour income and indirect taxes; due to a marginal increase in the rate of stamp duties on conveyances." style="width:439.15pt;height:226pt">
            <v:imagedata r:id="rId103" o:title=""/>
          </v:shape>
        </w:pict>
      </w:r>
    </w:p>
    <w:p w14:paraId="2E317201" w14:textId="4B78F30F" w:rsidR="00016169" w:rsidRDefault="00016169" w:rsidP="0055740C">
      <w:pPr>
        <w:pStyle w:val="Source"/>
        <w:ind w:left="426"/>
      </w:pPr>
      <w:r>
        <w:rPr>
          <w:lang w:val="en-US"/>
        </w:rPr>
        <w:t xml:space="preserve">Source: </w:t>
      </w:r>
      <w:r w:rsidR="00E007CF">
        <w:t>Treasury estimates</w:t>
      </w:r>
      <w:r>
        <w:t>.</w:t>
      </w:r>
    </w:p>
    <w:p w14:paraId="29DD6A7D" w14:textId="77777777" w:rsidR="005604EC" w:rsidRDefault="005604EC" w:rsidP="0037543F">
      <w:r>
        <w:t xml:space="preserve">As discussed above increasing the price of investment in OTCs decreases investment with the majority of the total decline in investment coming from the investment in OTCs. Lower </w:t>
      </w:r>
      <w:r w:rsidR="00FF5E18">
        <w:t xml:space="preserve">real </w:t>
      </w:r>
      <w:r>
        <w:t xml:space="preserve">wages and </w:t>
      </w:r>
      <w:r w:rsidR="00C51123">
        <w:t xml:space="preserve">working </w:t>
      </w:r>
      <w:r>
        <w:t>hours also result in lower consumption.</w:t>
      </w:r>
    </w:p>
    <w:p w14:paraId="29DD6A7E" w14:textId="68CA04C5" w:rsidR="00BC6E55" w:rsidRDefault="00BC6E55" w:rsidP="00E82F3E">
      <w:pPr>
        <w:pStyle w:val="Caption1"/>
      </w:pPr>
      <w:bookmarkStart w:id="45" w:name="_Ref398460315"/>
      <w:r w:rsidRPr="00A47077">
        <w:t xml:space="preserve">Chart </w:t>
      </w:r>
      <w:r w:rsidR="00866AD9">
        <w:fldChar w:fldCharType="begin"/>
      </w:r>
      <w:r w:rsidR="00866AD9">
        <w:instrText xml:space="preserve"> SEQ Ch</w:instrText>
      </w:r>
      <w:r w:rsidR="00866AD9">
        <w:instrText xml:space="preserve">art \* ARABIC </w:instrText>
      </w:r>
      <w:r w:rsidR="00866AD9">
        <w:fldChar w:fldCharType="separate"/>
      </w:r>
      <w:r w:rsidR="00AA2137">
        <w:rPr>
          <w:noProof/>
        </w:rPr>
        <w:t>30</w:t>
      </w:r>
      <w:r w:rsidR="00866AD9">
        <w:rPr>
          <w:noProof/>
        </w:rPr>
        <w:fldChar w:fldCharType="end"/>
      </w:r>
      <w:bookmarkEnd w:id="45"/>
      <w:r w:rsidRPr="00A47077">
        <w:t>: Stamp duty</w:t>
      </w:r>
      <w:r w:rsidR="004C5CFD">
        <w:t xml:space="preserve"> — </w:t>
      </w:r>
      <w:r w:rsidRPr="00A47077">
        <w:t>Expenditure on GDP response</w:t>
      </w:r>
    </w:p>
    <w:p w14:paraId="29DD6A7F" w14:textId="6B07F76E" w:rsidR="005604EC" w:rsidRDefault="00866AD9" w:rsidP="00FD52B5">
      <w:pPr>
        <w:pStyle w:val="Caption1"/>
      </w:pPr>
      <w:r>
        <w:pict w14:anchorId="323BE9EE">
          <v:shape id="_x0000_i1075" type="#_x0000_t75" alt="This chart shows the price and volume response of the expenditure components of GDP: consumption; investment; government expenditure and net exports; due to a marginal increase in the rate of stamp duties on conveyances." style="width:439.15pt;height:226pt">
            <v:imagedata r:id="rId104" o:title=""/>
          </v:shape>
        </w:pict>
      </w:r>
    </w:p>
    <w:p w14:paraId="70C3A335" w14:textId="0679F623" w:rsidR="00016169" w:rsidRDefault="00016169" w:rsidP="0055740C">
      <w:pPr>
        <w:pStyle w:val="Source"/>
        <w:ind w:left="426"/>
      </w:pPr>
      <w:r>
        <w:rPr>
          <w:lang w:val="en-US"/>
        </w:rPr>
        <w:t xml:space="preserve">Source: </w:t>
      </w:r>
      <w:r w:rsidR="00E007CF">
        <w:t>Treasury estimates</w:t>
      </w:r>
      <w:r>
        <w:t>.</w:t>
      </w:r>
    </w:p>
    <w:p w14:paraId="29DD6A80" w14:textId="22898D34" w:rsidR="005604EC" w:rsidRDefault="00B843C6" w:rsidP="0037543F">
      <w:r>
        <w:t xml:space="preserve">Chart </w:t>
      </w:r>
      <w:r>
        <w:rPr>
          <w:noProof/>
        </w:rPr>
        <w:t>31</w:t>
      </w:r>
      <w:r w:rsidR="00FF5E18">
        <w:t xml:space="preserve"> reveals that a</w:t>
      </w:r>
      <w:r w:rsidR="005604EC">
        <w:t xml:space="preserve">round </w:t>
      </w:r>
      <w:r w:rsidR="005604EC" w:rsidRPr="00D640D7">
        <w:t>1.</w:t>
      </w:r>
      <w:r w:rsidR="00EC6FC9" w:rsidRPr="00D640D7">
        <w:t>30 </w:t>
      </w:r>
      <w:r w:rsidR="00FF5E18" w:rsidRPr="00D640D7">
        <w:t>dollars</w:t>
      </w:r>
      <w:r w:rsidR="00FF5E18">
        <w:t xml:space="preserve"> </w:t>
      </w:r>
      <w:r w:rsidR="005604EC">
        <w:t xml:space="preserve">of stamp duties must be raised </w:t>
      </w:r>
      <w:r w:rsidR="00FF5E18">
        <w:t xml:space="preserve">to </w:t>
      </w:r>
      <w:r w:rsidR="005604EC">
        <w:t xml:space="preserve">offset </w:t>
      </w:r>
      <w:r w:rsidR="00FF5E18">
        <w:t>the</w:t>
      </w:r>
      <w:r w:rsidR="005604EC">
        <w:t xml:space="preserve"> declines in revenues from other sources.</w:t>
      </w:r>
    </w:p>
    <w:p w14:paraId="29DD6A81" w14:textId="2D84D36D" w:rsidR="00BC6E55" w:rsidRDefault="00BC6E55" w:rsidP="00E82F3E">
      <w:pPr>
        <w:pStyle w:val="Caption1"/>
      </w:pPr>
      <w:bookmarkStart w:id="46" w:name="_Ref398460327"/>
      <w:r>
        <w:lastRenderedPageBreak/>
        <w:t xml:space="preserve">Chart </w:t>
      </w:r>
      <w:r w:rsidR="00866AD9">
        <w:fldChar w:fldCharType="begin"/>
      </w:r>
      <w:r w:rsidR="00866AD9">
        <w:instrText xml:space="preserve"> SEQ Chart \* ARABIC </w:instrText>
      </w:r>
      <w:r w:rsidR="00866AD9">
        <w:fldChar w:fldCharType="separate"/>
      </w:r>
      <w:r w:rsidR="00AA2137">
        <w:rPr>
          <w:noProof/>
        </w:rPr>
        <w:t>31</w:t>
      </w:r>
      <w:r w:rsidR="00866AD9">
        <w:rPr>
          <w:noProof/>
        </w:rPr>
        <w:fldChar w:fldCharType="end"/>
      </w:r>
      <w:bookmarkEnd w:id="46"/>
      <w:r>
        <w:t>: Stamp duty</w:t>
      </w:r>
      <w:r w:rsidR="004C5CFD">
        <w:t xml:space="preserve"> — </w:t>
      </w:r>
      <w:r w:rsidRPr="006A48CA">
        <w:t xml:space="preserve">Government </w:t>
      </w:r>
      <w:r>
        <w:t>b</w:t>
      </w:r>
      <w:r w:rsidRPr="006A48CA">
        <w:t xml:space="preserve">udget </w:t>
      </w:r>
      <w:r>
        <w:t>response</w:t>
      </w:r>
    </w:p>
    <w:p w14:paraId="29DD6A82" w14:textId="6C3E05D9" w:rsidR="005604EC" w:rsidRDefault="00866AD9" w:rsidP="00FD52B5">
      <w:pPr>
        <w:pStyle w:val="Caption1"/>
      </w:pPr>
      <w:r>
        <w:pict w14:anchorId="3AAE20BC">
          <v:shape id="_x0000_i1076" type="#_x0000_t75" alt="This chart shows the impact on the components of the government’s budget of raising one net dollar of additional revenue through raising the rate of stamp duties on conveyances." style="width:439.15pt;height:226pt">
            <v:imagedata r:id="rId105" o:title=""/>
          </v:shape>
        </w:pict>
      </w:r>
    </w:p>
    <w:p w14:paraId="1C29F37F" w14:textId="4671E7A0" w:rsidR="00016169" w:rsidRDefault="00016169" w:rsidP="0055740C">
      <w:pPr>
        <w:pStyle w:val="Source"/>
        <w:ind w:left="378"/>
      </w:pPr>
      <w:r>
        <w:rPr>
          <w:lang w:val="en-US"/>
        </w:rPr>
        <w:t xml:space="preserve">Source: </w:t>
      </w:r>
      <w:r w:rsidR="00E007CF">
        <w:t>Treasury estimates</w:t>
      </w:r>
      <w:r>
        <w:t>.</w:t>
      </w:r>
    </w:p>
    <w:p w14:paraId="29DD6A83" w14:textId="16CD37C8" w:rsidR="006A73DB" w:rsidRDefault="007B5309" w:rsidP="008E65C7">
      <w:pPr>
        <w:pStyle w:val="Heading4"/>
      </w:pPr>
      <w:r>
        <w:t>Marginal e</w:t>
      </w:r>
      <w:r w:rsidR="0014380C">
        <w:t>xcess burden and incidence</w:t>
      </w:r>
    </w:p>
    <w:p w14:paraId="29DD6A84" w14:textId="5A7A2796" w:rsidR="005604EC" w:rsidRDefault="005604EC" w:rsidP="0037543F">
      <w:r>
        <w:t xml:space="preserve">In aggregate </w:t>
      </w:r>
      <w:r w:rsidR="00A325A4">
        <w:t xml:space="preserve">the </w:t>
      </w:r>
      <w:r>
        <w:t xml:space="preserve">stamp </w:t>
      </w:r>
      <w:r w:rsidR="00A325A4">
        <w:t>duty change reduces</w:t>
      </w:r>
      <w:r>
        <w:t xml:space="preserve"> welfare </w:t>
      </w:r>
      <w:r w:rsidR="004F16F7">
        <w:t>by 72 cents</w:t>
      </w:r>
      <w:r>
        <w:t xml:space="preserve"> per dollar of revenue raised</w:t>
      </w:r>
      <w:r w:rsidR="005E1827">
        <w:t xml:space="preserve"> (</w:t>
      </w:r>
      <w:r w:rsidR="00B843C6">
        <w:t xml:space="preserve">Chart </w:t>
      </w:r>
      <w:r w:rsidR="00B843C6">
        <w:rPr>
          <w:noProof/>
        </w:rPr>
        <w:t>32</w:t>
      </w:r>
      <w:r w:rsidR="005E1827">
        <w:t>)</w:t>
      </w:r>
      <w:r>
        <w:t xml:space="preserve">. This suggests that stamp duty is less efficient than the </w:t>
      </w:r>
      <w:r w:rsidR="00A325A4">
        <w:t>company income tax</w:t>
      </w:r>
      <w:r w:rsidR="00D640D7">
        <w:t>.</w:t>
      </w:r>
      <w:r w:rsidR="006D2463">
        <w:t xml:space="preserve"> </w:t>
      </w:r>
      <w:r w:rsidR="00D640D7">
        <w:t>This result</w:t>
      </w:r>
      <w:r w:rsidR="00A325A4">
        <w:t xml:space="preserve"> is consistent with the </w:t>
      </w:r>
      <w:r w:rsidR="00C51123">
        <w:t xml:space="preserve">theoretical </w:t>
      </w:r>
      <w:r w:rsidR="00A325A4">
        <w:t>analysis reported above</w:t>
      </w:r>
      <w:r w:rsidR="00692D7A">
        <w:t xml:space="preserve">. The difference is largely due to the </w:t>
      </w:r>
      <w:r>
        <w:t xml:space="preserve">fall in </w:t>
      </w:r>
      <w:r w:rsidR="00692D7A">
        <w:t>after</w:t>
      </w:r>
      <w:r w:rsidR="00F03697">
        <w:noBreakHyphen/>
      </w:r>
      <w:r w:rsidR="00692D7A">
        <w:t xml:space="preserve">tax </w:t>
      </w:r>
      <w:r>
        <w:t>capital income</w:t>
      </w:r>
      <w:r w:rsidR="004A6B97">
        <w:t xml:space="preserve">, which leads to </w:t>
      </w:r>
      <w:r w:rsidR="00D640D7">
        <w:t xml:space="preserve">a </w:t>
      </w:r>
      <w:r w:rsidR="004A6B97">
        <w:t xml:space="preserve">greater </w:t>
      </w:r>
      <w:r w:rsidR="0014380C">
        <w:t xml:space="preserve">capital </w:t>
      </w:r>
      <w:r w:rsidR="004A6B97">
        <w:t xml:space="preserve">income effect than under the </w:t>
      </w:r>
      <w:r w:rsidR="00C51123">
        <w:t xml:space="preserve">company </w:t>
      </w:r>
      <w:r w:rsidR="00A93BF1">
        <w:t>income tax.</w:t>
      </w:r>
    </w:p>
    <w:p w14:paraId="29DD6A85" w14:textId="01191704" w:rsidR="00BC6E55" w:rsidRDefault="00BC6E55" w:rsidP="00E82F3E">
      <w:pPr>
        <w:pStyle w:val="Caption1"/>
      </w:pPr>
      <w:bookmarkStart w:id="47" w:name="_Ref398460355"/>
      <w:r>
        <w:t xml:space="preserve">Chart </w:t>
      </w:r>
      <w:r w:rsidR="00866AD9">
        <w:fldChar w:fldCharType="begin"/>
      </w:r>
      <w:r w:rsidR="00866AD9">
        <w:instrText xml:space="preserve"> SEQ Chart \* ARABIC </w:instrText>
      </w:r>
      <w:r w:rsidR="00866AD9">
        <w:fldChar w:fldCharType="separate"/>
      </w:r>
      <w:r w:rsidR="00AA2137">
        <w:rPr>
          <w:noProof/>
        </w:rPr>
        <w:t>32</w:t>
      </w:r>
      <w:r w:rsidR="00866AD9">
        <w:rPr>
          <w:noProof/>
        </w:rPr>
        <w:fldChar w:fldCharType="end"/>
      </w:r>
      <w:bookmarkEnd w:id="47"/>
      <w:r>
        <w:t>: Stamp duty</w:t>
      </w:r>
      <w:r w:rsidR="004C5CFD">
        <w:t xml:space="preserve"> — </w:t>
      </w:r>
      <w:r w:rsidR="0051143B">
        <w:t>Marginal e</w:t>
      </w:r>
      <w:r w:rsidR="00A34507">
        <w:t>xcess burden and incidence</w:t>
      </w:r>
    </w:p>
    <w:p w14:paraId="29DD6A86" w14:textId="068A9D8E" w:rsidR="005604EC" w:rsidRDefault="00866AD9" w:rsidP="00B066B3">
      <w:pPr>
        <w:pStyle w:val="Caption1"/>
      </w:pPr>
      <w:r>
        <w:pict w14:anchorId="237967A8">
          <v:shape id="_x0000_i1077" type="#_x0000_t75" alt="This chart decomposes the incidence of an increase in the rate of stamp duties on conveyances into its effect on labour income and capital income." style="width:455.5pt;height:196.75pt">
            <v:imagedata r:id="rId106" o:title=""/>
          </v:shape>
        </w:pict>
      </w:r>
    </w:p>
    <w:p w14:paraId="108A12C4" w14:textId="2FCF508A" w:rsidR="00016169" w:rsidRDefault="00016169" w:rsidP="0055740C">
      <w:pPr>
        <w:pStyle w:val="Source"/>
        <w:ind w:left="210"/>
      </w:pPr>
      <w:r>
        <w:rPr>
          <w:lang w:val="en-US"/>
        </w:rPr>
        <w:t xml:space="preserve">Source: </w:t>
      </w:r>
      <w:r w:rsidR="00E007CF">
        <w:t>Treasury estimates</w:t>
      </w:r>
      <w:r>
        <w:t>.</w:t>
      </w:r>
    </w:p>
    <w:p w14:paraId="29DD6A87" w14:textId="535DB1BC" w:rsidR="005604EC" w:rsidRDefault="005604EC" w:rsidP="005604EC">
      <w:pPr>
        <w:pStyle w:val="Heading3"/>
      </w:pPr>
      <w:r>
        <w:t xml:space="preserve">Comparison with </w:t>
      </w:r>
      <w:r w:rsidR="00D45BAD">
        <w:t>other studies</w:t>
      </w:r>
    </w:p>
    <w:p w14:paraId="29DD6A88" w14:textId="7421E4D2" w:rsidR="00ED2783" w:rsidRDefault="00B843C6" w:rsidP="008336E2">
      <w:r>
        <w:t xml:space="preserve">Table </w:t>
      </w:r>
      <w:r>
        <w:rPr>
          <w:noProof/>
        </w:rPr>
        <w:t>6</w:t>
      </w:r>
      <w:r w:rsidR="003D479E" w:rsidRPr="00ED2783">
        <w:t xml:space="preserve"> </w:t>
      </w:r>
      <w:r w:rsidR="008513EA" w:rsidRPr="008513EA">
        <w:rPr>
          <w:lang w:eastAsia="en-AU"/>
        </w:rPr>
        <w:t>reports the marginal excess burden based on the baseline calibration, along with the results of the sensitivity analysis (see Appendix A for details). The highest and lowest estimates from the sensitivity analysis are highlighte</w:t>
      </w:r>
      <w:r w:rsidR="008513EA">
        <w:rPr>
          <w:lang w:eastAsia="en-AU"/>
        </w:rPr>
        <w:t>d in red and green respectively</w:t>
      </w:r>
      <w:r w:rsidR="00AB52C6">
        <w:rPr>
          <w:lang w:eastAsia="en-AU"/>
        </w:rPr>
        <w:t>.</w:t>
      </w:r>
      <w:r w:rsidR="003D479E" w:rsidRPr="00ED2783">
        <w:t xml:space="preserve"> </w:t>
      </w:r>
      <w:r w:rsidR="00ED2783" w:rsidRPr="00ED2783">
        <w:t xml:space="preserve">The </w:t>
      </w:r>
      <w:r w:rsidR="004B5A5E">
        <w:t xml:space="preserve">marginal </w:t>
      </w:r>
      <w:r w:rsidR="00ED2783" w:rsidRPr="00ED2783">
        <w:t xml:space="preserve">excess burden of stamp duty is largely driven by the distortion it causes in the decision to transfer property. </w:t>
      </w:r>
      <w:r w:rsidR="00C51123" w:rsidRPr="006A73DB">
        <w:t>The responsi</w:t>
      </w:r>
      <w:r w:rsidR="00C51123">
        <w:t xml:space="preserve">veness </w:t>
      </w:r>
      <w:r w:rsidR="00C51123">
        <w:lastRenderedPageBreak/>
        <w:t xml:space="preserve">of transferring property </w:t>
      </w:r>
      <w:r w:rsidR="00C51123" w:rsidRPr="006A73DB">
        <w:t>to changes in stamp duty in the model is largely determined by the elasticity of substitution in the structures and land bundle</w:t>
      </w:r>
      <w:r w:rsidR="00C51123" w:rsidRPr="004B64F6">
        <w:t>. Under a zero elasticity of substitution between structures and land</w:t>
      </w:r>
      <w:r w:rsidR="00297DB9" w:rsidRPr="004B64F6">
        <w:t>,</w:t>
      </w:r>
      <w:r w:rsidR="00ED2783" w:rsidRPr="004B64F6">
        <w:t xml:space="preserve"> the </w:t>
      </w:r>
      <w:r w:rsidR="004B5A5E" w:rsidRPr="004B64F6">
        <w:t xml:space="preserve">marginal </w:t>
      </w:r>
      <w:r w:rsidR="00ED2783" w:rsidRPr="004B64F6">
        <w:t xml:space="preserve">excess burden of stamp duties falls </w:t>
      </w:r>
      <w:r w:rsidR="009A5E17" w:rsidRPr="004B64F6">
        <w:t xml:space="preserve">to just </w:t>
      </w:r>
      <w:r w:rsidR="00ED2783" w:rsidRPr="004B64F6">
        <w:t>under 10</w:t>
      </w:r>
      <w:r w:rsidR="00DD706F" w:rsidRPr="004B64F6">
        <w:t> </w:t>
      </w:r>
      <w:r w:rsidR="00ED2783" w:rsidRPr="004B64F6">
        <w:t xml:space="preserve">cents, while assuming that the </w:t>
      </w:r>
      <w:r w:rsidR="007A38CE" w:rsidRPr="004B64F6">
        <w:t xml:space="preserve">elasticity of substitution </w:t>
      </w:r>
      <w:r w:rsidR="00ED2783" w:rsidRPr="004B64F6">
        <w:t xml:space="preserve">is double that in the baseline calibration </w:t>
      </w:r>
      <w:r w:rsidR="00FF5945" w:rsidRPr="004B64F6">
        <w:t xml:space="preserve">increases </w:t>
      </w:r>
      <w:r w:rsidR="00ED2783" w:rsidRPr="004B64F6">
        <w:t>the</w:t>
      </w:r>
      <w:r w:rsidR="004B5A5E" w:rsidRPr="004B64F6">
        <w:t xml:space="preserve"> marginal</w:t>
      </w:r>
      <w:r w:rsidR="00ED2783" w:rsidRPr="004B64F6">
        <w:t xml:space="preserve"> excess burden</w:t>
      </w:r>
      <w:r w:rsidR="00FF5945" w:rsidRPr="004B64F6">
        <w:t xml:space="preserve"> by 45 cents</w:t>
      </w:r>
      <w:r w:rsidR="00ED2783" w:rsidRPr="004B64F6">
        <w:t>.</w:t>
      </w:r>
    </w:p>
    <w:p w14:paraId="29DD6A89" w14:textId="70CDABBB" w:rsidR="00357294" w:rsidRDefault="00A24ED7" w:rsidP="009233EA">
      <w:pPr>
        <w:pStyle w:val="Caption1"/>
        <w:jc w:val="left"/>
      </w:pPr>
      <w:bookmarkStart w:id="48" w:name="_Ref400004291"/>
      <w:r>
        <w:t>Table</w:t>
      </w:r>
      <w:r w:rsidR="00357294">
        <w:t xml:space="preserve"> </w:t>
      </w:r>
      <w:r w:rsidR="00866AD9">
        <w:fldChar w:fldCharType="begin"/>
      </w:r>
      <w:r w:rsidR="00866AD9">
        <w:instrText xml:space="preserve"> SEQ Table \* ARABIC </w:instrText>
      </w:r>
      <w:r w:rsidR="00866AD9">
        <w:fldChar w:fldCharType="separate"/>
      </w:r>
      <w:r w:rsidR="00AA2137">
        <w:rPr>
          <w:noProof/>
        </w:rPr>
        <w:t>6</w:t>
      </w:r>
      <w:r w:rsidR="00866AD9">
        <w:rPr>
          <w:noProof/>
        </w:rPr>
        <w:fldChar w:fldCharType="end"/>
      </w:r>
      <w:bookmarkEnd w:id="48"/>
      <w:r w:rsidR="00357294">
        <w:t>: Stamp duty</w:t>
      </w:r>
      <w:r w:rsidR="004C5CFD">
        <w:t xml:space="preserve"> — </w:t>
      </w:r>
      <w:r w:rsidR="0051143B">
        <w:t>Marginal e</w:t>
      </w:r>
      <w:r w:rsidR="00357294">
        <w:t xml:space="preserve">xcess burden </w:t>
      </w:r>
      <w:r w:rsidR="00EB3C40">
        <w:t>comparison</w:t>
      </w:r>
    </w:p>
    <w:tbl>
      <w:tblPr>
        <w:tblW w:w="8200" w:type="dxa"/>
        <w:tblInd w:w="108" w:type="dxa"/>
        <w:tblLook w:val="04A0" w:firstRow="1" w:lastRow="0" w:firstColumn="1" w:lastColumn="0" w:noHBand="0" w:noVBand="1"/>
      </w:tblPr>
      <w:tblGrid>
        <w:gridCol w:w="6096"/>
        <w:gridCol w:w="2104"/>
      </w:tblGrid>
      <w:tr w:rsidR="008D0B98" w:rsidRPr="009233EA" w14:paraId="1151ECF2" w14:textId="77777777" w:rsidTr="008D0B98">
        <w:trPr>
          <w:trHeight w:val="600"/>
        </w:trPr>
        <w:tc>
          <w:tcPr>
            <w:tcW w:w="6096" w:type="dxa"/>
            <w:tcBorders>
              <w:top w:val="single" w:sz="8" w:space="0" w:color="auto"/>
              <w:left w:val="nil"/>
              <w:bottom w:val="single" w:sz="4" w:space="0" w:color="auto"/>
              <w:right w:val="nil"/>
            </w:tcBorders>
            <w:shd w:val="clear" w:color="auto" w:fill="auto"/>
            <w:noWrap/>
            <w:vAlign w:val="bottom"/>
            <w:hideMark/>
          </w:tcPr>
          <w:p w14:paraId="59193827" w14:textId="77777777" w:rsidR="008D0B98" w:rsidRPr="008D0B98" w:rsidRDefault="008D0B98"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 </w:t>
            </w:r>
          </w:p>
        </w:tc>
        <w:tc>
          <w:tcPr>
            <w:tcW w:w="2104" w:type="dxa"/>
            <w:tcBorders>
              <w:top w:val="single" w:sz="8" w:space="0" w:color="auto"/>
              <w:left w:val="nil"/>
              <w:bottom w:val="single" w:sz="4" w:space="0" w:color="auto"/>
              <w:right w:val="nil"/>
            </w:tcBorders>
            <w:shd w:val="clear" w:color="auto" w:fill="auto"/>
            <w:vAlign w:val="center"/>
            <w:hideMark/>
          </w:tcPr>
          <w:p w14:paraId="378C02BD" w14:textId="1FDDA648" w:rsidR="008D0B98" w:rsidRPr="009233EA" w:rsidRDefault="008D0B98" w:rsidP="008D0B98">
            <w:pPr>
              <w:keepNext/>
              <w:spacing w:after="0" w:line="240" w:lineRule="auto"/>
              <w:jc w:val="center"/>
              <w:rPr>
                <w:rFonts w:eastAsia="Times New Roman" w:cs="Times New Roman"/>
                <w:b/>
                <w:color w:val="000000"/>
                <w:lang w:eastAsia="en-AU"/>
              </w:rPr>
            </w:pPr>
            <w:r w:rsidRPr="009233EA">
              <w:rPr>
                <w:rFonts w:eastAsia="Times New Roman" w:cs="Times New Roman"/>
                <w:b/>
                <w:color w:val="000000"/>
                <w:lang w:eastAsia="en-AU"/>
              </w:rPr>
              <w:t>Stamp duties on conveyances MEB ($)</w:t>
            </w:r>
          </w:p>
        </w:tc>
      </w:tr>
      <w:tr w:rsidR="008D0B98" w:rsidRPr="008D0B98" w14:paraId="3FFDAD8A"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0EFBC30E" w14:textId="77777777" w:rsidR="008D0B98" w:rsidRPr="008D0B98" w:rsidRDefault="008D0B98"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Baseline</w:t>
            </w:r>
          </w:p>
        </w:tc>
        <w:tc>
          <w:tcPr>
            <w:tcW w:w="2104" w:type="dxa"/>
            <w:tcBorders>
              <w:top w:val="nil"/>
              <w:left w:val="nil"/>
              <w:bottom w:val="nil"/>
              <w:right w:val="nil"/>
            </w:tcBorders>
            <w:shd w:val="clear" w:color="auto" w:fill="auto"/>
            <w:noWrap/>
            <w:vAlign w:val="center"/>
            <w:hideMark/>
          </w:tcPr>
          <w:p w14:paraId="6B7699F8" w14:textId="77777777" w:rsidR="008D0B98" w:rsidRPr="008D0B98" w:rsidRDefault="008D0B98"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0.72</w:t>
            </w:r>
          </w:p>
        </w:tc>
      </w:tr>
      <w:tr w:rsidR="00B87C5B" w:rsidRPr="008D0B98" w14:paraId="01931809" w14:textId="77777777" w:rsidTr="008D0B98">
        <w:trPr>
          <w:trHeight w:val="300"/>
        </w:trPr>
        <w:tc>
          <w:tcPr>
            <w:tcW w:w="6096" w:type="dxa"/>
            <w:tcBorders>
              <w:top w:val="nil"/>
              <w:left w:val="nil"/>
              <w:bottom w:val="nil"/>
              <w:right w:val="nil"/>
            </w:tcBorders>
            <w:shd w:val="clear" w:color="auto" w:fill="auto"/>
            <w:noWrap/>
            <w:vAlign w:val="bottom"/>
            <w:hideMark/>
          </w:tcPr>
          <w:p w14:paraId="01F756F0" w14:textId="54BF1DCB"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firm behaviour</w:t>
            </w:r>
          </w:p>
        </w:tc>
        <w:tc>
          <w:tcPr>
            <w:tcW w:w="2104" w:type="dxa"/>
            <w:tcBorders>
              <w:top w:val="single" w:sz="4" w:space="0" w:color="auto"/>
              <w:left w:val="nil"/>
              <w:bottom w:val="nil"/>
              <w:right w:val="nil"/>
            </w:tcBorders>
            <w:shd w:val="clear" w:color="auto" w:fill="auto"/>
            <w:noWrap/>
            <w:vAlign w:val="center"/>
            <w:hideMark/>
          </w:tcPr>
          <w:p w14:paraId="08CED376" w14:textId="3A0CFBED"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47F6CCC2" w14:textId="77777777" w:rsidTr="008D0B98">
        <w:trPr>
          <w:trHeight w:val="300"/>
        </w:trPr>
        <w:tc>
          <w:tcPr>
            <w:tcW w:w="6096" w:type="dxa"/>
            <w:tcBorders>
              <w:top w:val="nil"/>
              <w:left w:val="nil"/>
              <w:bottom w:val="nil"/>
              <w:right w:val="nil"/>
            </w:tcBorders>
            <w:shd w:val="clear" w:color="auto" w:fill="auto"/>
            <w:noWrap/>
            <w:vAlign w:val="bottom"/>
            <w:hideMark/>
          </w:tcPr>
          <w:p w14:paraId="030DC44A" w14:textId="2CA6F59F"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Economic rents</w:t>
            </w:r>
          </w:p>
        </w:tc>
        <w:tc>
          <w:tcPr>
            <w:tcW w:w="2104" w:type="dxa"/>
            <w:tcBorders>
              <w:top w:val="nil"/>
              <w:left w:val="nil"/>
              <w:bottom w:val="nil"/>
              <w:right w:val="nil"/>
            </w:tcBorders>
            <w:shd w:val="clear" w:color="auto" w:fill="auto"/>
            <w:noWrap/>
            <w:vAlign w:val="center"/>
            <w:hideMark/>
          </w:tcPr>
          <w:p w14:paraId="423009DA"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3490EBF5" w14:textId="77777777" w:rsidTr="008D0B98">
        <w:trPr>
          <w:trHeight w:val="300"/>
        </w:trPr>
        <w:tc>
          <w:tcPr>
            <w:tcW w:w="6096" w:type="dxa"/>
            <w:tcBorders>
              <w:top w:val="nil"/>
              <w:left w:val="nil"/>
              <w:bottom w:val="nil"/>
              <w:right w:val="nil"/>
            </w:tcBorders>
            <w:shd w:val="clear" w:color="auto" w:fill="auto"/>
            <w:noWrap/>
            <w:vAlign w:val="bottom"/>
            <w:hideMark/>
          </w:tcPr>
          <w:p w14:paraId="621A053E" w14:textId="03A0D834"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rent share</w:t>
            </w:r>
          </w:p>
        </w:tc>
        <w:tc>
          <w:tcPr>
            <w:tcW w:w="2104" w:type="dxa"/>
            <w:tcBorders>
              <w:top w:val="nil"/>
              <w:left w:val="nil"/>
              <w:bottom w:val="nil"/>
              <w:right w:val="nil"/>
            </w:tcBorders>
            <w:shd w:val="clear" w:color="auto" w:fill="auto"/>
            <w:noWrap/>
            <w:vAlign w:val="center"/>
            <w:hideMark/>
          </w:tcPr>
          <w:p w14:paraId="1B480267"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0.98</w:t>
            </w:r>
          </w:p>
        </w:tc>
      </w:tr>
      <w:tr w:rsidR="00B87C5B" w:rsidRPr="008D0B98" w14:paraId="6D3E6CD4" w14:textId="77777777" w:rsidTr="008D0B98">
        <w:trPr>
          <w:trHeight w:val="300"/>
        </w:trPr>
        <w:tc>
          <w:tcPr>
            <w:tcW w:w="6096" w:type="dxa"/>
            <w:tcBorders>
              <w:top w:val="nil"/>
              <w:left w:val="nil"/>
              <w:bottom w:val="nil"/>
              <w:right w:val="nil"/>
            </w:tcBorders>
            <w:shd w:val="clear" w:color="auto" w:fill="auto"/>
            <w:noWrap/>
            <w:vAlign w:val="bottom"/>
            <w:hideMark/>
          </w:tcPr>
          <w:p w14:paraId="36B8D4DF" w14:textId="3B72B7CC"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rent share</w:t>
            </w:r>
          </w:p>
        </w:tc>
        <w:tc>
          <w:tcPr>
            <w:tcW w:w="2104" w:type="dxa"/>
            <w:tcBorders>
              <w:top w:val="nil"/>
              <w:left w:val="nil"/>
              <w:bottom w:val="nil"/>
              <w:right w:val="nil"/>
            </w:tcBorders>
            <w:shd w:val="clear" w:color="auto" w:fill="auto"/>
            <w:noWrap/>
            <w:vAlign w:val="center"/>
            <w:hideMark/>
          </w:tcPr>
          <w:p w14:paraId="6BCB31B2"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0.64</w:t>
            </w:r>
          </w:p>
        </w:tc>
      </w:tr>
      <w:tr w:rsidR="00B87C5B" w:rsidRPr="008D0B98" w14:paraId="51FFD36A" w14:textId="77777777" w:rsidTr="008D0B98">
        <w:trPr>
          <w:trHeight w:val="300"/>
        </w:trPr>
        <w:tc>
          <w:tcPr>
            <w:tcW w:w="6096" w:type="dxa"/>
            <w:tcBorders>
              <w:top w:val="nil"/>
              <w:left w:val="nil"/>
              <w:bottom w:val="nil"/>
              <w:right w:val="nil"/>
            </w:tcBorders>
            <w:shd w:val="clear" w:color="auto" w:fill="auto"/>
            <w:noWrap/>
            <w:vAlign w:val="bottom"/>
            <w:hideMark/>
          </w:tcPr>
          <w:p w14:paraId="0EE1E1E7" w14:textId="528FEF40" w:rsidR="00B87C5B" w:rsidRPr="008D0B98" w:rsidRDefault="00B87C5B"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Foreign ownership of firms</w:t>
            </w:r>
          </w:p>
        </w:tc>
        <w:tc>
          <w:tcPr>
            <w:tcW w:w="2104" w:type="dxa"/>
            <w:tcBorders>
              <w:top w:val="nil"/>
              <w:left w:val="nil"/>
              <w:bottom w:val="nil"/>
              <w:right w:val="nil"/>
            </w:tcBorders>
            <w:shd w:val="clear" w:color="auto" w:fill="auto"/>
            <w:noWrap/>
            <w:vAlign w:val="center"/>
            <w:hideMark/>
          </w:tcPr>
          <w:p w14:paraId="0AA40927"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7933CE52" w14:textId="77777777" w:rsidTr="008D0B98">
        <w:trPr>
          <w:trHeight w:val="300"/>
        </w:trPr>
        <w:tc>
          <w:tcPr>
            <w:tcW w:w="6096" w:type="dxa"/>
            <w:tcBorders>
              <w:top w:val="nil"/>
              <w:left w:val="nil"/>
              <w:bottom w:val="nil"/>
              <w:right w:val="nil"/>
            </w:tcBorders>
            <w:shd w:val="clear" w:color="auto" w:fill="auto"/>
            <w:noWrap/>
            <w:vAlign w:val="bottom"/>
            <w:hideMark/>
          </w:tcPr>
          <w:p w14:paraId="5E5E76D4" w14:textId="30B4BE09"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foreign ownership</w:t>
            </w:r>
          </w:p>
        </w:tc>
        <w:tc>
          <w:tcPr>
            <w:tcW w:w="2104" w:type="dxa"/>
            <w:tcBorders>
              <w:top w:val="nil"/>
              <w:left w:val="nil"/>
              <w:bottom w:val="nil"/>
              <w:right w:val="nil"/>
            </w:tcBorders>
            <w:shd w:val="clear" w:color="auto" w:fill="auto"/>
            <w:noWrap/>
            <w:vAlign w:val="center"/>
            <w:hideMark/>
          </w:tcPr>
          <w:p w14:paraId="69017D61"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0.72</w:t>
            </w:r>
          </w:p>
        </w:tc>
      </w:tr>
      <w:tr w:rsidR="00B87C5B" w:rsidRPr="008D0B98" w14:paraId="330D3E13" w14:textId="77777777" w:rsidTr="008D0B98">
        <w:trPr>
          <w:trHeight w:val="300"/>
        </w:trPr>
        <w:tc>
          <w:tcPr>
            <w:tcW w:w="6096" w:type="dxa"/>
            <w:tcBorders>
              <w:top w:val="nil"/>
              <w:left w:val="nil"/>
              <w:bottom w:val="nil"/>
              <w:right w:val="nil"/>
            </w:tcBorders>
            <w:shd w:val="clear" w:color="auto" w:fill="auto"/>
            <w:noWrap/>
            <w:vAlign w:val="bottom"/>
            <w:hideMark/>
          </w:tcPr>
          <w:p w14:paraId="537F290F" w14:textId="778560AC"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foreign ownership</w:t>
            </w:r>
          </w:p>
        </w:tc>
        <w:tc>
          <w:tcPr>
            <w:tcW w:w="2104" w:type="dxa"/>
            <w:tcBorders>
              <w:top w:val="nil"/>
              <w:left w:val="nil"/>
              <w:bottom w:val="nil"/>
              <w:right w:val="nil"/>
            </w:tcBorders>
            <w:shd w:val="clear" w:color="auto" w:fill="auto"/>
            <w:noWrap/>
            <w:vAlign w:val="center"/>
            <w:hideMark/>
          </w:tcPr>
          <w:p w14:paraId="5056F54C"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0.72</w:t>
            </w:r>
          </w:p>
        </w:tc>
      </w:tr>
      <w:tr w:rsidR="00B87C5B" w:rsidRPr="008D0B98" w14:paraId="7A84BAD4" w14:textId="77777777" w:rsidTr="008D0B98">
        <w:trPr>
          <w:trHeight w:val="300"/>
        </w:trPr>
        <w:tc>
          <w:tcPr>
            <w:tcW w:w="6096" w:type="dxa"/>
            <w:tcBorders>
              <w:top w:val="nil"/>
              <w:left w:val="nil"/>
              <w:bottom w:val="nil"/>
              <w:right w:val="nil"/>
            </w:tcBorders>
            <w:shd w:val="clear" w:color="auto" w:fill="auto"/>
            <w:noWrap/>
            <w:vAlign w:val="bottom"/>
            <w:hideMark/>
          </w:tcPr>
          <w:p w14:paraId="1E133419" w14:textId="29A6BAC6" w:rsidR="00B87C5B" w:rsidRPr="008D0B98" w:rsidRDefault="00B87C5B" w:rsidP="00B87C5B">
            <w:pPr>
              <w:keepNext/>
              <w:spacing w:after="0" w:line="240" w:lineRule="auto"/>
              <w:rPr>
                <w:rFonts w:eastAsia="Times New Roman" w:cs="Times New Roman"/>
                <w:color w:val="000000"/>
                <w:lang w:eastAsia="en-AU"/>
              </w:rPr>
            </w:pPr>
            <w:r>
              <w:rPr>
                <w:rFonts w:eastAsia="Times New Roman" w:cs="Times New Roman"/>
                <w:color w:val="000000"/>
                <w:lang w:eastAsia="en-AU"/>
              </w:rPr>
              <w:t>Capital mobility</w:t>
            </w:r>
          </w:p>
        </w:tc>
        <w:tc>
          <w:tcPr>
            <w:tcW w:w="2104" w:type="dxa"/>
            <w:tcBorders>
              <w:top w:val="nil"/>
              <w:left w:val="nil"/>
              <w:bottom w:val="nil"/>
              <w:right w:val="nil"/>
            </w:tcBorders>
            <w:shd w:val="clear" w:color="auto" w:fill="auto"/>
            <w:noWrap/>
            <w:vAlign w:val="center"/>
            <w:hideMark/>
          </w:tcPr>
          <w:p w14:paraId="61C26AB6"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1932D0B5" w14:textId="77777777" w:rsidTr="008D0B98">
        <w:trPr>
          <w:trHeight w:val="300"/>
        </w:trPr>
        <w:tc>
          <w:tcPr>
            <w:tcW w:w="6096" w:type="dxa"/>
            <w:tcBorders>
              <w:top w:val="nil"/>
              <w:left w:val="nil"/>
              <w:bottom w:val="nil"/>
              <w:right w:val="nil"/>
            </w:tcBorders>
            <w:shd w:val="clear" w:color="auto" w:fill="auto"/>
            <w:noWrap/>
            <w:vAlign w:val="bottom"/>
            <w:hideMark/>
          </w:tcPr>
          <w:p w14:paraId="51005ABD" w14:textId="55564EA2"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Imperfect c</w:t>
            </w:r>
            <w:r w:rsidRPr="008D0B98">
              <w:rPr>
                <w:rFonts w:eastAsia="Times New Roman" w:cs="Times New Roman"/>
                <w:color w:val="000000"/>
                <w:lang w:eastAsia="en-AU"/>
              </w:rPr>
              <w:t>apital mobility</w:t>
            </w:r>
          </w:p>
        </w:tc>
        <w:tc>
          <w:tcPr>
            <w:tcW w:w="2104" w:type="dxa"/>
            <w:tcBorders>
              <w:top w:val="nil"/>
              <w:left w:val="nil"/>
              <w:bottom w:val="nil"/>
              <w:right w:val="nil"/>
            </w:tcBorders>
            <w:shd w:val="clear" w:color="auto" w:fill="auto"/>
            <w:noWrap/>
            <w:vAlign w:val="center"/>
            <w:hideMark/>
          </w:tcPr>
          <w:p w14:paraId="15A5EAF1"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0.66</w:t>
            </w:r>
          </w:p>
        </w:tc>
      </w:tr>
      <w:tr w:rsidR="00B87C5B" w:rsidRPr="008D0B98" w14:paraId="65901C73" w14:textId="77777777" w:rsidTr="008D0B98">
        <w:trPr>
          <w:trHeight w:val="300"/>
        </w:trPr>
        <w:tc>
          <w:tcPr>
            <w:tcW w:w="6096" w:type="dxa"/>
            <w:tcBorders>
              <w:top w:val="nil"/>
              <w:left w:val="nil"/>
              <w:bottom w:val="nil"/>
              <w:right w:val="nil"/>
            </w:tcBorders>
            <w:shd w:val="clear" w:color="auto" w:fill="auto"/>
            <w:noWrap/>
            <w:vAlign w:val="bottom"/>
            <w:hideMark/>
          </w:tcPr>
          <w:p w14:paraId="4D7D6939" w14:textId="65A32BA0"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Profi</w:t>
            </w:r>
            <w:r>
              <w:rPr>
                <w:rFonts w:eastAsia="Times New Roman" w:cs="Times New Roman"/>
                <w:color w:val="000000"/>
                <w:lang w:eastAsia="en-AU"/>
              </w:rPr>
              <w:t xml:space="preserve">t shifting </w:t>
            </w:r>
          </w:p>
        </w:tc>
        <w:tc>
          <w:tcPr>
            <w:tcW w:w="2104" w:type="dxa"/>
            <w:tcBorders>
              <w:top w:val="nil"/>
              <w:left w:val="nil"/>
              <w:bottom w:val="nil"/>
              <w:right w:val="nil"/>
            </w:tcBorders>
            <w:shd w:val="clear" w:color="auto" w:fill="auto"/>
            <w:noWrap/>
            <w:vAlign w:val="center"/>
            <w:hideMark/>
          </w:tcPr>
          <w:p w14:paraId="5F3A95C2"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3C5F0F24" w14:textId="77777777" w:rsidTr="008D0B98">
        <w:trPr>
          <w:trHeight w:val="300"/>
        </w:trPr>
        <w:tc>
          <w:tcPr>
            <w:tcW w:w="6096" w:type="dxa"/>
            <w:tcBorders>
              <w:top w:val="nil"/>
              <w:left w:val="nil"/>
              <w:bottom w:val="nil"/>
              <w:right w:val="nil"/>
            </w:tcBorders>
            <w:shd w:val="clear" w:color="auto" w:fill="auto"/>
            <w:noWrap/>
            <w:vAlign w:val="bottom"/>
            <w:hideMark/>
          </w:tcPr>
          <w:p w14:paraId="64A053F9" w14:textId="4A04E547"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profit shifting</w:t>
            </w:r>
          </w:p>
        </w:tc>
        <w:tc>
          <w:tcPr>
            <w:tcW w:w="2104" w:type="dxa"/>
            <w:tcBorders>
              <w:top w:val="nil"/>
              <w:left w:val="nil"/>
              <w:bottom w:val="nil"/>
              <w:right w:val="nil"/>
            </w:tcBorders>
            <w:shd w:val="clear" w:color="auto" w:fill="auto"/>
            <w:noWrap/>
            <w:vAlign w:val="center"/>
            <w:hideMark/>
          </w:tcPr>
          <w:p w14:paraId="75C25C62"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0.75</w:t>
            </w:r>
          </w:p>
        </w:tc>
      </w:tr>
      <w:tr w:rsidR="00B87C5B" w:rsidRPr="008D0B98" w14:paraId="372AC45B" w14:textId="77777777" w:rsidTr="008D0B98">
        <w:trPr>
          <w:trHeight w:val="300"/>
        </w:trPr>
        <w:tc>
          <w:tcPr>
            <w:tcW w:w="6096" w:type="dxa"/>
            <w:tcBorders>
              <w:top w:val="nil"/>
              <w:left w:val="nil"/>
              <w:bottom w:val="nil"/>
              <w:right w:val="nil"/>
            </w:tcBorders>
            <w:shd w:val="clear" w:color="auto" w:fill="auto"/>
            <w:noWrap/>
            <w:vAlign w:val="bottom"/>
            <w:hideMark/>
          </w:tcPr>
          <w:p w14:paraId="25D4B55E" w14:textId="06CDBB63"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profit shifting</w:t>
            </w:r>
          </w:p>
        </w:tc>
        <w:tc>
          <w:tcPr>
            <w:tcW w:w="2104" w:type="dxa"/>
            <w:tcBorders>
              <w:top w:val="nil"/>
              <w:left w:val="nil"/>
              <w:bottom w:val="nil"/>
              <w:right w:val="nil"/>
            </w:tcBorders>
            <w:shd w:val="clear" w:color="auto" w:fill="auto"/>
            <w:noWrap/>
            <w:vAlign w:val="center"/>
            <w:hideMark/>
          </w:tcPr>
          <w:p w14:paraId="6C3E9017"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0.69</w:t>
            </w:r>
          </w:p>
        </w:tc>
      </w:tr>
      <w:tr w:rsidR="00B87C5B" w:rsidRPr="008D0B98" w14:paraId="1F4DAF27" w14:textId="77777777" w:rsidTr="008D0B98">
        <w:trPr>
          <w:trHeight w:val="300"/>
        </w:trPr>
        <w:tc>
          <w:tcPr>
            <w:tcW w:w="6096" w:type="dxa"/>
            <w:tcBorders>
              <w:top w:val="nil"/>
              <w:left w:val="nil"/>
              <w:bottom w:val="nil"/>
              <w:right w:val="nil"/>
            </w:tcBorders>
            <w:shd w:val="clear" w:color="auto" w:fill="auto"/>
            <w:noWrap/>
            <w:vAlign w:val="bottom"/>
            <w:hideMark/>
          </w:tcPr>
          <w:p w14:paraId="7EBBB697" w14:textId="0BA3FD4E"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Structur</w:t>
            </w:r>
            <w:r>
              <w:rPr>
                <w:rFonts w:eastAsia="Times New Roman" w:cs="Times New Roman"/>
                <w:color w:val="000000"/>
                <w:lang w:eastAsia="en-AU"/>
              </w:rPr>
              <w:t>es</w:t>
            </w:r>
            <w:r w:rsidR="00F03697">
              <w:rPr>
                <w:rFonts w:eastAsia="Times New Roman" w:cs="Times New Roman"/>
                <w:color w:val="000000"/>
                <w:lang w:eastAsia="en-AU"/>
              </w:rPr>
              <w:noBreakHyphen/>
            </w:r>
            <w:r>
              <w:rPr>
                <w:rFonts w:eastAsia="Times New Roman" w:cs="Times New Roman"/>
                <w:color w:val="000000"/>
                <w:lang w:eastAsia="en-AU"/>
              </w:rPr>
              <w:t>land substitution elasticity</w:t>
            </w:r>
          </w:p>
        </w:tc>
        <w:tc>
          <w:tcPr>
            <w:tcW w:w="2104" w:type="dxa"/>
            <w:tcBorders>
              <w:top w:val="nil"/>
              <w:left w:val="nil"/>
              <w:bottom w:val="nil"/>
              <w:right w:val="nil"/>
            </w:tcBorders>
            <w:shd w:val="clear" w:color="auto" w:fill="auto"/>
            <w:noWrap/>
            <w:vAlign w:val="center"/>
            <w:hideMark/>
          </w:tcPr>
          <w:p w14:paraId="0258AF67"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2B29F720" w14:textId="77777777" w:rsidTr="008D0B98">
        <w:trPr>
          <w:trHeight w:val="300"/>
        </w:trPr>
        <w:tc>
          <w:tcPr>
            <w:tcW w:w="6096" w:type="dxa"/>
            <w:tcBorders>
              <w:top w:val="nil"/>
              <w:left w:val="nil"/>
              <w:bottom w:val="nil"/>
              <w:right w:val="nil"/>
            </w:tcBorders>
            <w:shd w:val="clear" w:color="auto" w:fill="auto"/>
            <w:noWrap/>
            <w:vAlign w:val="bottom"/>
            <w:hideMark/>
          </w:tcPr>
          <w:p w14:paraId="02452F82" w14:textId="41234722"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104" w:type="dxa"/>
            <w:tcBorders>
              <w:top w:val="nil"/>
              <w:left w:val="nil"/>
              <w:bottom w:val="nil"/>
              <w:right w:val="nil"/>
            </w:tcBorders>
            <w:shd w:val="clear" w:color="auto" w:fill="auto"/>
            <w:noWrap/>
            <w:vAlign w:val="center"/>
            <w:hideMark/>
          </w:tcPr>
          <w:p w14:paraId="333C4B85" w14:textId="77777777" w:rsidR="00B87C5B" w:rsidRPr="008D0B98" w:rsidRDefault="00B87C5B" w:rsidP="008D0B98">
            <w:pPr>
              <w:keepNext/>
              <w:spacing w:after="0" w:line="240" w:lineRule="auto"/>
              <w:jc w:val="center"/>
              <w:rPr>
                <w:rFonts w:eastAsia="Times New Roman" w:cs="Times New Roman"/>
                <w:b/>
                <w:bCs/>
                <w:color w:val="008000"/>
                <w:lang w:eastAsia="en-AU"/>
              </w:rPr>
            </w:pPr>
            <w:r w:rsidRPr="008D0B98">
              <w:rPr>
                <w:rFonts w:eastAsia="Times New Roman" w:cs="Times New Roman"/>
                <w:b/>
                <w:bCs/>
                <w:color w:val="008000"/>
                <w:lang w:eastAsia="en-AU"/>
              </w:rPr>
              <w:t>0.10</w:t>
            </w:r>
          </w:p>
        </w:tc>
      </w:tr>
      <w:tr w:rsidR="00B87C5B" w:rsidRPr="008D0B98" w14:paraId="4634906C" w14:textId="77777777" w:rsidTr="008D0B98">
        <w:trPr>
          <w:trHeight w:val="300"/>
        </w:trPr>
        <w:tc>
          <w:tcPr>
            <w:tcW w:w="6096" w:type="dxa"/>
            <w:tcBorders>
              <w:top w:val="nil"/>
              <w:left w:val="nil"/>
              <w:bottom w:val="nil"/>
              <w:right w:val="nil"/>
            </w:tcBorders>
            <w:shd w:val="clear" w:color="auto" w:fill="auto"/>
            <w:noWrap/>
            <w:vAlign w:val="bottom"/>
            <w:hideMark/>
          </w:tcPr>
          <w:p w14:paraId="03FA4DE3" w14:textId="45FE82C7"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104" w:type="dxa"/>
            <w:tcBorders>
              <w:top w:val="nil"/>
              <w:left w:val="nil"/>
              <w:bottom w:val="nil"/>
              <w:right w:val="nil"/>
            </w:tcBorders>
            <w:shd w:val="clear" w:color="auto" w:fill="auto"/>
            <w:noWrap/>
            <w:vAlign w:val="center"/>
            <w:hideMark/>
          </w:tcPr>
          <w:p w14:paraId="348AA6FA"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1.15</w:t>
            </w:r>
          </w:p>
        </w:tc>
      </w:tr>
      <w:tr w:rsidR="00B87C5B" w:rsidRPr="008D0B98" w14:paraId="0FCFD661" w14:textId="77777777" w:rsidTr="008D0B98">
        <w:trPr>
          <w:trHeight w:val="300"/>
        </w:trPr>
        <w:tc>
          <w:tcPr>
            <w:tcW w:w="6096" w:type="dxa"/>
            <w:tcBorders>
              <w:top w:val="nil"/>
              <w:left w:val="nil"/>
              <w:bottom w:val="nil"/>
              <w:right w:val="nil"/>
            </w:tcBorders>
            <w:shd w:val="clear" w:color="auto" w:fill="auto"/>
            <w:noWrap/>
            <w:vAlign w:val="bottom"/>
            <w:hideMark/>
          </w:tcPr>
          <w:p w14:paraId="699563A3" w14:textId="0DA8B22E"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Capital</w:t>
            </w:r>
            <w:r w:rsidR="00F03697">
              <w:rPr>
                <w:rFonts w:eastAsia="Times New Roman" w:cs="Times New Roman"/>
                <w:color w:val="000000"/>
                <w:lang w:eastAsia="en-AU"/>
              </w:rPr>
              <w:noBreakHyphen/>
            </w:r>
            <w:r w:rsidRPr="008D0B98">
              <w:rPr>
                <w:rFonts w:eastAsia="Times New Roman" w:cs="Times New Roman"/>
                <w:color w:val="000000"/>
                <w:lang w:eastAsia="en-AU"/>
              </w:rPr>
              <w:t>labour</w:t>
            </w:r>
            <w:r>
              <w:rPr>
                <w:rFonts w:eastAsia="Times New Roman" w:cs="Times New Roman"/>
                <w:color w:val="000000"/>
                <w:lang w:eastAsia="en-AU"/>
              </w:rPr>
              <w:t xml:space="preserve"> substitution elasticity</w:t>
            </w:r>
          </w:p>
        </w:tc>
        <w:tc>
          <w:tcPr>
            <w:tcW w:w="2104" w:type="dxa"/>
            <w:tcBorders>
              <w:top w:val="nil"/>
              <w:left w:val="nil"/>
              <w:bottom w:val="nil"/>
              <w:right w:val="nil"/>
            </w:tcBorders>
            <w:shd w:val="clear" w:color="auto" w:fill="auto"/>
            <w:noWrap/>
            <w:vAlign w:val="center"/>
            <w:hideMark/>
          </w:tcPr>
          <w:p w14:paraId="231C4D57"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08463968" w14:textId="77777777" w:rsidTr="008D0B98">
        <w:trPr>
          <w:trHeight w:val="300"/>
        </w:trPr>
        <w:tc>
          <w:tcPr>
            <w:tcW w:w="6096" w:type="dxa"/>
            <w:tcBorders>
              <w:top w:val="nil"/>
              <w:left w:val="nil"/>
              <w:bottom w:val="nil"/>
              <w:right w:val="nil"/>
            </w:tcBorders>
            <w:shd w:val="clear" w:color="auto" w:fill="auto"/>
            <w:noWrap/>
            <w:vAlign w:val="bottom"/>
            <w:hideMark/>
          </w:tcPr>
          <w:p w14:paraId="335FFD90" w14:textId="545DFA73"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104" w:type="dxa"/>
            <w:tcBorders>
              <w:top w:val="nil"/>
              <w:left w:val="nil"/>
              <w:bottom w:val="nil"/>
              <w:right w:val="nil"/>
            </w:tcBorders>
            <w:shd w:val="clear" w:color="auto" w:fill="auto"/>
            <w:noWrap/>
            <w:vAlign w:val="center"/>
            <w:hideMark/>
          </w:tcPr>
          <w:p w14:paraId="048F4B3E"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0.69</w:t>
            </w:r>
          </w:p>
        </w:tc>
      </w:tr>
      <w:tr w:rsidR="00B87C5B" w:rsidRPr="008D0B98" w14:paraId="07E562DF"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091500E2" w14:textId="10213A5E"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104" w:type="dxa"/>
            <w:tcBorders>
              <w:top w:val="nil"/>
              <w:left w:val="nil"/>
              <w:bottom w:val="single" w:sz="4" w:space="0" w:color="auto"/>
              <w:right w:val="nil"/>
            </w:tcBorders>
            <w:shd w:val="clear" w:color="auto" w:fill="auto"/>
            <w:noWrap/>
            <w:vAlign w:val="center"/>
            <w:hideMark/>
          </w:tcPr>
          <w:p w14:paraId="05CF9720"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0.75</w:t>
            </w:r>
          </w:p>
        </w:tc>
      </w:tr>
      <w:tr w:rsidR="00B87C5B" w:rsidRPr="008D0B98" w14:paraId="295AF5D5" w14:textId="77777777" w:rsidTr="008D0B98">
        <w:trPr>
          <w:trHeight w:val="300"/>
        </w:trPr>
        <w:tc>
          <w:tcPr>
            <w:tcW w:w="6096" w:type="dxa"/>
            <w:tcBorders>
              <w:top w:val="nil"/>
              <w:left w:val="nil"/>
              <w:bottom w:val="nil"/>
              <w:right w:val="nil"/>
            </w:tcBorders>
            <w:shd w:val="clear" w:color="auto" w:fill="auto"/>
            <w:noWrap/>
            <w:vAlign w:val="bottom"/>
            <w:hideMark/>
          </w:tcPr>
          <w:p w14:paraId="060EB9FD" w14:textId="68A0B823"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Sensitivities: Parameters governing household behaviour</w:t>
            </w:r>
          </w:p>
        </w:tc>
        <w:tc>
          <w:tcPr>
            <w:tcW w:w="2104" w:type="dxa"/>
            <w:tcBorders>
              <w:top w:val="nil"/>
              <w:left w:val="nil"/>
              <w:bottom w:val="nil"/>
              <w:right w:val="nil"/>
            </w:tcBorders>
            <w:shd w:val="clear" w:color="auto" w:fill="auto"/>
            <w:noWrap/>
            <w:vAlign w:val="center"/>
            <w:hideMark/>
          </w:tcPr>
          <w:p w14:paraId="7E01E27E"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00B230C0" w14:textId="77777777" w:rsidTr="008D0B98">
        <w:trPr>
          <w:trHeight w:val="300"/>
        </w:trPr>
        <w:tc>
          <w:tcPr>
            <w:tcW w:w="6096" w:type="dxa"/>
            <w:tcBorders>
              <w:top w:val="nil"/>
              <w:left w:val="nil"/>
              <w:bottom w:val="nil"/>
              <w:right w:val="nil"/>
            </w:tcBorders>
            <w:shd w:val="clear" w:color="auto" w:fill="auto"/>
            <w:noWrap/>
            <w:vAlign w:val="bottom"/>
            <w:hideMark/>
          </w:tcPr>
          <w:p w14:paraId="2195C22D" w14:textId="6FC4D8E5"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Labour</w:t>
            </w:r>
            <w:r w:rsidR="00F03697">
              <w:rPr>
                <w:rFonts w:eastAsia="Times New Roman" w:cs="Times New Roman"/>
                <w:color w:val="000000"/>
                <w:lang w:eastAsia="en-AU"/>
              </w:rPr>
              <w:noBreakHyphen/>
            </w:r>
            <w:r>
              <w:rPr>
                <w:rFonts w:eastAsia="Times New Roman" w:cs="Times New Roman"/>
                <w:color w:val="000000"/>
                <w:lang w:eastAsia="en-AU"/>
              </w:rPr>
              <w:t>leisure ratio (N:L = 2:1)</w:t>
            </w:r>
          </w:p>
        </w:tc>
        <w:tc>
          <w:tcPr>
            <w:tcW w:w="2104" w:type="dxa"/>
            <w:tcBorders>
              <w:top w:val="nil"/>
              <w:left w:val="nil"/>
              <w:bottom w:val="nil"/>
              <w:right w:val="nil"/>
            </w:tcBorders>
            <w:shd w:val="clear" w:color="auto" w:fill="auto"/>
            <w:noWrap/>
            <w:vAlign w:val="center"/>
            <w:hideMark/>
          </w:tcPr>
          <w:p w14:paraId="0946EB01"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1F13855E" w14:textId="77777777" w:rsidTr="008D0B98">
        <w:trPr>
          <w:trHeight w:val="300"/>
        </w:trPr>
        <w:tc>
          <w:tcPr>
            <w:tcW w:w="6096" w:type="dxa"/>
            <w:tcBorders>
              <w:top w:val="nil"/>
              <w:left w:val="nil"/>
              <w:bottom w:val="nil"/>
              <w:right w:val="nil"/>
            </w:tcBorders>
            <w:shd w:val="clear" w:color="auto" w:fill="auto"/>
            <w:noWrap/>
            <w:vAlign w:val="bottom"/>
            <w:hideMark/>
          </w:tcPr>
          <w:p w14:paraId="4F04EFBE" w14:textId="4B66D30E"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Medium (N:L = 1:1)</w:t>
            </w:r>
          </w:p>
        </w:tc>
        <w:tc>
          <w:tcPr>
            <w:tcW w:w="2104" w:type="dxa"/>
            <w:tcBorders>
              <w:top w:val="nil"/>
              <w:left w:val="nil"/>
              <w:bottom w:val="nil"/>
              <w:right w:val="nil"/>
            </w:tcBorders>
            <w:shd w:val="clear" w:color="auto" w:fill="auto"/>
            <w:noWrap/>
            <w:vAlign w:val="center"/>
            <w:hideMark/>
          </w:tcPr>
          <w:p w14:paraId="0B6E3C7F"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0.85</w:t>
            </w:r>
          </w:p>
        </w:tc>
      </w:tr>
      <w:tr w:rsidR="00B87C5B" w:rsidRPr="008D0B98" w14:paraId="72F72395" w14:textId="77777777" w:rsidTr="008D0B98">
        <w:trPr>
          <w:trHeight w:val="300"/>
        </w:trPr>
        <w:tc>
          <w:tcPr>
            <w:tcW w:w="6096" w:type="dxa"/>
            <w:tcBorders>
              <w:top w:val="nil"/>
              <w:left w:val="nil"/>
              <w:bottom w:val="nil"/>
              <w:right w:val="nil"/>
            </w:tcBorders>
            <w:shd w:val="clear" w:color="auto" w:fill="auto"/>
            <w:noWrap/>
            <w:vAlign w:val="bottom"/>
            <w:hideMark/>
          </w:tcPr>
          <w:p w14:paraId="4AF02796" w14:textId="339998EC"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Low (</w:t>
            </w:r>
            <w:r w:rsidRPr="008D0B98">
              <w:rPr>
                <w:rFonts w:eastAsia="Times New Roman" w:cs="Times New Roman"/>
                <w:color w:val="000000"/>
                <w:lang w:eastAsia="en-AU"/>
              </w:rPr>
              <w:t>N:L</w:t>
            </w:r>
            <w:r>
              <w:rPr>
                <w:rFonts w:eastAsia="Times New Roman" w:cs="Times New Roman"/>
                <w:color w:val="000000"/>
                <w:lang w:eastAsia="en-AU"/>
              </w:rPr>
              <w:t xml:space="preserve"> </w:t>
            </w:r>
            <w:r w:rsidRPr="008D0B98">
              <w:rPr>
                <w:rFonts w:eastAsia="Times New Roman" w:cs="Times New Roman"/>
                <w:color w:val="000000"/>
                <w:lang w:eastAsia="en-AU"/>
              </w:rPr>
              <w:t>=</w:t>
            </w:r>
            <w:r>
              <w:rPr>
                <w:rFonts w:eastAsia="Times New Roman" w:cs="Times New Roman"/>
                <w:color w:val="000000"/>
                <w:lang w:eastAsia="en-AU"/>
              </w:rPr>
              <w:t xml:space="preserve"> </w:t>
            </w:r>
            <w:r w:rsidRPr="008D0B98">
              <w:rPr>
                <w:rFonts w:eastAsia="Times New Roman" w:cs="Times New Roman"/>
                <w:color w:val="000000"/>
                <w:lang w:eastAsia="en-AU"/>
              </w:rPr>
              <w:t>1:2</w:t>
            </w:r>
            <w:r>
              <w:rPr>
                <w:rFonts w:eastAsia="Times New Roman" w:cs="Times New Roman"/>
                <w:color w:val="000000"/>
                <w:lang w:eastAsia="en-AU"/>
              </w:rPr>
              <w:t>)</w:t>
            </w:r>
          </w:p>
        </w:tc>
        <w:tc>
          <w:tcPr>
            <w:tcW w:w="2104" w:type="dxa"/>
            <w:tcBorders>
              <w:top w:val="nil"/>
              <w:left w:val="nil"/>
              <w:bottom w:val="nil"/>
              <w:right w:val="nil"/>
            </w:tcBorders>
            <w:shd w:val="clear" w:color="auto" w:fill="auto"/>
            <w:noWrap/>
            <w:vAlign w:val="center"/>
            <w:hideMark/>
          </w:tcPr>
          <w:p w14:paraId="7A2B876C"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0.99</w:t>
            </w:r>
          </w:p>
        </w:tc>
      </w:tr>
      <w:tr w:rsidR="00B87C5B" w:rsidRPr="008D0B98" w14:paraId="371031D1" w14:textId="77777777" w:rsidTr="008D0B98">
        <w:trPr>
          <w:trHeight w:val="300"/>
        </w:trPr>
        <w:tc>
          <w:tcPr>
            <w:tcW w:w="6096" w:type="dxa"/>
            <w:tcBorders>
              <w:top w:val="nil"/>
              <w:left w:val="nil"/>
              <w:bottom w:val="nil"/>
              <w:right w:val="nil"/>
            </w:tcBorders>
            <w:shd w:val="clear" w:color="auto" w:fill="auto"/>
            <w:noWrap/>
            <w:vAlign w:val="bottom"/>
            <w:hideMark/>
          </w:tcPr>
          <w:p w14:paraId="0E1CF3CF" w14:textId="3DD3BF63"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Consumption</w:t>
            </w:r>
            <w:r w:rsidR="00F03697">
              <w:rPr>
                <w:rFonts w:eastAsia="Times New Roman" w:cs="Times New Roman"/>
                <w:color w:val="000000"/>
                <w:lang w:eastAsia="en-AU"/>
              </w:rPr>
              <w:noBreakHyphen/>
            </w:r>
            <w:r w:rsidRPr="008D0B98">
              <w:rPr>
                <w:rFonts w:eastAsia="Times New Roman" w:cs="Times New Roman"/>
                <w:color w:val="000000"/>
                <w:lang w:eastAsia="en-AU"/>
              </w:rPr>
              <w:t xml:space="preserve">leisure substitution </w:t>
            </w:r>
            <w:r>
              <w:rPr>
                <w:rFonts w:eastAsia="Times New Roman" w:cs="Times New Roman"/>
                <w:color w:val="000000"/>
                <w:lang w:eastAsia="en-AU"/>
              </w:rPr>
              <w:t>elasticity</w:t>
            </w:r>
          </w:p>
        </w:tc>
        <w:tc>
          <w:tcPr>
            <w:tcW w:w="2104" w:type="dxa"/>
            <w:tcBorders>
              <w:top w:val="nil"/>
              <w:left w:val="nil"/>
              <w:bottom w:val="nil"/>
              <w:right w:val="nil"/>
            </w:tcBorders>
            <w:shd w:val="clear" w:color="auto" w:fill="auto"/>
            <w:noWrap/>
            <w:vAlign w:val="center"/>
            <w:hideMark/>
          </w:tcPr>
          <w:p w14:paraId="07C1F63D"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448AA572" w14:textId="77777777" w:rsidTr="008D0B98">
        <w:trPr>
          <w:trHeight w:val="300"/>
        </w:trPr>
        <w:tc>
          <w:tcPr>
            <w:tcW w:w="6096" w:type="dxa"/>
            <w:tcBorders>
              <w:top w:val="nil"/>
              <w:left w:val="nil"/>
              <w:bottom w:val="nil"/>
              <w:right w:val="nil"/>
            </w:tcBorders>
            <w:shd w:val="clear" w:color="auto" w:fill="auto"/>
            <w:noWrap/>
            <w:vAlign w:val="bottom"/>
            <w:hideMark/>
          </w:tcPr>
          <w:p w14:paraId="0353E67D" w14:textId="3D499294"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104" w:type="dxa"/>
            <w:tcBorders>
              <w:top w:val="nil"/>
              <w:left w:val="nil"/>
              <w:bottom w:val="nil"/>
              <w:right w:val="nil"/>
            </w:tcBorders>
            <w:shd w:val="clear" w:color="auto" w:fill="auto"/>
            <w:noWrap/>
            <w:vAlign w:val="center"/>
            <w:hideMark/>
          </w:tcPr>
          <w:p w14:paraId="44BDE86E"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0.38</w:t>
            </w:r>
          </w:p>
        </w:tc>
      </w:tr>
      <w:tr w:rsidR="00B87C5B" w:rsidRPr="008D0B98" w14:paraId="32FA69B9" w14:textId="77777777" w:rsidTr="008D0B98">
        <w:trPr>
          <w:trHeight w:val="300"/>
        </w:trPr>
        <w:tc>
          <w:tcPr>
            <w:tcW w:w="6096" w:type="dxa"/>
            <w:tcBorders>
              <w:top w:val="nil"/>
              <w:left w:val="nil"/>
              <w:bottom w:val="nil"/>
              <w:right w:val="nil"/>
            </w:tcBorders>
            <w:shd w:val="clear" w:color="auto" w:fill="auto"/>
            <w:noWrap/>
            <w:vAlign w:val="bottom"/>
            <w:hideMark/>
          </w:tcPr>
          <w:p w14:paraId="15F9DCF6" w14:textId="080D9221"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104" w:type="dxa"/>
            <w:tcBorders>
              <w:top w:val="nil"/>
              <w:left w:val="nil"/>
              <w:bottom w:val="nil"/>
              <w:right w:val="nil"/>
            </w:tcBorders>
            <w:shd w:val="clear" w:color="auto" w:fill="auto"/>
            <w:noWrap/>
            <w:vAlign w:val="center"/>
            <w:hideMark/>
          </w:tcPr>
          <w:p w14:paraId="2D9E74FA" w14:textId="77777777" w:rsidR="00B87C5B" w:rsidRPr="008D0B98" w:rsidRDefault="00B87C5B" w:rsidP="008D0B98">
            <w:pPr>
              <w:keepNext/>
              <w:spacing w:after="0" w:line="240" w:lineRule="auto"/>
              <w:jc w:val="center"/>
              <w:rPr>
                <w:rFonts w:eastAsia="Times New Roman" w:cs="Times New Roman"/>
                <w:b/>
                <w:bCs/>
                <w:color w:val="FF0000"/>
                <w:lang w:eastAsia="en-AU"/>
              </w:rPr>
            </w:pPr>
            <w:r w:rsidRPr="008D0B98">
              <w:rPr>
                <w:rFonts w:eastAsia="Times New Roman" w:cs="Times New Roman"/>
                <w:b/>
                <w:bCs/>
                <w:color w:val="FF0000"/>
                <w:lang w:eastAsia="en-AU"/>
              </w:rPr>
              <w:t>1.17</w:t>
            </w:r>
          </w:p>
        </w:tc>
      </w:tr>
      <w:tr w:rsidR="00B87C5B" w:rsidRPr="008D0B98" w14:paraId="31FACD4C" w14:textId="77777777" w:rsidTr="008D0B98">
        <w:trPr>
          <w:trHeight w:val="300"/>
        </w:trPr>
        <w:tc>
          <w:tcPr>
            <w:tcW w:w="6096" w:type="dxa"/>
            <w:tcBorders>
              <w:top w:val="nil"/>
              <w:left w:val="nil"/>
              <w:bottom w:val="nil"/>
              <w:right w:val="nil"/>
            </w:tcBorders>
            <w:shd w:val="clear" w:color="auto" w:fill="auto"/>
            <w:noWrap/>
            <w:vAlign w:val="bottom"/>
            <w:hideMark/>
          </w:tcPr>
          <w:p w14:paraId="4BB69BF3" w14:textId="56294660"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Consumpti</w:t>
            </w:r>
            <w:r>
              <w:rPr>
                <w:rFonts w:eastAsia="Times New Roman" w:cs="Times New Roman"/>
                <w:color w:val="000000"/>
                <w:lang w:eastAsia="en-AU"/>
              </w:rPr>
              <w:t>on good substitution elasticity</w:t>
            </w:r>
          </w:p>
        </w:tc>
        <w:tc>
          <w:tcPr>
            <w:tcW w:w="2104" w:type="dxa"/>
            <w:tcBorders>
              <w:top w:val="nil"/>
              <w:left w:val="nil"/>
              <w:bottom w:val="nil"/>
              <w:right w:val="nil"/>
            </w:tcBorders>
            <w:shd w:val="clear" w:color="auto" w:fill="auto"/>
            <w:noWrap/>
            <w:vAlign w:val="center"/>
            <w:hideMark/>
          </w:tcPr>
          <w:p w14:paraId="37898687"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3B092633" w14:textId="77777777" w:rsidTr="008D0B98">
        <w:trPr>
          <w:trHeight w:val="300"/>
        </w:trPr>
        <w:tc>
          <w:tcPr>
            <w:tcW w:w="6096" w:type="dxa"/>
            <w:tcBorders>
              <w:top w:val="nil"/>
              <w:left w:val="nil"/>
              <w:bottom w:val="nil"/>
              <w:right w:val="nil"/>
            </w:tcBorders>
            <w:shd w:val="clear" w:color="auto" w:fill="auto"/>
            <w:noWrap/>
            <w:vAlign w:val="bottom"/>
            <w:hideMark/>
          </w:tcPr>
          <w:p w14:paraId="7DA2B7CB" w14:textId="56B4EF8B" w:rsidR="00B87C5B" w:rsidRPr="008D0B98" w:rsidRDefault="00B87C5B" w:rsidP="00B87C5B">
            <w:pPr>
              <w:keepNext/>
              <w:spacing w:after="0" w:line="240" w:lineRule="auto"/>
              <w:ind w:firstLine="459"/>
              <w:rPr>
                <w:rFonts w:eastAsia="Times New Roman" w:cs="Times New Roman"/>
                <w:color w:val="000000"/>
                <w:lang w:eastAsia="en-AU"/>
              </w:rPr>
            </w:pPr>
            <w:r>
              <w:rPr>
                <w:rFonts w:eastAsia="Times New Roman" w:cs="Times New Roman"/>
                <w:color w:val="000000"/>
                <w:lang w:eastAsia="en-AU"/>
              </w:rPr>
              <w:t>Low elasticity</w:t>
            </w:r>
          </w:p>
        </w:tc>
        <w:tc>
          <w:tcPr>
            <w:tcW w:w="2104" w:type="dxa"/>
            <w:tcBorders>
              <w:top w:val="nil"/>
              <w:left w:val="nil"/>
              <w:bottom w:val="nil"/>
              <w:right w:val="nil"/>
            </w:tcBorders>
            <w:shd w:val="clear" w:color="auto" w:fill="auto"/>
            <w:noWrap/>
            <w:vAlign w:val="center"/>
            <w:hideMark/>
          </w:tcPr>
          <w:p w14:paraId="6671E91F"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0.58</w:t>
            </w:r>
          </w:p>
        </w:tc>
      </w:tr>
      <w:tr w:rsidR="00B87C5B" w:rsidRPr="008D0B98" w14:paraId="775605C8" w14:textId="77777777" w:rsidTr="008D0B98">
        <w:trPr>
          <w:trHeight w:val="300"/>
        </w:trPr>
        <w:tc>
          <w:tcPr>
            <w:tcW w:w="6096" w:type="dxa"/>
            <w:tcBorders>
              <w:top w:val="nil"/>
              <w:left w:val="nil"/>
              <w:bottom w:val="nil"/>
              <w:right w:val="nil"/>
            </w:tcBorders>
            <w:shd w:val="clear" w:color="auto" w:fill="auto"/>
            <w:noWrap/>
            <w:vAlign w:val="bottom"/>
            <w:hideMark/>
          </w:tcPr>
          <w:p w14:paraId="690B477E" w14:textId="6E5C410B" w:rsidR="00B87C5B" w:rsidRPr="008D0B98" w:rsidRDefault="00B87C5B" w:rsidP="008D0B98">
            <w:pPr>
              <w:keepNext/>
              <w:spacing w:after="0" w:line="240" w:lineRule="auto"/>
              <w:ind w:firstLineChars="200" w:firstLine="440"/>
              <w:rPr>
                <w:rFonts w:eastAsia="Times New Roman" w:cs="Times New Roman"/>
                <w:color w:val="000000"/>
                <w:lang w:eastAsia="en-AU"/>
              </w:rPr>
            </w:pPr>
            <w:r>
              <w:rPr>
                <w:rFonts w:eastAsia="Times New Roman" w:cs="Times New Roman"/>
                <w:color w:val="000000"/>
                <w:lang w:eastAsia="en-AU"/>
              </w:rPr>
              <w:t>High elasticity</w:t>
            </w:r>
          </w:p>
        </w:tc>
        <w:tc>
          <w:tcPr>
            <w:tcW w:w="2104" w:type="dxa"/>
            <w:tcBorders>
              <w:top w:val="nil"/>
              <w:left w:val="nil"/>
              <w:bottom w:val="nil"/>
              <w:right w:val="nil"/>
            </w:tcBorders>
            <w:shd w:val="clear" w:color="auto" w:fill="auto"/>
            <w:noWrap/>
            <w:vAlign w:val="center"/>
            <w:hideMark/>
          </w:tcPr>
          <w:p w14:paraId="70C2AC39"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0.84</w:t>
            </w:r>
          </w:p>
        </w:tc>
      </w:tr>
      <w:tr w:rsidR="00B87C5B" w:rsidRPr="008D0B98" w14:paraId="4CD692FB" w14:textId="77777777" w:rsidTr="008D0B98">
        <w:trPr>
          <w:trHeight w:val="300"/>
        </w:trPr>
        <w:tc>
          <w:tcPr>
            <w:tcW w:w="6096" w:type="dxa"/>
            <w:tcBorders>
              <w:top w:val="nil"/>
              <w:left w:val="nil"/>
              <w:bottom w:val="nil"/>
              <w:right w:val="nil"/>
            </w:tcBorders>
            <w:shd w:val="clear" w:color="auto" w:fill="auto"/>
            <w:noWrap/>
            <w:vAlign w:val="bottom"/>
            <w:hideMark/>
          </w:tcPr>
          <w:p w14:paraId="3A28CC42" w14:textId="5AED2A80" w:rsidR="00B87C5B" w:rsidRPr="008D0B98" w:rsidRDefault="00B87C5B" w:rsidP="00B87C5B">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Savings decision (fixed domestically owned capital stock)</w:t>
            </w:r>
          </w:p>
        </w:tc>
        <w:tc>
          <w:tcPr>
            <w:tcW w:w="2104" w:type="dxa"/>
            <w:tcBorders>
              <w:top w:val="nil"/>
              <w:left w:val="nil"/>
              <w:bottom w:val="nil"/>
              <w:right w:val="nil"/>
            </w:tcBorders>
            <w:shd w:val="clear" w:color="auto" w:fill="auto"/>
            <w:noWrap/>
            <w:vAlign w:val="center"/>
            <w:hideMark/>
          </w:tcPr>
          <w:p w14:paraId="4A30CA88" w14:textId="77777777" w:rsidR="00B87C5B" w:rsidRPr="008D0B98" w:rsidRDefault="00B87C5B" w:rsidP="008D0B98">
            <w:pPr>
              <w:keepNext/>
              <w:spacing w:after="0" w:line="240" w:lineRule="auto"/>
              <w:jc w:val="center"/>
              <w:rPr>
                <w:rFonts w:eastAsia="Times New Roman" w:cs="Times New Roman"/>
                <w:color w:val="000000"/>
                <w:lang w:eastAsia="en-AU"/>
              </w:rPr>
            </w:pPr>
          </w:p>
        </w:tc>
      </w:tr>
      <w:tr w:rsidR="00B87C5B" w:rsidRPr="008D0B98" w14:paraId="4C4D9A0D" w14:textId="77777777" w:rsidTr="008D0B98">
        <w:trPr>
          <w:trHeight w:val="300"/>
        </w:trPr>
        <w:tc>
          <w:tcPr>
            <w:tcW w:w="6096" w:type="dxa"/>
            <w:tcBorders>
              <w:top w:val="nil"/>
              <w:left w:val="nil"/>
              <w:bottom w:val="single" w:sz="4" w:space="0" w:color="auto"/>
              <w:right w:val="nil"/>
            </w:tcBorders>
            <w:shd w:val="clear" w:color="auto" w:fill="auto"/>
            <w:noWrap/>
            <w:vAlign w:val="bottom"/>
            <w:hideMark/>
          </w:tcPr>
          <w:p w14:paraId="5ED17D46" w14:textId="0BB6FFAA" w:rsidR="00B87C5B" w:rsidRPr="008D0B98" w:rsidRDefault="00B87C5B" w:rsidP="00B87C5B">
            <w:pPr>
              <w:keepNext/>
              <w:spacing w:after="0" w:line="240" w:lineRule="auto"/>
              <w:ind w:firstLine="459"/>
              <w:rPr>
                <w:rFonts w:eastAsia="Times New Roman" w:cs="Times New Roman"/>
                <w:color w:val="000000"/>
                <w:lang w:eastAsia="en-AU"/>
              </w:rPr>
            </w:pPr>
            <w:r w:rsidRPr="008D0B98">
              <w:rPr>
                <w:rFonts w:eastAsia="Times New Roman" w:cs="Times New Roman"/>
                <w:color w:val="000000"/>
                <w:lang w:eastAsia="en-AU"/>
              </w:rPr>
              <w:t>Fixed saving rate</w:t>
            </w:r>
          </w:p>
        </w:tc>
        <w:tc>
          <w:tcPr>
            <w:tcW w:w="2104" w:type="dxa"/>
            <w:tcBorders>
              <w:top w:val="nil"/>
              <w:left w:val="nil"/>
              <w:bottom w:val="nil"/>
              <w:right w:val="nil"/>
            </w:tcBorders>
            <w:shd w:val="clear" w:color="auto" w:fill="auto"/>
            <w:noWrap/>
            <w:vAlign w:val="center"/>
            <w:hideMark/>
          </w:tcPr>
          <w:p w14:paraId="25BFDB52"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0.72</w:t>
            </w:r>
          </w:p>
        </w:tc>
      </w:tr>
      <w:tr w:rsidR="00B87C5B" w:rsidRPr="008D0B98" w14:paraId="142BBE3E" w14:textId="77777777" w:rsidTr="008D0B98">
        <w:trPr>
          <w:trHeight w:val="300"/>
        </w:trPr>
        <w:tc>
          <w:tcPr>
            <w:tcW w:w="6096" w:type="dxa"/>
            <w:tcBorders>
              <w:top w:val="nil"/>
              <w:left w:val="nil"/>
              <w:bottom w:val="nil"/>
              <w:right w:val="nil"/>
            </w:tcBorders>
            <w:shd w:val="clear" w:color="auto" w:fill="auto"/>
            <w:noWrap/>
            <w:vAlign w:val="bottom"/>
            <w:hideMark/>
          </w:tcPr>
          <w:p w14:paraId="581BC694" w14:textId="32CF65BC" w:rsidR="00B87C5B" w:rsidRPr="008D0B98" w:rsidRDefault="00B87C5B" w:rsidP="008D0B98">
            <w:pPr>
              <w:keepNext/>
              <w:spacing w:after="0" w:line="240" w:lineRule="auto"/>
              <w:rPr>
                <w:rFonts w:eastAsia="Times New Roman" w:cs="Times New Roman"/>
                <w:b/>
                <w:bCs/>
                <w:color w:val="000000"/>
                <w:lang w:eastAsia="en-AU"/>
              </w:rPr>
            </w:pPr>
            <w:r w:rsidRPr="008D0B98">
              <w:rPr>
                <w:rFonts w:eastAsia="Times New Roman" w:cs="Times New Roman"/>
                <w:b/>
                <w:bCs/>
                <w:color w:val="000000"/>
                <w:lang w:eastAsia="en-AU"/>
              </w:rPr>
              <w:t>Literature estimates</w:t>
            </w:r>
          </w:p>
        </w:tc>
        <w:tc>
          <w:tcPr>
            <w:tcW w:w="2104" w:type="dxa"/>
            <w:tcBorders>
              <w:top w:val="single" w:sz="4" w:space="0" w:color="auto"/>
              <w:left w:val="nil"/>
              <w:bottom w:val="nil"/>
              <w:right w:val="nil"/>
            </w:tcBorders>
            <w:shd w:val="clear" w:color="auto" w:fill="auto"/>
            <w:noWrap/>
            <w:vAlign w:val="center"/>
            <w:hideMark/>
          </w:tcPr>
          <w:p w14:paraId="3C9DFE26"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 </w:t>
            </w:r>
          </w:p>
        </w:tc>
      </w:tr>
      <w:tr w:rsidR="00B87C5B" w:rsidRPr="008D0B98" w14:paraId="279B174F" w14:textId="77777777" w:rsidTr="008D0B98">
        <w:trPr>
          <w:trHeight w:val="300"/>
        </w:trPr>
        <w:tc>
          <w:tcPr>
            <w:tcW w:w="6096" w:type="dxa"/>
            <w:tcBorders>
              <w:top w:val="nil"/>
              <w:left w:val="nil"/>
              <w:bottom w:val="nil"/>
              <w:right w:val="nil"/>
            </w:tcBorders>
            <w:shd w:val="clear" w:color="auto" w:fill="auto"/>
            <w:noWrap/>
            <w:vAlign w:val="bottom"/>
            <w:hideMark/>
          </w:tcPr>
          <w:p w14:paraId="6D2DFA1B" w14:textId="6B08851F" w:rsidR="00B87C5B" w:rsidRPr="008D0B98" w:rsidRDefault="00B87C5B"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(2010)</w:t>
            </w:r>
          </w:p>
        </w:tc>
        <w:tc>
          <w:tcPr>
            <w:tcW w:w="2104" w:type="dxa"/>
            <w:tcBorders>
              <w:top w:val="nil"/>
              <w:left w:val="nil"/>
              <w:bottom w:val="nil"/>
              <w:right w:val="nil"/>
            </w:tcBorders>
            <w:shd w:val="clear" w:color="auto" w:fill="auto"/>
            <w:noWrap/>
            <w:vAlign w:val="center"/>
            <w:hideMark/>
          </w:tcPr>
          <w:p w14:paraId="17E0D6BF"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0.34</w:t>
            </w:r>
          </w:p>
        </w:tc>
      </w:tr>
      <w:tr w:rsidR="00B87C5B" w:rsidRPr="008D0B98" w14:paraId="1F2B295B" w14:textId="77777777" w:rsidTr="008D0B98">
        <w:trPr>
          <w:trHeight w:val="300"/>
        </w:trPr>
        <w:tc>
          <w:tcPr>
            <w:tcW w:w="6096" w:type="dxa"/>
            <w:tcBorders>
              <w:top w:val="nil"/>
              <w:left w:val="nil"/>
              <w:bottom w:val="nil"/>
              <w:right w:val="nil"/>
            </w:tcBorders>
            <w:shd w:val="clear" w:color="auto" w:fill="auto"/>
            <w:noWrap/>
            <w:vAlign w:val="bottom"/>
            <w:hideMark/>
          </w:tcPr>
          <w:p w14:paraId="03D9F4D7" w14:textId="1A40CEF0" w:rsidR="00B87C5B" w:rsidRPr="008D0B98" w:rsidRDefault="00B87C5B" w:rsidP="008D0B98">
            <w:pPr>
              <w:keepNext/>
              <w:spacing w:after="0" w:line="240" w:lineRule="auto"/>
              <w:rPr>
                <w:rFonts w:eastAsia="Times New Roman" w:cs="Times New Roman"/>
                <w:color w:val="000000"/>
                <w:lang w:eastAsia="en-AU"/>
              </w:rPr>
            </w:pPr>
            <w:r w:rsidRPr="008D0B98">
              <w:rPr>
                <w:rFonts w:eastAsia="Times New Roman" w:cs="Times New Roman"/>
                <w:color w:val="000000"/>
                <w:lang w:eastAsia="en-AU"/>
              </w:rPr>
              <w:t>KPMG (2011)</w:t>
            </w:r>
          </w:p>
        </w:tc>
        <w:tc>
          <w:tcPr>
            <w:tcW w:w="2104" w:type="dxa"/>
            <w:tcBorders>
              <w:top w:val="nil"/>
              <w:left w:val="nil"/>
              <w:bottom w:val="nil"/>
              <w:right w:val="nil"/>
            </w:tcBorders>
            <w:shd w:val="clear" w:color="auto" w:fill="auto"/>
            <w:noWrap/>
            <w:vAlign w:val="center"/>
            <w:hideMark/>
          </w:tcPr>
          <w:p w14:paraId="5B9285FD"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0.80</w:t>
            </w:r>
          </w:p>
        </w:tc>
      </w:tr>
      <w:tr w:rsidR="00B87C5B" w:rsidRPr="008D0B98" w14:paraId="3F74CB1C" w14:textId="77777777" w:rsidTr="008D0B98">
        <w:trPr>
          <w:trHeight w:val="315"/>
        </w:trPr>
        <w:tc>
          <w:tcPr>
            <w:tcW w:w="6096" w:type="dxa"/>
            <w:tcBorders>
              <w:top w:val="nil"/>
              <w:left w:val="nil"/>
              <w:bottom w:val="single" w:sz="8" w:space="0" w:color="auto"/>
              <w:right w:val="nil"/>
            </w:tcBorders>
            <w:shd w:val="clear" w:color="auto" w:fill="auto"/>
            <w:noWrap/>
            <w:vAlign w:val="bottom"/>
            <w:hideMark/>
          </w:tcPr>
          <w:p w14:paraId="55DE57DB" w14:textId="5B753206" w:rsidR="00B87C5B" w:rsidRPr="008D0B98" w:rsidRDefault="00B87C5B" w:rsidP="008D0B98">
            <w:pPr>
              <w:keepNext/>
              <w:spacing w:after="0" w:line="240" w:lineRule="auto"/>
              <w:rPr>
                <w:rFonts w:eastAsia="Times New Roman" w:cs="Times New Roman"/>
                <w:color w:val="000000"/>
                <w:lang w:eastAsia="en-AU"/>
              </w:rPr>
            </w:pPr>
            <w:r>
              <w:rPr>
                <w:rFonts w:eastAsia="Times New Roman" w:cs="Times New Roman"/>
                <w:color w:val="000000"/>
                <w:lang w:eastAsia="en-AU"/>
              </w:rPr>
              <w:t>Independent Economics</w:t>
            </w:r>
            <w:r w:rsidRPr="008D0B98">
              <w:rPr>
                <w:rFonts w:eastAsia="Times New Roman" w:cs="Times New Roman"/>
                <w:color w:val="000000"/>
                <w:lang w:eastAsia="en-AU"/>
              </w:rPr>
              <w:t xml:space="preserve"> (2014)</w:t>
            </w:r>
          </w:p>
        </w:tc>
        <w:tc>
          <w:tcPr>
            <w:tcW w:w="2104" w:type="dxa"/>
            <w:tcBorders>
              <w:top w:val="nil"/>
              <w:left w:val="nil"/>
              <w:bottom w:val="single" w:sz="8" w:space="0" w:color="auto"/>
              <w:right w:val="nil"/>
            </w:tcBorders>
            <w:shd w:val="clear" w:color="auto" w:fill="auto"/>
            <w:noWrap/>
            <w:vAlign w:val="center"/>
            <w:hideMark/>
          </w:tcPr>
          <w:p w14:paraId="4DDD578E" w14:textId="77777777" w:rsidR="00B87C5B" w:rsidRPr="008D0B98" w:rsidRDefault="00B87C5B" w:rsidP="008D0B98">
            <w:pPr>
              <w:keepNext/>
              <w:spacing w:after="0" w:line="240" w:lineRule="auto"/>
              <w:jc w:val="center"/>
              <w:rPr>
                <w:rFonts w:eastAsia="Times New Roman" w:cs="Times New Roman"/>
                <w:color w:val="000000"/>
                <w:lang w:eastAsia="en-AU"/>
              </w:rPr>
            </w:pPr>
            <w:r w:rsidRPr="008D0B98">
              <w:rPr>
                <w:rFonts w:eastAsia="Times New Roman" w:cs="Times New Roman"/>
                <w:color w:val="000000"/>
                <w:lang w:eastAsia="en-AU"/>
              </w:rPr>
              <w:t>0.71</w:t>
            </w:r>
          </w:p>
        </w:tc>
      </w:tr>
    </w:tbl>
    <w:p w14:paraId="4F06A9B5" w14:textId="3A91FACD" w:rsidR="00F74E3C" w:rsidRDefault="00583BD7" w:rsidP="009A29E1">
      <w:pPr>
        <w:pStyle w:val="Source"/>
      </w:pPr>
      <w:r>
        <w:t xml:space="preserve">Source: KPMG (2010), KPMG (2011), </w:t>
      </w:r>
      <w:r w:rsidR="00496794">
        <w:t>Independent Economics</w:t>
      </w:r>
      <w:r>
        <w:t xml:space="preserve"> (2014) and</w:t>
      </w:r>
      <w:r w:rsidR="00F74E3C">
        <w:rPr>
          <w:lang w:val="en-US"/>
        </w:rPr>
        <w:t xml:space="preserve"> </w:t>
      </w:r>
      <w:r w:rsidR="00E007CF">
        <w:t>Treasury estimates</w:t>
      </w:r>
      <w:r w:rsidR="00F74E3C">
        <w:t>.</w:t>
      </w:r>
    </w:p>
    <w:p w14:paraId="07ADC603" w14:textId="69C59072" w:rsidR="00BD0320" w:rsidRDefault="00BD0320" w:rsidP="00CF2182">
      <w:r>
        <w:lastRenderedPageBreak/>
        <w:t>Our central estimate of the marginal excess burden for conveyancing stamp duties is broadly similar to estimates reported by KPMG (2011) and Independent Economics (2014). This reflects the fac</w:t>
      </w:r>
      <w:r w:rsidR="00530990">
        <w:t>t that these earlier studies also treat</w:t>
      </w:r>
      <w:r>
        <w:t xml:space="preserve"> conveyancing stamp duties as a tax on OTCs. In contrast, KPMG (2010) reported a lower marginal excess burden of 34 cents, but with a caveat that this was an underestimate because the model only captured the impact of conveyancing duties on prices (and not the frequency of transactions).</w:t>
      </w:r>
    </w:p>
    <w:p w14:paraId="29DD6A8D" w14:textId="44DFEE8A" w:rsidR="003E4E9E" w:rsidRDefault="00530990" w:rsidP="003E4E9E">
      <w:r>
        <w:t xml:space="preserve">Turning to the broader literature on stamp duties, </w:t>
      </w:r>
      <w:r w:rsidR="002970DF" w:rsidRPr="006A73DB">
        <w:t>Davidoff and Leigh (2013) find that a 10</w:t>
      </w:r>
      <w:r w:rsidR="00DD706F">
        <w:t> </w:t>
      </w:r>
      <w:r w:rsidR="002970DF" w:rsidRPr="006A73DB">
        <w:t>per cent increase in stamp duty lowers house prices by 3</w:t>
      </w:r>
      <w:r w:rsidR="00DD706F">
        <w:t> </w:t>
      </w:r>
      <w:r w:rsidR="002970DF" w:rsidRPr="006A73DB">
        <w:t>per</w:t>
      </w:r>
      <w:r w:rsidR="00DD706F">
        <w:t> </w:t>
      </w:r>
      <w:r w:rsidR="002970DF" w:rsidRPr="006A73DB">
        <w:t xml:space="preserve">cent. </w:t>
      </w:r>
      <w:r>
        <w:t>S</w:t>
      </w:r>
      <w:r w:rsidR="002970DF" w:rsidRPr="006A73DB">
        <w:t>tamp duty accounts for 2</w:t>
      </w:r>
      <w:r w:rsidR="00CF2182">
        <w:t xml:space="preserve"> to </w:t>
      </w:r>
      <w:r w:rsidR="002970DF" w:rsidRPr="006A73DB">
        <w:t>4</w:t>
      </w:r>
      <w:r w:rsidR="00DD706F">
        <w:t> </w:t>
      </w:r>
      <w:r w:rsidR="002970DF" w:rsidRPr="006A73DB">
        <w:t>per cent of the value of a house</w:t>
      </w:r>
      <w:r w:rsidR="006F1C1A">
        <w:t>,</w:t>
      </w:r>
      <w:r w:rsidR="002970DF" w:rsidRPr="006A73DB">
        <w:t xml:space="preserve"> </w:t>
      </w:r>
      <w:r w:rsidR="006A73DB">
        <w:t xml:space="preserve">so </w:t>
      </w:r>
      <w:r w:rsidR="002970DF" w:rsidRPr="006A73DB">
        <w:t xml:space="preserve">these findings suggest an increase in stamp duty </w:t>
      </w:r>
      <w:r>
        <w:t xml:space="preserve">is </w:t>
      </w:r>
      <w:r w:rsidR="002970DF" w:rsidRPr="006A73DB">
        <w:t>equal to 0.2</w:t>
      </w:r>
      <w:r w:rsidR="00CF2182">
        <w:t xml:space="preserve"> to </w:t>
      </w:r>
      <w:r w:rsidR="002970DF" w:rsidRPr="006A73DB">
        <w:t xml:space="preserve">0.4 of the value of a house </w:t>
      </w:r>
      <w:r>
        <w:t xml:space="preserve">which </w:t>
      </w:r>
      <w:r w:rsidR="006F1C1A">
        <w:t xml:space="preserve">implies a </w:t>
      </w:r>
      <w:r w:rsidR="002970DF" w:rsidRPr="006A73DB">
        <w:t>decrease</w:t>
      </w:r>
      <w:r w:rsidR="006F1C1A">
        <w:t xml:space="preserve"> in</w:t>
      </w:r>
      <w:r w:rsidR="002970DF" w:rsidRPr="006A73DB">
        <w:t xml:space="preserve"> </w:t>
      </w:r>
      <w:r>
        <w:t xml:space="preserve">the price of a </w:t>
      </w:r>
      <w:r w:rsidR="002970DF" w:rsidRPr="006A73DB">
        <w:t xml:space="preserve">house </w:t>
      </w:r>
      <w:r>
        <w:t>of</w:t>
      </w:r>
      <w:r w:rsidR="002970DF" w:rsidRPr="006A73DB">
        <w:t xml:space="preserve"> 3</w:t>
      </w:r>
      <w:r w:rsidR="00DD706F">
        <w:t> </w:t>
      </w:r>
      <w:r w:rsidR="002970DF" w:rsidRPr="006A73DB">
        <w:t>per</w:t>
      </w:r>
      <w:r w:rsidR="00DD706F">
        <w:t> </w:t>
      </w:r>
      <w:r w:rsidR="002970DF" w:rsidRPr="006A73DB">
        <w:t>cent. This suggest</w:t>
      </w:r>
      <w:r w:rsidR="00CF2182">
        <w:t xml:space="preserve">s that changes in </w:t>
      </w:r>
      <w:r w:rsidR="002970DF" w:rsidRPr="006A73DB">
        <w:t xml:space="preserve">stamp duty </w:t>
      </w:r>
      <w:r w:rsidR="00CF2182">
        <w:t>are</w:t>
      </w:r>
      <w:r w:rsidR="002970DF" w:rsidRPr="006A73DB">
        <w:t xml:space="preserve"> more than fully borne by sellers of houses. This is in line with</w:t>
      </w:r>
      <w:r w:rsidR="00CF2182">
        <w:t xml:space="preserve"> international studies by</w:t>
      </w:r>
      <w:r w:rsidR="002970DF" w:rsidRPr="006A73DB">
        <w:t xml:space="preserve"> Kopczuk and Munroe (201</w:t>
      </w:r>
      <w:r w:rsidR="00941E6A">
        <w:t>3</w:t>
      </w:r>
      <w:r w:rsidR="002970DF" w:rsidRPr="006A73DB">
        <w:t xml:space="preserve">) who </w:t>
      </w:r>
      <w:r w:rsidR="00CF2182">
        <w:t xml:space="preserve">find that </w:t>
      </w:r>
      <w:r w:rsidR="002970DF" w:rsidRPr="006A73DB">
        <w:t>transaction tax</w:t>
      </w:r>
      <w:r w:rsidR="00CF2182">
        <w:t>es in New York State are borne by</w:t>
      </w:r>
      <w:r w:rsidR="002970DF" w:rsidRPr="006A73DB">
        <w:t xml:space="preserve"> sellers, with the </w:t>
      </w:r>
      <w:r w:rsidR="00CF2182">
        <w:t xml:space="preserve">fall in </w:t>
      </w:r>
      <w:r w:rsidR="002970DF" w:rsidRPr="006A73DB">
        <w:t xml:space="preserve">price exceeding </w:t>
      </w:r>
      <w:r w:rsidR="00EF01C7">
        <w:t xml:space="preserve">the </w:t>
      </w:r>
      <w:r w:rsidR="00CF2182">
        <w:t>rise in the</w:t>
      </w:r>
      <w:r w:rsidR="002970DF" w:rsidRPr="006A73DB">
        <w:t xml:space="preserve"> value of the tax</w:t>
      </w:r>
      <w:r w:rsidR="002970DF" w:rsidRPr="004B64F6">
        <w:t>.</w:t>
      </w:r>
      <w:r w:rsidR="00BA62ED" w:rsidRPr="004B64F6">
        <w:t xml:space="preserve"> Consistent with these studies, o</w:t>
      </w:r>
      <w:r w:rsidR="002970DF" w:rsidRPr="004B64F6">
        <w:t>ur model</w:t>
      </w:r>
      <w:r w:rsidR="00F63816" w:rsidRPr="004B64F6">
        <w:t xml:space="preserve"> </w:t>
      </w:r>
      <w:r w:rsidR="00BA62ED" w:rsidRPr="004B64F6">
        <w:t>generates a fall in the house price, albeit modest, following an increase in the stamp duty rate.</w:t>
      </w:r>
    </w:p>
    <w:p w14:paraId="29DD6A8E" w14:textId="711EF301" w:rsidR="003E4E9E" w:rsidRDefault="002970DF" w:rsidP="00CF2182">
      <w:r w:rsidRPr="006A73DB">
        <w:t xml:space="preserve">Davidoff and Leigh (2013) </w:t>
      </w:r>
      <w:r w:rsidR="00C51123">
        <w:t xml:space="preserve">also </w:t>
      </w:r>
      <w:r w:rsidRPr="006A73DB">
        <w:t>find that a 10</w:t>
      </w:r>
      <w:r w:rsidR="00A603D2">
        <w:t> </w:t>
      </w:r>
      <w:r w:rsidRPr="006A73DB">
        <w:t>per</w:t>
      </w:r>
      <w:r w:rsidR="00A603D2">
        <w:t> </w:t>
      </w:r>
      <w:r w:rsidRPr="006A73DB">
        <w:t>cent increase in stamp duty lowers turnover by 3</w:t>
      </w:r>
      <w:r w:rsidR="00A603D2">
        <w:t> </w:t>
      </w:r>
      <w:r w:rsidRPr="006A73DB">
        <w:t>per</w:t>
      </w:r>
      <w:r w:rsidR="00A603D2">
        <w:t> </w:t>
      </w:r>
      <w:r w:rsidRPr="006A73DB">
        <w:t>cent in the first year and by 6</w:t>
      </w:r>
      <w:r w:rsidR="00A603D2">
        <w:t> </w:t>
      </w:r>
      <w:r w:rsidR="00A603D2" w:rsidRPr="006A73DB">
        <w:t>per</w:t>
      </w:r>
      <w:r w:rsidR="00A603D2">
        <w:t> </w:t>
      </w:r>
      <w:r w:rsidRPr="006A73DB">
        <w:t>cent</w:t>
      </w:r>
      <w:r w:rsidR="00CF2182">
        <w:t xml:space="preserve"> </w:t>
      </w:r>
      <w:r w:rsidRPr="006A73DB">
        <w:t>over a three</w:t>
      </w:r>
      <w:r w:rsidR="00F03697">
        <w:noBreakHyphen/>
      </w:r>
      <w:r w:rsidRPr="006A73DB">
        <w:t xml:space="preserve">year period. </w:t>
      </w:r>
      <w:r w:rsidR="0017501C" w:rsidRPr="006A73DB">
        <w:t>The responsi</w:t>
      </w:r>
      <w:r w:rsidR="0017501C">
        <w:t xml:space="preserve">veness of transferring property </w:t>
      </w:r>
      <w:r w:rsidR="0017501C" w:rsidRPr="006A73DB">
        <w:t xml:space="preserve">to changes in stamp duty in the model is largely determined by the elasticity of substitution in the structures and land bundle. </w:t>
      </w:r>
      <w:r w:rsidR="0014380C">
        <w:t xml:space="preserve">While our model was not directly calibrated to </w:t>
      </w:r>
      <w:r w:rsidR="0014380C" w:rsidRPr="006A73DB">
        <w:t>Davidoff and Leigh (2013)</w:t>
      </w:r>
      <w:r w:rsidR="0014380C">
        <w:t>, we find that</w:t>
      </w:r>
      <w:r w:rsidR="00503169">
        <w:t xml:space="preserve"> our results are</w:t>
      </w:r>
      <w:r w:rsidR="0014380C">
        <w:t xml:space="preserve"> </w:t>
      </w:r>
      <w:r w:rsidR="00BA62ED">
        <w:t xml:space="preserve">broadly </w:t>
      </w:r>
      <w:r w:rsidR="00F63816">
        <w:t xml:space="preserve">consistent with </w:t>
      </w:r>
      <w:r w:rsidR="0014380C">
        <w:t>their</w:t>
      </w:r>
      <w:r w:rsidR="00503169">
        <w:t>s,</w:t>
      </w:r>
      <w:r w:rsidR="0014380C">
        <w:t xml:space="preserve"> </w:t>
      </w:r>
      <w:r w:rsidR="003E4E9E" w:rsidRPr="003E4E9E">
        <w:t>that</w:t>
      </w:r>
      <w:r w:rsidR="00503169">
        <w:t xml:space="preserve"> is,</w:t>
      </w:r>
      <w:r w:rsidR="003E4E9E" w:rsidRPr="003E4E9E">
        <w:t xml:space="preserve"> a 10</w:t>
      </w:r>
      <w:r w:rsidR="00A603D2">
        <w:t> </w:t>
      </w:r>
      <w:r w:rsidR="003E4E9E" w:rsidRPr="003E4E9E">
        <w:t>per</w:t>
      </w:r>
      <w:r w:rsidR="00A603D2">
        <w:t> </w:t>
      </w:r>
      <w:r w:rsidR="003E4E9E" w:rsidRPr="003E4E9E">
        <w:t xml:space="preserve">cent increase in the stamp duty rate causes the volume of OTCs to fall by </w:t>
      </w:r>
      <w:r w:rsidR="003E4E9E" w:rsidRPr="00503169">
        <w:t>2.3</w:t>
      </w:r>
      <w:r w:rsidR="00A603D2" w:rsidRPr="00503169">
        <w:t> </w:t>
      </w:r>
      <w:r w:rsidR="003E4E9E" w:rsidRPr="00503169">
        <w:t>per</w:t>
      </w:r>
      <w:r w:rsidR="00A603D2" w:rsidRPr="00503169">
        <w:t> </w:t>
      </w:r>
      <w:r w:rsidR="003E4E9E" w:rsidRPr="00503169">
        <w:t>cent</w:t>
      </w:r>
      <w:r w:rsidR="003E4E9E" w:rsidRPr="003E4E9E">
        <w:t>.</w:t>
      </w:r>
    </w:p>
    <w:p w14:paraId="29DD6A8F" w14:textId="77777777" w:rsidR="00B56580" w:rsidRDefault="005E1827" w:rsidP="00AC51D8">
      <w:pPr>
        <w:pStyle w:val="Heading2"/>
        <w:rPr>
          <w:lang w:val="en-US" w:eastAsia="en-AU"/>
        </w:rPr>
      </w:pPr>
      <w:r>
        <w:rPr>
          <w:lang w:val="en-US" w:eastAsia="en-AU"/>
        </w:rPr>
        <w:t>Conclusion</w:t>
      </w:r>
    </w:p>
    <w:p w14:paraId="29DD6A90" w14:textId="21A1A567" w:rsidR="001755C4" w:rsidRDefault="008B018A" w:rsidP="001755C4">
      <w:r w:rsidRPr="008F7D67">
        <w:t xml:space="preserve">In recent years, a series of studies have been undertaken in Australia that use </w:t>
      </w:r>
      <w:r>
        <w:t>static</w:t>
      </w:r>
      <w:r w:rsidR="003E79E7" w:rsidRPr="003E79E7">
        <w:t xml:space="preserve"> </w:t>
      </w:r>
      <w:r w:rsidR="003E79E7">
        <w:t>general equilibrium</w:t>
      </w:r>
      <w:r w:rsidR="003E79E7" w:rsidRPr="008F7D67">
        <w:t xml:space="preserve"> models</w:t>
      </w:r>
      <w:r w:rsidR="003E79E7">
        <w:t xml:space="preserve"> with a</w:t>
      </w:r>
      <w:r>
        <w:t xml:space="preserve"> </w:t>
      </w:r>
      <w:r w:rsidR="005A2297">
        <w:t xml:space="preserve">representative household </w:t>
      </w:r>
      <w:r w:rsidRPr="008F7D67">
        <w:t>to compare the relative efficiency of different Australian taxes (</w:t>
      </w:r>
      <w:r>
        <w:t>Access Economic</w:t>
      </w:r>
      <w:r w:rsidR="00781B58">
        <w:t>s, 2008</w:t>
      </w:r>
      <w:r w:rsidR="006C116E">
        <w:t xml:space="preserve"> and </w:t>
      </w:r>
      <w:r w:rsidR="00781B58">
        <w:t>2011</w:t>
      </w:r>
      <w:r>
        <w:t xml:space="preserve">; </w:t>
      </w:r>
      <w:r w:rsidRPr="00000F08">
        <w:t>KPMG</w:t>
      </w:r>
      <w:r w:rsidR="00781B58">
        <w:t>,</w:t>
      </w:r>
      <w:r w:rsidRPr="00000F08">
        <w:t xml:space="preserve"> 2010</w:t>
      </w:r>
      <w:r w:rsidR="006C116E">
        <w:t xml:space="preserve"> and </w:t>
      </w:r>
      <w:r w:rsidRPr="008F7D67">
        <w:t>2011</w:t>
      </w:r>
      <w:r>
        <w:t>;</w:t>
      </w:r>
      <w:r w:rsidRPr="008F7D67">
        <w:t xml:space="preserve"> </w:t>
      </w:r>
      <w:r w:rsidR="00496794">
        <w:t>Independent Economics</w:t>
      </w:r>
      <w:r w:rsidR="00781B58">
        <w:t>,</w:t>
      </w:r>
      <w:r w:rsidRPr="008F7D67">
        <w:t xml:space="preserve"> 2014</w:t>
      </w:r>
      <w:r>
        <w:t>;</w:t>
      </w:r>
      <w:r w:rsidRPr="00000F08">
        <w:t xml:space="preserve"> </w:t>
      </w:r>
      <w:r w:rsidR="006C116E">
        <w:t xml:space="preserve">and </w:t>
      </w:r>
      <w:r w:rsidR="003E79E7">
        <w:t>Rimmer</w:t>
      </w:r>
      <w:r w:rsidR="00497837">
        <w:t> </w:t>
      </w:r>
      <w:r w:rsidR="003E79E7">
        <w:t>et al.,</w:t>
      </w:r>
      <w:r w:rsidRPr="00C26181">
        <w:t xml:space="preserve"> 2014</w:t>
      </w:r>
      <w:r w:rsidRPr="008F7D67">
        <w:t xml:space="preserve">). </w:t>
      </w:r>
      <w:r>
        <w:t>The aim of this</w:t>
      </w:r>
      <w:r w:rsidRPr="008F7D67">
        <w:t xml:space="preserve"> paper </w:t>
      </w:r>
      <w:r>
        <w:t>ha</w:t>
      </w:r>
      <w:r w:rsidRPr="008F7D67">
        <w:t xml:space="preserve">s </w:t>
      </w:r>
      <w:r>
        <w:t xml:space="preserve">been </w:t>
      </w:r>
      <w:r w:rsidRPr="008F7D67">
        <w:t>to complement these earlier studies</w:t>
      </w:r>
      <w:r>
        <w:t xml:space="preserve">, particularly through detailed analysis of the sensitivity of the estimates </w:t>
      </w:r>
      <w:r w:rsidR="00781B58">
        <w:t xml:space="preserve">and </w:t>
      </w:r>
      <w:r w:rsidR="003E6589">
        <w:t xml:space="preserve">further </w:t>
      </w:r>
      <w:r w:rsidR="00781B58">
        <w:t xml:space="preserve">explanation of the </w:t>
      </w:r>
      <w:r w:rsidR="003E6589">
        <w:t xml:space="preserve">economic </w:t>
      </w:r>
      <w:r w:rsidR="00781B58">
        <w:t>incidence</w:t>
      </w:r>
      <w:r>
        <w:t>.</w:t>
      </w:r>
      <w:r w:rsidR="00A070B1">
        <w:t xml:space="preserve"> General equilibrium models are necessarily a simplification of the economy and</w:t>
      </w:r>
      <w:r w:rsidR="00954560">
        <w:t>,</w:t>
      </w:r>
      <w:r w:rsidR="00A070B1">
        <w:t xml:space="preserve"> </w:t>
      </w:r>
      <w:r w:rsidR="0039635D">
        <w:t>as such</w:t>
      </w:r>
      <w:r w:rsidR="00954560">
        <w:t>,</w:t>
      </w:r>
      <w:r w:rsidR="0039635D">
        <w:t xml:space="preserve"> they </w:t>
      </w:r>
      <w:r w:rsidR="00954560">
        <w:t>can only incorporate</w:t>
      </w:r>
      <w:r w:rsidR="0039635D">
        <w:t xml:space="preserve"> a</w:t>
      </w:r>
      <w:r w:rsidR="00A070B1">
        <w:t xml:space="preserve"> stylised </w:t>
      </w:r>
      <w:r w:rsidR="00954560">
        <w:t xml:space="preserve">representation of the </w:t>
      </w:r>
      <w:r w:rsidR="00A070B1">
        <w:t xml:space="preserve">tax system. This means that </w:t>
      </w:r>
      <w:r w:rsidR="00954560">
        <w:t xml:space="preserve">the </w:t>
      </w:r>
      <w:r w:rsidR="00A070B1">
        <w:t xml:space="preserve">analysis </w:t>
      </w:r>
      <w:r w:rsidR="005A2297">
        <w:t>reported here</w:t>
      </w:r>
      <w:r w:rsidR="00A070B1">
        <w:t xml:space="preserve"> provides an </w:t>
      </w:r>
      <w:r w:rsidR="005A2297">
        <w:t>indication</w:t>
      </w:r>
      <w:r w:rsidR="00A070B1">
        <w:t xml:space="preserve"> of the relative efficiency of different taxes, but not sharp estimates of the overall economic costs.</w:t>
      </w:r>
    </w:p>
    <w:p w14:paraId="710B1CD1" w14:textId="3BC734B1" w:rsidR="00F60B8A" w:rsidRDefault="00F60B8A" w:rsidP="00B56580">
      <w:pPr>
        <w:rPr>
          <w:lang w:val="en-US" w:eastAsia="en-AU"/>
        </w:rPr>
      </w:pPr>
      <w:r>
        <w:rPr>
          <w:lang w:val="en-US" w:eastAsia="en-AU"/>
        </w:rPr>
        <w:t xml:space="preserve">Our estimates of the marginal excess burden of </w:t>
      </w:r>
      <w:r w:rsidR="00954560">
        <w:rPr>
          <w:lang w:val="en-US" w:eastAsia="en-AU"/>
        </w:rPr>
        <w:t xml:space="preserve">the </w:t>
      </w:r>
      <w:r>
        <w:rPr>
          <w:lang w:val="en-US" w:eastAsia="en-AU"/>
        </w:rPr>
        <w:t xml:space="preserve">five </w:t>
      </w:r>
      <w:r w:rsidR="00954560">
        <w:rPr>
          <w:lang w:val="en-US" w:eastAsia="en-AU"/>
        </w:rPr>
        <w:t xml:space="preserve">major </w:t>
      </w:r>
      <w:r>
        <w:rPr>
          <w:lang w:val="en-US" w:eastAsia="en-AU"/>
        </w:rPr>
        <w:t xml:space="preserve">taxes </w:t>
      </w:r>
      <w:r w:rsidR="00954560">
        <w:rPr>
          <w:lang w:val="en-US" w:eastAsia="en-AU"/>
        </w:rPr>
        <w:t xml:space="preserve">under study </w:t>
      </w:r>
      <w:r>
        <w:rPr>
          <w:lang w:val="en-US" w:eastAsia="en-AU"/>
        </w:rPr>
        <w:t xml:space="preserve">largely align with estimates reported in other Australian studies using a similar modelling framework (see </w:t>
      </w:r>
      <w:r w:rsidR="00B843C6" w:rsidRPr="002613A9">
        <w:t xml:space="preserve">Chart </w:t>
      </w:r>
      <w:r w:rsidR="00B843C6">
        <w:rPr>
          <w:noProof/>
        </w:rPr>
        <w:t>33</w:t>
      </w:r>
      <w:r>
        <w:rPr>
          <w:lang w:val="en-US" w:eastAsia="en-AU"/>
        </w:rPr>
        <w:t xml:space="preserve"> and </w:t>
      </w:r>
      <w:r w:rsidR="00B843C6" w:rsidRPr="00A228A1">
        <w:t xml:space="preserve">Chart </w:t>
      </w:r>
      <w:r w:rsidR="00B843C6">
        <w:rPr>
          <w:noProof/>
        </w:rPr>
        <w:t>34</w:t>
      </w:r>
      <w:r>
        <w:rPr>
          <w:lang w:val="en-US" w:eastAsia="en-AU"/>
        </w:rPr>
        <w:t>)</w:t>
      </w:r>
      <w:r w:rsidR="00954560">
        <w:rPr>
          <w:lang w:val="en-US" w:eastAsia="en-AU"/>
        </w:rPr>
        <w:t xml:space="preserve">. In addition we find that the </w:t>
      </w:r>
      <w:r w:rsidR="008A342E">
        <w:rPr>
          <w:lang w:val="en-US" w:eastAsia="en-AU"/>
        </w:rPr>
        <w:t xml:space="preserve">relative </w:t>
      </w:r>
      <w:r w:rsidR="00954560">
        <w:rPr>
          <w:lang w:val="en-US" w:eastAsia="en-AU"/>
        </w:rPr>
        <w:t>efficiency of these taxes is</w:t>
      </w:r>
      <w:r w:rsidR="008A342E">
        <w:rPr>
          <w:lang w:val="en-US" w:eastAsia="en-AU"/>
        </w:rPr>
        <w:t xml:space="preserve"> robust </w:t>
      </w:r>
      <w:r w:rsidR="00954560">
        <w:rPr>
          <w:lang w:val="en-US" w:eastAsia="en-AU"/>
        </w:rPr>
        <w:t>to</w:t>
      </w:r>
      <w:r w:rsidR="008A342E">
        <w:rPr>
          <w:lang w:val="en-US" w:eastAsia="en-AU"/>
        </w:rPr>
        <w:t xml:space="preserve"> a range of model parameters. O</w:t>
      </w:r>
      <w:r>
        <w:rPr>
          <w:lang w:val="en-US" w:eastAsia="en-AU"/>
        </w:rPr>
        <w:t xml:space="preserve">ur </w:t>
      </w:r>
      <w:r w:rsidR="005A2297">
        <w:rPr>
          <w:lang w:val="en-US" w:eastAsia="en-AU"/>
        </w:rPr>
        <w:t>analysis</w:t>
      </w:r>
      <w:r>
        <w:rPr>
          <w:lang w:val="en-US" w:eastAsia="en-AU"/>
        </w:rPr>
        <w:t xml:space="preserve"> suggests that conveyancing stamp duties and company income tax have high relative marginal excess burdens. </w:t>
      </w:r>
      <w:r w:rsidR="008A342E">
        <w:rPr>
          <w:lang w:val="en-US" w:eastAsia="en-AU"/>
        </w:rPr>
        <w:t>Marginal excess burden e</w:t>
      </w:r>
      <w:r>
        <w:rPr>
          <w:lang w:val="en-US" w:eastAsia="en-AU"/>
        </w:rPr>
        <w:t>stimates for company income tax are likely to be higher in this study than KPMG (2010) because of the inclusion of greater complexity in international capital markets in the model used for this paper (also used by Treasury for the Business Tax</w:t>
      </w:r>
      <w:r w:rsidR="008A342E">
        <w:rPr>
          <w:lang w:val="en-US" w:eastAsia="en-AU"/>
        </w:rPr>
        <w:t xml:space="preserve"> Working Group). Marginal excess burden estimates for</w:t>
      </w:r>
      <w:r>
        <w:rPr>
          <w:lang w:val="en-US" w:eastAsia="en-AU"/>
        </w:rPr>
        <w:t xml:space="preserve"> </w:t>
      </w:r>
      <w:r w:rsidR="008A342E">
        <w:rPr>
          <w:lang w:val="en-US" w:eastAsia="en-AU"/>
        </w:rPr>
        <w:t xml:space="preserve">conveyancing stamp duties were also lower in KPMG (2010), but that earlier study noted that the marginal excess burden was underestimated because it did not attempt to capture the impact of stamp duties on the frequency of transactions. </w:t>
      </w:r>
    </w:p>
    <w:p w14:paraId="5955D97F" w14:textId="00F52004" w:rsidR="00F60B8A" w:rsidRDefault="00F60B8A" w:rsidP="00B56580">
      <w:pPr>
        <w:rPr>
          <w:lang w:val="en-US" w:eastAsia="en-AU"/>
        </w:rPr>
      </w:pPr>
      <w:r w:rsidRPr="004B64F6">
        <w:rPr>
          <w:lang w:val="en-US" w:eastAsia="en-AU"/>
        </w:rPr>
        <w:lastRenderedPageBreak/>
        <w:t xml:space="preserve">Our analysis suggests that capital taxation via the company income tax </w:t>
      </w:r>
      <w:r w:rsidR="001B7B26" w:rsidRPr="004B64F6">
        <w:rPr>
          <w:lang w:val="en-US" w:eastAsia="en-AU"/>
        </w:rPr>
        <w:t>is</w:t>
      </w:r>
      <w:r w:rsidRPr="004B64F6">
        <w:rPr>
          <w:lang w:val="en-US" w:eastAsia="en-AU"/>
        </w:rPr>
        <w:t xml:space="preserve"> largely borne by workers through lower labour productivity which causes lower after</w:t>
      </w:r>
      <w:r w:rsidR="00F03697">
        <w:rPr>
          <w:lang w:val="en-US" w:eastAsia="en-AU"/>
        </w:rPr>
        <w:noBreakHyphen/>
      </w:r>
      <w:r w:rsidRPr="004B64F6">
        <w:rPr>
          <w:lang w:val="en-US" w:eastAsia="en-AU"/>
        </w:rPr>
        <w:t>tax real wages</w:t>
      </w:r>
      <w:r w:rsidR="006F530C" w:rsidRPr="004B64F6">
        <w:rPr>
          <w:lang w:val="en-US" w:eastAsia="en-AU"/>
        </w:rPr>
        <w:t>.</w:t>
      </w:r>
      <w:r w:rsidRPr="004B64F6">
        <w:rPr>
          <w:lang w:val="en-US" w:eastAsia="en-AU"/>
        </w:rPr>
        <w:t xml:space="preserve"> </w:t>
      </w:r>
      <w:r w:rsidR="006F530C" w:rsidRPr="004B64F6">
        <w:rPr>
          <w:lang w:val="en-US" w:eastAsia="en-AU"/>
        </w:rPr>
        <w:t>In contrast, domestic capital owners benefit from higher after</w:t>
      </w:r>
      <w:r w:rsidR="00F03697">
        <w:rPr>
          <w:lang w:val="en-US" w:eastAsia="en-AU"/>
        </w:rPr>
        <w:noBreakHyphen/>
      </w:r>
      <w:r w:rsidR="006F530C" w:rsidRPr="004B64F6">
        <w:rPr>
          <w:lang w:val="en-US" w:eastAsia="en-AU"/>
        </w:rPr>
        <w:t>tax real variable capital income (</w:t>
      </w:r>
      <w:r w:rsidR="00621AD1">
        <w:rPr>
          <w:lang w:val="en-US" w:eastAsia="en-AU"/>
        </w:rPr>
        <w:t>that is</w:t>
      </w:r>
      <w:r w:rsidR="006F530C" w:rsidRPr="004B64F6">
        <w:rPr>
          <w:lang w:val="en-US" w:eastAsia="en-AU"/>
        </w:rPr>
        <w:t>, from structures and equipment) which is largely offset by lower after</w:t>
      </w:r>
      <w:r w:rsidR="00F03697">
        <w:rPr>
          <w:lang w:val="en-US" w:eastAsia="en-AU"/>
        </w:rPr>
        <w:noBreakHyphen/>
      </w:r>
      <w:r w:rsidR="006F530C" w:rsidRPr="004B64F6">
        <w:rPr>
          <w:lang w:val="en-US" w:eastAsia="en-AU"/>
        </w:rPr>
        <w:t>tax real rental income from fixed factors (</w:t>
      </w:r>
      <w:r w:rsidR="00621AD1">
        <w:rPr>
          <w:lang w:val="en-US" w:eastAsia="en-AU"/>
        </w:rPr>
        <w:t>that is</w:t>
      </w:r>
      <w:r w:rsidR="006F530C" w:rsidRPr="004B64F6">
        <w:rPr>
          <w:lang w:val="en-US" w:eastAsia="en-AU"/>
        </w:rPr>
        <w:t>, land)</w:t>
      </w:r>
      <w:r w:rsidR="00A51788" w:rsidRPr="004B64F6">
        <w:rPr>
          <w:lang w:val="en-US" w:eastAsia="en-AU"/>
        </w:rPr>
        <w:t>.</w:t>
      </w:r>
      <w:r w:rsidRPr="004B64F6">
        <w:rPr>
          <w:lang w:val="en-US" w:eastAsia="en-AU"/>
        </w:rPr>
        <w:t xml:space="preserve"> The economic incidence of a change in stamp duty on conveyances also tends to fall on workers, with fixed and variable capital owners bearing some of the burden.</w:t>
      </w:r>
    </w:p>
    <w:p w14:paraId="29DD6A93" w14:textId="265B06C8" w:rsidR="00ED21B8" w:rsidRDefault="00ED21B8" w:rsidP="00E82F3E">
      <w:pPr>
        <w:pStyle w:val="Caption1"/>
      </w:pPr>
      <w:bookmarkStart w:id="49" w:name="_Ref401819241"/>
      <w:r w:rsidRPr="002613A9">
        <w:t xml:space="preserve">Chart </w:t>
      </w:r>
      <w:r w:rsidR="00866AD9">
        <w:fldChar w:fldCharType="begin"/>
      </w:r>
      <w:r w:rsidR="00866AD9">
        <w:instrText xml:space="preserve"> SEQ Chart \</w:instrText>
      </w:r>
      <w:r w:rsidR="00866AD9">
        <w:instrText xml:space="preserve">* ARABIC </w:instrText>
      </w:r>
      <w:r w:rsidR="00866AD9">
        <w:fldChar w:fldCharType="separate"/>
      </w:r>
      <w:r w:rsidR="00AA2137">
        <w:rPr>
          <w:noProof/>
        </w:rPr>
        <w:t>33</w:t>
      </w:r>
      <w:r w:rsidR="00866AD9">
        <w:rPr>
          <w:noProof/>
        </w:rPr>
        <w:fldChar w:fldCharType="end"/>
      </w:r>
      <w:bookmarkEnd w:id="49"/>
      <w:r w:rsidRPr="002613A9">
        <w:t xml:space="preserve">: </w:t>
      </w:r>
      <w:r w:rsidR="0051143B" w:rsidRPr="002613A9">
        <w:t>Marginal e</w:t>
      </w:r>
      <w:r w:rsidR="00772B9B" w:rsidRPr="002613A9">
        <w:t>xcess burden</w:t>
      </w:r>
      <w:r w:rsidRPr="002613A9">
        <w:t xml:space="preserve"> of major Australian taxes</w:t>
      </w:r>
    </w:p>
    <w:p w14:paraId="29DD6A94" w14:textId="20546D14" w:rsidR="009B1405" w:rsidRDefault="00866AD9" w:rsidP="00B066B3">
      <w:pPr>
        <w:pStyle w:val="Caption1"/>
        <w:rPr>
          <w:lang w:val="en-US"/>
        </w:rPr>
      </w:pPr>
      <w:r>
        <w:rPr>
          <w:lang w:val="en-US"/>
        </w:rPr>
        <w:pict w14:anchorId="4198BA26">
          <v:shape id="_x0000_i1078" type="#_x0000_t75" alt="This chart plots the marginal excess burdens of stamp duties on conveyances, company income tax, flat rate labour income tax, flat rate personal income tax, goods and services tax, broad based goods and services tax and municipal rates and land tax, as well as illustrative marginal excess burdens for the progressive personal and labour income taxes." style="width:439.15pt;height:226pt">
            <v:imagedata r:id="rId107" o:title=""/>
            <o:lock v:ext="edit" aspectratio="f"/>
          </v:shape>
        </w:pict>
      </w:r>
    </w:p>
    <w:p w14:paraId="7944A7C4" w14:textId="045D17D1" w:rsidR="00F74E3C" w:rsidRDefault="00F74E3C" w:rsidP="0055740C">
      <w:pPr>
        <w:pStyle w:val="Source"/>
        <w:ind w:left="406"/>
      </w:pPr>
      <w:r>
        <w:rPr>
          <w:lang w:val="en-US"/>
        </w:rPr>
        <w:t xml:space="preserve">Source: </w:t>
      </w:r>
      <w:r w:rsidR="00E007CF">
        <w:t>Treasury estimates</w:t>
      </w:r>
      <w:r>
        <w:t>.</w:t>
      </w:r>
    </w:p>
    <w:p w14:paraId="68AE892C" w14:textId="1F101DDB" w:rsidR="00316992" w:rsidRDefault="00316992" w:rsidP="00316992">
      <w:pPr>
        <w:rPr>
          <w:lang w:val="en-US" w:eastAsia="en-AU"/>
        </w:rPr>
      </w:pPr>
      <w:r>
        <w:rPr>
          <w:lang w:val="en-US" w:eastAsia="en-AU"/>
        </w:rPr>
        <w:t>The most efficient tax captured in our model is a hypothetical broad</w:t>
      </w:r>
      <w:r w:rsidR="00F03697">
        <w:rPr>
          <w:lang w:val="en-US" w:eastAsia="en-AU"/>
        </w:rPr>
        <w:noBreakHyphen/>
      </w:r>
      <w:r>
        <w:rPr>
          <w:lang w:val="en-US" w:eastAsia="en-AU"/>
        </w:rPr>
        <w:t>based land tax, similar to municipal rates. The marginal excess burden estimate for a broad</w:t>
      </w:r>
      <w:r w:rsidR="00F03697">
        <w:rPr>
          <w:lang w:val="en-US" w:eastAsia="en-AU"/>
        </w:rPr>
        <w:noBreakHyphen/>
      </w:r>
      <w:r>
        <w:rPr>
          <w:lang w:val="en-US" w:eastAsia="en-AU"/>
        </w:rPr>
        <w:t xml:space="preserve">based land tax is </w:t>
      </w:r>
      <w:r w:rsidR="00F03697">
        <w:rPr>
          <w:lang w:val="en-US" w:eastAsia="en-AU"/>
        </w:rPr>
        <w:noBreakHyphen/>
      </w:r>
      <w:r w:rsidRPr="004F16F7">
        <w:rPr>
          <w:lang w:val="en-US" w:eastAsia="en-AU"/>
        </w:rPr>
        <w:t>10 cents</w:t>
      </w:r>
      <w:r>
        <w:rPr>
          <w:lang w:val="en-US" w:eastAsia="en-AU"/>
        </w:rPr>
        <w:t>. This estimate is a result of the inclusion</w:t>
      </w:r>
      <w:r w:rsidR="001769C1">
        <w:rPr>
          <w:lang w:val="en-US" w:eastAsia="en-AU"/>
        </w:rPr>
        <w:t xml:space="preserve"> </w:t>
      </w:r>
      <w:r>
        <w:rPr>
          <w:lang w:val="en-US" w:eastAsia="en-AU"/>
        </w:rPr>
        <w:t xml:space="preserve">of </w:t>
      </w:r>
      <w:r w:rsidR="001769C1">
        <w:t xml:space="preserve">the </w:t>
      </w:r>
      <w:r w:rsidR="001769C1" w:rsidRPr="00CF30A1">
        <w:t xml:space="preserve">foreign ownership </w:t>
      </w:r>
      <w:r w:rsidR="001769C1">
        <w:t xml:space="preserve">share </w:t>
      </w:r>
      <w:r w:rsidR="001769C1" w:rsidRPr="00CF30A1">
        <w:t>of</w:t>
      </w:r>
      <w:r w:rsidR="001769C1">
        <w:t xml:space="preserve"> </w:t>
      </w:r>
      <w:r w:rsidR="00557D5B">
        <w:t xml:space="preserve">factor </w:t>
      </w:r>
      <w:r w:rsidR="001769C1">
        <w:t>income from</w:t>
      </w:r>
      <w:r w:rsidR="001769C1" w:rsidRPr="00CF30A1">
        <w:t xml:space="preserve"> land</w:t>
      </w:r>
      <w:r w:rsidR="001769C1">
        <w:t xml:space="preserve"> </w:t>
      </w:r>
      <w:r w:rsidR="001769C1">
        <w:rPr>
          <w:lang w:val="en-US" w:eastAsia="en-AU"/>
        </w:rPr>
        <w:t>in the model</w:t>
      </w:r>
      <w:r w:rsidR="001769C1">
        <w:t xml:space="preserve"> which is estimated to be </w:t>
      </w:r>
      <w:r w:rsidR="001769C1" w:rsidRPr="00EE7B07">
        <w:t>around 10</w:t>
      </w:r>
      <w:r w:rsidR="001769C1">
        <w:t> per </w:t>
      </w:r>
      <w:r w:rsidR="001769C1" w:rsidRPr="00CF30A1">
        <w:t>cent</w:t>
      </w:r>
      <w:r w:rsidR="001769C1">
        <w:t>.</w:t>
      </w:r>
      <w:r w:rsidR="001769C1">
        <w:rPr>
          <w:lang w:val="en-US" w:eastAsia="en-AU"/>
        </w:rPr>
        <w:t xml:space="preserve"> </w:t>
      </w:r>
      <w:r>
        <w:rPr>
          <w:lang w:val="en-US" w:eastAsia="en-AU"/>
        </w:rPr>
        <w:t>The current exemptions and concessions to land tax would raise the marginal excess burden from the highly efficient broad</w:t>
      </w:r>
      <w:r w:rsidR="00F03697">
        <w:rPr>
          <w:lang w:val="en-US" w:eastAsia="en-AU"/>
        </w:rPr>
        <w:noBreakHyphen/>
      </w:r>
      <w:r>
        <w:rPr>
          <w:lang w:val="en-US" w:eastAsia="en-AU"/>
        </w:rPr>
        <w:t>based land tax modelled in this paper. Quantifying the efficiency costs of these exemptions and concessions is challenging in a stylised economy</w:t>
      </w:r>
      <w:r w:rsidR="00F03697">
        <w:rPr>
          <w:lang w:val="en-US" w:eastAsia="en-AU"/>
        </w:rPr>
        <w:noBreakHyphen/>
      </w:r>
      <w:r>
        <w:rPr>
          <w:lang w:val="en-US" w:eastAsia="en-AU"/>
        </w:rPr>
        <w:t>wide model and outside the scope of this paper.</w:t>
      </w:r>
    </w:p>
    <w:p w14:paraId="0AD15BD7" w14:textId="5C3C4847" w:rsidR="00316992" w:rsidRDefault="00316992" w:rsidP="00316992">
      <w:pPr>
        <w:rPr>
          <w:lang w:val="en-US" w:eastAsia="en-AU"/>
        </w:rPr>
      </w:pPr>
      <w:r>
        <w:rPr>
          <w:lang w:val="en-US" w:eastAsia="en-AU"/>
        </w:rPr>
        <w:t>The other two taxes that we examined in this paper are a stylised personal income tax and the GST. Our model suggests that these taxes are less efficient than a broad</w:t>
      </w:r>
      <w:r w:rsidR="00F03697">
        <w:rPr>
          <w:lang w:val="en-US" w:eastAsia="en-AU"/>
        </w:rPr>
        <w:noBreakHyphen/>
      </w:r>
      <w:r>
        <w:rPr>
          <w:lang w:val="en-US" w:eastAsia="en-AU"/>
        </w:rPr>
        <w:t xml:space="preserve">based land tax, but more efficient than company income tax and conveyancing stamp duties. The </w:t>
      </w:r>
      <w:r w:rsidRPr="00A228A1">
        <w:rPr>
          <w:lang w:val="en-GB" w:eastAsia="en-AU"/>
        </w:rPr>
        <w:t>stylised</w:t>
      </w:r>
      <w:r>
        <w:rPr>
          <w:lang w:val="en-US" w:eastAsia="en-AU"/>
        </w:rPr>
        <w:t xml:space="preserve"> personal income tax has a lower marginal excess burden than the </w:t>
      </w:r>
      <w:r w:rsidRPr="00A228A1">
        <w:rPr>
          <w:lang w:val="en-GB" w:eastAsia="en-AU"/>
        </w:rPr>
        <w:t>stylised</w:t>
      </w:r>
      <w:r>
        <w:rPr>
          <w:lang w:val="en-US" w:eastAsia="en-AU"/>
        </w:rPr>
        <w:t xml:space="preserve"> tax on individuals</w:t>
      </w:r>
      <w:r w:rsidR="00F03697">
        <w:rPr>
          <w:lang w:val="en-US" w:eastAsia="en-AU"/>
        </w:rPr>
        <w:t>’</w:t>
      </w:r>
      <w:r>
        <w:rPr>
          <w:lang w:val="en-US" w:eastAsia="en-AU"/>
        </w:rPr>
        <w:t xml:space="preserve"> labour income. </w:t>
      </w:r>
      <w:r w:rsidRPr="0014380C">
        <w:rPr>
          <w:lang w:val="en-US" w:eastAsia="en-AU"/>
        </w:rPr>
        <w:t>This is due to two critical assumptions in the model: the after</w:t>
      </w:r>
      <w:r w:rsidR="00F03697">
        <w:rPr>
          <w:lang w:val="en-US" w:eastAsia="en-AU"/>
        </w:rPr>
        <w:noBreakHyphen/>
      </w:r>
      <w:r w:rsidRPr="0014380C">
        <w:rPr>
          <w:lang w:val="en-US" w:eastAsia="en-AU"/>
        </w:rPr>
        <w:t>tax rate of return on capital is equal to the global rate of return, which implies the before</w:t>
      </w:r>
      <w:r w:rsidR="00F03697">
        <w:rPr>
          <w:lang w:val="en-US" w:eastAsia="en-AU"/>
        </w:rPr>
        <w:noBreakHyphen/>
      </w:r>
      <w:r w:rsidRPr="0014380C">
        <w:rPr>
          <w:lang w:val="en-US" w:eastAsia="en-AU"/>
        </w:rPr>
        <w:t xml:space="preserve">tax return on domestic capital is invariant to changes in the personal income tax system; and the fixed domestic capital stock assumption. Together these assumptions imply </w:t>
      </w:r>
      <w:r w:rsidR="00954560">
        <w:rPr>
          <w:lang w:val="en-US" w:eastAsia="en-AU"/>
        </w:rPr>
        <w:t xml:space="preserve">that </w:t>
      </w:r>
      <w:r w:rsidRPr="0014380C">
        <w:rPr>
          <w:lang w:val="en-US" w:eastAsia="en-AU"/>
        </w:rPr>
        <w:t>before</w:t>
      </w:r>
      <w:r w:rsidR="00F03697">
        <w:rPr>
          <w:lang w:val="en-US" w:eastAsia="en-AU"/>
        </w:rPr>
        <w:noBreakHyphen/>
      </w:r>
      <w:r w:rsidRPr="0014380C">
        <w:rPr>
          <w:lang w:val="en-US" w:eastAsia="en-AU"/>
        </w:rPr>
        <w:t xml:space="preserve">tax domestic capital income is invariant to </w:t>
      </w:r>
      <w:r w:rsidR="006F11FB">
        <w:rPr>
          <w:lang w:val="en-US" w:eastAsia="en-AU"/>
        </w:rPr>
        <w:t xml:space="preserve">small </w:t>
      </w:r>
      <w:r w:rsidRPr="0014380C">
        <w:rPr>
          <w:lang w:val="en-US" w:eastAsia="en-AU"/>
        </w:rPr>
        <w:t>changes in the personal income tax system.</w:t>
      </w:r>
    </w:p>
    <w:p w14:paraId="1CBD0E71" w14:textId="1641AC4C" w:rsidR="00316992" w:rsidRDefault="00316992" w:rsidP="00316992">
      <w:pPr>
        <w:rPr>
          <w:lang w:val="en-US" w:eastAsia="en-AU"/>
        </w:rPr>
      </w:pPr>
      <w:r>
        <w:rPr>
          <w:lang w:val="en-US" w:eastAsia="en-AU"/>
        </w:rPr>
        <w:t>Our estimate of the marginal excess burden on individuals</w:t>
      </w:r>
      <w:r w:rsidR="00F03697">
        <w:rPr>
          <w:lang w:val="en-US" w:eastAsia="en-AU"/>
        </w:rPr>
        <w:t>’</w:t>
      </w:r>
      <w:r>
        <w:rPr>
          <w:lang w:val="en-US" w:eastAsia="en-AU"/>
        </w:rPr>
        <w:t xml:space="preserve"> labour income and GST are very similar at around </w:t>
      </w:r>
      <w:r w:rsidRPr="004F16F7">
        <w:rPr>
          <w:lang w:val="en-US" w:eastAsia="en-AU"/>
        </w:rPr>
        <w:t>21 cents</w:t>
      </w:r>
      <w:r>
        <w:rPr>
          <w:lang w:val="en-US" w:eastAsia="en-AU"/>
        </w:rPr>
        <w:t xml:space="preserve"> and </w:t>
      </w:r>
      <w:r w:rsidRPr="004F16F7">
        <w:rPr>
          <w:lang w:val="en-US" w:eastAsia="en-AU"/>
        </w:rPr>
        <w:t>19 cents</w:t>
      </w:r>
      <w:r>
        <w:rPr>
          <w:lang w:val="en-US" w:eastAsia="en-AU"/>
        </w:rPr>
        <w:t xml:space="preserve"> respectively. This aligns with the intuition that the taxation of labour </w:t>
      </w:r>
      <w:r w:rsidR="00DF2B3C">
        <w:rPr>
          <w:lang w:val="en-US" w:eastAsia="en-AU"/>
        </w:rPr>
        <w:t xml:space="preserve">income </w:t>
      </w:r>
      <w:r>
        <w:rPr>
          <w:lang w:val="en-US" w:eastAsia="en-AU"/>
        </w:rPr>
        <w:t>and GST both affect the real purchasing power of wages, with a similar incidence on labour</w:t>
      </w:r>
      <w:r w:rsidR="00DF2B3C">
        <w:rPr>
          <w:lang w:val="en-US" w:eastAsia="en-AU"/>
        </w:rPr>
        <w:t xml:space="preserve"> supply</w:t>
      </w:r>
      <w:r>
        <w:rPr>
          <w:lang w:val="en-US" w:eastAsia="en-AU"/>
        </w:rPr>
        <w:t xml:space="preserve">. Nevertheless, previous Australian modelling has estimated a lower marginal burden estimate for the GST than labour income tax. Our marginal excess burden estimate for labour income tax is </w:t>
      </w:r>
      <w:r>
        <w:rPr>
          <w:lang w:val="en-US" w:eastAsia="en-AU"/>
        </w:rPr>
        <w:lastRenderedPageBreak/>
        <w:t>similar to previous studies</w:t>
      </w:r>
      <w:r w:rsidR="00962F66">
        <w:rPr>
          <w:lang w:val="en-US" w:eastAsia="en-AU"/>
        </w:rPr>
        <w:t xml:space="preserve">. </w:t>
      </w:r>
      <w:r>
        <w:rPr>
          <w:lang w:val="en-US" w:eastAsia="en-AU"/>
        </w:rPr>
        <w:t>The marginal excess burden estimate for the GST, however, is higher than previous studies</w:t>
      </w:r>
      <w:r w:rsidRPr="004B64F6">
        <w:rPr>
          <w:lang w:val="en-US" w:eastAsia="en-AU"/>
        </w:rPr>
        <w:t xml:space="preserve">. </w:t>
      </w:r>
      <w:r w:rsidRPr="004B64F6">
        <w:t xml:space="preserve">Despite having similar underlying models, it is difficult to isolate the precise reasons for differences between the </w:t>
      </w:r>
      <w:r w:rsidR="00496794" w:rsidRPr="004B64F6">
        <w:t>Independent Economics</w:t>
      </w:r>
      <w:r w:rsidRPr="004B64F6">
        <w:t xml:space="preserve"> (2014) and the current study because </w:t>
      </w:r>
      <w:r w:rsidR="006C116E" w:rsidRPr="004B64F6">
        <w:t>Independent Economics</w:t>
      </w:r>
      <w:r w:rsidRPr="004B64F6">
        <w:t xml:space="preserve"> and the Treasury updated the calibration of the model to latest data and implemented their GST modules separately. </w:t>
      </w:r>
      <w:r w:rsidR="00962F66" w:rsidRPr="004B64F6">
        <w:t xml:space="preserve">However, earlier analysis by KPMG (2010 and 2011) suggests that updating the calibration of the model to </w:t>
      </w:r>
      <w:r w:rsidR="00BD0320" w:rsidRPr="004B64F6">
        <w:t xml:space="preserve">the </w:t>
      </w:r>
      <w:r w:rsidR="00962F66" w:rsidRPr="004B64F6">
        <w:t xml:space="preserve">latest data can yield somewhat different results for the GST. For example, KPMG (2010) estimated a GST </w:t>
      </w:r>
      <w:r w:rsidR="007B5309" w:rsidRPr="004B64F6">
        <w:t xml:space="preserve">marginal </w:t>
      </w:r>
      <w:r w:rsidR="00962F66" w:rsidRPr="004B64F6">
        <w:t xml:space="preserve">excess burden of 8 cents </w:t>
      </w:r>
      <w:r w:rsidR="001E236B" w:rsidRPr="004B64F6">
        <w:t>whereas</w:t>
      </w:r>
      <w:r w:rsidR="00962F66" w:rsidRPr="004B64F6">
        <w:t xml:space="preserve"> KPMG (2011) estimated a</w:t>
      </w:r>
      <w:r w:rsidR="007B5309" w:rsidRPr="004B64F6">
        <w:t xml:space="preserve"> GST marginal</w:t>
      </w:r>
      <w:r w:rsidR="00962F66" w:rsidRPr="004B64F6">
        <w:t xml:space="preserve"> excess burden of 12 cents, while maintaining a marginal excess burden for the labour income tax of 24 cents. This suggests that subtle variations in model calibration can affect the relative </w:t>
      </w:r>
      <w:r w:rsidR="007B5309" w:rsidRPr="004B64F6">
        <w:t xml:space="preserve">marginal </w:t>
      </w:r>
      <w:r w:rsidR="00962F66" w:rsidRPr="004B64F6">
        <w:t>excess burden of the GST.</w:t>
      </w:r>
    </w:p>
    <w:p w14:paraId="29DD6A98" w14:textId="70729237" w:rsidR="00BC6E55" w:rsidRDefault="00BC6E55" w:rsidP="00E82F3E">
      <w:pPr>
        <w:pStyle w:val="Caption1"/>
      </w:pPr>
      <w:bookmarkStart w:id="50" w:name="_Ref398460399"/>
      <w:r w:rsidRPr="00A228A1">
        <w:t xml:space="preserve">Chart </w:t>
      </w:r>
      <w:r w:rsidR="00866AD9">
        <w:fldChar w:fldCharType="begin"/>
      </w:r>
      <w:r w:rsidR="00866AD9">
        <w:instrText xml:space="preserve"> SEQ Chart \* ARABIC </w:instrText>
      </w:r>
      <w:r w:rsidR="00866AD9">
        <w:fldChar w:fldCharType="separate"/>
      </w:r>
      <w:r w:rsidR="00AA2137">
        <w:rPr>
          <w:noProof/>
        </w:rPr>
        <w:t>34</w:t>
      </w:r>
      <w:r w:rsidR="00866AD9">
        <w:rPr>
          <w:noProof/>
        </w:rPr>
        <w:fldChar w:fldCharType="end"/>
      </w:r>
      <w:bookmarkEnd w:id="50"/>
      <w:r w:rsidRPr="00A228A1">
        <w:t xml:space="preserve">: </w:t>
      </w:r>
      <w:r w:rsidR="00BD0618" w:rsidRPr="00A228A1">
        <w:t xml:space="preserve">Comparison of </w:t>
      </w:r>
      <w:r w:rsidR="0051143B" w:rsidRPr="00A228A1">
        <w:t xml:space="preserve">marginal </w:t>
      </w:r>
      <w:r w:rsidR="00772B9B" w:rsidRPr="00A228A1">
        <w:t>excess burden</w:t>
      </w:r>
      <w:r w:rsidR="00CF75B9" w:rsidRPr="00A228A1">
        <w:t xml:space="preserve"> estimates</w:t>
      </w:r>
    </w:p>
    <w:p w14:paraId="29DD6A99" w14:textId="3B3136DE" w:rsidR="00643E33" w:rsidRDefault="00866AD9" w:rsidP="00B066B3">
      <w:pPr>
        <w:pStyle w:val="Caption1"/>
        <w:rPr>
          <w:lang w:val="en-US"/>
        </w:rPr>
      </w:pPr>
      <w:r>
        <w:rPr>
          <w:lang w:val="en-US"/>
        </w:rPr>
        <w:pict w14:anchorId="27767099">
          <v:shape id="_x0000_i1079" type="#_x0000_t75" alt="This chart compares the marginal excess burdens of the major taxes reported in this paper to those reported in other Australian studies." style="width:439.15pt;height:339.35pt;mso-position-vertical:absolute">
            <v:imagedata r:id="rId108" o:title=""/>
          </v:shape>
        </w:pict>
      </w:r>
    </w:p>
    <w:p w14:paraId="00BDE749" w14:textId="39705E67" w:rsidR="00F74E3C" w:rsidRDefault="0005283C" w:rsidP="0055740C">
      <w:pPr>
        <w:pStyle w:val="Source"/>
        <w:ind w:left="336"/>
      </w:pPr>
      <w:r>
        <w:t>Source: KPMG (2010)</w:t>
      </w:r>
      <w:r w:rsidR="00F32B0D">
        <w:t xml:space="preserve">, </w:t>
      </w:r>
      <w:r>
        <w:t>KPMG (2011)</w:t>
      </w:r>
      <w:r w:rsidR="008B6624">
        <w:t xml:space="preserve">, </w:t>
      </w:r>
      <w:r w:rsidR="00496794">
        <w:t>Independent Economics</w:t>
      </w:r>
      <w:r w:rsidR="008B6624">
        <w:t xml:space="preserve"> (2014)</w:t>
      </w:r>
      <w:r w:rsidR="00F32B0D">
        <w:t xml:space="preserve"> </w:t>
      </w:r>
      <w:r w:rsidR="008C632E">
        <w:t>and</w:t>
      </w:r>
      <w:r w:rsidR="00F74E3C">
        <w:rPr>
          <w:lang w:val="en-US"/>
        </w:rPr>
        <w:t xml:space="preserve"> </w:t>
      </w:r>
      <w:r w:rsidR="00E007CF">
        <w:t>Treasury estimates</w:t>
      </w:r>
      <w:r w:rsidR="00F74E3C">
        <w:t>.</w:t>
      </w:r>
    </w:p>
    <w:p w14:paraId="268841EE" w14:textId="53DCD597" w:rsidR="002613A9" w:rsidRDefault="002613A9" w:rsidP="00F74E3C">
      <w:r>
        <w:t>A feature of Australia</w:t>
      </w:r>
      <w:r w:rsidR="00F03697">
        <w:t>’</w:t>
      </w:r>
      <w:r>
        <w:t>s current progressive income tax system is that the marginal tax rate faced by individuals is higher than their average tax rate</w:t>
      </w:r>
      <w:r w:rsidR="00ED4C32" w:rsidRPr="004B64F6">
        <w:t>.</w:t>
      </w:r>
      <w:r w:rsidR="00C62C7E" w:rsidRPr="004B64F6">
        <w:t xml:space="preserve"> </w:t>
      </w:r>
      <w:r w:rsidR="00ED4C32" w:rsidRPr="004B64F6">
        <w:t xml:space="preserve">Also, empirical evidence suggests </w:t>
      </w:r>
      <w:r w:rsidR="00C62C7E" w:rsidRPr="004B64F6">
        <w:t xml:space="preserve">that the </w:t>
      </w:r>
      <w:r w:rsidR="00ED4C32" w:rsidRPr="004B64F6">
        <w:t xml:space="preserve">elasticity of </w:t>
      </w:r>
      <w:r w:rsidR="00C62C7E" w:rsidRPr="004B64F6">
        <w:t>labour supply var</w:t>
      </w:r>
      <w:r w:rsidR="00ED4C32" w:rsidRPr="004B64F6">
        <w:t>ies</w:t>
      </w:r>
      <w:r w:rsidR="00C62C7E" w:rsidRPr="004B64F6">
        <w:t xml:space="preserve"> across </w:t>
      </w:r>
      <w:r w:rsidR="00ED4C32" w:rsidRPr="004B64F6">
        <w:t>different groups of taxpayers</w:t>
      </w:r>
      <w:r w:rsidRPr="004B64F6">
        <w:t>. We are not able to capture th</w:t>
      </w:r>
      <w:r w:rsidR="00C62C7E" w:rsidRPr="004B64F6">
        <w:t>e</w:t>
      </w:r>
      <w:r w:rsidRPr="004B64F6">
        <w:t>s</w:t>
      </w:r>
      <w:r w:rsidR="00C62C7E" w:rsidRPr="004B64F6">
        <w:t>e</w:t>
      </w:r>
      <w:r w:rsidRPr="004B64F6">
        <w:t xml:space="preserve"> feature</w:t>
      </w:r>
      <w:r w:rsidR="00C62C7E" w:rsidRPr="004B64F6">
        <w:t>s</w:t>
      </w:r>
      <w:r w:rsidRPr="004B64F6">
        <w:t xml:space="preserve"> directly within our model</w:t>
      </w:r>
      <w:r w:rsidR="00C62C7E" w:rsidRPr="004B64F6">
        <w:t>, which</w:t>
      </w:r>
      <w:r w:rsidRPr="004B64F6">
        <w:t xml:space="preserve"> h</w:t>
      </w:r>
      <w:r w:rsidR="00C62C7E" w:rsidRPr="004B64F6">
        <w:t>as</w:t>
      </w:r>
      <w:r w:rsidRPr="004B64F6">
        <w:t xml:space="preserve"> a single representative household. Nevertheless, we have attempted to show how higher marginal tax rates might lift the marginal excess burden using illustrative examples.</w:t>
      </w:r>
    </w:p>
    <w:p w14:paraId="29DD6A9D" w14:textId="6F7CF9F0" w:rsidR="00E0425B" w:rsidRDefault="00BD0618" w:rsidP="004A3717">
      <w:pPr>
        <w:rPr>
          <w:lang w:val="en-US" w:eastAsia="en-AU"/>
        </w:rPr>
      </w:pPr>
      <w:r>
        <w:rPr>
          <w:lang w:val="en-US" w:eastAsia="en-AU"/>
        </w:rPr>
        <w:t xml:space="preserve">This paper is the first step in a </w:t>
      </w:r>
      <w:r w:rsidR="004758A7">
        <w:rPr>
          <w:lang w:val="en-US" w:eastAsia="en-AU"/>
        </w:rPr>
        <w:t xml:space="preserve">research program </w:t>
      </w:r>
      <w:r>
        <w:rPr>
          <w:lang w:val="en-US" w:eastAsia="en-AU"/>
        </w:rPr>
        <w:t>that is aimed at improving the understanding of the efficiency and incidence of major Australian taxes</w:t>
      </w:r>
      <w:r w:rsidRPr="004B64F6">
        <w:rPr>
          <w:lang w:val="en-US" w:eastAsia="en-AU"/>
        </w:rPr>
        <w:t xml:space="preserve">. </w:t>
      </w:r>
      <w:r w:rsidR="006B73FD" w:rsidRPr="004B64F6">
        <w:rPr>
          <w:lang w:val="en-US" w:eastAsia="en-AU"/>
        </w:rPr>
        <w:t xml:space="preserve">The </w:t>
      </w:r>
      <w:r w:rsidR="00C62C7E" w:rsidRPr="004B64F6">
        <w:rPr>
          <w:lang w:val="en-US" w:eastAsia="en-AU"/>
        </w:rPr>
        <w:t xml:space="preserve">three </w:t>
      </w:r>
      <w:r w:rsidR="006B73FD" w:rsidRPr="004B64F6">
        <w:rPr>
          <w:lang w:val="en-US" w:eastAsia="en-AU"/>
        </w:rPr>
        <w:t>key</w:t>
      </w:r>
      <w:r w:rsidRPr="004B64F6">
        <w:rPr>
          <w:lang w:val="en-US" w:eastAsia="en-AU"/>
        </w:rPr>
        <w:t xml:space="preserve"> limitation</w:t>
      </w:r>
      <w:r w:rsidR="006B73FD" w:rsidRPr="004B64F6">
        <w:rPr>
          <w:lang w:val="en-US" w:eastAsia="en-AU"/>
        </w:rPr>
        <w:t>s</w:t>
      </w:r>
      <w:r w:rsidRPr="004B64F6">
        <w:rPr>
          <w:lang w:val="en-US" w:eastAsia="en-AU"/>
        </w:rPr>
        <w:t xml:space="preserve"> of the analysis </w:t>
      </w:r>
      <w:r w:rsidR="006B73FD" w:rsidRPr="004B64F6">
        <w:rPr>
          <w:lang w:val="en-US" w:eastAsia="en-AU"/>
        </w:rPr>
        <w:t xml:space="preserve">reported here are </w:t>
      </w:r>
      <w:r w:rsidRPr="004B64F6">
        <w:rPr>
          <w:lang w:val="en-US" w:eastAsia="en-AU"/>
        </w:rPr>
        <w:t xml:space="preserve">that </w:t>
      </w:r>
      <w:r w:rsidR="006B73FD" w:rsidRPr="004B64F6">
        <w:rPr>
          <w:lang w:val="en-US" w:eastAsia="en-AU"/>
        </w:rPr>
        <w:t xml:space="preserve">the </w:t>
      </w:r>
      <w:r w:rsidR="00CF5391" w:rsidRPr="004B64F6">
        <w:rPr>
          <w:lang w:val="en-US" w:eastAsia="en-AU"/>
        </w:rPr>
        <w:t xml:space="preserve">model </w:t>
      </w:r>
      <w:r w:rsidR="006B73FD" w:rsidRPr="004B64F6">
        <w:rPr>
          <w:lang w:val="en-US" w:eastAsia="en-AU"/>
        </w:rPr>
        <w:t>on</w:t>
      </w:r>
      <w:r w:rsidR="00CF5391" w:rsidRPr="004B64F6">
        <w:rPr>
          <w:lang w:val="en-US" w:eastAsia="en-AU"/>
        </w:rPr>
        <w:t>ly examines</w:t>
      </w:r>
      <w:r w:rsidR="006B73FD" w:rsidRPr="004B64F6">
        <w:rPr>
          <w:lang w:val="en-US" w:eastAsia="en-AU"/>
        </w:rPr>
        <w:t xml:space="preserve"> long</w:t>
      </w:r>
      <w:r w:rsidR="00F03697">
        <w:rPr>
          <w:lang w:val="en-US" w:eastAsia="en-AU"/>
        </w:rPr>
        <w:noBreakHyphen/>
      </w:r>
      <w:r w:rsidR="006B73FD" w:rsidRPr="004B64F6">
        <w:rPr>
          <w:lang w:val="en-US" w:eastAsia="en-AU"/>
        </w:rPr>
        <w:t>run</w:t>
      </w:r>
      <w:r w:rsidR="00CF5391" w:rsidRPr="004B64F6">
        <w:rPr>
          <w:lang w:val="en-US" w:eastAsia="en-AU"/>
        </w:rPr>
        <w:t xml:space="preserve"> impacts</w:t>
      </w:r>
      <w:r w:rsidR="00C62C7E" w:rsidRPr="004B64F6">
        <w:rPr>
          <w:lang w:val="en-US" w:eastAsia="en-AU"/>
        </w:rPr>
        <w:t>,</w:t>
      </w:r>
      <w:r w:rsidR="006B73FD" w:rsidRPr="004B64F6">
        <w:rPr>
          <w:lang w:val="en-US" w:eastAsia="en-AU"/>
        </w:rPr>
        <w:t xml:space="preserve"> </w:t>
      </w:r>
      <w:r w:rsidR="006E1A93" w:rsidRPr="004B64F6">
        <w:rPr>
          <w:lang w:val="en-US" w:eastAsia="en-AU"/>
        </w:rPr>
        <w:t xml:space="preserve">does not </w:t>
      </w:r>
      <w:r w:rsidR="00CF5391" w:rsidRPr="004B64F6">
        <w:rPr>
          <w:lang w:val="en-US" w:eastAsia="en-AU"/>
        </w:rPr>
        <w:t>capture</w:t>
      </w:r>
      <w:r w:rsidR="00636A4A" w:rsidRPr="004B64F6">
        <w:rPr>
          <w:lang w:val="en-US" w:eastAsia="en-AU"/>
        </w:rPr>
        <w:t xml:space="preserve"> </w:t>
      </w:r>
      <w:r w:rsidR="00CF5391" w:rsidRPr="004B64F6">
        <w:rPr>
          <w:lang w:val="en-US" w:eastAsia="en-AU"/>
        </w:rPr>
        <w:t xml:space="preserve">heterogeneity in labour </w:t>
      </w:r>
      <w:r w:rsidR="00CF5391" w:rsidRPr="004B64F6">
        <w:rPr>
          <w:lang w:val="en-US" w:eastAsia="en-AU"/>
        </w:rPr>
        <w:lastRenderedPageBreak/>
        <w:t>supply</w:t>
      </w:r>
      <w:r w:rsidR="00636A4A" w:rsidRPr="004B64F6">
        <w:rPr>
          <w:lang w:val="en-US" w:eastAsia="en-AU"/>
        </w:rPr>
        <w:t xml:space="preserve">, and does not </w:t>
      </w:r>
      <w:r w:rsidR="00CF5391" w:rsidRPr="004B64F6">
        <w:rPr>
          <w:lang w:val="en-US" w:eastAsia="en-AU"/>
        </w:rPr>
        <w:t>incorporate</w:t>
      </w:r>
      <w:r w:rsidR="00636A4A" w:rsidRPr="004B64F6">
        <w:rPr>
          <w:lang w:val="en-US" w:eastAsia="en-AU"/>
        </w:rPr>
        <w:t xml:space="preserve"> the progressive rates scale applied to personal income</w:t>
      </w:r>
      <w:r w:rsidR="006E1A93" w:rsidRPr="004B64F6">
        <w:rPr>
          <w:lang w:val="en-US" w:eastAsia="en-AU"/>
        </w:rPr>
        <w:t xml:space="preserve">. </w:t>
      </w:r>
      <w:r w:rsidRPr="004B64F6">
        <w:rPr>
          <w:lang w:val="en-US" w:eastAsia="en-AU"/>
        </w:rPr>
        <w:t xml:space="preserve">Future research will </w:t>
      </w:r>
      <w:r w:rsidR="006B73FD" w:rsidRPr="004B64F6">
        <w:rPr>
          <w:lang w:val="en-US" w:eastAsia="en-AU"/>
        </w:rPr>
        <w:t xml:space="preserve">endeavor to </w:t>
      </w:r>
      <w:r w:rsidR="004758A7" w:rsidRPr="004B64F6">
        <w:rPr>
          <w:lang w:val="en-US" w:eastAsia="en-AU"/>
        </w:rPr>
        <w:t>incorporat</w:t>
      </w:r>
      <w:r w:rsidR="006E1A93" w:rsidRPr="004B64F6">
        <w:rPr>
          <w:lang w:val="en-US" w:eastAsia="en-AU"/>
        </w:rPr>
        <w:t>e</w:t>
      </w:r>
      <w:r w:rsidR="004758A7" w:rsidRPr="004B64F6">
        <w:rPr>
          <w:lang w:val="en-US" w:eastAsia="en-AU"/>
        </w:rPr>
        <w:t xml:space="preserve"> </w:t>
      </w:r>
      <w:r w:rsidRPr="004B64F6">
        <w:rPr>
          <w:lang w:val="en-US" w:eastAsia="en-AU"/>
        </w:rPr>
        <w:t>inter</w:t>
      </w:r>
      <w:r w:rsidR="00F03697">
        <w:rPr>
          <w:lang w:val="en-US" w:eastAsia="en-AU"/>
        </w:rPr>
        <w:noBreakHyphen/>
      </w:r>
      <w:r w:rsidRPr="004B64F6">
        <w:rPr>
          <w:lang w:val="en-US" w:eastAsia="en-AU"/>
        </w:rPr>
        <w:t xml:space="preserve">temporal </w:t>
      </w:r>
      <w:r w:rsidR="00B0485C" w:rsidRPr="004B64F6">
        <w:rPr>
          <w:lang w:val="en-US" w:eastAsia="en-AU"/>
        </w:rPr>
        <w:t>dynamics that</w:t>
      </w:r>
      <w:r w:rsidRPr="004B64F6">
        <w:rPr>
          <w:lang w:val="en-US" w:eastAsia="en-AU"/>
        </w:rPr>
        <w:t xml:space="preserve"> allow us to measure the</w:t>
      </w:r>
      <w:r w:rsidR="004758A7" w:rsidRPr="004B64F6">
        <w:rPr>
          <w:lang w:val="en-US" w:eastAsia="en-AU"/>
        </w:rPr>
        <w:t xml:space="preserve"> transitional effects</w:t>
      </w:r>
      <w:r w:rsidRPr="004B64F6">
        <w:rPr>
          <w:lang w:val="en-US" w:eastAsia="en-AU"/>
        </w:rPr>
        <w:t xml:space="preserve"> of both marginal and broad tax changes</w:t>
      </w:r>
      <w:r w:rsidR="006B73FD" w:rsidRPr="004B64F6">
        <w:rPr>
          <w:lang w:val="en-US" w:eastAsia="en-AU"/>
        </w:rPr>
        <w:t>, household</w:t>
      </w:r>
      <w:r w:rsidR="00636A4A" w:rsidRPr="004B64F6">
        <w:rPr>
          <w:lang w:val="en-US" w:eastAsia="en-AU"/>
        </w:rPr>
        <w:t xml:space="preserve"> heterogeneity, and</w:t>
      </w:r>
      <w:r w:rsidR="006B73FD" w:rsidRPr="004B64F6">
        <w:rPr>
          <w:lang w:val="en-US" w:eastAsia="en-AU"/>
        </w:rPr>
        <w:t xml:space="preserve"> </w:t>
      </w:r>
      <w:r w:rsidR="00636A4A" w:rsidRPr="004B64F6">
        <w:rPr>
          <w:lang w:val="en-US" w:eastAsia="en-AU"/>
        </w:rPr>
        <w:t xml:space="preserve">the </w:t>
      </w:r>
      <w:r w:rsidR="006B73FD" w:rsidRPr="004B64F6">
        <w:rPr>
          <w:lang w:val="en-US" w:eastAsia="en-AU"/>
        </w:rPr>
        <w:t>progressiv</w:t>
      </w:r>
      <w:r w:rsidR="00636A4A" w:rsidRPr="004B64F6">
        <w:rPr>
          <w:lang w:val="en-US" w:eastAsia="en-AU"/>
        </w:rPr>
        <w:t>e tax scales applied to personal income</w:t>
      </w:r>
      <w:r w:rsidR="006B73FD" w:rsidRPr="004B64F6">
        <w:rPr>
          <w:lang w:val="en-US" w:eastAsia="en-AU"/>
        </w:rPr>
        <w:t>.</w:t>
      </w:r>
    </w:p>
    <w:p w14:paraId="29DD6A9E" w14:textId="77777777" w:rsidR="00E0425B" w:rsidRDefault="00E0425B" w:rsidP="00F012EA"/>
    <w:p w14:paraId="29DD6A9F" w14:textId="77777777" w:rsidR="00F012EA" w:rsidRDefault="00F012EA" w:rsidP="008627B1">
      <w:pPr>
        <w:sectPr w:rsidR="00F012EA" w:rsidSect="00463C04">
          <w:headerReference w:type="even" r:id="rId109"/>
          <w:headerReference w:type="default" r:id="rId110"/>
          <w:headerReference w:type="first" r:id="rId111"/>
          <w:footerReference w:type="first" r:id="rId112"/>
          <w:pgSz w:w="11906" w:h="16838" w:code="9"/>
          <w:pgMar w:top="1418" w:right="1304" w:bottom="1418" w:left="1304" w:header="567" w:footer="567" w:gutter="0"/>
          <w:pgNumType w:start="1"/>
          <w:cols w:space="708"/>
          <w:titlePg/>
          <w:docGrid w:linePitch="360"/>
        </w:sectPr>
      </w:pPr>
    </w:p>
    <w:p w14:paraId="29DD6AA0" w14:textId="77777777" w:rsidR="00F012EA" w:rsidRDefault="0037543F" w:rsidP="00AC51D8">
      <w:pPr>
        <w:pStyle w:val="Heading2notnumbered0"/>
      </w:pPr>
      <w:r>
        <w:lastRenderedPageBreak/>
        <w:t>References</w:t>
      </w:r>
    </w:p>
    <w:p w14:paraId="29DD6AA1" w14:textId="7AF61087" w:rsidR="00EF01C7" w:rsidRDefault="00EF01C7" w:rsidP="00EF01C7">
      <w:r w:rsidRPr="00A6064F">
        <w:rPr>
          <w:i/>
        </w:rPr>
        <w:t>Access Economics (2008) Analysis of state tax reform</w:t>
      </w:r>
      <w:r w:rsidR="00B843C6">
        <w:t>:</w:t>
      </w:r>
      <w:r>
        <w:t xml:space="preserve"> Report for Financial Industry Council of Australia.</w:t>
      </w:r>
    </w:p>
    <w:p w14:paraId="25D71947" w14:textId="0AF89589" w:rsidR="00C14102" w:rsidRDefault="00EF01C7" w:rsidP="00EF01C7">
      <w:r w:rsidRPr="00A6064F">
        <w:rPr>
          <w:i/>
        </w:rPr>
        <w:t>Access Economics (2011) Analysis of state tax reform</w:t>
      </w:r>
      <w:r w:rsidR="00B843C6">
        <w:t>:</w:t>
      </w:r>
      <w:r>
        <w:t xml:space="preserve"> Report for Financial Industry Council of Australia.</w:t>
      </w:r>
    </w:p>
    <w:p w14:paraId="29DD6AA2" w14:textId="56A6A9F4" w:rsidR="00EF01C7" w:rsidRDefault="00C14102" w:rsidP="00EF01C7">
      <w:r w:rsidRPr="00C14102">
        <w:t>Adams, P., Dixon, J., Giese</w:t>
      </w:r>
      <w:r w:rsidR="008D0B98">
        <w:t>cke, J. and Horridge, M. (2010)</w:t>
      </w:r>
      <w:r w:rsidRPr="00C14102">
        <w:t xml:space="preserve"> </w:t>
      </w:r>
      <w:r w:rsidRPr="00A6064F">
        <w:rPr>
          <w:i/>
        </w:rPr>
        <w:t>MMRF: Monash Multi</w:t>
      </w:r>
      <w:r w:rsidR="00F03697" w:rsidRPr="00A6064F">
        <w:rPr>
          <w:i/>
        </w:rPr>
        <w:noBreakHyphen/>
      </w:r>
      <w:r w:rsidRPr="00A6064F">
        <w:rPr>
          <w:i/>
        </w:rPr>
        <w:t xml:space="preserve">Regional Forecasting Model: </w:t>
      </w:r>
      <w:r w:rsidR="00B20ADE" w:rsidRPr="00A6064F">
        <w:rPr>
          <w:i/>
        </w:rPr>
        <w:t>A</w:t>
      </w:r>
      <w:r w:rsidRPr="00A6064F">
        <w:rPr>
          <w:i/>
        </w:rPr>
        <w:t xml:space="preserve"> dynamic multi</w:t>
      </w:r>
      <w:r w:rsidR="00F03697" w:rsidRPr="00A6064F">
        <w:rPr>
          <w:i/>
        </w:rPr>
        <w:noBreakHyphen/>
      </w:r>
      <w:r w:rsidRPr="00A6064F">
        <w:rPr>
          <w:i/>
        </w:rPr>
        <w:t>regional model of the Australian economy, General Paper No. G</w:t>
      </w:r>
      <w:r w:rsidR="00F03697" w:rsidRPr="00A6064F">
        <w:rPr>
          <w:i/>
        </w:rPr>
        <w:noBreakHyphen/>
      </w:r>
      <w:r w:rsidRPr="00A6064F">
        <w:rPr>
          <w:i/>
        </w:rPr>
        <w:t>223</w:t>
      </w:r>
      <w:r w:rsidRPr="00C14102">
        <w:t>, Centre of Policy Studies, Monash University.</w:t>
      </w:r>
    </w:p>
    <w:p w14:paraId="29DD6AA3" w14:textId="072454D7" w:rsidR="00EF01C7" w:rsidRDefault="00EF01C7" w:rsidP="00EF01C7">
      <w:r>
        <w:t xml:space="preserve">Australian Government (2010) </w:t>
      </w:r>
      <w:r w:rsidRPr="00A6064F">
        <w:rPr>
          <w:i/>
        </w:rPr>
        <w:t>Australia</w:t>
      </w:r>
      <w:r w:rsidR="00F03697" w:rsidRPr="00A6064F">
        <w:rPr>
          <w:i/>
        </w:rPr>
        <w:t>’</w:t>
      </w:r>
      <w:r w:rsidRPr="00A6064F">
        <w:rPr>
          <w:i/>
        </w:rPr>
        <w:t xml:space="preserve">s </w:t>
      </w:r>
      <w:r w:rsidR="0091352E" w:rsidRPr="00A6064F">
        <w:rPr>
          <w:i/>
        </w:rPr>
        <w:t>Future Tax System</w:t>
      </w:r>
      <w:r>
        <w:t>, Canberra.</w:t>
      </w:r>
    </w:p>
    <w:p w14:paraId="29DD6AA4" w14:textId="1E4666C3" w:rsidR="00EF01C7" w:rsidRDefault="00EF01C7" w:rsidP="00EF01C7">
      <w:r w:rsidRPr="00A6064F">
        <w:rPr>
          <w:i/>
        </w:rPr>
        <w:t>Australian Government (2012) Business Tax Working Group</w:t>
      </w:r>
      <w:r>
        <w:t xml:space="preserve">: Final </w:t>
      </w:r>
      <w:r w:rsidR="0091352E">
        <w:t>report</w:t>
      </w:r>
      <w:r>
        <w:t>, Canberra.</w:t>
      </w:r>
    </w:p>
    <w:p w14:paraId="29DD6AA5" w14:textId="7E9C1A43" w:rsidR="00EF01C7" w:rsidRDefault="00EF01C7" w:rsidP="00EF01C7">
      <w:r>
        <w:t xml:space="preserve">Auerbach, A. and Hines, J. (2002) </w:t>
      </w:r>
      <w:r w:rsidRPr="00A6064F">
        <w:rPr>
          <w:i/>
        </w:rPr>
        <w:t xml:space="preserve">Taxation and </w:t>
      </w:r>
      <w:r w:rsidR="0091352E" w:rsidRPr="00A6064F">
        <w:rPr>
          <w:i/>
        </w:rPr>
        <w:t>economic efficiency</w:t>
      </w:r>
      <w:r w:rsidRPr="00A6064F">
        <w:rPr>
          <w:i/>
        </w:rPr>
        <w:t>, in Handbook of Public Economics</w:t>
      </w:r>
      <w:r>
        <w:t xml:space="preserve"> (ed</w:t>
      </w:r>
      <w:r w:rsidR="00B20ADE">
        <w:t>s</w:t>
      </w:r>
      <w:r>
        <w:t>.) A</w:t>
      </w:r>
      <w:r w:rsidR="00B20ADE">
        <w:t>.</w:t>
      </w:r>
      <w:r>
        <w:t xml:space="preserve"> Auerbach and M</w:t>
      </w:r>
      <w:r w:rsidR="00B20ADE">
        <w:t>.</w:t>
      </w:r>
      <w:r>
        <w:t xml:space="preserve"> Feldstein, pp. 1348</w:t>
      </w:r>
      <w:r w:rsidR="00F03697">
        <w:noBreakHyphen/>
      </w:r>
      <w:r>
        <w:t>1416.</w:t>
      </w:r>
    </w:p>
    <w:p w14:paraId="29DD6AA6" w14:textId="6C992869" w:rsidR="00EF01C7" w:rsidRDefault="00EF01C7" w:rsidP="00EF01C7">
      <w:r>
        <w:t xml:space="preserve">Creedy, J. and Duncan, A. (2002) </w:t>
      </w:r>
      <w:r w:rsidRPr="00A6064F">
        <w:rPr>
          <w:i/>
        </w:rPr>
        <w:t>Behavioural microsimulation with labour supply responses</w:t>
      </w:r>
      <w:r>
        <w:t>, Journal of Economic Surveys, Vol. 16, No.1, pp.1</w:t>
      </w:r>
      <w:r w:rsidR="00F03697">
        <w:noBreakHyphen/>
      </w:r>
      <w:r>
        <w:t>39.</w:t>
      </w:r>
    </w:p>
    <w:p w14:paraId="29DD6AA7" w14:textId="77777777" w:rsidR="00EF01C7" w:rsidRDefault="00EF01C7" w:rsidP="00EF01C7">
      <w:r>
        <w:t xml:space="preserve">Creedy, J. (2003) </w:t>
      </w:r>
      <w:r w:rsidRPr="00A6064F">
        <w:rPr>
          <w:i/>
        </w:rPr>
        <w:t>The excess burden of taxation and why it (approximately) quadruples when the tax rate doubles</w:t>
      </w:r>
      <w:r>
        <w:t>, New Zealand Treasury Working Paper 03/29, Wellington.</w:t>
      </w:r>
    </w:p>
    <w:p w14:paraId="29DD6AA8" w14:textId="67437B9D" w:rsidR="00EF01C7" w:rsidRDefault="00EF01C7" w:rsidP="00EF01C7">
      <w:r w:rsidRPr="0033168A">
        <w:t>Dandie</w:t>
      </w:r>
      <w:r>
        <w:t>,</w:t>
      </w:r>
      <w:r w:rsidRPr="0033168A">
        <w:t xml:space="preserve"> </w:t>
      </w:r>
      <w:r>
        <w:t xml:space="preserve">S. </w:t>
      </w:r>
      <w:r w:rsidRPr="0033168A">
        <w:t>and Mercante</w:t>
      </w:r>
      <w:r>
        <w:t>, J.</w:t>
      </w:r>
      <w:r w:rsidRPr="0033168A">
        <w:t xml:space="preserve"> (2007) </w:t>
      </w:r>
      <w:r w:rsidRPr="00102D91">
        <w:rPr>
          <w:i/>
        </w:rPr>
        <w:t xml:space="preserve">Australian labour supply elasticities: </w:t>
      </w:r>
      <w:r w:rsidR="00D66CC7" w:rsidRPr="00102D91">
        <w:rPr>
          <w:i/>
        </w:rPr>
        <w:t>C</w:t>
      </w:r>
      <w:r w:rsidRPr="00102D91">
        <w:rPr>
          <w:i/>
        </w:rPr>
        <w:t>omparison and critical review</w:t>
      </w:r>
      <w:r w:rsidRPr="0033168A">
        <w:t xml:space="preserve">, </w:t>
      </w:r>
      <w:r w:rsidR="00B556C3">
        <w:t>Treasury Working Paper 2007</w:t>
      </w:r>
      <w:r w:rsidR="00F03697">
        <w:noBreakHyphen/>
      </w:r>
      <w:r w:rsidR="00B556C3">
        <w:t xml:space="preserve">04, The </w:t>
      </w:r>
      <w:r w:rsidRPr="0033168A">
        <w:t>Treasury</w:t>
      </w:r>
      <w:r>
        <w:t>.</w:t>
      </w:r>
    </w:p>
    <w:p w14:paraId="29DD6AA9" w14:textId="0C4409F3" w:rsidR="00EF01C7" w:rsidRDefault="00EF01C7" w:rsidP="00EF01C7">
      <w:r>
        <w:t xml:space="preserve">Davidoff, I. and Leigh, A. (2013) </w:t>
      </w:r>
      <w:r w:rsidRPr="00102D91">
        <w:rPr>
          <w:i/>
        </w:rPr>
        <w:t>How do stamp duties affect the housing market?</w:t>
      </w:r>
      <w:r>
        <w:t xml:space="preserve"> Economic Record, Vol. 89, No. 286, pp. 396</w:t>
      </w:r>
      <w:r w:rsidR="00F03697">
        <w:noBreakHyphen/>
      </w:r>
      <w:r>
        <w:t>410.</w:t>
      </w:r>
    </w:p>
    <w:p w14:paraId="29DD6AAA" w14:textId="5B6D601E" w:rsidR="00EF01C7" w:rsidRDefault="00EF01C7" w:rsidP="00EF01C7">
      <w:r>
        <w:t>De Mooij,</w:t>
      </w:r>
      <w:r w:rsidR="008D0B98">
        <w:t xml:space="preserve"> R.A. and Devereux, M.P. (2011)</w:t>
      </w:r>
      <w:r>
        <w:t xml:space="preserve"> </w:t>
      </w:r>
      <w:r w:rsidRPr="00102D91">
        <w:rPr>
          <w:i/>
        </w:rPr>
        <w:t xml:space="preserve">An applied analysis of ACE and CBIT reforms in the EU, International </w:t>
      </w:r>
      <w:r w:rsidR="00B20ADE" w:rsidRPr="00102D91">
        <w:rPr>
          <w:i/>
        </w:rPr>
        <w:t>T</w:t>
      </w:r>
      <w:r w:rsidRPr="00102D91">
        <w:rPr>
          <w:i/>
        </w:rPr>
        <w:t xml:space="preserve">ax and </w:t>
      </w:r>
      <w:r w:rsidR="00B20ADE" w:rsidRPr="00102D91">
        <w:rPr>
          <w:i/>
        </w:rPr>
        <w:t>P</w:t>
      </w:r>
      <w:r w:rsidRPr="00102D91">
        <w:rPr>
          <w:i/>
        </w:rPr>
        <w:t xml:space="preserve">ublic </w:t>
      </w:r>
      <w:r w:rsidR="00B20ADE" w:rsidRPr="00102D91">
        <w:rPr>
          <w:i/>
        </w:rPr>
        <w:t>F</w:t>
      </w:r>
      <w:r w:rsidRPr="00102D91">
        <w:rPr>
          <w:i/>
        </w:rPr>
        <w:t>inance</w:t>
      </w:r>
      <w:r>
        <w:t>,</w:t>
      </w:r>
      <w:r w:rsidR="00B20ADE">
        <w:t xml:space="preserve"> Vol. 18, Issue. 1,</w:t>
      </w:r>
      <w:r>
        <w:t xml:space="preserve"> pp. 93</w:t>
      </w:r>
      <w:r w:rsidR="00F03697">
        <w:noBreakHyphen/>
      </w:r>
      <w:r>
        <w:t>120.</w:t>
      </w:r>
    </w:p>
    <w:p w14:paraId="29DD6AAB" w14:textId="45D02334" w:rsidR="00EF01C7" w:rsidRPr="00B060F8" w:rsidRDefault="00EF01C7" w:rsidP="00EF01C7">
      <w:r w:rsidRPr="00EC750D">
        <w:t xml:space="preserve">Freebairn, J. (2014) </w:t>
      </w:r>
      <w:r w:rsidRPr="00102D91">
        <w:rPr>
          <w:i/>
        </w:rPr>
        <w:t xml:space="preserve">Policy and </w:t>
      </w:r>
      <w:r w:rsidR="0091352E" w:rsidRPr="00102D91">
        <w:rPr>
          <w:i/>
        </w:rPr>
        <w:t>tax reform</w:t>
      </w:r>
      <w:r w:rsidRPr="00EC750D">
        <w:t>, 2014 Financia</w:t>
      </w:r>
      <w:r>
        <w:t>l Services Taxation Conference.</w:t>
      </w:r>
    </w:p>
    <w:p w14:paraId="29DD6AAC" w14:textId="699FDD8D" w:rsidR="00EF01C7" w:rsidRDefault="00EF01C7" w:rsidP="00EF01C7">
      <w:pPr>
        <w:rPr>
          <w:rFonts w:cs="BookAntiqua"/>
        </w:rPr>
      </w:pPr>
      <w:r w:rsidRPr="00E87E16">
        <w:t>Gravelle,</w:t>
      </w:r>
      <w:r w:rsidR="00B20ADE">
        <w:t xml:space="preserve"> </w:t>
      </w:r>
      <w:r>
        <w:t>J.</w:t>
      </w:r>
      <w:r w:rsidRPr="00E87E16">
        <w:t xml:space="preserve"> </w:t>
      </w:r>
      <w:r>
        <w:t>(</w:t>
      </w:r>
      <w:r w:rsidRPr="00E87E16">
        <w:t>2010</w:t>
      </w:r>
      <w:r>
        <w:t xml:space="preserve">) </w:t>
      </w:r>
      <w:r w:rsidRPr="00A6064F">
        <w:rPr>
          <w:i/>
        </w:rPr>
        <w:t xml:space="preserve">Corporate tax incidence: Review of general equilibrium estimates and analysis, Congressional </w:t>
      </w:r>
      <w:r w:rsidR="00B20ADE" w:rsidRPr="00A6064F">
        <w:rPr>
          <w:i/>
        </w:rPr>
        <w:t>B</w:t>
      </w:r>
      <w:r w:rsidRPr="00A6064F">
        <w:rPr>
          <w:i/>
        </w:rPr>
        <w:t xml:space="preserve">udget </w:t>
      </w:r>
      <w:r w:rsidR="00B20ADE" w:rsidRPr="00A6064F">
        <w:rPr>
          <w:i/>
        </w:rPr>
        <w:t>O</w:t>
      </w:r>
      <w:r w:rsidRPr="00A6064F">
        <w:rPr>
          <w:i/>
        </w:rPr>
        <w:t>ffice</w:t>
      </w:r>
      <w:r>
        <w:t>, Washington, D.C</w:t>
      </w:r>
      <w:r w:rsidR="00BD0320">
        <w:t>.</w:t>
      </w:r>
      <w:r>
        <w:t xml:space="preserve"> </w:t>
      </w:r>
      <w:hyperlink r:id="rId113" w:history="1">
        <w:r w:rsidRPr="009F23CD">
          <w:rPr>
            <w:rStyle w:val="Hyperlink"/>
            <w:rFonts w:cs="BookAntiqua"/>
          </w:rPr>
          <w:t>http://www.law.upenn.edu/academics/institutes/tax/201112papers/Gravelle.pdf</w:t>
        </w:r>
      </w:hyperlink>
    </w:p>
    <w:p w14:paraId="29DD6AAD" w14:textId="40226A51" w:rsidR="00EF01C7" w:rsidRDefault="00EF01C7" w:rsidP="00EF01C7">
      <w:r>
        <w:t xml:space="preserve">Goulder, L. and Williams III, R. (1999) </w:t>
      </w:r>
      <w:r w:rsidRPr="00102D91">
        <w:rPr>
          <w:i/>
        </w:rPr>
        <w:t>The usual excess</w:t>
      </w:r>
      <w:r w:rsidR="00F03697" w:rsidRPr="00102D91">
        <w:rPr>
          <w:i/>
        </w:rPr>
        <w:noBreakHyphen/>
      </w:r>
      <w:r w:rsidRPr="00102D91">
        <w:rPr>
          <w:i/>
        </w:rPr>
        <w:t>burden approximation usually doesn</w:t>
      </w:r>
      <w:r w:rsidR="00F03697" w:rsidRPr="00102D91">
        <w:rPr>
          <w:i/>
        </w:rPr>
        <w:t>’</w:t>
      </w:r>
      <w:r w:rsidRPr="00102D91">
        <w:rPr>
          <w:i/>
        </w:rPr>
        <w:t>t come close</w:t>
      </w:r>
      <w:r>
        <w:t xml:space="preserve">, NBER Working Paper 7034. </w:t>
      </w:r>
      <w:hyperlink r:id="rId114" w:history="1">
        <w:r w:rsidRPr="00FC22B3">
          <w:rPr>
            <w:rStyle w:val="Hyperlink"/>
          </w:rPr>
          <w:t>http://www.nber.org/papers/w7034.pdf</w:t>
        </w:r>
      </w:hyperlink>
    </w:p>
    <w:p w14:paraId="29DD6AAE" w14:textId="21E8B605" w:rsidR="00EF01C7" w:rsidRDefault="00EF01C7" w:rsidP="00EF01C7">
      <w:r>
        <w:t xml:space="preserve">Goulder, L. and Williams III, R. (1999) </w:t>
      </w:r>
      <w:r w:rsidRPr="00102D91">
        <w:rPr>
          <w:i/>
        </w:rPr>
        <w:t>The substantial bias from ignoring general equilibrium effects in estimating excess burden, and a practical solution</w:t>
      </w:r>
      <w:r>
        <w:t xml:space="preserve">, Journal of </w:t>
      </w:r>
      <w:r w:rsidR="00B556C3">
        <w:t>Political</w:t>
      </w:r>
      <w:r>
        <w:t xml:space="preserve"> </w:t>
      </w:r>
      <w:r w:rsidR="00B556C3">
        <w:t>E</w:t>
      </w:r>
      <w:r>
        <w:t>conomy, Vol. 111, No. 4, August</w:t>
      </w:r>
      <w:r w:rsidR="00A6064F">
        <w:t> </w:t>
      </w:r>
      <w:r>
        <w:t>2003, pp. 898</w:t>
      </w:r>
      <w:r w:rsidR="00F03697">
        <w:noBreakHyphen/>
      </w:r>
      <w:r>
        <w:t>927.</w:t>
      </w:r>
    </w:p>
    <w:p w14:paraId="29DD6AAF" w14:textId="49ADA031" w:rsidR="00EF01C7" w:rsidRDefault="00EF01C7" w:rsidP="00EF01C7">
      <w:r w:rsidRPr="00C87ABE">
        <w:t>Grubert</w:t>
      </w:r>
      <w:r>
        <w:t>, H.</w:t>
      </w:r>
      <w:r w:rsidRPr="00C87ABE">
        <w:t xml:space="preserve"> and Mutti,</w:t>
      </w:r>
      <w:r>
        <w:t xml:space="preserve"> J.H.</w:t>
      </w:r>
      <w:r w:rsidRPr="00C87ABE">
        <w:t xml:space="preserve"> </w:t>
      </w:r>
      <w:r>
        <w:t>(</w:t>
      </w:r>
      <w:r w:rsidRPr="00C87ABE">
        <w:t>1985</w:t>
      </w:r>
      <w:r>
        <w:t>)</w:t>
      </w:r>
      <w:r w:rsidRPr="00C87ABE">
        <w:t xml:space="preserve"> </w:t>
      </w:r>
      <w:r w:rsidRPr="00102D91">
        <w:rPr>
          <w:i/>
        </w:rPr>
        <w:t>The taxation of capital income in an open economy: The importance of resident</w:t>
      </w:r>
      <w:r w:rsidR="00F03697" w:rsidRPr="00102D91">
        <w:rPr>
          <w:i/>
        </w:rPr>
        <w:noBreakHyphen/>
      </w:r>
      <w:r w:rsidRPr="00102D91">
        <w:rPr>
          <w:i/>
        </w:rPr>
        <w:t>nonresident tax treatment</w:t>
      </w:r>
      <w:r>
        <w:t xml:space="preserve">, Journal of </w:t>
      </w:r>
      <w:r w:rsidR="00B20ADE">
        <w:t>P</w:t>
      </w:r>
      <w:r>
        <w:t xml:space="preserve">ublic </w:t>
      </w:r>
      <w:r w:rsidR="00B20ADE">
        <w:t>E</w:t>
      </w:r>
      <w:r>
        <w:t>conomics, Vol. 27 (August), pp. 203</w:t>
      </w:r>
      <w:r w:rsidR="00F03697">
        <w:noBreakHyphen/>
      </w:r>
      <w:r>
        <w:t>224</w:t>
      </w:r>
      <w:r w:rsidR="00B20ADE">
        <w:t>.</w:t>
      </w:r>
    </w:p>
    <w:p w14:paraId="29DD6AB0" w14:textId="653B1F84" w:rsidR="00EF01C7" w:rsidRPr="00C87ABE" w:rsidRDefault="00EF01C7" w:rsidP="00EF01C7">
      <w:r>
        <w:lastRenderedPageBreak/>
        <w:t xml:space="preserve">Gunning ,T., Diamond, J. and Zodrow, G. (2007) </w:t>
      </w:r>
      <w:r w:rsidRPr="00102D91">
        <w:rPr>
          <w:i/>
        </w:rPr>
        <w:t>Selecting parameter values for general equilibrium model simulations</w:t>
      </w:r>
      <w:r>
        <w:t>, National Tax Association Proceedings from the 100</w:t>
      </w:r>
      <w:r w:rsidRPr="00A603D2">
        <w:rPr>
          <w:vertAlign w:val="superscript"/>
        </w:rPr>
        <w:t>th</w:t>
      </w:r>
      <w:r>
        <w:t xml:space="preserve"> Annual Conference in Columbia, Ohio, 2007</w:t>
      </w:r>
      <w:r w:rsidR="00B20ADE">
        <w:t>.</w:t>
      </w:r>
    </w:p>
    <w:p w14:paraId="29DD6AB2" w14:textId="10F7C8E3" w:rsidR="00EF01C7" w:rsidRDefault="00EF01C7" w:rsidP="00EF01C7">
      <w:pPr>
        <w:rPr>
          <w:rStyle w:val="Hyperlink"/>
        </w:rPr>
      </w:pPr>
      <w:r>
        <w:t xml:space="preserve">Independent Economics (2012) </w:t>
      </w:r>
      <w:hyperlink r:id="rId115" w:history="1">
        <w:r w:rsidRPr="00102D91">
          <w:rPr>
            <w:i/>
          </w:rPr>
          <w:t>The Independent CGE model: Model Documentation</w:t>
        </w:r>
      </w:hyperlink>
      <w:r w:rsidRPr="00B20ADE">
        <w:t xml:space="preserve">, </w:t>
      </w:r>
      <w:r>
        <w:t>Canberra</w:t>
      </w:r>
      <w:r w:rsidR="00B20ADE">
        <w:t>.</w:t>
      </w:r>
      <w:r>
        <w:t xml:space="preserve"> </w:t>
      </w:r>
      <w:hyperlink r:id="rId116" w:history="1">
        <w:r w:rsidRPr="0031793C">
          <w:rPr>
            <w:rStyle w:val="Hyperlink"/>
          </w:rPr>
          <w:t>http://www.independenteconomics.com.au/information/models/Independent%20CGE%20model%20Dec%202012.pdf</w:t>
        </w:r>
      </w:hyperlink>
    </w:p>
    <w:p w14:paraId="06CF86B2" w14:textId="0CE25C0C" w:rsidR="006C116E" w:rsidRDefault="006C116E" w:rsidP="00EF01C7">
      <w:r w:rsidRPr="00A6064F">
        <w:rPr>
          <w:i/>
        </w:rPr>
        <w:t>Independent Economics (2014) Economic impacts of negative gearing o</w:t>
      </w:r>
      <w:r w:rsidR="00496794" w:rsidRPr="00A6064F">
        <w:rPr>
          <w:i/>
        </w:rPr>
        <w:t>f</w:t>
      </w:r>
      <w:r w:rsidRPr="00A6064F">
        <w:rPr>
          <w:i/>
        </w:rPr>
        <w:t xml:space="preserve"> residential property</w:t>
      </w:r>
      <w:r>
        <w:t xml:space="preserve">: Report prepared </w:t>
      </w:r>
      <w:r w:rsidR="00496794">
        <w:t>for the Housing Industry Association</w:t>
      </w:r>
      <w:r w:rsidR="001B08C1">
        <w:t>, July 2014</w:t>
      </w:r>
      <w:r w:rsidR="00B20ADE">
        <w:t>.</w:t>
      </w:r>
    </w:p>
    <w:p w14:paraId="29DD6AB3" w14:textId="62F1F8F2" w:rsidR="00EF01C7" w:rsidRDefault="00EF01C7" w:rsidP="00EF01C7">
      <w:r>
        <w:t xml:space="preserve">Johansson, A., Heady, C., Arnold, J., Brys, B. and Vartia, L. (2008) </w:t>
      </w:r>
      <w:r w:rsidRPr="00102D91">
        <w:rPr>
          <w:i/>
        </w:rPr>
        <w:t>Tax and economic growth</w:t>
      </w:r>
      <w:r>
        <w:t>, Economics Department Working Paper No. 620, Organisation for Econo</w:t>
      </w:r>
      <w:r w:rsidR="00496794">
        <w:t>mic Cooperation and Development</w:t>
      </w:r>
      <w:r w:rsidR="00B20ADE">
        <w:t>.</w:t>
      </w:r>
    </w:p>
    <w:p w14:paraId="29DD6AB4" w14:textId="77E84BC7" w:rsidR="00EF01C7" w:rsidRDefault="00EF01C7" w:rsidP="00EF01C7">
      <w:r>
        <w:t xml:space="preserve">KPMG (2010) </w:t>
      </w:r>
      <w:r w:rsidRPr="00102D91">
        <w:rPr>
          <w:i/>
        </w:rPr>
        <w:t xml:space="preserve">CGE analysis of the Current </w:t>
      </w:r>
      <w:r w:rsidR="00496794" w:rsidRPr="00102D91">
        <w:rPr>
          <w:i/>
        </w:rPr>
        <w:t>Australian Tax System</w:t>
      </w:r>
      <w:r w:rsidR="00496794">
        <w:t>, Canberra</w:t>
      </w:r>
      <w:r w:rsidR="00B20ADE">
        <w:t>.</w:t>
      </w:r>
    </w:p>
    <w:p w14:paraId="29DD6AB5" w14:textId="77777777" w:rsidR="00EF01C7" w:rsidRDefault="00EF01C7" w:rsidP="00EF01C7">
      <w:r w:rsidRPr="003B06B5">
        <w:t xml:space="preserve">KPMG (2011) </w:t>
      </w:r>
      <w:r w:rsidRPr="00102D91">
        <w:rPr>
          <w:i/>
        </w:rPr>
        <w:t>Economic analysis of the impacts of using GST to reform taxes</w:t>
      </w:r>
      <w:r>
        <w:t>: A</w:t>
      </w:r>
      <w:r w:rsidRPr="003B06B5">
        <w:t xml:space="preserve"> </w:t>
      </w:r>
      <w:r>
        <w:t>r</w:t>
      </w:r>
      <w:r w:rsidRPr="003B06B5">
        <w:t xml:space="preserve">eport </w:t>
      </w:r>
      <w:r>
        <w:t>p</w:t>
      </w:r>
      <w:r w:rsidRPr="003B06B5">
        <w:t>repared for CPA Australia, September 2011.</w:t>
      </w:r>
    </w:p>
    <w:p w14:paraId="29DD6AB6" w14:textId="2046C582" w:rsidR="00EF01C7" w:rsidRDefault="00EF01C7" w:rsidP="00EF01C7">
      <w:r w:rsidRPr="006A73DB">
        <w:t>Kopczuk</w:t>
      </w:r>
      <w:r>
        <w:t xml:space="preserve">, W. </w:t>
      </w:r>
      <w:r w:rsidRPr="006A73DB">
        <w:t>and Munroe</w:t>
      </w:r>
      <w:r>
        <w:t>, D.J.</w:t>
      </w:r>
      <w:r w:rsidRPr="006A73DB">
        <w:t xml:space="preserve"> (201</w:t>
      </w:r>
      <w:r>
        <w:t>3</w:t>
      </w:r>
      <w:r w:rsidRPr="006A73DB">
        <w:t>)</w:t>
      </w:r>
      <w:r>
        <w:t xml:space="preserve"> </w:t>
      </w:r>
      <w:r w:rsidRPr="00102D91">
        <w:rPr>
          <w:i/>
        </w:rPr>
        <w:t xml:space="preserve">Mansion </w:t>
      </w:r>
      <w:r w:rsidR="00B20ADE" w:rsidRPr="00102D91">
        <w:rPr>
          <w:i/>
        </w:rPr>
        <w:t>t</w:t>
      </w:r>
      <w:r w:rsidRPr="00102D91">
        <w:rPr>
          <w:i/>
        </w:rPr>
        <w:t>ax: The effect of transfer taxes on the residential real estate market</w:t>
      </w:r>
      <w:r>
        <w:t>, Columbia University</w:t>
      </w:r>
      <w:r w:rsidR="00B20ADE">
        <w:t xml:space="preserve"> Working Paper.</w:t>
      </w:r>
    </w:p>
    <w:p w14:paraId="29DD6AB7" w14:textId="16672EFF" w:rsidR="00EF01C7" w:rsidRDefault="00EF01C7" w:rsidP="00EF01C7">
      <w:r>
        <w:t>Kudrna, G and Woodland, A</w:t>
      </w:r>
      <w:r w:rsidR="001A5F80">
        <w:t>.</w:t>
      </w:r>
      <w:r>
        <w:t xml:space="preserve"> (2010) </w:t>
      </w:r>
      <w:r w:rsidRPr="00102D91">
        <w:rPr>
          <w:i/>
        </w:rPr>
        <w:t>Simulating policy change using a dynamic overlapping generations model of the Australian economy</w:t>
      </w:r>
      <w:r>
        <w:t>, University of New South Wales</w:t>
      </w:r>
      <w:r w:rsidR="00B20ADE">
        <w:t xml:space="preserve"> Working Paper</w:t>
      </w:r>
      <w:r>
        <w:t>.</w:t>
      </w:r>
    </w:p>
    <w:p w14:paraId="29DD6AB8" w14:textId="106DB095" w:rsidR="00EF01C7" w:rsidRDefault="00EF01C7" w:rsidP="00EF01C7">
      <w:r w:rsidRPr="00777F7A">
        <w:t xml:space="preserve">Lucas, R.E. (1990) </w:t>
      </w:r>
      <w:r w:rsidRPr="00102D91">
        <w:rPr>
          <w:i/>
        </w:rPr>
        <w:t>Supply</w:t>
      </w:r>
      <w:r w:rsidR="00F03697" w:rsidRPr="00102D91">
        <w:rPr>
          <w:i/>
        </w:rPr>
        <w:noBreakHyphen/>
      </w:r>
      <w:r w:rsidRPr="00102D91">
        <w:rPr>
          <w:i/>
        </w:rPr>
        <w:t xml:space="preserve">side economics: </w:t>
      </w:r>
      <w:r w:rsidR="00D66CC7" w:rsidRPr="00102D91">
        <w:rPr>
          <w:i/>
        </w:rPr>
        <w:t>A</w:t>
      </w:r>
      <w:r w:rsidRPr="00102D91">
        <w:rPr>
          <w:i/>
        </w:rPr>
        <w:t>n analytical review</w:t>
      </w:r>
      <w:r w:rsidRPr="00777F7A">
        <w:t>, Oxford Economic Papers: New Series, Vol. 42, No. 2, pp. 293</w:t>
      </w:r>
      <w:r w:rsidR="00F03697">
        <w:noBreakHyphen/>
      </w:r>
      <w:r w:rsidRPr="00777F7A">
        <w:t>316.</w:t>
      </w:r>
    </w:p>
    <w:p w14:paraId="29DD6AB9" w14:textId="5A1970F0" w:rsidR="00EF01C7" w:rsidRDefault="00EF01C7" w:rsidP="00EF01C7">
      <w:r>
        <w:t>Musgrave, R.A. (1958</w:t>
      </w:r>
      <w:r w:rsidR="008D0B98">
        <w:t>)</w:t>
      </w:r>
      <w:r>
        <w:t xml:space="preserve"> </w:t>
      </w:r>
      <w:r w:rsidRPr="00102D91">
        <w:rPr>
          <w:i/>
        </w:rPr>
        <w:t xml:space="preserve">The theory of public finance: </w:t>
      </w:r>
      <w:r w:rsidR="00B20ADE" w:rsidRPr="00102D91">
        <w:rPr>
          <w:i/>
        </w:rPr>
        <w:t>A</w:t>
      </w:r>
      <w:r w:rsidRPr="00102D91">
        <w:rPr>
          <w:i/>
        </w:rPr>
        <w:t xml:space="preserve"> study in public economy</w:t>
      </w:r>
      <w:r>
        <w:t xml:space="preserve">, </w:t>
      </w:r>
      <w:r w:rsidR="00B20ADE">
        <w:t>McGraw</w:t>
      </w:r>
      <w:r w:rsidR="00F03697">
        <w:noBreakHyphen/>
      </w:r>
      <w:r w:rsidR="00B20ADE">
        <w:t xml:space="preserve">Hill: </w:t>
      </w:r>
      <w:r>
        <w:t>New York</w:t>
      </w:r>
      <w:r w:rsidR="00B20ADE">
        <w:t>.</w:t>
      </w:r>
    </w:p>
    <w:p w14:paraId="29DD6ABA" w14:textId="51F70A04" w:rsidR="00EF01C7" w:rsidRDefault="00EF01C7" w:rsidP="00EF01C7">
      <w:r w:rsidRPr="00EF01C7">
        <w:t>Mas</w:t>
      </w:r>
      <w:r w:rsidR="00F03697">
        <w:noBreakHyphen/>
      </w:r>
      <w:r w:rsidRPr="00EF01C7">
        <w:t xml:space="preserve">Colell, A., Whintson, M. and Green, J. (1995) </w:t>
      </w:r>
      <w:r w:rsidRPr="00102D91">
        <w:rPr>
          <w:i/>
        </w:rPr>
        <w:t>Microeconomic Theory</w:t>
      </w:r>
      <w:r w:rsidRPr="00EF01C7">
        <w:t>, Oxford University Press: New York.</w:t>
      </w:r>
    </w:p>
    <w:p w14:paraId="7156AF8C" w14:textId="016D4F0C" w:rsidR="00D43E79" w:rsidRDefault="00D43E79" w:rsidP="00EF01C7">
      <w:r>
        <w:t xml:space="preserve">Mendoza, E., and Tesar, L. (1998) </w:t>
      </w:r>
      <w:r w:rsidRPr="00102D91">
        <w:rPr>
          <w:i/>
        </w:rPr>
        <w:t xml:space="preserve">The international ramifications of tax reforms: </w:t>
      </w:r>
      <w:r w:rsidR="00D66CC7" w:rsidRPr="00102D91">
        <w:rPr>
          <w:i/>
        </w:rPr>
        <w:t>S</w:t>
      </w:r>
      <w:r w:rsidRPr="00102D91">
        <w:rPr>
          <w:i/>
        </w:rPr>
        <w:t>upply</w:t>
      </w:r>
      <w:r w:rsidR="00F03697" w:rsidRPr="00102D91">
        <w:rPr>
          <w:i/>
        </w:rPr>
        <w:noBreakHyphen/>
      </w:r>
      <w:r w:rsidRPr="00102D91">
        <w:rPr>
          <w:i/>
        </w:rPr>
        <w:t>side in a global economy</w:t>
      </w:r>
      <w:r w:rsidRPr="00102D91">
        <w:t xml:space="preserve">, </w:t>
      </w:r>
      <w:r>
        <w:t>The American Economic Review, Vol. 88, No. 1, pp. 226</w:t>
      </w:r>
      <w:r w:rsidR="00F03697">
        <w:noBreakHyphen/>
      </w:r>
      <w:r>
        <w:t>245.</w:t>
      </w:r>
    </w:p>
    <w:p w14:paraId="29DD6ABB" w14:textId="77777777" w:rsidR="00EF01C7" w:rsidRDefault="00EF01C7" w:rsidP="00EF01C7">
      <w:r>
        <w:t xml:space="preserve">New South Wales Treasury (2011), NSW Financial Audit 2011: </w:t>
      </w:r>
      <w:r w:rsidRPr="00102D91">
        <w:rPr>
          <w:i/>
        </w:rPr>
        <w:t>Policy, Financial and Economic Reform</w:t>
      </w:r>
      <w:r>
        <w:t>, Vol. 2, Part C.</w:t>
      </w:r>
    </w:p>
    <w:p w14:paraId="1CF6AEB8" w14:textId="57AF09C5" w:rsidR="00C14102" w:rsidRPr="00777F7A" w:rsidRDefault="00C14102" w:rsidP="00EF01C7">
      <w:r w:rsidRPr="00C14102">
        <w:t xml:space="preserve">Pant, H. (2007) </w:t>
      </w:r>
      <w:r w:rsidRPr="00102D91">
        <w:rPr>
          <w:i/>
        </w:rPr>
        <w:t>GTEM: Global Trade and Environment Model</w:t>
      </w:r>
      <w:r w:rsidRPr="00C14102">
        <w:t>, ABARE Technical Report</w:t>
      </w:r>
      <w:r w:rsidR="00B20ADE">
        <w:t>, Australian Bureau of Agriculture and Resource Economics.</w:t>
      </w:r>
    </w:p>
    <w:p w14:paraId="29DD6ABC" w14:textId="5799A2A0" w:rsidR="00EF01C7" w:rsidRDefault="00EF01C7" w:rsidP="00EF01C7">
      <w:r>
        <w:t xml:space="preserve">Rimmer, X., Smith, J. and Wende, S. (2014) </w:t>
      </w:r>
      <w:r w:rsidRPr="00102D91">
        <w:rPr>
          <w:i/>
        </w:rPr>
        <w:t>The incidence of company tax in Australia</w:t>
      </w:r>
      <w:r>
        <w:t>, The Treasury, Economic Roundup Issue 1, pp.33</w:t>
      </w:r>
      <w:r w:rsidR="00F03697">
        <w:noBreakHyphen/>
      </w:r>
      <w:r>
        <w:t>47.</w:t>
      </w:r>
    </w:p>
    <w:p w14:paraId="29DD6ABD" w14:textId="55D9E07A" w:rsidR="00EF01C7" w:rsidRDefault="00EF01C7" w:rsidP="00EF01C7">
      <w:r>
        <w:t xml:space="preserve">Zhao, X. (2010) </w:t>
      </w:r>
      <w:r w:rsidRPr="00102D91">
        <w:rPr>
          <w:i/>
        </w:rPr>
        <w:t>Market forces and urban special structure: Evidence from Beijing</w:t>
      </w:r>
      <w:r>
        <w:t>, China, PhD dissertation, University of Maryland</w:t>
      </w:r>
    </w:p>
    <w:p w14:paraId="29DD6ABE" w14:textId="77777777" w:rsidR="00FA5BCC" w:rsidRDefault="00FA5BCC" w:rsidP="008627B1"/>
    <w:p w14:paraId="29DD6ABF" w14:textId="77777777" w:rsidR="0037543F" w:rsidRDefault="0037543F" w:rsidP="008627B1">
      <w:pPr>
        <w:sectPr w:rsidR="0037543F" w:rsidSect="008C0793">
          <w:pgSz w:w="11906" w:h="16838" w:code="9"/>
          <w:pgMar w:top="1418" w:right="1304" w:bottom="1418" w:left="1304" w:header="567" w:footer="567" w:gutter="0"/>
          <w:cols w:space="708"/>
          <w:titlePg/>
          <w:docGrid w:linePitch="360"/>
        </w:sectPr>
      </w:pPr>
    </w:p>
    <w:p w14:paraId="29DD6AC0" w14:textId="77777777" w:rsidR="000F1DD8" w:rsidRDefault="000F1DD8" w:rsidP="00AC51D8">
      <w:pPr>
        <w:pStyle w:val="Heading2"/>
        <w:numPr>
          <w:ilvl w:val="0"/>
          <w:numId w:val="0"/>
        </w:numPr>
      </w:pPr>
      <w:r>
        <w:lastRenderedPageBreak/>
        <w:t xml:space="preserve">Appendix A: </w:t>
      </w:r>
      <w:r w:rsidR="00E0425B">
        <w:t>Baseline calibration and s</w:t>
      </w:r>
      <w:r>
        <w:t>ensitivity analysis</w:t>
      </w:r>
    </w:p>
    <w:p w14:paraId="29DD6AC1" w14:textId="565A43D1" w:rsidR="000F1DD8" w:rsidRDefault="000F1DD8" w:rsidP="008E5EA6">
      <w:r>
        <w:t xml:space="preserve">As with all </w:t>
      </w:r>
      <w:r w:rsidR="00563841">
        <w:t>analysis based on parameterised theoretical models</w:t>
      </w:r>
      <w:r>
        <w:t xml:space="preserve">, the results presented above are </w:t>
      </w:r>
      <w:r w:rsidR="00563841">
        <w:t>sensitivity to</w:t>
      </w:r>
      <w:r>
        <w:t xml:space="preserve"> </w:t>
      </w:r>
      <w:r w:rsidR="00563841">
        <w:t>parameter assumptions</w:t>
      </w:r>
      <w:r>
        <w:t xml:space="preserve">. </w:t>
      </w:r>
      <w:r w:rsidR="00563841">
        <w:t>Where possible</w:t>
      </w:r>
      <w:r>
        <w:t xml:space="preserve"> the baseline calibration of the model is </w:t>
      </w:r>
      <w:r w:rsidR="00563841">
        <w:t xml:space="preserve">consistent with </w:t>
      </w:r>
      <w:r w:rsidR="000E67FD">
        <w:t>estimates of Australian economic activity and industr</w:t>
      </w:r>
      <w:r w:rsidR="006152DE">
        <w:t>y</w:t>
      </w:r>
      <w:r w:rsidR="000E67FD">
        <w:t xml:space="preserve"> structure reported by the Australian Bureau of Statistics</w:t>
      </w:r>
      <w:r w:rsidR="00286BB6">
        <w:t xml:space="preserve"> (ABS)</w:t>
      </w:r>
      <w:r w:rsidR="000E67FD">
        <w:t xml:space="preserve">. However, </w:t>
      </w:r>
      <w:r>
        <w:t xml:space="preserve">there </w:t>
      </w:r>
      <w:r w:rsidR="000E67FD">
        <w:t xml:space="preserve">remains a </w:t>
      </w:r>
      <w:r>
        <w:t xml:space="preserve">degree of uncertainty around </w:t>
      </w:r>
      <w:r w:rsidR="000E67FD">
        <w:t>some</w:t>
      </w:r>
      <w:r>
        <w:t xml:space="preserve"> assumptions</w:t>
      </w:r>
      <w:r w:rsidR="000E67FD">
        <w:t xml:space="preserve">, in particular those that relate to </w:t>
      </w:r>
      <w:r w:rsidR="0005218A">
        <w:t xml:space="preserve">the various </w:t>
      </w:r>
      <w:r w:rsidR="000E67FD">
        <w:t>elasticit</w:t>
      </w:r>
      <w:r w:rsidR="0005218A">
        <w:t>ies</w:t>
      </w:r>
      <w:r w:rsidR="000E67FD">
        <w:t xml:space="preserve"> of substitution</w:t>
      </w:r>
      <w:r w:rsidR="007E2149">
        <w:t>.</w:t>
      </w:r>
    </w:p>
    <w:p w14:paraId="29DD6AC2" w14:textId="1CC3F8D1" w:rsidR="004F5DBF" w:rsidRDefault="004F5DBF" w:rsidP="008E5EA6">
      <w:r w:rsidRPr="00286BB6">
        <w:t xml:space="preserve">The model is </w:t>
      </w:r>
      <w:r w:rsidR="00286BB6" w:rsidRPr="00286BB6">
        <w:t>calibrated to reflect</w:t>
      </w:r>
      <w:r w:rsidRPr="00286BB6">
        <w:t xml:space="preserve"> the </w:t>
      </w:r>
      <w:r w:rsidR="00286BB6" w:rsidRPr="00286BB6">
        <w:t xml:space="preserve">structure of the </w:t>
      </w:r>
      <w:r w:rsidRPr="00286BB6">
        <w:t>Australian economy</w:t>
      </w:r>
      <w:r w:rsidR="00286BB6" w:rsidRPr="00286BB6">
        <w:t xml:space="preserve"> in 2013</w:t>
      </w:r>
      <w:r w:rsidR="00F03697">
        <w:noBreakHyphen/>
      </w:r>
      <w:r w:rsidR="00286BB6" w:rsidRPr="00286BB6">
        <w:t>14.</w:t>
      </w:r>
      <w:r w:rsidR="00286BB6">
        <w:t xml:space="preserve"> The basic industr</w:t>
      </w:r>
      <w:r w:rsidR="006152DE">
        <w:t>y</w:t>
      </w:r>
      <w:r w:rsidR="00286BB6">
        <w:t xml:space="preserve"> structure and expenditure patterns of the economy are initially calibrated to match ABS</w:t>
      </w:r>
      <w:r w:rsidRPr="00286BB6">
        <w:t xml:space="preserve"> </w:t>
      </w:r>
      <w:r w:rsidR="00286BB6">
        <w:t>I</w:t>
      </w:r>
      <w:r w:rsidRPr="00286BB6">
        <w:t>nput</w:t>
      </w:r>
      <w:r w:rsidR="00F03697">
        <w:noBreakHyphen/>
      </w:r>
      <w:r w:rsidR="00286BB6">
        <w:t>O</w:t>
      </w:r>
      <w:r w:rsidRPr="00286BB6">
        <w:t xml:space="preserve">utput </w:t>
      </w:r>
      <w:r w:rsidR="00286BB6">
        <w:t>T</w:t>
      </w:r>
      <w:r w:rsidRPr="00286BB6">
        <w:t xml:space="preserve">ables (ABS </w:t>
      </w:r>
      <w:r w:rsidR="00286BB6">
        <w:t>c</w:t>
      </w:r>
      <w:r w:rsidRPr="00286BB6">
        <w:t>at. 5209.0)</w:t>
      </w:r>
      <w:r w:rsidR="00286BB6">
        <w:t xml:space="preserve"> for </w:t>
      </w:r>
      <w:r w:rsidR="00286BB6" w:rsidRPr="00286BB6">
        <w:t>2007</w:t>
      </w:r>
      <w:r w:rsidR="00F03697">
        <w:noBreakHyphen/>
      </w:r>
      <w:r w:rsidR="00286BB6" w:rsidRPr="00286BB6">
        <w:t>08</w:t>
      </w:r>
      <w:r w:rsidRPr="00286BB6">
        <w:t>. The model is calibrated based on the 2007</w:t>
      </w:r>
      <w:r w:rsidR="00F03697">
        <w:noBreakHyphen/>
      </w:r>
      <w:r w:rsidRPr="00286BB6">
        <w:t xml:space="preserve">08 level of the terms of trade and incorporates a range of other data including other ABS data and unpublished </w:t>
      </w:r>
      <w:r w:rsidR="00286BB6">
        <w:t>Australian Tax Office (</w:t>
      </w:r>
      <w:r w:rsidRPr="00286BB6">
        <w:t>ATO</w:t>
      </w:r>
      <w:r w:rsidR="00286BB6">
        <w:t>)</w:t>
      </w:r>
      <w:r w:rsidRPr="00286BB6">
        <w:t xml:space="preserve"> tax statistics.</w:t>
      </w:r>
      <w:r w:rsidR="00286BB6">
        <w:t xml:space="preserve"> These data are then uprated to </w:t>
      </w:r>
      <w:r w:rsidR="00A8177A" w:rsidRPr="00A8177A">
        <w:t>allow for growth in wages, prices, productivity and labour supply from 2007</w:t>
      </w:r>
      <w:r w:rsidR="00F03697">
        <w:noBreakHyphen/>
      </w:r>
      <w:r w:rsidR="00A8177A" w:rsidRPr="00A8177A">
        <w:t>08 to 2013</w:t>
      </w:r>
      <w:r w:rsidR="00F03697">
        <w:noBreakHyphen/>
      </w:r>
      <w:r w:rsidR="00A8177A" w:rsidRPr="00A8177A">
        <w:t>14, using ABS national accounts (ABS cat. 5206.0), consumer price</w:t>
      </w:r>
      <w:r w:rsidR="00A8177A">
        <w:t>s</w:t>
      </w:r>
      <w:r w:rsidR="00A8177A" w:rsidRPr="00A8177A">
        <w:t xml:space="preserve"> (ABS cat. 6401.0) and labour force data (ABS cat. 6291.0.55.003). Finally, the supply of land and fixed factors, the size of the world market, general government final demand and Australian asset ownership</w:t>
      </w:r>
      <w:r w:rsidR="00A8177A">
        <w:t xml:space="preserve"> are grown</w:t>
      </w:r>
      <w:r w:rsidR="00A8177A" w:rsidRPr="00A8177A">
        <w:t xml:space="preserve"> in</w:t>
      </w:r>
      <w:r w:rsidR="00A8177A">
        <w:t xml:space="preserve"> line with</w:t>
      </w:r>
      <w:r w:rsidR="00A8177A" w:rsidRPr="00A8177A">
        <w:t xml:space="preserve"> Australian real GDP.</w:t>
      </w:r>
    </w:p>
    <w:p w14:paraId="29DD6AC3" w14:textId="00CBCFF0" w:rsidR="000E67FD" w:rsidRDefault="000E67FD" w:rsidP="008E5EA6">
      <w:r>
        <w:t xml:space="preserve">The sensitivity analysis presented below highlights </w:t>
      </w:r>
      <w:r w:rsidR="006152DE">
        <w:t xml:space="preserve">that the </w:t>
      </w:r>
      <w:r w:rsidR="009C7E35">
        <w:t>ranking of the relative marginal excess burden of the fives taxes under study</w:t>
      </w:r>
      <w:r w:rsidR="006152DE">
        <w:t xml:space="preserve"> is robust </w:t>
      </w:r>
      <w:r w:rsidR="009C7E35">
        <w:t>to</w:t>
      </w:r>
      <w:r w:rsidR="006152DE">
        <w:t xml:space="preserve"> a broad range of </w:t>
      </w:r>
      <w:r w:rsidR="009C7E35">
        <w:t xml:space="preserve">parameter </w:t>
      </w:r>
      <w:r w:rsidR="006152DE">
        <w:t>assumptions</w:t>
      </w:r>
      <w:r>
        <w:t xml:space="preserve">. </w:t>
      </w:r>
      <w:r w:rsidR="009C7E35">
        <w:t>In fact, m</w:t>
      </w:r>
      <w:r>
        <w:t xml:space="preserve">any of </w:t>
      </w:r>
      <w:r w:rsidR="00FD652A">
        <w:t xml:space="preserve">the </w:t>
      </w:r>
      <w:r>
        <w:t xml:space="preserve">sensitivities detailed below </w:t>
      </w:r>
      <w:r w:rsidR="009C7E35">
        <w:t>employ</w:t>
      </w:r>
      <w:r>
        <w:t xml:space="preserve"> extreme parameter</w:t>
      </w:r>
      <w:r w:rsidR="009C7E35">
        <w:t xml:space="preserve"> choices, which </w:t>
      </w:r>
      <w:r>
        <w:t>highlights that under most plausible parameterisation</w:t>
      </w:r>
      <w:r w:rsidR="009C7E35">
        <w:t>s</w:t>
      </w:r>
      <w:r>
        <w:t xml:space="preserve"> the relative efficie</w:t>
      </w:r>
      <w:r w:rsidR="007E2149">
        <w:t>ncy of the taxes is unchanged.</w:t>
      </w:r>
    </w:p>
    <w:p w14:paraId="29DD6AC4" w14:textId="77777777" w:rsidR="007E2149" w:rsidRDefault="00A942B5" w:rsidP="00A942B5">
      <w:pPr>
        <w:pStyle w:val="Heading3"/>
      </w:pPr>
      <w:r>
        <w:t xml:space="preserve">Parameters governing firm </w:t>
      </w:r>
      <w:r w:rsidR="00CB68AA">
        <w:t>behaviour</w:t>
      </w:r>
    </w:p>
    <w:p w14:paraId="29DD6AC5" w14:textId="77777777" w:rsidR="000F1DD8" w:rsidRDefault="00A942B5" w:rsidP="00A942B5">
      <w:pPr>
        <w:pStyle w:val="Heading4"/>
      </w:pPr>
      <w:r>
        <w:t>Share of factor income earned by fixed factors</w:t>
      </w:r>
    </w:p>
    <w:p w14:paraId="29DD6AC6" w14:textId="2F1F5234" w:rsidR="000F1DD8" w:rsidRDefault="000F1DD8" w:rsidP="000F1DD8">
      <w:pPr>
        <w:rPr>
          <w:lang w:val="en-US" w:eastAsia="en-AU"/>
        </w:rPr>
      </w:pPr>
      <w:r>
        <w:rPr>
          <w:lang w:val="en-US" w:eastAsia="en-AU"/>
        </w:rPr>
        <w:t>The model includes both location</w:t>
      </w:r>
      <w:r w:rsidR="00F03697">
        <w:noBreakHyphen/>
      </w:r>
      <w:r>
        <w:rPr>
          <w:lang w:val="en-US" w:eastAsia="en-AU"/>
        </w:rPr>
        <w:t xml:space="preserve"> and firm</w:t>
      </w:r>
      <w:r w:rsidR="00F03697">
        <w:rPr>
          <w:lang w:val="en-US" w:eastAsia="en-AU"/>
        </w:rPr>
        <w:noBreakHyphen/>
      </w:r>
      <w:r>
        <w:rPr>
          <w:lang w:val="en-US" w:eastAsia="en-AU"/>
        </w:rPr>
        <w:t xml:space="preserve">specific fixed factors of </w:t>
      </w:r>
      <w:r w:rsidR="000F1385">
        <w:rPr>
          <w:lang w:val="en-US" w:eastAsia="en-AU"/>
        </w:rPr>
        <w:t xml:space="preserve">production in addition to land. </w:t>
      </w:r>
      <w:r>
        <w:rPr>
          <w:lang w:val="en-US" w:eastAsia="en-AU"/>
        </w:rPr>
        <w:t>The firm</w:t>
      </w:r>
      <w:r w:rsidR="00F03697">
        <w:rPr>
          <w:lang w:val="en-US" w:eastAsia="en-AU"/>
        </w:rPr>
        <w:noBreakHyphen/>
      </w:r>
      <w:r>
        <w:rPr>
          <w:lang w:val="en-US" w:eastAsia="en-AU"/>
        </w:rPr>
        <w:t>specific fixed factor reflects the rents generated by intangible assets</w:t>
      </w:r>
      <w:r w:rsidR="009C7E35">
        <w:rPr>
          <w:lang w:val="en-US" w:eastAsia="en-AU"/>
        </w:rPr>
        <w:t>,</w:t>
      </w:r>
      <w:r>
        <w:rPr>
          <w:lang w:val="en-US" w:eastAsia="en-AU"/>
        </w:rPr>
        <w:t xml:space="preserve"> such as</w:t>
      </w:r>
      <w:r w:rsidR="009C7E35">
        <w:rPr>
          <w:lang w:val="en-US" w:eastAsia="en-AU"/>
        </w:rPr>
        <w:t xml:space="preserve"> </w:t>
      </w:r>
      <w:r>
        <w:rPr>
          <w:lang w:val="en-US" w:eastAsia="en-AU"/>
        </w:rPr>
        <w:t>brand n</w:t>
      </w:r>
      <w:r w:rsidR="000F1385">
        <w:rPr>
          <w:lang w:val="en-US" w:eastAsia="en-AU"/>
        </w:rPr>
        <w:t xml:space="preserve">ames, patents and market power. </w:t>
      </w:r>
      <w:r>
        <w:rPr>
          <w:lang w:val="en-US" w:eastAsia="en-AU"/>
        </w:rPr>
        <w:t>Location</w:t>
      </w:r>
      <w:r w:rsidR="00F03697">
        <w:rPr>
          <w:lang w:val="en-US" w:eastAsia="en-AU"/>
        </w:rPr>
        <w:noBreakHyphen/>
      </w:r>
      <w:r>
        <w:rPr>
          <w:lang w:val="en-US" w:eastAsia="en-AU"/>
        </w:rPr>
        <w:t>specific fixed factors are inputs that are fixed in supply to any particular industry, such as natural resources. Each industry uses a different type of location</w:t>
      </w:r>
      <w:r w:rsidR="00F03697">
        <w:noBreakHyphen/>
      </w:r>
      <w:r>
        <w:rPr>
          <w:lang w:val="en-US" w:eastAsia="en-AU"/>
        </w:rPr>
        <w:t>specific fixed factor. For example, each industry within the mining sector will use a different type of natural resource</w:t>
      </w:r>
      <w:r w:rsidR="004C5CFD">
        <w:rPr>
          <w:lang w:val="en-US" w:eastAsia="en-AU"/>
        </w:rPr>
        <w:t xml:space="preserve"> — </w:t>
      </w:r>
      <w:r>
        <w:rPr>
          <w:lang w:val="en-US" w:eastAsia="en-AU"/>
        </w:rPr>
        <w:t>the coal industry requires coal resources and the iron</w:t>
      </w:r>
      <w:r w:rsidR="00F03697">
        <w:rPr>
          <w:lang w:val="en-US" w:eastAsia="en-AU"/>
        </w:rPr>
        <w:noBreakHyphen/>
      </w:r>
      <w:r>
        <w:rPr>
          <w:lang w:val="en-US" w:eastAsia="en-AU"/>
        </w:rPr>
        <w:t>ore industry requires iron</w:t>
      </w:r>
      <w:r w:rsidR="00F03697">
        <w:rPr>
          <w:lang w:val="en-US" w:eastAsia="en-AU"/>
        </w:rPr>
        <w:noBreakHyphen/>
      </w:r>
      <w:r>
        <w:rPr>
          <w:lang w:val="en-US" w:eastAsia="en-AU"/>
        </w:rPr>
        <w:t>ore resources. Fixed factors generate location</w:t>
      </w:r>
      <w:r w:rsidR="00F03697">
        <w:noBreakHyphen/>
      </w:r>
      <w:r>
        <w:rPr>
          <w:lang w:val="en-US" w:eastAsia="en-AU"/>
        </w:rPr>
        <w:t>specific economic rents, which are unable to be obtained unless they are exploited within Australia.</w:t>
      </w:r>
    </w:p>
    <w:p w14:paraId="29DD6AC7" w14:textId="13FF79F0" w:rsidR="000F1DD8" w:rsidRDefault="000F1DD8" w:rsidP="000F1DD8">
      <w:r>
        <w:t>Generally, returns to location</w:t>
      </w:r>
      <w:r w:rsidR="00F03697">
        <w:noBreakHyphen/>
      </w:r>
      <w:r>
        <w:t xml:space="preserve"> and firm</w:t>
      </w:r>
      <w:r w:rsidR="00F03697">
        <w:noBreakHyphen/>
      </w:r>
      <w:r>
        <w:t>specific fixed factors are those that are not able to be attributed to other forms of capital. Hence these fixed factors are often referred to as excess returns or economic rents.</w:t>
      </w:r>
    </w:p>
    <w:p w14:paraId="29DD6AC8" w14:textId="419A6ED8" w:rsidR="000F1DD8" w:rsidRDefault="000F1DD8" w:rsidP="009703EA">
      <w:pPr>
        <w:rPr>
          <w:highlight w:val="red"/>
        </w:rPr>
      </w:pPr>
      <w:r>
        <w:t>To estimate the normal returns on the measured stock of capital we first calculate the normal return and assume any remaining returns are due to the location</w:t>
      </w:r>
      <w:r w:rsidR="00F03697">
        <w:noBreakHyphen/>
      </w:r>
      <w:r>
        <w:t xml:space="preserve"> and firm</w:t>
      </w:r>
      <w:r w:rsidR="00F03697">
        <w:noBreakHyphen/>
      </w:r>
      <w:r>
        <w:t>specific fixed factors. In calculating the normal return we use the economy</w:t>
      </w:r>
      <w:r w:rsidR="00F03697">
        <w:noBreakHyphen/>
      </w:r>
      <w:r>
        <w:t>wide after</w:t>
      </w:r>
      <w:r w:rsidR="00F03697">
        <w:noBreakHyphen/>
      </w:r>
      <w:r>
        <w:t>tax required rate of return from the model. This is used to calculate the before</w:t>
      </w:r>
      <w:r w:rsidR="00F03697">
        <w:noBreakHyphen/>
      </w:r>
      <w:r>
        <w:t>tax required rate of return for each industry. The before</w:t>
      </w:r>
      <w:r w:rsidR="00F03697">
        <w:noBreakHyphen/>
      </w:r>
      <w:r>
        <w:t xml:space="preserve">tax required rate of return differs </w:t>
      </w:r>
      <w:r w:rsidR="000F1385">
        <w:t>across</w:t>
      </w:r>
      <w:r>
        <w:t xml:space="preserve"> industr</w:t>
      </w:r>
      <w:r w:rsidR="000F1385">
        <w:t>ies</w:t>
      </w:r>
      <w:r>
        <w:t xml:space="preserve"> </w:t>
      </w:r>
      <w:r w:rsidR="000F1385">
        <w:t>because</w:t>
      </w:r>
      <w:r>
        <w:t xml:space="preserve"> their capital </w:t>
      </w:r>
      <w:r w:rsidR="009703EA">
        <w:t>structure and debt levels vary.</w:t>
      </w:r>
    </w:p>
    <w:p w14:paraId="29DD6AC9" w14:textId="77777777" w:rsidR="009703EA" w:rsidRPr="009703EA" w:rsidRDefault="009703EA" w:rsidP="009703EA">
      <w:r>
        <w:lastRenderedPageBreak/>
        <w:t>Estimating the magnitude of excess r</w:t>
      </w:r>
      <w:r w:rsidR="00E038A1">
        <w:t xml:space="preserve">eturns for different industries </w:t>
      </w:r>
      <w:r>
        <w:t>in the whole economy is difficult. Furthermor</w:t>
      </w:r>
      <w:r w:rsidR="00E038A1">
        <w:t>e, the existence of rents in a</w:t>
      </w:r>
      <w:r>
        <w:t xml:space="preserve"> particular year may be due to temporary factors. This effect is somewhat mitigated </w:t>
      </w:r>
      <w:r w:rsidR="00E038A1">
        <w:t xml:space="preserve">in this paper </w:t>
      </w:r>
      <w:r>
        <w:t>by calculating the excess returns over a 20 year period.</w:t>
      </w:r>
    </w:p>
    <w:p w14:paraId="29DD6ACA" w14:textId="256A75AD" w:rsidR="000F1DD8" w:rsidRPr="009703EA" w:rsidRDefault="00C63816" w:rsidP="008E5EA6">
      <w:r w:rsidRPr="00EF016C">
        <w:t xml:space="preserve">Based on </w:t>
      </w:r>
      <w:r w:rsidR="00EF016C">
        <w:t xml:space="preserve">detailed industry data reported </w:t>
      </w:r>
      <w:r w:rsidR="007C0381">
        <w:t>in</w:t>
      </w:r>
      <w:r w:rsidR="00EF016C">
        <w:t xml:space="preserve"> </w:t>
      </w:r>
      <w:r w:rsidR="007C0381">
        <w:t xml:space="preserve">ABS Estimates of Multifactor Productivity </w:t>
      </w:r>
      <w:r w:rsidR="00EF016C">
        <w:t>(ABS</w:t>
      </w:r>
      <w:r w:rsidR="00480439">
        <w:t> </w:t>
      </w:r>
      <w:r w:rsidR="00EF016C">
        <w:t xml:space="preserve"> cat.</w:t>
      </w:r>
      <w:r w:rsidR="00480439">
        <w:t> </w:t>
      </w:r>
      <w:r w:rsidR="00EF016C">
        <w:t>5260.0.55.002)</w:t>
      </w:r>
      <w:r w:rsidR="007C0381">
        <w:t xml:space="preserve">, </w:t>
      </w:r>
      <w:r w:rsidR="000F1DD8" w:rsidRPr="00EF016C">
        <w:t>location</w:t>
      </w:r>
      <w:r w:rsidR="00F03697">
        <w:noBreakHyphen/>
      </w:r>
      <w:r w:rsidR="000F1DD8" w:rsidRPr="00EF016C">
        <w:t>specific fixed factors</w:t>
      </w:r>
      <w:r w:rsidR="00EF016C">
        <w:t xml:space="preserve"> are estimated to</w:t>
      </w:r>
      <w:r w:rsidR="000F1DD8" w:rsidRPr="00EF016C">
        <w:t xml:space="preserve"> account for just over 5</w:t>
      </w:r>
      <w:r w:rsidR="00480439">
        <w:t> </w:t>
      </w:r>
      <w:r w:rsidR="000F1DD8" w:rsidRPr="009703EA">
        <w:t xml:space="preserve">per </w:t>
      </w:r>
      <w:r w:rsidR="00480439">
        <w:t> </w:t>
      </w:r>
      <w:r w:rsidR="000F1DD8" w:rsidRPr="009703EA">
        <w:t xml:space="preserve">cent of GDP or around a seventh of </w:t>
      </w:r>
      <w:r w:rsidR="009C7E35">
        <w:t xml:space="preserve">the </w:t>
      </w:r>
      <w:r w:rsidR="000F1DD8" w:rsidRPr="009703EA">
        <w:t>total gross operating surplus</w:t>
      </w:r>
      <w:r w:rsidR="00BA5F8D">
        <w:t xml:space="preserve"> in the baseline calibration</w:t>
      </w:r>
      <w:r w:rsidR="000F1DD8" w:rsidRPr="009703EA">
        <w:t>. For comparison, land acco</w:t>
      </w:r>
      <w:r w:rsidR="009703EA">
        <w:t>unts around 3</w:t>
      </w:r>
      <w:r w:rsidR="00480439">
        <w:t> </w:t>
      </w:r>
      <w:r w:rsidR="009703EA">
        <w:t>per</w:t>
      </w:r>
      <w:r w:rsidR="00480439">
        <w:t> </w:t>
      </w:r>
      <w:r w:rsidR="009703EA">
        <w:t xml:space="preserve">cent of GDP. </w:t>
      </w:r>
      <w:r w:rsidR="000F1DD8" w:rsidRPr="009703EA">
        <w:t>We run two sensitivit</w:t>
      </w:r>
      <w:r w:rsidR="006152DE">
        <w:t>y analyses</w:t>
      </w:r>
      <w:r w:rsidR="000F1DD8" w:rsidRPr="009703EA">
        <w:t>, one where we assume there are no firm</w:t>
      </w:r>
      <w:r w:rsidR="00F03697">
        <w:noBreakHyphen/>
      </w:r>
      <w:r w:rsidR="000F1DD8" w:rsidRPr="009703EA">
        <w:t xml:space="preserve"> or location</w:t>
      </w:r>
      <w:r w:rsidR="00F03697">
        <w:noBreakHyphen/>
      </w:r>
      <w:r w:rsidR="000F1DD8" w:rsidRPr="009703EA">
        <w:t xml:space="preserve">specific fixed factors and one where we double the importance of economic rents. </w:t>
      </w:r>
      <w:r w:rsidR="009C7E35">
        <w:t>T</w:t>
      </w:r>
      <w:r w:rsidR="009C7E35" w:rsidRPr="009703EA">
        <w:t xml:space="preserve">he </w:t>
      </w:r>
      <w:r w:rsidR="00375FE2">
        <w:t xml:space="preserve">GDP </w:t>
      </w:r>
      <w:r w:rsidR="009C7E35" w:rsidRPr="009703EA">
        <w:t>contribution of labour is held constant</w:t>
      </w:r>
      <w:r w:rsidR="009C7E35">
        <w:t>, so e</w:t>
      </w:r>
      <w:r w:rsidR="000F1DD8" w:rsidRPr="009703EA">
        <w:t>liminating economic rents increases the i</w:t>
      </w:r>
      <w:r w:rsidR="009C7E35">
        <w:t>mportance of other capital types</w:t>
      </w:r>
      <w:r w:rsidR="000F1DD8" w:rsidRPr="009703EA">
        <w:t>.</w:t>
      </w:r>
    </w:p>
    <w:p w14:paraId="29DD6ACB" w14:textId="01C0E839" w:rsidR="000F1DD8" w:rsidRDefault="00B843C6" w:rsidP="008E5EA6">
      <w:r>
        <w:t xml:space="preserve">Chart </w:t>
      </w:r>
      <w:r>
        <w:rPr>
          <w:noProof/>
        </w:rPr>
        <w:t>35</w:t>
      </w:r>
      <w:r w:rsidR="006152DE">
        <w:t xml:space="preserve"> </w:t>
      </w:r>
      <w:r w:rsidR="005E1100">
        <w:t xml:space="preserve">and </w:t>
      </w:r>
      <w:r>
        <w:t xml:space="preserve">Chart </w:t>
      </w:r>
      <w:r>
        <w:rPr>
          <w:noProof/>
        </w:rPr>
        <w:t>35</w:t>
      </w:r>
      <w:r w:rsidR="005E1100">
        <w:t xml:space="preserve"> </w:t>
      </w:r>
      <w:r w:rsidR="009703EA">
        <w:t>show that</w:t>
      </w:r>
      <w:r w:rsidR="000F1DD8" w:rsidRPr="009703EA">
        <w:t xml:space="preserve"> the </w:t>
      </w:r>
      <w:r w:rsidR="007B5309">
        <w:t xml:space="preserve">marginal </w:t>
      </w:r>
      <w:r w:rsidR="009703EA">
        <w:t xml:space="preserve">excess </w:t>
      </w:r>
      <w:r w:rsidR="000F1DD8" w:rsidRPr="009703EA">
        <w:t xml:space="preserve">burden </w:t>
      </w:r>
      <w:r w:rsidR="009703EA">
        <w:t>of the corporate income tax</w:t>
      </w:r>
      <w:r w:rsidR="000F1DD8" w:rsidRPr="009703EA">
        <w:t xml:space="preserve"> is much higher in an economy </w:t>
      </w:r>
      <w:r w:rsidR="009703EA">
        <w:t xml:space="preserve">in which </w:t>
      </w:r>
      <w:r w:rsidR="00804F43">
        <w:t>more</w:t>
      </w:r>
      <w:r w:rsidR="009703EA">
        <w:t xml:space="preserve"> </w:t>
      </w:r>
      <w:r w:rsidR="00870488">
        <w:t xml:space="preserve">factor </w:t>
      </w:r>
      <w:r w:rsidR="009703EA">
        <w:t xml:space="preserve">income accrues to </w:t>
      </w:r>
      <w:r w:rsidR="00804F43">
        <w:t>variable</w:t>
      </w:r>
      <w:r w:rsidR="00F03697">
        <w:noBreakHyphen/>
      </w:r>
      <w:r w:rsidR="009703EA">
        <w:t>factors</w:t>
      </w:r>
      <w:r w:rsidR="000F1DD8" w:rsidRPr="009703EA">
        <w:t xml:space="preserve">. Increasing </w:t>
      </w:r>
      <w:r w:rsidR="00804F43">
        <w:t>variable capital</w:t>
      </w:r>
      <w:r w:rsidR="00F03697">
        <w:t>’</w:t>
      </w:r>
      <w:r w:rsidR="00804F43">
        <w:t>s income share</w:t>
      </w:r>
      <w:r w:rsidR="000F1DD8" w:rsidRPr="009703EA">
        <w:t xml:space="preserve"> also increases the burden of the </w:t>
      </w:r>
      <w:r w:rsidR="006E1A93">
        <w:t xml:space="preserve">flat </w:t>
      </w:r>
      <w:r w:rsidR="009703EA">
        <w:t>personal income tax</w:t>
      </w:r>
      <w:r w:rsidR="000F1DD8" w:rsidRPr="009703EA">
        <w:t xml:space="preserve">, GST and stamp duty. </w:t>
      </w:r>
      <w:r w:rsidR="00804F43">
        <w:t>In contrast,</w:t>
      </w:r>
      <w:r w:rsidR="000F1DD8" w:rsidRPr="009703EA">
        <w:t xml:space="preserve"> it raises the welfare benefits </w:t>
      </w:r>
      <w:r w:rsidR="009703EA">
        <w:t>from</w:t>
      </w:r>
      <w:r w:rsidR="000F1DD8" w:rsidRPr="009703EA">
        <w:t xml:space="preserve"> a higher </w:t>
      </w:r>
      <w:r w:rsidR="006E1A93">
        <w:t>broad</w:t>
      </w:r>
      <w:r w:rsidR="00F03697">
        <w:noBreakHyphen/>
      </w:r>
      <w:r w:rsidR="006E1A93">
        <w:t xml:space="preserve">based </w:t>
      </w:r>
      <w:r w:rsidR="000F1DD8" w:rsidRPr="009703EA">
        <w:t>land tax.</w:t>
      </w:r>
    </w:p>
    <w:p w14:paraId="29DD6ACC" w14:textId="1A3FFCE4" w:rsidR="000F1DD8" w:rsidRDefault="000F1DD8" w:rsidP="00E82F3E">
      <w:pPr>
        <w:pStyle w:val="Caption1"/>
      </w:pPr>
      <w:bookmarkStart w:id="51" w:name="_Ref400370792"/>
      <w:bookmarkStart w:id="52" w:name="_Ref401937916"/>
      <w:r>
        <w:t xml:space="preserve">Chart </w:t>
      </w:r>
      <w:bookmarkEnd w:id="51"/>
      <w:r w:rsidR="00776F3A">
        <w:fldChar w:fldCharType="begin"/>
      </w:r>
      <w:r w:rsidR="00776F3A">
        <w:instrText xml:space="preserve"> SEQ Chart \* ARABIC </w:instrText>
      </w:r>
      <w:r w:rsidR="00776F3A">
        <w:fldChar w:fldCharType="separate"/>
      </w:r>
      <w:r w:rsidR="00AA2137">
        <w:rPr>
          <w:noProof/>
        </w:rPr>
        <w:t>35</w:t>
      </w:r>
      <w:r w:rsidR="00776F3A">
        <w:fldChar w:fldCharType="end"/>
      </w:r>
      <w:bookmarkEnd w:id="52"/>
      <w:r>
        <w:t xml:space="preserve">: </w:t>
      </w:r>
      <w:r w:rsidR="007B5309">
        <w:t>Marginal e</w:t>
      </w:r>
      <w:r>
        <w:t>xcess burden</w:t>
      </w:r>
      <w:r w:rsidR="004C5CFD">
        <w:t xml:space="preserve"> — </w:t>
      </w:r>
      <w:r>
        <w:t>Sensitivity to size of economic rents</w:t>
      </w:r>
    </w:p>
    <w:p w14:paraId="29DD6ACD" w14:textId="05AB91AC" w:rsidR="000F1DD8" w:rsidRDefault="00866AD9" w:rsidP="00B066B3">
      <w:pPr>
        <w:pStyle w:val="Caption1"/>
      </w:pPr>
      <w:r>
        <w:pict w14:anchorId="35F2DC27">
          <v:shape id="_x0000_i1080" type="#_x0000_t75" alt="This sensitivity chart compares the baseline marginal excess burden estimates of the major taxes to results obtained under the alternative assumption of higher and lower shares of economic rents." style="width:436.3pt;height:225.25pt">
            <v:imagedata r:id="rId117" o:title=""/>
          </v:shape>
        </w:pict>
      </w:r>
    </w:p>
    <w:p w14:paraId="4981B72A" w14:textId="4FED6A38" w:rsidR="00F74E3C" w:rsidRDefault="00F74E3C" w:rsidP="0055740C">
      <w:pPr>
        <w:pStyle w:val="Source"/>
        <w:ind w:left="426"/>
      </w:pPr>
      <w:bookmarkStart w:id="53" w:name="_Ref401937921"/>
      <w:r>
        <w:rPr>
          <w:lang w:val="en-US"/>
        </w:rPr>
        <w:t xml:space="preserve">Source: </w:t>
      </w:r>
      <w:r w:rsidR="00E007CF">
        <w:t>Treasury estimates</w:t>
      </w:r>
      <w:r>
        <w:t>.</w:t>
      </w:r>
    </w:p>
    <w:p w14:paraId="29DD6ACF" w14:textId="23D580DC" w:rsidR="00776F3A" w:rsidRDefault="00776F3A" w:rsidP="00E82F3E">
      <w:pPr>
        <w:pStyle w:val="Caption1"/>
      </w:pPr>
      <w:r>
        <w:lastRenderedPageBreak/>
        <w:t xml:space="preserve">Chart </w:t>
      </w:r>
      <w:r w:rsidR="00866AD9">
        <w:fldChar w:fldCharType="begin"/>
      </w:r>
      <w:r w:rsidR="00866AD9">
        <w:instrText xml:space="preserve"> SEQ Chart \* ARABIC </w:instrText>
      </w:r>
      <w:r w:rsidR="00866AD9">
        <w:fldChar w:fldCharType="separate"/>
      </w:r>
      <w:r w:rsidR="00AA2137">
        <w:rPr>
          <w:noProof/>
        </w:rPr>
        <w:t>36</w:t>
      </w:r>
      <w:r w:rsidR="00866AD9">
        <w:rPr>
          <w:noProof/>
        </w:rPr>
        <w:fldChar w:fldCharType="end"/>
      </w:r>
      <w:bookmarkEnd w:id="53"/>
      <w:r>
        <w:t>: Relativ</w:t>
      </w:r>
      <w:r w:rsidR="00F85F98">
        <w:t>e</w:t>
      </w:r>
      <w:r>
        <w:t xml:space="preserve"> </w:t>
      </w:r>
      <w:r w:rsidR="007B5309">
        <w:t xml:space="preserve">marginal </w:t>
      </w:r>
      <w:r>
        <w:t>excess burden</w:t>
      </w:r>
      <w:r w:rsidR="004C5CFD" w:rsidRPr="00F80047">
        <w:rPr>
          <w:sz w:val="16"/>
        </w:rPr>
        <w:t xml:space="preserve"> </w:t>
      </w:r>
      <w:r w:rsidR="004C5CFD">
        <w:t>—</w:t>
      </w:r>
      <w:r w:rsidR="004C5CFD" w:rsidRPr="00F80047">
        <w:rPr>
          <w:sz w:val="16"/>
        </w:rPr>
        <w:t xml:space="preserve"> </w:t>
      </w:r>
      <w:r>
        <w:t>Sensitivity to size of economic rents</w:t>
      </w:r>
    </w:p>
    <w:p w14:paraId="29DD6AD0" w14:textId="69F40025" w:rsidR="00946DFF" w:rsidRDefault="00866AD9" w:rsidP="00B066B3">
      <w:pPr>
        <w:pStyle w:val="Caption1"/>
      </w:pPr>
      <w:r>
        <w:pict w14:anchorId="67D309E7">
          <v:shape id="_x0000_i1081" type="#_x0000_t75" alt="This sensitivity chart compares the baseline relative marginal excess burden estimates of the major taxes (that is, the ratio of the marginal excess burden of a given tax relative to the marginal excess burden of the labour income tax) to results obtained under the alternative assumption of higher and lower shares of economic rents." style="width:436.3pt;height:225.25pt">
            <v:imagedata r:id="rId118" o:title=""/>
          </v:shape>
        </w:pict>
      </w:r>
    </w:p>
    <w:p w14:paraId="4B238004" w14:textId="37A0FD23" w:rsidR="00F74E3C" w:rsidRDefault="00F74E3C" w:rsidP="0055740C">
      <w:pPr>
        <w:pStyle w:val="Source"/>
        <w:spacing w:after="0"/>
        <w:ind w:left="426"/>
      </w:pPr>
      <w:r>
        <w:rPr>
          <w:lang w:val="en-US"/>
        </w:rPr>
        <w:t xml:space="preserve">Source: </w:t>
      </w:r>
      <w:r w:rsidR="00E007CF">
        <w:t>Treasury estimates</w:t>
      </w:r>
      <w:r>
        <w:t>.</w:t>
      </w:r>
    </w:p>
    <w:p w14:paraId="721BD7FA" w14:textId="50BD3D14" w:rsidR="00224587" w:rsidRDefault="00224587" w:rsidP="003921FE">
      <w:pPr>
        <w:pStyle w:val="Source"/>
        <w:spacing w:after="0"/>
        <w:ind w:left="426"/>
      </w:pPr>
      <w:r>
        <w:t xml:space="preserve">Note: Relative </w:t>
      </w:r>
      <w:r w:rsidR="007B5309">
        <w:t xml:space="preserve">marginal </w:t>
      </w:r>
      <w:r>
        <w:t>excess burdens are reported relative to the flat labour income tax.</w:t>
      </w:r>
    </w:p>
    <w:p w14:paraId="48B8E719" w14:textId="77777777" w:rsidR="0055740C" w:rsidRPr="0055740C" w:rsidRDefault="0055740C" w:rsidP="0055740C">
      <w:pPr>
        <w:pStyle w:val="SingleParagraph"/>
        <w:rPr>
          <w:lang w:eastAsia="en-AU"/>
        </w:rPr>
      </w:pPr>
    </w:p>
    <w:p w14:paraId="29DD6AD1" w14:textId="77777777" w:rsidR="000F1DD8" w:rsidRDefault="00A942B5" w:rsidP="00A942B5">
      <w:pPr>
        <w:pStyle w:val="Heading4"/>
      </w:pPr>
      <w:r>
        <w:t>Share of f</w:t>
      </w:r>
      <w:r w:rsidR="000F1DD8">
        <w:t>oreign ownership</w:t>
      </w:r>
      <w:r w:rsidR="00870488">
        <w:t xml:space="preserve"> of firms</w:t>
      </w:r>
    </w:p>
    <w:p w14:paraId="29DD6AD2" w14:textId="77777777" w:rsidR="00FE4E0A" w:rsidRPr="00FE4E0A" w:rsidRDefault="00FE4E0A" w:rsidP="00FE4E0A">
      <w:r>
        <w:t xml:space="preserve">The share of foreign ownership of domestic assets, especially </w:t>
      </w:r>
      <w:r w:rsidR="006152DE">
        <w:t xml:space="preserve">with respect to </w:t>
      </w:r>
      <w:r>
        <w:t>land and economic rents, has important implications for the efficiency of the company income tax. If the share of land and rents owned by foreigners is greater, raising the company tax rate will give a larger wind fall gain to domestic capital owners.</w:t>
      </w:r>
    </w:p>
    <w:p w14:paraId="29DD6AD3" w14:textId="20CDADEA" w:rsidR="000F1DD8" w:rsidRDefault="000F1DD8" w:rsidP="008E5EA6">
      <w:r>
        <w:t xml:space="preserve">The share of foreign ownership of firms in the model </w:t>
      </w:r>
      <w:r w:rsidR="00870488">
        <w:t>is</w:t>
      </w:r>
      <w:r>
        <w:t xml:space="preserve"> calibrated using</w:t>
      </w:r>
      <w:r w:rsidR="001E3ABB">
        <w:t xml:space="preserve"> the</w:t>
      </w:r>
      <w:r>
        <w:t xml:space="preserve"> gross foreign ownership</w:t>
      </w:r>
      <w:r w:rsidR="001E3ABB">
        <w:t xml:space="preserve"> of</w:t>
      </w:r>
      <w:r>
        <w:t xml:space="preserve"> businesses. </w:t>
      </w:r>
      <w:r w:rsidR="00870488">
        <w:t xml:space="preserve">This requires us to </w:t>
      </w:r>
      <w:r>
        <w:t>calculate foreign liabilities excl</w:t>
      </w:r>
      <w:r w:rsidR="00870488">
        <w:t xml:space="preserve">uding </w:t>
      </w:r>
      <w:r w:rsidR="001E3ABB">
        <w:t>household</w:t>
      </w:r>
      <w:r w:rsidR="00870488">
        <w:t xml:space="preserve"> and government</w:t>
      </w:r>
      <w:r w:rsidR="001E3ABB">
        <w:t xml:space="preserve"> liabilities</w:t>
      </w:r>
      <w:r w:rsidR="00870488">
        <w:t xml:space="preserve">. </w:t>
      </w:r>
      <w:r>
        <w:t>We do so by estimating the indirect liabilities of households and governments to foreigners through banks, securitises and central borrowing authorities</w:t>
      </w:r>
      <w:r w:rsidR="00870488">
        <w:t xml:space="preserve"> using historical data from </w:t>
      </w:r>
      <w:r w:rsidR="000E2F30">
        <w:t>ABS</w:t>
      </w:r>
      <w:r w:rsidR="00286BB6">
        <w:t xml:space="preserve"> </w:t>
      </w:r>
      <w:r w:rsidR="00870488">
        <w:t>National Financial Accounts</w:t>
      </w:r>
      <w:r w:rsidR="004F5DBF">
        <w:t> </w:t>
      </w:r>
      <w:r w:rsidR="00870488">
        <w:t xml:space="preserve">(ABS </w:t>
      </w:r>
      <w:r w:rsidR="00375FE2">
        <w:t>C</w:t>
      </w:r>
      <w:r w:rsidR="00870488">
        <w:t>at. 5232</w:t>
      </w:r>
      <w:r w:rsidR="004F5DBF">
        <w:t>.0</w:t>
      </w:r>
      <w:r w:rsidR="00870488">
        <w:t>)</w:t>
      </w:r>
      <w:r>
        <w:t>.</w:t>
      </w:r>
    </w:p>
    <w:p w14:paraId="29DD6AD4" w14:textId="67076BAB" w:rsidR="00FE4E0A" w:rsidRDefault="00FE4E0A" w:rsidP="008E5EA6">
      <w:r>
        <w:t>We have also assumed homogenous foreign ownership shares of firms across the economy. If foreign ownership dominates in particular industries which also have a disproportion</w:t>
      </w:r>
      <w:r w:rsidR="00354BCE">
        <w:t>ally</w:t>
      </w:r>
      <w:r>
        <w:t xml:space="preserve"> large share of rents then the welfare impacts of the company income tax will vary.</w:t>
      </w:r>
    </w:p>
    <w:p w14:paraId="29DD6AD5" w14:textId="6C896C40" w:rsidR="000F1DD8" w:rsidRDefault="00354BCE" w:rsidP="008E5EA6">
      <w:r>
        <w:t xml:space="preserve">As </w:t>
      </w:r>
      <w:r w:rsidRPr="001E3ABB">
        <w:t>at June 2008</w:t>
      </w:r>
      <w:r>
        <w:t>, g</w:t>
      </w:r>
      <w:r w:rsidR="000F1DD8" w:rsidRPr="001E3ABB">
        <w:t>ross foreign liabilities</w:t>
      </w:r>
      <w:r>
        <w:t>,</w:t>
      </w:r>
      <w:r w:rsidR="000F1DD8" w:rsidRPr="001E3ABB">
        <w:t xml:space="preserve"> excluding those of households and government</w:t>
      </w:r>
      <w:r>
        <w:t>,</w:t>
      </w:r>
      <w:r w:rsidR="000F1DD8" w:rsidRPr="001E3ABB">
        <w:t xml:space="preserve"> </w:t>
      </w:r>
      <w:r>
        <w:t>was</w:t>
      </w:r>
      <w:r w:rsidR="000F1DD8" w:rsidRPr="001E3ABB">
        <w:t xml:space="preserve"> </w:t>
      </w:r>
      <w:r>
        <w:t xml:space="preserve">estimated to be </w:t>
      </w:r>
      <w:r w:rsidR="000F1DD8" w:rsidRPr="001E3ABB">
        <w:t xml:space="preserve">$637 billion. </w:t>
      </w:r>
      <w:r w:rsidR="0013606D" w:rsidRPr="001E3ABB">
        <w:t>Given a total capital stock of roughly $3 trillion, t</w:t>
      </w:r>
      <w:r w:rsidR="000F1DD8" w:rsidRPr="001E3ABB">
        <w:t>his implies that 20.7 per cent of domestic firms were owned by foreigners.</w:t>
      </w:r>
    </w:p>
    <w:p w14:paraId="29DD6AD6" w14:textId="08DB4EE1" w:rsidR="000F1DD8" w:rsidRDefault="00FE4E0A" w:rsidP="008E5EA6">
      <w:r>
        <w:t xml:space="preserve">We provide some </w:t>
      </w:r>
      <w:r w:rsidR="000F1DD8">
        <w:t xml:space="preserve">insight into </w:t>
      </w:r>
      <w:r>
        <w:t>the</w:t>
      </w:r>
      <w:r w:rsidR="000F1DD8">
        <w:t xml:space="preserve"> implications of higher or lower foreign ownership on the efficiency of various taxes </w:t>
      </w:r>
      <w:r>
        <w:t>by simulating the model assuming</w:t>
      </w:r>
      <w:r w:rsidR="00354BCE">
        <w:t>:</w:t>
      </w:r>
      <w:r w:rsidR="000F1DD8">
        <w:t xml:space="preserve"> no foreign ownership</w:t>
      </w:r>
      <w:r w:rsidR="00354BCE">
        <w:t>;</w:t>
      </w:r>
      <w:r w:rsidR="000F1DD8">
        <w:t xml:space="preserve"> and with foreign ownership of 41.4</w:t>
      </w:r>
      <w:r>
        <w:t> </w:t>
      </w:r>
      <w:r w:rsidR="000F1DD8">
        <w:t>per</w:t>
      </w:r>
      <w:r w:rsidR="00870488">
        <w:t> </w:t>
      </w:r>
      <w:r w:rsidR="000F1DD8">
        <w:t>cent</w:t>
      </w:r>
      <w:r>
        <w:t>,</w:t>
      </w:r>
      <w:r w:rsidR="000F1DD8">
        <w:t xml:space="preserve"> which is double that in the baseline.</w:t>
      </w:r>
      <w:r>
        <w:t xml:space="preserve"> As predicted</w:t>
      </w:r>
      <w:r w:rsidR="00804F43">
        <w:t>,</w:t>
      </w:r>
      <w:r>
        <w:t xml:space="preserve"> the </w:t>
      </w:r>
      <w:r w:rsidR="007B5309">
        <w:t xml:space="preserve">marginal </w:t>
      </w:r>
      <w:r>
        <w:t>excess burden rises as the share of foreign ownership falls (</w:t>
      </w:r>
      <w:r w:rsidR="00B843C6">
        <w:t xml:space="preserve">Chart </w:t>
      </w:r>
      <w:r w:rsidR="00B843C6">
        <w:rPr>
          <w:noProof/>
        </w:rPr>
        <w:t>37</w:t>
      </w:r>
      <w:r w:rsidR="006152DE">
        <w:t xml:space="preserve"> and </w:t>
      </w:r>
      <w:r w:rsidR="00B843C6">
        <w:t xml:space="preserve">Chart </w:t>
      </w:r>
      <w:r w:rsidR="00B843C6">
        <w:rPr>
          <w:noProof/>
        </w:rPr>
        <w:t>38</w:t>
      </w:r>
      <w:r>
        <w:t>)</w:t>
      </w:r>
      <w:r w:rsidR="00804F43">
        <w:t>.</w:t>
      </w:r>
    </w:p>
    <w:p w14:paraId="29DD6AD7" w14:textId="4B32B472" w:rsidR="000F1DD8" w:rsidRDefault="000F1DD8" w:rsidP="00E82F3E">
      <w:pPr>
        <w:pStyle w:val="Caption1"/>
      </w:pPr>
      <w:bookmarkStart w:id="54" w:name="_Ref400372395"/>
      <w:r>
        <w:lastRenderedPageBreak/>
        <w:t xml:space="preserve">Chart </w:t>
      </w:r>
      <w:r w:rsidR="00866AD9">
        <w:fldChar w:fldCharType="begin"/>
      </w:r>
      <w:r w:rsidR="00866AD9">
        <w:instrText xml:space="preserve"> SEQ Chart \* ARABIC </w:instrText>
      </w:r>
      <w:r w:rsidR="00866AD9">
        <w:fldChar w:fldCharType="separate"/>
      </w:r>
      <w:r w:rsidR="00AA2137">
        <w:rPr>
          <w:noProof/>
        </w:rPr>
        <w:t>37</w:t>
      </w:r>
      <w:r w:rsidR="00866AD9">
        <w:rPr>
          <w:noProof/>
        </w:rPr>
        <w:fldChar w:fldCharType="end"/>
      </w:r>
      <w:bookmarkEnd w:id="54"/>
      <w:r>
        <w:t xml:space="preserve">: </w:t>
      </w:r>
      <w:r w:rsidR="007B5309">
        <w:t>Marginal e</w:t>
      </w:r>
      <w:r>
        <w:t>xcess burden</w:t>
      </w:r>
      <w:r w:rsidR="004C5CFD">
        <w:t xml:space="preserve"> — </w:t>
      </w:r>
      <w:r>
        <w:t>Sensitivity to foreign ownership</w:t>
      </w:r>
      <w:r w:rsidR="003C2F9F">
        <w:t xml:space="preserve"> share</w:t>
      </w:r>
    </w:p>
    <w:p w14:paraId="29DD6AD8" w14:textId="772B9145" w:rsidR="000F1DD8" w:rsidRDefault="00866AD9" w:rsidP="00B066B3">
      <w:pPr>
        <w:pStyle w:val="Caption1"/>
      </w:pPr>
      <w:r>
        <w:pict w14:anchorId="34863177">
          <v:shape id="_x0000_i1082" type="#_x0000_t75" alt="This sensitivity chart compares the baseline marginal excess burden estimates of the major taxes to results obtained under the alternative assumption of higher and lower shares of foreign ownership of domestic assets." style="width:436.3pt;height:225.25pt">
            <v:imagedata r:id="rId119" o:title=""/>
          </v:shape>
        </w:pict>
      </w:r>
    </w:p>
    <w:p w14:paraId="3D5761FE" w14:textId="677DC3E8" w:rsidR="00F74E3C" w:rsidRDefault="00F74E3C" w:rsidP="0055740C">
      <w:pPr>
        <w:pStyle w:val="Source"/>
        <w:ind w:left="426"/>
      </w:pPr>
      <w:r>
        <w:rPr>
          <w:lang w:val="en-US"/>
        </w:rPr>
        <w:t xml:space="preserve">Source: </w:t>
      </w:r>
      <w:r w:rsidR="00E007CF">
        <w:t>Treasury estimates</w:t>
      </w:r>
      <w:r>
        <w:t>.</w:t>
      </w:r>
    </w:p>
    <w:p w14:paraId="29DD6AD9" w14:textId="6DC15986" w:rsidR="00776F3A" w:rsidRPr="00033028" w:rsidRDefault="00776F3A" w:rsidP="00E82F3E">
      <w:pPr>
        <w:pStyle w:val="Caption1"/>
      </w:pPr>
      <w:bookmarkStart w:id="55" w:name="_Ref401938084"/>
      <w:r w:rsidRPr="00033028">
        <w:t xml:space="preserve">Chart </w:t>
      </w:r>
      <w:r w:rsidR="00866AD9">
        <w:fldChar w:fldCharType="begin"/>
      </w:r>
      <w:r w:rsidR="00866AD9">
        <w:instrText xml:space="preserve"> SEQ Chart \* ARABIC </w:instrText>
      </w:r>
      <w:r w:rsidR="00866AD9">
        <w:fldChar w:fldCharType="separate"/>
      </w:r>
      <w:r w:rsidR="00AA2137" w:rsidRPr="00033028">
        <w:rPr>
          <w:noProof/>
        </w:rPr>
        <w:t>38</w:t>
      </w:r>
      <w:r w:rsidR="00866AD9">
        <w:rPr>
          <w:noProof/>
        </w:rPr>
        <w:fldChar w:fldCharType="end"/>
      </w:r>
      <w:bookmarkEnd w:id="55"/>
      <w:r w:rsidRPr="00033028">
        <w:t xml:space="preserve">: Relative </w:t>
      </w:r>
      <w:r w:rsidR="007B5309" w:rsidRPr="00033028">
        <w:t xml:space="preserve">marginal </w:t>
      </w:r>
      <w:r w:rsidRPr="00033028">
        <w:t>excess burden</w:t>
      </w:r>
      <w:r w:rsidR="004C5CFD" w:rsidRPr="00033028">
        <w:rPr>
          <w:sz w:val="16"/>
        </w:rPr>
        <w:t xml:space="preserve"> </w:t>
      </w:r>
      <w:r w:rsidR="004C5CFD" w:rsidRPr="00033028">
        <w:t>—</w:t>
      </w:r>
      <w:r w:rsidR="00033028" w:rsidRPr="00033028">
        <w:rPr>
          <w:sz w:val="16"/>
        </w:rPr>
        <w:t xml:space="preserve"> </w:t>
      </w:r>
      <w:r w:rsidRPr="00033028">
        <w:t>Sensitivity to foreign ownership share</w:t>
      </w:r>
    </w:p>
    <w:p w14:paraId="29DD6ADA" w14:textId="16A099F0" w:rsidR="00776F3A" w:rsidRDefault="00866AD9" w:rsidP="00B066B3">
      <w:pPr>
        <w:pStyle w:val="Caption1"/>
      </w:pPr>
      <w:r>
        <w:pict w14:anchorId="25A37769">
          <v:shape id="_x0000_i1083" type="#_x0000_t75" alt="This sensitivity chart compares the baseline relative marginal excess burden estimates of the major taxes to results obtained under the alternative assumption of higher and lower shares of foreign ownership of domestic assets." style="width:436.3pt;height:225.25pt">
            <v:imagedata r:id="rId120" o:title=""/>
          </v:shape>
        </w:pict>
      </w:r>
    </w:p>
    <w:p w14:paraId="5D4A93F1" w14:textId="29BF9BCC" w:rsidR="00F74E3C" w:rsidRDefault="00F74E3C" w:rsidP="0055740C">
      <w:pPr>
        <w:pStyle w:val="Source"/>
        <w:spacing w:after="0"/>
        <w:ind w:left="426"/>
      </w:pPr>
      <w:r>
        <w:rPr>
          <w:lang w:val="en-US"/>
        </w:rPr>
        <w:t xml:space="preserve">Source: </w:t>
      </w:r>
      <w:r w:rsidR="00E007CF">
        <w:t>Treasury estimates</w:t>
      </w:r>
      <w:r>
        <w:t>.</w:t>
      </w:r>
    </w:p>
    <w:p w14:paraId="745FBBE4" w14:textId="2BF5B85B" w:rsidR="00224587" w:rsidRDefault="00224587" w:rsidP="003921FE">
      <w:pPr>
        <w:pStyle w:val="Source"/>
        <w:spacing w:after="0"/>
        <w:ind w:left="426"/>
      </w:pPr>
      <w:r>
        <w:t xml:space="preserve">Note: Relative </w:t>
      </w:r>
      <w:r w:rsidR="007B5309">
        <w:t xml:space="preserve">marginal </w:t>
      </w:r>
      <w:r>
        <w:t>excess burdens are reported relative to the flat labour income tax.</w:t>
      </w:r>
    </w:p>
    <w:p w14:paraId="10A094FE" w14:textId="77777777" w:rsidR="0055740C" w:rsidRPr="0055740C" w:rsidRDefault="0055740C" w:rsidP="0055740C">
      <w:pPr>
        <w:pStyle w:val="SingleParagraph"/>
        <w:rPr>
          <w:lang w:eastAsia="en-AU"/>
        </w:rPr>
      </w:pPr>
    </w:p>
    <w:p w14:paraId="29DD6ADB" w14:textId="77777777" w:rsidR="000F1DD8" w:rsidRDefault="00A942B5" w:rsidP="00A942B5">
      <w:pPr>
        <w:pStyle w:val="Heading4"/>
      </w:pPr>
      <w:r>
        <w:t>Degree of international c</w:t>
      </w:r>
      <w:r w:rsidR="000F1DD8">
        <w:t>apital mobility</w:t>
      </w:r>
    </w:p>
    <w:p w14:paraId="29DD6ADD" w14:textId="6F411816" w:rsidR="000F1DD8" w:rsidRDefault="000F1DD8" w:rsidP="008E5EA6">
      <w:r w:rsidRPr="00906764">
        <w:t>The mobility of capital refers to how easily financial capital (debt and equity) flows into and out of a country. Greater capital mobility will shift more of the burden of taxation from capital to labour through larger changes in the domestic capital stock, and hence in domestic labour productivity and wages (Grubert and Mutti</w:t>
      </w:r>
      <w:r w:rsidR="00BA5F8D" w:rsidRPr="00906764">
        <w:t>,</w:t>
      </w:r>
      <w:r w:rsidRPr="00906764">
        <w:t xml:space="preserve"> 1985</w:t>
      </w:r>
      <w:r w:rsidR="00496794" w:rsidRPr="00906764">
        <w:t>;</w:t>
      </w:r>
      <w:r w:rsidRPr="00906764">
        <w:t xml:space="preserve"> </w:t>
      </w:r>
      <w:r w:rsidR="00BA5F8D" w:rsidRPr="00906764">
        <w:t xml:space="preserve">and </w:t>
      </w:r>
      <w:r w:rsidRPr="00906764">
        <w:t>Gravelle</w:t>
      </w:r>
      <w:r w:rsidR="00BA5F8D" w:rsidRPr="00906764">
        <w:t>,</w:t>
      </w:r>
      <w:r w:rsidRPr="00906764">
        <w:t xml:space="preserve"> 2010). </w:t>
      </w:r>
      <w:r w:rsidR="00354BCE" w:rsidRPr="00906764">
        <w:t>Under perfect capital mobility</w:t>
      </w:r>
      <w:r w:rsidRPr="00906764">
        <w:t xml:space="preserve">, </w:t>
      </w:r>
      <w:r w:rsidR="00C83BFA" w:rsidRPr="00906764">
        <w:t>an increase</w:t>
      </w:r>
      <w:r w:rsidRPr="00906764">
        <w:t xml:space="preserve"> in the company tax rate will result in </w:t>
      </w:r>
      <w:r w:rsidR="00C83BFA" w:rsidRPr="00906764">
        <w:t>an outflow</w:t>
      </w:r>
      <w:r w:rsidRPr="00906764">
        <w:t xml:space="preserve"> of foreign capital to ensure that there is no material difference between the after</w:t>
      </w:r>
      <w:r w:rsidR="00F03697">
        <w:noBreakHyphen/>
      </w:r>
      <w:r w:rsidRPr="00906764">
        <w:t>tax (risk adjusted) rate of return on investment in Australia</w:t>
      </w:r>
      <w:r w:rsidR="00A942B5" w:rsidRPr="00906764">
        <w:t xml:space="preserve"> and the </w:t>
      </w:r>
      <w:r w:rsidR="00354BCE" w:rsidRPr="00906764">
        <w:t>global rate of return</w:t>
      </w:r>
      <w:r w:rsidR="00A942B5" w:rsidRPr="00906764">
        <w:t>.</w:t>
      </w:r>
      <w:r w:rsidR="00354BCE" w:rsidRPr="00906764">
        <w:t xml:space="preserve"> </w:t>
      </w:r>
      <w:r w:rsidRPr="00906764">
        <w:t>If capital</w:t>
      </w:r>
      <w:r w:rsidR="006B4EA0" w:rsidRPr="00906764">
        <w:t xml:space="preserve"> is </w:t>
      </w:r>
      <w:r w:rsidR="006152DE" w:rsidRPr="00906764">
        <w:t>not perfectly</w:t>
      </w:r>
      <w:r w:rsidR="006B4EA0" w:rsidRPr="00906764">
        <w:t xml:space="preserve"> mobile</w:t>
      </w:r>
      <w:r w:rsidR="006152DE" w:rsidRPr="00906764">
        <w:t>,</w:t>
      </w:r>
      <w:r w:rsidR="006B4EA0" w:rsidRPr="00906764">
        <w:t xml:space="preserve"> </w:t>
      </w:r>
      <w:r w:rsidR="00106437" w:rsidRPr="00906764">
        <w:t>an increase</w:t>
      </w:r>
      <w:r w:rsidRPr="00906764">
        <w:t xml:space="preserve"> in the company tax rate will result in a smaller </w:t>
      </w:r>
      <w:r w:rsidR="00106437" w:rsidRPr="00906764">
        <w:t>out</w:t>
      </w:r>
      <w:r w:rsidRPr="00906764">
        <w:t>flow of foreign capital</w:t>
      </w:r>
      <w:r w:rsidR="00106437" w:rsidRPr="00906764">
        <w:t xml:space="preserve"> relative to the perfect capital mobility assumption.</w:t>
      </w:r>
    </w:p>
    <w:p w14:paraId="29DD6ADE" w14:textId="2B808AE5" w:rsidR="000F1DD8" w:rsidRDefault="00A46D40" w:rsidP="008E5EA6">
      <w:r>
        <w:lastRenderedPageBreak/>
        <w:t>T</w:t>
      </w:r>
      <w:r w:rsidR="000F1DD8">
        <w:t>he baseline calibration of the model assume</w:t>
      </w:r>
      <w:r>
        <w:t>s</w:t>
      </w:r>
      <w:r w:rsidR="000F1DD8">
        <w:t xml:space="preserve"> perfect</w:t>
      </w:r>
      <w:r>
        <w:t xml:space="preserve"> capital mobility</w:t>
      </w:r>
      <w:r w:rsidR="000F1DD8">
        <w:t xml:space="preserve">. </w:t>
      </w:r>
      <w:r w:rsidR="00BA5F8D">
        <w:t xml:space="preserve">We test the sensitivity of the </w:t>
      </w:r>
      <w:r w:rsidR="00C238F8">
        <w:t>results</w:t>
      </w:r>
      <w:r w:rsidR="00BA5F8D">
        <w:t xml:space="preserve"> to this assumption by imposing lower international capital mobility</w:t>
      </w:r>
      <w:r w:rsidR="000F1DD8">
        <w:t xml:space="preserve">. Imperfect capital mobility has been implemented in the model by placing a </w:t>
      </w:r>
      <w:r w:rsidR="00D72334">
        <w:t xml:space="preserve">variable </w:t>
      </w:r>
      <w:r w:rsidR="000F1DD8">
        <w:t>premium on the domestic returns to capital required to attract foreign investment. This premium is a positive function of foreign investment</w:t>
      </w:r>
      <w:r w:rsidR="00354BCE">
        <w:t>:</w:t>
      </w:r>
      <w:r w:rsidR="000F1DD8">
        <w:t xml:space="preserve"> as the stock of foreign investm</w:t>
      </w:r>
      <w:r w:rsidR="006B4EA0">
        <w:t xml:space="preserve">ent grows, the premium drives an increasing </w:t>
      </w:r>
      <w:r w:rsidR="000F1DD8">
        <w:t>wedge between the domestic after</w:t>
      </w:r>
      <w:r w:rsidR="00F03697">
        <w:noBreakHyphen/>
      </w:r>
      <w:r w:rsidR="000F1DD8">
        <w:t xml:space="preserve">tax rate of return and the required rate of return, </w:t>
      </w:r>
      <w:r w:rsidR="00354BCE">
        <w:t>which moderates</w:t>
      </w:r>
      <w:r w:rsidR="000F1DD8">
        <w:t xml:space="preserve"> capital flows associated with changes in the company income tax rate. Th</w:t>
      </w:r>
      <w:r w:rsidR="006B4EA0">
        <w:t xml:space="preserve">e </w:t>
      </w:r>
      <w:r w:rsidR="00354BCE">
        <w:t xml:space="preserve">change in risk </w:t>
      </w:r>
      <w:r w:rsidR="006B4EA0">
        <w:t xml:space="preserve">premium is determined via a premium </w:t>
      </w:r>
      <w:r w:rsidR="000F1DD8">
        <w:t xml:space="preserve">elasticity </w:t>
      </w:r>
      <w:r w:rsidR="006B4EA0">
        <w:t>which raises</w:t>
      </w:r>
      <w:r w:rsidR="000F1DD8">
        <w:t xml:space="preserve"> the required rate of return with respect to </w:t>
      </w:r>
      <w:r w:rsidR="006B4EA0">
        <w:t xml:space="preserve">a change in </w:t>
      </w:r>
      <w:r w:rsidR="000F1DD8">
        <w:t>the foreign value of</w:t>
      </w:r>
      <w:r w:rsidR="006B4EA0">
        <w:t xml:space="preserve"> foreign owned capital. </w:t>
      </w:r>
      <w:r w:rsidR="005F5717">
        <w:t>Following KPMG (2010), w</w:t>
      </w:r>
      <w:r w:rsidR="006B4EA0">
        <w:t>e assume</w:t>
      </w:r>
      <w:r w:rsidR="005F5717">
        <w:t xml:space="preserve"> </w:t>
      </w:r>
      <w:r w:rsidR="00027C6C">
        <w:t xml:space="preserve">that a 50 basis points increase in the rate of return is required </w:t>
      </w:r>
      <w:r w:rsidR="005F5717">
        <w:t xml:space="preserve">to double the </w:t>
      </w:r>
      <w:r w:rsidR="00027C6C">
        <w:t xml:space="preserve">share of </w:t>
      </w:r>
      <w:r w:rsidR="005F5717">
        <w:t xml:space="preserve">foreign </w:t>
      </w:r>
      <w:r w:rsidR="00027C6C">
        <w:t>ownership of</w:t>
      </w:r>
      <w:r w:rsidR="005F5717">
        <w:t xml:space="preserve"> total assets.</w:t>
      </w:r>
      <w:r w:rsidR="006B4EA0">
        <w:t xml:space="preserve"> </w:t>
      </w:r>
    </w:p>
    <w:p w14:paraId="29DD6ADF" w14:textId="2B9C8FCB" w:rsidR="000F1DD8" w:rsidRDefault="00B843C6" w:rsidP="008E5EA6">
      <w:r w:rsidRPr="00F2221C">
        <w:t xml:space="preserve">Chart </w:t>
      </w:r>
      <w:r>
        <w:rPr>
          <w:noProof/>
        </w:rPr>
        <w:t>39</w:t>
      </w:r>
      <w:r w:rsidR="005F192E">
        <w:t xml:space="preserve"> </w:t>
      </w:r>
      <w:r w:rsidR="006152DE">
        <w:t xml:space="preserve">and </w:t>
      </w:r>
      <w:r>
        <w:t xml:space="preserve">Chart </w:t>
      </w:r>
      <w:r>
        <w:rPr>
          <w:noProof/>
        </w:rPr>
        <w:t>40</w:t>
      </w:r>
      <w:r w:rsidR="006152DE">
        <w:t xml:space="preserve"> </w:t>
      </w:r>
      <w:r w:rsidR="005F192E">
        <w:t>show that l</w:t>
      </w:r>
      <w:r w:rsidR="000F1DD8">
        <w:t xml:space="preserve">imited mobility of capital results in </w:t>
      </w:r>
      <w:r w:rsidR="005F192E">
        <w:t xml:space="preserve">a </w:t>
      </w:r>
      <w:r w:rsidR="000F1DD8">
        <w:t xml:space="preserve">smaller welfare </w:t>
      </w:r>
      <w:r w:rsidR="005F192E">
        <w:t>loss</w:t>
      </w:r>
      <w:r w:rsidR="000F1DD8">
        <w:t xml:space="preserve"> from a company income tax </w:t>
      </w:r>
      <w:r w:rsidR="005F192E">
        <w:t>rate increase</w:t>
      </w:r>
      <w:r w:rsidR="000F1DD8">
        <w:t xml:space="preserve"> </w:t>
      </w:r>
      <w:r w:rsidR="005F192E">
        <w:t>because it implies</w:t>
      </w:r>
      <w:r w:rsidR="000F1DD8">
        <w:t xml:space="preserve"> </w:t>
      </w:r>
      <w:r w:rsidR="005F192E">
        <w:t xml:space="preserve">a </w:t>
      </w:r>
      <w:r w:rsidR="000F1DD8">
        <w:t xml:space="preserve">smaller </w:t>
      </w:r>
      <w:r w:rsidR="005F192E">
        <w:t>capital out</w:t>
      </w:r>
      <w:r w:rsidR="000F1DD8">
        <w:t xml:space="preserve">flow and </w:t>
      </w:r>
      <w:r w:rsidR="005F192E">
        <w:t>reduction in the capital stock</w:t>
      </w:r>
      <w:r w:rsidR="00A64A51">
        <w:t xml:space="preserve"> following </w:t>
      </w:r>
      <w:r w:rsidR="006152DE">
        <w:t xml:space="preserve">a </w:t>
      </w:r>
      <w:r w:rsidR="00A64A51">
        <w:t>tax increase</w:t>
      </w:r>
      <w:r w:rsidR="005F192E">
        <w:t>.</w:t>
      </w:r>
    </w:p>
    <w:p w14:paraId="29DD6AE0" w14:textId="1552605F" w:rsidR="000F1DD8" w:rsidRDefault="000F1DD8" w:rsidP="00E82F3E">
      <w:pPr>
        <w:pStyle w:val="Caption1"/>
      </w:pPr>
      <w:bookmarkStart w:id="56" w:name="_Ref400373016"/>
      <w:r w:rsidRPr="00F2221C">
        <w:t xml:space="preserve">Chart </w:t>
      </w:r>
      <w:r w:rsidR="00866AD9">
        <w:fldChar w:fldCharType="begin"/>
      </w:r>
      <w:r w:rsidR="00866AD9">
        <w:instrText xml:space="preserve"> SEQ Chart \* ARABIC </w:instrText>
      </w:r>
      <w:r w:rsidR="00866AD9">
        <w:fldChar w:fldCharType="separate"/>
      </w:r>
      <w:r w:rsidR="00AA2137">
        <w:rPr>
          <w:noProof/>
        </w:rPr>
        <w:t>39</w:t>
      </w:r>
      <w:r w:rsidR="00866AD9">
        <w:rPr>
          <w:noProof/>
        </w:rPr>
        <w:fldChar w:fldCharType="end"/>
      </w:r>
      <w:bookmarkEnd w:id="56"/>
      <w:r w:rsidRPr="00F2221C">
        <w:t xml:space="preserve">: </w:t>
      </w:r>
      <w:r w:rsidR="007B5309">
        <w:t>Marginal e</w:t>
      </w:r>
      <w:r w:rsidRPr="00F2221C">
        <w:t>xcess burden</w:t>
      </w:r>
      <w:r w:rsidR="004C5CFD">
        <w:t xml:space="preserve"> — </w:t>
      </w:r>
      <w:r w:rsidRPr="00F2221C">
        <w:t>Sensitivity to mobility of capital</w:t>
      </w:r>
    </w:p>
    <w:p w14:paraId="29DD6AE1" w14:textId="70B85461" w:rsidR="000F1DD8" w:rsidRDefault="00866AD9" w:rsidP="00B066B3">
      <w:pPr>
        <w:pStyle w:val="Caption1"/>
      </w:pPr>
      <w:r>
        <w:pict w14:anchorId="6C67F28F">
          <v:shape id="_x0000_i1084" type="#_x0000_t75" alt="This sensitivity chart compares the baseline marginal excess burden estimates of the major taxes to results obtained under the alternative assumption of imperfect capital mobility." style="width:436.3pt;height:225.25pt">
            <v:imagedata r:id="rId121" o:title=""/>
          </v:shape>
        </w:pict>
      </w:r>
    </w:p>
    <w:p w14:paraId="3496ADF0" w14:textId="4DEF6B7E" w:rsidR="00F74E3C" w:rsidRDefault="00F74E3C" w:rsidP="0055740C">
      <w:pPr>
        <w:pStyle w:val="Source"/>
        <w:ind w:left="426"/>
      </w:pPr>
      <w:r>
        <w:rPr>
          <w:lang w:val="en-US"/>
        </w:rPr>
        <w:t xml:space="preserve">Source: </w:t>
      </w:r>
      <w:r w:rsidR="00E007CF">
        <w:t>Treasury estimates</w:t>
      </w:r>
      <w:r>
        <w:t>.</w:t>
      </w:r>
    </w:p>
    <w:p w14:paraId="29DD6AE2" w14:textId="1447CBA5" w:rsidR="00776F3A" w:rsidRDefault="00776F3A" w:rsidP="00E82F3E">
      <w:pPr>
        <w:pStyle w:val="Caption1"/>
      </w:pPr>
      <w:bookmarkStart w:id="57" w:name="_Ref401938109"/>
      <w:r>
        <w:lastRenderedPageBreak/>
        <w:t xml:space="preserve">Chart </w:t>
      </w:r>
      <w:r w:rsidR="00866AD9">
        <w:fldChar w:fldCharType="begin"/>
      </w:r>
      <w:r w:rsidR="00866AD9">
        <w:instrText xml:space="preserve"> SEQ Chart \* ARABIC </w:instrText>
      </w:r>
      <w:r w:rsidR="00866AD9">
        <w:fldChar w:fldCharType="separate"/>
      </w:r>
      <w:r w:rsidR="00AA2137">
        <w:rPr>
          <w:noProof/>
        </w:rPr>
        <w:t>40</w:t>
      </w:r>
      <w:r w:rsidR="00866AD9">
        <w:rPr>
          <w:noProof/>
        </w:rPr>
        <w:fldChar w:fldCharType="end"/>
      </w:r>
      <w:bookmarkEnd w:id="57"/>
      <w:r>
        <w:t>:</w:t>
      </w:r>
      <w:r w:rsidR="00F85F98">
        <w:t xml:space="preserve"> </w:t>
      </w:r>
      <w:r>
        <w:t xml:space="preserve">Relative </w:t>
      </w:r>
      <w:r w:rsidR="007B5309">
        <w:t xml:space="preserve">marginal </w:t>
      </w:r>
      <w:r>
        <w:t>excess burden</w:t>
      </w:r>
      <w:r w:rsidR="004C5CFD">
        <w:t xml:space="preserve"> — </w:t>
      </w:r>
      <w:r>
        <w:t>Sensitivity to mobility of capital</w:t>
      </w:r>
    </w:p>
    <w:p w14:paraId="29DD6AE3" w14:textId="7142419D" w:rsidR="00776F3A" w:rsidRDefault="00866AD9" w:rsidP="00B066B3">
      <w:pPr>
        <w:pStyle w:val="Caption1"/>
      </w:pPr>
      <w:r>
        <w:pict w14:anchorId="53034AB8">
          <v:shape id="_x0000_i1085" type="#_x0000_t75" alt="This sensitivity chart compares the baseline relative marginal excess burden estimates of the major taxes to results obtained under the alternative assumption of imperfect capital mobility." style="width:436.3pt;height:225.25pt">
            <v:imagedata r:id="rId122" o:title=""/>
          </v:shape>
        </w:pict>
      </w:r>
    </w:p>
    <w:p w14:paraId="02781134" w14:textId="7319AE32" w:rsidR="00F74E3C" w:rsidRDefault="00F74E3C" w:rsidP="0055740C">
      <w:pPr>
        <w:pStyle w:val="Source"/>
        <w:spacing w:after="0"/>
        <w:ind w:left="426"/>
      </w:pPr>
      <w:r>
        <w:rPr>
          <w:lang w:val="en-US"/>
        </w:rPr>
        <w:t xml:space="preserve">Source: </w:t>
      </w:r>
      <w:r w:rsidR="00E007CF">
        <w:t>Treasury estimates</w:t>
      </w:r>
      <w:r>
        <w:t>.</w:t>
      </w:r>
    </w:p>
    <w:p w14:paraId="3F6422D4" w14:textId="215C3616" w:rsidR="00224587" w:rsidRDefault="00224587" w:rsidP="007D4848">
      <w:pPr>
        <w:pStyle w:val="Source"/>
        <w:spacing w:after="0"/>
        <w:ind w:left="426"/>
      </w:pPr>
      <w:r>
        <w:t xml:space="preserve">Note: Relative </w:t>
      </w:r>
      <w:r w:rsidR="007B5309">
        <w:t xml:space="preserve">marginal </w:t>
      </w:r>
      <w:r>
        <w:t>excess burdens are reported relative to the flat labour income tax.</w:t>
      </w:r>
    </w:p>
    <w:p w14:paraId="2C4C14B8" w14:textId="77777777" w:rsidR="0055740C" w:rsidRPr="0055740C" w:rsidRDefault="0055740C" w:rsidP="0055740C">
      <w:pPr>
        <w:pStyle w:val="SingleParagraph"/>
        <w:rPr>
          <w:lang w:eastAsia="en-AU"/>
        </w:rPr>
      </w:pPr>
    </w:p>
    <w:p w14:paraId="29DD6AE4" w14:textId="77777777" w:rsidR="000F1DD8" w:rsidRPr="008E5EA6" w:rsidRDefault="00106437" w:rsidP="00A942B5">
      <w:pPr>
        <w:pStyle w:val="Heading4"/>
      </w:pPr>
      <w:r>
        <w:t xml:space="preserve">Propensity to shift </w:t>
      </w:r>
      <w:r w:rsidR="00A942B5">
        <w:t>profit overseas</w:t>
      </w:r>
    </w:p>
    <w:p w14:paraId="29DD6AE5" w14:textId="7F35DF84" w:rsidR="000F1DD8" w:rsidRDefault="000F1DD8" w:rsidP="008E5EA6">
      <w:r>
        <w:t>The model takes into account that companies may seek to reduce their business tax liability by shifting profits from Australia to countries with lower rates of business tax. De Mooij and Devereux (2011) model this profit</w:t>
      </w:r>
      <w:r w:rsidR="00F03697">
        <w:noBreakHyphen/>
      </w:r>
      <w:r>
        <w:t>shifting in two forms</w:t>
      </w:r>
      <w:r w:rsidR="00A64A51">
        <w:t>:</w:t>
      </w:r>
      <w:r>
        <w:t xml:space="preserve"> transfer pricing</w:t>
      </w:r>
      <w:r w:rsidR="00A64A51">
        <w:t xml:space="preserve">; and tax havens. They </w:t>
      </w:r>
      <w:r>
        <w:t>find that tax havens are more important.</w:t>
      </w:r>
    </w:p>
    <w:p w14:paraId="29DD6AE6" w14:textId="091195EF" w:rsidR="000F1DD8" w:rsidRPr="00906764" w:rsidRDefault="00A64A51" w:rsidP="008E5EA6">
      <w:r w:rsidRPr="00906764">
        <w:t>Following De Mooij and Devereux (2011)</w:t>
      </w:r>
      <w:r w:rsidR="00580E50" w:rsidRPr="00906764">
        <w:t>,</w:t>
      </w:r>
      <w:r w:rsidRPr="00906764">
        <w:t xml:space="preserve"> we</w:t>
      </w:r>
      <w:r w:rsidR="000F1DD8" w:rsidRPr="00906764">
        <w:t xml:space="preserve"> </w:t>
      </w:r>
      <w:r w:rsidR="00580E50" w:rsidRPr="00906764">
        <w:t>assume</w:t>
      </w:r>
      <w:r w:rsidR="000F1DD8" w:rsidRPr="00906764">
        <w:t xml:space="preserve"> </w:t>
      </w:r>
      <w:r w:rsidRPr="00906764">
        <w:t>the</w:t>
      </w:r>
      <w:r w:rsidR="000F1DD8" w:rsidRPr="00906764">
        <w:t xml:space="preserve"> representative firm in each industry</w:t>
      </w:r>
      <w:r w:rsidR="00BF3404" w:rsidRPr="00906764">
        <w:t xml:space="preserve"> </w:t>
      </w:r>
      <w:r w:rsidR="000F1DD8" w:rsidRPr="00906764">
        <w:t>maximise</w:t>
      </w:r>
      <w:r w:rsidR="00580E50" w:rsidRPr="00906764">
        <w:t>s</w:t>
      </w:r>
      <w:r w:rsidR="000F1DD8" w:rsidRPr="00906764">
        <w:t xml:space="preserve"> its after</w:t>
      </w:r>
      <w:r w:rsidR="00F03697">
        <w:noBreakHyphen/>
      </w:r>
      <w:r w:rsidR="000F1DD8" w:rsidRPr="00906764">
        <w:t xml:space="preserve">tax profit by choosing the proportion of its tax base to shift to a tax haven. </w:t>
      </w:r>
      <w:r w:rsidR="00580E50" w:rsidRPr="00906764">
        <w:t>This</w:t>
      </w:r>
      <w:r w:rsidR="00D87874" w:rsidRPr="00906764">
        <w:t xml:space="preserve"> take</w:t>
      </w:r>
      <w:r w:rsidR="00580E50" w:rsidRPr="00906764">
        <w:t>s</w:t>
      </w:r>
      <w:r w:rsidR="000F1DD8" w:rsidRPr="00906764">
        <w:t xml:space="preserve"> into account </w:t>
      </w:r>
      <w:r w:rsidR="00D87874" w:rsidRPr="00906764">
        <w:t>the costs and benefits of</w:t>
      </w:r>
      <w:r w:rsidR="000F1DD8" w:rsidRPr="00906764">
        <w:t xml:space="preserve"> profit</w:t>
      </w:r>
      <w:r w:rsidR="00F03697">
        <w:noBreakHyphen/>
      </w:r>
      <w:r w:rsidRPr="00906764">
        <w:t xml:space="preserve">shifting. </w:t>
      </w:r>
      <w:r w:rsidR="000F1DD8" w:rsidRPr="00906764">
        <w:t xml:space="preserve">De Mooij and Devereux </w:t>
      </w:r>
      <w:r w:rsidRPr="00906764">
        <w:t xml:space="preserve">also </w:t>
      </w:r>
      <w:r w:rsidR="000F1DD8" w:rsidRPr="00906764">
        <w:t>estimate the extent to which the tax base is eroded when differential tax rates in the home country and the tax haven create an incentive for profit</w:t>
      </w:r>
      <w:r w:rsidR="00F03697">
        <w:noBreakHyphen/>
      </w:r>
      <w:r w:rsidR="000F1DD8" w:rsidRPr="00906764">
        <w:t xml:space="preserve">shifting. They </w:t>
      </w:r>
      <w:r w:rsidR="00CB68AA" w:rsidRPr="00906764">
        <w:t xml:space="preserve">estimate </w:t>
      </w:r>
      <w:r w:rsidR="00027C6C" w:rsidRPr="00906764">
        <w:t>the</w:t>
      </w:r>
      <w:r w:rsidR="00CB68AA" w:rsidRPr="00906764">
        <w:t xml:space="preserve"> </w:t>
      </w:r>
      <w:r w:rsidRPr="00906764">
        <w:t>base</w:t>
      </w:r>
      <w:r w:rsidR="00F03697">
        <w:noBreakHyphen/>
      </w:r>
      <w:r w:rsidRPr="00906764">
        <w:t xml:space="preserve">erosion </w:t>
      </w:r>
      <w:r w:rsidR="000F1DD8" w:rsidRPr="00906764">
        <w:t xml:space="preserve">elasticity with respect to the tax rate </w:t>
      </w:r>
      <w:r w:rsidR="00027C6C" w:rsidRPr="00906764">
        <w:t>to be</w:t>
      </w:r>
      <w:r w:rsidR="000F1DD8" w:rsidRPr="00906764">
        <w:t xml:space="preserve"> </w:t>
      </w:r>
      <w:r w:rsidR="00F03697">
        <w:noBreakHyphen/>
      </w:r>
      <w:r w:rsidR="000F1DD8" w:rsidRPr="00906764">
        <w:t>0.5.</w:t>
      </w:r>
    </w:p>
    <w:p w14:paraId="29DD6AE7" w14:textId="456E525D" w:rsidR="000F1DD8" w:rsidRDefault="000F1DD8" w:rsidP="008E5EA6">
      <w:r w:rsidRPr="00906764">
        <w:t xml:space="preserve">In the baseline we calibrate the profit shifting elasticity to </w:t>
      </w:r>
      <w:r w:rsidR="00F03697">
        <w:noBreakHyphen/>
      </w:r>
      <w:r w:rsidRPr="00906764">
        <w:t xml:space="preserve">0.5. </w:t>
      </w:r>
      <w:r w:rsidR="009556CA" w:rsidRPr="00906764">
        <w:t>W</w:t>
      </w:r>
      <w:r w:rsidRPr="00906764">
        <w:t xml:space="preserve">e test the </w:t>
      </w:r>
      <w:r w:rsidR="009556CA" w:rsidRPr="00906764">
        <w:t>sensitivity of the results</w:t>
      </w:r>
      <w:r w:rsidRPr="00906764">
        <w:t xml:space="preserve"> </w:t>
      </w:r>
      <w:r w:rsidR="006152DE" w:rsidRPr="00906764">
        <w:t xml:space="preserve">by </w:t>
      </w:r>
      <w:r w:rsidR="00027C6C" w:rsidRPr="00906764">
        <w:t>assuming no profit</w:t>
      </w:r>
      <w:r w:rsidR="00F03697">
        <w:noBreakHyphen/>
      </w:r>
      <w:r w:rsidR="00027C6C" w:rsidRPr="00906764">
        <w:t>shifting, by setting the base</w:t>
      </w:r>
      <w:r w:rsidR="00F03697">
        <w:noBreakHyphen/>
      </w:r>
      <w:r w:rsidR="00027C6C" w:rsidRPr="00906764">
        <w:t xml:space="preserve">erosion elasticity to 0, and </w:t>
      </w:r>
      <w:r w:rsidR="009556CA" w:rsidRPr="00906764">
        <w:t>doubling the base</w:t>
      </w:r>
      <w:r w:rsidR="00F03697">
        <w:noBreakHyphen/>
      </w:r>
      <w:r w:rsidR="009556CA" w:rsidRPr="00906764">
        <w:t xml:space="preserve">erosion elasticity to </w:t>
      </w:r>
      <w:r w:rsidR="00F03697">
        <w:noBreakHyphen/>
      </w:r>
      <w:r w:rsidRPr="00906764">
        <w:t>1.0</w:t>
      </w:r>
      <w:r w:rsidR="00A64A51" w:rsidRPr="00906764">
        <w:t xml:space="preserve">. In line with expectations, </w:t>
      </w:r>
      <w:r w:rsidR="00B843C6" w:rsidRPr="00906764">
        <w:t xml:space="preserve">Chart </w:t>
      </w:r>
      <w:r w:rsidR="00B843C6" w:rsidRPr="00906764">
        <w:rPr>
          <w:noProof/>
        </w:rPr>
        <w:t>41</w:t>
      </w:r>
      <w:r w:rsidR="00A64A51" w:rsidRPr="00906764">
        <w:t xml:space="preserve"> </w:t>
      </w:r>
      <w:r w:rsidR="006152DE" w:rsidRPr="00906764">
        <w:t xml:space="preserve">and </w:t>
      </w:r>
      <w:r w:rsidR="00B843C6" w:rsidRPr="00906764">
        <w:t xml:space="preserve">Chart </w:t>
      </w:r>
      <w:r w:rsidR="00B843C6" w:rsidRPr="00906764">
        <w:rPr>
          <w:noProof/>
        </w:rPr>
        <w:t>42</w:t>
      </w:r>
      <w:r w:rsidR="006152DE" w:rsidRPr="00906764">
        <w:t xml:space="preserve"> </w:t>
      </w:r>
      <w:r w:rsidR="00A64A51" w:rsidRPr="00906764">
        <w:t xml:space="preserve">show that </w:t>
      </w:r>
      <w:r w:rsidRPr="00906764">
        <w:t>increasing the profit</w:t>
      </w:r>
      <w:r w:rsidR="00F03697">
        <w:noBreakHyphen/>
      </w:r>
      <w:r w:rsidRPr="00906764">
        <w:t>shifting elasticity</w:t>
      </w:r>
      <w:r w:rsidR="00A64A51" w:rsidRPr="00906764">
        <w:t xml:space="preserve"> raises the </w:t>
      </w:r>
      <w:r w:rsidR="007B5309" w:rsidRPr="00906764">
        <w:t xml:space="preserve">marginal </w:t>
      </w:r>
      <w:r w:rsidR="00A64A51" w:rsidRPr="00906764">
        <w:t>excess burden of the corporate income tax</w:t>
      </w:r>
      <w:r w:rsidR="002616ED" w:rsidRPr="00906764">
        <w:t>, which reflects higher required company tax rates under profit</w:t>
      </w:r>
      <w:r w:rsidR="00F03697">
        <w:noBreakHyphen/>
      </w:r>
      <w:r w:rsidR="002616ED" w:rsidRPr="00906764">
        <w:t>shifting.</w:t>
      </w:r>
    </w:p>
    <w:p w14:paraId="29DD6AE8" w14:textId="1228EF70" w:rsidR="000F1DD8" w:rsidRDefault="000F1DD8" w:rsidP="00E82F3E">
      <w:pPr>
        <w:pStyle w:val="Caption1"/>
      </w:pPr>
      <w:bookmarkStart w:id="58" w:name="_Ref400373536"/>
      <w:r>
        <w:lastRenderedPageBreak/>
        <w:t xml:space="preserve">Chart </w:t>
      </w:r>
      <w:r w:rsidR="00866AD9">
        <w:fldChar w:fldCharType="begin"/>
      </w:r>
      <w:r w:rsidR="00866AD9">
        <w:instrText xml:space="preserve"> SEQ Chart \* ARABIC </w:instrText>
      </w:r>
      <w:r w:rsidR="00866AD9">
        <w:fldChar w:fldCharType="separate"/>
      </w:r>
      <w:r w:rsidR="00AA2137">
        <w:rPr>
          <w:noProof/>
        </w:rPr>
        <w:t>41</w:t>
      </w:r>
      <w:r w:rsidR="00866AD9">
        <w:rPr>
          <w:noProof/>
        </w:rPr>
        <w:fldChar w:fldCharType="end"/>
      </w:r>
      <w:bookmarkEnd w:id="58"/>
      <w:r>
        <w:t xml:space="preserve">: </w:t>
      </w:r>
      <w:r w:rsidR="007B5309">
        <w:t>Marginal e</w:t>
      </w:r>
      <w:r>
        <w:t>xcess burden</w:t>
      </w:r>
      <w:r w:rsidR="004C5CFD">
        <w:t xml:space="preserve"> — </w:t>
      </w:r>
      <w:r>
        <w:t>Sensitivity to profit</w:t>
      </w:r>
      <w:r w:rsidR="00F03697">
        <w:noBreakHyphen/>
      </w:r>
      <w:r>
        <w:t>shifting elasticity</w:t>
      </w:r>
    </w:p>
    <w:p w14:paraId="29DD6AE9" w14:textId="4E3F1359" w:rsidR="000F1DD8" w:rsidRDefault="00866AD9" w:rsidP="00B066B3">
      <w:pPr>
        <w:pStyle w:val="Caption1"/>
      </w:pPr>
      <w:r>
        <w:pict w14:anchorId="0A1FB8C5">
          <v:shape id="_x0000_i1086" type="#_x0000_t75" alt="This sensitivity chart compares the baseline marginal excess burden estimates of the major taxes to results obtained under the alternative assumption of firms having a higher and lower propensity to shift profits overseas." style="width:436.3pt;height:225.25pt">
            <v:imagedata r:id="rId123" o:title=""/>
          </v:shape>
        </w:pict>
      </w:r>
    </w:p>
    <w:p w14:paraId="109F3A32" w14:textId="223F5324" w:rsidR="00F74E3C" w:rsidRDefault="00F74E3C" w:rsidP="0055740C">
      <w:pPr>
        <w:pStyle w:val="Source"/>
        <w:ind w:left="426"/>
      </w:pPr>
      <w:r>
        <w:rPr>
          <w:lang w:val="en-US"/>
        </w:rPr>
        <w:t xml:space="preserve">Source: </w:t>
      </w:r>
      <w:r w:rsidR="00E007CF">
        <w:t>Treasury estimates</w:t>
      </w:r>
      <w:r>
        <w:t>.</w:t>
      </w:r>
    </w:p>
    <w:p w14:paraId="29DD6AEA" w14:textId="21E74300" w:rsidR="00776F3A" w:rsidRDefault="00776F3A" w:rsidP="00E82F3E">
      <w:pPr>
        <w:pStyle w:val="Caption1"/>
      </w:pPr>
      <w:bookmarkStart w:id="59" w:name="_Ref401938141"/>
      <w:r>
        <w:t xml:space="preserve">Chart </w:t>
      </w:r>
      <w:r w:rsidR="00866AD9">
        <w:fldChar w:fldCharType="begin"/>
      </w:r>
      <w:r w:rsidR="00866AD9">
        <w:instrText xml:space="preserve"> SEQ Chart \* ARABIC </w:instrText>
      </w:r>
      <w:r w:rsidR="00866AD9">
        <w:fldChar w:fldCharType="separate"/>
      </w:r>
      <w:r w:rsidR="00AA2137">
        <w:rPr>
          <w:noProof/>
        </w:rPr>
        <w:t>42</w:t>
      </w:r>
      <w:r w:rsidR="00866AD9">
        <w:rPr>
          <w:noProof/>
        </w:rPr>
        <w:fldChar w:fldCharType="end"/>
      </w:r>
      <w:bookmarkEnd w:id="59"/>
      <w:r>
        <w:t xml:space="preserve">: Relative </w:t>
      </w:r>
      <w:r w:rsidR="007B5309">
        <w:t xml:space="preserve">marginal </w:t>
      </w:r>
      <w:r>
        <w:t>excess burden</w:t>
      </w:r>
      <w:r w:rsidR="004C5CFD">
        <w:t xml:space="preserve"> — </w:t>
      </w:r>
      <w:r>
        <w:t>Sensitivity to profit</w:t>
      </w:r>
      <w:r w:rsidR="00F03697">
        <w:noBreakHyphen/>
      </w:r>
      <w:r>
        <w:t>shifting elasticity</w:t>
      </w:r>
    </w:p>
    <w:p w14:paraId="29DD6AEB" w14:textId="1C5AD5DA" w:rsidR="00776F3A" w:rsidRDefault="00866AD9" w:rsidP="00B066B3">
      <w:pPr>
        <w:pStyle w:val="Caption1"/>
      </w:pPr>
      <w:r>
        <w:pict w14:anchorId="0EE86E6C">
          <v:shape id="_x0000_i1087" type="#_x0000_t75" alt="This sensitivity chart compares the baseline relative marginal excess burden estimates of the major taxes to results obtained under the alternative assumption of firms having a higher and lower propensity to shift profits overseas." style="width:436.3pt;height:225.25pt">
            <v:imagedata r:id="rId124" o:title=""/>
          </v:shape>
        </w:pict>
      </w:r>
    </w:p>
    <w:p w14:paraId="501C4D52" w14:textId="32550FF9" w:rsidR="00F74E3C" w:rsidRDefault="00F74E3C" w:rsidP="0055740C">
      <w:pPr>
        <w:pStyle w:val="Source"/>
        <w:spacing w:after="0"/>
        <w:ind w:left="426"/>
      </w:pPr>
      <w:r>
        <w:rPr>
          <w:lang w:val="en-US"/>
        </w:rPr>
        <w:t xml:space="preserve">Source: </w:t>
      </w:r>
      <w:r w:rsidR="00E007CF">
        <w:t>Treasury estimates</w:t>
      </w:r>
      <w:r>
        <w:t>.</w:t>
      </w:r>
    </w:p>
    <w:p w14:paraId="7CA894D8" w14:textId="146025A8" w:rsidR="00224587" w:rsidRDefault="00224587" w:rsidP="007D4848">
      <w:pPr>
        <w:pStyle w:val="Source"/>
        <w:spacing w:after="0"/>
        <w:ind w:left="426"/>
      </w:pPr>
      <w:r>
        <w:t xml:space="preserve">Note: Relative </w:t>
      </w:r>
      <w:r w:rsidR="007B5309">
        <w:t xml:space="preserve">marginal </w:t>
      </w:r>
      <w:r>
        <w:t>excess burdens are reported relative to the flat labour income tax.</w:t>
      </w:r>
    </w:p>
    <w:p w14:paraId="44000634" w14:textId="77777777" w:rsidR="0055740C" w:rsidRPr="0055740C" w:rsidRDefault="0055740C" w:rsidP="0055740C">
      <w:pPr>
        <w:pStyle w:val="SingleParagraph"/>
        <w:rPr>
          <w:lang w:eastAsia="en-AU"/>
        </w:rPr>
      </w:pPr>
    </w:p>
    <w:p w14:paraId="29DD6AEC" w14:textId="77777777" w:rsidR="000F1DD8" w:rsidRDefault="00A942B5" w:rsidP="00A942B5">
      <w:pPr>
        <w:pStyle w:val="Heading4"/>
      </w:pPr>
      <w:r>
        <w:t>Substitutability of structures and land</w:t>
      </w:r>
    </w:p>
    <w:p w14:paraId="29DD6AED" w14:textId="398CB2CC" w:rsidR="000F1DD8" w:rsidRDefault="00AC3B78" w:rsidP="00692E74">
      <w:r>
        <w:t xml:space="preserve">Our modelling assumes goods and services are produced via </w:t>
      </w:r>
      <w:r w:rsidR="000F1DD8">
        <w:t xml:space="preserve">nested constant elasticity of substitution (CES) </w:t>
      </w:r>
      <w:r>
        <w:t xml:space="preserve">production </w:t>
      </w:r>
      <w:r w:rsidR="000F1DD8">
        <w:t>function</w:t>
      </w:r>
      <w:r>
        <w:t>s.</w:t>
      </w:r>
    </w:p>
    <w:p w14:paraId="29DD6AEE" w14:textId="28843989" w:rsidR="000F1DD8" w:rsidRDefault="00AC3B78" w:rsidP="00692E74">
      <w:r>
        <w:t>In particular, t</w:t>
      </w:r>
      <w:r w:rsidR="000F1DD8">
        <w:t>he structures and land bundle combines three inputs: non</w:t>
      </w:r>
      <w:r w:rsidR="00F03697">
        <w:noBreakHyphen/>
      </w:r>
      <w:r w:rsidR="000F1DD8">
        <w:t>dwelling structures</w:t>
      </w:r>
      <w:r>
        <w:t>;</w:t>
      </w:r>
      <w:r w:rsidR="000F1DD8">
        <w:t xml:space="preserve"> non</w:t>
      </w:r>
      <w:r w:rsidR="00F03697">
        <w:noBreakHyphen/>
      </w:r>
      <w:r w:rsidR="000F1DD8">
        <w:t>dwelling land</w:t>
      </w:r>
      <w:r>
        <w:t>;</w:t>
      </w:r>
      <w:r w:rsidR="000F1DD8">
        <w:t xml:space="preserve"> and ownership transfer costs</w:t>
      </w:r>
      <w:r>
        <w:t>. These factors are combined to</w:t>
      </w:r>
      <w:r w:rsidR="000F1DD8">
        <w:t xml:space="preserve"> produce a bundled good called structure services. Within this bundle firms can substitute between the three inputs with an elasticity of substitution of 0.5. This elasticity is based on the literature survey of Zhao (2010).</w:t>
      </w:r>
    </w:p>
    <w:p w14:paraId="29DD6AEF" w14:textId="4E7DDF45" w:rsidR="000F1DD8" w:rsidRDefault="000F1DD8" w:rsidP="00692E74">
      <w:r>
        <w:lastRenderedPageBreak/>
        <w:t xml:space="preserve">In order to test the sensitivity of the results to this elasticity we </w:t>
      </w:r>
      <w:r w:rsidR="00692E74">
        <w:t xml:space="preserve">simulate </w:t>
      </w:r>
      <w:r w:rsidR="00EF01C7">
        <w:t xml:space="preserve">the </w:t>
      </w:r>
      <w:r w:rsidR="00692E74">
        <w:t>model assuming a low substitutability</w:t>
      </w:r>
      <w:r w:rsidR="00AC3B78">
        <w:t xml:space="preserve"> (</w:t>
      </w:r>
      <w:r w:rsidR="00692E74">
        <w:t>an elasticity close to</w:t>
      </w:r>
      <w:r>
        <w:t xml:space="preserve"> 0</w:t>
      </w:r>
      <w:r w:rsidR="00AC3B78">
        <w:t>)</w:t>
      </w:r>
      <w:r>
        <w:t xml:space="preserve"> and </w:t>
      </w:r>
      <w:r w:rsidR="00692E74">
        <w:t>high substitutability</w:t>
      </w:r>
      <w:r w:rsidR="00AC3B78">
        <w:t xml:space="preserve"> (</w:t>
      </w:r>
      <w:r w:rsidR="00692E74">
        <w:t xml:space="preserve">an elasticity of </w:t>
      </w:r>
      <w:r>
        <w:t>1</w:t>
      </w:r>
      <w:r w:rsidR="00692E74">
        <w:t>, which is twice the baseline elasticity</w:t>
      </w:r>
      <w:r w:rsidR="00AC3B78">
        <w:t>)</w:t>
      </w:r>
      <w:r w:rsidR="00692E74">
        <w:t>.</w:t>
      </w:r>
    </w:p>
    <w:p w14:paraId="29DD6AF0" w14:textId="5A322E29" w:rsidR="000F1DD8" w:rsidRDefault="000F1DD8" w:rsidP="00692E74">
      <w:r>
        <w:t xml:space="preserve">Increasing the elasticity </w:t>
      </w:r>
      <w:r w:rsidR="00AC3B78">
        <w:t xml:space="preserve">of substitution </w:t>
      </w:r>
      <w:r>
        <w:t xml:space="preserve">in the structure services bundles causes the demand </w:t>
      </w:r>
      <w:r w:rsidR="00AC3B78">
        <w:t>for each factor to be more sensitive to own</w:t>
      </w:r>
      <w:r w:rsidR="00F03697">
        <w:noBreakHyphen/>
      </w:r>
      <w:r w:rsidR="00AC3B78">
        <w:t>price changes</w:t>
      </w:r>
      <w:r>
        <w:t xml:space="preserve">. </w:t>
      </w:r>
      <w:r w:rsidR="00B843C6">
        <w:t xml:space="preserve">Chart </w:t>
      </w:r>
      <w:r w:rsidR="00B843C6">
        <w:rPr>
          <w:noProof/>
        </w:rPr>
        <w:t>43</w:t>
      </w:r>
      <w:r w:rsidR="00692E74">
        <w:t xml:space="preserve"> </w:t>
      </w:r>
      <w:r w:rsidR="006152DE">
        <w:t xml:space="preserve">and </w:t>
      </w:r>
      <w:r w:rsidR="00B843C6">
        <w:t xml:space="preserve">Chart </w:t>
      </w:r>
      <w:r w:rsidR="00B843C6">
        <w:rPr>
          <w:noProof/>
        </w:rPr>
        <w:t>44</w:t>
      </w:r>
      <w:r w:rsidR="006152DE">
        <w:t xml:space="preserve"> </w:t>
      </w:r>
      <w:r w:rsidR="00AC3B78">
        <w:t>show</w:t>
      </w:r>
      <w:r w:rsidR="00692E74">
        <w:t xml:space="preserve"> that </w:t>
      </w:r>
      <w:r w:rsidR="00842149">
        <w:t xml:space="preserve">greater substitutability between structures and land </w:t>
      </w:r>
      <w:r w:rsidR="00692E74">
        <w:t xml:space="preserve">implies </w:t>
      </w:r>
      <w:r w:rsidR="00842149">
        <w:t>significantly</w:t>
      </w:r>
      <w:r w:rsidR="00692E74">
        <w:t xml:space="preserve"> higher marginal excess burden</w:t>
      </w:r>
      <w:r w:rsidR="00842149">
        <w:t>s</w:t>
      </w:r>
      <w:r>
        <w:t xml:space="preserve"> </w:t>
      </w:r>
      <w:r w:rsidR="00842149">
        <w:t>for the company income tax and stamp duty on conveyances</w:t>
      </w:r>
      <w:r w:rsidR="00692E74">
        <w:t>.</w:t>
      </w:r>
    </w:p>
    <w:p w14:paraId="29DD6AF1" w14:textId="740DCBB9" w:rsidR="000F1DD8" w:rsidRPr="00E6097C" w:rsidRDefault="000F1DD8" w:rsidP="00E6097C">
      <w:pPr>
        <w:pStyle w:val="Caption1"/>
      </w:pPr>
      <w:bookmarkStart w:id="60" w:name="_Ref400374119"/>
      <w:r w:rsidRPr="00E6097C">
        <w:t xml:space="preserve">Chart </w:t>
      </w:r>
      <w:r w:rsidR="00866AD9">
        <w:fldChar w:fldCharType="begin"/>
      </w:r>
      <w:r w:rsidR="00866AD9">
        <w:instrText xml:space="preserve"> SEQ Chart \* ARABIC </w:instrText>
      </w:r>
      <w:r w:rsidR="00866AD9">
        <w:fldChar w:fldCharType="separate"/>
      </w:r>
      <w:r w:rsidR="00AA2137" w:rsidRPr="00E6097C">
        <w:t>43</w:t>
      </w:r>
      <w:r w:rsidR="00866AD9">
        <w:fldChar w:fldCharType="end"/>
      </w:r>
      <w:bookmarkEnd w:id="60"/>
      <w:r w:rsidRPr="00E6097C">
        <w:t xml:space="preserve">: </w:t>
      </w:r>
      <w:r w:rsidR="007B5309" w:rsidRPr="00E6097C">
        <w:t>Marginal e</w:t>
      </w:r>
      <w:r w:rsidRPr="00E6097C">
        <w:t>xcess burden</w:t>
      </w:r>
      <w:r w:rsidR="004C5CFD" w:rsidRPr="00E6097C">
        <w:t xml:space="preserve"> — </w:t>
      </w:r>
      <w:r w:rsidRPr="00E6097C">
        <w:t>Sensitivity to structure</w:t>
      </w:r>
      <w:r w:rsidR="00F03697" w:rsidRPr="00E6097C">
        <w:noBreakHyphen/>
      </w:r>
      <w:r w:rsidRPr="00E6097C">
        <w:t>land elasticity</w:t>
      </w:r>
    </w:p>
    <w:p w14:paraId="14C4CE23" w14:textId="0857416D" w:rsidR="00FD52B5" w:rsidRDefault="00866AD9" w:rsidP="00B066B3">
      <w:pPr>
        <w:pStyle w:val="Caption1"/>
        <w:rPr>
          <w:lang w:val="en-US"/>
        </w:rPr>
      </w:pPr>
      <w:r>
        <w:rPr>
          <w:lang w:val="en-US"/>
        </w:rPr>
        <w:pict w14:anchorId="21C5C640">
          <v:shape id="_x0000_i1088" type="#_x0000_t75" alt="This sensitivity chart compares the baseline marginal excess burden estimates of the major taxes to results obtained under the alternative assumption of firms having a higher and lower elasticity of substitution between inputs in the structures bundle." style="width:436.3pt;height:225.25pt">
            <v:imagedata r:id="rId125" o:title=""/>
          </v:shape>
        </w:pict>
      </w:r>
    </w:p>
    <w:p w14:paraId="67D55854" w14:textId="5D24D779" w:rsidR="00F74E3C" w:rsidRPr="00FD52B5" w:rsidRDefault="00F74E3C" w:rsidP="0055740C">
      <w:pPr>
        <w:pStyle w:val="Caption1"/>
        <w:ind w:left="426"/>
        <w:jc w:val="left"/>
        <w:rPr>
          <w:rFonts w:ascii="Calibri" w:eastAsiaTheme="minorHAnsi" w:hAnsi="Calibri" w:cstheme="minorBidi"/>
          <w:color w:val="auto"/>
          <w:sz w:val="20"/>
          <w:szCs w:val="20"/>
          <w:lang w:val="en-US"/>
        </w:rPr>
      </w:pPr>
      <w:r w:rsidRPr="00FD52B5">
        <w:rPr>
          <w:rFonts w:ascii="Calibri" w:eastAsiaTheme="minorHAnsi" w:hAnsi="Calibri" w:cstheme="minorBidi"/>
          <w:color w:val="auto"/>
          <w:sz w:val="20"/>
          <w:szCs w:val="20"/>
          <w:lang w:val="en-US"/>
        </w:rPr>
        <w:t xml:space="preserve">Source: </w:t>
      </w:r>
      <w:r w:rsidR="00E007CF" w:rsidRPr="00FD52B5">
        <w:rPr>
          <w:rFonts w:ascii="Calibri" w:eastAsiaTheme="minorHAnsi" w:hAnsi="Calibri" w:cstheme="minorBidi"/>
          <w:color w:val="auto"/>
          <w:sz w:val="20"/>
          <w:szCs w:val="20"/>
          <w:lang w:val="en-US"/>
        </w:rPr>
        <w:t>Treasury estimates</w:t>
      </w:r>
      <w:r w:rsidRPr="00FD52B5">
        <w:rPr>
          <w:rFonts w:ascii="Calibri" w:eastAsiaTheme="minorHAnsi" w:hAnsi="Calibri" w:cstheme="minorBidi"/>
          <w:color w:val="auto"/>
          <w:sz w:val="20"/>
          <w:szCs w:val="20"/>
          <w:lang w:val="en-US"/>
        </w:rPr>
        <w:t>.</w:t>
      </w:r>
    </w:p>
    <w:p w14:paraId="035EF205" w14:textId="77777777" w:rsidR="00580E50" w:rsidRDefault="00580E50" w:rsidP="00F74E3C">
      <w:pPr>
        <w:spacing w:after="0"/>
      </w:pPr>
    </w:p>
    <w:p w14:paraId="29DD6AF3" w14:textId="44428639" w:rsidR="00B55F08" w:rsidRDefault="00B55F08" w:rsidP="00E82F3E">
      <w:pPr>
        <w:pStyle w:val="Caption1"/>
      </w:pPr>
      <w:bookmarkStart w:id="61" w:name="_Ref401938169"/>
      <w:r>
        <w:t xml:space="preserve">Chart </w:t>
      </w:r>
      <w:r w:rsidR="00866AD9">
        <w:fldChar w:fldCharType="begin"/>
      </w:r>
      <w:r w:rsidR="00866AD9">
        <w:instrText xml:space="preserve"> SEQ Chart \* ARABIC </w:instrText>
      </w:r>
      <w:r w:rsidR="00866AD9">
        <w:fldChar w:fldCharType="separate"/>
      </w:r>
      <w:r w:rsidR="00AA2137">
        <w:rPr>
          <w:noProof/>
        </w:rPr>
        <w:t>44</w:t>
      </w:r>
      <w:r w:rsidR="00866AD9">
        <w:rPr>
          <w:noProof/>
        </w:rPr>
        <w:fldChar w:fldCharType="end"/>
      </w:r>
      <w:bookmarkEnd w:id="61"/>
      <w:r>
        <w:t xml:space="preserve">: Relative </w:t>
      </w:r>
      <w:r w:rsidR="007B5309">
        <w:t xml:space="preserve">Marginal </w:t>
      </w:r>
      <w:r>
        <w:t>excess burden</w:t>
      </w:r>
      <w:r w:rsidR="004C5CFD">
        <w:t xml:space="preserve"> — </w:t>
      </w:r>
      <w:r>
        <w:t>Sensitivity to structure</w:t>
      </w:r>
      <w:r w:rsidR="00F03697">
        <w:noBreakHyphen/>
      </w:r>
      <w:r>
        <w:t>land elasticity</w:t>
      </w:r>
    </w:p>
    <w:p w14:paraId="29DD6AF4" w14:textId="047BF58E" w:rsidR="00776F3A" w:rsidRDefault="00866AD9" w:rsidP="00B066B3">
      <w:pPr>
        <w:pStyle w:val="Caption1"/>
      </w:pPr>
      <w:r>
        <w:pict w14:anchorId="0503A654">
          <v:shape id="_x0000_i1089" type="#_x0000_t75" alt="This sensitivity chart compares the baseline relative marginal excess burden estimates of the major taxes to results obtained under the alternative assumption of firms having a higher or lower elasticity of substitution between inputs in the structures bundle." style="width:436.3pt;height:225.25pt">
            <v:imagedata r:id="rId126" o:title=""/>
          </v:shape>
        </w:pict>
      </w:r>
    </w:p>
    <w:p w14:paraId="79D3EA81" w14:textId="418737DB" w:rsidR="00F74E3C" w:rsidRDefault="00F74E3C" w:rsidP="0055740C">
      <w:pPr>
        <w:pStyle w:val="Source"/>
        <w:spacing w:after="0"/>
        <w:ind w:left="426"/>
      </w:pPr>
      <w:r>
        <w:rPr>
          <w:lang w:val="en-US"/>
        </w:rPr>
        <w:t xml:space="preserve">Source: </w:t>
      </w:r>
      <w:r w:rsidR="00E007CF">
        <w:t>Treasury estimates</w:t>
      </w:r>
      <w:r>
        <w:t>.</w:t>
      </w:r>
    </w:p>
    <w:p w14:paraId="75904254" w14:textId="2702ED84" w:rsidR="00224587" w:rsidRPr="00776F3A" w:rsidRDefault="00224587" w:rsidP="007D4848">
      <w:pPr>
        <w:pStyle w:val="Source"/>
        <w:spacing w:after="0"/>
        <w:ind w:left="426"/>
      </w:pPr>
      <w:r>
        <w:t>Note: Relative</w:t>
      </w:r>
      <w:r w:rsidR="007B5309">
        <w:t xml:space="preserve"> marginal</w:t>
      </w:r>
      <w:r>
        <w:t xml:space="preserve"> excess burdens are reported relative to the flat labour income tax.</w:t>
      </w:r>
    </w:p>
    <w:p w14:paraId="29DD6AF5" w14:textId="77777777" w:rsidR="000F1DD8" w:rsidRDefault="00A942B5" w:rsidP="00A942B5">
      <w:pPr>
        <w:pStyle w:val="Heading4"/>
      </w:pPr>
      <w:r>
        <w:lastRenderedPageBreak/>
        <w:t>Substitutability of capital and labour</w:t>
      </w:r>
    </w:p>
    <w:p w14:paraId="29DD6AF6" w14:textId="0BBC3659" w:rsidR="000F1DD8" w:rsidRDefault="00E15935" w:rsidP="00A942B5">
      <w:r>
        <w:t>T</w:t>
      </w:r>
      <w:r w:rsidR="000F1DD8">
        <w:t xml:space="preserve">he </w:t>
      </w:r>
      <w:r>
        <w:t xml:space="preserve">elasticity of substitution between </w:t>
      </w:r>
      <w:r w:rsidR="000F1DD8">
        <w:t xml:space="preserve">capital and labour governs </w:t>
      </w:r>
      <w:r>
        <w:t>the sensitivity of these factors to changes in their own</w:t>
      </w:r>
      <w:r w:rsidR="00F03697">
        <w:noBreakHyphen/>
      </w:r>
      <w:r>
        <w:t>price</w:t>
      </w:r>
      <w:r w:rsidR="000F1DD8">
        <w:t xml:space="preserve">. </w:t>
      </w:r>
      <w:r w:rsidR="00487FBE">
        <w:t>Labour is nested with</w:t>
      </w:r>
      <w:r w:rsidR="000F1DD8">
        <w:t xml:space="preserve"> non</w:t>
      </w:r>
      <w:r w:rsidR="00F03697">
        <w:noBreakHyphen/>
      </w:r>
      <w:r w:rsidR="000F1DD8">
        <w:t xml:space="preserve">structures capital, </w:t>
      </w:r>
      <w:r w:rsidR="00580E50">
        <w:t>and the firm specific fixed factor. Non</w:t>
      </w:r>
      <w:r w:rsidR="00F03697">
        <w:noBreakHyphen/>
      </w:r>
      <w:r w:rsidR="00580E50">
        <w:t>structures capital</w:t>
      </w:r>
      <w:r w:rsidR="000F1DD8">
        <w:t xml:space="preserve"> is made up of six capital types: </w:t>
      </w:r>
      <w:r w:rsidR="00580E50">
        <w:t>t</w:t>
      </w:r>
      <w:r w:rsidR="000F1DD8">
        <w:t>ransport equipment</w:t>
      </w:r>
      <w:r w:rsidR="00580E50">
        <w:t>;</w:t>
      </w:r>
      <w:r w:rsidR="000F1DD8">
        <w:t xml:space="preserve"> plant machinery and equipment</w:t>
      </w:r>
      <w:r w:rsidR="00580E50">
        <w:t>;</w:t>
      </w:r>
      <w:r w:rsidR="000F1DD8">
        <w:t xml:space="preserve"> mineral exploration</w:t>
      </w:r>
      <w:r w:rsidR="00580E50">
        <w:t>;</w:t>
      </w:r>
      <w:r w:rsidR="000F1DD8">
        <w:t xml:space="preserve"> research and development</w:t>
      </w:r>
      <w:r w:rsidR="00580E50">
        <w:t>;</w:t>
      </w:r>
      <w:r w:rsidR="000F1DD8">
        <w:t xml:space="preserve"> information technology</w:t>
      </w:r>
      <w:r w:rsidR="00580E50">
        <w:t>;</w:t>
      </w:r>
      <w:r w:rsidR="000F1DD8">
        <w:t xml:space="preserve"> </w:t>
      </w:r>
      <w:r w:rsidR="00580E50">
        <w:t xml:space="preserve">and </w:t>
      </w:r>
      <w:r w:rsidR="000F1DD8">
        <w:t>other capital</w:t>
      </w:r>
      <w:r w:rsidR="00580E50">
        <w:t>.</w:t>
      </w:r>
    </w:p>
    <w:p w14:paraId="29DD6AF7" w14:textId="5EA5F3C9" w:rsidR="000F1DD8" w:rsidRDefault="00580E50" w:rsidP="00A942B5">
      <w:r>
        <w:t xml:space="preserve">With an elasticity of 0.9, </w:t>
      </w:r>
      <w:r w:rsidR="00487FBE">
        <w:t xml:space="preserve">labour and </w:t>
      </w:r>
      <w:r>
        <w:t>n</w:t>
      </w:r>
      <w:r w:rsidR="000F1DD8">
        <w:t>on</w:t>
      </w:r>
      <w:r w:rsidR="00F03697">
        <w:noBreakHyphen/>
      </w:r>
      <w:r w:rsidR="000F1DD8">
        <w:t xml:space="preserve">structures capital are modelled as </w:t>
      </w:r>
      <w:r w:rsidR="00DE4CAE">
        <w:t>gross</w:t>
      </w:r>
      <w:r w:rsidR="00EF3F9E">
        <w:t xml:space="preserve"> complements</w:t>
      </w:r>
      <w:r>
        <w:t xml:space="preserve">. This means that </w:t>
      </w:r>
      <w:r w:rsidR="000F1DD8">
        <w:t xml:space="preserve">a 1 per cent increase in the </w:t>
      </w:r>
      <w:r>
        <w:t>rental rate</w:t>
      </w:r>
      <w:r w:rsidR="000F1DD8">
        <w:t xml:space="preserve"> </w:t>
      </w:r>
      <w:r w:rsidR="007D2CC7">
        <w:t xml:space="preserve">of </w:t>
      </w:r>
      <w:r w:rsidR="000F1DD8">
        <w:t>non</w:t>
      </w:r>
      <w:r w:rsidR="00F03697">
        <w:noBreakHyphen/>
      </w:r>
      <w:r w:rsidR="000F1DD8">
        <w:t>structu</w:t>
      </w:r>
      <w:r w:rsidR="007D2CC7">
        <w:t xml:space="preserve">re capital relative to the </w:t>
      </w:r>
      <w:r w:rsidR="000F1DD8">
        <w:t xml:space="preserve">wage </w:t>
      </w:r>
      <w:r w:rsidR="007D2CC7">
        <w:t xml:space="preserve">rate </w:t>
      </w:r>
      <w:r w:rsidR="000F1DD8">
        <w:t xml:space="preserve">will result in </w:t>
      </w:r>
      <w:r w:rsidR="007D2CC7">
        <w:t>a</w:t>
      </w:r>
      <w:r w:rsidR="000F1DD8">
        <w:t xml:space="preserve"> reduction in </w:t>
      </w:r>
      <w:r w:rsidR="007D2CC7">
        <w:t xml:space="preserve">the demand for both </w:t>
      </w:r>
      <w:r w:rsidR="000F1DD8">
        <w:t>non</w:t>
      </w:r>
      <w:r w:rsidR="00F03697">
        <w:noBreakHyphen/>
      </w:r>
      <w:r w:rsidR="000F1DD8">
        <w:t>structure capital</w:t>
      </w:r>
      <w:r w:rsidR="007D2CC7">
        <w:t xml:space="preserve"> and labour</w:t>
      </w:r>
      <w:r w:rsidR="000F1DD8">
        <w:t>. Th</w:t>
      </w:r>
      <w:r w:rsidR="007D2CC7">
        <w:t>is</w:t>
      </w:r>
      <w:r w:rsidR="000F1DD8">
        <w:t xml:space="preserve"> elasticity falls within the range </w:t>
      </w:r>
      <w:r w:rsidR="007D2CC7">
        <w:t xml:space="preserve">of estimates </w:t>
      </w:r>
      <w:r w:rsidR="000F1DD8">
        <w:t>review</w:t>
      </w:r>
      <w:r w:rsidR="007D2CC7">
        <w:t>ed</w:t>
      </w:r>
      <w:r w:rsidR="000F1DD8">
        <w:t xml:space="preserve"> </w:t>
      </w:r>
      <w:r w:rsidR="006152DE">
        <w:t>by Gunning et al. (2007)</w:t>
      </w:r>
      <w:r w:rsidR="007D2CC7">
        <w:t>.</w:t>
      </w:r>
    </w:p>
    <w:p w14:paraId="594AEDBD" w14:textId="1A32B41C" w:rsidR="000641CE" w:rsidRDefault="000641CE" w:rsidP="000641CE">
      <w:pPr>
        <w:rPr>
          <w:highlight w:val="yellow"/>
        </w:rPr>
      </w:pPr>
      <w:r>
        <w:t xml:space="preserve">In order to test the sensitivity of the results to this elasticity we consider outlier values for the elasticity ranging from </w:t>
      </w:r>
      <w:r w:rsidR="00487FBE">
        <w:t xml:space="preserve">a low elasticity of </w:t>
      </w:r>
      <w:r>
        <w:t xml:space="preserve">zero to </w:t>
      </w:r>
      <w:r w:rsidR="00487FBE">
        <w:t xml:space="preserve">a high elasticity of </w:t>
      </w:r>
      <w:r>
        <w:t>1.8.</w:t>
      </w:r>
    </w:p>
    <w:p w14:paraId="29DD6AF9" w14:textId="50846297" w:rsidR="000F1DD8" w:rsidRDefault="00B843C6" w:rsidP="00A942B5">
      <w:r w:rsidRPr="00F2221C">
        <w:t xml:space="preserve">Chart </w:t>
      </w:r>
      <w:r>
        <w:rPr>
          <w:noProof/>
        </w:rPr>
        <w:t>45</w:t>
      </w:r>
      <w:r w:rsidR="006152DE">
        <w:t xml:space="preserve"> and </w:t>
      </w:r>
      <w:r w:rsidRPr="00F2221C">
        <w:t xml:space="preserve">Chart </w:t>
      </w:r>
      <w:r>
        <w:rPr>
          <w:noProof/>
        </w:rPr>
        <w:t>46</w:t>
      </w:r>
      <w:r w:rsidR="00842149">
        <w:t xml:space="preserve"> reveal that the company income tax is somewhat sensitive to this elasticity, with a higher elasticity </w:t>
      </w:r>
      <w:r w:rsidR="000641CE">
        <w:t>implying</w:t>
      </w:r>
      <w:r w:rsidR="00842149">
        <w:t xml:space="preserve"> a higher </w:t>
      </w:r>
      <w:r w:rsidR="007B5309">
        <w:t xml:space="preserve">marginal </w:t>
      </w:r>
      <w:r w:rsidR="00842149">
        <w:t>excess burden.</w:t>
      </w:r>
      <w:r w:rsidR="00487FBE">
        <w:t xml:space="preserve"> The explanation of the effect on marginal excess burdens is similar to the structures and land elasticity discussion: the more elastic demand is the larger is the efficiency cost of a tax.</w:t>
      </w:r>
    </w:p>
    <w:p w14:paraId="29DD6AFA" w14:textId="7F29AB9D" w:rsidR="000F1DD8" w:rsidRDefault="000F1DD8" w:rsidP="00E82F3E">
      <w:pPr>
        <w:pStyle w:val="Caption1"/>
      </w:pPr>
      <w:bookmarkStart w:id="62" w:name="_Ref400374455"/>
      <w:r w:rsidRPr="00DB1610">
        <w:t xml:space="preserve">Chart </w:t>
      </w:r>
      <w:r w:rsidR="00866AD9">
        <w:fldChar w:fldCharType="begin"/>
      </w:r>
      <w:r w:rsidR="00866AD9">
        <w:instrText xml:space="preserve"> SEQ Chart \* ARA</w:instrText>
      </w:r>
      <w:r w:rsidR="00866AD9">
        <w:instrText xml:space="preserve">BIC </w:instrText>
      </w:r>
      <w:r w:rsidR="00866AD9">
        <w:fldChar w:fldCharType="separate"/>
      </w:r>
      <w:r w:rsidR="00AA2137" w:rsidRPr="00DB1610">
        <w:t>45</w:t>
      </w:r>
      <w:r w:rsidR="00866AD9">
        <w:fldChar w:fldCharType="end"/>
      </w:r>
      <w:bookmarkEnd w:id="62"/>
      <w:r w:rsidRPr="00DB1610">
        <w:t xml:space="preserve">: </w:t>
      </w:r>
      <w:r w:rsidR="007B5309" w:rsidRPr="00DB1610">
        <w:t>Marginal e</w:t>
      </w:r>
      <w:r w:rsidRPr="00DB1610">
        <w:t>xcess burden</w:t>
      </w:r>
      <w:r w:rsidR="004C5CFD" w:rsidRPr="00DB1610">
        <w:t xml:space="preserve"> — </w:t>
      </w:r>
      <w:r w:rsidRPr="00DB1610">
        <w:t>Sensitivity to capital</w:t>
      </w:r>
      <w:r w:rsidR="00F03697" w:rsidRPr="00DB1610">
        <w:noBreakHyphen/>
      </w:r>
      <w:r w:rsidRPr="00DB1610">
        <w:t>labour elasticity of</w:t>
      </w:r>
      <w:r w:rsidRPr="00F2221C">
        <w:t xml:space="preserve"> substitution</w:t>
      </w:r>
    </w:p>
    <w:p w14:paraId="29DD6AFB" w14:textId="0A6976E1" w:rsidR="000F1DD8" w:rsidRDefault="00866AD9" w:rsidP="00B066B3">
      <w:pPr>
        <w:pStyle w:val="Caption1"/>
      </w:pPr>
      <w:r>
        <w:pict w14:anchorId="6C668CC0">
          <v:shape id="_x0000_i1090" type="#_x0000_t75" alt="This sensitivity chart compares the baseline marginal excess burden estimates of major taxes to results obtained under the alternative assumption of firms having a higher and lower elasticity of substitution between labour and non structures capital." style="width:436.3pt;height:225.25pt">
            <v:imagedata r:id="rId127" o:title=""/>
          </v:shape>
        </w:pict>
      </w:r>
    </w:p>
    <w:p w14:paraId="4937DBD5" w14:textId="11590E8D" w:rsidR="00F74E3C" w:rsidRDefault="00F74E3C" w:rsidP="0055740C">
      <w:pPr>
        <w:pStyle w:val="Source"/>
        <w:ind w:left="426"/>
      </w:pPr>
      <w:r>
        <w:rPr>
          <w:lang w:val="en-US"/>
        </w:rPr>
        <w:t xml:space="preserve">Source: </w:t>
      </w:r>
      <w:r w:rsidR="00E007CF">
        <w:t>Treasury estimates</w:t>
      </w:r>
      <w:r>
        <w:t>.</w:t>
      </w:r>
    </w:p>
    <w:p w14:paraId="29DD6AFC" w14:textId="11083E9B" w:rsidR="00B55F08" w:rsidRDefault="00B55F08" w:rsidP="00E82F3E">
      <w:pPr>
        <w:pStyle w:val="Caption1"/>
      </w:pPr>
      <w:bookmarkStart w:id="63" w:name="_Ref401938224"/>
      <w:r w:rsidRPr="00F2221C">
        <w:lastRenderedPageBreak/>
        <w:t xml:space="preserve">Chart </w:t>
      </w:r>
      <w:r w:rsidR="00866AD9">
        <w:fldChar w:fldCharType="begin"/>
      </w:r>
      <w:r w:rsidR="00866AD9">
        <w:instrText xml:space="preserve"> SEQ Chart \* ARABIC </w:instrText>
      </w:r>
      <w:r w:rsidR="00866AD9">
        <w:fldChar w:fldCharType="separate"/>
      </w:r>
      <w:r w:rsidR="00AA2137">
        <w:rPr>
          <w:noProof/>
        </w:rPr>
        <w:t>46</w:t>
      </w:r>
      <w:r w:rsidR="00866AD9">
        <w:rPr>
          <w:noProof/>
        </w:rPr>
        <w:fldChar w:fldCharType="end"/>
      </w:r>
      <w:bookmarkEnd w:id="63"/>
      <w:r w:rsidRPr="00F2221C">
        <w:t xml:space="preserve">: Relative </w:t>
      </w:r>
      <w:r w:rsidR="007B5309">
        <w:t xml:space="preserve">marginal </w:t>
      </w:r>
      <w:r w:rsidRPr="00F2221C">
        <w:t>excess burden</w:t>
      </w:r>
      <w:r w:rsidR="004C5CFD">
        <w:t xml:space="preserve"> — </w:t>
      </w:r>
      <w:r w:rsidRPr="00F2221C">
        <w:t>Sensitivity to capital</w:t>
      </w:r>
      <w:r w:rsidR="00F03697">
        <w:noBreakHyphen/>
      </w:r>
      <w:r w:rsidRPr="00F2221C">
        <w:t xml:space="preserve">labour </w:t>
      </w:r>
      <w:r w:rsidR="009A29E1">
        <w:br/>
      </w:r>
      <w:r w:rsidRPr="00F2221C">
        <w:t>elasticity of substitution</w:t>
      </w:r>
    </w:p>
    <w:p w14:paraId="29DD6AFD" w14:textId="16D4B96E" w:rsidR="00B55F08" w:rsidRDefault="00866AD9" w:rsidP="00B066B3">
      <w:pPr>
        <w:pStyle w:val="Caption1"/>
      </w:pPr>
      <w:r>
        <w:pict w14:anchorId="2CAB5809">
          <v:shape id="_x0000_i1091" type="#_x0000_t75" alt="This sensitivity chart compares the baseline relative marginal excess burden estimates of major taxes to results obtained under the alternative assumption of firms having a higher and lower elasticity of substitution between labour and non structures capital." style="width:436.3pt;height:225.25pt">
            <v:imagedata r:id="rId128" o:title=""/>
          </v:shape>
        </w:pict>
      </w:r>
    </w:p>
    <w:p w14:paraId="74574E60" w14:textId="4B28F257" w:rsidR="00F74E3C" w:rsidRDefault="00F74E3C" w:rsidP="0055740C">
      <w:pPr>
        <w:pStyle w:val="Source"/>
        <w:spacing w:after="0"/>
        <w:ind w:left="426"/>
      </w:pPr>
      <w:r>
        <w:rPr>
          <w:lang w:val="en-US"/>
        </w:rPr>
        <w:t xml:space="preserve">Source: </w:t>
      </w:r>
      <w:r w:rsidR="00E007CF">
        <w:t>Treasury estimates</w:t>
      </w:r>
      <w:r>
        <w:t>.</w:t>
      </w:r>
    </w:p>
    <w:p w14:paraId="433F9AD3" w14:textId="3DE4B824" w:rsidR="00224587" w:rsidRDefault="00224587" w:rsidP="007D4848">
      <w:pPr>
        <w:pStyle w:val="Source"/>
        <w:spacing w:after="0"/>
        <w:ind w:left="426"/>
      </w:pPr>
      <w:r>
        <w:t xml:space="preserve">Note: Relative </w:t>
      </w:r>
      <w:r w:rsidR="007B5309">
        <w:t xml:space="preserve">marginal </w:t>
      </w:r>
      <w:r>
        <w:t>excess burdens are reported relative to the flat labour income tax.</w:t>
      </w:r>
    </w:p>
    <w:p w14:paraId="6F08BBC5" w14:textId="77777777" w:rsidR="0055740C" w:rsidRPr="0055740C" w:rsidRDefault="0055740C" w:rsidP="0055740C">
      <w:pPr>
        <w:pStyle w:val="SingleParagraph"/>
        <w:rPr>
          <w:lang w:eastAsia="en-AU"/>
        </w:rPr>
      </w:pPr>
    </w:p>
    <w:p w14:paraId="29DD6AFE" w14:textId="77777777" w:rsidR="00A942B5" w:rsidRDefault="00A942B5" w:rsidP="000F1DD8">
      <w:pPr>
        <w:pStyle w:val="Heading3"/>
      </w:pPr>
      <w:r>
        <w:t xml:space="preserve">Parameters governing household </w:t>
      </w:r>
      <w:r w:rsidR="0033091E">
        <w:t>behavior</w:t>
      </w:r>
    </w:p>
    <w:p w14:paraId="29DD6AFF" w14:textId="77777777" w:rsidR="0033091E" w:rsidRDefault="0033091E" w:rsidP="0033091E">
      <w:pPr>
        <w:pStyle w:val="Heading4"/>
        <w:rPr>
          <w:lang w:val="en-US" w:eastAsia="en-AU"/>
        </w:rPr>
      </w:pPr>
      <w:r>
        <w:rPr>
          <w:lang w:val="en-US" w:eastAsia="en-AU"/>
        </w:rPr>
        <w:t>Goods and services tax</w:t>
      </w:r>
    </w:p>
    <w:p w14:paraId="29DD6B00" w14:textId="04F228B2" w:rsidR="0033091E" w:rsidRPr="0033091E" w:rsidRDefault="0033091E" w:rsidP="0033091E">
      <w:pPr>
        <w:rPr>
          <w:lang w:val="en-US" w:eastAsia="en-AU"/>
        </w:rPr>
      </w:pPr>
      <w:r>
        <w:t xml:space="preserve">Estimates of the effective GST rate are based on historical estimates of GST </w:t>
      </w:r>
      <w:r w:rsidRPr="002B2601">
        <w:t xml:space="preserve">tax </w:t>
      </w:r>
      <w:r>
        <w:t>receipts</w:t>
      </w:r>
      <w:r w:rsidRPr="002B2601">
        <w:t xml:space="preserve"> sourced from the ABS </w:t>
      </w:r>
      <w:r>
        <w:t>Input</w:t>
      </w:r>
      <w:r w:rsidR="00F03697">
        <w:noBreakHyphen/>
      </w:r>
      <w:r>
        <w:t>Output</w:t>
      </w:r>
      <w:r w:rsidRPr="002B2601">
        <w:t xml:space="preserve"> tables (</w:t>
      </w:r>
      <w:r w:rsidR="00EF01C7">
        <w:t xml:space="preserve">ABS Cat. No. </w:t>
      </w:r>
      <w:r w:rsidRPr="002B2601">
        <w:t xml:space="preserve">5209.0.55.001) and </w:t>
      </w:r>
      <w:r>
        <w:t>cover</w:t>
      </w:r>
      <w:r w:rsidRPr="002B2601">
        <w:t xml:space="preserve"> taxed </w:t>
      </w:r>
      <w:r>
        <w:t xml:space="preserve">intermediate inputs, </w:t>
      </w:r>
      <w:r w:rsidRPr="002B2601">
        <w:t>household final consumption expenditure and private gross fixed capital formation.</w:t>
      </w:r>
    </w:p>
    <w:p w14:paraId="29DD6B01" w14:textId="77777777" w:rsidR="000F1DD8" w:rsidRDefault="00A942B5" w:rsidP="00A942B5">
      <w:pPr>
        <w:pStyle w:val="Heading4"/>
      </w:pPr>
      <w:r>
        <w:t xml:space="preserve">Leisure share of </w:t>
      </w:r>
      <w:r w:rsidR="00263F3F">
        <w:t xml:space="preserve">total </w:t>
      </w:r>
      <w:r>
        <w:t>time</w:t>
      </w:r>
    </w:p>
    <w:p w14:paraId="29DD6B02" w14:textId="4F91DE0C" w:rsidR="000F1DD8" w:rsidRDefault="000F1DD8" w:rsidP="00A942B5">
      <w:r>
        <w:t xml:space="preserve">Households maximise their utility, subject to their budget constraint, by choosing the optimal combination of consumption and leisure. The value of consumption is easily measurable; it is the volume of consumption of a bundle of goods and services each evaluated at their individual prices. </w:t>
      </w:r>
      <w:r w:rsidR="00263F3F">
        <w:t>T</w:t>
      </w:r>
      <w:r>
        <w:t xml:space="preserve">he value of leisure is </w:t>
      </w:r>
      <w:r w:rsidR="00263F3F">
        <w:t>based on the share of total non</w:t>
      </w:r>
      <w:r w:rsidR="00F03697">
        <w:noBreakHyphen/>
      </w:r>
      <w:r w:rsidR="00263F3F">
        <w:t>sleeping time devoted to leisure</w:t>
      </w:r>
      <w:r w:rsidR="00487FBE">
        <w:t xml:space="preserve"> </w:t>
      </w:r>
      <w:r w:rsidR="00263F3F">
        <w:t>and the real wage</w:t>
      </w:r>
      <w:r>
        <w:t>.</w:t>
      </w:r>
    </w:p>
    <w:p w14:paraId="29DD6B03" w14:textId="0ECD3F24" w:rsidR="000F1DD8" w:rsidRDefault="00A46722" w:rsidP="00A942B5">
      <w:r>
        <w:t xml:space="preserve">The baseline calibration assumes the ratio of </w:t>
      </w:r>
      <w:r w:rsidR="000F1DD8" w:rsidRPr="00A46722">
        <w:t>labour</w:t>
      </w:r>
      <w:r w:rsidR="00263F3F" w:rsidRPr="00A46722">
        <w:t xml:space="preserve"> supply</w:t>
      </w:r>
      <w:r w:rsidR="000F1DD8" w:rsidRPr="00A46722">
        <w:t xml:space="preserve"> to leisu</w:t>
      </w:r>
      <w:r>
        <w:t>re is 2</w:t>
      </w:r>
      <w:r w:rsidR="00487FBE">
        <w:t xml:space="preserve"> to </w:t>
      </w:r>
      <w:r>
        <w:t>1 (</w:t>
      </w:r>
      <w:r w:rsidR="00621AD1">
        <w:t>that is</w:t>
      </w:r>
      <w:r>
        <w:t>, households devote one third of their time to leisure)</w:t>
      </w:r>
      <w:r w:rsidR="000F1DD8" w:rsidRPr="00A46722">
        <w:t xml:space="preserve">. </w:t>
      </w:r>
      <w:r w:rsidR="00A63CDE">
        <w:t xml:space="preserve">This calibration was </w:t>
      </w:r>
      <w:r w:rsidR="00EC4868">
        <w:t>adopted</w:t>
      </w:r>
      <w:r w:rsidR="00A63CDE">
        <w:t xml:space="preserve"> to </w:t>
      </w:r>
      <w:r w:rsidR="00FD64B8">
        <w:t>ensure</w:t>
      </w:r>
      <w:r w:rsidR="00EC4868">
        <w:t xml:space="preserve"> </w:t>
      </w:r>
      <w:r w:rsidR="00A63CDE">
        <w:t>comparability with earlier studies, specifically K</w:t>
      </w:r>
      <w:r w:rsidR="008D0B98">
        <w:t>PMG (2010</w:t>
      </w:r>
      <w:r w:rsidR="006C116E">
        <w:t xml:space="preserve"> and </w:t>
      </w:r>
      <w:r w:rsidR="008D0B98">
        <w:t xml:space="preserve">2011) and </w:t>
      </w:r>
      <w:r w:rsidR="00496794">
        <w:t>Independent Economics</w:t>
      </w:r>
      <w:r w:rsidR="00A63CDE">
        <w:t xml:space="preserve"> (2014</w:t>
      </w:r>
      <w:r w:rsidR="00F04AA6">
        <w:t>)</w:t>
      </w:r>
      <w:r w:rsidR="00A63CDE">
        <w:t xml:space="preserve">. </w:t>
      </w:r>
      <w:r>
        <w:t>To</w:t>
      </w:r>
      <w:r w:rsidR="000F1DD8" w:rsidRPr="00A46722">
        <w:t xml:space="preserve"> test the sensitivity of the results to this calibration </w:t>
      </w:r>
      <w:r w:rsidR="00487FBE">
        <w:t>assumption</w:t>
      </w:r>
      <w:r w:rsidR="000F1DD8" w:rsidRPr="00A46722">
        <w:t xml:space="preserve"> we </w:t>
      </w:r>
      <w:r>
        <w:t>consider</w:t>
      </w:r>
      <w:r w:rsidR="00487FBE">
        <w:t xml:space="preserve"> two alternatives. First, the </w:t>
      </w:r>
      <w:r w:rsidR="000F1DD8" w:rsidRPr="00A46722">
        <w:t xml:space="preserve">leisure </w:t>
      </w:r>
      <w:r>
        <w:t xml:space="preserve">share </w:t>
      </w:r>
      <w:r w:rsidR="000F1DD8" w:rsidRPr="00A46722">
        <w:t>is raised</w:t>
      </w:r>
      <w:r>
        <w:t xml:space="preserve"> to allow </w:t>
      </w:r>
      <w:r w:rsidR="00487FBE">
        <w:t xml:space="preserve">the </w:t>
      </w:r>
      <w:r>
        <w:t xml:space="preserve">household to devote half </w:t>
      </w:r>
      <w:r w:rsidR="00487FBE">
        <w:t>its</w:t>
      </w:r>
      <w:r>
        <w:t xml:space="preserve"> time </w:t>
      </w:r>
      <w:r w:rsidR="006152DE">
        <w:t xml:space="preserve">to </w:t>
      </w:r>
      <w:r>
        <w:t>leisure (</w:t>
      </w:r>
      <w:r w:rsidR="00621AD1">
        <w:t>that is</w:t>
      </w:r>
      <w:r>
        <w:t xml:space="preserve">, a ratio of </w:t>
      </w:r>
      <w:r w:rsidR="000F1DD8" w:rsidRPr="00A46722">
        <w:t>1</w:t>
      </w:r>
      <w:r w:rsidR="00487FBE">
        <w:t xml:space="preserve"> to </w:t>
      </w:r>
      <w:r w:rsidR="000F1DD8" w:rsidRPr="00A46722">
        <w:t>1</w:t>
      </w:r>
      <w:r w:rsidR="00487FBE">
        <w:t xml:space="preserve">). Second, the </w:t>
      </w:r>
      <w:r w:rsidR="00487FBE" w:rsidRPr="00A46722">
        <w:t xml:space="preserve">leisure </w:t>
      </w:r>
      <w:r w:rsidR="00487FBE">
        <w:t xml:space="preserve">share </w:t>
      </w:r>
      <w:r w:rsidR="00487FBE" w:rsidRPr="00A46722">
        <w:t>is raised</w:t>
      </w:r>
      <w:r w:rsidR="00487FBE">
        <w:t xml:space="preserve"> to allow the household to devote </w:t>
      </w:r>
      <w:r>
        <w:t>two thirds of their time to leisure (</w:t>
      </w:r>
      <w:r w:rsidR="00621AD1">
        <w:t>that is</w:t>
      </w:r>
      <w:r>
        <w:t xml:space="preserve">, a ratio of </w:t>
      </w:r>
      <w:r w:rsidR="000F1DD8" w:rsidRPr="00A46722">
        <w:t>1</w:t>
      </w:r>
      <w:r w:rsidR="00487FBE">
        <w:t xml:space="preserve"> to </w:t>
      </w:r>
      <w:r w:rsidR="00DB44DE">
        <w:t>2</w:t>
      </w:r>
      <w:r>
        <w:t>)</w:t>
      </w:r>
      <w:r w:rsidR="000F1DD8" w:rsidRPr="00A46722">
        <w:t>.</w:t>
      </w:r>
      <w:r>
        <w:t xml:space="preserve"> </w:t>
      </w:r>
      <w:r w:rsidR="002821F8">
        <w:t xml:space="preserve">Changing this assumption changes the elasticity of labour supply with respect to wages. </w:t>
      </w:r>
      <w:r w:rsidR="00B843C6">
        <w:t xml:space="preserve">Chart </w:t>
      </w:r>
      <w:r w:rsidR="00B843C6">
        <w:rPr>
          <w:noProof/>
        </w:rPr>
        <w:t>47</w:t>
      </w:r>
      <w:r w:rsidR="00D26470">
        <w:t xml:space="preserve"> show</w:t>
      </w:r>
      <w:r w:rsidR="00DB44DE">
        <w:t>s</w:t>
      </w:r>
      <w:r w:rsidR="00D26470">
        <w:t xml:space="preserve"> that the</w:t>
      </w:r>
      <w:r w:rsidR="000F1DD8">
        <w:t xml:space="preserve"> results </w:t>
      </w:r>
      <w:r w:rsidR="00864CAD">
        <w:t xml:space="preserve">are </w:t>
      </w:r>
      <w:r>
        <w:t xml:space="preserve">quite </w:t>
      </w:r>
      <w:r w:rsidR="00864CAD">
        <w:t>sensitiv</w:t>
      </w:r>
      <w:r>
        <w:t>e</w:t>
      </w:r>
      <w:r w:rsidR="00864CAD">
        <w:t xml:space="preserve"> to this </w:t>
      </w:r>
      <w:r>
        <w:t>assumption</w:t>
      </w:r>
      <w:r w:rsidR="00864CAD">
        <w:t xml:space="preserve">, with the </w:t>
      </w:r>
      <w:r w:rsidR="007B5309">
        <w:t xml:space="preserve">marginal </w:t>
      </w:r>
      <w:r w:rsidR="00864CAD">
        <w:t xml:space="preserve">excess burden </w:t>
      </w:r>
      <w:r>
        <w:t xml:space="preserve">of all taxes </w:t>
      </w:r>
      <w:r w:rsidR="00864CAD">
        <w:t>rising with the share of time devoted to</w:t>
      </w:r>
      <w:r w:rsidR="000F1DD8">
        <w:t xml:space="preserve"> leisure</w:t>
      </w:r>
      <w:r w:rsidR="00E0425B">
        <w:t>.</w:t>
      </w:r>
      <w:r w:rsidR="00DB44DE">
        <w:t xml:space="preserve"> </w:t>
      </w:r>
      <w:r w:rsidR="00B843C6">
        <w:t xml:space="preserve">Chart </w:t>
      </w:r>
      <w:r w:rsidR="00B843C6">
        <w:rPr>
          <w:noProof/>
        </w:rPr>
        <w:t>48</w:t>
      </w:r>
      <w:r w:rsidR="00DB44DE">
        <w:t xml:space="preserve">, however, shows that these calibration options have </w:t>
      </w:r>
      <w:r w:rsidR="00FD64B8">
        <w:t>litt</w:t>
      </w:r>
      <w:r w:rsidR="002F7699">
        <w:t>l</w:t>
      </w:r>
      <w:r w:rsidR="00FD64B8">
        <w:t>e effect on the</w:t>
      </w:r>
      <w:r w:rsidR="00DB44DE">
        <w:t xml:space="preserve"> relative efficiencies of the </w:t>
      </w:r>
      <w:r w:rsidR="005173D9">
        <w:t xml:space="preserve">flat </w:t>
      </w:r>
      <w:r w:rsidR="00FD64B8">
        <w:t>personal income tax</w:t>
      </w:r>
      <w:r w:rsidR="005173D9">
        <w:t>, flat labour income tax</w:t>
      </w:r>
      <w:r w:rsidR="00FD64B8">
        <w:t xml:space="preserve"> and GST</w:t>
      </w:r>
      <w:r w:rsidR="00DB44DE">
        <w:t>.</w:t>
      </w:r>
    </w:p>
    <w:p w14:paraId="29DD6B04" w14:textId="6861133B" w:rsidR="000F1DD8" w:rsidRDefault="000F1DD8" w:rsidP="00E82F3E">
      <w:pPr>
        <w:pStyle w:val="Caption1"/>
      </w:pPr>
      <w:bookmarkStart w:id="64" w:name="_Ref400553432"/>
      <w:r>
        <w:lastRenderedPageBreak/>
        <w:t xml:space="preserve">Chart </w:t>
      </w:r>
      <w:r w:rsidR="00866AD9">
        <w:fldChar w:fldCharType="begin"/>
      </w:r>
      <w:r w:rsidR="00866AD9">
        <w:instrText xml:space="preserve"> S</w:instrText>
      </w:r>
      <w:r w:rsidR="00866AD9">
        <w:instrText xml:space="preserve">EQ Chart \* ARABIC </w:instrText>
      </w:r>
      <w:r w:rsidR="00866AD9">
        <w:fldChar w:fldCharType="separate"/>
      </w:r>
      <w:r w:rsidR="00AA2137">
        <w:rPr>
          <w:noProof/>
        </w:rPr>
        <w:t>47</w:t>
      </w:r>
      <w:r w:rsidR="00866AD9">
        <w:rPr>
          <w:noProof/>
        </w:rPr>
        <w:fldChar w:fldCharType="end"/>
      </w:r>
      <w:bookmarkEnd w:id="64"/>
      <w:r>
        <w:t xml:space="preserve">: </w:t>
      </w:r>
      <w:r w:rsidR="007B5309">
        <w:t>Marginal e</w:t>
      </w:r>
      <w:r>
        <w:t>xcess burden</w:t>
      </w:r>
      <w:r w:rsidR="004C5CFD">
        <w:t xml:space="preserve"> — </w:t>
      </w:r>
      <w:r>
        <w:t>Sensitivity to labour</w:t>
      </w:r>
      <w:r w:rsidR="00F03697">
        <w:noBreakHyphen/>
      </w:r>
      <w:r>
        <w:t>leisure ratio</w:t>
      </w:r>
    </w:p>
    <w:p w14:paraId="29DD6B05" w14:textId="4D784ED5" w:rsidR="000F1DD8" w:rsidRDefault="00866AD9" w:rsidP="00B066B3">
      <w:pPr>
        <w:pStyle w:val="Caption1"/>
      </w:pPr>
      <w:r>
        <w:pict w14:anchorId="435827EA">
          <v:shape id="_x0000_i1092" type="#_x0000_t75" alt="This sensitivity chart compares the baseline marginal excess burden estimates of major taxes to results obtained under the alternative assumption of households having a higher and lower ratio of labour supply to leisure." style="width:436.3pt;height:225.25pt">
            <v:imagedata r:id="rId129" o:title=""/>
          </v:shape>
        </w:pict>
      </w:r>
    </w:p>
    <w:p w14:paraId="55EAEAA1" w14:textId="48275CD8" w:rsidR="00F74E3C" w:rsidRDefault="00F74E3C" w:rsidP="0055740C">
      <w:pPr>
        <w:pStyle w:val="Source"/>
        <w:ind w:left="426"/>
      </w:pPr>
      <w:r>
        <w:rPr>
          <w:lang w:val="en-US"/>
        </w:rPr>
        <w:t xml:space="preserve">Source: </w:t>
      </w:r>
      <w:r>
        <w:t>Treasury estimates.</w:t>
      </w:r>
    </w:p>
    <w:p w14:paraId="29DD6B06" w14:textId="7B5D0EF9" w:rsidR="00B55F08" w:rsidRDefault="00B55F08" w:rsidP="00E82F3E">
      <w:pPr>
        <w:pStyle w:val="Caption1"/>
      </w:pPr>
      <w:bookmarkStart w:id="65" w:name="_Ref401938323"/>
      <w:r>
        <w:t xml:space="preserve">Chart </w:t>
      </w:r>
      <w:r w:rsidR="00866AD9">
        <w:fldChar w:fldCharType="begin"/>
      </w:r>
      <w:r w:rsidR="00866AD9">
        <w:instrText xml:space="preserve"> SEQ Chart \* ARABIC </w:instrText>
      </w:r>
      <w:r w:rsidR="00866AD9">
        <w:fldChar w:fldCharType="separate"/>
      </w:r>
      <w:r w:rsidR="00AA2137">
        <w:rPr>
          <w:noProof/>
        </w:rPr>
        <w:t>48</w:t>
      </w:r>
      <w:r w:rsidR="00866AD9">
        <w:rPr>
          <w:noProof/>
        </w:rPr>
        <w:fldChar w:fldCharType="end"/>
      </w:r>
      <w:bookmarkEnd w:id="65"/>
      <w:r>
        <w:t xml:space="preserve">: Relative </w:t>
      </w:r>
      <w:r w:rsidR="007B5309">
        <w:t xml:space="preserve">marginal </w:t>
      </w:r>
      <w:r>
        <w:t>excess burden</w:t>
      </w:r>
      <w:r w:rsidR="004C5CFD">
        <w:t xml:space="preserve"> — </w:t>
      </w:r>
      <w:r>
        <w:t>Sensitivity to labour</w:t>
      </w:r>
      <w:r w:rsidR="00F03697">
        <w:noBreakHyphen/>
      </w:r>
      <w:r>
        <w:t>leisure ratio</w:t>
      </w:r>
    </w:p>
    <w:p w14:paraId="29DD6B07" w14:textId="0A44C64A" w:rsidR="00B55F08" w:rsidRDefault="00866AD9" w:rsidP="00B066B3">
      <w:pPr>
        <w:pStyle w:val="Caption1"/>
      </w:pPr>
      <w:r>
        <w:pict w14:anchorId="33517943">
          <v:shape id="_x0000_i1093" type="#_x0000_t75" alt="This sensitivity chart compares the baseline relative marginal excess burden estimates of major taxes to results obtained under the alternative assumption of households having a higher and lower ratio of labour supply to leisure." style="width:436.3pt;height:225.25pt">
            <v:imagedata r:id="rId130" o:title=""/>
          </v:shape>
        </w:pict>
      </w:r>
    </w:p>
    <w:p w14:paraId="72D18667" w14:textId="2921AE33" w:rsidR="00F74E3C" w:rsidRDefault="00F74E3C" w:rsidP="0055740C">
      <w:pPr>
        <w:pStyle w:val="Source"/>
        <w:spacing w:after="0"/>
        <w:ind w:left="426"/>
      </w:pPr>
      <w:r>
        <w:rPr>
          <w:lang w:val="en-US"/>
        </w:rPr>
        <w:t xml:space="preserve">Source: </w:t>
      </w:r>
      <w:r>
        <w:t>Treasury estimates.</w:t>
      </w:r>
    </w:p>
    <w:p w14:paraId="1FB8FEE7" w14:textId="409567F0" w:rsidR="00224587" w:rsidRDefault="00224587" w:rsidP="007D4848">
      <w:pPr>
        <w:pStyle w:val="Source"/>
        <w:spacing w:after="0"/>
        <w:ind w:left="426"/>
      </w:pPr>
      <w:r>
        <w:t xml:space="preserve">Note: Relative </w:t>
      </w:r>
      <w:r w:rsidR="007B5309">
        <w:t xml:space="preserve">marginal </w:t>
      </w:r>
      <w:r>
        <w:t>excess burdens are reported relative to the flat labour income tax.</w:t>
      </w:r>
    </w:p>
    <w:p w14:paraId="58478EC3" w14:textId="77777777" w:rsidR="0055740C" w:rsidRPr="0055740C" w:rsidRDefault="0055740C" w:rsidP="007D4848">
      <w:pPr>
        <w:pStyle w:val="SingleParagraph"/>
        <w:rPr>
          <w:lang w:eastAsia="en-AU"/>
        </w:rPr>
      </w:pPr>
    </w:p>
    <w:p w14:paraId="29DD6B08" w14:textId="77777777" w:rsidR="000F1DD8" w:rsidRDefault="00A942B5" w:rsidP="00A942B5">
      <w:pPr>
        <w:pStyle w:val="Heading4"/>
      </w:pPr>
      <w:r>
        <w:t>Substitutability of c</w:t>
      </w:r>
      <w:r w:rsidR="000F1DD8">
        <w:t xml:space="preserve">onsumption </w:t>
      </w:r>
      <w:r>
        <w:t xml:space="preserve">and </w:t>
      </w:r>
      <w:r w:rsidR="000F1DD8">
        <w:t xml:space="preserve">leisure </w:t>
      </w:r>
    </w:p>
    <w:p w14:paraId="29DD6B09" w14:textId="3DC32D19" w:rsidR="00274573" w:rsidRDefault="00274573" w:rsidP="00274573">
      <w:r>
        <w:t>Conditional on the labour</w:t>
      </w:r>
      <w:r w:rsidR="00F03697">
        <w:noBreakHyphen/>
      </w:r>
      <w:r>
        <w:t>leisure ratio, the elasticity of substitution between consumption and leisure is calibrated to achieve an uncompensated elasticity of labour supply with respect to the after</w:t>
      </w:r>
      <w:r w:rsidR="00F03697">
        <w:noBreakHyphen/>
      </w:r>
      <w:r>
        <w:t>tax wage that is broadly in</w:t>
      </w:r>
      <w:r w:rsidR="009A29E1">
        <w:t xml:space="preserve"> </w:t>
      </w:r>
      <w:r>
        <w:t>line with econometric estimates.</w:t>
      </w:r>
    </w:p>
    <w:p w14:paraId="29DD6B0A" w14:textId="3A4D5228" w:rsidR="00274573" w:rsidRDefault="00274573" w:rsidP="00274573">
      <w:r>
        <w:t>Specifically, the uncompensated elasticity of labour supply is given by</w:t>
      </w:r>
      <w:r w:rsidR="001A6666">
        <w:t>:</w:t>
      </w:r>
    </w:p>
    <w:p w14:paraId="003C074D" w14:textId="34D154A1" w:rsidR="001A6666" w:rsidRDefault="001A6666" w:rsidP="001A6666">
      <w:pPr>
        <w:pStyle w:val="MTDisplayEquation"/>
      </w:pPr>
      <w:r>
        <w:tab/>
      </w:r>
      <w:r w:rsidR="00186689" w:rsidRPr="001A6666">
        <w:rPr>
          <w:position w:val="-34"/>
        </w:rPr>
        <w:object w:dxaOrig="3739" w:dyaOrig="800" w14:anchorId="1D8A0D4C">
          <v:shape id="_x0000_i1094" type="#_x0000_t75" alt="Equation 22 is equation 1 repeated. This equation presents the uncompensated elasticity of labour supply as a function of the CES elasticity of substitution between consumption and leisure, the ratio of leisure to labour supply, leisure’s share of utility and labour’s share of household income." style="width:186.75pt;height:41.35pt" o:ole="">
            <v:imagedata r:id="rId131" o:title=""/>
          </v:shape>
          <o:OLEObject Type="Embed" ProgID="Equation.DSMT4" ShapeID="_x0000_i1094" DrawAspect="Content" ObjectID="_1489908561" r:id="rId132"/>
        </w:object>
      </w:r>
      <w:r>
        <w:tab/>
      </w:r>
      <w:r>
        <w:fldChar w:fldCharType="begin"/>
      </w:r>
      <w:r>
        <w:instrText xml:space="preserve"> MACROBUTTON MTPlaceRef \* MERGEFORMAT </w:instrText>
      </w:r>
      <w:r w:rsidR="00D002CF">
        <w:fldChar w:fldCharType="begin"/>
      </w:r>
      <w:r w:rsidR="00D002CF">
        <w:instrText xml:space="preserve"> SEQ MTEqn \h \* MERGEFORMAT </w:instrText>
      </w:r>
      <w:r w:rsidR="00D002CF">
        <w:fldChar w:fldCharType="end"/>
      </w:r>
      <w:r>
        <w:instrText>(</w:instrText>
      </w:r>
      <w:r w:rsidR="00866AD9">
        <w:fldChar w:fldCharType="begin"/>
      </w:r>
      <w:r w:rsidR="00866AD9">
        <w:instrText xml:space="preserve"> SEQ MTEqn \c \* Arabic \* MERGEFORMAT </w:instrText>
      </w:r>
      <w:r w:rsidR="00866AD9">
        <w:fldChar w:fldCharType="separate"/>
      </w:r>
      <w:r w:rsidR="00AA2137">
        <w:rPr>
          <w:noProof/>
        </w:rPr>
        <w:instrText>22</w:instrText>
      </w:r>
      <w:r w:rsidR="00866AD9">
        <w:rPr>
          <w:noProof/>
        </w:rPr>
        <w:fldChar w:fldCharType="end"/>
      </w:r>
      <w:r>
        <w:instrText>)</w:instrText>
      </w:r>
      <w:r>
        <w:fldChar w:fldCharType="end"/>
      </w:r>
    </w:p>
    <w:p w14:paraId="4622166E" w14:textId="7EC2F377" w:rsidR="00535480" w:rsidRDefault="00535480" w:rsidP="00535480">
      <w:pPr>
        <w:rPr>
          <w:rFonts w:eastAsiaTheme="minorEastAsia"/>
        </w:rPr>
      </w:pPr>
      <w:r>
        <w:lastRenderedPageBreak/>
        <w:t xml:space="preserve">where </w:t>
      </w:r>
      <w:r w:rsidRPr="008F0AC9">
        <w:rPr>
          <w:rFonts w:ascii="Symbol" w:eastAsiaTheme="minorEastAsia" w:hAnsi="Symbol"/>
        </w:rPr>
        <w:t></w:t>
      </w:r>
      <w:r>
        <w:rPr>
          <w:rFonts w:eastAsiaTheme="minorEastAsia"/>
        </w:rPr>
        <w:t xml:space="preserve"> is the elasticity of substitution between consumption and leisure in the CES utility function (equal to 1.2 in the baseline), </w:t>
      </w:r>
      <w:r w:rsidRPr="008F0AC9">
        <w:rPr>
          <w:rFonts w:ascii="Symbol" w:eastAsiaTheme="minorEastAsia" w:hAnsi="Symbol"/>
        </w:rPr>
        <w:t></w:t>
      </w:r>
      <w:r>
        <w:rPr>
          <w:rFonts w:eastAsiaTheme="minorEastAsia"/>
        </w:rPr>
        <w:t xml:space="preserve"> is the share of total hours devoted to leisure (equal to 33 per cent in the baseline), </w:t>
      </w:r>
      <w:r w:rsidRPr="008F0AC9">
        <w:rPr>
          <w:rFonts w:ascii="Symbol" w:eastAsiaTheme="minorEastAsia" w:hAnsi="Symbol"/>
        </w:rPr>
        <w:t></w:t>
      </w:r>
      <w:r>
        <w:rPr>
          <w:rFonts w:eastAsiaTheme="minorEastAsia"/>
        </w:rPr>
        <w:t xml:space="preserve"> is leisure</w:t>
      </w:r>
      <w:r w:rsidR="00F03697">
        <w:rPr>
          <w:rFonts w:eastAsiaTheme="minorEastAsia"/>
        </w:rPr>
        <w:t>’</w:t>
      </w:r>
      <w:r>
        <w:rPr>
          <w:rFonts w:eastAsiaTheme="minorEastAsia"/>
        </w:rPr>
        <w:t>s share of utility (equal to around 30 per cent), H is the after</w:t>
      </w:r>
      <w:r w:rsidR="00F03697">
        <w:rPr>
          <w:rFonts w:eastAsiaTheme="minorEastAsia"/>
        </w:rPr>
        <w:noBreakHyphen/>
      </w:r>
      <w:r>
        <w:rPr>
          <w:rFonts w:eastAsiaTheme="minorEastAsia"/>
        </w:rPr>
        <w:t xml:space="preserve">tax value of </w:t>
      </w:r>
      <w:r w:rsidR="005E6C3D">
        <w:rPr>
          <w:rFonts w:eastAsiaTheme="minorEastAsia"/>
        </w:rPr>
        <w:t>total household hours</w:t>
      </w:r>
      <w:r>
        <w:rPr>
          <w:rFonts w:eastAsiaTheme="minorEastAsia"/>
        </w:rPr>
        <w:t xml:space="preserve"> and M is other income from capital and transfers. The choice of 1.2 for the consumption</w:t>
      </w:r>
      <w:r w:rsidR="00F03697">
        <w:rPr>
          <w:rFonts w:eastAsiaTheme="minorEastAsia"/>
        </w:rPr>
        <w:noBreakHyphen/>
      </w:r>
      <w:r>
        <w:rPr>
          <w:rFonts w:eastAsiaTheme="minorEastAsia"/>
        </w:rPr>
        <w:t>leisure elasticity gives an uncompensated elasticity of labour supply of 0.15,</w:t>
      </w:r>
      <w:r w:rsidRPr="00285633">
        <w:t xml:space="preserve"> </w:t>
      </w:r>
      <w:r w:rsidRPr="00285633">
        <w:rPr>
          <w:rFonts w:eastAsiaTheme="minorEastAsia"/>
        </w:rPr>
        <w:t xml:space="preserve">which is </w:t>
      </w:r>
      <w:r>
        <w:rPr>
          <w:rFonts w:eastAsiaTheme="minorEastAsia"/>
        </w:rPr>
        <w:t xml:space="preserve">slightly </w:t>
      </w:r>
      <w:r w:rsidRPr="00285633">
        <w:rPr>
          <w:rFonts w:eastAsiaTheme="minorEastAsia"/>
        </w:rPr>
        <w:t xml:space="preserve">lower than </w:t>
      </w:r>
      <w:r>
        <w:rPr>
          <w:rFonts w:eastAsiaTheme="minorEastAsia"/>
        </w:rPr>
        <w:t xml:space="preserve">the </w:t>
      </w:r>
      <w:r w:rsidRPr="00285633">
        <w:rPr>
          <w:rFonts w:eastAsiaTheme="minorEastAsia"/>
        </w:rPr>
        <w:t xml:space="preserve">0.2 </w:t>
      </w:r>
      <w:r>
        <w:rPr>
          <w:rFonts w:eastAsiaTheme="minorEastAsia"/>
        </w:rPr>
        <w:t>assumed in</w:t>
      </w:r>
      <w:r w:rsidRPr="00285633">
        <w:rPr>
          <w:rFonts w:eastAsiaTheme="minorEastAsia"/>
        </w:rPr>
        <w:t xml:space="preserve"> </w:t>
      </w:r>
      <w:r>
        <w:rPr>
          <w:rFonts w:eastAsiaTheme="minorEastAsia"/>
        </w:rPr>
        <w:t>Independent Economics</w:t>
      </w:r>
      <w:r w:rsidRPr="00285633">
        <w:rPr>
          <w:rFonts w:eastAsiaTheme="minorEastAsia"/>
        </w:rPr>
        <w:t xml:space="preserve"> (2014).</w:t>
      </w:r>
    </w:p>
    <w:p w14:paraId="29DD6B0D" w14:textId="15CE6A80" w:rsidR="000F1DD8" w:rsidRDefault="00535480" w:rsidP="00535480">
      <w:r>
        <w:t xml:space="preserve">To test the sensitivity of the results to changes in this elasticity, we </w:t>
      </w:r>
      <w:r w:rsidR="00487FBE">
        <w:t>consider</w:t>
      </w:r>
      <w:r>
        <w:t xml:space="preserve"> two alternatives: a low elasticity of zero</w:t>
      </w:r>
      <w:r w:rsidR="00487FBE">
        <w:t>;</w:t>
      </w:r>
      <w:r>
        <w:t xml:space="preserve"> and a high elasticity of 2.4</w:t>
      </w:r>
      <w:r w:rsidR="0013494F">
        <w:t xml:space="preserve">. As expected, </w:t>
      </w:r>
      <w:r w:rsidR="00B843C6">
        <w:t xml:space="preserve">Chart </w:t>
      </w:r>
      <w:r w:rsidR="00B843C6">
        <w:rPr>
          <w:noProof/>
        </w:rPr>
        <w:t>49</w:t>
      </w:r>
      <w:r w:rsidR="006152DE">
        <w:t xml:space="preserve"> and </w:t>
      </w:r>
      <w:r w:rsidR="00B843C6">
        <w:t xml:space="preserve">Chart </w:t>
      </w:r>
      <w:r w:rsidR="00B843C6">
        <w:rPr>
          <w:noProof/>
        </w:rPr>
        <w:t>50</w:t>
      </w:r>
      <w:r w:rsidR="0013494F">
        <w:t xml:space="preserve"> show that the </w:t>
      </w:r>
      <w:r w:rsidR="007B5309">
        <w:t xml:space="preserve">marginal </w:t>
      </w:r>
      <w:r w:rsidR="0013494F">
        <w:t>excess burden</w:t>
      </w:r>
      <w:r w:rsidR="00487FBE">
        <w:t>s</w:t>
      </w:r>
      <w:r w:rsidR="0013494F">
        <w:t xml:space="preserve"> </w:t>
      </w:r>
      <w:r w:rsidR="00487FBE">
        <w:t xml:space="preserve">of most taxes </w:t>
      </w:r>
      <w:r w:rsidR="0013494F">
        <w:t>rise with the substitutability of consumption and leisure.</w:t>
      </w:r>
    </w:p>
    <w:p w14:paraId="29DD6B0E" w14:textId="6039E8F5" w:rsidR="000F1DD8" w:rsidRDefault="000F1DD8" w:rsidP="00E82F3E">
      <w:pPr>
        <w:pStyle w:val="Caption1"/>
      </w:pPr>
      <w:bookmarkStart w:id="66" w:name="_Ref400545291"/>
      <w:r>
        <w:t xml:space="preserve">Chart </w:t>
      </w:r>
      <w:r w:rsidR="00866AD9">
        <w:fldChar w:fldCharType="begin"/>
      </w:r>
      <w:r w:rsidR="00866AD9">
        <w:instrText xml:space="preserve"> SEQ Chart \* ARABIC </w:instrText>
      </w:r>
      <w:r w:rsidR="00866AD9">
        <w:fldChar w:fldCharType="separate"/>
      </w:r>
      <w:r w:rsidR="00AA2137">
        <w:rPr>
          <w:noProof/>
        </w:rPr>
        <w:t>49</w:t>
      </w:r>
      <w:r w:rsidR="00866AD9">
        <w:rPr>
          <w:noProof/>
        </w:rPr>
        <w:fldChar w:fldCharType="end"/>
      </w:r>
      <w:bookmarkEnd w:id="66"/>
      <w:r>
        <w:t xml:space="preserve">: </w:t>
      </w:r>
      <w:r w:rsidR="007B5309">
        <w:t>Marginal e</w:t>
      </w:r>
      <w:r>
        <w:t>xcess burden</w:t>
      </w:r>
      <w:r w:rsidR="004C5CFD">
        <w:t xml:space="preserve"> — </w:t>
      </w:r>
      <w:r>
        <w:t>Sensitivity to consumption</w:t>
      </w:r>
      <w:r w:rsidR="00F03697">
        <w:noBreakHyphen/>
      </w:r>
      <w:r>
        <w:t>leisure elasticity</w:t>
      </w:r>
    </w:p>
    <w:p w14:paraId="29DD6B0F" w14:textId="161BE7AD" w:rsidR="00B55F08" w:rsidRDefault="00866AD9" w:rsidP="00B066B3">
      <w:pPr>
        <w:pStyle w:val="Caption1"/>
      </w:pPr>
      <w:r>
        <w:pict w14:anchorId="3BC37158">
          <v:shape id="_x0000_i1095" type="#_x0000_t75" alt="This sensitivity chart compares the baseline marginal excess burden estimates of major taxes to results obtained under the alternative assumption of households having a higher and lower elasticity of substitution between consumption and leisure." style="width:436.3pt;height:225.25pt">
            <v:imagedata r:id="rId133" o:title=""/>
          </v:shape>
        </w:pict>
      </w:r>
    </w:p>
    <w:p w14:paraId="65BBDBD7" w14:textId="0C24AB4E" w:rsidR="00F74E3C" w:rsidRDefault="00F74E3C" w:rsidP="0055740C">
      <w:pPr>
        <w:pStyle w:val="Source"/>
        <w:ind w:left="426"/>
      </w:pPr>
      <w:r>
        <w:rPr>
          <w:lang w:val="en-US"/>
        </w:rPr>
        <w:t xml:space="preserve">Source: </w:t>
      </w:r>
      <w:r>
        <w:t>Treasury estimates.</w:t>
      </w:r>
    </w:p>
    <w:p w14:paraId="726869AE" w14:textId="77777777" w:rsidR="007B5309" w:rsidRDefault="007B5309" w:rsidP="009A29E1">
      <w:pPr>
        <w:pStyle w:val="Source"/>
      </w:pPr>
    </w:p>
    <w:p w14:paraId="29DD6B10" w14:textId="41EB12FD" w:rsidR="00B55F08" w:rsidRDefault="00B55F08" w:rsidP="00E82F3E">
      <w:pPr>
        <w:pStyle w:val="Caption1"/>
      </w:pPr>
      <w:bookmarkStart w:id="67" w:name="_Ref401938344"/>
      <w:r w:rsidRPr="00DB1610">
        <w:lastRenderedPageBreak/>
        <w:t xml:space="preserve">Chart </w:t>
      </w:r>
      <w:r w:rsidR="00866AD9">
        <w:fldChar w:fldCharType="begin"/>
      </w:r>
      <w:r w:rsidR="00866AD9">
        <w:instrText xml:space="preserve"> SEQ Chart \* ARABIC </w:instrText>
      </w:r>
      <w:r w:rsidR="00866AD9">
        <w:fldChar w:fldCharType="separate"/>
      </w:r>
      <w:r w:rsidR="00AA2137" w:rsidRPr="00DB1610">
        <w:t>50</w:t>
      </w:r>
      <w:r w:rsidR="00866AD9">
        <w:fldChar w:fldCharType="end"/>
      </w:r>
      <w:bookmarkEnd w:id="67"/>
      <w:r w:rsidRPr="00DB1610">
        <w:t xml:space="preserve">: Relative </w:t>
      </w:r>
      <w:r w:rsidR="007B5309" w:rsidRPr="00DB1610">
        <w:t xml:space="preserve">marginal </w:t>
      </w:r>
      <w:r w:rsidRPr="00DB1610">
        <w:t>excess burden</w:t>
      </w:r>
      <w:r w:rsidR="004C5CFD" w:rsidRPr="00DB1610">
        <w:t xml:space="preserve"> — </w:t>
      </w:r>
      <w:r w:rsidRPr="00DB1610">
        <w:t>Sensitivity to consumption</w:t>
      </w:r>
      <w:r w:rsidR="00F03697" w:rsidRPr="00DB1610">
        <w:noBreakHyphen/>
      </w:r>
      <w:r w:rsidRPr="00DB1610">
        <w:t>leisure</w:t>
      </w:r>
      <w:r>
        <w:t xml:space="preserve"> elasticity</w:t>
      </w:r>
    </w:p>
    <w:p w14:paraId="29DD6B11" w14:textId="45CB5887" w:rsidR="00B55F08" w:rsidRDefault="00866AD9" w:rsidP="00B066B3">
      <w:pPr>
        <w:pStyle w:val="Caption1"/>
      </w:pPr>
      <w:r>
        <w:pict w14:anchorId="270B669A">
          <v:shape id="_x0000_i1096" type="#_x0000_t75" alt="This sensitivity chart compares the baseline relative marginal excess burden estimates of major taxes to results obtained under the alternative assumption of households having a higher and lower elasticity of substitution between consumption and leisure." style="width:436.3pt;height:225.25pt">
            <v:imagedata r:id="rId134" o:title=""/>
          </v:shape>
        </w:pict>
      </w:r>
    </w:p>
    <w:p w14:paraId="5C045978" w14:textId="75CC7B77" w:rsidR="00F74E3C" w:rsidRPr="00F2221C" w:rsidRDefault="00F74E3C" w:rsidP="007D4848">
      <w:pPr>
        <w:pStyle w:val="Source"/>
        <w:spacing w:after="0"/>
        <w:ind w:left="426"/>
      </w:pPr>
      <w:r w:rsidRPr="00F2221C">
        <w:rPr>
          <w:lang w:val="en-US"/>
        </w:rPr>
        <w:t xml:space="preserve">Source: </w:t>
      </w:r>
      <w:r w:rsidRPr="00F2221C">
        <w:t>Treasury estimates.</w:t>
      </w:r>
    </w:p>
    <w:p w14:paraId="3120EA9D" w14:textId="00601146" w:rsidR="00224587" w:rsidRPr="00B55F08" w:rsidRDefault="00224587" w:rsidP="003921FE">
      <w:pPr>
        <w:pStyle w:val="Source"/>
        <w:spacing w:after="0"/>
        <w:ind w:left="426"/>
      </w:pPr>
      <w:r w:rsidRPr="00F2221C">
        <w:t xml:space="preserve">Note: Relative </w:t>
      </w:r>
      <w:r w:rsidR="007B5309">
        <w:t xml:space="preserve">marginal </w:t>
      </w:r>
      <w:r w:rsidRPr="00F2221C">
        <w:t>excess burdens are reported relative to the flat labour income tax.</w:t>
      </w:r>
      <w:r w:rsidR="00AE5660" w:rsidRPr="00F2221C">
        <w:t xml:space="preserve"> The relative </w:t>
      </w:r>
      <w:r w:rsidR="007B5309">
        <w:t xml:space="preserve">marginal </w:t>
      </w:r>
      <w:r w:rsidR="00AE5660" w:rsidRPr="00F2221C">
        <w:t>excess burden for the low elasticity estimates</w:t>
      </w:r>
      <w:r w:rsidR="007D4848">
        <w:t xml:space="preserve"> are</w:t>
      </w:r>
      <w:r w:rsidR="00AE5660" w:rsidRPr="00F2221C">
        <w:t xml:space="preserve"> not reported because the marginal excess burden o</w:t>
      </w:r>
      <w:r w:rsidR="00B556C3" w:rsidRPr="00F2221C">
        <w:t>f</w:t>
      </w:r>
      <w:r w:rsidR="00AE5660" w:rsidRPr="00F2221C">
        <w:t xml:space="preserve"> the labour income tax is zero.</w:t>
      </w:r>
    </w:p>
    <w:p w14:paraId="00836015" w14:textId="77777777" w:rsidR="007D4848" w:rsidRDefault="007D4848" w:rsidP="007D4848">
      <w:pPr>
        <w:pStyle w:val="SingleParagraph"/>
      </w:pPr>
    </w:p>
    <w:p w14:paraId="29DD6B12" w14:textId="5D0F9126" w:rsidR="000F1DD8" w:rsidRPr="003921FE" w:rsidRDefault="00A942B5" w:rsidP="003921FE">
      <w:pPr>
        <w:pStyle w:val="Heading4"/>
      </w:pPr>
      <w:r w:rsidRPr="003921FE">
        <w:t>Substitutability</w:t>
      </w:r>
      <w:r w:rsidR="003921FE" w:rsidRPr="003921FE">
        <w:t xml:space="preserve"> </w:t>
      </w:r>
      <w:r w:rsidRPr="003921FE">
        <w:t xml:space="preserve">of different varieties of </w:t>
      </w:r>
      <w:r w:rsidR="0013494F" w:rsidRPr="003921FE">
        <w:t xml:space="preserve">consumption </w:t>
      </w:r>
      <w:r w:rsidRPr="003921FE">
        <w:t>goods</w:t>
      </w:r>
      <w:r w:rsidR="0013494F" w:rsidRPr="003921FE">
        <w:t xml:space="preserve"> and services</w:t>
      </w:r>
    </w:p>
    <w:p w14:paraId="29DD6B13" w14:textId="3AE83111" w:rsidR="000F1DD8" w:rsidRPr="0013494F" w:rsidRDefault="00487FBE" w:rsidP="000F1385">
      <w:r>
        <w:t>The household has a nest</w:t>
      </w:r>
      <w:r w:rsidR="0087550E">
        <w:t>ed</w:t>
      </w:r>
      <w:r>
        <w:t xml:space="preserve"> utility function. The top level is </w:t>
      </w:r>
      <w:r w:rsidR="00506981">
        <w:t xml:space="preserve">a CES </w:t>
      </w:r>
      <w:r>
        <w:t xml:space="preserve">function of a consumption bundle and leisure time. The consumption bundle is </w:t>
      </w:r>
      <w:r w:rsidR="0013494F">
        <w:t>modelled as a CES aggregate of</w:t>
      </w:r>
      <w:r w:rsidR="000F1DD8" w:rsidRPr="0013494F">
        <w:t xml:space="preserve"> various </w:t>
      </w:r>
      <w:r w:rsidR="0013494F">
        <w:t xml:space="preserve">types of </w:t>
      </w:r>
      <w:r w:rsidR="000F1DD8" w:rsidRPr="0013494F">
        <w:t>consumption goods and services</w:t>
      </w:r>
      <w:r w:rsidR="0013494F">
        <w:t xml:space="preserve">. The baseline calibration assumes </w:t>
      </w:r>
      <w:r w:rsidR="00506981">
        <w:t>that the</w:t>
      </w:r>
      <w:r w:rsidR="000F1DD8" w:rsidRPr="0013494F">
        <w:t xml:space="preserve"> elasticity of </w:t>
      </w:r>
      <w:r w:rsidR="00506981">
        <w:t>substitution across these goods and services is</w:t>
      </w:r>
      <w:r w:rsidR="00506981" w:rsidRPr="0013494F">
        <w:t xml:space="preserve"> </w:t>
      </w:r>
      <w:r w:rsidR="000F1DD8" w:rsidRPr="0013494F">
        <w:t xml:space="preserve">0.6. </w:t>
      </w:r>
      <w:r w:rsidR="0013494F">
        <w:t>To</w:t>
      </w:r>
      <w:r w:rsidR="000F1DD8" w:rsidRPr="0013494F">
        <w:t xml:space="preserve"> test the sensitivity of the results to this parameter we </w:t>
      </w:r>
      <w:r w:rsidR="00506981">
        <w:t xml:space="preserve">consider a low elasticity of zero and a high elasticity of </w:t>
      </w:r>
      <w:r w:rsidR="000F1DD8" w:rsidRPr="0013494F">
        <w:t>1.2.</w:t>
      </w:r>
    </w:p>
    <w:p w14:paraId="29DD6B14" w14:textId="6575877B" w:rsidR="000F1DD8" w:rsidRDefault="00B843C6" w:rsidP="000F1385">
      <w:r>
        <w:t xml:space="preserve">Chart </w:t>
      </w:r>
      <w:r>
        <w:rPr>
          <w:noProof/>
        </w:rPr>
        <w:t>51</w:t>
      </w:r>
      <w:r w:rsidR="006152DE">
        <w:t xml:space="preserve"> and </w:t>
      </w:r>
      <w:r>
        <w:t xml:space="preserve">Chart </w:t>
      </w:r>
      <w:r>
        <w:rPr>
          <w:noProof/>
        </w:rPr>
        <w:t>52</w:t>
      </w:r>
      <w:r w:rsidR="0013494F">
        <w:t xml:space="preserve"> reveal </w:t>
      </w:r>
      <w:r w:rsidR="00506981">
        <w:t>the marginal excess burdens of the GST and stamp duty on conveyances are sensitive to this parameter: lower elasticities imply lower marginal excess burdens for these taxes</w:t>
      </w:r>
      <w:r w:rsidR="0013494F">
        <w:t>.</w:t>
      </w:r>
    </w:p>
    <w:p w14:paraId="29DD6B15" w14:textId="020B1570" w:rsidR="000F1DD8" w:rsidRDefault="000F1DD8" w:rsidP="00E82F3E">
      <w:pPr>
        <w:pStyle w:val="Caption1"/>
      </w:pPr>
      <w:bookmarkStart w:id="68" w:name="_Ref400545555"/>
      <w:r>
        <w:lastRenderedPageBreak/>
        <w:t xml:space="preserve">Chart </w:t>
      </w:r>
      <w:r w:rsidR="00866AD9">
        <w:fldChar w:fldCharType="begin"/>
      </w:r>
      <w:r w:rsidR="00866AD9">
        <w:instrText xml:space="preserve"> SEQ Chart \* ARABIC </w:instrText>
      </w:r>
      <w:r w:rsidR="00866AD9">
        <w:fldChar w:fldCharType="separate"/>
      </w:r>
      <w:r w:rsidR="00AA2137">
        <w:rPr>
          <w:noProof/>
        </w:rPr>
        <w:t>51</w:t>
      </w:r>
      <w:r w:rsidR="00866AD9">
        <w:rPr>
          <w:noProof/>
        </w:rPr>
        <w:fldChar w:fldCharType="end"/>
      </w:r>
      <w:bookmarkEnd w:id="68"/>
      <w:r>
        <w:t xml:space="preserve">: </w:t>
      </w:r>
      <w:r w:rsidR="007B5309">
        <w:t>Marginal e</w:t>
      </w:r>
      <w:r>
        <w:t>xcess burden</w:t>
      </w:r>
      <w:r w:rsidR="004C5CFD">
        <w:t xml:space="preserve"> — </w:t>
      </w:r>
      <w:r>
        <w:t>Sensitivity to consumption good elasticity</w:t>
      </w:r>
    </w:p>
    <w:p w14:paraId="29DD6B16" w14:textId="447ADCB5" w:rsidR="000F1DD8" w:rsidRDefault="00866AD9" w:rsidP="00B066B3">
      <w:pPr>
        <w:pStyle w:val="Caption1"/>
      </w:pPr>
      <w:r>
        <w:pict w14:anchorId="51AFFB2B">
          <v:shape id="_x0000_i1097" type="#_x0000_t75" alt="This sensitivity chart compares the baseline marginal excess burden estimates of major taxes to results obtained under the alternative assumption of households having a higher and lower elasticity of substitution between varieties of goods and services." style="width:436.3pt;height:225.25pt">
            <v:imagedata r:id="rId135" o:title=""/>
          </v:shape>
        </w:pict>
      </w:r>
    </w:p>
    <w:p w14:paraId="6409EB8F" w14:textId="426D7E5A" w:rsidR="00A228A1" w:rsidRDefault="00F74E3C" w:rsidP="0055740C">
      <w:pPr>
        <w:pStyle w:val="Source"/>
        <w:ind w:left="426"/>
      </w:pPr>
      <w:r>
        <w:rPr>
          <w:lang w:val="en-US"/>
        </w:rPr>
        <w:t xml:space="preserve">Source: </w:t>
      </w:r>
      <w:r w:rsidR="00506981">
        <w:t>Treasury estimates.</w:t>
      </w:r>
    </w:p>
    <w:p w14:paraId="29DD6B17" w14:textId="7E4226FA" w:rsidR="00B55F08" w:rsidRDefault="00B55F08" w:rsidP="00E82F3E">
      <w:pPr>
        <w:pStyle w:val="Caption1"/>
      </w:pPr>
      <w:bookmarkStart w:id="69" w:name="_Ref401938378"/>
      <w:r>
        <w:t xml:space="preserve">Chart </w:t>
      </w:r>
      <w:r w:rsidR="00866AD9">
        <w:fldChar w:fldCharType="begin"/>
      </w:r>
      <w:r w:rsidR="00866AD9">
        <w:instrText xml:space="preserve"> SEQ Chart \* ARABIC </w:instrText>
      </w:r>
      <w:r w:rsidR="00866AD9">
        <w:fldChar w:fldCharType="separate"/>
      </w:r>
      <w:r w:rsidR="00AA2137">
        <w:rPr>
          <w:noProof/>
        </w:rPr>
        <w:t>52</w:t>
      </w:r>
      <w:r w:rsidR="00866AD9">
        <w:rPr>
          <w:noProof/>
        </w:rPr>
        <w:fldChar w:fldCharType="end"/>
      </w:r>
      <w:bookmarkEnd w:id="69"/>
      <w:r>
        <w:t xml:space="preserve">: Relative </w:t>
      </w:r>
      <w:r w:rsidR="007B5309">
        <w:t xml:space="preserve">marginal </w:t>
      </w:r>
      <w:r>
        <w:t>excess burden</w:t>
      </w:r>
      <w:r w:rsidR="004C5CFD">
        <w:t xml:space="preserve"> — </w:t>
      </w:r>
      <w:r>
        <w:t>Sensitivity to consumption good elasticity</w:t>
      </w:r>
    </w:p>
    <w:p w14:paraId="29DD6B18" w14:textId="50881167" w:rsidR="00B55F08" w:rsidRDefault="00866AD9" w:rsidP="00B066B3">
      <w:pPr>
        <w:pStyle w:val="Caption1"/>
      </w:pPr>
      <w:r>
        <w:pict w14:anchorId="1C3272B4">
          <v:shape id="_x0000_i1098" type="#_x0000_t75" alt="This sensitivity chart compares the baseline relative marginal excess burden estimates of major taxes to results obtained under the alternative assumption of households having a higher and lower elasticity of substitution across varieties of goods and services." style="width:436.3pt;height:225.25pt">
            <v:imagedata r:id="rId136" o:title=""/>
          </v:shape>
        </w:pict>
      </w:r>
    </w:p>
    <w:p w14:paraId="4821AD4D" w14:textId="423648E7" w:rsidR="00F74E3C" w:rsidRDefault="00F74E3C" w:rsidP="0055740C">
      <w:pPr>
        <w:pStyle w:val="Source"/>
        <w:spacing w:after="0"/>
        <w:ind w:left="426"/>
      </w:pPr>
      <w:r>
        <w:rPr>
          <w:lang w:val="en-US"/>
        </w:rPr>
        <w:t xml:space="preserve">Source: </w:t>
      </w:r>
      <w:r>
        <w:t>Treasury estimates.</w:t>
      </w:r>
    </w:p>
    <w:p w14:paraId="3E2C2681" w14:textId="4ADE34FD" w:rsidR="00F744DF" w:rsidRDefault="00224587" w:rsidP="003921FE">
      <w:pPr>
        <w:pStyle w:val="Source"/>
        <w:spacing w:after="0"/>
        <w:ind w:left="426"/>
      </w:pPr>
      <w:r>
        <w:t xml:space="preserve">Note: Relative </w:t>
      </w:r>
      <w:r w:rsidR="007B5309">
        <w:t xml:space="preserve">marginal </w:t>
      </w:r>
      <w:r>
        <w:t>excess burdens are reported relative to the flat labour income tax.</w:t>
      </w:r>
    </w:p>
    <w:p w14:paraId="651C6A2D" w14:textId="77777777" w:rsidR="0055740C" w:rsidRPr="0055740C" w:rsidRDefault="0055740C" w:rsidP="0055740C">
      <w:pPr>
        <w:pStyle w:val="SingleParagraph"/>
        <w:rPr>
          <w:lang w:eastAsia="en-AU"/>
        </w:rPr>
      </w:pPr>
    </w:p>
    <w:p w14:paraId="7D8DE40E" w14:textId="7A734A80" w:rsidR="00E9667C" w:rsidRDefault="005C3039" w:rsidP="005C3039">
      <w:pPr>
        <w:pStyle w:val="Heading4"/>
      </w:pPr>
      <w:r>
        <w:t>Domestic savings behaviour</w:t>
      </w:r>
    </w:p>
    <w:p w14:paraId="09C2791F" w14:textId="4A49ED19" w:rsidR="00E9667C" w:rsidRDefault="00506981">
      <w:r w:rsidRPr="00906764">
        <w:t xml:space="preserve">The baseline calibration assumes fixed domestic capital holdings. </w:t>
      </w:r>
      <w:r w:rsidR="006C2674" w:rsidRPr="00906764">
        <w:t>However, a</w:t>
      </w:r>
      <w:r w:rsidR="00E9667C" w:rsidRPr="00906764">
        <w:t xml:space="preserve"> common assumption in static and backward</w:t>
      </w:r>
      <w:r w:rsidR="00F03697">
        <w:noBreakHyphen/>
      </w:r>
      <w:r w:rsidR="00E9667C" w:rsidRPr="00906764">
        <w:t>looking dynamic CGE models is a fixed s</w:t>
      </w:r>
      <w:r w:rsidR="00F2221C" w:rsidRPr="00906764">
        <w:t>aving rate (</w:t>
      </w:r>
      <w:r w:rsidRPr="00906764">
        <w:t>see for example</w:t>
      </w:r>
      <w:r w:rsidR="00F2221C" w:rsidRPr="00906764">
        <w:t>, Adams et al., 2010 and Pant, 2007</w:t>
      </w:r>
      <w:r w:rsidR="00E9667C" w:rsidRPr="00906764">
        <w:t xml:space="preserve">). To test the sensitivity of the results to this assumption we have implemented </w:t>
      </w:r>
      <w:r w:rsidR="00C050C8" w:rsidRPr="00906764">
        <w:t>a fixed savi</w:t>
      </w:r>
      <w:r w:rsidR="001A6666" w:rsidRPr="00906764">
        <w:t>ngs rate</w:t>
      </w:r>
      <w:r w:rsidR="006C2674" w:rsidRPr="00906764">
        <w:t xml:space="preserve"> (</w:t>
      </w:r>
      <w:r w:rsidR="00621AD1">
        <w:t>that is</w:t>
      </w:r>
      <w:r w:rsidR="006C2674" w:rsidRPr="00906764">
        <w:t>, the household is assumed to save according to a constant long</w:t>
      </w:r>
      <w:r w:rsidR="00F03697">
        <w:noBreakHyphen/>
      </w:r>
      <w:r w:rsidR="006C2674" w:rsidRPr="00906764">
        <w:t>run saving rate on after</w:t>
      </w:r>
      <w:r w:rsidR="00F03697">
        <w:noBreakHyphen/>
      </w:r>
      <w:r w:rsidR="006C2674" w:rsidRPr="00906764">
        <w:t>tax income).</w:t>
      </w:r>
      <w:r w:rsidR="006C2674" w:rsidRPr="00906764">
        <w:rPr>
          <w:rStyle w:val="FootnoteReference"/>
        </w:rPr>
        <w:footnoteReference w:id="28"/>
      </w:r>
      <w:r w:rsidR="006C2674" w:rsidRPr="00906764">
        <w:t xml:space="preserve"> </w:t>
      </w:r>
      <w:r w:rsidR="00B843C6" w:rsidRPr="00906764">
        <w:t xml:space="preserve">Chart </w:t>
      </w:r>
      <w:r w:rsidR="00B843C6" w:rsidRPr="00906764">
        <w:rPr>
          <w:noProof/>
        </w:rPr>
        <w:t>53</w:t>
      </w:r>
      <w:r w:rsidR="00492EE5" w:rsidRPr="00906764">
        <w:t xml:space="preserve"> </w:t>
      </w:r>
      <w:r w:rsidR="00C050C8" w:rsidRPr="00906764">
        <w:t xml:space="preserve">and </w:t>
      </w:r>
      <w:r w:rsidR="00B843C6" w:rsidRPr="00906764">
        <w:t xml:space="preserve">Chart </w:t>
      </w:r>
      <w:r w:rsidR="00B843C6" w:rsidRPr="00906764">
        <w:rPr>
          <w:noProof/>
        </w:rPr>
        <w:t>54</w:t>
      </w:r>
      <w:r w:rsidR="00C050C8" w:rsidRPr="00906764">
        <w:t xml:space="preserve"> reveal that the savings decision assumption has no significant effect across any of the taxes modelled.</w:t>
      </w:r>
    </w:p>
    <w:p w14:paraId="05AA20E2" w14:textId="295E2048" w:rsidR="00C050C8" w:rsidRDefault="00C050C8" w:rsidP="00E82F3E">
      <w:pPr>
        <w:pStyle w:val="Caption1"/>
      </w:pPr>
      <w:bookmarkStart w:id="70" w:name="_Ref404329245"/>
      <w:r>
        <w:lastRenderedPageBreak/>
        <w:t xml:space="preserve">Chart </w:t>
      </w:r>
      <w:r w:rsidR="00866AD9">
        <w:fldChar w:fldCharType="begin"/>
      </w:r>
      <w:r w:rsidR="00866AD9">
        <w:instrText xml:space="preserve"> SEQ Chart \* ARABIC </w:instrText>
      </w:r>
      <w:r w:rsidR="00866AD9">
        <w:fldChar w:fldCharType="separate"/>
      </w:r>
      <w:r w:rsidR="00AA2137">
        <w:rPr>
          <w:noProof/>
        </w:rPr>
        <w:t>53</w:t>
      </w:r>
      <w:r w:rsidR="00866AD9">
        <w:rPr>
          <w:noProof/>
        </w:rPr>
        <w:fldChar w:fldCharType="end"/>
      </w:r>
      <w:bookmarkEnd w:id="70"/>
      <w:r>
        <w:t xml:space="preserve">: </w:t>
      </w:r>
      <w:r w:rsidR="007B5309">
        <w:t>Marginal e</w:t>
      </w:r>
      <w:r>
        <w:t>xcess burden</w:t>
      </w:r>
      <w:r w:rsidR="004C5CFD">
        <w:t xml:space="preserve"> — </w:t>
      </w:r>
      <w:r>
        <w:t xml:space="preserve">Sensitivity to </w:t>
      </w:r>
      <w:r w:rsidR="00D57B93">
        <w:t xml:space="preserve">savings </w:t>
      </w:r>
      <w:r w:rsidR="005C3039">
        <w:t>behaviour</w:t>
      </w:r>
    </w:p>
    <w:p w14:paraId="616EAFD1" w14:textId="36E29748" w:rsidR="00492EE5" w:rsidRDefault="00866AD9" w:rsidP="00B066B3">
      <w:pPr>
        <w:pStyle w:val="Caption1"/>
      </w:pPr>
      <w:r>
        <w:pict w14:anchorId="30FB21A1">
          <v:shape id="_x0000_i1099" type="#_x0000_t75" alt="This sensitivity chart compares the baseline marginal excess burden estimates of major taxes to results obtained under the alternative assumption of households having a fixed savings rate." style="width:436.3pt;height:225.25pt">
            <v:imagedata r:id="rId137" o:title=""/>
          </v:shape>
        </w:pict>
      </w:r>
    </w:p>
    <w:p w14:paraId="1F573C99" w14:textId="379795CB" w:rsidR="00F74E3C" w:rsidRDefault="00F74E3C" w:rsidP="0055740C">
      <w:pPr>
        <w:pStyle w:val="Source"/>
        <w:ind w:left="426"/>
      </w:pPr>
      <w:r>
        <w:rPr>
          <w:lang w:val="en-US"/>
        </w:rPr>
        <w:t xml:space="preserve">Source: </w:t>
      </w:r>
      <w:r>
        <w:t>Treasury estimates.</w:t>
      </w:r>
    </w:p>
    <w:p w14:paraId="28C02539" w14:textId="1FE71543" w:rsidR="00C10AE9" w:rsidRDefault="00C10AE9" w:rsidP="00E82F3E">
      <w:pPr>
        <w:pStyle w:val="Caption1"/>
      </w:pPr>
      <w:bookmarkStart w:id="71" w:name="_Ref404329255"/>
      <w:r>
        <w:t xml:space="preserve">Chart </w:t>
      </w:r>
      <w:r w:rsidR="00866AD9">
        <w:fldChar w:fldCharType="begin"/>
      </w:r>
      <w:r w:rsidR="00866AD9">
        <w:instrText xml:space="preserve"> SEQ Chart \* ARABIC </w:instrText>
      </w:r>
      <w:r w:rsidR="00866AD9">
        <w:fldChar w:fldCharType="separate"/>
      </w:r>
      <w:r w:rsidR="00AA2137">
        <w:rPr>
          <w:noProof/>
        </w:rPr>
        <w:t>54</w:t>
      </w:r>
      <w:r w:rsidR="00866AD9">
        <w:rPr>
          <w:noProof/>
        </w:rPr>
        <w:fldChar w:fldCharType="end"/>
      </w:r>
      <w:bookmarkEnd w:id="71"/>
      <w:r>
        <w:t xml:space="preserve">: Relative </w:t>
      </w:r>
      <w:r w:rsidR="00283616">
        <w:t xml:space="preserve">marginal </w:t>
      </w:r>
      <w:r>
        <w:t>excess burden</w:t>
      </w:r>
      <w:r w:rsidR="004C5CFD">
        <w:t xml:space="preserve"> — </w:t>
      </w:r>
      <w:r>
        <w:t xml:space="preserve">Sensitivity to savings </w:t>
      </w:r>
      <w:r w:rsidR="005C3039">
        <w:t>behaviour</w:t>
      </w:r>
    </w:p>
    <w:p w14:paraId="19D46EC4" w14:textId="242AD324" w:rsidR="00C050C8" w:rsidRDefault="00866AD9" w:rsidP="00B066B3">
      <w:pPr>
        <w:pStyle w:val="Caption1"/>
      </w:pPr>
      <w:r>
        <w:pict w14:anchorId="79CF5EB8">
          <v:shape id="_x0000_i1100" type="#_x0000_t75" alt="This sensitivity chart compares the baseline relative marginal excess burden estimates of major taxes to results obtained under the alternative assumption of households having a fixed savings rate." style="width:436.3pt;height:225.25pt">
            <v:imagedata r:id="rId138" o:title=""/>
          </v:shape>
        </w:pict>
      </w:r>
    </w:p>
    <w:p w14:paraId="1E8F4545" w14:textId="4D5A5859" w:rsidR="00F74E3C" w:rsidRDefault="00F74E3C" w:rsidP="0055740C">
      <w:pPr>
        <w:pStyle w:val="Source"/>
        <w:spacing w:after="0"/>
        <w:ind w:left="426"/>
      </w:pPr>
      <w:r>
        <w:rPr>
          <w:lang w:val="en-US"/>
        </w:rPr>
        <w:t xml:space="preserve">Source: </w:t>
      </w:r>
      <w:r>
        <w:t>Treasury estimates.</w:t>
      </w:r>
    </w:p>
    <w:p w14:paraId="7961298D" w14:textId="7F27669B" w:rsidR="00F74E3C" w:rsidRDefault="00F74E3C" w:rsidP="003921FE">
      <w:pPr>
        <w:pStyle w:val="Source"/>
        <w:spacing w:after="0"/>
        <w:ind w:left="426"/>
      </w:pPr>
      <w:r>
        <w:t xml:space="preserve">Note: Relative </w:t>
      </w:r>
      <w:r w:rsidR="00283616">
        <w:t xml:space="preserve">marginal </w:t>
      </w:r>
      <w:r>
        <w:t>excess burdens are reported relative to the flat labour income tax.</w:t>
      </w:r>
    </w:p>
    <w:p w14:paraId="7E4AA3BC" w14:textId="77777777" w:rsidR="00F744DF" w:rsidRDefault="00F744DF" w:rsidP="001A6666">
      <w:pPr>
        <w:rPr>
          <w:rFonts w:asciiTheme="minorHAnsi" w:eastAsia="Times New Roman" w:hAnsiTheme="minorHAnsi" w:cs="Times New Roman"/>
          <w:color w:val="003157"/>
          <w:sz w:val="28"/>
          <w:szCs w:val="20"/>
          <w:lang w:val="en-US" w:eastAsia="en-AU"/>
        </w:rPr>
      </w:pPr>
      <w:r>
        <w:br w:type="page"/>
      </w:r>
    </w:p>
    <w:p w14:paraId="29DD6B1C" w14:textId="384C6EAF" w:rsidR="00CF1E73" w:rsidRDefault="00F744DF" w:rsidP="00AC51D8">
      <w:pPr>
        <w:pStyle w:val="Heading2"/>
        <w:numPr>
          <w:ilvl w:val="0"/>
          <w:numId w:val="0"/>
        </w:numPr>
      </w:pPr>
      <w:r>
        <w:lastRenderedPageBreak/>
        <w:t xml:space="preserve">Appendix B: </w:t>
      </w:r>
      <w:r w:rsidR="00376937">
        <w:t>Calculation of average</w:t>
      </w:r>
      <w:r w:rsidR="00CF1E73">
        <w:t xml:space="preserve"> marginal tax rate</w:t>
      </w:r>
      <w:r w:rsidR="00376937">
        <w:t>s</w:t>
      </w:r>
    </w:p>
    <w:p w14:paraId="29DD6B1D" w14:textId="4BD96F50" w:rsidR="00353D1C" w:rsidRPr="00353D1C" w:rsidRDefault="00353D1C" w:rsidP="00BC691F">
      <w:r w:rsidRPr="00353D1C">
        <w:t xml:space="preserve">The illustrative average marginal tax rates on individual income were prepared using </w:t>
      </w:r>
      <w:r w:rsidR="008B70F2">
        <w:t xml:space="preserve">administrative </w:t>
      </w:r>
      <w:r w:rsidRPr="00353D1C">
        <w:t>data from individuals</w:t>
      </w:r>
      <w:r w:rsidR="00F03697">
        <w:t>’</w:t>
      </w:r>
      <w:r w:rsidRPr="00353D1C">
        <w:t xml:space="preserve"> 2011</w:t>
      </w:r>
      <w:r w:rsidR="00F03697">
        <w:noBreakHyphen/>
      </w:r>
      <w:r w:rsidRPr="00353D1C">
        <w:t>12 tax returns (</w:t>
      </w:r>
      <w:r w:rsidR="00B843C6" w:rsidRPr="00353D1C">
        <w:t xml:space="preserve">Table </w:t>
      </w:r>
      <w:r w:rsidR="00B843C6">
        <w:rPr>
          <w:noProof/>
        </w:rPr>
        <w:t>7</w:t>
      </w:r>
      <w:r w:rsidRPr="00353D1C">
        <w:t>). The average marginal tax rate weighted by (a)</w:t>
      </w:r>
      <w:r w:rsidR="00B556C3">
        <w:t> </w:t>
      </w:r>
      <w:r w:rsidRPr="00353D1C">
        <w:t xml:space="preserve">individuals and (b) </w:t>
      </w:r>
      <w:r w:rsidR="008B70F2">
        <w:t xml:space="preserve">taxable </w:t>
      </w:r>
      <w:r w:rsidR="009437B6">
        <w:t>income, are both presented.</w:t>
      </w:r>
    </w:p>
    <w:p w14:paraId="29DD6B1E" w14:textId="204F8443" w:rsidR="00353D1C" w:rsidRPr="00353D1C" w:rsidRDefault="00353D1C" w:rsidP="00E82F3E">
      <w:pPr>
        <w:pStyle w:val="Caption1"/>
      </w:pPr>
      <w:bookmarkStart w:id="72" w:name="_Ref402351164"/>
      <w:r w:rsidRPr="00353D1C">
        <w:t xml:space="preserve">Table </w:t>
      </w:r>
      <w:r w:rsidR="00866AD9">
        <w:fldChar w:fldCharType="begin"/>
      </w:r>
      <w:r w:rsidR="00866AD9">
        <w:instrText xml:space="preserve"> SEQ Table \* ARABIC </w:instrText>
      </w:r>
      <w:r w:rsidR="00866AD9">
        <w:fldChar w:fldCharType="separate"/>
      </w:r>
      <w:r w:rsidR="00AA2137">
        <w:rPr>
          <w:noProof/>
        </w:rPr>
        <w:t>7</w:t>
      </w:r>
      <w:r w:rsidR="00866AD9">
        <w:rPr>
          <w:noProof/>
        </w:rPr>
        <w:fldChar w:fldCharType="end"/>
      </w:r>
      <w:bookmarkEnd w:id="72"/>
      <w:r w:rsidRPr="00353D1C">
        <w:t>: Derivation of a simple marginal tax rate for 2011</w:t>
      </w:r>
      <w:r w:rsidR="00F03697">
        <w:noBreakHyphen/>
      </w:r>
      <w:r w:rsidRPr="00353D1C">
        <w:t>12</w:t>
      </w:r>
    </w:p>
    <w:tbl>
      <w:tblPr>
        <w:tblW w:w="9180" w:type="dxa"/>
        <w:tblLayout w:type="fixed"/>
        <w:tblLook w:val="04A0" w:firstRow="1" w:lastRow="0" w:firstColumn="1" w:lastColumn="0" w:noHBand="0" w:noVBand="1"/>
      </w:tblPr>
      <w:tblGrid>
        <w:gridCol w:w="2698"/>
        <w:gridCol w:w="112"/>
        <w:gridCol w:w="700"/>
        <w:gridCol w:w="1246"/>
        <w:gridCol w:w="1448"/>
        <w:gridCol w:w="1505"/>
        <w:gridCol w:w="1471"/>
      </w:tblGrid>
      <w:tr w:rsidR="009477AD" w:rsidRPr="00353D1C" w14:paraId="29DD6B24" w14:textId="77777777" w:rsidTr="002D4363">
        <w:trPr>
          <w:trHeight w:val="1033"/>
        </w:trPr>
        <w:tc>
          <w:tcPr>
            <w:tcW w:w="2698" w:type="dxa"/>
            <w:tcBorders>
              <w:top w:val="single" w:sz="4" w:space="0" w:color="auto"/>
              <w:left w:val="nil"/>
              <w:bottom w:val="single" w:sz="4" w:space="0" w:color="auto"/>
              <w:right w:val="nil"/>
            </w:tcBorders>
            <w:shd w:val="clear" w:color="auto" w:fill="auto"/>
            <w:noWrap/>
            <w:hideMark/>
          </w:tcPr>
          <w:p w14:paraId="29DD6B1F" w14:textId="77777777" w:rsidR="00353D1C" w:rsidRPr="00353D1C" w:rsidRDefault="00353D1C" w:rsidP="004B0D65">
            <w:pPr>
              <w:pStyle w:val="TableColumnHeadingCentred"/>
            </w:pPr>
            <w:r w:rsidRPr="00353D1C">
              <w:t>Taxable income</w:t>
            </w:r>
          </w:p>
        </w:tc>
        <w:tc>
          <w:tcPr>
            <w:tcW w:w="2058" w:type="dxa"/>
            <w:gridSpan w:val="3"/>
            <w:tcBorders>
              <w:top w:val="single" w:sz="4" w:space="0" w:color="auto"/>
              <w:left w:val="nil"/>
              <w:bottom w:val="single" w:sz="4" w:space="0" w:color="auto"/>
              <w:right w:val="nil"/>
            </w:tcBorders>
            <w:shd w:val="clear" w:color="auto" w:fill="auto"/>
            <w:vAlign w:val="center"/>
            <w:hideMark/>
          </w:tcPr>
          <w:p w14:paraId="29DD6B20" w14:textId="77777777" w:rsidR="00353D1C" w:rsidRPr="00353D1C" w:rsidRDefault="00353D1C" w:rsidP="004B0D65">
            <w:pPr>
              <w:pStyle w:val="TableColumnHeadingCentred"/>
              <w:rPr>
                <w:rFonts w:ascii="Tahoma" w:hAnsi="Tahoma"/>
                <w:bCs/>
              </w:rPr>
            </w:pPr>
            <w:r w:rsidRPr="00396991">
              <w:t>Marginal tax rate</w:t>
            </w:r>
            <w:r w:rsidRPr="00353D1C">
              <w:rPr>
                <w:rFonts w:ascii="Tahoma" w:hAnsi="Tahoma"/>
                <w:bCs/>
              </w:rPr>
              <w:br/>
            </w:r>
            <w:r w:rsidRPr="004B0D65">
              <w:rPr>
                <w:rFonts w:asciiTheme="minorHAnsi" w:hAnsiTheme="minorHAnsi" w:cstheme="minorHAnsi"/>
                <w:b w:val="0"/>
              </w:rPr>
              <w:t>(personal income tax rate, plus LITO and Medicare levy</w:t>
            </w:r>
            <w:r w:rsidRPr="0005655A">
              <w:t>)</w:t>
            </w:r>
          </w:p>
        </w:tc>
        <w:tc>
          <w:tcPr>
            <w:tcW w:w="1448" w:type="dxa"/>
            <w:tcBorders>
              <w:top w:val="single" w:sz="4" w:space="0" w:color="auto"/>
              <w:left w:val="nil"/>
              <w:bottom w:val="single" w:sz="4" w:space="0" w:color="auto"/>
              <w:right w:val="nil"/>
            </w:tcBorders>
            <w:shd w:val="clear" w:color="auto" w:fill="auto"/>
            <w:noWrap/>
            <w:hideMark/>
          </w:tcPr>
          <w:p w14:paraId="29DD6B21" w14:textId="77777777" w:rsidR="00353D1C" w:rsidRPr="00353D1C" w:rsidRDefault="00353D1C" w:rsidP="004B0D65">
            <w:pPr>
              <w:pStyle w:val="TableColumnHeadingCentred"/>
            </w:pPr>
            <w:r w:rsidRPr="00353D1C">
              <w:t>Number of individuals</w:t>
            </w:r>
          </w:p>
        </w:tc>
        <w:tc>
          <w:tcPr>
            <w:tcW w:w="1505" w:type="dxa"/>
            <w:tcBorders>
              <w:top w:val="single" w:sz="4" w:space="0" w:color="auto"/>
              <w:left w:val="nil"/>
              <w:bottom w:val="single" w:sz="4" w:space="0" w:color="auto"/>
              <w:right w:val="nil"/>
            </w:tcBorders>
            <w:shd w:val="clear" w:color="auto" w:fill="auto"/>
            <w:hideMark/>
          </w:tcPr>
          <w:p w14:paraId="29DD6B22" w14:textId="77777777" w:rsidR="00353D1C" w:rsidRPr="00353D1C" w:rsidRDefault="00353D1C" w:rsidP="004B0D65">
            <w:pPr>
              <w:pStyle w:val="TableColumnHeadingCentred"/>
            </w:pPr>
            <w:r w:rsidRPr="00353D1C">
              <w:t>Total taxable income</w:t>
            </w:r>
            <w:r w:rsidRPr="00353D1C">
              <w:br/>
              <w:t>$m</w:t>
            </w:r>
          </w:p>
        </w:tc>
        <w:tc>
          <w:tcPr>
            <w:tcW w:w="1471" w:type="dxa"/>
            <w:tcBorders>
              <w:top w:val="single" w:sz="4" w:space="0" w:color="auto"/>
              <w:left w:val="nil"/>
              <w:bottom w:val="single" w:sz="4" w:space="0" w:color="auto"/>
              <w:right w:val="nil"/>
            </w:tcBorders>
            <w:shd w:val="clear" w:color="auto" w:fill="auto"/>
            <w:hideMark/>
          </w:tcPr>
          <w:p w14:paraId="29DD6B23" w14:textId="77777777" w:rsidR="00353D1C" w:rsidRPr="00353D1C" w:rsidRDefault="00353D1C" w:rsidP="004B0D65">
            <w:pPr>
              <w:pStyle w:val="TableColumnHeadingCentred"/>
            </w:pPr>
            <w:r w:rsidRPr="00353D1C">
              <w:t>Total net tax</w:t>
            </w:r>
            <w:r w:rsidRPr="00353D1C">
              <w:br/>
              <w:t>$m</w:t>
            </w:r>
          </w:p>
        </w:tc>
      </w:tr>
      <w:tr w:rsidR="009477AD" w:rsidRPr="00353D1C" w14:paraId="29DD6B2A" w14:textId="77777777" w:rsidTr="002D4363">
        <w:trPr>
          <w:trHeight w:val="340"/>
        </w:trPr>
        <w:tc>
          <w:tcPr>
            <w:tcW w:w="2698" w:type="dxa"/>
            <w:tcBorders>
              <w:top w:val="nil"/>
              <w:left w:val="nil"/>
              <w:bottom w:val="nil"/>
              <w:right w:val="nil"/>
            </w:tcBorders>
            <w:shd w:val="clear" w:color="auto" w:fill="auto"/>
            <w:noWrap/>
            <w:vAlign w:val="bottom"/>
            <w:hideMark/>
          </w:tcPr>
          <w:p w14:paraId="29DD6B25"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Up to $16,000</w:t>
            </w:r>
          </w:p>
        </w:tc>
        <w:tc>
          <w:tcPr>
            <w:tcW w:w="2058" w:type="dxa"/>
            <w:gridSpan w:val="3"/>
            <w:tcBorders>
              <w:top w:val="nil"/>
              <w:left w:val="nil"/>
              <w:bottom w:val="nil"/>
              <w:right w:val="nil"/>
            </w:tcBorders>
            <w:shd w:val="clear" w:color="auto" w:fill="auto"/>
            <w:noWrap/>
            <w:vAlign w:val="bottom"/>
            <w:hideMark/>
          </w:tcPr>
          <w:p w14:paraId="29DD6B26"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0%</w:t>
            </w:r>
          </w:p>
        </w:tc>
        <w:tc>
          <w:tcPr>
            <w:tcW w:w="1448" w:type="dxa"/>
            <w:tcBorders>
              <w:top w:val="nil"/>
              <w:left w:val="nil"/>
              <w:bottom w:val="nil"/>
              <w:right w:val="nil"/>
            </w:tcBorders>
            <w:shd w:val="clear" w:color="auto" w:fill="auto"/>
            <w:noWrap/>
            <w:vAlign w:val="bottom"/>
            <w:hideMark/>
          </w:tcPr>
          <w:p w14:paraId="29DD6B27"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2,307,735</w:t>
            </w:r>
          </w:p>
        </w:tc>
        <w:tc>
          <w:tcPr>
            <w:tcW w:w="1505" w:type="dxa"/>
            <w:tcBorders>
              <w:top w:val="nil"/>
              <w:left w:val="nil"/>
              <w:bottom w:val="nil"/>
              <w:right w:val="nil"/>
            </w:tcBorders>
            <w:shd w:val="clear" w:color="auto" w:fill="auto"/>
            <w:noWrap/>
            <w:vAlign w:val="bottom"/>
            <w:hideMark/>
          </w:tcPr>
          <w:p w14:paraId="29DD6B28"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17,931</w:t>
            </w:r>
          </w:p>
        </w:tc>
        <w:tc>
          <w:tcPr>
            <w:tcW w:w="1471" w:type="dxa"/>
            <w:tcBorders>
              <w:top w:val="nil"/>
              <w:left w:val="nil"/>
              <w:bottom w:val="nil"/>
              <w:right w:val="nil"/>
            </w:tcBorders>
            <w:shd w:val="clear" w:color="auto" w:fill="auto"/>
            <w:noWrap/>
            <w:vAlign w:val="bottom"/>
            <w:hideMark/>
          </w:tcPr>
          <w:p w14:paraId="29DD6B29"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8</w:t>
            </w:r>
          </w:p>
        </w:tc>
      </w:tr>
      <w:tr w:rsidR="009477AD" w:rsidRPr="00353D1C" w14:paraId="29DD6B30" w14:textId="77777777" w:rsidTr="002D4363">
        <w:trPr>
          <w:trHeight w:val="340"/>
        </w:trPr>
        <w:tc>
          <w:tcPr>
            <w:tcW w:w="2698" w:type="dxa"/>
            <w:tcBorders>
              <w:top w:val="nil"/>
              <w:left w:val="nil"/>
              <w:bottom w:val="nil"/>
              <w:right w:val="nil"/>
            </w:tcBorders>
            <w:shd w:val="clear" w:color="auto" w:fill="auto"/>
            <w:noWrap/>
            <w:vAlign w:val="bottom"/>
            <w:hideMark/>
          </w:tcPr>
          <w:p w14:paraId="29DD6B2B"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$16,001 to $19,404</w:t>
            </w:r>
          </w:p>
        </w:tc>
        <w:tc>
          <w:tcPr>
            <w:tcW w:w="2058" w:type="dxa"/>
            <w:gridSpan w:val="3"/>
            <w:tcBorders>
              <w:top w:val="nil"/>
              <w:left w:val="nil"/>
              <w:bottom w:val="nil"/>
              <w:right w:val="nil"/>
            </w:tcBorders>
            <w:shd w:val="clear" w:color="auto" w:fill="auto"/>
            <w:noWrap/>
            <w:vAlign w:val="center"/>
            <w:hideMark/>
          </w:tcPr>
          <w:p w14:paraId="29DD6B2C"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15%</w:t>
            </w:r>
          </w:p>
        </w:tc>
        <w:tc>
          <w:tcPr>
            <w:tcW w:w="1448" w:type="dxa"/>
            <w:tcBorders>
              <w:top w:val="nil"/>
              <w:left w:val="nil"/>
              <w:bottom w:val="nil"/>
              <w:right w:val="nil"/>
            </w:tcBorders>
            <w:shd w:val="clear" w:color="auto" w:fill="auto"/>
            <w:noWrap/>
            <w:vAlign w:val="bottom"/>
            <w:hideMark/>
          </w:tcPr>
          <w:p w14:paraId="29DD6B2D"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601,580</w:t>
            </w:r>
          </w:p>
        </w:tc>
        <w:tc>
          <w:tcPr>
            <w:tcW w:w="1505" w:type="dxa"/>
            <w:tcBorders>
              <w:top w:val="nil"/>
              <w:left w:val="nil"/>
              <w:bottom w:val="nil"/>
              <w:right w:val="nil"/>
            </w:tcBorders>
            <w:shd w:val="clear" w:color="auto" w:fill="auto"/>
            <w:noWrap/>
            <w:vAlign w:val="bottom"/>
            <w:hideMark/>
          </w:tcPr>
          <w:p w14:paraId="29DD6B2E"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10,653</w:t>
            </w:r>
          </w:p>
        </w:tc>
        <w:tc>
          <w:tcPr>
            <w:tcW w:w="1471" w:type="dxa"/>
            <w:tcBorders>
              <w:top w:val="nil"/>
              <w:left w:val="nil"/>
              <w:bottom w:val="nil"/>
              <w:right w:val="nil"/>
            </w:tcBorders>
            <w:shd w:val="clear" w:color="auto" w:fill="auto"/>
            <w:noWrap/>
            <w:vAlign w:val="bottom"/>
            <w:hideMark/>
          </w:tcPr>
          <w:p w14:paraId="29DD6B2F"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89</w:t>
            </w:r>
          </w:p>
        </w:tc>
      </w:tr>
      <w:tr w:rsidR="009477AD" w:rsidRPr="00353D1C" w14:paraId="29DD6B36" w14:textId="77777777" w:rsidTr="002D4363">
        <w:trPr>
          <w:trHeight w:val="340"/>
        </w:trPr>
        <w:tc>
          <w:tcPr>
            <w:tcW w:w="2698" w:type="dxa"/>
            <w:tcBorders>
              <w:top w:val="nil"/>
              <w:left w:val="nil"/>
              <w:bottom w:val="nil"/>
              <w:right w:val="nil"/>
            </w:tcBorders>
            <w:shd w:val="clear" w:color="auto" w:fill="auto"/>
            <w:noWrap/>
            <w:vAlign w:val="bottom"/>
            <w:hideMark/>
          </w:tcPr>
          <w:p w14:paraId="29DD6B31"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$19,405 to $22,828</w:t>
            </w:r>
          </w:p>
        </w:tc>
        <w:tc>
          <w:tcPr>
            <w:tcW w:w="2058" w:type="dxa"/>
            <w:gridSpan w:val="3"/>
            <w:tcBorders>
              <w:top w:val="nil"/>
              <w:left w:val="nil"/>
              <w:bottom w:val="nil"/>
              <w:right w:val="nil"/>
            </w:tcBorders>
            <w:shd w:val="clear" w:color="auto" w:fill="auto"/>
            <w:noWrap/>
            <w:vAlign w:val="center"/>
            <w:hideMark/>
          </w:tcPr>
          <w:p w14:paraId="29DD6B32"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25%</w:t>
            </w:r>
          </w:p>
        </w:tc>
        <w:tc>
          <w:tcPr>
            <w:tcW w:w="1448" w:type="dxa"/>
            <w:tcBorders>
              <w:top w:val="nil"/>
              <w:left w:val="nil"/>
              <w:bottom w:val="nil"/>
              <w:right w:val="nil"/>
            </w:tcBorders>
            <w:shd w:val="clear" w:color="auto" w:fill="auto"/>
            <w:noWrap/>
            <w:vAlign w:val="bottom"/>
            <w:hideMark/>
          </w:tcPr>
          <w:p w14:paraId="29DD6B33"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567,445</w:t>
            </w:r>
          </w:p>
        </w:tc>
        <w:tc>
          <w:tcPr>
            <w:tcW w:w="1505" w:type="dxa"/>
            <w:tcBorders>
              <w:top w:val="nil"/>
              <w:left w:val="nil"/>
              <w:bottom w:val="nil"/>
              <w:right w:val="nil"/>
            </w:tcBorders>
            <w:shd w:val="clear" w:color="auto" w:fill="auto"/>
            <w:noWrap/>
            <w:vAlign w:val="bottom"/>
            <w:hideMark/>
          </w:tcPr>
          <w:p w14:paraId="29DD6B34"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11,970</w:t>
            </w:r>
          </w:p>
        </w:tc>
        <w:tc>
          <w:tcPr>
            <w:tcW w:w="1471" w:type="dxa"/>
            <w:tcBorders>
              <w:top w:val="nil"/>
              <w:left w:val="nil"/>
              <w:bottom w:val="nil"/>
              <w:right w:val="nil"/>
            </w:tcBorders>
            <w:shd w:val="clear" w:color="auto" w:fill="auto"/>
            <w:noWrap/>
            <w:vAlign w:val="bottom"/>
            <w:hideMark/>
          </w:tcPr>
          <w:p w14:paraId="29DD6B35"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350</w:t>
            </w:r>
          </w:p>
        </w:tc>
      </w:tr>
      <w:tr w:rsidR="009477AD" w:rsidRPr="00353D1C" w14:paraId="29DD6B3C" w14:textId="77777777" w:rsidTr="002D4363">
        <w:trPr>
          <w:trHeight w:val="340"/>
        </w:trPr>
        <w:tc>
          <w:tcPr>
            <w:tcW w:w="2698" w:type="dxa"/>
            <w:tcBorders>
              <w:top w:val="nil"/>
              <w:left w:val="nil"/>
              <w:bottom w:val="nil"/>
              <w:right w:val="nil"/>
            </w:tcBorders>
            <w:shd w:val="clear" w:color="auto" w:fill="auto"/>
            <w:noWrap/>
            <w:vAlign w:val="bottom"/>
            <w:hideMark/>
          </w:tcPr>
          <w:p w14:paraId="29DD6B37"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$22,829 to $30,000</w:t>
            </w:r>
          </w:p>
        </w:tc>
        <w:tc>
          <w:tcPr>
            <w:tcW w:w="2058" w:type="dxa"/>
            <w:gridSpan w:val="3"/>
            <w:tcBorders>
              <w:top w:val="nil"/>
              <w:left w:val="nil"/>
              <w:bottom w:val="nil"/>
              <w:right w:val="nil"/>
            </w:tcBorders>
            <w:shd w:val="clear" w:color="auto" w:fill="auto"/>
            <w:noWrap/>
            <w:vAlign w:val="center"/>
            <w:hideMark/>
          </w:tcPr>
          <w:p w14:paraId="29DD6B38"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16.5%</w:t>
            </w:r>
          </w:p>
        </w:tc>
        <w:tc>
          <w:tcPr>
            <w:tcW w:w="1448" w:type="dxa"/>
            <w:tcBorders>
              <w:top w:val="nil"/>
              <w:left w:val="nil"/>
              <w:bottom w:val="nil"/>
              <w:right w:val="nil"/>
            </w:tcBorders>
            <w:shd w:val="clear" w:color="auto" w:fill="auto"/>
            <w:noWrap/>
            <w:vAlign w:val="bottom"/>
            <w:hideMark/>
          </w:tcPr>
          <w:p w14:paraId="29DD6B39"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1,129,690</w:t>
            </w:r>
          </w:p>
        </w:tc>
        <w:tc>
          <w:tcPr>
            <w:tcW w:w="1505" w:type="dxa"/>
            <w:tcBorders>
              <w:top w:val="nil"/>
              <w:left w:val="nil"/>
              <w:bottom w:val="nil"/>
              <w:right w:val="nil"/>
            </w:tcBorders>
            <w:shd w:val="clear" w:color="auto" w:fill="auto"/>
            <w:noWrap/>
            <w:vAlign w:val="bottom"/>
            <w:hideMark/>
          </w:tcPr>
          <w:p w14:paraId="29DD6B3A"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29,849</w:t>
            </w:r>
          </w:p>
        </w:tc>
        <w:tc>
          <w:tcPr>
            <w:tcW w:w="1471" w:type="dxa"/>
            <w:tcBorders>
              <w:top w:val="nil"/>
              <w:left w:val="nil"/>
              <w:bottom w:val="nil"/>
              <w:right w:val="nil"/>
            </w:tcBorders>
            <w:shd w:val="clear" w:color="auto" w:fill="auto"/>
            <w:noWrap/>
            <w:vAlign w:val="bottom"/>
            <w:hideMark/>
          </w:tcPr>
          <w:p w14:paraId="29DD6B3B"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1,627</w:t>
            </w:r>
          </w:p>
        </w:tc>
      </w:tr>
      <w:tr w:rsidR="009477AD" w:rsidRPr="00353D1C" w14:paraId="29DD6B42" w14:textId="77777777" w:rsidTr="002D4363">
        <w:trPr>
          <w:trHeight w:val="340"/>
        </w:trPr>
        <w:tc>
          <w:tcPr>
            <w:tcW w:w="2698" w:type="dxa"/>
            <w:tcBorders>
              <w:top w:val="nil"/>
              <w:left w:val="nil"/>
              <w:bottom w:val="nil"/>
              <w:right w:val="nil"/>
            </w:tcBorders>
            <w:shd w:val="clear" w:color="auto" w:fill="auto"/>
            <w:noWrap/>
            <w:vAlign w:val="bottom"/>
            <w:hideMark/>
          </w:tcPr>
          <w:p w14:paraId="29DD6B3D"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$30,001 to $37,000</w:t>
            </w:r>
          </w:p>
        </w:tc>
        <w:tc>
          <w:tcPr>
            <w:tcW w:w="2058" w:type="dxa"/>
            <w:gridSpan w:val="3"/>
            <w:tcBorders>
              <w:top w:val="nil"/>
              <w:left w:val="nil"/>
              <w:bottom w:val="nil"/>
              <w:right w:val="nil"/>
            </w:tcBorders>
            <w:shd w:val="clear" w:color="auto" w:fill="auto"/>
            <w:noWrap/>
            <w:vAlign w:val="center"/>
            <w:hideMark/>
          </w:tcPr>
          <w:p w14:paraId="29DD6B3E"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20.5%</w:t>
            </w:r>
          </w:p>
        </w:tc>
        <w:tc>
          <w:tcPr>
            <w:tcW w:w="1448" w:type="dxa"/>
            <w:tcBorders>
              <w:top w:val="nil"/>
              <w:left w:val="nil"/>
              <w:bottom w:val="nil"/>
              <w:right w:val="nil"/>
            </w:tcBorders>
            <w:shd w:val="clear" w:color="auto" w:fill="auto"/>
            <w:noWrap/>
            <w:vAlign w:val="bottom"/>
            <w:hideMark/>
          </w:tcPr>
          <w:p w14:paraId="29DD6B3F"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1,154,595</w:t>
            </w:r>
          </w:p>
        </w:tc>
        <w:tc>
          <w:tcPr>
            <w:tcW w:w="1505" w:type="dxa"/>
            <w:tcBorders>
              <w:top w:val="nil"/>
              <w:left w:val="nil"/>
              <w:bottom w:val="nil"/>
              <w:right w:val="nil"/>
            </w:tcBorders>
            <w:shd w:val="clear" w:color="auto" w:fill="auto"/>
            <w:noWrap/>
            <w:vAlign w:val="bottom"/>
            <w:hideMark/>
          </w:tcPr>
          <w:p w14:paraId="29DD6B40"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38,779</w:t>
            </w:r>
          </w:p>
        </w:tc>
        <w:tc>
          <w:tcPr>
            <w:tcW w:w="1471" w:type="dxa"/>
            <w:tcBorders>
              <w:top w:val="nil"/>
              <w:left w:val="nil"/>
              <w:bottom w:val="nil"/>
              <w:right w:val="nil"/>
            </w:tcBorders>
            <w:shd w:val="clear" w:color="auto" w:fill="auto"/>
            <w:noWrap/>
            <w:vAlign w:val="bottom"/>
            <w:hideMark/>
          </w:tcPr>
          <w:p w14:paraId="29DD6B41"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3,202</w:t>
            </w:r>
          </w:p>
        </w:tc>
      </w:tr>
      <w:tr w:rsidR="009477AD" w:rsidRPr="00353D1C" w14:paraId="29DD6B48" w14:textId="77777777" w:rsidTr="002D4363">
        <w:trPr>
          <w:trHeight w:val="340"/>
        </w:trPr>
        <w:tc>
          <w:tcPr>
            <w:tcW w:w="2698" w:type="dxa"/>
            <w:tcBorders>
              <w:top w:val="nil"/>
              <w:left w:val="nil"/>
              <w:bottom w:val="nil"/>
              <w:right w:val="nil"/>
            </w:tcBorders>
            <w:shd w:val="clear" w:color="auto" w:fill="auto"/>
            <w:noWrap/>
            <w:vAlign w:val="bottom"/>
            <w:hideMark/>
          </w:tcPr>
          <w:p w14:paraId="29DD6B43"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$37,001 to $67,500</w:t>
            </w:r>
          </w:p>
        </w:tc>
        <w:tc>
          <w:tcPr>
            <w:tcW w:w="2058" w:type="dxa"/>
            <w:gridSpan w:val="3"/>
            <w:tcBorders>
              <w:top w:val="nil"/>
              <w:left w:val="nil"/>
              <w:bottom w:val="nil"/>
              <w:right w:val="nil"/>
            </w:tcBorders>
            <w:shd w:val="clear" w:color="auto" w:fill="auto"/>
            <w:noWrap/>
            <w:vAlign w:val="center"/>
            <w:hideMark/>
          </w:tcPr>
          <w:p w14:paraId="29DD6B44"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35.5%</w:t>
            </w:r>
          </w:p>
        </w:tc>
        <w:tc>
          <w:tcPr>
            <w:tcW w:w="1448" w:type="dxa"/>
            <w:tcBorders>
              <w:top w:val="nil"/>
              <w:left w:val="nil"/>
              <w:bottom w:val="nil"/>
              <w:right w:val="nil"/>
            </w:tcBorders>
            <w:shd w:val="clear" w:color="auto" w:fill="auto"/>
            <w:noWrap/>
            <w:vAlign w:val="bottom"/>
            <w:hideMark/>
          </w:tcPr>
          <w:p w14:paraId="29DD6B45"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3,812,000</w:t>
            </w:r>
          </w:p>
        </w:tc>
        <w:tc>
          <w:tcPr>
            <w:tcW w:w="1505" w:type="dxa"/>
            <w:tcBorders>
              <w:top w:val="nil"/>
              <w:left w:val="nil"/>
              <w:bottom w:val="nil"/>
              <w:right w:val="nil"/>
            </w:tcBorders>
            <w:shd w:val="clear" w:color="auto" w:fill="auto"/>
            <w:noWrap/>
            <w:vAlign w:val="bottom"/>
            <w:hideMark/>
          </w:tcPr>
          <w:p w14:paraId="29DD6B46"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192,157</w:t>
            </w:r>
          </w:p>
        </w:tc>
        <w:tc>
          <w:tcPr>
            <w:tcW w:w="1471" w:type="dxa"/>
            <w:tcBorders>
              <w:top w:val="nil"/>
              <w:left w:val="nil"/>
              <w:bottom w:val="nil"/>
              <w:right w:val="nil"/>
            </w:tcBorders>
            <w:shd w:val="clear" w:color="auto" w:fill="auto"/>
            <w:noWrap/>
            <w:vAlign w:val="bottom"/>
            <w:hideMark/>
          </w:tcPr>
          <w:p w14:paraId="29DD6B47"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32,009</w:t>
            </w:r>
          </w:p>
        </w:tc>
      </w:tr>
      <w:tr w:rsidR="009477AD" w:rsidRPr="00353D1C" w14:paraId="29DD6B4E" w14:textId="77777777" w:rsidTr="002D4363">
        <w:trPr>
          <w:trHeight w:val="340"/>
        </w:trPr>
        <w:tc>
          <w:tcPr>
            <w:tcW w:w="2698" w:type="dxa"/>
            <w:tcBorders>
              <w:top w:val="nil"/>
              <w:left w:val="nil"/>
              <w:bottom w:val="nil"/>
              <w:right w:val="nil"/>
            </w:tcBorders>
            <w:shd w:val="clear" w:color="auto" w:fill="auto"/>
            <w:noWrap/>
            <w:vAlign w:val="bottom"/>
            <w:hideMark/>
          </w:tcPr>
          <w:p w14:paraId="29DD6B49"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$67,501 to $80,000</w:t>
            </w:r>
          </w:p>
        </w:tc>
        <w:tc>
          <w:tcPr>
            <w:tcW w:w="2058" w:type="dxa"/>
            <w:gridSpan w:val="3"/>
            <w:tcBorders>
              <w:top w:val="nil"/>
              <w:left w:val="nil"/>
              <w:bottom w:val="nil"/>
              <w:right w:val="nil"/>
            </w:tcBorders>
            <w:shd w:val="clear" w:color="auto" w:fill="auto"/>
            <w:noWrap/>
            <w:vAlign w:val="center"/>
            <w:hideMark/>
          </w:tcPr>
          <w:p w14:paraId="29DD6B4A"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31.5%</w:t>
            </w:r>
          </w:p>
        </w:tc>
        <w:tc>
          <w:tcPr>
            <w:tcW w:w="1448" w:type="dxa"/>
            <w:tcBorders>
              <w:top w:val="nil"/>
              <w:left w:val="nil"/>
              <w:bottom w:val="nil"/>
              <w:right w:val="nil"/>
            </w:tcBorders>
            <w:shd w:val="clear" w:color="auto" w:fill="auto"/>
            <w:noWrap/>
            <w:vAlign w:val="bottom"/>
            <w:hideMark/>
          </w:tcPr>
          <w:p w14:paraId="29DD6B4B"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933,935</w:t>
            </w:r>
          </w:p>
        </w:tc>
        <w:tc>
          <w:tcPr>
            <w:tcW w:w="1505" w:type="dxa"/>
            <w:tcBorders>
              <w:top w:val="nil"/>
              <w:left w:val="nil"/>
              <w:bottom w:val="nil"/>
              <w:right w:val="nil"/>
            </w:tcBorders>
            <w:shd w:val="clear" w:color="auto" w:fill="auto"/>
            <w:noWrap/>
            <w:vAlign w:val="bottom"/>
            <w:hideMark/>
          </w:tcPr>
          <w:p w14:paraId="29DD6B4C"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68,808</w:t>
            </w:r>
          </w:p>
        </w:tc>
        <w:tc>
          <w:tcPr>
            <w:tcW w:w="1471" w:type="dxa"/>
            <w:tcBorders>
              <w:top w:val="nil"/>
              <w:left w:val="nil"/>
              <w:bottom w:val="nil"/>
              <w:right w:val="nil"/>
            </w:tcBorders>
            <w:shd w:val="clear" w:color="auto" w:fill="auto"/>
            <w:noWrap/>
            <w:vAlign w:val="bottom"/>
            <w:hideMark/>
          </w:tcPr>
          <w:p w14:paraId="29DD6B4D"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15,364</w:t>
            </w:r>
          </w:p>
        </w:tc>
      </w:tr>
      <w:tr w:rsidR="009477AD" w:rsidRPr="00353D1C" w14:paraId="29DD6B54" w14:textId="77777777" w:rsidTr="002D4363">
        <w:trPr>
          <w:trHeight w:val="340"/>
        </w:trPr>
        <w:tc>
          <w:tcPr>
            <w:tcW w:w="2698" w:type="dxa"/>
            <w:tcBorders>
              <w:top w:val="nil"/>
              <w:left w:val="nil"/>
              <w:bottom w:val="nil"/>
              <w:right w:val="nil"/>
            </w:tcBorders>
            <w:shd w:val="clear" w:color="auto" w:fill="auto"/>
            <w:noWrap/>
            <w:vAlign w:val="bottom"/>
            <w:hideMark/>
          </w:tcPr>
          <w:p w14:paraId="29DD6B4F"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$80,001 to $180,000</w:t>
            </w:r>
          </w:p>
        </w:tc>
        <w:tc>
          <w:tcPr>
            <w:tcW w:w="2058" w:type="dxa"/>
            <w:gridSpan w:val="3"/>
            <w:tcBorders>
              <w:top w:val="nil"/>
              <w:left w:val="nil"/>
              <w:bottom w:val="nil"/>
              <w:right w:val="nil"/>
            </w:tcBorders>
            <w:shd w:val="clear" w:color="auto" w:fill="auto"/>
            <w:noWrap/>
            <w:vAlign w:val="center"/>
            <w:hideMark/>
          </w:tcPr>
          <w:p w14:paraId="29DD6B50"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38.5%</w:t>
            </w:r>
          </w:p>
        </w:tc>
        <w:tc>
          <w:tcPr>
            <w:tcW w:w="1448" w:type="dxa"/>
            <w:tcBorders>
              <w:top w:val="nil"/>
              <w:left w:val="nil"/>
              <w:bottom w:val="nil"/>
              <w:right w:val="nil"/>
            </w:tcBorders>
            <w:shd w:val="clear" w:color="auto" w:fill="auto"/>
            <w:noWrap/>
            <w:vAlign w:val="bottom"/>
            <w:hideMark/>
          </w:tcPr>
          <w:p w14:paraId="29DD6B51"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1,836,900</w:t>
            </w:r>
          </w:p>
        </w:tc>
        <w:tc>
          <w:tcPr>
            <w:tcW w:w="1505" w:type="dxa"/>
            <w:tcBorders>
              <w:top w:val="nil"/>
              <w:left w:val="nil"/>
              <w:bottom w:val="nil"/>
              <w:right w:val="nil"/>
            </w:tcBorders>
            <w:shd w:val="clear" w:color="auto" w:fill="auto"/>
            <w:noWrap/>
            <w:vAlign w:val="bottom"/>
            <w:hideMark/>
          </w:tcPr>
          <w:p w14:paraId="29DD6B52"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200,363</w:t>
            </w:r>
          </w:p>
        </w:tc>
        <w:tc>
          <w:tcPr>
            <w:tcW w:w="1471" w:type="dxa"/>
            <w:tcBorders>
              <w:top w:val="nil"/>
              <w:left w:val="nil"/>
              <w:bottom w:val="nil"/>
              <w:right w:val="nil"/>
            </w:tcBorders>
            <w:shd w:val="clear" w:color="auto" w:fill="auto"/>
            <w:noWrap/>
            <w:vAlign w:val="bottom"/>
            <w:hideMark/>
          </w:tcPr>
          <w:p w14:paraId="29DD6B53"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53,973</w:t>
            </w:r>
          </w:p>
        </w:tc>
      </w:tr>
      <w:tr w:rsidR="009477AD" w:rsidRPr="00353D1C" w14:paraId="29DD6B5A" w14:textId="77777777" w:rsidTr="002D4363">
        <w:trPr>
          <w:trHeight w:val="340"/>
        </w:trPr>
        <w:tc>
          <w:tcPr>
            <w:tcW w:w="2698" w:type="dxa"/>
            <w:tcBorders>
              <w:top w:val="nil"/>
              <w:left w:val="nil"/>
              <w:bottom w:val="single" w:sz="4" w:space="0" w:color="auto"/>
              <w:right w:val="nil"/>
            </w:tcBorders>
            <w:shd w:val="clear" w:color="auto" w:fill="auto"/>
            <w:noWrap/>
            <w:vAlign w:val="bottom"/>
            <w:hideMark/>
          </w:tcPr>
          <w:p w14:paraId="29DD6B55"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More than $180,000</w:t>
            </w:r>
          </w:p>
        </w:tc>
        <w:tc>
          <w:tcPr>
            <w:tcW w:w="2058" w:type="dxa"/>
            <w:gridSpan w:val="3"/>
            <w:tcBorders>
              <w:top w:val="nil"/>
              <w:left w:val="nil"/>
              <w:bottom w:val="single" w:sz="4" w:space="0" w:color="auto"/>
              <w:right w:val="nil"/>
            </w:tcBorders>
            <w:shd w:val="clear" w:color="auto" w:fill="auto"/>
            <w:noWrap/>
            <w:vAlign w:val="center"/>
            <w:hideMark/>
          </w:tcPr>
          <w:p w14:paraId="29DD6B56"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46.5%</w:t>
            </w:r>
          </w:p>
        </w:tc>
        <w:tc>
          <w:tcPr>
            <w:tcW w:w="1448" w:type="dxa"/>
            <w:tcBorders>
              <w:top w:val="nil"/>
              <w:left w:val="nil"/>
              <w:bottom w:val="single" w:sz="4" w:space="0" w:color="auto"/>
              <w:right w:val="nil"/>
            </w:tcBorders>
            <w:shd w:val="clear" w:color="auto" w:fill="auto"/>
            <w:noWrap/>
            <w:vAlign w:val="bottom"/>
            <w:hideMark/>
          </w:tcPr>
          <w:p w14:paraId="29DD6B57"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292,500</w:t>
            </w:r>
          </w:p>
        </w:tc>
        <w:tc>
          <w:tcPr>
            <w:tcW w:w="1505" w:type="dxa"/>
            <w:tcBorders>
              <w:top w:val="nil"/>
              <w:left w:val="nil"/>
              <w:bottom w:val="nil"/>
              <w:right w:val="nil"/>
            </w:tcBorders>
            <w:shd w:val="clear" w:color="auto" w:fill="auto"/>
            <w:noWrap/>
            <w:vAlign w:val="bottom"/>
            <w:hideMark/>
          </w:tcPr>
          <w:p w14:paraId="29DD6B58"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100,193</w:t>
            </w:r>
          </w:p>
        </w:tc>
        <w:tc>
          <w:tcPr>
            <w:tcW w:w="1471" w:type="dxa"/>
            <w:tcBorders>
              <w:top w:val="nil"/>
              <w:left w:val="nil"/>
              <w:bottom w:val="nil"/>
              <w:right w:val="nil"/>
            </w:tcBorders>
            <w:shd w:val="clear" w:color="auto" w:fill="auto"/>
            <w:noWrap/>
            <w:vAlign w:val="bottom"/>
            <w:hideMark/>
          </w:tcPr>
          <w:p w14:paraId="29DD6B59"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37,714</w:t>
            </w:r>
          </w:p>
        </w:tc>
      </w:tr>
      <w:tr w:rsidR="009477AD" w:rsidRPr="00353D1C" w14:paraId="29DD6B60" w14:textId="77777777" w:rsidTr="002D4363">
        <w:trPr>
          <w:trHeight w:val="340"/>
        </w:trPr>
        <w:tc>
          <w:tcPr>
            <w:tcW w:w="2698" w:type="dxa"/>
            <w:tcBorders>
              <w:top w:val="nil"/>
              <w:left w:val="nil"/>
              <w:bottom w:val="single" w:sz="4" w:space="0" w:color="auto"/>
              <w:right w:val="nil"/>
            </w:tcBorders>
            <w:shd w:val="clear" w:color="auto" w:fill="auto"/>
            <w:noWrap/>
            <w:vAlign w:val="bottom"/>
            <w:hideMark/>
          </w:tcPr>
          <w:p w14:paraId="29DD6B5B" w14:textId="77777777" w:rsidR="00353D1C" w:rsidRPr="004401C4" w:rsidRDefault="00353D1C" w:rsidP="00353D1C">
            <w:pPr>
              <w:spacing w:after="0" w:line="240" w:lineRule="auto"/>
              <w:rPr>
                <w:rFonts w:eastAsia="Times New Roman" w:cs="Tahoma"/>
                <w:b/>
                <w:bCs/>
                <w:lang w:eastAsia="en-AU"/>
              </w:rPr>
            </w:pPr>
            <w:r w:rsidRPr="004401C4">
              <w:rPr>
                <w:rFonts w:eastAsia="Times New Roman" w:cs="Tahoma"/>
                <w:b/>
                <w:bCs/>
                <w:lang w:eastAsia="en-AU"/>
              </w:rPr>
              <w:t>All</w:t>
            </w:r>
          </w:p>
        </w:tc>
        <w:tc>
          <w:tcPr>
            <w:tcW w:w="2058" w:type="dxa"/>
            <w:gridSpan w:val="3"/>
            <w:tcBorders>
              <w:top w:val="nil"/>
              <w:left w:val="nil"/>
              <w:bottom w:val="single" w:sz="4" w:space="0" w:color="auto"/>
              <w:right w:val="nil"/>
            </w:tcBorders>
            <w:shd w:val="clear" w:color="auto" w:fill="auto"/>
            <w:noWrap/>
            <w:vAlign w:val="bottom"/>
            <w:hideMark/>
          </w:tcPr>
          <w:p w14:paraId="29DD6B5C" w14:textId="77777777" w:rsidR="00353D1C" w:rsidRPr="004401C4" w:rsidRDefault="00353D1C" w:rsidP="00353D1C">
            <w:pPr>
              <w:spacing w:after="0" w:line="240" w:lineRule="auto"/>
              <w:rPr>
                <w:rFonts w:eastAsia="Times New Roman" w:cs="Tahoma"/>
                <w:lang w:eastAsia="en-AU"/>
              </w:rPr>
            </w:pPr>
            <w:r w:rsidRPr="004401C4">
              <w:rPr>
                <w:rFonts w:eastAsia="Times New Roman" w:cs="Tahoma"/>
                <w:lang w:eastAsia="en-AU"/>
              </w:rPr>
              <w:t> </w:t>
            </w:r>
          </w:p>
        </w:tc>
        <w:tc>
          <w:tcPr>
            <w:tcW w:w="1448" w:type="dxa"/>
            <w:tcBorders>
              <w:top w:val="nil"/>
              <w:left w:val="nil"/>
              <w:bottom w:val="single" w:sz="4" w:space="0" w:color="auto"/>
              <w:right w:val="nil"/>
            </w:tcBorders>
            <w:shd w:val="clear" w:color="auto" w:fill="auto"/>
            <w:noWrap/>
            <w:vAlign w:val="bottom"/>
            <w:hideMark/>
          </w:tcPr>
          <w:p w14:paraId="29DD6B5D"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12,636,380</w:t>
            </w:r>
          </w:p>
        </w:tc>
        <w:tc>
          <w:tcPr>
            <w:tcW w:w="1505" w:type="dxa"/>
            <w:tcBorders>
              <w:top w:val="single" w:sz="4" w:space="0" w:color="auto"/>
              <w:left w:val="nil"/>
              <w:bottom w:val="single" w:sz="4" w:space="0" w:color="auto"/>
              <w:right w:val="nil"/>
            </w:tcBorders>
            <w:shd w:val="clear" w:color="auto" w:fill="auto"/>
            <w:noWrap/>
            <w:vAlign w:val="bottom"/>
            <w:hideMark/>
          </w:tcPr>
          <w:p w14:paraId="29DD6B5E"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670,703</w:t>
            </w:r>
          </w:p>
        </w:tc>
        <w:tc>
          <w:tcPr>
            <w:tcW w:w="1471" w:type="dxa"/>
            <w:tcBorders>
              <w:top w:val="single" w:sz="4" w:space="0" w:color="auto"/>
              <w:left w:val="nil"/>
              <w:bottom w:val="single" w:sz="4" w:space="0" w:color="auto"/>
              <w:right w:val="nil"/>
            </w:tcBorders>
            <w:shd w:val="clear" w:color="auto" w:fill="auto"/>
            <w:noWrap/>
            <w:vAlign w:val="bottom"/>
            <w:hideMark/>
          </w:tcPr>
          <w:p w14:paraId="29DD6B5F"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144,336</w:t>
            </w:r>
          </w:p>
        </w:tc>
      </w:tr>
      <w:tr w:rsidR="002D4363" w:rsidRPr="00353D1C" w14:paraId="29DD6B66" w14:textId="77777777" w:rsidTr="002D4363">
        <w:trPr>
          <w:trHeight w:val="255"/>
        </w:trPr>
        <w:tc>
          <w:tcPr>
            <w:tcW w:w="2810" w:type="dxa"/>
            <w:gridSpan w:val="2"/>
            <w:tcBorders>
              <w:top w:val="nil"/>
              <w:left w:val="nil"/>
              <w:bottom w:val="single" w:sz="4" w:space="0" w:color="auto"/>
              <w:right w:val="nil"/>
            </w:tcBorders>
            <w:shd w:val="clear" w:color="auto" w:fill="auto"/>
            <w:noWrap/>
            <w:vAlign w:val="bottom"/>
            <w:hideMark/>
          </w:tcPr>
          <w:p w14:paraId="29DD6B61" w14:textId="2A1D02FB" w:rsidR="00353D1C" w:rsidRPr="004401C4" w:rsidRDefault="008B70F2" w:rsidP="00353D1C">
            <w:pPr>
              <w:spacing w:after="0" w:line="240" w:lineRule="auto"/>
              <w:rPr>
                <w:rFonts w:eastAsia="Times New Roman" w:cs="Tahoma"/>
                <w:b/>
                <w:bCs/>
                <w:lang w:eastAsia="en-AU"/>
              </w:rPr>
            </w:pPr>
            <w:r w:rsidRPr="004401C4">
              <w:rPr>
                <w:rFonts w:eastAsia="Times New Roman" w:cs="Tahoma"/>
                <w:b/>
                <w:bCs/>
                <w:lang w:eastAsia="en-AU"/>
              </w:rPr>
              <w:t xml:space="preserve">a) </w:t>
            </w:r>
            <w:r w:rsidR="00353D1C" w:rsidRPr="002D4363">
              <w:rPr>
                <w:rFonts w:eastAsia="Times New Roman" w:cs="Tahoma"/>
                <w:b/>
                <w:bCs/>
                <w:spacing w:val="-2"/>
                <w:lang w:eastAsia="en-AU"/>
              </w:rPr>
              <w:t>Average marginal tax rate</w:t>
            </w:r>
            <w:r w:rsidR="00ED5DE0" w:rsidRPr="004401C4">
              <w:rPr>
                <w:rFonts w:eastAsia="Times New Roman" w:cs="Tahoma"/>
                <w:b/>
                <w:bCs/>
                <w:lang w:eastAsia="en-AU"/>
              </w:rPr>
              <w:t xml:space="preserve"> (individuals weighted)</w:t>
            </w:r>
          </w:p>
        </w:tc>
        <w:tc>
          <w:tcPr>
            <w:tcW w:w="1946" w:type="dxa"/>
            <w:gridSpan w:val="2"/>
            <w:tcBorders>
              <w:top w:val="nil"/>
              <w:left w:val="nil"/>
              <w:bottom w:val="single" w:sz="4" w:space="0" w:color="auto"/>
              <w:right w:val="nil"/>
            </w:tcBorders>
            <w:shd w:val="clear" w:color="auto" w:fill="auto"/>
            <w:noWrap/>
            <w:vAlign w:val="center"/>
            <w:hideMark/>
          </w:tcPr>
          <w:p w14:paraId="29DD6B62"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24.9%</w:t>
            </w:r>
          </w:p>
        </w:tc>
        <w:tc>
          <w:tcPr>
            <w:tcW w:w="1448" w:type="dxa"/>
            <w:tcBorders>
              <w:top w:val="nil"/>
              <w:left w:val="nil"/>
              <w:bottom w:val="single" w:sz="4" w:space="0" w:color="auto"/>
              <w:right w:val="nil"/>
            </w:tcBorders>
            <w:shd w:val="clear" w:color="auto" w:fill="auto"/>
            <w:noWrap/>
            <w:vAlign w:val="bottom"/>
            <w:hideMark/>
          </w:tcPr>
          <w:p w14:paraId="29DD6B63" w14:textId="77777777" w:rsidR="00353D1C" w:rsidRPr="004401C4" w:rsidRDefault="00353D1C" w:rsidP="002D4363">
            <w:pPr>
              <w:spacing w:after="0" w:line="240" w:lineRule="auto"/>
              <w:rPr>
                <w:rFonts w:eastAsia="Times New Roman" w:cs="Tahoma"/>
                <w:lang w:eastAsia="en-AU"/>
              </w:rPr>
            </w:pPr>
            <w:r w:rsidRPr="004401C4">
              <w:rPr>
                <w:rFonts w:eastAsia="Times New Roman" w:cs="Tahoma"/>
                <w:lang w:eastAsia="en-AU"/>
              </w:rPr>
              <w:t> </w:t>
            </w:r>
          </w:p>
        </w:tc>
        <w:tc>
          <w:tcPr>
            <w:tcW w:w="1505" w:type="dxa"/>
            <w:tcBorders>
              <w:top w:val="nil"/>
              <w:left w:val="nil"/>
              <w:bottom w:val="single" w:sz="4" w:space="0" w:color="auto"/>
              <w:right w:val="nil"/>
            </w:tcBorders>
            <w:shd w:val="clear" w:color="auto" w:fill="auto"/>
            <w:noWrap/>
            <w:vAlign w:val="bottom"/>
            <w:hideMark/>
          </w:tcPr>
          <w:p w14:paraId="29DD6B64" w14:textId="77777777" w:rsidR="00353D1C" w:rsidRPr="004401C4" w:rsidRDefault="00353D1C" w:rsidP="002D4363">
            <w:pPr>
              <w:spacing w:after="0" w:line="240" w:lineRule="auto"/>
              <w:rPr>
                <w:rFonts w:eastAsia="Times New Roman" w:cs="Tahoma"/>
                <w:lang w:eastAsia="en-AU"/>
              </w:rPr>
            </w:pPr>
            <w:r w:rsidRPr="004401C4">
              <w:rPr>
                <w:rFonts w:eastAsia="Times New Roman" w:cs="Tahoma"/>
                <w:lang w:eastAsia="en-AU"/>
              </w:rPr>
              <w:t> </w:t>
            </w:r>
          </w:p>
        </w:tc>
        <w:tc>
          <w:tcPr>
            <w:tcW w:w="1471" w:type="dxa"/>
            <w:tcBorders>
              <w:top w:val="nil"/>
              <w:left w:val="nil"/>
              <w:bottom w:val="single" w:sz="4" w:space="0" w:color="auto"/>
              <w:right w:val="nil"/>
            </w:tcBorders>
            <w:shd w:val="clear" w:color="auto" w:fill="auto"/>
            <w:noWrap/>
            <w:vAlign w:val="bottom"/>
            <w:hideMark/>
          </w:tcPr>
          <w:p w14:paraId="29DD6B65" w14:textId="77777777" w:rsidR="00353D1C" w:rsidRPr="004401C4" w:rsidRDefault="00353D1C" w:rsidP="002D4363">
            <w:pPr>
              <w:spacing w:after="0" w:line="240" w:lineRule="auto"/>
              <w:rPr>
                <w:rFonts w:eastAsia="Times New Roman" w:cs="Tahoma"/>
                <w:lang w:eastAsia="en-AU"/>
              </w:rPr>
            </w:pPr>
            <w:r w:rsidRPr="004401C4">
              <w:rPr>
                <w:rFonts w:eastAsia="Times New Roman" w:cs="Tahoma"/>
                <w:lang w:eastAsia="en-AU"/>
              </w:rPr>
              <w:t> </w:t>
            </w:r>
          </w:p>
        </w:tc>
      </w:tr>
      <w:tr w:rsidR="002D4363" w:rsidRPr="00353D1C" w14:paraId="29DD6B6C" w14:textId="77777777" w:rsidTr="002D4363">
        <w:trPr>
          <w:trHeight w:val="255"/>
        </w:trPr>
        <w:tc>
          <w:tcPr>
            <w:tcW w:w="2810" w:type="dxa"/>
            <w:gridSpan w:val="2"/>
            <w:tcBorders>
              <w:top w:val="nil"/>
              <w:left w:val="nil"/>
              <w:bottom w:val="single" w:sz="4" w:space="0" w:color="auto"/>
              <w:right w:val="nil"/>
            </w:tcBorders>
            <w:shd w:val="clear" w:color="auto" w:fill="auto"/>
            <w:noWrap/>
            <w:vAlign w:val="bottom"/>
          </w:tcPr>
          <w:p w14:paraId="29DD6B67" w14:textId="2E888033" w:rsidR="00353D1C" w:rsidRPr="004401C4" w:rsidRDefault="008B70F2" w:rsidP="00ED5DE0">
            <w:pPr>
              <w:spacing w:after="0" w:line="240" w:lineRule="auto"/>
              <w:rPr>
                <w:rFonts w:eastAsia="Times New Roman" w:cs="Tahoma"/>
                <w:b/>
                <w:bCs/>
                <w:lang w:eastAsia="en-AU"/>
              </w:rPr>
            </w:pPr>
            <w:r w:rsidRPr="004401C4">
              <w:rPr>
                <w:rFonts w:eastAsia="Times New Roman" w:cs="Tahoma"/>
                <w:b/>
                <w:bCs/>
                <w:lang w:eastAsia="en-AU"/>
              </w:rPr>
              <w:t xml:space="preserve">b) </w:t>
            </w:r>
            <w:r w:rsidR="00353D1C" w:rsidRPr="002D4363">
              <w:rPr>
                <w:rFonts w:eastAsia="Times New Roman" w:cs="Tahoma"/>
                <w:b/>
                <w:bCs/>
                <w:spacing w:val="-2"/>
                <w:lang w:eastAsia="en-AU"/>
              </w:rPr>
              <w:t>Average marginal tax rate</w:t>
            </w:r>
            <w:r w:rsidR="00353D1C" w:rsidRPr="004401C4">
              <w:rPr>
                <w:rFonts w:eastAsia="Times New Roman" w:cs="Tahoma"/>
                <w:b/>
                <w:bCs/>
                <w:lang w:eastAsia="en-AU"/>
              </w:rPr>
              <w:t xml:space="preserve"> (</w:t>
            </w:r>
            <w:r w:rsidR="00ED5DE0" w:rsidRPr="004401C4">
              <w:rPr>
                <w:rFonts w:eastAsia="Times New Roman" w:cs="Tahoma"/>
                <w:b/>
                <w:bCs/>
                <w:lang w:eastAsia="en-AU"/>
              </w:rPr>
              <w:t xml:space="preserve">income </w:t>
            </w:r>
            <w:r w:rsidR="00353D1C" w:rsidRPr="004401C4">
              <w:rPr>
                <w:rFonts w:eastAsia="Times New Roman" w:cs="Tahoma"/>
                <w:b/>
                <w:bCs/>
                <w:lang w:eastAsia="en-AU"/>
              </w:rPr>
              <w:t>weighted)</w:t>
            </w:r>
          </w:p>
        </w:tc>
        <w:tc>
          <w:tcPr>
            <w:tcW w:w="1946" w:type="dxa"/>
            <w:gridSpan w:val="2"/>
            <w:tcBorders>
              <w:top w:val="nil"/>
              <w:left w:val="nil"/>
              <w:bottom w:val="single" w:sz="4" w:space="0" w:color="auto"/>
              <w:right w:val="nil"/>
            </w:tcBorders>
            <w:shd w:val="clear" w:color="auto" w:fill="auto"/>
            <w:noWrap/>
            <w:vAlign w:val="center"/>
          </w:tcPr>
          <w:p w14:paraId="29DD6B68" w14:textId="77777777" w:rsidR="00353D1C" w:rsidRPr="004401C4" w:rsidRDefault="00353D1C" w:rsidP="00353D1C">
            <w:pPr>
              <w:spacing w:after="0" w:line="240" w:lineRule="auto"/>
              <w:jc w:val="center"/>
              <w:rPr>
                <w:rFonts w:eastAsia="Times New Roman" w:cs="Tahoma"/>
                <w:lang w:eastAsia="en-AU"/>
              </w:rPr>
            </w:pPr>
            <w:r w:rsidRPr="004401C4">
              <w:rPr>
                <w:rFonts w:eastAsia="Times New Roman" w:cs="Tahoma"/>
                <w:lang w:eastAsia="en-AU"/>
              </w:rPr>
              <w:t>34.5%</w:t>
            </w:r>
          </w:p>
        </w:tc>
        <w:tc>
          <w:tcPr>
            <w:tcW w:w="1448" w:type="dxa"/>
            <w:tcBorders>
              <w:top w:val="nil"/>
              <w:left w:val="nil"/>
              <w:bottom w:val="single" w:sz="4" w:space="0" w:color="auto"/>
              <w:right w:val="nil"/>
            </w:tcBorders>
            <w:shd w:val="clear" w:color="auto" w:fill="auto"/>
            <w:noWrap/>
            <w:vAlign w:val="bottom"/>
          </w:tcPr>
          <w:p w14:paraId="29DD6B69" w14:textId="77777777" w:rsidR="00353D1C" w:rsidRPr="004401C4" w:rsidRDefault="00353D1C" w:rsidP="002D4363">
            <w:pPr>
              <w:spacing w:after="0" w:line="240" w:lineRule="auto"/>
              <w:rPr>
                <w:rFonts w:eastAsia="Times New Roman" w:cs="Tahoma"/>
                <w:lang w:eastAsia="en-AU"/>
              </w:rPr>
            </w:pPr>
          </w:p>
        </w:tc>
        <w:tc>
          <w:tcPr>
            <w:tcW w:w="1505" w:type="dxa"/>
            <w:tcBorders>
              <w:top w:val="nil"/>
              <w:left w:val="nil"/>
              <w:bottom w:val="single" w:sz="4" w:space="0" w:color="auto"/>
              <w:right w:val="nil"/>
            </w:tcBorders>
            <w:shd w:val="clear" w:color="auto" w:fill="auto"/>
            <w:noWrap/>
            <w:vAlign w:val="bottom"/>
          </w:tcPr>
          <w:p w14:paraId="29DD6B6A" w14:textId="77777777" w:rsidR="00353D1C" w:rsidRPr="004401C4" w:rsidRDefault="00353D1C" w:rsidP="002D4363">
            <w:pPr>
              <w:spacing w:after="0" w:line="240" w:lineRule="auto"/>
              <w:rPr>
                <w:rFonts w:eastAsia="Times New Roman" w:cs="Tahoma"/>
                <w:lang w:eastAsia="en-AU"/>
              </w:rPr>
            </w:pPr>
          </w:p>
        </w:tc>
        <w:tc>
          <w:tcPr>
            <w:tcW w:w="1471" w:type="dxa"/>
            <w:tcBorders>
              <w:top w:val="nil"/>
              <w:left w:val="nil"/>
              <w:bottom w:val="single" w:sz="4" w:space="0" w:color="auto"/>
              <w:right w:val="nil"/>
            </w:tcBorders>
            <w:shd w:val="clear" w:color="auto" w:fill="auto"/>
            <w:noWrap/>
            <w:vAlign w:val="bottom"/>
          </w:tcPr>
          <w:p w14:paraId="29DD6B6B" w14:textId="77777777" w:rsidR="00353D1C" w:rsidRPr="004401C4" w:rsidRDefault="00353D1C" w:rsidP="002D4363">
            <w:pPr>
              <w:spacing w:after="0" w:line="240" w:lineRule="auto"/>
              <w:rPr>
                <w:rFonts w:eastAsia="Times New Roman" w:cs="Tahoma"/>
                <w:lang w:eastAsia="en-AU"/>
              </w:rPr>
            </w:pPr>
          </w:p>
        </w:tc>
      </w:tr>
      <w:tr w:rsidR="009477AD" w:rsidRPr="00353D1C" w14:paraId="29DD6B71" w14:textId="77777777" w:rsidTr="002D4363">
        <w:trPr>
          <w:trHeight w:val="255"/>
        </w:trPr>
        <w:tc>
          <w:tcPr>
            <w:tcW w:w="3510" w:type="dxa"/>
            <w:gridSpan w:val="3"/>
            <w:tcBorders>
              <w:top w:val="nil"/>
              <w:left w:val="nil"/>
              <w:bottom w:val="single" w:sz="4" w:space="0" w:color="auto"/>
              <w:right w:val="nil"/>
            </w:tcBorders>
            <w:shd w:val="clear" w:color="auto" w:fill="auto"/>
            <w:noWrap/>
            <w:vAlign w:val="bottom"/>
            <w:hideMark/>
          </w:tcPr>
          <w:p w14:paraId="29DD6B6D" w14:textId="59F94C50" w:rsidR="00353D1C" w:rsidRPr="004401C4" w:rsidRDefault="00353D1C" w:rsidP="002D4363">
            <w:pPr>
              <w:spacing w:after="0" w:line="240" w:lineRule="auto"/>
              <w:rPr>
                <w:rFonts w:eastAsia="Times New Roman" w:cs="Tahoma"/>
                <w:b/>
                <w:bCs/>
                <w:lang w:eastAsia="en-AU"/>
              </w:rPr>
            </w:pPr>
            <w:r w:rsidRPr="004401C4">
              <w:rPr>
                <w:rFonts w:eastAsia="Times New Roman" w:cs="Tahoma"/>
                <w:b/>
                <w:bCs/>
                <w:lang w:eastAsia="en-AU"/>
              </w:rPr>
              <w:t>Average tax rate</w:t>
            </w:r>
            <w:r w:rsidR="002D4363">
              <w:rPr>
                <w:rFonts w:eastAsia="Times New Roman" w:cs="Tahoma"/>
                <w:b/>
                <w:bCs/>
                <w:lang w:eastAsia="en-AU"/>
              </w:rPr>
              <w:br/>
            </w:r>
            <w:r w:rsidRPr="004401C4">
              <w:rPr>
                <w:rFonts w:eastAsia="Times New Roman" w:cs="Tahoma"/>
                <w:b/>
                <w:bCs/>
                <w:lang w:eastAsia="en-AU"/>
              </w:rPr>
              <w:t>(net tax divided by taxable income)</w:t>
            </w:r>
          </w:p>
        </w:tc>
        <w:tc>
          <w:tcPr>
            <w:tcW w:w="2694" w:type="dxa"/>
            <w:gridSpan w:val="2"/>
            <w:tcBorders>
              <w:top w:val="nil"/>
              <w:left w:val="nil"/>
              <w:bottom w:val="single" w:sz="4" w:space="0" w:color="auto"/>
              <w:right w:val="nil"/>
            </w:tcBorders>
            <w:shd w:val="clear" w:color="auto" w:fill="auto"/>
            <w:noWrap/>
            <w:vAlign w:val="bottom"/>
            <w:hideMark/>
          </w:tcPr>
          <w:p w14:paraId="29DD6B6E" w14:textId="77777777" w:rsidR="00353D1C" w:rsidRPr="004401C4" w:rsidRDefault="00353D1C" w:rsidP="002D4363">
            <w:pPr>
              <w:spacing w:after="0" w:line="240" w:lineRule="auto"/>
              <w:rPr>
                <w:rFonts w:eastAsia="Times New Roman" w:cs="Tahoma"/>
                <w:lang w:eastAsia="en-AU"/>
              </w:rPr>
            </w:pPr>
            <w:r w:rsidRPr="004401C4">
              <w:rPr>
                <w:rFonts w:eastAsia="Times New Roman" w:cs="Tahoma"/>
                <w:lang w:eastAsia="en-AU"/>
              </w:rPr>
              <w:t> </w:t>
            </w:r>
          </w:p>
        </w:tc>
        <w:tc>
          <w:tcPr>
            <w:tcW w:w="1505" w:type="dxa"/>
            <w:tcBorders>
              <w:top w:val="nil"/>
              <w:left w:val="nil"/>
              <w:bottom w:val="single" w:sz="4" w:space="0" w:color="auto"/>
              <w:right w:val="nil"/>
            </w:tcBorders>
            <w:shd w:val="clear" w:color="auto" w:fill="auto"/>
            <w:noWrap/>
            <w:vAlign w:val="bottom"/>
            <w:hideMark/>
          </w:tcPr>
          <w:p w14:paraId="29DD6B6F" w14:textId="77777777" w:rsidR="00353D1C" w:rsidRPr="004401C4" w:rsidRDefault="00353D1C" w:rsidP="002D4363">
            <w:pPr>
              <w:spacing w:after="0" w:line="240" w:lineRule="auto"/>
              <w:rPr>
                <w:rFonts w:eastAsia="Times New Roman" w:cs="Tahoma"/>
                <w:lang w:eastAsia="en-AU"/>
              </w:rPr>
            </w:pPr>
            <w:r w:rsidRPr="004401C4">
              <w:rPr>
                <w:rFonts w:eastAsia="Times New Roman" w:cs="Tahoma"/>
                <w:lang w:eastAsia="en-AU"/>
              </w:rPr>
              <w:t> </w:t>
            </w:r>
          </w:p>
        </w:tc>
        <w:tc>
          <w:tcPr>
            <w:tcW w:w="1471" w:type="dxa"/>
            <w:tcBorders>
              <w:top w:val="nil"/>
              <w:left w:val="nil"/>
              <w:bottom w:val="single" w:sz="4" w:space="0" w:color="auto"/>
              <w:right w:val="nil"/>
            </w:tcBorders>
            <w:shd w:val="clear" w:color="auto" w:fill="auto"/>
            <w:noWrap/>
            <w:vAlign w:val="center"/>
            <w:hideMark/>
          </w:tcPr>
          <w:p w14:paraId="29DD6B70" w14:textId="77777777" w:rsidR="00353D1C" w:rsidRPr="004401C4" w:rsidRDefault="00353D1C" w:rsidP="002D4363">
            <w:pPr>
              <w:spacing w:after="0" w:line="240" w:lineRule="auto"/>
              <w:jc w:val="right"/>
              <w:rPr>
                <w:rFonts w:eastAsia="Times New Roman" w:cs="Tahoma"/>
                <w:lang w:eastAsia="en-AU"/>
              </w:rPr>
            </w:pPr>
            <w:r w:rsidRPr="004401C4">
              <w:rPr>
                <w:rFonts w:eastAsia="Times New Roman" w:cs="Tahoma"/>
                <w:lang w:eastAsia="en-AU"/>
              </w:rPr>
              <w:t>21.5%</w:t>
            </w:r>
          </w:p>
        </w:tc>
      </w:tr>
    </w:tbl>
    <w:p w14:paraId="1559D048" w14:textId="77777777" w:rsidR="0055740C" w:rsidRDefault="00353D1C" w:rsidP="0055740C">
      <w:pPr>
        <w:pStyle w:val="Source"/>
        <w:spacing w:after="0"/>
      </w:pPr>
      <w:r w:rsidRPr="00353D1C">
        <w:t>Source: Treasury calculation using 2011</w:t>
      </w:r>
      <w:r w:rsidR="00F03697">
        <w:noBreakHyphen/>
      </w:r>
      <w:r w:rsidRPr="00353D1C">
        <w:t>12 tax return</w:t>
      </w:r>
      <w:r w:rsidR="0055740C">
        <w:t xml:space="preserve"> data for resident individuals.</w:t>
      </w:r>
    </w:p>
    <w:p w14:paraId="12E73D16" w14:textId="3D0BCD9F" w:rsidR="00511609" w:rsidRDefault="00353D1C" w:rsidP="007D4848">
      <w:pPr>
        <w:pStyle w:val="Source"/>
      </w:pPr>
      <w:r w:rsidRPr="00AE1A4B">
        <w:t xml:space="preserve">Notes: </w:t>
      </w:r>
      <w:r w:rsidR="0019494C" w:rsidRPr="00AE1A4B">
        <w:t>For</w:t>
      </w:r>
      <w:r w:rsidRPr="00AE1A4B">
        <w:t xml:space="preserve"> th</w:t>
      </w:r>
      <w:r w:rsidR="0019494C" w:rsidRPr="00AE1A4B">
        <w:t>e</w:t>
      </w:r>
      <w:r w:rsidRPr="00AE1A4B">
        <w:t xml:space="preserve"> illustration</w:t>
      </w:r>
      <w:r w:rsidR="0019494C" w:rsidRPr="00AE1A4B">
        <w:t>s in this paper</w:t>
      </w:r>
      <w:r w:rsidRPr="00AE1A4B">
        <w:t>, the marginal tax rate</w:t>
      </w:r>
      <w:r w:rsidR="0019494C" w:rsidRPr="00AE1A4B">
        <w:t xml:space="preserve"> calculation</w:t>
      </w:r>
      <w:r w:rsidRPr="00AE1A4B">
        <w:t xml:space="preserve"> </w:t>
      </w:r>
      <w:r w:rsidR="0019494C" w:rsidRPr="00AE1A4B">
        <w:t xml:space="preserve">does not capture </w:t>
      </w:r>
      <w:r w:rsidRPr="00AE1A4B">
        <w:t xml:space="preserve">the </w:t>
      </w:r>
      <w:r w:rsidR="0019494C" w:rsidRPr="00AE1A4B">
        <w:t>T</w:t>
      </w:r>
      <w:r w:rsidRPr="00AE1A4B">
        <w:t xml:space="preserve">emporary </w:t>
      </w:r>
      <w:r w:rsidR="0019494C" w:rsidRPr="00AE1A4B">
        <w:t>F</w:t>
      </w:r>
      <w:r w:rsidRPr="00AE1A4B">
        <w:t xml:space="preserve">lood </w:t>
      </w:r>
      <w:r w:rsidR="0019494C" w:rsidRPr="00AE1A4B">
        <w:t>and Cyclone Reconstruction L</w:t>
      </w:r>
      <w:r w:rsidRPr="00AE1A4B">
        <w:t>evy that applied in 2011</w:t>
      </w:r>
      <w:r w:rsidR="00F03697">
        <w:noBreakHyphen/>
      </w:r>
      <w:r w:rsidRPr="00AE1A4B">
        <w:t xml:space="preserve">12. </w:t>
      </w:r>
      <w:r w:rsidR="0019494C" w:rsidRPr="00AE1A4B">
        <w:t xml:space="preserve">However, taxation revenue collected through this </w:t>
      </w:r>
      <w:r w:rsidRPr="00AE1A4B">
        <w:t xml:space="preserve">levy </w:t>
      </w:r>
      <w:r w:rsidR="0019494C" w:rsidRPr="00AE1A4B">
        <w:t>will be</w:t>
      </w:r>
      <w:r w:rsidRPr="00AE1A4B">
        <w:t xml:space="preserve"> </w:t>
      </w:r>
      <w:r w:rsidR="0019494C" w:rsidRPr="00AE1A4B">
        <w:t>captured</w:t>
      </w:r>
      <w:r w:rsidRPr="00AE1A4B">
        <w:t xml:space="preserve"> in the average tax rate.</w:t>
      </w:r>
    </w:p>
    <w:p w14:paraId="4FEFC956" w14:textId="77777777" w:rsidR="0055740C" w:rsidRPr="0055740C" w:rsidRDefault="0055740C" w:rsidP="0055740C">
      <w:pPr>
        <w:pStyle w:val="SingleParagraph"/>
        <w:rPr>
          <w:lang w:eastAsia="en-AU"/>
        </w:rPr>
      </w:pPr>
    </w:p>
    <w:p w14:paraId="29DD6B73" w14:textId="01D120DB" w:rsidR="00CF1E73" w:rsidRDefault="00753C8E" w:rsidP="00353D1C">
      <w:r>
        <w:t>T</w:t>
      </w:r>
      <w:r w:rsidRPr="0055293E">
        <w:t xml:space="preserve">he estimated average tax rate on personal income of 16.7 per cent within the model is significantly lower than the average tax rate on </w:t>
      </w:r>
      <w:r>
        <w:t>individuals</w:t>
      </w:r>
      <w:r w:rsidR="00F03697">
        <w:t>’</w:t>
      </w:r>
      <w:r>
        <w:t xml:space="preserve"> taxable</w:t>
      </w:r>
      <w:r w:rsidRPr="0055293E">
        <w:t xml:space="preserve"> income of 21.5 per cent. There are two main reasons for this gap. First, the model consistent rate calculates an average tax rate as a function of total labour and domestic capital income (based on National Accounts data) and does not capture deductions that reduce </w:t>
      </w:r>
      <w:r w:rsidR="00F03697">
        <w:t>‘</w:t>
      </w:r>
      <w:r w:rsidRPr="0055293E">
        <w:t>taxable income</w:t>
      </w:r>
      <w:r w:rsidR="00F03697">
        <w:t>’</w:t>
      </w:r>
      <w:r w:rsidRPr="0055293E">
        <w:t>. Individuals</w:t>
      </w:r>
      <w:r w:rsidR="00F03697">
        <w:t>’</w:t>
      </w:r>
      <w:r w:rsidRPr="0055293E">
        <w:t xml:space="preserve"> tax collections expressed as a percentage of total income (before deductions) will be lower than individuals</w:t>
      </w:r>
      <w:r w:rsidR="00F03697">
        <w:t>’</w:t>
      </w:r>
      <w:r w:rsidRPr="0055293E">
        <w:t xml:space="preserve"> tax collections as a percentage of taxable income (less deductions). Second, the model consistent rate is based on aggregate labour and domestic capital income data which include income received by individuals </w:t>
      </w:r>
      <w:r>
        <w:t>that may not be captured in taxation returns (</w:t>
      </w:r>
      <w:r w:rsidR="00621AD1">
        <w:t>for example</w:t>
      </w:r>
      <w:r>
        <w:t xml:space="preserve"> </w:t>
      </w:r>
      <w:r w:rsidRPr="0055293E">
        <w:t>exempt income).</w:t>
      </w:r>
    </w:p>
    <w:p w14:paraId="29DD6B74" w14:textId="645DCA32" w:rsidR="003B1C39" w:rsidRDefault="003B1C39">
      <w:r>
        <w:br w:type="page"/>
      </w:r>
    </w:p>
    <w:p w14:paraId="3CE11503" w14:textId="0F5F097C" w:rsidR="003B1C39" w:rsidRDefault="003B1C39" w:rsidP="00AC51D8">
      <w:pPr>
        <w:pStyle w:val="Heading2"/>
        <w:numPr>
          <w:ilvl w:val="0"/>
          <w:numId w:val="0"/>
        </w:numPr>
      </w:pPr>
      <w:r>
        <w:lastRenderedPageBreak/>
        <w:t xml:space="preserve">Appendix C: Data </w:t>
      </w:r>
      <w:r w:rsidR="00815126">
        <w:t>sources</w:t>
      </w:r>
    </w:p>
    <w:p w14:paraId="7F6A9A24" w14:textId="2E04B1FF" w:rsidR="003B1C39" w:rsidRDefault="003B1C39" w:rsidP="003B1C39">
      <w:r>
        <w:t>Australi</w:t>
      </w:r>
      <w:r w:rsidR="008575BB">
        <w:t>an Bureau of Statistics (2010)</w:t>
      </w:r>
      <w:r w:rsidR="00772C5E">
        <w:t xml:space="preserve"> </w:t>
      </w:r>
      <w:r>
        <w:t xml:space="preserve">Experimental </w:t>
      </w:r>
      <w:r w:rsidR="00194838">
        <w:t>e</w:t>
      </w:r>
      <w:r w:rsidR="0091352E">
        <w:t xml:space="preserve">stimates of </w:t>
      </w:r>
      <w:r w:rsidR="00194838">
        <w:t>i</w:t>
      </w:r>
      <w:r w:rsidR="0091352E">
        <w:t xml:space="preserve">ndustry </w:t>
      </w:r>
      <w:r w:rsidR="00194838">
        <w:t>m</w:t>
      </w:r>
      <w:r w:rsidR="0091352E">
        <w:t xml:space="preserve">ultifactor </w:t>
      </w:r>
      <w:r w:rsidR="00194838">
        <w:t>p</w:t>
      </w:r>
      <w:r w:rsidR="0091352E">
        <w:t>roductivity</w:t>
      </w:r>
      <w:r w:rsidR="004C5CFD">
        <w:t xml:space="preserve"> — </w:t>
      </w:r>
      <w:r>
        <w:t>2009</w:t>
      </w:r>
      <w:r w:rsidR="00F03697">
        <w:noBreakHyphen/>
      </w:r>
      <w:r>
        <w:t xml:space="preserve">10. ABS </w:t>
      </w:r>
      <w:r w:rsidR="00041BE6">
        <w:t>Cat.</w:t>
      </w:r>
      <w:r>
        <w:t xml:space="preserve"> 5260.0.55.002. Australian Bureau of Statistics: Canberra. 07/12/2010.</w:t>
      </w:r>
    </w:p>
    <w:p w14:paraId="37A86452" w14:textId="01C9953C" w:rsidR="003B1C39" w:rsidRDefault="003B1C39" w:rsidP="003B1C39">
      <w:r>
        <w:t>Australian Bureau of Statistics (2011) Various tables. Australian National Accounts: Input</w:t>
      </w:r>
      <w:r w:rsidR="00F03697">
        <w:noBreakHyphen/>
      </w:r>
      <w:r>
        <w:t>Output tables</w:t>
      </w:r>
      <w:r w:rsidR="004C5CFD">
        <w:t xml:space="preserve"> — </w:t>
      </w:r>
      <w:r>
        <w:t>Electronic publication, 2007</w:t>
      </w:r>
      <w:r w:rsidR="00F03697">
        <w:noBreakHyphen/>
      </w:r>
      <w:r>
        <w:t xml:space="preserve">08 Final. ABS </w:t>
      </w:r>
      <w:r w:rsidR="00041BE6">
        <w:t>Cat.</w:t>
      </w:r>
      <w:r>
        <w:t xml:space="preserve"> 5209.0.55.001. Australian Bureau of Statistics: Canberra. 25/10/2011.</w:t>
      </w:r>
    </w:p>
    <w:p w14:paraId="521D6066" w14:textId="4B4BAC24" w:rsidR="003B1C39" w:rsidRDefault="003B1C39" w:rsidP="003B1C39">
      <w:r>
        <w:t>Australian Bureau of Statistics (2014) Various tables. Australian National Accounts: National income, expenditure and product</w:t>
      </w:r>
      <w:r w:rsidR="004C5CFD">
        <w:t xml:space="preserve"> — </w:t>
      </w:r>
      <w:r>
        <w:t xml:space="preserve">March Quarter 2014. ABS </w:t>
      </w:r>
      <w:r w:rsidR="00041BE6">
        <w:t>Cat.</w:t>
      </w:r>
      <w:r>
        <w:t xml:space="preserve"> 5206.0. Australian Bureau of Statistics: Canberra. 04/06/2014.</w:t>
      </w:r>
    </w:p>
    <w:p w14:paraId="4C081540" w14:textId="7AFE8563" w:rsidR="003B1C39" w:rsidRDefault="003B1C39" w:rsidP="00041BE6">
      <w:r>
        <w:t>Australian Bureau of Statistics (2014) Table 4</w:t>
      </w:r>
      <w:r w:rsidR="004C5CFD">
        <w:t xml:space="preserve"> — </w:t>
      </w:r>
      <w:r>
        <w:t xml:space="preserve">Employed persons by </w:t>
      </w:r>
      <w:r w:rsidR="00194838">
        <w:t>i</w:t>
      </w:r>
      <w:r>
        <w:t>ndustry</w:t>
      </w:r>
      <w:r w:rsidR="004C5CFD">
        <w:t xml:space="preserve"> — </w:t>
      </w:r>
      <w:r>
        <w:t>Trend, seasonally adjusted, original. Labour Force Australia, detailed, quarterly</w:t>
      </w:r>
      <w:r w:rsidR="004C5CFD">
        <w:t xml:space="preserve"> — </w:t>
      </w:r>
      <w:r>
        <w:t>May Quarter 2014. ABS</w:t>
      </w:r>
      <w:r w:rsidR="00041BE6">
        <w:t> Cat. </w:t>
      </w:r>
      <w:r>
        <w:t>6291.0.55.003. Australian Bureau of Statistics: Canberra. 18/09/2014.</w:t>
      </w:r>
    </w:p>
    <w:p w14:paraId="6D241D2D" w14:textId="7B856E17" w:rsidR="003B1C39" w:rsidRDefault="003B1C39" w:rsidP="003B1C39">
      <w:r>
        <w:t>Australian Bureau of Statistics (2014) Tables 3 and 4</w:t>
      </w:r>
      <w:r w:rsidR="004C5CFD">
        <w:t xml:space="preserve"> — </w:t>
      </w:r>
      <w:r>
        <w:t>CPI: Groups, weighted average of eight capital cities, index numbers and percentage changes. Consumer Price Index, Australia</w:t>
      </w:r>
      <w:r w:rsidR="004C5CFD">
        <w:t xml:space="preserve"> — </w:t>
      </w:r>
      <w:r>
        <w:t xml:space="preserve">June Quarter 2014. ABS </w:t>
      </w:r>
      <w:r w:rsidR="00041BE6">
        <w:t>Cat. </w:t>
      </w:r>
      <w:r>
        <w:t>6401.0. Australian Bureau of Statistics: Canberra. 22/10/2014.</w:t>
      </w:r>
    </w:p>
    <w:p w14:paraId="1D803AE4" w14:textId="719F2081" w:rsidR="003B1C39" w:rsidRDefault="003B1C39" w:rsidP="003B1C39">
      <w:r>
        <w:t>Australian Bureau of Statistics (2014) Various tables. Australian National Accounts: Financial Accounts</w:t>
      </w:r>
      <w:r w:rsidR="004C5CFD">
        <w:t xml:space="preserve"> — </w:t>
      </w:r>
      <w:r>
        <w:t xml:space="preserve">June 2014. ABS </w:t>
      </w:r>
      <w:r w:rsidR="00041BE6">
        <w:t>Cat. </w:t>
      </w:r>
      <w:r>
        <w:t>5232.0. Australian Bureau of Statistics: Canberra. 25/09/2014.</w:t>
      </w:r>
    </w:p>
    <w:p w14:paraId="5B5FF3C0" w14:textId="1131E5D6" w:rsidR="003B1C39" w:rsidRDefault="003B1C39" w:rsidP="003B1C39">
      <w:r>
        <w:t>Australian Bureau of Statistics (2014) Various tables. Taxation Revenue, Australia, 2012</w:t>
      </w:r>
      <w:r w:rsidR="00F03697">
        <w:noBreakHyphen/>
      </w:r>
      <w:r>
        <w:t>13. ABS</w:t>
      </w:r>
      <w:r w:rsidR="00041BE6">
        <w:t> Cat. </w:t>
      </w:r>
      <w:r>
        <w:t>5506.0. Australian Bureau of Statistics: Canberra. 28/05/2014.</w:t>
      </w:r>
    </w:p>
    <w:p w14:paraId="29DD6B75" w14:textId="542D2D7A" w:rsidR="00F012EA" w:rsidRPr="00BB4F74" w:rsidRDefault="008575BB" w:rsidP="003B1C39">
      <w:r>
        <w:t>Australian Tax Office (2014)</w:t>
      </w:r>
      <w:r w:rsidR="003B1C39">
        <w:t xml:space="preserve"> Taxation statistics 2011</w:t>
      </w:r>
      <w:r w:rsidR="00F03697">
        <w:noBreakHyphen/>
      </w:r>
      <w:r w:rsidR="003B1C39">
        <w:t>12 detailed tables. Australian Tax Office: Canberra. 22/09/2014.</w:t>
      </w:r>
    </w:p>
    <w:sectPr w:rsidR="00F012EA" w:rsidRPr="00BB4F74" w:rsidSect="008C0793">
      <w:pgSz w:w="11906" w:h="16838" w:code="9"/>
      <w:pgMar w:top="1418" w:right="1304" w:bottom="1418" w:left="130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D6BC3" w14:textId="77777777" w:rsidR="00E6097C" w:rsidRDefault="00E6097C" w:rsidP="005F100C">
      <w:pPr>
        <w:spacing w:after="0" w:line="240" w:lineRule="auto"/>
      </w:pPr>
      <w:r>
        <w:separator/>
      </w:r>
    </w:p>
  </w:endnote>
  <w:endnote w:type="continuationSeparator" w:id="0">
    <w:p w14:paraId="29DD6BC4" w14:textId="77777777" w:rsidR="00E6097C" w:rsidRDefault="00E6097C" w:rsidP="005F1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C9" w14:textId="77777777" w:rsidR="00E6097C" w:rsidRDefault="00E6097C"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71</w:t>
    </w:r>
    <w:r w:rsidRPr="00365C6D">
      <w:rPr>
        <w:rStyle w:val="PageNumber"/>
      </w:rPr>
      <w:fldChar w:fldCharType="end"/>
    </w:r>
  </w:p>
  <w:p w14:paraId="29DD6BCA" w14:textId="77777777" w:rsidR="00E6097C" w:rsidRPr="00365C6D" w:rsidRDefault="00866AD9" w:rsidP="00F60530">
    <w:pPr>
      <w:pStyle w:val="SecurityClassificationFooter"/>
    </w:pPr>
    <w:r>
      <w:fldChar w:fldCharType="begin"/>
    </w:r>
    <w:r>
      <w:instrText xml:space="preserve"> DOCPROPERTY WorkingDocStatus \* MERGEFORMAT </w:instrText>
    </w:r>
    <w:r>
      <w:fldChar w:fldCharType="separate"/>
    </w:r>
    <w:r w:rsidR="00E6097C">
      <w:t>DRAFT WORKING DOCUMENT</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CB" w14:textId="77777777" w:rsidR="00E6097C" w:rsidRDefault="00E6097C"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866AD9">
      <w:rPr>
        <w:rStyle w:val="PageNumber"/>
        <w:noProof/>
      </w:rPr>
      <w:t>34</w:t>
    </w:r>
    <w:r w:rsidRPr="00365C6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62DD" w14:textId="4E80A169" w:rsidR="00E6097C" w:rsidRDefault="00E6097C">
    <w:pPr>
      <w:pStyle w:val="Footer"/>
    </w:pPr>
    <w:r>
      <w:rPr>
        <w:noProof/>
        <w:lang w:eastAsia="en-AU"/>
      </w:rPr>
      <w:drawing>
        <wp:inline distT="0" distB="0" distL="0" distR="0" wp14:anchorId="37BD0CEA" wp14:editId="6AA549B1">
          <wp:extent cx="5904000" cy="72000"/>
          <wp:effectExtent l="0" t="0" r="0" b="444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720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2D6D7" w14:textId="393EA36B" w:rsidR="00E6097C" w:rsidRDefault="00E609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C94E" w14:textId="22DC8897" w:rsidR="00E6097C" w:rsidRDefault="00E6097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8" w14:textId="77777777" w:rsidR="00E6097C" w:rsidRDefault="00E6097C"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866AD9">
      <w:rPr>
        <w:rStyle w:val="PageNumber"/>
        <w:noProof/>
      </w:rPr>
      <w:t>58</w:t>
    </w:r>
    <w:r w:rsidRPr="00365C6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D6BC1" w14:textId="77777777" w:rsidR="00E6097C" w:rsidRDefault="00E6097C" w:rsidP="005F100C">
      <w:pPr>
        <w:spacing w:after="0" w:line="240" w:lineRule="auto"/>
      </w:pPr>
      <w:r>
        <w:separator/>
      </w:r>
    </w:p>
  </w:footnote>
  <w:footnote w:type="continuationSeparator" w:id="0">
    <w:p w14:paraId="29DD6BC2" w14:textId="77777777" w:rsidR="00E6097C" w:rsidRDefault="00E6097C" w:rsidP="005F100C">
      <w:pPr>
        <w:spacing w:after="0" w:line="240" w:lineRule="auto"/>
      </w:pPr>
      <w:r>
        <w:continuationSeparator/>
      </w:r>
    </w:p>
  </w:footnote>
  <w:footnote w:id="1">
    <w:p w14:paraId="29DD6BE5" w14:textId="10A90DD3" w:rsidR="00E6097C" w:rsidRPr="00F03697" w:rsidRDefault="00E6097C" w:rsidP="00F03697">
      <w:pPr>
        <w:pStyle w:val="FootnoteText"/>
      </w:pPr>
      <w:r w:rsidRPr="00F03697">
        <w:rPr>
          <w:rStyle w:val="FootnoteReference"/>
          <w:vertAlign w:val="baseline"/>
        </w:rPr>
        <w:footnoteRef/>
      </w:r>
      <w:r w:rsidRPr="00F03697">
        <w:t xml:space="preserve"> </w:t>
      </w:r>
      <w:r w:rsidRPr="00F03697">
        <w:tab/>
        <w:t>Cao, Kouparitsas, Mullaly, Rimmer, Shi, Stark and Wende: Macroeconomic Modelling and Policy Division, Macroeconomic Group, Hosking: Tax White Paper task force, Revenue Group, The Treasury, Langton</w:t>
      </w:r>
      <w:r>
        <w:t> </w:t>
      </w:r>
      <w:r w:rsidRPr="00F03697">
        <w:t xml:space="preserve">Crescent, Parkes ACT 2600, Australia. Correspondence: department@treasury.gov.au. We thank colleagues in the Tax Analysis Division for assistance in estimating the effective individuals’ marginal tax rates reported in Appendix </w:t>
      </w:r>
      <w:r>
        <w:t>B</w:t>
      </w:r>
      <w:r w:rsidRPr="00F03697">
        <w:t>. We also thank Matt Benge, Roger Brake, John Creedy, Graeme Davis, Simon Duggan, Geoff Francis, John Freebairn, Owen Gabbitas, Norman Gemmell, Christian Gillitzer, Rob Heferen, Chris</w:t>
      </w:r>
      <w:r>
        <w:t> </w:t>
      </w:r>
      <w:r w:rsidRPr="00F03697">
        <w:t>Murphy, Tom Neubig, Neil Warren, Jenny Wilkinson, Luke Willard and state/territory Treasury officials for valuable comments and suggestions on an earlier draft.</w:t>
      </w:r>
    </w:p>
  </w:footnote>
  <w:footnote w:id="2">
    <w:p w14:paraId="22EB567F" w14:textId="7A1EBFAF" w:rsidR="00E6097C" w:rsidRPr="00F03697" w:rsidRDefault="00E6097C" w:rsidP="008D5E4F">
      <w:pPr>
        <w:pStyle w:val="FootnoteText"/>
      </w:pPr>
      <w:r w:rsidRPr="00F03697">
        <w:rPr>
          <w:rStyle w:val="FootnoteReference"/>
          <w:vertAlign w:val="baseline"/>
        </w:rPr>
        <w:footnoteRef/>
      </w:r>
      <w:r w:rsidRPr="00F03697">
        <w:t xml:space="preserve"> </w:t>
      </w:r>
      <w:r w:rsidRPr="00F03697">
        <w:tab/>
        <w:t>The views expressed in this paper are those of the authors and do not necessarily reflect those of the Australian Government.</w:t>
      </w:r>
    </w:p>
  </w:footnote>
  <w:footnote w:id="3">
    <w:p w14:paraId="4959FB1B" w14:textId="77777777" w:rsidR="00E6097C" w:rsidRPr="00F03697" w:rsidRDefault="00E6097C" w:rsidP="00F03697">
      <w:pPr>
        <w:pStyle w:val="FootnoteText"/>
      </w:pPr>
      <w:r w:rsidRPr="00F03697">
        <w:rPr>
          <w:rStyle w:val="FootnoteReference"/>
          <w:vertAlign w:val="baseline"/>
        </w:rPr>
        <w:footnoteRef/>
      </w:r>
      <w:r w:rsidRPr="00F03697">
        <w:t xml:space="preserve"> </w:t>
      </w:r>
      <w:r w:rsidRPr="00F03697">
        <w:tab/>
        <w:t>See Creedy and Duncan (2002) for further detail.</w:t>
      </w:r>
    </w:p>
  </w:footnote>
  <w:footnote w:id="4">
    <w:p w14:paraId="6F782885" w14:textId="33F5C67C" w:rsidR="00E6097C" w:rsidRPr="00F03697" w:rsidRDefault="00E6097C" w:rsidP="00F03697">
      <w:pPr>
        <w:pStyle w:val="FootnoteText"/>
      </w:pPr>
      <w:r w:rsidRPr="00F03697">
        <w:rPr>
          <w:rStyle w:val="FootnoteReference"/>
          <w:vertAlign w:val="baseline"/>
        </w:rPr>
        <w:footnoteRef/>
      </w:r>
      <w:r w:rsidRPr="00F03697">
        <w:t xml:space="preserve"> </w:t>
      </w:r>
      <w:r w:rsidRPr="00F03697">
        <w:tab/>
        <w:t>Treasury’s current general equilibrium modelling capacity for tax analysis is limited to a static representative household general equilibrium model which was developed to provide analysis to the Business Tax Working Group (BTWG). For further detail see Australian Government (2012).</w:t>
      </w:r>
    </w:p>
  </w:footnote>
  <w:footnote w:id="5">
    <w:p w14:paraId="2CDF1667" w14:textId="3B846593" w:rsidR="00E6097C" w:rsidRPr="00F03697" w:rsidRDefault="00E6097C" w:rsidP="00F03697">
      <w:pPr>
        <w:pStyle w:val="FootnoteText"/>
      </w:pPr>
      <w:r w:rsidRPr="00F03697">
        <w:rPr>
          <w:rStyle w:val="FootnoteReference"/>
          <w:vertAlign w:val="baseline"/>
        </w:rPr>
        <w:footnoteRef/>
      </w:r>
      <w:r w:rsidRPr="00F03697">
        <w:t xml:space="preserve"> </w:t>
      </w:r>
      <w:r w:rsidRPr="00F03697">
        <w:tab/>
        <w:t>See, for example, Mendoza and Tesar (1998).</w:t>
      </w:r>
    </w:p>
  </w:footnote>
  <w:footnote w:id="6">
    <w:p w14:paraId="19453B4C" w14:textId="71A2072A" w:rsidR="00E6097C" w:rsidRPr="00F03697" w:rsidRDefault="00E6097C" w:rsidP="00F03697">
      <w:pPr>
        <w:pStyle w:val="FootnoteText"/>
      </w:pPr>
      <w:r w:rsidRPr="00F03697">
        <w:rPr>
          <w:rStyle w:val="FootnoteReference"/>
          <w:vertAlign w:val="baseline"/>
        </w:rPr>
        <w:footnoteRef/>
      </w:r>
      <w:r w:rsidRPr="00F03697">
        <w:t xml:space="preserve"> </w:t>
      </w:r>
      <w:r w:rsidRPr="00F03697">
        <w:tab/>
        <w:t>Goulder and Williams III (2003) find that ignoring the general equilibrium or second round effects of tax can bias the marginal excess burden for a given tax.</w:t>
      </w:r>
    </w:p>
  </w:footnote>
  <w:footnote w:id="7">
    <w:p w14:paraId="3508D0A0" w14:textId="7C1C826D" w:rsidR="00E6097C" w:rsidRPr="00F03697" w:rsidRDefault="00E6097C" w:rsidP="00F03697">
      <w:pPr>
        <w:pStyle w:val="FootnoteText"/>
      </w:pPr>
      <w:r w:rsidRPr="00F03697">
        <w:rPr>
          <w:rStyle w:val="FootnoteReference"/>
          <w:vertAlign w:val="baseline"/>
        </w:rPr>
        <w:footnoteRef/>
      </w:r>
      <w:r w:rsidRPr="00F03697">
        <w:t xml:space="preserve"> </w:t>
      </w:r>
      <w:r w:rsidRPr="00F03697">
        <w:tab/>
        <w:t xml:space="preserve">Independent Economics designed the overall economic structure of the model. In 2012, Treasury in collaboration with Independent Economics, incorporated more aspects of the company income tax system and calibrated the model to match the business tax data in 2012 for modelling commissioned by the Business Tax Working Group (BTWG). </w:t>
      </w:r>
    </w:p>
  </w:footnote>
  <w:footnote w:id="8">
    <w:p w14:paraId="51BFF1A9" w14:textId="16905F1C"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 work presented in this paper was undertaken by the Treasury and should not be attributed to Independent Economics. Since the development of the original IECGE model, Independent Economics has separately undertaken model development. Independent Economics’ updated model is titled the Extended IECGE model.</w:t>
      </w:r>
    </w:p>
  </w:footnote>
  <w:footnote w:id="9">
    <w:p w14:paraId="3C0E8ACA" w14:textId="77777777" w:rsidR="00E6097C" w:rsidRPr="00F03697" w:rsidRDefault="00E6097C" w:rsidP="00F03697">
      <w:pPr>
        <w:pStyle w:val="FootnoteText"/>
      </w:pPr>
      <w:r w:rsidRPr="00F03697">
        <w:rPr>
          <w:rStyle w:val="FootnoteReference"/>
          <w:vertAlign w:val="baseline"/>
        </w:rPr>
        <w:footnoteRef/>
      </w:r>
      <w:r w:rsidRPr="00F03697">
        <w:t xml:space="preserve"> </w:t>
      </w:r>
      <w:r w:rsidRPr="00F03697">
        <w:tab/>
        <w:t xml:space="preserve">Real government spending is fixed across all scenarios in this paper, so adding it to the household utility function would not make any difference to the welfare calculations reported here. </w:t>
      </w:r>
    </w:p>
  </w:footnote>
  <w:footnote w:id="10">
    <w:p w14:paraId="75BA71A0" w14:textId="210F369E"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 marginal excess burden would likely be higher if tax changes caused the firm’s debt equity funding choice to change.</w:t>
      </w:r>
    </w:p>
  </w:footnote>
  <w:footnote w:id="11">
    <w:p w14:paraId="6281AD17" w14:textId="18FD271F" w:rsidR="00E6097C" w:rsidRPr="00F03697" w:rsidRDefault="00E6097C" w:rsidP="00F03697">
      <w:pPr>
        <w:pStyle w:val="FootnoteText"/>
      </w:pPr>
      <w:r w:rsidRPr="00F03697">
        <w:rPr>
          <w:rStyle w:val="FootnoteReference"/>
          <w:vertAlign w:val="baseline"/>
        </w:rPr>
        <w:footnoteRef/>
      </w:r>
      <w:r w:rsidRPr="00F03697">
        <w:t xml:space="preserve"> </w:t>
      </w:r>
      <w:r w:rsidRPr="00F03697">
        <w:tab/>
        <w:t>In a CGE model, a broad</w:t>
      </w:r>
      <w:r w:rsidRPr="00F03697">
        <w:noBreakHyphen/>
        <w:t>based payroll tax would be expected to have a similar economic incidence as the flat personal income tax captured in this model. See KPMG (2010) for more information. The flat labour income tax captured in our CGE model is not calibrated to capture payroll tax receipts.</w:t>
      </w:r>
    </w:p>
  </w:footnote>
  <w:footnote w:id="12">
    <w:p w14:paraId="5369567F" w14:textId="77777777" w:rsidR="00E6097C" w:rsidRPr="00F03697" w:rsidRDefault="00E6097C" w:rsidP="00F03697">
      <w:pPr>
        <w:pStyle w:val="FootnoteText"/>
      </w:pPr>
      <w:r w:rsidRPr="00F03697">
        <w:rPr>
          <w:rStyle w:val="FootnoteReference"/>
          <w:vertAlign w:val="baseline"/>
        </w:rPr>
        <w:footnoteRef/>
      </w:r>
      <w:r w:rsidRPr="00F03697">
        <w:t xml:space="preserve"> </w:t>
      </w:r>
      <w:r w:rsidRPr="00F03697">
        <w:tab/>
        <w:t>We leave it to future research to model observed differences in the effective tax rates of capital and labour incomes.</w:t>
      </w:r>
    </w:p>
  </w:footnote>
  <w:footnote w:id="13">
    <w:p w14:paraId="2DC35D2E" w14:textId="48268A40"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There is no ‘retained capital earnings’ in the model, as it represents a long</w:t>
      </w:r>
      <w:r w:rsidRPr="00F03697">
        <w:noBreakHyphen/>
        <w:t>run steady</w:t>
      </w:r>
      <w:r w:rsidRPr="00F03697">
        <w:noBreakHyphen/>
        <w:t>state of the economy.</w:t>
      </w:r>
    </w:p>
  </w:footnote>
  <w:footnote w:id="14">
    <w:p w14:paraId="624013C4" w14:textId="59BC8D06"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This is required for the government’s budget to be balanced in the model. Other taxes are calibrated to administrative or statistical data.</w:t>
      </w:r>
    </w:p>
  </w:footnote>
  <w:footnote w:id="15">
    <w:p w14:paraId="725DE160" w14:textId="25DB322F"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 earlier version of the model used for the BTWG included the GST into a general indirect tax.</w:t>
      </w:r>
    </w:p>
  </w:footnote>
  <w:footnote w:id="16">
    <w:p w14:paraId="7FE36ADE" w14:textId="032DD3B2" w:rsidR="00E6097C" w:rsidRPr="00F03697" w:rsidRDefault="00E6097C" w:rsidP="00F03697">
      <w:pPr>
        <w:pStyle w:val="FootnoteText"/>
      </w:pPr>
      <w:r w:rsidRPr="00F03697">
        <w:rPr>
          <w:rStyle w:val="FootnoteReference"/>
          <w:vertAlign w:val="baseline"/>
        </w:rPr>
        <w:footnoteRef/>
      </w:r>
      <w:r w:rsidRPr="00F03697">
        <w:t xml:space="preserve"> </w:t>
      </w:r>
      <w:r w:rsidRPr="00F03697">
        <w:tab/>
        <w:t>Residential land includes owner occupied housing land and rented residential land, while non</w:t>
      </w:r>
      <w:r w:rsidRPr="00F03697">
        <w:noBreakHyphen/>
        <w:t>residential land includes urban land for commercial use and land for primary production.</w:t>
      </w:r>
    </w:p>
  </w:footnote>
  <w:footnote w:id="17">
    <w:p w14:paraId="5D516B60" w14:textId="120E39FF"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 after</w:t>
      </w:r>
      <w:r w:rsidRPr="00F03697">
        <w:noBreakHyphen/>
        <w:t>tax rate of return on land is invariant to the tax change. Hence, it is assumed that foreign and domestic land owners do not alter their holdings in response to a tax change.</w:t>
      </w:r>
    </w:p>
  </w:footnote>
  <w:footnote w:id="18">
    <w:p w14:paraId="29DD6BF1" w14:textId="405DC3C4" w:rsidR="00E6097C" w:rsidRPr="00F03697" w:rsidRDefault="00E6097C" w:rsidP="00F03697">
      <w:pPr>
        <w:pStyle w:val="FootnoteText"/>
      </w:pPr>
      <w:r w:rsidRPr="00F03697">
        <w:rPr>
          <w:rStyle w:val="FootnoteReference"/>
          <w:vertAlign w:val="baseline"/>
        </w:rPr>
        <w:footnoteRef/>
      </w:r>
      <w:r w:rsidRPr="00F03697">
        <w:t xml:space="preserve"> </w:t>
      </w:r>
      <w:r w:rsidRPr="00F03697">
        <w:tab/>
        <w:t>For more detailed discussion of the properties of the expenditure function, see Mas</w:t>
      </w:r>
      <w:r w:rsidRPr="00F03697">
        <w:noBreakHyphen/>
        <w:t>Colell, Whintson and Green (Section 3, 1995).</w:t>
      </w:r>
    </w:p>
  </w:footnote>
  <w:footnote w:id="19">
    <w:p w14:paraId="5679DA43" w14:textId="61C622E0" w:rsidR="00E6097C" w:rsidRPr="00F03697" w:rsidRDefault="00E6097C" w:rsidP="00F03697">
      <w:pPr>
        <w:pStyle w:val="FootnoteText"/>
      </w:pPr>
      <w:r w:rsidRPr="00F03697">
        <w:rPr>
          <w:rStyle w:val="FootnoteReference"/>
          <w:vertAlign w:val="baseline"/>
        </w:rPr>
        <w:footnoteRef/>
      </w:r>
      <w:r w:rsidRPr="00F03697">
        <w:t xml:space="preserve"> </w:t>
      </w:r>
      <w:r w:rsidRPr="00F03697">
        <w:tab/>
        <w:t>Specifically, the rate of the tax under consideration is increased by 0.1 per cent. The resulting estimates are then scaled by the change in the lump sum transfer, which ensures the MEB is normalised to a one dollar increase in the lump sum transfer to the household.</w:t>
      </w:r>
    </w:p>
  </w:footnote>
  <w:footnote w:id="20">
    <w:p w14:paraId="29DD6BF2" w14:textId="125E7D2D"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 model has two types of land: residential and non</w:t>
      </w:r>
      <w:r w:rsidRPr="00F03697">
        <w:noBreakHyphen/>
        <w:t>residential land. Residential land is only used by the Ownership of Dwellings sector, while non</w:t>
      </w:r>
      <w:r w:rsidRPr="00F03697">
        <w:noBreakHyphen/>
        <w:t>residential land is used by all other industries. While the total supply of each type of land is fixed, the utilisation of land can be increased through greater investment in structures. Finally, the supply of non</w:t>
      </w:r>
      <w:r w:rsidRPr="00F03697">
        <w:noBreakHyphen/>
        <w:t>residential land at the sectoral level can vary, with land allocated via the rental market to its most productive use.</w:t>
      </w:r>
    </w:p>
  </w:footnote>
  <w:footnote w:id="21">
    <w:p w14:paraId="0087F1A7" w14:textId="28E636EA" w:rsidR="00E6097C" w:rsidRPr="00F03697" w:rsidRDefault="00E6097C" w:rsidP="00F03697">
      <w:pPr>
        <w:pStyle w:val="FootnoteText"/>
      </w:pPr>
      <w:r w:rsidRPr="00F03697">
        <w:rPr>
          <w:rStyle w:val="FootnoteReference"/>
          <w:vertAlign w:val="baseline"/>
        </w:rPr>
        <w:footnoteRef/>
      </w:r>
      <w:r w:rsidRPr="00F03697">
        <w:t xml:space="preserve"> </w:t>
      </w:r>
      <w:r w:rsidRPr="00F03697">
        <w:tab/>
        <w:t xml:space="preserve">Our sensitivity analysis shows that the rival assumption of a fixed domestic savings rate yields very similar outcomes. </w:t>
      </w:r>
    </w:p>
  </w:footnote>
  <w:footnote w:id="22">
    <w:p w14:paraId="713294C3" w14:textId="624699B3" w:rsidR="00E6097C" w:rsidRPr="00F03697" w:rsidRDefault="00E6097C" w:rsidP="00F03697">
      <w:pPr>
        <w:pStyle w:val="FootnoteText"/>
      </w:pPr>
      <w:r w:rsidRPr="00F03697">
        <w:rPr>
          <w:rStyle w:val="FootnoteReference"/>
          <w:vertAlign w:val="baseline"/>
        </w:rPr>
        <w:footnoteRef/>
      </w:r>
      <w:r w:rsidRPr="00F03697">
        <w:t xml:space="preserve"> </w:t>
      </w:r>
      <w:r w:rsidRPr="00F03697">
        <w:tab/>
        <w:t>These factors are assumed fixed in the long</w:t>
      </w:r>
      <w:r w:rsidRPr="00F03697">
        <w:noBreakHyphen/>
        <w:t>run. However, factors such as the firm</w:t>
      </w:r>
      <w:r w:rsidRPr="00F03697">
        <w:noBreakHyphen/>
        <w:t>specific factor could vary in the short run.</w:t>
      </w:r>
    </w:p>
  </w:footnote>
  <w:footnote w:id="23">
    <w:p w14:paraId="307C0D2A" w14:textId="77777777" w:rsidR="00E6097C" w:rsidRPr="00F03697" w:rsidRDefault="00E6097C" w:rsidP="00F03697">
      <w:pPr>
        <w:pStyle w:val="FootnoteText"/>
      </w:pPr>
      <w:r w:rsidRPr="00F03697">
        <w:rPr>
          <w:rStyle w:val="FootnoteReference"/>
          <w:vertAlign w:val="baseline"/>
        </w:rPr>
        <w:footnoteRef/>
      </w:r>
      <w:r w:rsidRPr="00F03697">
        <w:t xml:space="preserve"> </w:t>
      </w:r>
      <w:r w:rsidRPr="00F03697">
        <w:tab/>
        <w:t>See, for example, the seminal study by Lucas (1990).</w:t>
      </w:r>
    </w:p>
  </w:footnote>
  <w:footnote w:id="24">
    <w:p w14:paraId="6FAF5AEF" w14:textId="5611C217" w:rsidR="00E6097C" w:rsidRPr="00F03697" w:rsidRDefault="00E6097C" w:rsidP="00F03697">
      <w:pPr>
        <w:pStyle w:val="FootnoteText"/>
      </w:pPr>
      <w:r w:rsidRPr="00F03697">
        <w:rPr>
          <w:rStyle w:val="FootnoteReference"/>
          <w:vertAlign w:val="baseline"/>
        </w:rPr>
        <w:footnoteRef/>
      </w:r>
      <w:r w:rsidRPr="00F03697">
        <w:t xml:space="preserve"> </w:t>
      </w:r>
      <w:r w:rsidRPr="00F03697">
        <w:tab/>
        <w:t>Chart 5 is generated by changing the model’s initial company tax rate, while holding revenue constant via either a lump</w:t>
      </w:r>
      <w:r w:rsidRPr="00F03697">
        <w:noBreakHyphen/>
        <w:t>sum transfer for tax rate increases or a lump</w:t>
      </w:r>
      <w:r w:rsidRPr="00F03697">
        <w:noBreakHyphen/>
        <w:t>sum tax for tax rate decreases. The marginal excess burden of the company tax is then calculated at the new tax rate.</w:t>
      </w:r>
    </w:p>
  </w:footnote>
  <w:footnote w:id="25">
    <w:p w14:paraId="041E556F" w14:textId="7B5AB221" w:rsidR="00E6097C" w:rsidRPr="00F03697" w:rsidRDefault="00E6097C" w:rsidP="00F03697">
      <w:pPr>
        <w:pStyle w:val="FootnoteText"/>
      </w:pPr>
      <w:r w:rsidRPr="00F03697">
        <w:rPr>
          <w:rStyle w:val="FootnoteReference"/>
          <w:vertAlign w:val="baseline"/>
        </w:rPr>
        <w:footnoteRef/>
      </w:r>
      <w:r w:rsidRPr="00F03697">
        <w:t xml:space="preserve"> </w:t>
      </w:r>
      <w:r w:rsidRPr="00F03697">
        <w:tab/>
        <w:t>Estimates from Access Economics (2008 and 2011) are not included in Table 2 as they only report relative marginal excess burdens of taxes rather than absolute marginal excess burdens.</w:t>
      </w:r>
    </w:p>
  </w:footnote>
  <w:footnote w:id="26">
    <w:p w14:paraId="12125D4F" w14:textId="617090A6" w:rsidR="00E6097C" w:rsidRPr="00F03697" w:rsidRDefault="00E6097C" w:rsidP="00F03697">
      <w:pPr>
        <w:pStyle w:val="FootnoteText"/>
      </w:pPr>
      <w:r w:rsidRPr="00F03697">
        <w:rPr>
          <w:rStyle w:val="FootnoteReference"/>
          <w:vertAlign w:val="baseline"/>
        </w:rPr>
        <w:footnoteRef/>
      </w:r>
      <w:r w:rsidRPr="00F03697">
        <w:t xml:space="preserve"> </w:t>
      </w:r>
      <w:r w:rsidRPr="00F03697">
        <w:tab/>
        <w:t>Alternatively, the effective tax rate can be constructed using income rather than individual weights. This implies an average marginal tax rate of 34.5 per cent and a marginal excess burden of 59 cents for labour income tax and 43 cents for personal income tax.</w:t>
      </w:r>
    </w:p>
  </w:footnote>
  <w:footnote w:id="27">
    <w:p w14:paraId="359FA74B" w14:textId="6A2BAB3A" w:rsidR="00E6097C" w:rsidRPr="00F03697" w:rsidRDefault="00E6097C" w:rsidP="00F03697">
      <w:pPr>
        <w:pStyle w:val="FootnoteText"/>
        <w:rPr>
          <w:highlight w:val="yellow"/>
        </w:rPr>
      </w:pPr>
      <w:r w:rsidRPr="00F03697">
        <w:rPr>
          <w:rStyle w:val="FootnoteReference"/>
          <w:vertAlign w:val="baseline"/>
        </w:rPr>
        <w:footnoteRef/>
      </w:r>
      <w:r w:rsidRPr="00F03697">
        <w:t xml:space="preserve"> </w:t>
      </w:r>
      <w:r w:rsidRPr="00F03697">
        <w:tab/>
        <w:t>The analysis presented here does not capture the progressivity of land taxation.</w:t>
      </w:r>
    </w:p>
  </w:footnote>
  <w:footnote w:id="28">
    <w:p w14:paraId="02F930E1" w14:textId="290DE7A9" w:rsidR="00E6097C" w:rsidRPr="00F03697" w:rsidRDefault="00E6097C" w:rsidP="00F03697">
      <w:pPr>
        <w:pStyle w:val="FootnoteText"/>
      </w:pPr>
      <w:r w:rsidRPr="00F03697">
        <w:rPr>
          <w:rStyle w:val="FootnoteReference"/>
          <w:vertAlign w:val="baseline"/>
        </w:rPr>
        <w:footnoteRef/>
      </w:r>
      <w:r w:rsidRPr="00F03697">
        <w:t xml:space="preserve"> </w:t>
      </w:r>
      <w:r w:rsidRPr="00F03697">
        <w:tab/>
        <w:t>Further consideration of intertemporal aspects of taxes is beyond the scope of this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C5" w14:textId="645EECF6" w:rsidR="00E6097C" w:rsidRDefault="00866AD9" w:rsidP="00F60530">
    <w:pPr>
      <w:pStyle w:val="SecurityClassificationHeader"/>
    </w:pPr>
    <w:r>
      <w:fldChar w:fldCharType="begin"/>
    </w:r>
    <w:r>
      <w:instrText xml:space="preserve"> DOCPROPERTY WorkingDocStatus \* MERGEFORMAT </w:instrText>
    </w:r>
    <w:r>
      <w:fldChar w:fldCharType="separate"/>
    </w:r>
    <w:r w:rsidR="00E6097C">
      <w:t>DRAFT WORKING DOCUMENT</w:t>
    </w:r>
    <w:r>
      <w:fldChar w:fldCharType="end"/>
    </w:r>
  </w:p>
  <w:p w14:paraId="29DD6BC6" w14:textId="77777777" w:rsidR="00E6097C" w:rsidRDefault="00E609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C7" w14:textId="28B57DFF" w:rsidR="00E6097C" w:rsidRDefault="00866AD9" w:rsidP="00F60530">
    <w:pPr>
      <w:pStyle w:val="SecurityClassificationHeader"/>
    </w:pPr>
    <w:r>
      <w:fldChar w:fldCharType="begin"/>
    </w:r>
    <w:r>
      <w:instrText xml:space="preserve"> DOCPROPERTY WorkingDocStatus \* MERGEFORMAT </w:instrText>
    </w:r>
    <w:r>
      <w:fldChar w:fldCharType="separate"/>
    </w:r>
    <w:r w:rsidR="00E6097C">
      <w:t>DRAFT WORKING DOCUMENT</w:t>
    </w:r>
    <w:r>
      <w:fldChar w:fldCharType="end"/>
    </w:r>
  </w:p>
  <w:p w14:paraId="29DD6BC8" w14:textId="77777777" w:rsidR="00E6097C" w:rsidRDefault="00E609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CE" w14:textId="77777777" w:rsidR="00E6097C" w:rsidRPr="00F012EA" w:rsidRDefault="00E6097C" w:rsidP="00F012EA">
    <w:pPr>
      <w:pStyle w:val="Header"/>
    </w:pPr>
    <w:r>
      <w:rPr>
        <w:noProof/>
        <w:lang w:eastAsia="en-AU"/>
      </w:rPr>
      <w:drawing>
        <wp:inline distT="0" distB="0" distL="0" distR="0" wp14:anchorId="29DD6BDD" wp14:editId="3637284B">
          <wp:extent cx="1926336" cy="1194816"/>
          <wp:effectExtent l="0" t="0" r="0" b="5715"/>
          <wp:docPr id="13" name="Picture 13" descr="Australian Government crest logo for The Treasury." title="The Treasu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26336" cy="119481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0" w14:textId="4780B2BE" w:rsidR="00E6097C" w:rsidRDefault="00E609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1" w14:textId="2F5600D6" w:rsidR="00E6097C" w:rsidRDefault="00E609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3" w14:textId="77777777" w:rsidR="00E6097C" w:rsidRPr="00F012EA" w:rsidRDefault="00E6097C" w:rsidP="00F012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4" w14:textId="4A7E2B99" w:rsidR="00E6097C" w:rsidRDefault="00E609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5" w14:textId="655B6EA9" w:rsidR="00E6097C" w:rsidRDefault="00E609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6BD7" w14:textId="77777777" w:rsidR="00E6097C" w:rsidRPr="00F60530" w:rsidRDefault="00E6097C" w:rsidP="00F605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CC4E5D"/>
    <w:multiLevelType w:val="multilevel"/>
    <w:tmpl w:val="D10E9CF6"/>
    <w:numStyleLink w:val="OneLevelList"/>
  </w:abstractNum>
  <w:abstractNum w:abstractNumId="5">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1C11150"/>
    <w:multiLevelType w:val="multilevel"/>
    <w:tmpl w:val="922C483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4">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45B0A7E"/>
    <w:multiLevelType w:val="multilevel"/>
    <w:tmpl w:val="EDEE4FB6"/>
    <w:numStyleLink w:val="RecommendationBulletList"/>
  </w:abstractNum>
  <w:abstractNum w:abstractNumId="16">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10D2021"/>
    <w:multiLevelType w:val="multilevel"/>
    <w:tmpl w:val="72F8140E"/>
    <w:numStyleLink w:val="OutlineList"/>
  </w:abstractNum>
  <w:abstractNum w:abstractNumId="18">
    <w:nsid w:val="52F3741A"/>
    <w:multiLevelType w:val="multilevel"/>
    <w:tmpl w:val="984C049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5F73129"/>
    <w:multiLevelType w:val="multilevel"/>
    <w:tmpl w:val="D9A8A212"/>
    <w:numStyleLink w:val="RomanNumeralList"/>
  </w:abstractNum>
  <w:abstractNum w:abstractNumId="21">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22">
    <w:nsid w:val="6A5F7B24"/>
    <w:multiLevelType w:val="multilevel"/>
    <w:tmpl w:val="8AE03DAC"/>
    <w:lvl w:ilvl="0">
      <w:start w:val="1"/>
      <w:numFmt w:val="decimal"/>
      <w:lvlRestart w:val="0"/>
      <w:pStyle w:val="Heading2"/>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3">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12"/>
  </w:num>
  <w:num w:numId="5">
    <w:abstractNumId w:val="3"/>
  </w:num>
  <w:num w:numId="6">
    <w:abstractNumId w:val="5"/>
  </w:num>
  <w:num w:numId="7">
    <w:abstractNumId w:val="2"/>
  </w:num>
  <w:num w:numId="8">
    <w:abstractNumId w:val="4"/>
  </w:num>
  <w:num w:numId="9">
    <w:abstractNumId w:val="17"/>
  </w:num>
  <w:num w:numId="10">
    <w:abstractNumId w:val="15"/>
  </w:num>
  <w:num w:numId="11">
    <w:abstractNumId w:val="20"/>
  </w:num>
  <w:num w:numId="12">
    <w:abstractNumId w:val="11"/>
  </w:num>
  <w:num w:numId="13">
    <w:abstractNumId w:val="19"/>
  </w:num>
  <w:num w:numId="14">
    <w:abstractNumId w:val="7"/>
  </w:num>
  <w:num w:numId="15">
    <w:abstractNumId w:val="7"/>
  </w:num>
  <w:num w:numId="16">
    <w:abstractNumId w:val="14"/>
  </w:num>
  <w:num w:numId="17">
    <w:abstractNumId w:val="0"/>
  </w:num>
  <w:num w:numId="18">
    <w:abstractNumId w:val="21"/>
  </w:num>
  <w:num w:numId="19">
    <w:abstractNumId w:val="9"/>
  </w:num>
  <w:num w:numId="20">
    <w:abstractNumId w:val="13"/>
  </w:num>
  <w:num w:numId="21">
    <w:abstractNumId w:val="22"/>
  </w:num>
  <w:num w:numId="22">
    <w:abstractNumId w:val="23"/>
  </w:num>
  <w:num w:numId="23">
    <w:abstractNumId w:val="18"/>
  </w:num>
  <w:num w:numId="24">
    <w:abstractNumId w:val="22"/>
  </w:num>
  <w:num w:numId="25">
    <w:abstractNumId w:val="22"/>
  </w:num>
  <w:num w:numId="26">
    <w:abstractNumId w:val="2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74081"/>
  </w:hdrShapeDefaults>
  <w:footnotePr>
    <w:footnote w:id="-1"/>
    <w:footnote w:id="0"/>
  </w:footnotePr>
  <w:endnotePr>
    <w:endnote w:id="-1"/>
    <w:endnote w:id="0"/>
  </w:endnotePr>
  <w:compat>
    <w:noTabHangInd/>
    <w:noColumnBalance/>
    <w:suppressBottomSpacing/>
    <w:suppressTopSpacing/>
    <w:suppressSpBfAfterPgBrk/>
    <w:noSpaceRaiseLower/>
    <w:doNotUseHTMLParagraphAutoSpacing/>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True"/>
    <w:docVar w:name="SecurityClassificationInHeader" w:val="False"/>
    <w:docVar w:name="SecurityDLMInHeader" w:val="False"/>
  </w:docVars>
  <w:rsids>
    <w:rsidRoot w:val="005604EC"/>
    <w:rsid w:val="0000083A"/>
    <w:rsid w:val="00000F08"/>
    <w:rsid w:val="000014A8"/>
    <w:rsid w:val="000018F4"/>
    <w:rsid w:val="00001DFE"/>
    <w:rsid w:val="000027DA"/>
    <w:rsid w:val="00002BFA"/>
    <w:rsid w:val="000037D1"/>
    <w:rsid w:val="00003A99"/>
    <w:rsid w:val="00003ACD"/>
    <w:rsid w:val="00004F73"/>
    <w:rsid w:val="00005438"/>
    <w:rsid w:val="00005E7F"/>
    <w:rsid w:val="000066B1"/>
    <w:rsid w:val="00006A49"/>
    <w:rsid w:val="0000714E"/>
    <w:rsid w:val="00007668"/>
    <w:rsid w:val="00007CDE"/>
    <w:rsid w:val="0001053E"/>
    <w:rsid w:val="00010DAC"/>
    <w:rsid w:val="000127B6"/>
    <w:rsid w:val="00012FFD"/>
    <w:rsid w:val="000131A0"/>
    <w:rsid w:val="00013766"/>
    <w:rsid w:val="00013801"/>
    <w:rsid w:val="00016169"/>
    <w:rsid w:val="000167A9"/>
    <w:rsid w:val="000173BE"/>
    <w:rsid w:val="000203F0"/>
    <w:rsid w:val="000219A5"/>
    <w:rsid w:val="0002204B"/>
    <w:rsid w:val="00022448"/>
    <w:rsid w:val="00022F37"/>
    <w:rsid w:val="00024CFA"/>
    <w:rsid w:val="00025A14"/>
    <w:rsid w:val="00026ACC"/>
    <w:rsid w:val="00026B2F"/>
    <w:rsid w:val="00027201"/>
    <w:rsid w:val="00027C6C"/>
    <w:rsid w:val="000309F0"/>
    <w:rsid w:val="00033028"/>
    <w:rsid w:val="00033F17"/>
    <w:rsid w:val="00034C16"/>
    <w:rsid w:val="00035286"/>
    <w:rsid w:val="000362B5"/>
    <w:rsid w:val="000370C2"/>
    <w:rsid w:val="00041BE6"/>
    <w:rsid w:val="00042DB0"/>
    <w:rsid w:val="00043C3F"/>
    <w:rsid w:val="0004613F"/>
    <w:rsid w:val="000464B6"/>
    <w:rsid w:val="00047A50"/>
    <w:rsid w:val="00051C46"/>
    <w:rsid w:val="0005218A"/>
    <w:rsid w:val="0005283C"/>
    <w:rsid w:val="0005655A"/>
    <w:rsid w:val="00057908"/>
    <w:rsid w:val="0006039E"/>
    <w:rsid w:val="000613C6"/>
    <w:rsid w:val="000622B2"/>
    <w:rsid w:val="000624B2"/>
    <w:rsid w:val="00062F79"/>
    <w:rsid w:val="000641CE"/>
    <w:rsid w:val="00064889"/>
    <w:rsid w:val="000650F2"/>
    <w:rsid w:val="000658DC"/>
    <w:rsid w:val="00065B5C"/>
    <w:rsid w:val="00067682"/>
    <w:rsid w:val="00067701"/>
    <w:rsid w:val="00070F31"/>
    <w:rsid w:val="00073813"/>
    <w:rsid w:val="00075B64"/>
    <w:rsid w:val="000771B5"/>
    <w:rsid w:val="00077D52"/>
    <w:rsid w:val="00080465"/>
    <w:rsid w:val="000804BE"/>
    <w:rsid w:val="000811B5"/>
    <w:rsid w:val="00081D5E"/>
    <w:rsid w:val="00082588"/>
    <w:rsid w:val="00083202"/>
    <w:rsid w:val="00084D36"/>
    <w:rsid w:val="00085376"/>
    <w:rsid w:val="00085D88"/>
    <w:rsid w:val="00085FB9"/>
    <w:rsid w:val="000864E7"/>
    <w:rsid w:val="00091054"/>
    <w:rsid w:val="000911BC"/>
    <w:rsid w:val="00091EE2"/>
    <w:rsid w:val="00093901"/>
    <w:rsid w:val="00094657"/>
    <w:rsid w:val="00095029"/>
    <w:rsid w:val="0009584B"/>
    <w:rsid w:val="00095C3F"/>
    <w:rsid w:val="00096E8B"/>
    <w:rsid w:val="000975BB"/>
    <w:rsid w:val="000A0119"/>
    <w:rsid w:val="000A0E1D"/>
    <w:rsid w:val="000A48D4"/>
    <w:rsid w:val="000A5696"/>
    <w:rsid w:val="000A7C9B"/>
    <w:rsid w:val="000B031E"/>
    <w:rsid w:val="000B0D8F"/>
    <w:rsid w:val="000B3D22"/>
    <w:rsid w:val="000B4434"/>
    <w:rsid w:val="000B4C1E"/>
    <w:rsid w:val="000B4C50"/>
    <w:rsid w:val="000B7140"/>
    <w:rsid w:val="000B7612"/>
    <w:rsid w:val="000C05A0"/>
    <w:rsid w:val="000C161A"/>
    <w:rsid w:val="000C1E6F"/>
    <w:rsid w:val="000C3685"/>
    <w:rsid w:val="000C4F3A"/>
    <w:rsid w:val="000C59CB"/>
    <w:rsid w:val="000C5F61"/>
    <w:rsid w:val="000C64C0"/>
    <w:rsid w:val="000D0AC2"/>
    <w:rsid w:val="000D0E7C"/>
    <w:rsid w:val="000D21F3"/>
    <w:rsid w:val="000D2584"/>
    <w:rsid w:val="000D2BAE"/>
    <w:rsid w:val="000D37B3"/>
    <w:rsid w:val="000D733F"/>
    <w:rsid w:val="000D766D"/>
    <w:rsid w:val="000D7B3E"/>
    <w:rsid w:val="000E05FD"/>
    <w:rsid w:val="000E2F30"/>
    <w:rsid w:val="000E566B"/>
    <w:rsid w:val="000E6137"/>
    <w:rsid w:val="000E67FD"/>
    <w:rsid w:val="000E7540"/>
    <w:rsid w:val="000E7C09"/>
    <w:rsid w:val="000F0752"/>
    <w:rsid w:val="000F08FB"/>
    <w:rsid w:val="000F111B"/>
    <w:rsid w:val="000F1385"/>
    <w:rsid w:val="000F1DD8"/>
    <w:rsid w:val="000F24CF"/>
    <w:rsid w:val="000F25DA"/>
    <w:rsid w:val="000F26EE"/>
    <w:rsid w:val="000F3125"/>
    <w:rsid w:val="000F42C1"/>
    <w:rsid w:val="000F5F6A"/>
    <w:rsid w:val="000F63A4"/>
    <w:rsid w:val="000F640E"/>
    <w:rsid w:val="000F7B00"/>
    <w:rsid w:val="000F7DEF"/>
    <w:rsid w:val="0010021B"/>
    <w:rsid w:val="0010122E"/>
    <w:rsid w:val="001017C1"/>
    <w:rsid w:val="00102D91"/>
    <w:rsid w:val="00104CED"/>
    <w:rsid w:val="00106437"/>
    <w:rsid w:val="00106652"/>
    <w:rsid w:val="001120BF"/>
    <w:rsid w:val="001122EC"/>
    <w:rsid w:val="00113774"/>
    <w:rsid w:val="001141A6"/>
    <w:rsid w:val="001155B9"/>
    <w:rsid w:val="001178CC"/>
    <w:rsid w:val="00120069"/>
    <w:rsid w:val="00124EE3"/>
    <w:rsid w:val="00126584"/>
    <w:rsid w:val="00126C40"/>
    <w:rsid w:val="00126FAE"/>
    <w:rsid w:val="00130BB9"/>
    <w:rsid w:val="0013165A"/>
    <w:rsid w:val="00131703"/>
    <w:rsid w:val="00134519"/>
    <w:rsid w:val="0013494F"/>
    <w:rsid w:val="001350CE"/>
    <w:rsid w:val="0013606D"/>
    <w:rsid w:val="001364E6"/>
    <w:rsid w:val="00137749"/>
    <w:rsid w:val="00140137"/>
    <w:rsid w:val="001410E2"/>
    <w:rsid w:val="00142D43"/>
    <w:rsid w:val="0014380C"/>
    <w:rsid w:val="00143DAB"/>
    <w:rsid w:val="00145616"/>
    <w:rsid w:val="00145C95"/>
    <w:rsid w:val="00146E5B"/>
    <w:rsid w:val="00147046"/>
    <w:rsid w:val="0015069B"/>
    <w:rsid w:val="001508EA"/>
    <w:rsid w:val="001510F2"/>
    <w:rsid w:val="00151440"/>
    <w:rsid w:val="00152534"/>
    <w:rsid w:val="00152576"/>
    <w:rsid w:val="00152C30"/>
    <w:rsid w:val="00156306"/>
    <w:rsid w:val="001575E5"/>
    <w:rsid w:val="00161A6D"/>
    <w:rsid w:val="00162941"/>
    <w:rsid w:val="00166662"/>
    <w:rsid w:val="00172CE1"/>
    <w:rsid w:val="00173AEF"/>
    <w:rsid w:val="0017501C"/>
    <w:rsid w:val="001755C4"/>
    <w:rsid w:val="001759E9"/>
    <w:rsid w:val="001765A8"/>
    <w:rsid w:val="001769C1"/>
    <w:rsid w:val="00177734"/>
    <w:rsid w:val="00181B96"/>
    <w:rsid w:val="00184B1A"/>
    <w:rsid w:val="00185636"/>
    <w:rsid w:val="00185D68"/>
    <w:rsid w:val="001863BF"/>
    <w:rsid w:val="0018642F"/>
    <w:rsid w:val="00186689"/>
    <w:rsid w:val="00187C0E"/>
    <w:rsid w:val="001900FD"/>
    <w:rsid w:val="001916C5"/>
    <w:rsid w:val="001918E4"/>
    <w:rsid w:val="00191CCC"/>
    <w:rsid w:val="00193B80"/>
    <w:rsid w:val="00193F56"/>
    <w:rsid w:val="00194838"/>
    <w:rsid w:val="0019494C"/>
    <w:rsid w:val="00197E1E"/>
    <w:rsid w:val="001A2EE2"/>
    <w:rsid w:val="001A3506"/>
    <w:rsid w:val="001A420D"/>
    <w:rsid w:val="001A453A"/>
    <w:rsid w:val="001A5A84"/>
    <w:rsid w:val="001A5E0E"/>
    <w:rsid w:val="001A5F80"/>
    <w:rsid w:val="001A6201"/>
    <w:rsid w:val="001A6666"/>
    <w:rsid w:val="001B0765"/>
    <w:rsid w:val="001B08C1"/>
    <w:rsid w:val="001B0EDA"/>
    <w:rsid w:val="001B110F"/>
    <w:rsid w:val="001B1198"/>
    <w:rsid w:val="001B1F5F"/>
    <w:rsid w:val="001B4325"/>
    <w:rsid w:val="001B457D"/>
    <w:rsid w:val="001B4981"/>
    <w:rsid w:val="001B4D9E"/>
    <w:rsid w:val="001B5BA1"/>
    <w:rsid w:val="001B6C26"/>
    <w:rsid w:val="001B7B26"/>
    <w:rsid w:val="001C1AED"/>
    <w:rsid w:val="001C3069"/>
    <w:rsid w:val="001C4086"/>
    <w:rsid w:val="001C4CE6"/>
    <w:rsid w:val="001C5516"/>
    <w:rsid w:val="001C5A96"/>
    <w:rsid w:val="001C6433"/>
    <w:rsid w:val="001C75B7"/>
    <w:rsid w:val="001C7B4D"/>
    <w:rsid w:val="001C7BF5"/>
    <w:rsid w:val="001D00A5"/>
    <w:rsid w:val="001D04BA"/>
    <w:rsid w:val="001D1992"/>
    <w:rsid w:val="001D301B"/>
    <w:rsid w:val="001D35C2"/>
    <w:rsid w:val="001D3B2A"/>
    <w:rsid w:val="001D40ED"/>
    <w:rsid w:val="001D60FC"/>
    <w:rsid w:val="001D721C"/>
    <w:rsid w:val="001D7438"/>
    <w:rsid w:val="001D7C08"/>
    <w:rsid w:val="001E1D66"/>
    <w:rsid w:val="001E236B"/>
    <w:rsid w:val="001E3ABB"/>
    <w:rsid w:val="001E4299"/>
    <w:rsid w:val="001E5179"/>
    <w:rsid w:val="001E57D3"/>
    <w:rsid w:val="001E62CC"/>
    <w:rsid w:val="001E664D"/>
    <w:rsid w:val="001E7A9C"/>
    <w:rsid w:val="001F0010"/>
    <w:rsid w:val="001F10E7"/>
    <w:rsid w:val="001F117A"/>
    <w:rsid w:val="001F1A66"/>
    <w:rsid w:val="001F2B12"/>
    <w:rsid w:val="001F3A29"/>
    <w:rsid w:val="001F3C59"/>
    <w:rsid w:val="001F442C"/>
    <w:rsid w:val="001F4692"/>
    <w:rsid w:val="001F4C70"/>
    <w:rsid w:val="001F63FF"/>
    <w:rsid w:val="001F6858"/>
    <w:rsid w:val="00200203"/>
    <w:rsid w:val="002007C9"/>
    <w:rsid w:val="002015AB"/>
    <w:rsid w:val="00201F57"/>
    <w:rsid w:val="00203E2E"/>
    <w:rsid w:val="0020424E"/>
    <w:rsid w:val="002042DD"/>
    <w:rsid w:val="00205BB1"/>
    <w:rsid w:val="002060A0"/>
    <w:rsid w:val="0020664C"/>
    <w:rsid w:val="00206B10"/>
    <w:rsid w:val="00207A8C"/>
    <w:rsid w:val="00207D2D"/>
    <w:rsid w:val="00210087"/>
    <w:rsid w:val="002100DD"/>
    <w:rsid w:val="002104C1"/>
    <w:rsid w:val="00210792"/>
    <w:rsid w:val="00210A57"/>
    <w:rsid w:val="00211545"/>
    <w:rsid w:val="00214A5D"/>
    <w:rsid w:val="00214E5B"/>
    <w:rsid w:val="00216870"/>
    <w:rsid w:val="00216D40"/>
    <w:rsid w:val="00220568"/>
    <w:rsid w:val="00222695"/>
    <w:rsid w:val="00222F61"/>
    <w:rsid w:val="00223612"/>
    <w:rsid w:val="00224125"/>
    <w:rsid w:val="00224587"/>
    <w:rsid w:val="002249D2"/>
    <w:rsid w:val="00224BEE"/>
    <w:rsid w:val="00225482"/>
    <w:rsid w:val="00225ED9"/>
    <w:rsid w:val="00226716"/>
    <w:rsid w:val="00226C7E"/>
    <w:rsid w:val="002271BB"/>
    <w:rsid w:val="00227BCD"/>
    <w:rsid w:val="002300F6"/>
    <w:rsid w:val="00230558"/>
    <w:rsid w:val="002307EC"/>
    <w:rsid w:val="00231259"/>
    <w:rsid w:val="00231EF8"/>
    <w:rsid w:val="002330AC"/>
    <w:rsid w:val="0023314E"/>
    <w:rsid w:val="00234952"/>
    <w:rsid w:val="0023522B"/>
    <w:rsid w:val="002358C6"/>
    <w:rsid w:val="00235F12"/>
    <w:rsid w:val="0023706A"/>
    <w:rsid w:val="00237687"/>
    <w:rsid w:val="002410FB"/>
    <w:rsid w:val="002419F7"/>
    <w:rsid w:val="002427FC"/>
    <w:rsid w:val="00242A79"/>
    <w:rsid w:val="002513AD"/>
    <w:rsid w:val="00251E73"/>
    <w:rsid w:val="002531A8"/>
    <w:rsid w:val="00256B13"/>
    <w:rsid w:val="00257A2D"/>
    <w:rsid w:val="00257C3D"/>
    <w:rsid w:val="00260739"/>
    <w:rsid w:val="002613A9"/>
    <w:rsid w:val="002616ED"/>
    <w:rsid w:val="00261CD6"/>
    <w:rsid w:val="00262193"/>
    <w:rsid w:val="00262D49"/>
    <w:rsid w:val="002636AF"/>
    <w:rsid w:val="00263F3F"/>
    <w:rsid w:val="00264532"/>
    <w:rsid w:val="00264BC9"/>
    <w:rsid w:val="00265208"/>
    <w:rsid w:val="002656B0"/>
    <w:rsid w:val="0026612C"/>
    <w:rsid w:val="0027202C"/>
    <w:rsid w:val="00274573"/>
    <w:rsid w:val="002759F9"/>
    <w:rsid w:val="002761E2"/>
    <w:rsid w:val="002768B3"/>
    <w:rsid w:val="00280AE2"/>
    <w:rsid w:val="00280D28"/>
    <w:rsid w:val="00281771"/>
    <w:rsid w:val="002821F8"/>
    <w:rsid w:val="00282E38"/>
    <w:rsid w:val="00283616"/>
    <w:rsid w:val="00283CD1"/>
    <w:rsid w:val="00285633"/>
    <w:rsid w:val="00286BB6"/>
    <w:rsid w:val="0029050C"/>
    <w:rsid w:val="00290B1F"/>
    <w:rsid w:val="00290DEE"/>
    <w:rsid w:val="002916AA"/>
    <w:rsid w:val="00291818"/>
    <w:rsid w:val="00291937"/>
    <w:rsid w:val="00292665"/>
    <w:rsid w:val="002940A9"/>
    <w:rsid w:val="0029482C"/>
    <w:rsid w:val="0029574A"/>
    <w:rsid w:val="002970DF"/>
    <w:rsid w:val="00297C46"/>
    <w:rsid w:val="00297CD1"/>
    <w:rsid w:val="00297DB9"/>
    <w:rsid w:val="00297E3A"/>
    <w:rsid w:val="002A00A4"/>
    <w:rsid w:val="002A0742"/>
    <w:rsid w:val="002A6569"/>
    <w:rsid w:val="002A6D4A"/>
    <w:rsid w:val="002A726A"/>
    <w:rsid w:val="002A74BE"/>
    <w:rsid w:val="002A76E0"/>
    <w:rsid w:val="002B1422"/>
    <w:rsid w:val="002B1F58"/>
    <w:rsid w:val="002B3EED"/>
    <w:rsid w:val="002B53E2"/>
    <w:rsid w:val="002B626C"/>
    <w:rsid w:val="002B67A6"/>
    <w:rsid w:val="002C08AC"/>
    <w:rsid w:val="002C0EDD"/>
    <w:rsid w:val="002C1688"/>
    <w:rsid w:val="002C2804"/>
    <w:rsid w:val="002C292D"/>
    <w:rsid w:val="002C3075"/>
    <w:rsid w:val="002C3379"/>
    <w:rsid w:val="002C4019"/>
    <w:rsid w:val="002C48CA"/>
    <w:rsid w:val="002C4F33"/>
    <w:rsid w:val="002C5398"/>
    <w:rsid w:val="002C5E11"/>
    <w:rsid w:val="002C64A9"/>
    <w:rsid w:val="002C7E1C"/>
    <w:rsid w:val="002C7ED5"/>
    <w:rsid w:val="002D05F6"/>
    <w:rsid w:val="002D0DDF"/>
    <w:rsid w:val="002D0F63"/>
    <w:rsid w:val="002D1066"/>
    <w:rsid w:val="002D1151"/>
    <w:rsid w:val="002D15C8"/>
    <w:rsid w:val="002D2D0C"/>
    <w:rsid w:val="002D316D"/>
    <w:rsid w:val="002D4363"/>
    <w:rsid w:val="002D56A9"/>
    <w:rsid w:val="002D72BF"/>
    <w:rsid w:val="002E0794"/>
    <w:rsid w:val="002E2658"/>
    <w:rsid w:val="002E338D"/>
    <w:rsid w:val="002E3F61"/>
    <w:rsid w:val="002E3FC4"/>
    <w:rsid w:val="002E582C"/>
    <w:rsid w:val="002E58E9"/>
    <w:rsid w:val="002E5F5C"/>
    <w:rsid w:val="002E6786"/>
    <w:rsid w:val="002E74E9"/>
    <w:rsid w:val="002E7527"/>
    <w:rsid w:val="002E7BDD"/>
    <w:rsid w:val="002F0761"/>
    <w:rsid w:val="002F325D"/>
    <w:rsid w:val="002F3976"/>
    <w:rsid w:val="002F3DFC"/>
    <w:rsid w:val="002F419C"/>
    <w:rsid w:val="002F4368"/>
    <w:rsid w:val="002F60DA"/>
    <w:rsid w:val="002F6D9D"/>
    <w:rsid w:val="002F73DF"/>
    <w:rsid w:val="002F7699"/>
    <w:rsid w:val="00300C61"/>
    <w:rsid w:val="00301A52"/>
    <w:rsid w:val="003027E4"/>
    <w:rsid w:val="00302EE8"/>
    <w:rsid w:val="00303758"/>
    <w:rsid w:val="003044E5"/>
    <w:rsid w:val="00304E24"/>
    <w:rsid w:val="00306BC4"/>
    <w:rsid w:val="00306C01"/>
    <w:rsid w:val="00307498"/>
    <w:rsid w:val="00307ECA"/>
    <w:rsid w:val="0031211C"/>
    <w:rsid w:val="0031243C"/>
    <w:rsid w:val="00313B50"/>
    <w:rsid w:val="00313F82"/>
    <w:rsid w:val="00314607"/>
    <w:rsid w:val="00315F0C"/>
    <w:rsid w:val="003168CD"/>
    <w:rsid w:val="00316992"/>
    <w:rsid w:val="003174C0"/>
    <w:rsid w:val="00320C54"/>
    <w:rsid w:val="00322977"/>
    <w:rsid w:val="003234DF"/>
    <w:rsid w:val="003237F3"/>
    <w:rsid w:val="00324999"/>
    <w:rsid w:val="00327B53"/>
    <w:rsid w:val="003302E5"/>
    <w:rsid w:val="0033091E"/>
    <w:rsid w:val="00330AFB"/>
    <w:rsid w:val="0033168A"/>
    <w:rsid w:val="0033192D"/>
    <w:rsid w:val="00332080"/>
    <w:rsid w:val="00332085"/>
    <w:rsid w:val="003326C6"/>
    <w:rsid w:val="003332B0"/>
    <w:rsid w:val="00333D00"/>
    <w:rsid w:val="00333F60"/>
    <w:rsid w:val="00334335"/>
    <w:rsid w:val="003352E5"/>
    <w:rsid w:val="003365E7"/>
    <w:rsid w:val="003406DF"/>
    <w:rsid w:val="00341B09"/>
    <w:rsid w:val="00344102"/>
    <w:rsid w:val="003442C4"/>
    <w:rsid w:val="003444C3"/>
    <w:rsid w:val="003448C5"/>
    <w:rsid w:val="00344BDF"/>
    <w:rsid w:val="00345723"/>
    <w:rsid w:val="00346086"/>
    <w:rsid w:val="00346C2C"/>
    <w:rsid w:val="00347D98"/>
    <w:rsid w:val="00351249"/>
    <w:rsid w:val="00352CB2"/>
    <w:rsid w:val="00353330"/>
    <w:rsid w:val="003539E1"/>
    <w:rsid w:val="00353CB4"/>
    <w:rsid w:val="00353D1C"/>
    <w:rsid w:val="00354BCE"/>
    <w:rsid w:val="00355561"/>
    <w:rsid w:val="00357080"/>
    <w:rsid w:val="0035715B"/>
    <w:rsid w:val="003571DA"/>
    <w:rsid w:val="00357294"/>
    <w:rsid w:val="00357987"/>
    <w:rsid w:val="00360156"/>
    <w:rsid w:val="00360B46"/>
    <w:rsid w:val="00361698"/>
    <w:rsid w:val="00361935"/>
    <w:rsid w:val="0036267E"/>
    <w:rsid w:val="003640F9"/>
    <w:rsid w:val="003641BA"/>
    <w:rsid w:val="00364A22"/>
    <w:rsid w:val="00365C6D"/>
    <w:rsid w:val="00365C79"/>
    <w:rsid w:val="003660E8"/>
    <w:rsid w:val="00367CCF"/>
    <w:rsid w:val="003703AC"/>
    <w:rsid w:val="00370DAB"/>
    <w:rsid w:val="00371A23"/>
    <w:rsid w:val="00372DC9"/>
    <w:rsid w:val="00373341"/>
    <w:rsid w:val="003744D4"/>
    <w:rsid w:val="0037483D"/>
    <w:rsid w:val="00374861"/>
    <w:rsid w:val="003751A3"/>
    <w:rsid w:val="0037543F"/>
    <w:rsid w:val="003756B2"/>
    <w:rsid w:val="00375FE2"/>
    <w:rsid w:val="003765F5"/>
    <w:rsid w:val="00376937"/>
    <w:rsid w:val="003778D9"/>
    <w:rsid w:val="00380057"/>
    <w:rsid w:val="003809EA"/>
    <w:rsid w:val="00383D5A"/>
    <w:rsid w:val="003842BD"/>
    <w:rsid w:val="0038431B"/>
    <w:rsid w:val="003850AD"/>
    <w:rsid w:val="00385944"/>
    <w:rsid w:val="00385CAE"/>
    <w:rsid w:val="0038638B"/>
    <w:rsid w:val="00386581"/>
    <w:rsid w:val="00386A85"/>
    <w:rsid w:val="00390529"/>
    <w:rsid w:val="003912AC"/>
    <w:rsid w:val="00391B22"/>
    <w:rsid w:val="00391DC7"/>
    <w:rsid w:val="003921FE"/>
    <w:rsid w:val="0039255A"/>
    <w:rsid w:val="00392955"/>
    <w:rsid w:val="00393242"/>
    <w:rsid w:val="00394CAA"/>
    <w:rsid w:val="0039591C"/>
    <w:rsid w:val="0039622B"/>
    <w:rsid w:val="0039635D"/>
    <w:rsid w:val="00396991"/>
    <w:rsid w:val="003A02AB"/>
    <w:rsid w:val="003A1A88"/>
    <w:rsid w:val="003A1AAA"/>
    <w:rsid w:val="003A2F01"/>
    <w:rsid w:val="003A343C"/>
    <w:rsid w:val="003A35C1"/>
    <w:rsid w:val="003A3695"/>
    <w:rsid w:val="003A4B4D"/>
    <w:rsid w:val="003A4F2C"/>
    <w:rsid w:val="003A5EC0"/>
    <w:rsid w:val="003A5FA6"/>
    <w:rsid w:val="003A7FF2"/>
    <w:rsid w:val="003B0501"/>
    <w:rsid w:val="003B06B5"/>
    <w:rsid w:val="003B0832"/>
    <w:rsid w:val="003B0B93"/>
    <w:rsid w:val="003B1C39"/>
    <w:rsid w:val="003B2A88"/>
    <w:rsid w:val="003B5577"/>
    <w:rsid w:val="003B5EAE"/>
    <w:rsid w:val="003B6404"/>
    <w:rsid w:val="003C00F3"/>
    <w:rsid w:val="003C0FA4"/>
    <w:rsid w:val="003C1838"/>
    <w:rsid w:val="003C22D6"/>
    <w:rsid w:val="003C22E6"/>
    <w:rsid w:val="003C2F9F"/>
    <w:rsid w:val="003C342C"/>
    <w:rsid w:val="003C36A2"/>
    <w:rsid w:val="003C40EF"/>
    <w:rsid w:val="003C604C"/>
    <w:rsid w:val="003C720F"/>
    <w:rsid w:val="003C7861"/>
    <w:rsid w:val="003D00A5"/>
    <w:rsid w:val="003D0364"/>
    <w:rsid w:val="003D04AC"/>
    <w:rsid w:val="003D0700"/>
    <w:rsid w:val="003D07D9"/>
    <w:rsid w:val="003D1214"/>
    <w:rsid w:val="003D1812"/>
    <w:rsid w:val="003D1C20"/>
    <w:rsid w:val="003D27B3"/>
    <w:rsid w:val="003D290A"/>
    <w:rsid w:val="003D296C"/>
    <w:rsid w:val="003D2D0F"/>
    <w:rsid w:val="003D3DC9"/>
    <w:rsid w:val="003D41EE"/>
    <w:rsid w:val="003D479E"/>
    <w:rsid w:val="003D63A0"/>
    <w:rsid w:val="003D79EE"/>
    <w:rsid w:val="003E0E7B"/>
    <w:rsid w:val="003E17E5"/>
    <w:rsid w:val="003E3374"/>
    <w:rsid w:val="003E39BF"/>
    <w:rsid w:val="003E4E9E"/>
    <w:rsid w:val="003E5ED1"/>
    <w:rsid w:val="003E6589"/>
    <w:rsid w:val="003E6B90"/>
    <w:rsid w:val="003E79E7"/>
    <w:rsid w:val="003F0A93"/>
    <w:rsid w:val="003F1A1C"/>
    <w:rsid w:val="003F2AE2"/>
    <w:rsid w:val="003F2C1A"/>
    <w:rsid w:val="003F39A3"/>
    <w:rsid w:val="003F3C3F"/>
    <w:rsid w:val="003F3CB1"/>
    <w:rsid w:val="003F3DAE"/>
    <w:rsid w:val="003F4B12"/>
    <w:rsid w:val="003F5057"/>
    <w:rsid w:val="003F5456"/>
    <w:rsid w:val="003F5D21"/>
    <w:rsid w:val="003F77DE"/>
    <w:rsid w:val="00400A4C"/>
    <w:rsid w:val="00400C94"/>
    <w:rsid w:val="004012B4"/>
    <w:rsid w:val="004014F9"/>
    <w:rsid w:val="00401FA5"/>
    <w:rsid w:val="00402697"/>
    <w:rsid w:val="0040517C"/>
    <w:rsid w:val="0040518F"/>
    <w:rsid w:val="00406016"/>
    <w:rsid w:val="00406AE1"/>
    <w:rsid w:val="00406DE5"/>
    <w:rsid w:val="0040783C"/>
    <w:rsid w:val="0041032C"/>
    <w:rsid w:val="0041112A"/>
    <w:rsid w:val="004113AE"/>
    <w:rsid w:val="00412FE5"/>
    <w:rsid w:val="0041430A"/>
    <w:rsid w:val="004153DF"/>
    <w:rsid w:val="00415566"/>
    <w:rsid w:val="00416E7C"/>
    <w:rsid w:val="004177E7"/>
    <w:rsid w:val="00420928"/>
    <w:rsid w:val="00420DCE"/>
    <w:rsid w:val="00421D60"/>
    <w:rsid w:val="004247EE"/>
    <w:rsid w:val="0042558D"/>
    <w:rsid w:val="00425C48"/>
    <w:rsid w:val="00425CD7"/>
    <w:rsid w:val="0042687F"/>
    <w:rsid w:val="00426CC1"/>
    <w:rsid w:val="00431315"/>
    <w:rsid w:val="004315E1"/>
    <w:rsid w:val="004324CD"/>
    <w:rsid w:val="0043272B"/>
    <w:rsid w:val="00433463"/>
    <w:rsid w:val="00433EF2"/>
    <w:rsid w:val="00434550"/>
    <w:rsid w:val="00434C24"/>
    <w:rsid w:val="004370F4"/>
    <w:rsid w:val="004401C4"/>
    <w:rsid w:val="004402B6"/>
    <w:rsid w:val="00440738"/>
    <w:rsid w:val="00440BFA"/>
    <w:rsid w:val="00442413"/>
    <w:rsid w:val="004442C2"/>
    <w:rsid w:val="004453E6"/>
    <w:rsid w:val="00445CC8"/>
    <w:rsid w:val="0044761A"/>
    <w:rsid w:val="00450126"/>
    <w:rsid w:val="00451197"/>
    <w:rsid w:val="004554C8"/>
    <w:rsid w:val="00455C3F"/>
    <w:rsid w:val="00456E0E"/>
    <w:rsid w:val="00456FC8"/>
    <w:rsid w:val="004570FB"/>
    <w:rsid w:val="00457A9C"/>
    <w:rsid w:val="00460338"/>
    <w:rsid w:val="00460A29"/>
    <w:rsid w:val="00460C65"/>
    <w:rsid w:val="00460F66"/>
    <w:rsid w:val="00461EC4"/>
    <w:rsid w:val="004628A4"/>
    <w:rsid w:val="00462A97"/>
    <w:rsid w:val="004636F0"/>
    <w:rsid w:val="004638E2"/>
    <w:rsid w:val="00463C04"/>
    <w:rsid w:val="004644F0"/>
    <w:rsid w:val="00464E23"/>
    <w:rsid w:val="00465841"/>
    <w:rsid w:val="00466DF7"/>
    <w:rsid w:val="00470774"/>
    <w:rsid w:val="00470A6A"/>
    <w:rsid w:val="00470BC5"/>
    <w:rsid w:val="00470BEF"/>
    <w:rsid w:val="00470D02"/>
    <w:rsid w:val="004737A4"/>
    <w:rsid w:val="0047458A"/>
    <w:rsid w:val="00474AB5"/>
    <w:rsid w:val="004758A7"/>
    <w:rsid w:val="00477B46"/>
    <w:rsid w:val="00480439"/>
    <w:rsid w:val="0048178B"/>
    <w:rsid w:val="00482BB1"/>
    <w:rsid w:val="00482E4A"/>
    <w:rsid w:val="00485309"/>
    <w:rsid w:val="0048535D"/>
    <w:rsid w:val="004862D4"/>
    <w:rsid w:val="004868EE"/>
    <w:rsid w:val="00486A79"/>
    <w:rsid w:val="004875CD"/>
    <w:rsid w:val="00487FBE"/>
    <w:rsid w:val="00490B75"/>
    <w:rsid w:val="00491BC1"/>
    <w:rsid w:val="00491DF6"/>
    <w:rsid w:val="00492EE5"/>
    <w:rsid w:val="00492F80"/>
    <w:rsid w:val="00494DE6"/>
    <w:rsid w:val="00495896"/>
    <w:rsid w:val="004964EC"/>
    <w:rsid w:val="00496794"/>
    <w:rsid w:val="004967F4"/>
    <w:rsid w:val="00497411"/>
    <w:rsid w:val="00497837"/>
    <w:rsid w:val="004A2499"/>
    <w:rsid w:val="004A2A8E"/>
    <w:rsid w:val="004A308C"/>
    <w:rsid w:val="004A33D5"/>
    <w:rsid w:val="004A3717"/>
    <w:rsid w:val="004A5045"/>
    <w:rsid w:val="004A6B97"/>
    <w:rsid w:val="004A6EFA"/>
    <w:rsid w:val="004A7FE7"/>
    <w:rsid w:val="004B07A5"/>
    <w:rsid w:val="004B0D65"/>
    <w:rsid w:val="004B13CC"/>
    <w:rsid w:val="004B16F2"/>
    <w:rsid w:val="004B23B0"/>
    <w:rsid w:val="004B24A4"/>
    <w:rsid w:val="004B3D73"/>
    <w:rsid w:val="004B3F96"/>
    <w:rsid w:val="004B5A5E"/>
    <w:rsid w:val="004B6413"/>
    <w:rsid w:val="004B64F6"/>
    <w:rsid w:val="004B6F6C"/>
    <w:rsid w:val="004B7C67"/>
    <w:rsid w:val="004C167F"/>
    <w:rsid w:val="004C4593"/>
    <w:rsid w:val="004C5714"/>
    <w:rsid w:val="004C5CFD"/>
    <w:rsid w:val="004D19F3"/>
    <w:rsid w:val="004D2517"/>
    <w:rsid w:val="004D2592"/>
    <w:rsid w:val="004D2F22"/>
    <w:rsid w:val="004D2F3C"/>
    <w:rsid w:val="004D4A5C"/>
    <w:rsid w:val="004D4F26"/>
    <w:rsid w:val="004D56A5"/>
    <w:rsid w:val="004D733D"/>
    <w:rsid w:val="004D7C9D"/>
    <w:rsid w:val="004E0E41"/>
    <w:rsid w:val="004E16A8"/>
    <w:rsid w:val="004E1B65"/>
    <w:rsid w:val="004E342A"/>
    <w:rsid w:val="004E45CC"/>
    <w:rsid w:val="004E6FEF"/>
    <w:rsid w:val="004E7371"/>
    <w:rsid w:val="004F0290"/>
    <w:rsid w:val="004F16F7"/>
    <w:rsid w:val="004F1F08"/>
    <w:rsid w:val="004F22D0"/>
    <w:rsid w:val="004F4EE7"/>
    <w:rsid w:val="004F596B"/>
    <w:rsid w:val="004F5DBF"/>
    <w:rsid w:val="00500704"/>
    <w:rsid w:val="0050248D"/>
    <w:rsid w:val="00502D2B"/>
    <w:rsid w:val="00503169"/>
    <w:rsid w:val="00503993"/>
    <w:rsid w:val="00503BEF"/>
    <w:rsid w:val="00505862"/>
    <w:rsid w:val="00505F70"/>
    <w:rsid w:val="00506981"/>
    <w:rsid w:val="005100B4"/>
    <w:rsid w:val="00510C5A"/>
    <w:rsid w:val="0051143B"/>
    <w:rsid w:val="00511609"/>
    <w:rsid w:val="005116C6"/>
    <w:rsid w:val="005119FF"/>
    <w:rsid w:val="00511DCC"/>
    <w:rsid w:val="0051251F"/>
    <w:rsid w:val="00512688"/>
    <w:rsid w:val="005134FB"/>
    <w:rsid w:val="0051352E"/>
    <w:rsid w:val="00513EE1"/>
    <w:rsid w:val="00516B7F"/>
    <w:rsid w:val="0051733E"/>
    <w:rsid w:val="005173D9"/>
    <w:rsid w:val="00517552"/>
    <w:rsid w:val="00522728"/>
    <w:rsid w:val="00526B9C"/>
    <w:rsid w:val="00526CC9"/>
    <w:rsid w:val="00527AAC"/>
    <w:rsid w:val="00527D45"/>
    <w:rsid w:val="00527E6D"/>
    <w:rsid w:val="0053013D"/>
    <w:rsid w:val="00530990"/>
    <w:rsid w:val="00531AD3"/>
    <w:rsid w:val="005336C0"/>
    <w:rsid w:val="0053396A"/>
    <w:rsid w:val="0053521C"/>
    <w:rsid w:val="00535480"/>
    <w:rsid w:val="005364DB"/>
    <w:rsid w:val="005408AF"/>
    <w:rsid w:val="00542112"/>
    <w:rsid w:val="00542398"/>
    <w:rsid w:val="005428BB"/>
    <w:rsid w:val="00543FC1"/>
    <w:rsid w:val="005474F4"/>
    <w:rsid w:val="005518EE"/>
    <w:rsid w:val="005525D1"/>
    <w:rsid w:val="005527AF"/>
    <w:rsid w:val="0055293E"/>
    <w:rsid w:val="0055348F"/>
    <w:rsid w:val="00554625"/>
    <w:rsid w:val="00555B0A"/>
    <w:rsid w:val="00556D36"/>
    <w:rsid w:val="0055740C"/>
    <w:rsid w:val="00557D5B"/>
    <w:rsid w:val="005604EC"/>
    <w:rsid w:val="00560C03"/>
    <w:rsid w:val="00560D92"/>
    <w:rsid w:val="005620D8"/>
    <w:rsid w:val="00562DAF"/>
    <w:rsid w:val="00562EFB"/>
    <w:rsid w:val="005637FD"/>
    <w:rsid w:val="00563841"/>
    <w:rsid w:val="00564619"/>
    <w:rsid w:val="00566039"/>
    <w:rsid w:val="0056756C"/>
    <w:rsid w:val="00567611"/>
    <w:rsid w:val="005704DE"/>
    <w:rsid w:val="0057074A"/>
    <w:rsid w:val="00570F1F"/>
    <w:rsid w:val="00570FD9"/>
    <w:rsid w:val="005713FD"/>
    <w:rsid w:val="00575BC7"/>
    <w:rsid w:val="005774F2"/>
    <w:rsid w:val="005776EE"/>
    <w:rsid w:val="00577C79"/>
    <w:rsid w:val="00580E50"/>
    <w:rsid w:val="0058183E"/>
    <w:rsid w:val="005829B5"/>
    <w:rsid w:val="005838D9"/>
    <w:rsid w:val="00583BD7"/>
    <w:rsid w:val="005843C4"/>
    <w:rsid w:val="00586DB3"/>
    <w:rsid w:val="00586ED7"/>
    <w:rsid w:val="0058788A"/>
    <w:rsid w:val="0059030E"/>
    <w:rsid w:val="005904CD"/>
    <w:rsid w:val="005906E1"/>
    <w:rsid w:val="00590908"/>
    <w:rsid w:val="00590A13"/>
    <w:rsid w:val="0059168B"/>
    <w:rsid w:val="00591811"/>
    <w:rsid w:val="0059363E"/>
    <w:rsid w:val="00596F6D"/>
    <w:rsid w:val="005A2297"/>
    <w:rsid w:val="005A3FA2"/>
    <w:rsid w:val="005A47BB"/>
    <w:rsid w:val="005A5C77"/>
    <w:rsid w:val="005A646A"/>
    <w:rsid w:val="005A6D83"/>
    <w:rsid w:val="005B0AF9"/>
    <w:rsid w:val="005B1DB3"/>
    <w:rsid w:val="005B52C6"/>
    <w:rsid w:val="005B621C"/>
    <w:rsid w:val="005B74A1"/>
    <w:rsid w:val="005B7D67"/>
    <w:rsid w:val="005C0A8B"/>
    <w:rsid w:val="005C0B3D"/>
    <w:rsid w:val="005C10E6"/>
    <w:rsid w:val="005C3039"/>
    <w:rsid w:val="005C3EB0"/>
    <w:rsid w:val="005C5391"/>
    <w:rsid w:val="005C57D2"/>
    <w:rsid w:val="005C6284"/>
    <w:rsid w:val="005C7C43"/>
    <w:rsid w:val="005C7CED"/>
    <w:rsid w:val="005C7F37"/>
    <w:rsid w:val="005D145F"/>
    <w:rsid w:val="005D31C5"/>
    <w:rsid w:val="005D39D5"/>
    <w:rsid w:val="005D4456"/>
    <w:rsid w:val="005D5AAA"/>
    <w:rsid w:val="005D6216"/>
    <w:rsid w:val="005D66CD"/>
    <w:rsid w:val="005D734E"/>
    <w:rsid w:val="005E0309"/>
    <w:rsid w:val="005E1100"/>
    <w:rsid w:val="005E1827"/>
    <w:rsid w:val="005E39CA"/>
    <w:rsid w:val="005E6C3D"/>
    <w:rsid w:val="005E6D67"/>
    <w:rsid w:val="005E6E57"/>
    <w:rsid w:val="005E75C0"/>
    <w:rsid w:val="005E79E4"/>
    <w:rsid w:val="005F07FB"/>
    <w:rsid w:val="005F100C"/>
    <w:rsid w:val="005F13D6"/>
    <w:rsid w:val="005F192E"/>
    <w:rsid w:val="005F271F"/>
    <w:rsid w:val="005F3390"/>
    <w:rsid w:val="005F3ACA"/>
    <w:rsid w:val="005F4C7B"/>
    <w:rsid w:val="005F4CDD"/>
    <w:rsid w:val="005F5177"/>
    <w:rsid w:val="005F5653"/>
    <w:rsid w:val="005F56CA"/>
    <w:rsid w:val="005F5717"/>
    <w:rsid w:val="005F583A"/>
    <w:rsid w:val="005F5D0F"/>
    <w:rsid w:val="005F66EC"/>
    <w:rsid w:val="005F6C43"/>
    <w:rsid w:val="005F6EA2"/>
    <w:rsid w:val="00601237"/>
    <w:rsid w:val="00602343"/>
    <w:rsid w:val="00602B71"/>
    <w:rsid w:val="006065E1"/>
    <w:rsid w:val="00606B53"/>
    <w:rsid w:val="00607A92"/>
    <w:rsid w:val="00607EF8"/>
    <w:rsid w:val="006105DB"/>
    <w:rsid w:val="00613756"/>
    <w:rsid w:val="00614BAC"/>
    <w:rsid w:val="006152DE"/>
    <w:rsid w:val="006153C1"/>
    <w:rsid w:val="00615FDF"/>
    <w:rsid w:val="006160E8"/>
    <w:rsid w:val="00616D2D"/>
    <w:rsid w:val="00621AD1"/>
    <w:rsid w:val="0062339B"/>
    <w:rsid w:val="00624B11"/>
    <w:rsid w:val="00624D5E"/>
    <w:rsid w:val="00626FEF"/>
    <w:rsid w:val="0062751D"/>
    <w:rsid w:val="006279FE"/>
    <w:rsid w:val="006314BC"/>
    <w:rsid w:val="00632BC7"/>
    <w:rsid w:val="00632F5A"/>
    <w:rsid w:val="00633085"/>
    <w:rsid w:val="00633643"/>
    <w:rsid w:val="006348CA"/>
    <w:rsid w:val="00635388"/>
    <w:rsid w:val="006360F1"/>
    <w:rsid w:val="0063681F"/>
    <w:rsid w:val="00636A4A"/>
    <w:rsid w:val="00640E00"/>
    <w:rsid w:val="006415FB"/>
    <w:rsid w:val="006430A3"/>
    <w:rsid w:val="00643E33"/>
    <w:rsid w:val="006457CC"/>
    <w:rsid w:val="006463F1"/>
    <w:rsid w:val="00646454"/>
    <w:rsid w:val="00651BA0"/>
    <w:rsid w:val="00652EBE"/>
    <w:rsid w:val="0065319B"/>
    <w:rsid w:val="00655289"/>
    <w:rsid w:val="00660A77"/>
    <w:rsid w:val="00661024"/>
    <w:rsid w:val="006616D7"/>
    <w:rsid w:val="00661D5C"/>
    <w:rsid w:val="00662426"/>
    <w:rsid w:val="00664CAC"/>
    <w:rsid w:val="00666682"/>
    <w:rsid w:val="00672387"/>
    <w:rsid w:val="006724FD"/>
    <w:rsid w:val="006738D3"/>
    <w:rsid w:val="0067453B"/>
    <w:rsid w:val="00674743"/>
    <w:rsid w:val="006748AE"/>
    <w:rsid w:val="00675350"/>
    <w:rsid w:val="006758F2"/>
    <w:rsid w:val="00675BAD"/>
    <w:rsid w:val="0067661B"/>
    <w:rsid w:val="00676B7F"/>
    <w:rsid w:val="00677A01"/>
    <w:rsid w:val="00677C89"/>
    <w:rsid w:val="00677CC8"/>
    <w:rsid w:val="0068068C"/>
    <w:rsid w:val="00683FC4"/>
    <w:rsid w:val="006857BC"/>
    <w:rsid w:val="006901EE"/>
    <w:rsid w:val="006904ED"/>
    <w:rsid w:val="00691E0C"/>
    <w:rsid w:val="00692D7A"/>
    <w:rsid w:val="00692E74"/>
    <w:rsid w:val="00694B31"/>
    <w:rsid w:val="00695927"/>
    <w:rsid w:val="00696B47"/>
    <w:rsid w:val="0069709E"/>
    <w:rsid w:val="006978CE"/>
    <w:rsid w:val="006A0B86"/>
    <w:rsid w:val="006A0D3E"/>
    <w:rsid w:val="006A12A8"/>
    <w:rsid w:val="006A20F5"/>
    <w:rsid w:val="006A30A5"/>
    <w:rsid w:val="006A363F"/>
    <w:rsid w:val="006A3B32"/>
    <w:rsid w:val="006A4427"/>
    <w:rsid w:val="006A519C"/>
    <w:rsid w:val="006A69A8"/>
    <w:rsid w:val="006A73DB"/>
    <w:rsid w:val="006A7DE4"/>
    <w:rsid w:val="006B2385"/>
    <w:rsid w:val="006B29D7"/>
    <w:rsid w:val="006B3F0D"/>
    <w:rsid w:val="006B4184"/>
    <w:rsid w:val="006B4EA0"/>
    <w:rsid w:val="006B535D"/>
    <w:rsid w:val="006B6737"/>
    <w:rsid w:val="006B73FD"/>
    <w:rsid w:val="006C028E"/>
    <w:rsid w:val="006C0915"/>
    <w:rsid w:val="006C0A05"/>
    <w:rsid w:val="006C116E"/>
    <w:rsid w:val="006C13C3"/>
    <w:rsid w:val="006C1930"/>
    <w:rsid w:val="006C2674"/>
    <w:rsid w:val="006C2C90"/>
    <w:rsid w:val="006C3D3B"/>
    <w:rsid w:val="006C57E2"/>
    <w:rsid w:val="006D06EF"/>
    <w:rsid w:val="006D13FA"/>
    <w:rsid w:val="006D1916"/>
    <w:rsid w:val="006D1B6B"/>
    <w:rsid w:val="006D2463"/>
    <w:rsid w:val="006D2CE3"/>
    <w:rsid w:val="006D34BD"/>
    <w:rsid w:val="006D4273"/>
    <w:rsid w:val="006D42A5"/>
    <w:rsid w:val="006D4CC4"/>
    <w:rsid w:val="006D589F"/>
    <w:rsid w:val="006D5DC1"/>
    <w:rsid w:val="006D6023"/>
    <w:rsid w:val="006D7339"/>
    <w:rsid w:val="006D7A3E"/>
    <w:rsid w:val="006E104E"/>
    <w:rsid w:val="006E1555"/>
    <w:rsid w:val="006E1A93"/>
    <w:rsid w:val="006E4318"/>
    <w:rsid w:val="006E5233"/>
    <w:rsid w:val="006E5309"/>
    <w:rsid w:val="006E655B"/>
    <w:rsid w:val="006E657A"/>
    <w:rsid w:val="006F0868"/>
    <w:rsid w:val="006F110D"/>
    <w:rsid w:val="006F11B8"/>
    <w:rsid w:val="006F11FB"/>
    <w:rsid w:val="006F1A12"/>
    <w:rsid w:val="006F1C1A"/>
    <w:rsid w:val="006F246D"/>
    <w:rsid w:val="006F39E8"/>
    <w:rsid w:val="006F3E0E"/>
    <w:rsid w:val="006F530C"/>
    <w:rsid w:val="006F6D7C"/>
    <w:rsid w:val="00700DC3"/>
    <w:rsid w:val="0070127F"/>
    <w:rsid w:val="00702006"/>
    <w:rsid w:val="007032CA"/>
    <w:rsid w:val="007047D9"/>
    <w:rsid w:val="00705C8E"/>
    <w:rsid w:val="007066F3"/>
    <w:rsid w:val="00707EB7"/>
    <w:rsid w:val="00711616"/>
    <w:rsid w:val="00712FFC"/>
    <w:rsid w:val="00713923"/>
    <w:rsid w:val="00713AE6"/>
    <w:rsid w:val="00714153"/>
    <w:rsid w:val="007151F9"/>
    <w:rsid w:val="00721B3A"/>
    <w:rsid w:val="00722E4C"/>
    <w:rsid w:val="00724BA9"/>
    <w:rsid w:val="00724E9F"/>
    <w:rsid w:val="00725290"/>
    <w:rsid w:val="007253D1"/>
    <w:rsid w:val="007259DC"/>
    <w:rsid w:val="00726326"/>
    <w:rsid w:val="00727296"/>
    <w:rsid w:val="00727EC6"/>
    <w:rsid w:val="00735D52"/>
    <w:rsid w:val="0073651D"/>
    <w:rsid w:val="00736FA2"/>
    <w:rsid w:val="00741A4E"/>
    <w:rsid w:val="00742D2D"/>
    <w:rsid w:val="00743095"/>
    <w:rsid w:val="00743924"/>
    <w:rsid w:val="007441E6"/>
    <w:rsid w:val="00745CBC"/>
    <w:rsid w:val="00746810"/>
    <w:rsid w:val="00752446"/>
    <w:rsid w:val="00752BC8"/>
    <w:rsid w:val="00753575"/>
    <w:rsid w:val="007535C4"/>
    <w:rsid w:val="00753C8E"/>
    <w:rsid w:val="0075407F"/>
    <w:rsid w:val="00754709"/>
    <w:rsid w:val="00756003"/>
    <w:rsid w:val="007579D0"/>
    <w:rsid w:val="00760593"/>
    <w:rsid w:val="00760B7E"/>
    <w:rsid w:val="00762F48"/>
    <w:rsid w:val="00764387"/>
    <w:rsid w:val="00767645"/>
    <w:rsid w:val="00767F36"/>
    <w:rsid w:val="00772012"/>
    <w:rsid w:val="00772828"/>
    <w:rsid w:val="00772B9B"/>
    <w:rsid w:val="00772C5E"/>
    <w:rsid w:val="00772F66"/>
    <w:rsid w:val="00773049"/>
    <w:rsid w:val="007740EB"/>
    <w:rsid w:val="00774F06"/>
    <w:rsid w:val="007750DD"/>
    <w:rsid w:val="00775A0B"/>
    <w:rsid w:val="007767C8"/>
    <w:rsid w:val="0077695D"/>
    <w:rsid w:val="00776F3A"/>
    <w:rsid w:val="00777BF8"/>
    <w:rsid w:val="00777DFE"/>
    <w:rsid w:val="00777F7A"/>
    <w:rsid w:val="00781013"/>
    <w:rsid w:val="00781667"/>
    <w:rsid w:val="00781891"/>
    <w:rsid w:val="00781A25"/>
    <w:rsid w:val="00781B58"/>
    <w:rsid w:val="00782D19"/>
    <w:rsid w:val="0078304B"/>
    <w:rsid w:val="00784B53"/>
    <w:rsid w:val="007855FF"/>
    <w:rsid w:val="0078566E"/>
    <w:rsid w:val="0078785E"/>
    <w:rsid w:val="007879C7"/>
    <w:rsid w:val="007907ED"/>
    <w:rsid w:val="00790A23"/>
    <w:rsid w:val="00791349"/>
    <w:rsid w:val="007916D8"/>
    <w:rsid w:val="00791B57"/>
    <w:rsid w:val="00791D09"/>
    <w:rsid w:val="007934FF"/>
    <w:rsid w:val="00795118"/>
    <w:rsid w:val="007A0546"/>
    <w:rsid w:val="007A054D"/>
    <w:rsid w:val="007A05A8"/>
    <w:rsid w:val="007A127F"/>
    <w:rsid w:val="007A1873"/>
    <w:rsid w:val="007A1CFC"/>
    <w:rsid w:val="007A2ACB"/>
    <w:rsid w:val="007A38CE"/>
    <w:rsid w:val="007A46F9"/>
    <w:rsid w:val="007A55A4"/>
    <w:rsid w:val="007A6459"/>
    <w:rsid w:val="007B099F"/>
    <w:rsid w:val="007B0C23"/>
    <w:rsid w:val="007B26DA"/>
    <w:rsid w:val="007B290B"/>
    <w:rsid w:val="007B2DBD"/>
    <w:rsid w:val="007B396B"/>
    <w:rsid w:val="007B3C1C"/>
    <w:rsid w:val="007B3C26"/>
    <w:rsid w:val="007B44F9"/>
    <w:rsid w:val="007B5309"/>
    <w:rsid w:val="007B586B"/>
    <w:rsid w:val="007B7495"/>
    <w:rsid w:val="007C0381"/>
    <w:rsid w:val="007C0417"/>
    <w:rsid w:val="007C0C6B"/>
    <w:rsid w:val="007C1D22"/>
    <w:rsid w:val="007C4313"/>
    <w:rsid w:val="007C48F0"/>
    <w:rsid w:val="007C49D3"/>
    <w:rsid w:val="007C706E"/>
    <w:rsid w:val="007C7CF7"/>
    <w:rsid w:val="007D0C55"/>
    <w:rsid w:val="007D21BE"/>
    <w:rsid w:val="007D2CC7"/>
    <w:rsid w:val="007D4848"/>
    <w:rsid w:val="007D5F0C"/>
    <w:rsid w:val="007E2149"/>
    <w:rsid w:val="007E2BB9"/>
    <w:rsid w:val="007E2CE4"/>
    <w:rsid w:val="007E2D34"/>
    <w:rsid w:val="007E372A"/>
    <w:rsid w:val="007E3744"/>
    <w:rsid w:val="007E4831"/>
    <w:rsid w:val="007E4C2D"/>
    <w:rsid w:val="007E4F01"/>
    <w:rsid w:val="007E6868"/>
    <w:rsid w:val="007E6A53"/>
    <w:rsid w:val="007F05FE"/>
    <w:rsid w:val="007F111C"/>
    <w:rsid w:val="007F1BC5"/>
    <w:rsid w:val="007F1DA2"/>
    <w:rsid w:val="007F37A1"/>
    <w:rsid w:val="007F52FD"/>
    <w:rsid w:val="007F5B74"/>
    <w:rsid w:val="007F5E99"/>
    <w:rsid w:val="007F7C24"/>
    <w:rsid w:val="007F7E15"/>
    <w:rsid w:val="00802254"/>
    <w:rsid w:val="00803B2A"/>
    <w:rsid w:val="008040B6"/>
    <w:rsid w:val="00804F43"/>
    <w:rsid w:val="00805709"/>
    <w:rsid w:val="00805DF0"/>
    <w:rsid w:val="00805F61"/>
    <w:rsid w:val="00806545"/>
    <w:rsid w:val="00807CFE"/>
    <w:rsid w:val="008114D1"/>
    <w:rsid w:val="00812433"/>
    <w:rsid w:val="00812B58"/>
    <w:rsid w:val="00812CA7"/>
    <w:rsid w:val="00814628"/>
    <w:rsid w:val="00815126"/>
    <w:rsid w:val="008177B1"/>
    <w:rsid w:val="00817B1D"/>
    <w:rsid w:val="00817F86"/>
    <w:rsid w:val="0082097D"/>
    <w:rsid w:val="00820BF5"/>
    <w:rsid w:val="00821CBE"/>
    <w:rsid w:val="008221D2"/>
    <w:rsid w:val="00822312"/>
    <w:rsid w:val="008240BF"/>
    <w:rsid w:val="00824E39"/>
    <w:rsid w:val="0082659D"/>
    <w:rsid w:val="00827537"/>
    <w:rsid w:val="0082761E"/>
    <w:rsid w:val="008308E6"/>
    <w:rsid w:val="008324B1"/>
    <w:rsid w:val="008336E2"/>
    <w:rsid w:val="00833945"/>
    <w:rsid w:val="00834B8C"/>
    <w:rsid w:val="008357DA"/>
    <w:rsid w:val="00836AFE"/>
    <w:rsid w:val="00836B32"/>
    <w:rsid w:val="00842149"/>
    <w:rsid w:val="00842BAE"/>
    <w:rsid w:val="008451DF"/>
    <w:rsid w:val="008513EA"/>
    <w:rsid w:val="00851482"/>
    <w:rsid w:val="008532CB"/>
    <w:rsid w:val="0085358B"/>
    <w:rsid w:val="008544D7"/>
    <w:rsid w:val="00854F57"/>
    <w:rsid w:val="0085596E"/>
    <w:rsid w:val="00855D3C"/>
    <w:rsid w:val="0085726E"/>
    <w:rsid w:val="008575BB"/>
    <w:rsid w:val="00857C83"/>
    <w:rsid w:val="00857FD0"/>
    <w:rsid w:val="008627B1"/>
    <w:rsid w:val="00862BD7"/>
    <w:rsid w:val="00863A71"/>
    <w:rsid w:val="00864334"/>
    <w:rsid w:val="00864673"/>
    <w:rsid w:val="00864CAD"/>
    <w:rsid w:val="00864D1D"/>
    <w:rsid w:val="00864EFE"/>
    <w:rsid w:val="008650E9"/>
    <w:rsid w:val="00866AD9"/>
    <w:rsid w:val="00866B50"/>
    <w:rsid w:val="00866D31"/>
    <w:rsid w:val="00866D54"/>
    <w:rsid w:val="008676E4"/>
    <w:rsid w:val="0086773F"/>
    <w:rsid w:val="0087001C"/>
    <w:rsid w:val="0087011B"/>
    <w:rsid w:val="008703B9"/>
    <w:rsid w:val="00870488"/>
    <w:rsid w:val="00871ED7"/>
    <w:rsid w:val="00872920"/>
    <w:rsid w:val="008732BD"/>
    <w:rsid w:val="00874182"/>
    <w:rsid w:val="0087550E"/>
    <w:rsid w:val="00875937"/>
    <w:rsid w:val="00876E3A"/>
    <w:rsid w:val="00877B20"/>
    <w:rsid w:val="00880A9D"/>
    <w:rsid w:val="00880ADB"/>
    <w:rsid w:val="00881A26"/>
    <w:rsid w:val="008826EB"/>
    <w:rsid w:val="00882D97"/>
    <w:rsid w:val="00883A38"/>
    <w:rsid w:val="008847CC"/>
    <w:rsid w:val="00886803"/>
    <w:rsid w:val="00887176"/>
    <w:rsid w:val="00890022"/>
    <w:rsid w:val="008939F7"/>
    <w:rsid w:val="00893F98"/>
    <w:rsid w:val="00894C46"/>
    <w:rsid w:val="0089580D"/>
    <w:rsid w:val="008961A8"/>
    <w:rsid w:val="008969BB"/>
    <w:rsid w:val="00897FF1"/>
    <w:rsid w:val="008A0118"/>
    <w:rsid w:val="008A0146"/>
    <w:rsid w:val="008A0E27"/>
    <w:rsid w:val="008A0F3F"/>
    <w:rsid w:val="008A18C5"/>
    <w:rsid w:val="008A30E8"/>
    <w:rsid w:val="008A342E"/>
    <w:rsid w:val="008A41F5"/>
    <w:rsid w:val="008A4509"/>
    <w:rsid w:val="008A587C"/>
    <w:rsid w:val="008A693F"/>
    <w:rsid w:val="008A75F4"/>
    <w:rsid w:val="008A7EDB"/>
    <w:rsid w:val="008B018A"/>
    <w:rsid w:val="008B158C"/>
    <w:rsid w:val="008B1A25"/>
    <w:rsid w:val="008B2336"/>
    <w:rsid w:val="008B3D13"/>
    <w:rsid w:val="008B4963"/>
    <w:rsid w:val="008B4D27"/>
    <w:rsid w:val="008B4DA4"/>
    <w:rsid w:val="008B5917"/>
    <w:rsid w:val="008B5DB7"/>
    <w:rsid w:val="008B612F"/>
    <w:rsid w:val="008B6264"/>
    <w:rsid w:val="008B6624"/>
    <w:rsid w:val="008B699B"/>
    <w:rsid w:val="008B70F2"/>
    <w:rsid w:val="008B7B03"/>
    <w:rsid w:val="008C0793"/>
    <w:rsid w:val="008C0D26"/>
    <w:rsid w:val="008C1101"/>
    <w:rsid w:val="008C23BD"/>
    <w:rsid w:val="008C318F"/>
    <w:rsid w:val="008C3E69"/>
    <w:rsid w:val="008C632E"/>
    <w:rsid w:val="008C7C7B"/>
    <w:rsid w:val="008D08BE"/>
    <w:rsid w:val="008D0B98"/>
    <w:rsid w:val="008D361D"/>
    <w:rsid w:val="008D4885"/>
    <w:rsid w:val="008D49D4"/>
    <w:rsid w:val="008D4C21"/>
    <w:rsid w:val="008D4F9D"/>
    <w:rsid w:val="008D5E4F"/>
    <w:rsid w:val="008D668C"/>
    <w:rsid w:val="008D6F32"/>
    <w:rsid w:val="008D762E"/>
    <w:rsid w:val="008D7F57"/>
    <w:rsid w:val="008E0F57"/>
    <w:rsid w:val="008E18F5"/>
    <w:rsid w:val="008E3E4C"/>
    <w:rsid w:val="008E4085"/>
    <w:rsid w:val="008E5EA6"/>
    <w:rsid w:val="008E60D8"/>
    <w:rsid w:val="008E65C7"/>
    <w:rsid w:val="008E78C7"/>
    <w:rsid w:val="008F0870"/>
    <w:rsid w:val="008F0AC9"/>
    <w:rsid w:val="008F0B61"/>
    <w:rsid w:val="008F12A0"/>
    <w:rsid w:val="008F1ACC"/>
    <w:rsid w:val="008F2DB5"/>
    <w:rsid w:val="008F373B"/>
    <w:rsid w:val="008F3CC5"/>
    <w:rsid w:val="008F4620"/>
    <w:rsid w:val="008F62AA"/>
    <w:rsid w:val="008F7617"/>
    <w:rsid w:val="00900B39"/>
    <w:rsid w:val="00900EA5"/>
    <w:rsid w:val="0090339D"/>
    <w:rsid w:val="009043BD"/>
    <w:rsid w:val="009052F5"/>
    <w:rsid w:val="00906764"/>
    <w:rsid w:val="009067B3"/>
    <w:rsid w:val="00907868"/>
    <w:rsid w:val="009079F5"/>
    <w:rsid w:val="00907AB1"/>
    <w:rsid w:val="00907D62"/>
    <w:rsid w:val="00910612"/>
    <w:rsid w:val="00910D30"/>
    <w:rsid w:val="009111FB"/>
    <w:rsid w:val="00913097"/>
    <w:rsid w:val="0091352E"/>
    <w:rsid w:val="00913C78"/>
    <w:rsid w:val="009144DC"/>
    <w:rsid w:val="00914736"/>
    <w:rsid w:val="00914DAC"/>
    <w:rsid w:val="00915DBD"/>
    <w:rsid w:val="00917102"/>
    <w:rsid w:val="009178A2"/>
    <w:rsid w:val="00920B2D"/>
    <w:rsid w:val="009233EA"/>
    <w:rsid w:val="0092354D"/>
    <w:rsid w:val="00923B4C"/>
    <w:rsid w:val="00923FE7"/>
    <w:rsid w:val="0092623A"/>
    <w:rsid w:val="00926657"/>
    <w:rsid w:val="00926C39"/>
    <w:rsid w:val="00926C82"/>
    <w:rsid w:val="009273FF"/>
    <w:rsid w:val="009303CC"/>
    <w:rsid w:val="00931DDF"/>
    <w:rsid w:val="00932518"/>
    <w:rsid w:val="00932F79"/>
    <w:rsid w:val="00933D70"/>
    <w:rsid w:val="00934565"/>
    <w:rsid w:val="00936238"/>
    <w:rsid w:val="00940B98"/>
    <w:rsid w:val="009412C2"/>
    <w:rsid w:val="00941546"/>
    <w:rsid w:val="00941596"/>
    <w:rsid w:val="00941E6A"/>
    <w:rsid w:val="00943099"/>
    <w:rsid w:val="009437B6"/>
    <w:rsid w:val="00943923"/>
    <w:rsid w:val="00944D3D"/>
    <w:rsid w:val="00945C9C"/>
    <w:rsid w:val="009468BF"/>
    <w:rsid w:val="00946DFF"/>
    <w:rsid w:val="009477AD"/>
    <w:rsid w:val="00947972"/>
    <w:rsid w:val="00951752"/>
    <w:rsid w:val="00951857"/>
    <w:rsid w:val="00952971"/>
    <w:rsid w:val="00953535"/>
    <w:rsid w:val="00954560"/>
    <w:rsid w:val="0095527B"/>
    <w:rsid w:val="0095535F"/>
    <w:rsid w:val="0095562B"/>
    <w:rsid w:val="009556CA"/>
    <w:rsid w:val="00955F84"/>
    <w:rsid w:val="00956226"/>
    <w:rsid w:val="009566C5"/>
    <w:rsid w:val="00956913"/>
    <w:rsid w:val="0095739C"/>
    <w:rsid w:val="00962F66"/>
    <w:rsid w:val="00963118"/>
    <w:rsid w:val="009633B5"/>
    <w:rsid w:val="00963756"/>
    <w:rsid w:val="009639B0"/>
    <w:rsid w:val="00965122"/>
    <w:rsid w:val="00966870"/>
    <w:rsid w:val="00967569"/>
    <w:rsid w:val="00970306"/>
    <w:rsid w:val="009703EA"/>
    <w:rsid w:val="0097061D"/>
    <w:rsid w:val="00970E8C"/>
    <w:rsid w:val="009726CC"/>
    <w:rsid w:val="0097280B"/>
    <w:rsid w:val="00973B3D"/>
    <w:rsid w:val="009752AF"/>
    <w:rsid w:val="00975A62"/>
    <w:rsid w:val="00977DA0"/>
    <w:rsid w:val="0098283C"/>
    <w:rsid w:val="0098627D"/>
    <w:rsid w:val="009862D1"/>
    <w:rsid w:val="00986C3E"/>
    <w:rsid w:val="00987AF5"/>
    <w:rsid w:val="009900E1"/>
    <w:rsid w:val="00991AF6"/>
    <w:rsid w:val="00992B20"/>
    <w:rsid w:val="00994A52"/>
    <w:rsid w:val="00994CBE"/>
    <w:rsid w:val="00994FD0"/>
    <w:rsid w:val="00995590"/>
    <w:rsid w:val="00996943"/>
    <w:rsid w:val="00997BC7"/>
    <w:rsid w:val="009A01BF"/>
    <w:rsid w:val="009A2092"/>
    <w:rsid w:val="009A29E1"/>
    <w:rsid w:val="009A3810"/>
    <w:rsid w:val="009A391A"/>
    <w:rsid w:val="009A3990"/>
    <w:rsid w:val="009A3F17"/>
    <w:rsid w:val="009A5291"/>
    <w:rsid w:val="009A54B7"/>
    <w:rsid w:val="009A5A3F"/>
    <w:rsid w:val="009A5A65"/>
    <w:rsid w:val="009A5D0E"/>
    <w:rsid w:val="009A5E17"/>
    <w:rsid w:val="009A6A61"/>
    <w:rsid w:val="009B0546"/>
    <w:rsid w:val="009B0BEA"/>
    <w:rsid w:val="009B1405"/>
    <w:rsid w:val="009B39CE"/>
    <w:rsid w:val="009B4905"/>
    <w:rsid w:val="009B508B"/>
    <w:rsid w:val="009B5196"/>
    <w:rsid w:val="009B6568"/>
    <w:rsid w:val="009B6D1C"/>
    <w:rsid w:val="009C0320"/>
    <w:rsid w:val="009C1116"/>
    <w:rsid w:val="009C2665"/>
    <w:rsid w:val="009C3128"/>
    <w:rsid w:val="009C3490"/>
    <w:rsid w:val="009C43D1"/>
    <w:rsid w:val="009C57C2"/>
    <w:rsid w:val="009C7E17"/>
    <w:rsid w:val="009C7E35"/>
    <w:rsid w:val="009D0790"/>
    <w:rsid w:val="009D141B"/>
    <w:rsid w:val="009D1464"/>
    <w:rsid w:val="009D1CA2"/>
    <w:rsid w:val="009D28B4"/>
    <w:rsid w:val="009D2AA8"/>
    <w:rsid w:val="009D3D52"/>
    <w:rsid w:val="009D6851"/>
    <w:rsid w:val="009E0938"/>
    <w:rsid w:val="009E3DEC"/>
    <w:rsid w:val="009E465D"/>
    <w:rsid w:val="009F07E4"/>
    <w:rsid w:val="009F1571"/>
    <w:rsid w:val="009F2BCB"/>
    <w:rsid w:val="009F43A4"/>
    <w:rsid w:val="009F54CA"/>
    <w:rsid w:val="009F7713"/>
    <w:rsid w:val="00A00821"/>
    <w:rsid w:val="00A01884"/>
    <w:rsid w:val="00A02AA2"/>
    <w:rsid w:val="00A04B2E"/>
    <w:rsid w:val="00A04C1D"/>
    <w:rsid w:val="00A070B1"/>
    <w:rsid w:val="00A10CBC"/>
    <w:rsid w:val="00A1294C"/>
    <w:rsid w:val="00A14CD9"/>
    <w:rsid w:val="00A1620E"/>
    <w:rsid w:val="00A164BB"/>
    <w:rsid w:val="00A1658C"/>
    <w:rsid w:val="00A16996"/>
    <w:rsid w:val="00A17F2E"/>
    <w:rsid w:val="00A2030F"/>
    <w:rsid w:val="00A2086F"/>
    <w:rsid w:val="00A20B31"/>
    <w:rsid w:val="00A2105A"/>
    <w:rsid w:val="00A219F2"/>
    <w:rsid w:val="00A228A1"/>
    <w:rsid w:val="00A22BE4"/>
    <w:rsid w:val="00A235E7"/>
    <w:rsid w:val="00A24193"/>
    <w:rsid w:val="00A242A8"/>
    <w:rsid w:val="00A24328"/>
    <w:rsid w:val="00A24B97"/>
    <w:rsid w:val="00A24ED7"/>
    <w:rsid w:val="00A2599E"/>
    <w:rsid w:val="00A3065D"/>
    <w:rsid w:val="00A307F4"/>
    <w:rsid w:val="00A325A4"/>
    <w:rsid w:val="00A33229"/>
    <w:rsid w:val="00A34507"/>
    <w:rsid w:val="00A3513E"/>
    <w:rsid w:val="00A36640"/>
    <w:rsid w:val="00A37FE8"/>
    <w:rsid w:val="00A401F0"/>
    <w:rsid w:val="00A42F49"/>
    <w:rsid w:val="00A44201"/>
    <w:rsid w:val="00A466AE"/>
    <w:rsid w:val="00A46722"/>
    <w:rsid w:val="00A46D40"/>
    <w:rsid w:val="00A46E7E"/>
    <w:rsid w:val="00A47077"/>
    <w:rsid w:val="00A505B1"/>
    <w:rsid w:val="00A50A78"/>
    <w:rsid w:val="00A51788"/>
    <w:rsid w:val="00A518D9"/>
    <w:rsid w:val="00A537E0"/>
    <w:rsid w:val="00A53A31"/>
    <w:rsid w:val="00A53A45"/>
    <w:rsid w:val="00A53AE7"/>
    <w:rsid w:val="00A54FAE"/>
    <w:rsid w:val="00A562D2"/>
    <w:rsid w:val="00A5640D"/>
    <w:rsid w:val="00A603D2"/>
    <w:rsid w:val="00A6064F"/>
    <w:rsid w:val="00A60E26"/>
    <w:rsid w:val="00A613C8"/>
    <w:rsid w:val="00A62498"/>
    <w:rsid w:val="00A63254"/>
    <w:rsid w:val="00A63A43"/>
    <w:rsid w:val="00A63CDE"/>
    <w:rsid w:val="00A64A51"/>
    <w:rsid w:val="00A671DA"/>
    <w:rsid w:val="00A7239C"/>
    <w:rsid w:val="00A7292A"/>
    <w:rsid w:val="00A74881"/>
    <w:rsid w:val="00A75F04"/>
    <w:rsid w:val="00A76049"/>
    <w:rsid w:val="00A8177A"/>
    <w:rsid w:val="00A83118"/>
    <w:rsid w:val="00A83AA2"/>
    <w:rsid w:val="00A840B0"/>
    <w:rsid w:val="00A842F1"/>
    <w:rsid w:val="00A84378"/>
    <w:rsid w:val="00A84382"/>
    <w:rsid w:val="00A845B3"/>
    <w:rsid w:val="00A84D9B"/>
    <w:rsid w:val="00A85164"/>
    <w:rsid w:val="00A86493"/>
    <w:rsid w:val="00A8739E"/>
    <w:rsid w:val="00A87D12"/>
    <w:rsid w:val="00A93BF1"/>
    <w:rsid w:val="00A942B5"/>
    <w:rsid w:val="00A94D3D"/>
    <w:rsid w:val="00A9572D"/>
    <w:rsid w:val="00A97E6C"/>
    <w:rsid w:val="00AA15B9"/>
    <w:rsid w:val="00AA1A29"/>
    <w:rsid w:val="00AA1A6D"/>
    <w:rsid w:val="00AA1F2B"/>
    <w:rsid w:val="00AA2137"/>
    <w:rsid w:val="00AA4528"/>
    <w:rsid w:val="00AA5B30"/>
    <w:rsid w:val="00AA66C7"/>
    <w:rsid w:val="00AA66CC"/>
    <w:rsid w:val="00AA711E"/>
    <w:rsid w:val="00AB1557"/>
    <w:rsid w:val="00AB1613"/>
    <w:rsid w:val="00AB2D0D"/>
    <w:rsid w:val="00AB3C0D"/>
    <w:rsid w:val="00AB40BE"/>
    <w:rsid w:val="00AB447E"/>
    <w:rsid w:val="00AB525B"/>
    <w:rsid w:val="00AB52C6"/>
    <w:rsid w:val="00AB646A"/>
    <w:rsid w:val="00AB6768"/>
    <w:rsid w:val="00AB78B5"/>
    <w:rsid w:val="00AB7C13"/>
    <w:rsid w:val="00AC07CD"/>
    <w:rsid w:val="00AC0877"/>
    <w:rsid w:val="00AC0A9F"/>
    <w:rsid w:val="00AC0BDA"/>
    <w:rsid w:val="00AC2484"/>
    <w:rsid w:val="00AC2D55"/>
    <w:rsid w:val="00AC36C8"/>
    <w:rsid w:val="00AC38CD"/>
    <w:rsid w:val="00AC3976"/>
    <w:rsid w:val="00AC3B78"/>
    <w:rsid w:val="00AC51D8"/>
    <w:rsid w:val="00AC62F1"/>
    <w:rsid w:val="00AC676E"/>
    <w:rsid w:val="00AC67F8"/>
    <w:rsid w:val="00AC6C7D"/>
    <w:rsid w:val="00AC7877"/>
    <w:rsid w:val="00AC7FEF"/>
    <w:rsid w:val="00AD065F"/>
    <w:rsid w:val="00AD27DF"/>
    <w:rsid w:val="00AD3A67"/>
    <w:rsid w:val="00AD403D"/>
    <w:rsid w:val="00AD5862"/>
    <w:rsid w:val="00AE00BF"/>
    <w:rsid w:val="00AE1A4B"/>
    <w:rsid w:val="00AE542B"/>
    <w:rsid w:val="00AE5660"/>
    <w:rsid w:val="00AE5BA3"/>
    <w:rsid w:val="00AE5E6E"/>
    <w:rsid w:val="00AF00A4"/>
    <w:rsid w:val="00AF01FD"/>
    <w:rsid w:val="00AF11EE"/>
    <w:rsid w:val="00AF3702"/>
    <w:rsid w:val="00AF3771"/>
    <w:rsid w:val="00AF3A6E"/>
    <w:rsid w:val="00AF3BB0"/>
    <w:rsid w:val="00AF3BC2"/>
    <w:rsid w:val="00AF6632"/>
    <w:rsid w:val="00AF6A48"/>
    <w:rsid w:val="00AF6CDE"/>
    <w:rsid w:val="00B001C4"/>
    <w:rsid w:val="00B01F0E"/>
    <w:rsid w:val="00B027A4"/>
    <w:rsid w:val="00B047E7"/>
    <w:rsid w:val="00B0485C"/>
    <w:rsid w:val="00B060F8"/>
    <w:rsid w:val="00B066B3"/>
    <w:rsid w:val="00B07E2A"/>
    <w:rsid w:val="00B102CC"/>
    <w:rsid w:val="00B10931"/>
    <w:rsid w:val="00B12140"/>
    <w:rsid w:val="00B13401"/>
    <w:rsid w:val="00B14F43"/>
    <w:rsid w:val="00B15446"/>
    <w:rsid w:val="00B169C4"/>
    <w:rsid w:val="00B16B7C"/>
    <w:rsid w:val="00B16BD7"/>
    <w:rsid w:val="00B179B3"/>
    <w:rsid w:val="00B20ADE"/>
    <w:rsid w:val="00B20B1A"/>
    <w:rsid w:val="00B2132C"/>
    <w:rsid w:val="00B2166B"/>
    <w:rsid w:val="00B234CE"/>
    <w:rsid w:val="00B23789"/>
    <w:rsid w:val="00B244E7"/>
    <w:rsid w:val="00B26538"/>
    <w:rsid w:val="00B26B34"/>
    <w:rsid w:val="00B27FC3"/>
    <w:rsid w:val="00B319B1"/>
    <w:rsid w:val="00B32538"/>
    <w:rsid w:val="00B33BBD"/>
    <w:rsid w:val="00B348FE"/>
    <w:rsid w:val="00B35E9A"/>
    <w:rsid w:val="00B360D3"/>
    <w:rsid w:val="00B37A87"/>
    <w:rsid w:val="00B42736"/>
    <w:rsid w:val="00B460DC"/>
    <w:rsid w:val="00B46864"/>
    <w:rsid w:val="00B509C3"/>
    <w:rsid w:val="00B51EF6"/>
    <w:rsid w:val="00B52FE8"/>
    <w:rsid w:val="00B53234"/>
    <w:rsid w:val="00B5505A"/>
    <w:rsid w:val="00B55137"/>
    <w:rsid w:val="00B55517"/>
    <w:rsid w:val="00B556C3"/>
    <w:rsid w:val="00B55F08"/>
    <w:rsid w:val="00B56580"/>
    <w:rsid w:val="00B56B7C"/>
    <w:rsid w:val="00B56F80"/>
    <w:rsid w:val="00B624D3"/>
    <w:rsid w:val="00B62C58"/>
    <w:rsid w:val="00B63CB8"/>
    <w:rsid w:val="00B63FF4"/>
    <w:rsid w:val="00B6598B"/>
    <w:rsid w:val="00B660B0"/>
    <w:rsid w:val="00B66902"/>
    <w:rsid w:val="00B66FBE"/>
    <w:rsid w:val="00B670BF"/>
    <w:rsid w:val="00B67427"/>
    <w:rsid w:val="00B67453"/>
    <w:rsid w:val="00B70730"/>
    <w:rsid w:val="00B74D84"/>
    <w:rsid w:val="00B80438"/>
    <w:rsid w:val="00B804EF"/>
    <w:rsid w:val="00B80D2D"/>
    <w:rsid w:val="00B80F2C"/>
    <w:rsid w:val="00B815FF"/>
    <w:rsid w:val="00B81BB2"/>
    <w:rsid w:val="00B81D5D"/>
    <w:rsid w:val="00B81DDA"/>
    <w:rsid w:val="00B82E03"/>
    <w:rsid w:val="00B83396"/>
    <w:rsid w:val="00B83D32"/>
    <w:rsid w:val="00B843C6"/>
    <w:rsid w:val="00B846C4"/>
    <w:rsid w:val="00B860D0"/>
    <w:rsid w:val="00B87A51"/>
    <w:rsid w:val="00B87C5B"/>
    <w:rsid w:val="00B9001B"/>
    <w:rsid w:val="00B9127C"/>
    <w:rsid w:val="00B92250"/>
    <w:rsid w:val="00B92EDD"/>
    <w:rsid w:val="00B94B70"/>
    <w:rsid w:val="00B969F1"/>
    <w:rsid w:val="00B96DCD"/>
    <w:rsid w:val="00B973EB"/>
    <w:rsid w:val="00BA160F"/>
    <w:rsid w:val="00BA3CA4"/>
    <w:rsid w:val="00BA4117"/>
    <w:rsid w:val="00BA5F8D"/>
    <w:rsid w:val="00BA62ED"/>
    <w:rsid w:val="00BA6BF3"/>
    <w:rsid w:val="00BB19E0"/>
    <w:rsid w:val="00BB2C74"/>
    <w:rsid w:val="00BB3278"/>
    <w:rsid w:val="00BB4F74"/>
    <w:rsid w:val="00BB5F45"/>
    <w:rsid w:val="00BB6C24"/>
    <w:rsid w:val="00BB7142"/>
    <w:rsid w:val="00BB7823"/>
    <w:rsid w:val="00BC0307"/>
    <w:rsid w:val="00BC37C3"/>
    <w:rsid w:val="00BC4ADF"/>
    <w:rsid w:val="00BC5032"/>
    <w:rsid w:val="00BC51EE"/>
    <w:rsid w:val="00BC5A10"/>
    <w:rsid w:val="00BC6474"/>
    <w:rsid w:val="00BC6527"/>
    <w:rsid w:val="00BC691F"/>
    <w:rsid w:val="00BC6E55"/>
    <w:rsid w:val="00BC7BDE"/>
    <w:rsid w:val="00BD0320"/>
    <w:rsid w:val="00BD0618"/>
    <w:rsid w:val="00BD126F"/>
    <w:rsid w:val="00BD17E9"/>
    <w:rsid w:val="00BD22BE"/>
    <w:rsid w:val="00BD2F90"/>
    <w:rsid w:val="00BD3655"/>
    <w:rsid w:val="00BD4084"/>
    <w:rsid w:val="00BD491D"/>
    <w:rsid w:val="00BD5337"/>
    <w:rsid w:val="00BD5947"/>
    <w:rsid w:val="00BD7153"/>
    <w:rsid w:val="00BE09E6"/>
    <w:rsid w:val="00BE0C59"/>
    <w:rsid w:val="00BE4D53"/>
    <w:rsid w:val="00BE59DB"/>
    <w:rsid w:val="00BE7176"/>
    <w:rsid w:val="00BE755D"/>
    <w:rsid w:val="00BE75EF"/>
    <w:rsid w:val="00BE763B"/>
    <w:rsid w:val="00BF04BA"/>
    <w:rsid w:val="00BF04CC"/>
    <w:rsid w:val="00BF229A"/>
    <w:rsid w:val="00BF22DB"/>
    <w:rsid w:val="00BF2DAC"/>
    <w:rsid w:val="00BF3404"/>
    <w:rsid w:val="00BF4D6F"/>
    <w:rsid w:val="00BF6BB3"/>
    <w:rsid w:val="00BF70D7"/>
    <w:rsid w:val="00BF7202"/>
    <w:rsid w:val="00BF78FB"/>
    <w:rsid w:val="00C001CF"/>
    <w:rsid w:val="00C00AE0"/>
    <w:rsid w:val="00C012CD"/>
    <w:rsid w:val="00C03388"/>
    <w:rsid w:val="00C03781"/>
    <w:rsid w:val="00C044F1"/>
    <w:rsid w:val="00C04B8A"/>
    <w:rsid w:val="00C050C8"/>
    <w:rsid w:val="00C07F94"/>
    <w:rsid w:val="00C10AE9"/>
    <w:rsid w:val="00C112C4"/>
    <w:rsid w:val="00C121F8"/>
    <w:rsid w:val="00C12E2D"/>
    <w:rsid w:val="00C14102"/>
    <w:rsid w:val="00C143C5"/>
    <w:rsid w:val="00C14403"/>
    <w:rsid w:val="00C14733"/>
    <w:rsid w:val="00C16B03"/>
    <w:rsid w:val="00C2057D"/>
    <w:rsid w:val="00C21078"/>
    <w:rsid w:val="00C213B5"/>
    <w:rsid w:val="00C22788"/>
    <w:rsid w:val="00C238F8"/>
    <w:rsid w:val="00C23DE3"/>
    <w:rsid w:val="00C25A41"/>
    <w:rsid w:val="00C2601A"/>
    <w:rsid w:val="00C26351"/>
    <w:rsid w:val="00C26C0B"/>
    <w:rsid w:val="00C3110D"/>
    <w:rsid w:val="00C3149E"/>
    <w:rsid w:val="00C33C4A"/>
    <w:rsid w:val="00C349B8"/>
    <w:rsid w:val="00C352BD"/>
    <w:rsid w:val="00C3584E"/>
    <w:rsid w:val="00C35BA7"/>
    <w:rsid w:val="00C35C6D"/>
    <w:rsid w:val="00C377F1"/>
    <w:rsid w:val="00C40031"/>
    <w:rsid w:val="00C40E65"/>
    <w:rsid w:val="00C41D31"/>
    <w:rsid w:val="00C42A17"/>
    <w:rsid w:val="00C42DF0"/>
    <w:rsid w:val="00C4430E"/>
    <w:rsid w:val="00C4459C"/>
    <w:rsid w:val="00C45015"/>
    <w:rsid w:val="00C509CA"/>
    <w:rsid w:val="00C51123"/>
    <w:rsid w:val="00C520CD"/>
    <w:rsid w:val="00C53095"/>
    <w:rsid w:val="00C533C7"/>
    <w:rsid w:val="00C53DA6"/>
    <w:rsid w:val="00C56B88"/>
    <w:rsid w:val="00C57238"/>
    <w:rsid w:val="00C575F8"/>
    <w:rsid w:val="00C577B7"/>
    <w:rsid w:val="00C617D7"/>
    <w:rsid w:val="00C61E70"/>
    <w:rsid w:val="00C61F29"/>
    <w:rsid w:val="00C626AF"/>
    <w:rsid w:val="00C62C7E"/>
    <w:rsid w:val="00C63763"/>
    <w:rsid w:val="00C63816"/>
    <w:rsid w:val="00C645D2"/>
    <w:rsid w:val="00C64637"/>
    <w:rsid w:val="00C664F2"/>
    <w:rsid w:val="00C6664A"/>
    <w:rsid w:val="00C712BC"/>
    <w:rsid w:val="00C71A1D"/>
    <w:rsid w:val="00C72708"/>
    <w:rsid w:val="00C73C37"/>
    <w:rsid w:val="00C73C66"/>
    <w:rsid w:val="00C74949"/>
    <w:rsid w:val="00C75562"/>
    <w:rsid w:val="00C75E44"/>
    <w:rsid w:val="00C76548"/>
    <w:rsid w:val="00C766A4"/>
    <w:rsid w:val="00C779EE"/>
    <w:rsid w:val="00C807CE"/>
    <w:rsid w:val="00C81B0C"/>
    <w:rsid w:val="00C83AB3"/>
    <w:rsid w:val="00C83BFA"/>
    <w:rsid w:val="00C84A40"/>
    <w:rsid w:val="00C84A51"/>
    <w:rsid w:val="00C86465"/>
    <w:rsid w:val="00C86D7C"/>
    <w:rsid w:val="00C8767F"/>
    <w:rsid w:val="00C87ABE"/>
    <w:rsid w:val="00C90158"/>
    <w:rsid w:val="00C911C1"/>
    <w:rsid w:val="00C91694"/>
    <w:rsid w:val="00C919FC"/>
    <w:rsid w:val="00C93749"/>
    <w:rsid w:val="00C93BD1"/>
    <w:rsid w:val="00C942A0"/>
    <w:rsid w:val="00C94D7D"/>
    <w:rsid w:val="00C94FBD"/>
    <w:rsid w:val="00C95AC3"/>
    <w:rsid w:val="00CA478F"/>
    <w:rsid w:val="00CA644A"/>
    <w:rsid w:val="00CB1E5D"/>
    <w:rsid w:val="00CB2127"/>
    <w:rsid w:val="00CB224A"/>
    <w:rsid w:val="00CB300E"/>
    <w:rsid w:val="00CB3638"/>
    <w:rsid w:val="00CB365E"/>
    <w:rsid w:val="00CB5A6E"/>
    <w:rsid w:val="00CB62A9"/>
    <w:rsid w:val="00CB68AA"/>
    <w:rsid w:val="00CB6AA7"/>
    <w:rsid w:val="00CB7533"/>
    <w:rsid w:val="00CC086B"/>
    <w:rsid w:val="00CC1348"/>
    <w:rsid w:val="00CC1A8A"/>
    <w:rsid w:val="00CC2406"/>
    <w:rsid w:val="00CC2640"/>
    <w:rsid w:val="00CC29CE"/>
    <w:rsid w:val="00CC2C2A"/>
    <w:rsid w:val="00CC346D"/>
    <w:rsid w:val="00CC5A13"/>
    <w:rsid w:val="00CC67EF"/>
    <w:rsid w:val="00CC755F"/>
    <w:rsid w:val="00CD0451"/>
    <w:rsid w:val="00CD0C42"/>
    <w:rsid w:val="00CD168B"/>
    <w:rsid w:val="00CD17B3"/>
    <w:rsid w:val="00CD1D68"/>
    <w:rsid w:val="00CD470D"/>
    <w:rsid w:val="00CD4CED"/>
    <w:rsid w:val="00CD6771"/>
    <w:rsid w:val="00CE03B2"/>
    <w:rsid w:val="00CE3ACE"/>
    <w:rsid w:val="00CE5193"/>
    <w:rsid w:val="00CE792A"/>
    <w:rsid w:val="00CE7B74"/>
    <w:rsid w:val="00CF0475"/>
    <w:rsid w:val="00CF0660"/>
    <w:rsid w:val="00CF08F1"/>
    <w:rsid w:val="00CF1E73"/>
    <w:rsid w:val="00CF203A"/>
    <w:rsid w:val="00CF2182"/>
    <w:rsid w:val="00CF2BEB"/>
    <w:rsid w:val="00CF2F74"/>
    <w:rsid w:val="00CF30A1"/>
    <w:rsid w:val="00CF3440"/>
    <w:rsid w:val="00CF3B88"/>
    <w:rsid w:val="00CF4AEC"/>
    <w:rsid w:val="00CF5091"/>
    <w:rsid w:val="00CF5268"/>
    <w:rsid w:val="00CF5391"/>
    <w:rsid w:val="00CF6CDC"/>
    <w:rsid w:val="00CF70B4"/>
    <w:rsid w:val="00CF70F7"/>
    <w:rsid w:val="00CF75B9"/>
    <w:rsid w:val="00D002CF"/>
    <w:rsid w:val="00D027A1"/>
    <w:rsid w:val="00D033FB"/>
    <w:rsid w:val="00D03FDF"/>
    <w:rsid w:val="00D05EBD"/>
    <w:rsid w:val="00D075D0"/>
    <w:rsid w:val="00D07865"/>
    <w:rsid w:val="00D11172"/>
    <w:rsid w:val="00D11517"/>
    <w:rsid w:val="00D11D35"/>
    <w:rsid w:val="00D12988"/>
    <w:rsid w:val="00D13A55"/>
    <w:rsid w:val="00D16779"/>
    <w:rsid w:val="00D21765"/>
    <w:rsid w:val="00D224A5"/>
    <w:rsid w:val="00D23053"/>
    <w:rsid w:val="00D23B08"/>
    <w:rsid w:val="00D24C75"/>
    <w:rsid w:val="00D255BE"/>
    <w:rsid w:val="00D25B27"/>
    <w:rsid w:val="00D26470"/>
    <w:rsid w:val="00D268C9"/>
    <w:rsid w:val="00D324A3"/>
    <w:rsid w:val="00D3440D"/>
    <w:rsid w:val="00D358CA"/>
    <w:rsid w:val="00D35E49"/>
    <w:rsid w:val="00D36BFB"/>
    <w:rsid w:val="00D37220"/>
    <w:rsid w:val="00D4005D"/>
    <w:rsid w:val="00D40AEE"/>
    <w:rsid w:val="00D429E5"/>
    <w:rsid w:val="00D43E79"/>
    <w:rsid w:val="00D43EFF"/>
    <w:rsid w:val="00D44114"/>
    <w:rsid w:val="00D44CF8"/>
    <w:rsid w:val="00D45BAD"/>
    <w:rsid w:val="00D462A8"/>
    <w:rsid w:val="00D46334"/>
    <w:rsid w:val="00D47E32"/>
    <w:rsid w:val="00D47F0B"/>
    <w:rsid w:val="00D50105"/>
    <w:rsid w:val="00D509A5"/>
    <w:rsid w:val="00D50CDE"/>
    <w:rsid w:val="00D51519"/>
    <w:rsid w:val="00D518C2"/>
    <w:rsid w:val="00D52EEF"/>
    <w:rsid w:val="00D52F17"/>
    <w:rsid w:val="00D53A1E"/>
    <w:rsid w:val="00D54A6F"/>
    <w:rsid w:val="00D56D85"/>
    <w:rsid w:val="00D57B93"/>
    <w:rsid w:val="00D60D8B"/>
    <w:rsid w:val="00D60E57"/>
    <w:rsid w:val="00D61618"/>
    <w:rsid w:val="00D62342"/>
    <w:rsid w:val="00D6257B"/>
    <w:rsid w:val="00D63BBB"/>
    <w:rsid w:val="00D63BE6"/>
    <w:rsid w:val="00D640D7"/>
    <w:rsid w:val="00D66CC7"/>
    <w:rsid w:val="00D70526"/>
    <w:rsid w:val="00D70D53"/>
    <w:rsid w:val="00D71127"/>
    <w:rsid w:val="00D719F1"/>
    <w:rsid w:val="00D72334"/>
    <w:rsid w:val="00D73BA9"/>
    <w:rsid w:val="00D7558B"/>
    <w:rsid w:val="00D757A5"/>
    <w:rsid w:val="00D77F69"/>
    <w:rsid w:val="00D813C8"/>
    <w:rsid w:val="00D81406"/>
    <w:rsid w:val="00D818F0"/>
    <w:rsid w:val="00D83627"/>
    <w:rsid w:val="00D83C39"/>
    <w:rsid w:val="00D83EF9"/>
    <w:rsid w:val="00D850E5"/>
    <w:rsid w:val="00D85FDB"/>
    <w:rsid w:val="00D87831"/>
    <w:rsid w:val="00D87874"/>
    <w:rsid w:val="00D905BF"/>
    <w:rsid w:val="00D94C11"/>
    <w:rsid w:val="00D95235"/>
    <w:rsid w:val="00DA098F"/>
    <w:rsid w:val="00DA4AE1"/>
    <w:rsid w:val="00DA567F"/>
    <w:rsid w:val="00DA586D"/>
    <w:rsid w:val="00DA6EBC"/>
    <w:rsid w:val="00DB08A0"/>
    <w:rsid w:val="00DB1610"/>
    <w:rsid w:val="00DB1AB9"/>
    <w:rsid w:val="00DB1AD8"/>
    <w:rsid w:val="00DB28DA"/>
    <w:rsid w:val="00DB3743"/>
    <w:rsid w:val="00DB394A"/>
    <w:rsid w:val="00DB3D71"/>
    <w:rsid w:val="00DB44DE"/>
    <w:rsid w:val="00DB5DDC"/>
    <w:rsid w:val="00DB64FA"/>
    <w:rsid w:val="00DB7FF9"/>
    <w:rsid w:val="00DC011A"/>
    <w:rsid w:val="00DC25A8"/>
    <w:rsid w:val="00DC4081"/>
    <w:rsid w:val="00DC49A3"/>
    <w:rsid w:val="00DC5E3A"/>
    <w:rsid w:val="00DC5E8B"/>
    <w:rsid w:val="00DC6201"/>
    <w:rsid w:val="00DC7085"/>
    <w:rsid w:val="00DC7124"/>
    <w:rsid w:val="00DD26BE"/>
    <w:rsid w:val="00DD2D81"/>
    <w:rsid w:val="00DD3EC3"/>
    <w:rsid w:val="00DD3F40"/>
    <w:rsid w:val="00DD4088"/>
    <w:rsid w:val="00DD471A"/>
    <w:rsid w:val="00DD5948"/>
    <w:rsid w:val="00DD63E5"/>
    <w:rsid w:val="00DD706F"/>
    <w:rsid w:val="00DD75B6"/>
    <w:rsid w:val="00DE19A0"/>
    <w:rsid w:val="00DE1F4A"/>
    <w:rsid w:val="00DE2B14"/>
    <w:rsid w:val="00DE2C44"/>
    <w:rsid w:val="00DE4CAE"/>
    <w:rsid w:val="00DE4F88"/>
    <w:rsid w:val="00DE5A20"/>
    <w:rsid w:val="00DE7A84"/>
    <w:rsid w:val="00DE7CC9"/>
    <w:rsid w:val="00DF0B5C"/>
    <w:rsid w:val="00DF2858"/>
    <w:rsid w:val="00DF2B3C"/>
    <w:rsid w:val="00DF30AB"/>
    <w:rsid w:val="00DF3E19"/>
    <w:rsid w:val="00DF4F94"/>
    <w:rsid w:val="00DF588C"/>
    <w:rsid w:val="00DF60C2"/>
    <w:rsid w:val="00DF68DA"/>
    <w:rsid w:val="00DF72E1"/>
    <w:rsid w:val="00E007CF"/>
    <w:rsid w:val="00E037E9"/>
    <w:rsid w:val="00E038A1"/>
    <w:rsid w:val="00E03AA2"/>
    <w:rsid w:val="00E0425B"/>
    <w:rsid w:val="00E04A8E"/>
    <w:rsid w:val="00E04C9F"/>
    <w:rsid w:val="00E04F5C"/>
    <w:rsid w:val="00E059CF"/>
    <w:rsid w:val="00E0776F"/>
    <w:rsid w:val="00E11082"/>
    <w:rsid w:val="00E1146C"/>
    <w:rsid w:val="00E13B71"/>
    <w:rsid w:val="00E13D18"/>
    <w:rsid w:val="00E14AF5"/>
    <w:rsid w:val="00E15935"/>
    <w:rsid w:val="00E16BF5"/>
    <w:rsid w:val="00E17562"/>
    <w:rsid w:val="00E177C9"/>
    <w:rsid w:val="00E17A9B"/>
    <w:rsid w:val="00E20758"/>
    <w:rsid w:val="00E215CE"/>
    <w:rsid w:val="00E23202"/>
    <w:rsid w:val="00E23E4E"/>
    <w:rsid w:val="00E2402D"/>
    <w:rsid w:val="00E2425F"/>
    <w:rsid w:val="00E24C5F"/>
    <w:rsid w:val="00E24C98"/>
    <w:rsid w:val="00E25CF6"/>
    <w:rsid w:val="00E2655F"/>
    <w:rsid w:val="00E2692F"/>
    <w:rsid w:val="00E27653"/>
    <w:rsid w:val="00E2774C"/>
    <w:rsid w:val="00E323BB"/>
    <w:rsid w:val="00E3495E"/>
    <w:rsid w:val="00E366F6"/>
    <w:rsid w:val="00E378CA"/>
    <w:rsid w:val="00E4150D"/>
    <w:rsid w:val="00E423D0"/>
    <w:rsid w:val="00E42F05"/>
    <w:rsid w:val="00E42FE4"/>
    <w:rsid w:val="00E44260"/>
    <w:rsid w:val="00E44AFA"/>
    <w:rsid w:val="00E45537"/>
    <w:rsid w:val="00E52476"/>
    <w:rsid w:val="00E52755"/>
    <w:rsid w:val="00E54AFE"/>
    <w:rsid w:val="00E54BA2"/>
    <w:rsid w:val="00E54DB4"/>
    <w:rsid w:val="00E556F7"/>
    <w:rsid w:val="00E558D7"/>
    <w:rsid w:val="00E6097C"/>
    <w:rsid w:val="00E6150B"/>
    <w:rsid w:val="00E618D8"/>
    <w:rsid w:val="00E62E59"/>
    <w:rsid w:val="00E63046"/>
    <w:rsid w:val="00E641CD"/>
    <w:rsid w:val="00E6483B"/>
    <w:rsid w:val="00E65697"/>
    <w:rsid w:val="00E677B1"/>
    <w:rsid w:val="00E714C9"/>
    <w:rsid w:val="00E716F9"/>
    <w:rsid w:val="00E7361E"/>
    <w:rsid w:val="00E74874"/>
    <w:rsid w:val="00E7491F"/>
    <w:rsid w:val="00E76197"/>
    <w:rsid w:val="00E765AA"/>
    <w:rsid w:val="00E8097C"/>
    <w:rsid w:val="00E80B6D"/>
    <w:rsid w:val="00E80EF0"/>
    <w:rsid w:val="00E82802"/>
    <w:rsid w:val="00E82F3E"/>
    <w:rsid w:val="00E836F1"/>
    <w:rsid w:val="00E85F1B"/>
    <w:rsid w:val="00E87135"/>
    <w:rsid w:val="00E90D97"/>
    <w:rsid w:val="00E9490E"/>
    <w:rsid w:val="00E957B2"/>
    <w:rsid w:val="00E9608A"/>
    <w:rsid w:val="00E9667C"/>
    <w:rsid w:val="00E96C21"/>
    <w:rsid w:val="00E96CD0"/>
    <w:rsid w:val="00E97758"/>
    <w:rsid w:val="00EA19E8"/>
    <w:rsid w:val="00EA1DAD"/>
    <w:rsid w:val="00EA1EF4"/>
    <w:rsid w:val="00EA2CBC"/>
    <w:rsid w:val="00EA419E"/>
    <w:rsid w:val="00EA46C6"/>
    <w:rsid w:val="00EA4917"/>
    <w:rsid w:val="00EA5E4A"/>
    <w:rsid w:val="00EA666C"/>
    <w:rsid w:val="00EA6EF6"/>
    <w:rsid w:val="00EA7240"/>
    <w:rsid w:val="00EB169C"/>
    <w:rsid w:val="00EB1767"/>
    <w:rsid w:val="00EB1F50"/>
    <w:rsid w:val="00EB21FD"/>
    <w:rsid w:val="00EB26D8"/>
    <w:rsid w:val="00EB2825"/>
    <w:rsid w:val="00EB2FBB"/>
    <w:rsid w:val="00EB3C40"/>
    <w:rsid w:val="00EB54B0"/>
    <w:rsid w:val="00EB6F32"/>
    <w:rsid w:val="00EB7B5E"/>
    <w:rsid w:val="00EC09E5"/>
    <w:rsid w:val="00EC0BE8"/>
    <w:rsid w:val="00EC1059"/>
    <w:rsid w:val="00EC1198"/>
    <w:rsid w:val="00EC22FE"/>
    <w:rsid w:val="00EC2C47"/>
    <w:rsid w:val="00EC4868"/>
    <w:rsid w:val="00EC53E5"/>
    <w:rsid w:val="00EC568B"/>
    <w:rsid w:val="00EC5A5F"/>
    <w:rsid w:val="00EC6FC9"/>
    <w:rsid w:val="00EC750D"/>
    <w:rsid w:val="00EC7787"/>
    <w:rsid w:val="00ED06B7"/>
    <w:rsid w:val="00ED21B8"/>
    <w:rsid w:val="00ED2783"/>
    <w:rsid w:val="00ED3910"/>
    <w:rsid w:val="00ED3F68"/>
    <w:rsid w:val="00ED4C32"/>
    <w:rsid w:val="00ED5DE0"/>
    <w:rsid w:val="00ED6630"/>
    <w:rsid w:val="00EE2529"/>
    <w:rsid w:val="00EE5174"/>
    <w:rsid w:val="00EE60B7"/>
    <w:rsid w:val="00EE6427"/>
    <w:rsid w:val="00EE6D00"/>
    <w:rsid w:val="00EE6F94"/>
    <w:rsid w:val="00EE7B07"/>
    <w:rsid w:val="00EE7BE0"/>
    <w:rsid w:val="00EF0150"/>
    <w:rsid w:val="00EF016C"/>
    <w:rsid w:val="00EF01C7"/>
    <w:rsid w:val="00EF12DC"/>
    <w:rsid w:val="00EF20C6"/>
    <w:rsid w:val="00EF2609"/>
    <w:rsid w:val="00EF33B6"/>
    <w:rsid w:val="00EF3E90"/>
    <w:rsid w:val="00EF3F9E"/>
    <w:rsid w:val="00EF4A3A"/>
    <w:rsid w:val="00EF4F05"/>
    <w:rsid w:val="00EF5D56"/>
    <w:rsid w:val="00EF6783"/>
    <w:rsid w:val="00EF76D8"/>
    <w:rsid w:val="00F0010D"/>
    <w:rsid w:val="00F012EA"/>
    <w:rsid w:val="00F01BA1"/>
    <w:rsid w:val="00F025D7"/>
    <w:rsid w:val="00F026D5"/>
    <w:rsid w:val="00F03697"/>
    <w:rsid w:val="00F036EF"/>
    <w:rsid w:val="00F040F5"/>
    <w:rsid w:val="00F04AA6"/>
    <w:rsid w:val="00F05014"/>
    <w:rsid w:val="00F05DF5"/>
    <w:rsid w:val="00F10822"/>
    <w:rsid w:val="00F11C37"/>
    <w:rsid w:val="00F132FE"/>
    <w:rsid w:val="00F14127"/>
    <w:rsid w:val="00F14C37"/>
    <w:rsid w:val="00F15862"/>
    <w:rsid w:val="00F17871"/>
    <w:rsid w:val="00F17C26"/>
    <w:rsid w:val="00F205D9"/>
    <w:rsid w:val="00F207E7"/>
    <w:rsid w:val="00F2221C"/>
    <w:rsid w:val="00F24245"/>
    <w:rsid w:val="00F24959"/>
    <w:rsid w:val="00F264DD"/>
    <w:rsid w:val="00F31908"/>
    <w:rsid w:val="00F32B0D"/>
    <w:rsid w:val="00F33A6A"/>
    <w:rsid w:val="00F34B0C"/>
    <w:rsid w:val="00F35044"/>
    <w:rsid w:val="00F3532D"/>
    <w:rsid w:val="00F35CAE"/>
    <w:rsid w:val="00F368F0"/>
    <w:rsid w:val="00F3752C"/>
    <w:rsid w:val="00F377FC"/>
    <w:rsid w:val="00F40856"/>
    <w:rsid w:val="00F41561"/>
    <w:rsid w:val="00F41580"/>
    <w:rsid w:val="00F41E30"/>
    <w:rsid w:val="00F42B11"/>
    <w:rsid w:val="00F45163"/>
    <w:rsid w:val="00F50068"/>
    <w:rsid w:val="00F52839"/>
    <w:rsid w:val="00F555AC"/>
    <w:rsid w:val="00F559F0"/>
    <w:rsid w:val="00F56DB9"/>
    <w:rsid w:val="00F5757F"/>
    <w:rsid w:val="00F57CC2"/>
    <w:rsid w:val="00F600D2"/>
    <w:rsid w:val="00F6019B"/>
    <w:rsid w:val="00F60530"/>
    <w:rsid w:val="00F60B8A"/>
    <w:rsid w:val="00F60FAF"/>
    <w:rsid w:val="00F612F4"/>
    <w:rsid w:val="00F624A3"/>
    <w:rsid w:val="00F62B59"/>
    <w:rsid w:val="00F62FEF"/>
    <w:rsid w:val="00F63816"/>
    <w:rsid w:val="00F66504"/>
    <w:rsid w:val="00F66A39"/>
    <w:rsid w:val="00F703DE"/>
    <w:rsid w:val="00F70E4B"/>
    <w:rsid w:val="00F71835"/>
    <w:rsid w:val="00F72726"/>
    <w:rsid w:val="00F73064"/>
    <w:rsid w:val="00F744DF"/>
    <w:rsid w:val="00F7451C"/>
    <w:rsid w:val="00F74714"/>
    <w:rsid w:val="00F74C14"/>
    <w:rsid w:val="00F74E3C"/>
    <w:rsid w:val="00F760A4"/>
    <w:rsid w:val="00F7681A"/>
    <w:rsid w:val="00F77173"/>
    <w:rsid w:val="00F80047"/>
    <w:rsid w:val="00F805AB"/>
    <w:rsid w:val="00F80FA5"/>
    <w:rsid w:val="00F81046"/>
    <w:rsid w:val="00F85B46"/>
    <w:rsid w:val="00F85F98"/>
    <w:rsid w:val="00F863D5"/>
    <w:rsid w:val="00F8675B"/>
    <w:rsid w:val="00F87048"/>
    <w:rsid w:val="00F90417"/>
    <w:rsid w:val="00F913A3"/>
    <w:rsid w:val="00F93244"/>
    <w:rsid w:val="00F932AE"/>
    <w:rsid w:val="00F93A32"/>
    <w:rsid w:val="00F94685"/>
    <w:rsid w:val="00F948A2"/>
    <w:rsid w:val="00F956CE"/>
    <w:rsid w:val="00F96D4E"/>
    <w:rsid w:val="00F97856"/>
    <w:rsid w:val="00FA02BB"/>
    <w:rsid w:val="00FA0D2B"/>
    <w:rsid w:val="00FA1985"/>
    <w:rsid w:val="00FA330B"/>
    <w:rsid w:val="00FA3516"/>
    <w:rsid w:val="00FA5BCC"/>
    <w:rsid w:val="00FB09B6"/>
    <w:rsid w:val="00FB1248"/>
    <w:rsid w:val="00FB15C3"/>
    <w:rsid w:val="00FB1A2D"/>
    <w:rsid w:val="00FB219B"/>
    <w:rsid w:val="00FB3FED"/>
    <w:rsid w:val="00FB480E"/>
    <w:rsid w:val="00FB4BBC"/>
    <w:rsid w:val="00FB5653"/>
    <w:rsid w:val="00FB59AE"/>
    <w:rsid w:val="00FB71F4"/>
    <w:rsid w:val="00FC200C"/>
    <w:rsid w:val="00FC26D0"/>
    <w:rsid w:val="00FC289E"/>
    <w:rsid w:val="00FC3854"/>
    <w:rsid w:val="00FC3D43"/>
    <w:rsid w:val="00FC49EC"/>
    <w:rsid w:val="00FC6E5E"/>
    <w:rsid w:val="00FD09DC"/>
    <w:rsid w:val="00FD0FA6"/>
    <w:rsid w:val="00FD1A60"/>
    <w:rsid w:val="00FD1D4C"/>
    <w:rsid w:val="00FD232E"/>
    <w:rsid w:val="00FD430D"/>
    <w:rsid w:val="00FD49BC"/>
    <w:rsid w:val="00FD52B5"/>
    <w:rsid w:val="00FD63A0"/>
    <w:rsid w:val="00FD64B8"/>
    <w:rsid w:val="00FD652A"/>
    <w:rsid w:val="00FD7475"/>
    <w:rsid w:val="00FD7B2D"/>
    <w:rsid w:val="00FE00AF"/>
    <w:rsid w:val="00FE1D1F"/>
    <w:rsid w:val="00FE215F"/>
    <w:rsid w:val="00FE236D"/>
    <w:rsid w:val="00FE2423"/>
    <w:rsid w:val="00FE2535"/>
    <w:rsid w:val="00FE2A58"/>
    <w:rsid w:val="00FE3BA1"/>
    <w:rsid w:val="00FE4E0A"/>
    <w:rsid w:val="00FE64B0"/>
    <w:rsid w:val="00FE6A87"/>
    <w:rsid w:val="00FE7F6E"/>
    <w:rsid w:val="00FF08D5"/>
    <w:rsid w:val="00FF09D8"/>
    <w:rsid w:val="00FF13B4"/>
    <w:rsid w:val="00FF27C2"/>
    <w:rsid w:val="00FF303A"/>
    <w:rsid w:val="00FF30C5"/>
    <w:rsid w:val="00FF3B0F"/>
    <w:rsid w:val="00FF3D9C"/>
    <w:rsid w:val="00FF4CF5"/>
    <w:rsid w:val="00FF4FD6"/>
    <w:rsid w:val="00FF5945"/>
    <w:rsid w:val="00FF5E18"/>
    <w:rsid w:val="00FF696A"/>
  </w:rsids>
  <m:mathPr>
    <m:mathFont m:val="Cambria Math"/>
    <m:brkBin m:val="before"/>
    <m:brkBinSub m:val="--"/>
    <m:smallFrac m:val="0"/>
    <m:dispDef/>
    <m:lMargin m:val="38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29DD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35"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088"/>
    <w:rPr>
      <w:rFonts w:ascii="Calibri" w:hAnsi="Calibri"/>
    </w:rPr>
  </w:style>
  <w:style w:type="paragraph" w:styleId="Heading1">
    <w:name w:val="heading 1"/>
    <w:basedOn w:val="HeadingBaseStyle"/>
    <w:next w:val="Normal"/>
    <w:link w:val="Heading1Char"/>
    <w:autoRedefine/>
    <w:uiPriority w:val="9"/>
    <w:qFormat/>
    <w:rsid w:val="00F73064"/>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autoRedefine/>
    <w:uiPriority w:val="9"/>
    <w:qFormat/>
    <w:rsid w:val="00AC51D8"/>
    <w:pPr>
      <w:widowControl w:val="0"/>
      <w:numPr>
        <w:numId w:val="21"/>
      </w:numPr>
      <w:tabs>
        <w:tab w:val="clear" w:pos="3402"/>
        <w:tab w:val="left" w:pos="426"/>
      </w:tabs>
      <w:adjustRightInd w:val="0"/>
      <w:spacing w:before="24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6857BC"/>
    <w:pPr>
      <w:keepNext/>
      <w:widowControl w:val="0"/>
      <w:tabs>
        <w:tab w:val="left" w:pos="0"/>
      </w:tabs>
      <w:adjustRightInd w:val="0"/>
      <w:spacing w:before="120" w:after="240" w:line="240" w:lineRule="auto"/>
      <w:textAlignment w:val="baseline"/>
      <w:outlineLvl w:val="2"/>
    </w:pPr>
    <w:rPr>
      <w:rFonts w:asciiTheme="minorHAnsi" w:eastAsia="Times New Roman" w:hAnsiTheme="minorHAnsi" w:cs="Times New Roman"/>
      <w:color w:val="003157"/>
      <w:sz w:val="28"/>
      <w:szCs w:val="20"/>
      <w:lang w:val="en-US" w:eastAsia="en-AU"/>
    </w:rPr>
  </w:style>
  <w:style w:type="paragraph" w:styleId="Heading4">
    <w:name w:val="heading 4"/>
    <w:basedOn w:val="HeadingBaseStyle"/>
    <w:next w:val="Normal"/>
    <w:link w:val="Heading4Char"/>
    <w:autoRedefine/>
    <w:uiPriority w:val="9"/>
    <w:qFormat/>
    <w:rsid w:val="003921FE"/>
    <w:pPr>
      <w:numPr>
        <w:ilvl w:val="2"/>
        <w:numId w:val="21"/>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uiPriority w:val="9"/>
    <w:rsid w:val="00F73064"/>
    <w:rPr>
      <w:rFonts w:ascii="Arial Bold" w:hAnsi="Arial Bold"/>
      <w:b/>
      <w:smallCaps/>
      <w:color w:val="003157"/>
      <w:sz w:val="36"/>
    </w:rPr>
  </w:style>
  <w:style w:type="character" w:customStyle="1" w:styleId="Heading2Char">
    <w:name w:val="Heading 2 Char"/>
    <w:basedOn w:val="DefaultParagraphFont"/>
    <w:link w:val="Heading2"/>
    <w:uiPriority w:val="9"/>
    <w:rsid w:val="00AC51D8"/>
    <w:rPr>
      <w:rFonts w:ascii="Arial Bold" w:hAnsi="Arial Bold"/>
      <w:b/>
      <w:smallCaps/>
      <w:color w:val="003157"/>
      <w:sz w:val="32"/>
    </w:rPr>
  </w:style>
  <w:style w:type="character" w:customStyle="1" w:styleId="Heading3Char">
    <w:name w:val="Heading 3 Char"/>
    <w:basedOn w:val="DefaultParagraphFont"/>
    <w:link w:val="Heading3"/>
    <w:uiPriority w:val="9"/>
    <w:rsid w:val="006857BC"/>
    <w:rPr>
      <w:rFonts w:eastAsia="Times New Roman" w:cs="Times New Roman"/>
      <w:color w:val="003157"/>
      <w:sz w:val="28"/>
      <w:szCs w:val="20"/>
      <w:lang w:val="en-US" w:eastAsia="en-AU"/>
    </w:rPr>
  </w:style>
  <w:style w:type="character" w:customStyle="1" w:styleId="Heading4Char">
    <w:name w:val="Heading 4 Char"/>
    <w:basedOn w:val="DefaultParagraphFont"/>
    <w:link w:val="Heading4"/>
    <w:uiPriority w:val="9"/>
    <w:rsid w:val="003921FE"/>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rsid w:val="009D0790"/>
    <w:pPr>
      <w:numPr>
        <w:numId w:val="3"/>
      </w:numPr>
    </w:pPr>
  </w:style>
  <w:style w:type="paragraph" w:customStyle="1" w:styleId="AppendixHeading">
    <w:name w:val="Appendix Heading"/>
    <w:basedOn w:val="HeadingBase"/>
    <w:next w:val="Normal"/>
    <w:rsid w:val="006457CC"/>
    <w:pPr>
      <w:spacing w:before="720" w:after="360"/>
      <w:outlineLvl w:val="0"/>
    </w:pPr>
    <w:rPr>
      <w:sz w:val="36"/>
      <w:szCs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aliases w:val="b"/>
    <w:basedOn w:val="Normal"/>
    <w:link w:val="BulletChar"/>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19"/>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BB3278"/>
    <w:pPr>
      <w:spacing w:line="240" w:lineRule="auto"/>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B55137"/>
  </w:style>
  <w:style w:type="paragraph" w:customStyle="1" w:styleId="FooterOdd">
    <w:name w:val="Footer Odd"/>
    <w:basedOn w:val="Footer"/>
    <w:rsid w:val="00B55137"/>
  </w:style>
  <w:style w:type="character" w:styleId="FootnoteReference">
    <w:name w:val="footnote reference"/>
    <w:basedOn w:val="DefaultParagraphFont"/>
    <w:uiPriority w:val="99"/>
    <w:rsid w:val="00F73064"/>
    <w:rPr>
      <w:vertAlign w:val="superscript"/>
    </w:rPr>
  </w:style>
  <w:style w:type="paragraph" w:styleId="FootnoteText">
    <w:name w:val="footnote text"/>
    <w:basedOn w:val="Normal"/>
    <w:link w:val="FootnoteTextChar"/>
    <w:uiPriority w:val="99"/>
    <w:rsid w:val="004C5CFD"/>
    <w:pPr>
      <w:tabs>
        <w:tab w:val="left" w:pos="357"/>
        <w:tab w:val="left" w:pos="567"/>
      </w:tabs>
      <w:spacing w:after="0" w:line="240" w:lineRule="auto"/>
      <w:ind w:left="357" w:hanging="357"/>
    </w:pPr>
    <w:rPr>
      <w:sz w:val="20"/>
    </w:rPr>
  </w:style>
  <w:style w:type="character" w:customStyle="1" w:styleId="FootnoteTextChar">
    <w:name w:val="Footnote Text Char"/>
    <w:basedOn w:val="DefaultParagraphFont"/>
    <w:link w:val="FootnoteText"/>
    <w:uiPriority w:val="99"/>
    <w:rsid w:val="004C5CFD"/>
    <w:rPr>
      <w:rFonts w:ascii="Calibri" w:hAnsi="Calibri"/>
      <w:sz w:val="20"/>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F73064"/>
    <w:rPr>
      <w:color w:val="0000FF" w:themeColor="hyperlink"/>
      <w:u w:val="singl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line="240" w:lineRule="auto"/>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F73064"/>
    <w:pPr>
      <w:tabs>
        <w:tab w:val="left" w:pos="1987"/>
      </w:tabs>
      <w:jc w:val="center"/>
    </w:pPr>
    <w:rPr>
      <w:rFonts w:ascii="Arial Bold" w:hAnsi="Arial Bold"/>
      <w:b/>
    </w:rPr>
  </w:style>
  <w:style w:type="paragraph" w:customStyle="1" w:styleId="TableColumnHeadingBase">
    <w:name w:val="Table Column Heading Base"/>
    <w:basedOn w:val="Normal"/>
    <w:rsid w:val="00EE6F94"/>
    <w:pPr>
      <w:spacing w:before="40" w:after="40" w:line="240" w:lineRule="auto"/>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uiPriority w:val="59"/>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55137"/>
    <w:pPr>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C4ADF"/>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F73064"/>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F73064"/>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F73064"/>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iPriority w:val="35"/>
    <w:unhideWhenUsed/>
    <w:qFormat/>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8C0793"/>
    <w:pPr>
      <w:spacing w:after="60"/>
      <w:jc w:val="center"/>
    </w:pPr>
    <w:rPr>
      <w:rFonts w:ascii="Times New Roman" w:eastAsia="Times New Roman" w:hAnsi="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8C0793"/>
    <w:rPr>
      <w:rFonts w:ascii="Times New Roman" w:eastAsia="Times New Roman" w:hAnsi="Times New Roman"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601237"/>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601237"/>
    <w:rPr>
      <w:rFonts w:ascii="Arial Bold" w:hAnsi="Arial Bold"/>
      <w:b/>
      <w:smallCaps/>
      <w:color w:val="003157"/>
      <w:kern w:val="28"/>
      <w:sz w:val="56"/>
    </w:rPr>
  </w:style>
  <w:style w:type="paragraph" w:styleId="Subtitle">
    <w:name w:val="Subtitle"/>
    <w:basedOn w:val="HeadingBaseStyle"/>
    <w:link w:val="SubtitleChar"/>
    <w:uiPriority w:val="11"/>
    <w:qFormat/>
    <w:rsid w:val="00F73064"/>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uiPriority w:val="11"/>
    <w:rsid w:val="00F7306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otNumbered">
    <w:name w:val="Heading 2 Not Numbered"/>
    <w:basedOn w:val="Heading2"/>
    <w:rsid w:val="00F73064"/>
    <w:pPr>
      <w:numPr>
        <w:numId w:val="0"/>
      </w:numPr>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character" w:customStyle="1" w:styleId="BulletChar">
    <w:name w:val="Bullet Char"/>
    <w:basedOn w:val="DefaultParagraphFont"/>
    <w:link w:val="Bullet"/>
    <w:rsid w:val="005604EC"/>
    <w:rPr>
      <w:rFonts w:ascii="Calibri" w:hAnsi="Calibri"/>
    </w:rPr>
  </w:style>
  <w:style w:type="character" w:customStyle="1" w:styleId="OutlineNumbered1Char">
    <w:name w:val="Outline Numbered 1 Char"/>
    <w:basedOn w:val="Heading3Char"/>
    <w:link w:val="OutlineNumbered1"/>
    <w:rsid w:val="005604EC"/>
    <w:rPr>
      <w:rFonts w:ascii="Calibri" w:eastAsia="Times New Roman" w:hAnsi="Calibri" w:cs="Times New Roman"/>
      <w:color w:val="003157"/>
      <w:sz w:val="28"/>
      <w:szCs w:val="20"/>
      <w:lang w:val="en-US" w:eastAsia="en-AU"/>
    </w:rPr>
  </w:style>
  <w:style w:type="paragraph" w:styleId="Revision">
    <w:name w:val="Revision"/>
    <w:hidden/>
    <w:uiPriority w:val="99"/>
    <w:semiHidden/>
    <w:rsid w:val="009A5291"/>
    <w:pPr>
      <w:spacing w:after="0" w:line="240" w:lineRule="auto"/>
    </w:pPr>
    <w:rPr>
      <w:rFonts w:ascii="Calibri" w:hAnsi="Calibri"/>
    </w:rPr>
  </w:style>
  <w:style w:type="table" w:customStyle="1" w:styleId="MTEBNumberedEquation">
    <w:name w:val="MTEBNumberedEquation"/>
    <w:basedOn w:val="TableNormal"/>
    <w:rsid w:val="008F3CC5"/>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Source">
    <w:name w:val="Source"/>
    <w:basedOn w:val="Normal"/>
    <w:qFormat/>
    <w:rsid w:val="00BF04BA"/>
    <w:pPr>
      <w:spacing w:after="240" w:line="240" w:lineRule="auto"/>
    </w:pPr>
    <w:rPr>
      <w:sz w:val="20"/>
      <w:szCs w:val="20"/>
      <w:lang w:eastAsia="en-AU"/>
    </w:rPr>
  </w:style>
  <w:style w:type="paragraph" w:customStyle="1" w:styleId="Heading2notnumbered0">
    <w:name w:val="Heading 2 (not numbered)"/>
    <w:basedOn w:val="Heading2"/>
    <w:qFormat/>
    <w:rsid w:val="00F80047"/>
    <w:pPr>
      <w:numPr>
        <w:numId w:val="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35"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088"/>
    <w:rPr>
      <w:rFonts w:ascii="Calibri" w:hAnsi="Calibri"/>
    </w:rPr>
  </w:style>
  <w:style w:type="paragraph" w:styleId="Heading1">
    <w:name w:val="heading 1"/>
    <w:basedOn w:val="HeadingBaseStyle"/>
    <w:next w:val="Normal"/>
    <w:link w:val="Heading1Char"/>
    <w:autoRedefine/>
    <w:uiPriority w:val="9"/>
    <w:qFormat/>
    <w:rsid w:val="00F73064"/>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autoRedefine/>
    <w:uiPriority w:val="9"/>
    <w:qFormat/>
    <w:rsid w:val="00AC51D8"/>
    <w:pPr>
      <w:widowControl w:val="0"/>
      <w:numPr>
        <w:numId w:val="21"/>
      </w:numPr>
      <w:tabs>
        <w:tab w:val="clear" w:pos="3402"/>
        <w:tab w:val="left" w:pos="426"/>
      </w:tabs>
      <w:adjustRightInd w:val="0"/>
      <w:spacing w:before="24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6857BC"/>
    <w:pPr>
      <w:keepNext/>
      <w:widowControl w:val="0"/>
      <w:tabs>
        <w:tab w:val="left" w:pos="0"/>
      </w:tabs>
      <w:adjustRightInd w:val="0"/>
      <w:spacing w:before="120" w:after="240" w:line="240" w:lineRule="auto"/>
      <w:textAlignment w:val="baseline"/>
      <w:outlineLvl w:val="2"/>
    </w:pPr>
    <w:rPr>
      <w:rFonts w:asciiTheme="minorHAnsi" w:eastAsia="Times New Roman" w:hAnsiTheme="minorHAnsi" w:cs="Times New Roman"/>
      <w:color w:val="003157"/>
      <w:sz w:val="28"/>
      <w:szCs w:val="20"/>
      <w:lang w:val="en-US" w:eastAsia="en-AU"/>
    </w:rPr>
  </w:style>
  <w:style w:type="paragraph" w:styleId="Heading4">
    <w:name w:val="heading 4"/>
    <w:basedOn w:val="HeadingBaseStyle"/>
    <w:next w:val="Normal"/>
    <w:link w:val="Heading4Char"/>
    <w:autoRedefine/>
    <w:uiPriority w:val="9"/>
    <w:qFormat/>
    <w:rsid w:val="003921FE"/>
    <w:pPr>
      <w:numPr>
        <w:ilvl w:val="2"/>
        <w:numId w:val="21"/>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uiPriority w:val="9"/>
    <w:rsid w:val="00F73064"/>
    <w:rPr>
      <w:rFonts w:ascii="Arial Bold" w:hAnsi="Arial Bold"/>
      <w:b/>
      <w:smallCaps/>
      <w:color w:val="003157"/>
      <w:sz w:val="36"/>
    </w:rPr>
  </w:style>
  <w:style w:type="character" w:customStyle="1" w:styleId="Heading2Char">
    <w:name w:val="Heading 2 Char"/>
    <w:basedOn w:val="DefaultParagraphFont"/>
    <w:link w:val="Heading2"/>
    <w:uiPriority w:val="9"/>
    <w:rsid w:val="00AC51D8"/>
    <w:rPr>
      <w:rFonts w:ascii="Arial Bold" w:hAnsi="Arial Bold"/>
      <w:b/>
      <w:smallCaps/>
      <w:color w:val="003157"/>
      <w:sz w:val="32"/>
    </w:rPr>
  </w:style>
  <w:style w:type="character" w:customStyle="1" w:styleId="Heading3Char">
    <w:name w:val="Heading 3 Char"/>
    <w:basedOn w:val="DefaultParagraphFont"/>
    <w:link w:val="Heading3"/>
    <w:uiPriority w:val="9"/>
    <w:rsid w:val="006857BC"/>
    <w:rPr>
      <w:rFonts w:eastAsia="Times New Roman" w:cs="Times New Roman"/>
      <w:color w:val="003157"/>
      <w:sz w:val="28"/>
      <w:szCs w:val="20"/>
      <w:lang w:val="en-US" w:eastAsia="en-AU"/>
    </w:rPr>
  </w:style>
  <w:style w:type="character" w:customStyle="1" w:styleId="Heading4Char">
    <w:name w:val="Heading 4 Char"/>
    <w:basedOn w:val="DefaultParagraphFont"/>
    <w:link w:val="Heading4"/>
    <w:uiPriority w:val="9"/>
    <w:rsid w:val="003921FE"/>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rsid w:val="009D0790"/>
    <w:pPr>
      <w:numPr>
        <w:numId w:val="3"/>
      </w:numPr>
    </w:pPr>
  </w:style>
  <w:style w:type="paragraph" w:customStyle="1" w:styleId="AppendixHeading">
    <w:name w:val="Appendix Heading"/>
    <w:basedOn w:val="HeadingBase"/>
    <w:next w:val="Normal"/>
    <w:rsid w:val="006457CC"/>
    <w:pPr>
      <w:spacing w:before="720" w:after="360"/>
      <w:outlineLvl w:val="0"/>
    </w:pPr>
    <w:rPr>
      <w:sz w:val="36"/>
      <w:szCs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aliases w:val="b"/>
    <w:basedOn w:val="Normal"/>
    <w:link w:val="BulletChar"/>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19"/>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BB3278"/>
    <w:pPr>
      <w:spacing w:line="240" w:lineRule="auto"/>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B55137"/>
  </w:style>
  <w:style w:type="paragraph" w:customStyle="1" w:styleId="FooterOdd">
    <w:name w:val="Footer Odd"/>
    <w:basedOn w:val="Footer"/>
    <w:rsid w:val="00B55137"/>
  </w:style>
  <w:style w:type="character" w:styleId="FootnoteReference">
    <w:name w:val="footnote reference"/>
    <w:basedOn w:val="DefaultParagraphFont"/>
    <w:uiPriority w:val="99"/>
    <w:rsid w:val="00F73064"/>
    <w:rPr>
      <w:vertAlign w:val="superscript"/>
    </w:rPr>
  </w:style>
  <w:style w:type="paragraph" w:styleId="FootnoteText">
    <w:name w:val="footnote text"/>
    <w:basedOn w:val="Normal"/>
    <w:link w:val="FootnoteTextChar"/>
    <w:uiPriority w:val="99"/>
    <w:rsid w:val="004C5CFD"/>
    <w:pPr>
      <w:tabs>
        <w:tab w:val="left" w:pos="357"/>
        <w:tab w:val="left" w:pos="567"/>
      </w:tabs>
      <w:spacing w:after="0" w:line="240" w:lineRule="auto"/>
      <w:ind w:left="357" w:hanging="357"/>
    </w:pPr>
    <w:rPr>
      <w:sz w:val="20"/>
    </w:rPr>
  </w:style>
  <w:style w:type="character" w:customStyle="1" w:styleId="FootnoteTextChar">
    <w:name w:val="Footnote Text Char"/>
    <w:basedOn w:val="DefaultParagraphFont"/>
    <w:link w:val="FootnoteText"/>
    <w:uiPriority w:val="99"/>
    <w:rsid w:val="004C5CFD"/>
    <w:rPr>
      <w:rFonts w:ascii="Calibri" w:hAnsi="Calibri"/>
      <w:sz w:val="20"/>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F73064"/>
    <w:rPr>
      <w:color w:val="0000FF" w:themeColor="hyperlink"/>
      <w:u w:val="singl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line="240" w:lineRule="auto"/>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F73064"/>
    <w:pPr>
      <w:tabs>
        <w:tab w:val="left" w:pos="1987"/>
      </w:tabs>
      <w:jc w:val="center"/>
    </w:pPr>
    <w:rPr>
      <w:rFonts w:ascii="Arial Bold" w:hAnsi="Arial Bold"/>
      <w:b/>
    </w:rPr>
  </w:style>
  <w:style w:type="paragraph" w:customStyle="1" w:styleId="TableColumnHeadingBase">
    <w:name w:val="Table Column Heading Base"/>
    <w:basedOn w:val="Normal"/>
    <w:rsid w:val="00EE6F94"/>
    <w:pPr>
      <w:spacing w:before="40" w:after="40" w:line="240" w:lineRule="auto"/>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uiPriority w:val="59"/>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55137"/>
    <w:pPr>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C4ADF"/>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F73064"/>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F73064"/>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F73064"/>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iPriority w:val="35"/>
    <w:unhideWhenUsed/>
    <w:qFormat/>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8C0793"/>
    <w:pPr>
      <w:spacing w:after="60"/>
      <w:jc w:val="center"/>
    </w:pPr>
    <w:rPr>
      <w:rFonts w:ascii="Times New Roman" w:eastAsia="Times New Roman" w:hAnsi="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8C0793"/>
    <w:rPr>
      <w:rFonts w:ascii="Times New Roman" w:eastAsia="Times New Roman" w:hAnsi="Times New Roman"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601237"/>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601237"/>
    <w:rPr>
      <w:rFonts w:ascii="Arial Bold" w:hAnsi="Arial Bold"/>
      <w:b/>
      <w:smallCaps/>
      <w:color w:val="003157"/>
      <w:kern w:val="28"/>
      <w:sz w:val="56"/>
    </w:rPr>
  </w:style>
  <w:style w:type="paragraph" w:styleId="Subtitle">
    <w:name w:val="Subtitle"/>
    <w:basedOn w:val="HeadingBaseStyle"/>
    <w:link w:val="SubtitleChar"/>
    <w:uiPriority w:val="11"/>
    <w:qFormat/>
    <w:rsid w:val="00F73064"/>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uiPriority w:val="11"/>
    <w:rsid w:val="00F7306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otNumbered">
    <w:name w:val="Heading 2 Not Numbered"/>
    <w:basedOn w:val="Heading2"/>
    <w:rsid w:val="00F73064"/>
    <w:pPr>
      <w:numPr>
        <w:numId w:val="0"/>
      </w:numPr>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character" w:customStyle="1" w:styleId="BulletChar">
    <w:name w:val="Bullet Char"/>
    <w:basedOn w:val="DefaultParagraphFont"/>
    <w:link w:val="Bullet"/>
    <w:rsid w:val="005604EC"/>
    <w:rPr>
      <w:rFonts w:ascii="Calibri" w:hAnsi="Calibri"/>
    </w:rPr>
  </w:style>
  <w:style w:type="character" w:customStyle="1" w:styleId="OutlineNumbered1Char">
    <w:name w:val="Outline Numbered 1 Char"/>
    <w:basedOn w:val="Heading3Char"/>
    <w:link w:val="OutlineNumbered1"/>
    <w:rsid w:val="005604EC"/>
    <w:rPr>
      <w:rFonts w:ascii="Calibri" w:eastAsia="Times New Roman" w:hAnsi="Calibri" w:cs="Times New Roman"/>
      <w:color w:val="003157"/>
      <w:sz w:val="28"/>
      <w:szCs w:val="20"/>
      <w:lang w:val="en-US" w:eastAsia="en-AU"/>
    </w:rPr>
  </w:style>
  <w:style w:type="paragraph" w:styleId="Revision">
    <w:name w:val="Revision"/>
    <w:hidden/>
    <w:uiPriority w:val="99"/>
    <w:semiHidden/>
    <w:rsid w:val="009A5291"/>
    <w:pPr>
      <w:spacing w:after="0" w:line="240" w:lineRule="auto"/>
    </w:pPr>
    <w:rPr>
      <w:rFonts w:ascii="Calibri" w:hAnsi="Calibri"/>
    </w:rPr>
  </w:style>
  <w:style w:type="table" w:customStyle="1" w:styleId="MTEBNumberedEquation">
    <w:name w:val="MTEBNumberedEquation"/>
    <w:basedOn w:val="TableNormal"/>
    <w:rsid w:val="008F3CC5"/>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Source">
    <w:name w:val="Source"/>
    <w:basedOn w:val="Normal"/>
    <w:qFormat/>
    <w:rsid w:val="00BF04BA"/>
    <w:pPr>
      <w:spacing w:after="240" w:line="240" w:lineRule="auto"/>
    </w:pPr>
    <w:rPr>
      <w:sz w:val="20"/>
      <w:szCs w:val="20"/>
      <w:lang w:eastAsia="en-AU"/>
    </w:rPr>
  </w:style>
  <w:style w:type="paragraph" w:customStyle="1" w:styleId="Heading2notnumbered0">
    <w:name w:val="Heading 2 (not numbered)"/>
    <w:basedOn w:val="Heading2"/>
    <w:qFormat/>
    <w:rsid w:val="00F80047"/>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2674">
      <w:bodyDiv w:val="1"/>
      <w:marLeft w:val="0"/>
      <w:marRight w:val="0"/>
      <w:marTop w:val="0"/>
      <w:marBottom w:val="0"/>
      <w:divBdr>
        <w:top w:val="none" w:sz="0" w:space="0" w:color="auto"/>
        <w:left w:val="none" w:sz="0" w:space="0" w:color="auto"/>
        <w:bottom w:val="none" w:sz="0" w:space="0" w:color="auto"/>
        <w:right w:val="none" w:sz="0" w:space="0" w:color="auto"/>
      </w:divBdr>
    </w:div>
    <w:div w:id="206837317">
      <w:bodyDiv w:val="1"/>
      <w:marLeft w:val="0"/>
      <w:marRight w:val="0"/>
      <w:marTop w:val="0"/>
      <w:marBottom w:val="0"/>
      <w:divBdr>
        <w:top w:val="none" w:sz="0" w:space="0" w:color="auto"/>
        <w:left w:val="none" w:sz="0" w:space="0" w:color="auto"/>
        <w:bottom w:val="none" w:sz="0" w:space="0" w:color="auto"/>
        <w:right w:val="none" w:sz="0" w:space="0" w:color="auto"/>
      </w:divBdr>
    </w:div>
    <w:div w:id="514267168">
      <w:bodyDiv w:val="1"/>
      <w:marLeft w:val="0"/>
      <w:marRight w:val="0"/>
      <w:marTop w:val="0"/>
      <w:marBottom w:val="0"/>
      <w:divBdr>
        <w:top w:val="none" w:sz="0" w:space="0" w:color="auto"/>
        <w:left w:val="none" w:sz="0" w:space="0" w:color="auto"/>
        <w:bottom w:val="none" w:sz="0" w:space="0" w:color="auto"/>
        <w:right w:val="none" w:sz="0" w:space="0" w:color="auto"/>
      </w:divBdr>
    </w:div>
    <w:div w:id="520314961">
      <w:bodyDiv w:val="1"/>
      <w:marLeft w:val="0"/>
      <w:marRight w:val="0"/>
      <w:marTop w:val="0"/>
      <w:marBottom w:val="0"/>
      <w:divBdr>
        <w:top w:val="none" w:sz="0" w:space="0" w:color="auto"/>
        <w:left w:val="none" w:sz="0" w:space="0" w:color="auto"/>
        <w:bottom w:val="none" w:sz="0" w:space="0" w:color="auto"/>
        <w:right w:val="none" w:sz="0" w:space="0" w:color="auto"/>
      </w:divBdr>
    </w:div>
    <w:div w:id="572275274">
      <w:bodyDiv w:val="1"/>
      <w:marLeft w:val="0"/>
      <w:marRight w:val="0"/>
      <w:marTop w:val="0"/>
      <w:marBottom w:val="0"/>
      <w:divBdr>
        <w:top w:val="none" w:sz="0" w:space="0" w:color="auto"/>
        <w:left w:val="none" w:sz="0" w:space="0" w:color="auto"/>
        <w:bottom w:val="none" w:sz="0" w:space="0" w:color="auto"/>
        <w:right w:val="none" w:sz="0" w:space="0" w:color="auto"/>
      </w:divBdr>
    </w:div>
    <w:div w:id="646012638">
      <w:bodyDiv w:val="1"/>
      <w:marLeft w:val="0"/>
      <w:marRight w:val="0"/>
      <w:marTop w:val="0"/>
      <w:marBottom w:val="0"/>
      <w:divBdr>
        <w:top w:val="none" w:sz="0" w:space="0" w:color="auto"/>
        <w:left w:val="none" w:sz="0" w:space="0" w:color="auto"/>
        <w:bottom w:val="none" w:sz="0" w:space="0" w:color="auto"/>
        <w:right w:val="none" w:sz="0" w:space="0" w:color="auto"/>
      </w:divBdr>
    </w:div>
    <w:div w:id="765657633">
      <w:bodyDiv w:val="1"/>
      <w:marLeft w:val="0"/>
      <w:marRight w:val="0"/>
      <w:marTop w:val="0"/>
      <w:marBottom w:val="0"/>
      <w:divBdr>
        <w:top w:val="none" w:sz="0" w:space="0" w:color="auto"/>
        <w:left w:val="none" w:sz="0" w:space="0" w:color="auto"/>
        <w:bottom w:val="none" w:sz="0" w:space="0" w:color="auto"/>
        <w:right w:val="none" w:sz="0" w:space="0" w:color="auto"/>
      </w:divBdr>
    </w:div>
    <w:div w:id="905382014">
      <w:bodyDiv w:val="1"/>
      <w:marLeft w:val="0"/>
      <w:marRight w:val="0"/>
      <w:marTop w:val="0"/>
      <w:marBottom w:val="0"/>
      <w:divBdr>
        <w:top w:val="none" w:sz="0" w:space="0" w:color="auto"/>
        <w:left w:val="none" w:sz="0" w:space="0" w:color="auto"/>
        <w:bottom w:val="none" w:sz="0" w:space="0" w:color="auto"/>
        <w:right w:val="none" w:sz="0" w:space="0" w:color="auto"/>
      </w:divBdr>
    </w:div>
    <w:div w:id="919489638">
      <w:bodyDiv w:val="1"/>
      <w:marLeft w:val="0"/>
      <w:marRight w:val="0"/>
      <w:marTop w:val="0"/>
      <w:marBottom w:val="0"/>
      <w:divBdr>
        <w:top w:val="none" w:sz="0" w:space="0" w:color="auto"/>
        <w:left w:val="none" w:sz="0" w:space="0" w:color="auto"/>
        <w:bottom w:val="none" w:sz="0" w:space="0" w:color="auto"/>
        <w:right w:val="none" w:sz="0" w:space="0" w:color="auto"/>
      </w:divBdr>
    </w:div>
    <w:div w:id="1052465935">
      <w:bodyDiv w:val="1"/>
      <w:marLeft w:val="0"/>
      <w:marRight w:val="0"/>
      <w:marTop w:val="0"/>
      <w:marBottom w:val="0"/>
      <w:divBdr>
        <w:top w:val="none" w:sz="0" w:space="0" w:color="auto"/>
        <w:left w:val="none" w:sz="0" w:space="0" w:color="auto"/>
        <w:bottom w:val="none" w:sz="0" w:space="0" w:color="auto"/>
        <w:right w:val="none" w:sz="0" w:space="0" w:color="auto"/>
      </w:divBdr>
    </w:div>
    <w:div w:id="1118986811">
      <w:bodyDiv w:val="1"/>
      <w:marLeft w:val="0"/>
      <w:marRight w:val="0"/>
      <w:marTop w:val="0"/>
      <w:marBottom w:val="0"/>
      <w:divBdr>
        <w:top w:val="none" w:sz="0" w:space="0" w:color="auto"/>
        <w:left w:val="none" w:sz="0" w:space="0" w:color="auto"/>
        <w:bottom w:val="none" w:sz="0" w:space="0" w:color="auto"/>
        <w:right w:val="none" w:sz="0" w:space="0" w:color="auto"/>
      </w:divBdr>
    </w:div>
    <w:div w:id="1248340900">
      <w:bodyDiv w:val="1"/>
      <w:marLeft w:val="0"/>
      <w:marRight w:val="0"/>
      <w:marTop w:val="0"/>
      <w:marBottom w:val="0"/>
      <w:divBdr>
        <w:top w:val="none" w:sz="0" w:space="0" w:color="auto"/>
        <w:left w:val="none" w:sz="0" w:space="0" w:color="auto"/>
        <w:bottom w:val="none" w:sz="0" w:space="0" w:color="auto"/>
        <w:right w:val="none" w:sz="0" w:space="0" w:color="auto"/>
      </w:divBdr>
    </w:div>
    <w:div w:id="1297835498">
      <w:bodyDiv w:val="1"/>
      <w:marLeft w:val="0"/>
      <w:marRight w:val="0"/>
      <w:marTop w:val="0"/>
      <w:marBottom w:val="0"/>
      <w:divBdr>
        <w:top w:val="none" w:sz="0" w:space="0" w:color="auto"/>
        <w:left w:val="none" w:sz="0" w:space="0" w:color="auto"/>
        <w:bottom w:val="none" w:sz="0" w:space="0" w:color="auto"/>
        <w:right w:val="none" w:sz="0" w:space="0" w:color="auto"/>
      </w:divBdr>
    </w:div>
    <w:div w:id="1478231051">
      <w:bodyDiv w:val="1"/>
      <w:marLeft w:val="0"/>
      <w:marRight w:val="0"/>
      <w:marTop w:val="0"/>
      <w:marBottom w:val="0"/>
      <w:divBdr>
        <w:top w:val="none" w:sz="0" w:space="0" w:color="auto"/>
        <w:left w:val="none" w:sz="0" w:space="0" w:color="auto"/>
        <w:bottom w:val="none" w:sz="0" w:space="0" w:color="auto"/>
        <w:right w:val="none" w:sz="0" w:space="0" w:color="auto"/>
      </w:divBdr>
    </w:div>
    <w:div w:id="1508597801">
      <w:bodyDiv w:val="1"/>
      <w:marLeft w:val="0"/>
      <w:marRight w:val="0"/>
      <w:marTop w:val="0"/>
      <w:marBottom w:val="0"/>
      <w:divBdr>
        <w:top w:val="none" w:sz="0" w:space="0" w:color="auto"/>
        <w:left w:val="none" w:sz="0" w:space="0" w:color="auto"/>
        <w:bottom w:val="none" w:sz="0" w:space="0" w:color="auto"/>
        <w:right w:val="none" w:sz="0" w:space="0" w:color="auto"/>
      </w:divBdr>
    </w:div>
    <w:div w:id="1516531295">
      <w:bodyDiv w:val="1"/>
      <w:marLeft w:val="0"/>
      <w:marRight w:val="0"/>
      <w:marTop w:val="0"/>
      <w:marBottom w:val="0"/>
      <w:divBdr>
        <w:top w:val="none" w:sz="0" w:space="0" w:color="auto"/>
        <w:left w:val="none" w:sz="0" w:space="0" w:color="auto"/>
        <w:bottom w:val="none" w:sz="0" w:space="0" w:color="auto"/>
        <w:right w:val="none" w:sz="0" w:space="0" w:color="auto"/>
      </w:divBdr>
    </w:div>
    <w:div w:id="1630209542">
      <w:bodyDiv w:val="1"/>
      <w:marLeft w:val="0"/>
      <w:marRight w:val="0"/>
      <w:marTop w:val="0"/>
      <w:marBottom w:val="0"/>
      <w:divBdr>
        <w:top w:val="none" w:sz="0" w:space="0" w:color="auto"/>
        <w:left w:val="none" w:sz="0" w:space="0" w:color="auto"/>
        <w:bottom w:val="none" w:sz="0" w:space="0" w:color="auto"/>
        <w:right w:val="none" w:sz="0" w:space="0" w:color="auto"/>
      </w:divBdr>
    </w:div>
    <w:div w:id="1659267808">
      <w:bodyDiv w:val="1"/>
      <w:marLeft w:val="0"/>
      <w:marRight w:val="0"/>
      <w:marTop w:val="0"/>
      <w:marBottom w:val="0"/>
      <w:divBdr>
        <w:top w:val="none" w:sz="0" w:space="0" w:color="auto"/>
        <w:left w:val="none" w:sz="0" w:space="0" w:color="auto"/>
        <w:bottom w:val="none" w:sz="0" w:space="0" w:color="auto"/>
        <w:right w:val="none" w:sz="0" w:space="0" w:color="auto"/>
      </w:divBdr>
    </w:div>
    <w:div w:id="1723871718">
      <w:bodyDiv w:val="1"/>
      <w:marLeft w:val="0"/>
      <w:marRight w:val="0"/>
      <w:marTop w:val="0"/>
      <w:marBottom w:val="0"/>
      <w:divBdr>
        <w:top w:val="none" w:sz="0" w:space="0" w:color="auto"/>
        <w:left w:val="none" w:sz="0" w:space="0" w:color="auto"/>
        <w:bottom w:val="none" w:sz="0" w:space="0" w:color="auto"/>
        <w:right w:val="none" w:sz="0" w:space="0" w:color="auto"/>
      </w:divBdr>
    </w:div>
    <w:div w:id="1866870262">
      <w:bodyDiv w:val="1"/>
      <w:marLeft w:val="0"/>
      <w:marRight w:val="0"/>
      <w:marTop w:val="0"/>
      <w:marBottom w:val="0"/>
      <w:divBdr>
        <w:top w:val="none" w:sz="0" w:space="0" w:color="auto"/>
        <w:left w:val="none" w:sz="0" w:space="0" w:color="auto"/>
        <w:bottom w:val="none" w:sz="0" w:space="0" w:color="auto"/>
        <w:right w:val="none" w:sz="0" w:space="0" w:color="auto"/>
      </w:divBdr>
    </w:div>
    <w:div w:id="1956449293">
      <w:bodyDiv w:val="1"/>
      <w:marLeft w:val="0"/>
      <w:marRight w:val="0"/>
      <w:marTop w:val="0"/>
      <w:marBottom w:val="0"/>
      <w:divBdr>
        <w:top w:val="none" w:sz="0" w:space="0" w:color="auto"/>
        <w:left w:val="none" w:sz="0" w:space="0" w:color="auto"/>
        <w:bottom w:val="none" w:sz="0" w:space="0" w:color="auto"/>
        <w:right w:val="none" w:sz="0" w:space="0" w:color="auto"/>
      </w:divBdr>
    </w:div>
    <w:div w:id="2046103815">
      <w:bodyDiv w:val="1"/>
      <w:marLeft w:val="0"/>
      <w:marRight w:val="0"/>
      <w:marTop w:val="0"/>
      <w:marBottom w:val="0"/>
      <w:divBdr>
        <w:top w:val="none" w:sz="0" w:space="0" w:color="auto"/>
        <w:left w:val="none" w:sz="0" w:space="0" w:color="auto"/>
        <w:bottom w:val="none" w:sz="0" w:space="0" w:color="auto"/>
        <w:right w:val="none" w:sz="0" w:space="0" w:color="auto"/>
      </w:divBdr>
    </w:div>
    <w:div w:id="209813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image" Target="media/image66.emf"/><Relationship Id="rId21" Type="http://schemas.openxmlformats.org/officeDocument/2006/relationships/header" Target="header4.xml"/><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image" Target="media/image33.wmf"/><Relationship Id="rId68" Type="http://schemas.openxmlformats.org/officeDocument/2006/relationships/image" Target="media/image37.emf"/><Relationship Id="rId84" Type="http://schemas.openxmlformats.org/officeDocument/2006/relationships/oleObject" Target="embeddings/oleObject12.bin"/><Relationship Id="rId89" Type="http://schemas.openxmlformats.org/officeDocument/2006/relationships/image" Target="media/image53.wmf"/><Relationship Id="rId112" Type="http://schemas.openxmlformats.org/officeDocument/2006/relationships/footer" Target="footer6.xml"/><Relationship Id="rId133" Type="http://schemas.openxmlformats.org/officeDocument/2006/relationships/image" Target="media/image81.emf"/><Relationship Id="rId138" Type="http://schemas.openxmlformats.org/officeDocument/2006/relationships/image" Target="media/image86.emf"/><Relationship Id="rId16" Type="http://schemas.openxmlformats.org/officeDocument/2006/relationships/hyperlink" Target="http://creativecommons.org/licenses/by/3.0/au/legalcode" TargetMode="External"/><Relationship Id="rId107" Type="http://schemas.openxmlformats.org/officeDocument/2006/relationships/image" Target="media/image64.emf"/><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image" Target="media/image10.w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43.emf"/><Relationship Id="rId79" Type="http://schemas.openxmlformats.org/officeDocument/2006/relationships/image" Target="media/image48.wmf"/><Relationship Id="rId102" Type="http://schemas.openxmlformats.org/officeDocument/2006/relationships/oleObject" Target="embeddings/oleObject21.bin"/><Relationship Id="rId123" Type="http://schemas.openxmlformats.org/officeDocument/2006/relationships/image" Target="media/image72.emf"/><Relationship Id="rId128" Type="http://schemas.openxmlformats.org/officeDocument/2006/relationships/image" Target="media/image77.emf"/><Relationship Id="rId5" Type="http://schemas.openxmlformats.org/officeDocument/2006/relationships/settings" Target="settings.xml"/><Relationship Id="rId90" Type="http://schemas.openxmlformats.org/officeDocument/2006/relationships/oleObject" Target="embeddings/oleObject15.bin"/><Relationship Id="rId95" Type="http://schemas.openxmlformats.org/officeDocument/2006/relationships/image" Target="media/image56.wmf"/><Relationship Id="rId22" Type="http://schemas.openxmlformats.org/officeDocument/2006/relationships/header" Target="header5.xml"/><Relationship Id="rId27" Type="http://schemas.openxmlformats.org/officeDocument/2006/relationships/oleObject" Target="embeddings/oleObject1.bin"/><Relationship Id="rId43" Type="http://schemas.openxmlformats.org/officeDocument/2006/relationships/image" Target="media/image15.emf"/><Relationship Id="rId48" Type="http://schemas.openxmlformats.org/officeDocument/2006/relationships/image" Target="media/image20.wmf"/><Relationship Id="rId64" Type="http://schemas.openxmlformats.org/officeDocument/2006/relationships/oleObject" Target="embeddings/oleObject9.bin"/><Relationship Id="rId69" Type="http://schemas.openxmlformats.org/officeDocument/2006/relationships/image" Target="media/image38.emf"/><Relationship Id="rId113" Type="http://schemas.openxmlformats.org/officeDocument/2006/relationships/hyperlink" Target="http://www.law.upenn.edu/academics/institutes/tax/201112papers/Gravelle.pdf" TargetMode="External"/><Relationship Id="rId118" Type="http://schemas.openxmlformats.org/officeDocument/2006/relationships/image" Target="media/image67.emf"/><Relationship Id="rId134" Type="http://schemas.openxmlformats.org/officeDocument/2006/relationships/image" Target="media/image82.emf"/><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41.emf"/><Relationship Id="rId80" Type="http://schemas.openxmlformats.org/officeDocument/2006/relationships/oleObject" Target="embeddings/oleObject10.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19.bin"/><Relationship Id="rId121"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footer" Target="footer5.xml"/><Relationship Id="rId33" Type="http://schemas.openxmlformats.org/officeDocument/2006/relationships/image" Target="media/image8.wmf"/><Relationship Id="rId38" Type="http://schemas.openxmlformats.org/officeDocument/2006/relationships/oleObject" Target="embeddings/oleObject6.bin"/><Relationship Id="rId46" Type="http://schemas.openxmlformats.org/officeDocument/2006/relationships/image" Target="media/image18.emf"/><Relationship Id="rId59" Type="http://schemas.openxmlformats.org/officeDocument/2006/relationships/image" Target="media/image29.emf"/><Relationship Id="rId67" Type="http://schemas.openxmlformats.org/officeDocument/2006/relationships/image" Target="media/image36.emf"/><Relationship Id="rId103" Type="http://schemas.openxmlformats.org/officeDocument/2006/relationships/image" Target="media/image60.emf"/><Relationship Id="rId108" Type="http://schemas.openxmlformats.org/officeDocument/2006/relationships/image" Target="media/image65.emf"/><Relationship Id="rId116" Type="http://schemas.openxmlformats.org/officeDocument/2006/relationships/hyperlink" Target="http://www.independenteconomics.com.au/information/models/Independent%20CGE%20model%20Dec%202012.pdf" TargetMode="External"/><Relationship Id="rId124" Type="http://schemas.openxmlformats.org/officeDocument/2006/relationships/image" Target="media/image73.emf"/><Relationship Id="rId129" Type="http://schemas.openxmlformats.org/officeDocument/2006/relationships/image" Target="media/image78.emf"/><Relationship Id="rId137" Type="http://schemas.openxmlformats.org/officeDocument/2006/relationships/image" Target="media/image85.emf"/><Relationship Id="rId20" Type="http://schemas.openxmlformats.org/officeDocument/2006/relationships/hyperlink" Target="mailto:medialiaison@treasury.gov.au" TargetMode="External"/><Relationship Id="rId41" Type="http://schemas.openxmlformats.org/officeDocument/2006/relationships/image" Target="media/image13.emf"/><Relationship Id="rId54" Type="http://schemas.openxmlformats.org/officeDocument/2006/relationships/image" Target="media/image25.emf"/><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image" Target="media/image50.wmf"/><Relationship Id="rId88" Type="http://schemas.openxmlformats.org/officeDocument/2006/relationships/oleObject" Target="embeddings/oleObject14.bin"/><Relationship Id="rId91" Type="http://schemas.openxmlformats.org/officeDocument/2006/relationships/image" Target="media/image54.wmf"/><Relationship Id="rId96" Type="http://schemas.openxmlformats.org/officeDocument/2006/relationships/oleObject" Target="embeddings/oleObject18.bin"/><Relationship Id="rId111" Type="http://schemas.openxmlformats.org/officeDocument/2006/relationships/header" Target="header9.xml"/><Relationship Id="rId132" Type="http://schemas.openxmlformats.org/officeDocument/2006/relationships/oleObject" Target="embeddings/oleObject22.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au/deed.en" TargetMode="External"/><Relationship Id="rId23" Type="http://schemas.openxmlformats.org/officeDocument/2006/relationships/header" Target="header6.xml"/><Relationship Id="rId28" Type="http://schemas.openxmlformats.org/officeDocument/2006/relationships/image" Target="media/image5.wmf"/><Relationship Id="rId36" Type="http://schemas.openxmlformats.org/officeDocument/2006/relationships/oleObject" Target="embeddings/oleObject5.bin"/><Relationship Id="rId49" Type="http://schemas.openxmlformats.org/officeDocument/2006/relationships/oleObject" Target="embeddings/oleObject7.bin"/><Relationship Id="rId57" Type="http://schemas.openxmlformats.org/officeDocument/2006/relationships/oleObject" Target="embeddings/oleObject8.bin"/><Relationship Id="rId106" Type="http://schemas.openxmlformats.org/officeDocument/2006/relationships/image" Target="media/image63.emf"/><Relationship Id="rId114" Type="http://schemas.openxmlformats.org/officeDocument/2006/relationships/hyperlink" Target="http://www.nber.org/papers/w7034.pdf" TargetMode="External"/><Relationship Id="rId119" Type="http://schemas.openxmlformats.org/officeDocument/2006/relationships/image" Target="media/image68.emf"/><Relationship Id="rId127" Type="http://schemas.openxmlformats.org/officeDocument/2006/relationships/image" Target="media/image76.emf"/><Relationship Id="rId10" Type="http://schemas.openxmlformats.org/officeDocument/2006/relationships/header" Target="header2.xml"/><Relationship Id="rId31" Type="http://schemas.openxmlformats.org/officeDocument/2006/relationships/image" Target="media/image7.wmf"/><Relationship Id="rId44" Type="http://schemas.openxmlformats.org/officeDocument/2006/relationships/image" Target="media/image16.emf"/><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49.wmf"/><Relationship Id="rId86" Type="http://schemas.openxmlformats.org/officeDocument/2006/relationships/oleObject" Target="embeddings/oleObject13.bin"/><Relationship Id="rId94" Type="http://schemas.openxmlformats.org/officeDocument/2006/relationships/oleObject" Target="embeddings/oleObject17.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71.emf"/><Relationship Id="rId130" Type="http://schemas.openxmlformats.org/officeDocument/2006/relationships/image" Target="media/image79.emf"/><Relationship Id="rId135" Type="http://schemas.openxmlformats.org/officeDocument/2006/relationships/image" Target="media/image83.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39" Type="http://schemas.openxmlformats.org/officeDocument/2006/relationships/image" Target="media/image11.emf"/><Relationship Id="rId109" Type="http://schemas.openxmlformats.org/officeDocument/2006/relationships/header" Target="header7.xml"/><Relationship Id="rId34" Type="http://schemas.openxmlformats.org/officeDocument/2006/relationships/oleObject" Target="embeddings/oleObject4.bin"/><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5.emf"/><Relationship Id="rId97" Type="http://schemas.openxmlformats.org/officeDocument/2006/relationships/image" Target="media/image57.wmf"/><Relationship Id="rId104" Type="http://schemas.openxmlformats.org/officeDocument/2006/relationships/image" Target="media/image61.emf"/><Relationship Id="rId120" Type="http://schemas.openxmlformats.org/officeDocument/2006/relationships/image" Target="media/image69.emf"/><Relationship Id="rId125" Type="http://schemas.openxmlformats.org/officeDocument/2006/relationships/image" Target="media/image74.emf"/><Relationship Id="rId7" Type="http://schemas.openxmlformats.org/officeDocument/2006/relationships/footnotes" Target="footnotes.xml"/><Relationship Id="rId71" Type="http://schemas.openxmlformats.org/officeDocument/2006/relationships/image" Target="media/image40.emf"/><Relationship Id="rId92"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footer" Target="footer4.xml"/><Relationship Id="rId40" Type="http://schemas.openxmlformats.org/officeDocument/2006/relationships/image" Target="media/image12.emf"/><Relationship Id="rId45" Type="http://schemas.openxmlformats.org/officeDocument/2006/relationships/image" Target="media/image17.emf"/><Relationship Id="rId66" Type="http://schemas.openxmlformats.org/officeDocument/2006/relationships/image" Target="media/image35.emf"/><Relationship Id="rId87" Type="http://schemas.openxmlformats.org/officeDocument/2006/relationships/image" Target="media/image52.wmf"/><Relationship Id="rId110" Type="http://schemas.openxmlformats.org/officeDocument/2006/relationships/header" Target="header8.xml"/><Relationship Id="rId115" Type="http://schemas.openxmlformats.org/officeDocument/2006/relationships/hyperlink" Target="http://www.independenteconomics.com.au/information/models/Independent%20CGE%20model%20Dec%202012.pdf" TargetMode="External"/><Relationship Id="rId131" Type="http://schemas.openxmlformats.org/officeDocument/2006/relationships/image" Target="media/image80.wmf"/><Relationship Id="rId136" Type="http://schemas.openxmlformats.org/officeDocument/2006/relationships/image" Target="media/image84.emf"/><Relationship Id="rId61" Type="http://schemas.openxmlformats.org/officeDocument/2006/relationships/image" Target="media/image31.emf"/><Relationship Id="rId82" Type="http://schemas.openxmlformats.org/officeDocument/2006/relationships/oleObject" Target="embeddings/oleObject11.bin"/><Relationship Id="rId19" Type="http://schemas.openxmlformats.org/officeDocument/2006/relationships/hyperlink" Target="http://www.itsanhonour.gov.au" TargetMode="External"/><Relationship Id="rId14" Type="http://schemas.openxmlformats.org/officeDocument/2006/relationships/footer" Target="footer3.xml"/><Relationship Id="rId30" Type="http://schemas.openxmlformats.org/officeDocument/2006/relationships/image" Target="media/image6.emf"/><Relationship Id="rId35" Type="http://schemas.openxmlformats.org/officeDocument/2006/relationships/image" Target="media/image9.wmf"/><Relationship Id="rId56" Type="http://schemas.openxmlformats.org/officeDocument/2006/relationships/image" Target="media/image27.wmf"/><Relationship Id="rId77" Type="http://schemas.openxmlformats.org/officeDocument/2006/relationships/image" Target="media/image46.emf"/><Relationship Id="rId100" Type="http://schemas.openxmlformats.org/officeDocument/2006/relationships/oleObject" Target="embeddings/oleObject20.bin"/><Relationship Id="rId105" Type="http://schemas.openxmlformats.org/officeDocument/2006/relationships/image" Target="media/image62.emf"/><Relationship Id="rId126" Type="http://schemas.openxmlformats.org/officeDocument/2006/relationships/image" Target="media/image75.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udget Blue">
  <a:themeElements>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4C7DD-9A3F-48C7-AA92-E4BF6F4A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21012</Words>
  <Characters>119769</Characters>
  <Application>Microsoft Office Word</Application>
  <DocSecurity>0</DocSecurity>
  <Lines>998</Lines>
  <Paragraphs>280</Paragraphs>
  <ScaleCrop>false</ScaleCrop>
  <HeadingPairs>
    <vt:vector size="2" baseType="variant">
      <vt:variant>
        <vt:lpstr>Title</vt:lpstr>
      </vt:variant>
      <vt:variant>
        <vt:i4>1</vt:i4>
      </vt:variant>
    </vt:vector>
  </HeadingPairs>
  <TitlesOfParts>
    <vt:vector size="1" baseType="lpstr">
      <vt:lpstr>Understanding the economy‑wide efficiency and incidence of major Australian taxes</vt:lpstr>
    </vt:vector>
  </TitlesOfParts>
  <Company/>
  <LinksUpToDate>false</LinksUpToDate>
  <CharactersWithSpaces>140501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economy‑wide efficiency and incidence of major Australian taxes</dc:title>
  <dc:subject>Working Paper 2015–01</dc:subject>
  <dc:creator/>
  <cp:keywords/>
  <cp:lastModifiedBy/>
  <cp:revision>1</cp:revision>
  <dcterms:created xsi:type="dcterms:W3CDTF">2015-04-07T00:42:00Z</dcterms:created>
  <dcterms:modified xsi:type="dcterms:W3CDTF">2015-04-07T00:42:00Z</dcterms:modified>
</cp:coreProperties>
</file>