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8BC71" w14:textId="77777777" w:rsidR="009136F7" w:rsidRPr="00477DED" w:rsidRDefault="009136F7" w:rsidP="00477DED">
      <w:pPr>
        <w:pStyle w:val="Figuregraphic"/>
        <w:spacing w:after="0" w:line="240" w:lineRule="auto"/>
        <w:rPr>
          <w:sz w:val="2"/>
          <w:szCs w:val="2"/>
        </w:rPr>
      </w:pPr>
      <w:bookmarkStart w:id="0" w:name="_Toc321133389"/>
      <w:bookmarkStart w:id="1" w:name="_Toc321134068"/>
      <w:bookmarkStart w:id="2" w:name="_Toc321134165"/>
      <w:bookmarkStart w:id="3" w:name="_Toc405808758"/>
      <w:bookmarkStart w:id="4" w:name="_Toc406155128"/>
      <w:bookmarkStart w:id="5" w:name="_Toc406424581"/>
      <w:bookmarkStart w:id="6" w:name="_Toc408413459"/>
      <w:bookmarkStart w:id="7" w:name="_Toc408414173"/>
      <w:bookmarkStart w:id="8" w:name="_Toc409191080"/>
      <w:bookmarkStart w:id="9" w:name="_Toc409618513"/>
      <w:bookmarkStart w:id="10" w:name="_Toc409630044"/>
      <w:bookmarkStart w:id="11" w:name="_Toc410229536"/>
      <w:bookmarkStart w:id="12" w:name="_Toc410302171"/>
      <w:r w:rsidRPr="00477DED">
        <w:rPr>
          <w:noProof/>
          <w:sz w:val="2"/>
          <w:szCs w:val="2"/>
        </w:rPr>
        <w:drawing>
          <wp:anchor distT="0" distB="0" distL="114300" distR="114300" simplePos="0" relativeHeight="251658241" behindDoc="0" locked="0" layoutInCell="1" allowOverlap="1" wp14:anchorId="2AF91278" wp14:editId="30465B3D">
            <wp:simplePos x="0" y="0"/>
            <wp:positionH relativeFrom="margin">
              <wp:posOffset>2105660</wp:posOffset>
            </wp:positionH>
            <wp:positionV relativeFrom="paragraph">
              <wp:posOffset>-3590925</wp:posOffset>
            </wp:positionV>
            <wp:extent cx="1572260" cy="97218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reasury_stack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972185"/>
                    </a:xfrm>
                    <a:prstGeom prst="rect">
                      <a:avLst/>
                    </a:prstGeom>
                  </pic:spPr>
                </pic:pic>
              </a:graphicData>
            </a:graphic>
            <wp14:sizeRelH relativeFrom="page">
              <wp14:pctWidth>0</wp14:pctWidth>
            </wp14:sizeRelH>
            <wp14:sizeRelV relativeFrom="page">
              <wp14:pctHeight>0</wp14:pctHeight>
            </wp14:sizeRelV>
          </wp:anchor>
        </w:drawing>
      </w:r>
    </w:p>
    <w:p w14:paraId="36523BA1" w14:textId="77777777" w:rsidR="00D85D73" w:rsidRPr="00477DED" w:rsidRDefault="00D85D73" w:rsidP="00477DED">
      <w:pPr>
        <w:pStyle w:val="CoverTitleMain"/>
      </w:pPr>
      <w:bookmarkStart w:id="13" w:name="_GoBack"/>
      <w:r w:rsidRPr="00477DED">
        <w:t>Terrorism Insurance Act</w:t>
      </w:r>
      <w:bookmarkEnd w:id="0"/>
      <w:bookmarkEnd w:id="1"/>
      <w:bookmarkEnd w:id="2"/>
      <w:bookmarkEnd w:id="3"/>
      <w:bookmarkEnd w:id="4"/>
      <w:bookmarkEnd w:id="5"/>
      <w:bookmarkEnd w:id="6"/>
      <w:bookmarkEnd w:id="7"/>
      <w:bookmarkEnd w:id="8"/>
      <w:bookmarkEnd w:id="9"/>
      <w:bookmarkEnd w:id="10"/>
      <w:bookmarkEnd w:id="11"/>
      <w:bookmarkEnd w:id="12"/>
    </w:p>
    <w:p w14:paraId="0BC65DA4" w14:textId="73946931" w:rsidR="00D85D73" w:rsidRDefault="00D85D73" w:rsidP="00477DED">
      <w:pPr>
        <w:pStyle w:val="CoverTitleSub"/>
      </w:pPr>
      <w:bookmarkStart w:id="14" w:name="_Toc321133390"/>
      <w:bookmarkStart w:id="15" w:name="_Toc321134069"/>
      <w:bookmarkStart w:id="16" w:name="_Toc321134166"/>
      <w:bookmarkStart w:id="17" w:name="_Toc405808759"/>
      <w:bookmarkStart w:id="18" w:name="_Toc406155129"/>
      <w:bookmarkStart w:id="19" w:name="_Toc406424582"/>
      <w:bookmarkStart w:id="20" w:name="_Toc408413460"/>
      <w:bookmarkStart w:id="21" w:name="_Toc408414174"/>
      <w:bookmarkStart w:id="22" w:name="_Toc409191081"/>
      <w:bookmarkStart w:id="23" w:name="_Toc409618514"/>
      <w:bookmarkStart w:id="24" w:name="_Toc409630045"/>
      <w:bookmarkStart w:id="25" w:name="_Toc410229537"/>
      <w:bookmarkStart w:id="26" w:name="_Toc410302172"/>
      <w:bookmarkEnd w:id="13"/>
      <w:r w:rsidRPr="00082936">
        <w:t>Review: 201</w:t>
      </w:r>
      <w:bookmarkEnd w:id="14"/>
      <w:bookmarkEnd w:id="15"/>
      <w:bookmarkEnd w:id="16"/>
      <w:r w:rsidRPr="00082936">
        <w:t>5</w:t>
      </w:r>
      <w:bookmarkEnd w:id="17"/>
      <w:bookmarkEnd w:id="18"/>
      <w:bookmarkEnd w:id="19"/>
      <w:bookmarkEnd w:id="20"/>
      <w:bookmarkEnd w:id="21"/>
      <w:bookmarkEnd w:id="22"/>
      <w:bookmarkEnd w:id="23"/>
      <w:bookmarkEnd w:id="24"/>
      <w:bookmarkEnd w:id="25"/>
      <w:bookmarkEnd w:id="26"/>
    </w:p>
    <w:p w14:paraId="5403215D" w14:textId="77777777" w:rsidR="00D85D73" w:rsidRDefault="00D85D73" w:rsidP="00477DED">
      <w:pPr>
        <w:pStyle w:val="CoverTitleSub"/>
        <w:sectPr w:rsidR="00D85D73" w:rsidSect="00FC1F7A">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9" w:footer="709" w:gutter="0"/>
          <w:pgNumType w:fmt="lowerRoman" w:start="1"/>
          <w:cols w:space="708"/>
          <w:vAlign w:val="center"/>
          <w:titlePg/>
          <w:docGrid w:linePitch="360"/>
        </w:sectPr>
      </w:pPr>
    </w:p>
    <w:p w14:paraId="1723BCE3" w14:textId="77777777" w:rsidR="00843828" w:rsidRPr="00843828" w:rsidRDefault="00843828" w:rsidP="00843828">
      <w:pPr>
        <w:rPr>
          <w:rFonts w:eastAsia="Calibri"/>
        </w:rPr>
      </w:pPr>
      <w:r w:rsidRPr="00843828">
        <w:rPr>
          <w:rFonts w:eastAsia="Calibri"/>
        </w:rPr>
        <w:lastRenderedPageBreak/>
        <w:t>© Commonwealth of Australia 2015</w:t>
      </w:r>
    </w:p>
    <w:p w14:paraId="51120A9C" w14:textId="77777777" w:rsidR="00843828" w:rsidRPr="00843828" w:rsidRDefault="00843828" w:rsidP="00843828">
      <w:pPr>
        <w:rPr>
          <w:rFonts w:eastAsia="Calibri"/>
        </w:rPr>
      </w:pPr>
      <w:r w:rsidRPr="00843828">
        <w:rPr>
          <w:rFonts w:eastAsia="Calibri"/>
        </w:rPr>
        <w:t>ISBN 978</w:t>
      </w:r>
      <w:r w:rsidR="008A07A0">
        <w:rPr>
          <w:rFonts w:eastAsia="Calibri"/>
        </w:rPr>
        <w:noBreakHyphen/>
      </w:r>
      <w:r w:rsidRPr="00843828">
        <w:rPr>
          <w:rFonts w:eastAsia="Calibri"/>
        </w:rPr>
        <w:t>1</w:t>
      </w:r>
      <w:r w:rsidR="008A07A0">
        <w:rPr>
          <w:rFonts w:eastAsia="Calibri"/>
        </w:rPr>
        <w:noBreakHyphen/>
      </w:r>
      <w:r w:rsidRPr="00843828">
        <w:rPr>
          <w:rFonts w:eastAsia="Calibri"/>
        </w:rPr>
        <w:t>925220</w:t>
      </w:r>
      <w:r w:rsidR="008A07A0">
        <w:rPr>
          <w:rFonts w:eastAsia="Calibri"/>
        </w:rPr>
        <w:noBreakHyphen/>
      </w:r>
      <w:r w:rsidRPr="00843828">
        <w:rPr>
          <w:rFonts w:eastAsia="Calibri"/>
        </w:rPr>
        <w:t>35</w:t>
      </w:r>
      <w:r w:rsidR="008A07A0">
        <w:rPr>
          <w:rFonts w:eastAsia="Calibri"/>
        </w:rPr>
        <w:noBreakHyphen/>
      </w:r>
      <w:r w:rsidRPr="00843828">
        <w:rPr>
          <w:rFonts w:eastAsia="Calibri"/>
        </w:rPr>
        <w:t>3</w:t>
      </w:r>
    </w:p>
    <w:p w14:paraId="3C2DDAB7" w14:textId="77777777" w:rsidR="00843828" w:rsidRPr="00843828" w:rsidRDefault="00843828" w:rsidP="00843828">
      <w:pPr>
        <w:rPr>
          <w:rFonts w:eastAsia="Calibri"/>
        </w:rPr>
      </w:pPr>
      <w:r w:rsidRPr="00843828">
        <w:rPr>
          <w:rFonts w:eastAsia="Calibri"/>
        </w:rPr>
        <w:t xml:space="preserve">This publication is available for your use under a </w:t>
      </w:r>
      <w:hyperlink r:id="rId16" w:history="1">
        <w:r w:rsidRPr="00843828">
          <w:rPr>
            <w:rStyle w:val="Hyperlink"/>
            <w:rFonts w:eastAsia="Calibri"/>
          </w:rPr>
          <w:t>Creative Commons BY Attribution 3.0 Australia</w:t>
        </w:r>
      </w:hyperlink>
      <w:r w:rsidRPr="00843828">
        <w:rPr>
          <w:rFonts w:eastAsia="Calibri"/>
        </w:rPr>
        <w:t xml:space="preserve"> licence, with the exception of the Commonwealth Coat of Arms, the Treasury logo, photographs, images, signatures and where otherwise stated. The full licence terms are available from </w:t>
      </w:r>
      <w:hyperlink r:id="rId17" w:history="1">
        <w:r w:rsidRPr="00843828">
          <w:rPr>
            <w:rStyle w:val="Hyperlink"/>
            <w:rFonts w:eastAsia="Calibri"/>
          </w:rPr>
          <w:t>http://creativecommons.org/licenses/by/3.0/au/legalcode</w:t>
        </w:r>
      </w:hyperlink>
      <w:r w:rsidRPr="00843828">
        <w:rPr>
          <w:rFonts w:eastAsia="Calibri"/>
        </w:rPr>
        <w:t>.</w:t>
      </w:r>
    </w:p>
    <w:p w14:paraId="462C625E" w14:textId="77777777" w:rsidR="00843828" w:rsidRPr="00843828" w:rsidRDefault="00843828" w:rsidP="00843828">
      <w:pPr>
        <w:tabs>
          <w:tab w:val="left" w:pos="1650"/>
        </w:tabs>
        <w:spacing w:before="100" w:beforeAutospacing="1" w:after="100" w:afterAutospacing="1" w:line="276" w:lineRule="auto"/>
        <w:jc w:val="left"/>
        <w:rPr>
          <w:rFonts w:eastAsia="Calibri" w:cs="Calibri"/>
          <w:sz w:val="24"/>
          <w:szCs w:val="24"/>
          <w:lang w:eastAsia="en-US"/>
        </w:rPr>
      </w:pPr>
      <w:r>
        <w:rPr>
          <w:rFonts w:eastAsia="Calibri" w:cs="Calibri"/>
          <w:noProof/>
          <w:sz w:val="24"/>
          <w:szCs w:val="24"/>
        </w:rPr>
        <w:drawing>
          <wp:inline distT="0" distB="0" distL="0" distR="0" wp14:anchorId="1626FE3E" wp14:editId="70F44425">
            <wp:extent cx="814070" cy="283210"/>
            <wp:effectExtent l="0" t="0" r="5080" b="2540"/>
            <wp:docPr id="3" name="Picture 3"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070" cy="283210"/>
                    </a:xfrm>
                    <a:prstGeom prst="rect">
                      <a:avLst/>
                    </a:prstGeom>
                    <a:noFill/>
                    <a:ln>
                      <a:noFill/>
                    </a:ln>
                  </pic:spPr>
                </pic:pic>
              </a:graphicData>
            </a:graphic>
          </wp:inline>
        </w:drawing>
      </w:r>
    </w:p>
    <w:p w14:paraId="2FC6795B" w14:textId="77777777" w:rsidR="00843828" w:rsidRPr="00843828" w:rsidRDefault="00843828" w:rsidP="00843828">
      <w:pPr>
        <w:rPr>
          <w:rFonts w:eastAsia="Calibri"/>
        </w:rPr>
      </w:pPr>
      <w:r w:rsidRPr="00843828">
        <w:rPr>
          <w:rFonts w:eastAsia="Calibri"/>
        </w:rPr>
        <w:t xml:space="preserve">Use of Treasury material under a </w:t>
      </w:r>
      <w:hyperlink r:id="rId19" w:history="1">
        <w:r w:rsidRPr="00843828">
          <w:rPr>
            <w:rStyle w:val="Hyperlink"/>
            <w:rFonts w:eastAsia="Calibri"/>
          </w:rPr>
          <w:t>Creative Commons BY Attribution 3.0 Australia</w:t>
        </w:r>
      </w:hyperlink>
      <w:r w:rsidRPr="00843828">
        <w:rPr>
          <w:rFonts w:eastAsia="Calibri"/>
        </w:rPr>
        <w:t xml:space="preserve"> licence requires you to attribute the work (but not in any way that suggests that the Treasury endorses you or your use of the work).</w:t>
      </w:r>
    </w:p>
    <w:p w14:paraId="6C2A5D4A" w14:textId="77777777" w:rsidR="00843828" w:rsidRPr="00843828" w:rsidRDefault="00843828" w:rsidP="00843828">
      <w:pPr>
        <w:spacing w:after="200" w:line="276" w:lineRule="auto"/>
        <w:ind w:firstLine="720"/>
        <w:jc w:val="left"/>
        <w:rPr>
          <w:rFonts w:eastAsia="Calibri"/>
          <w:i/>
          <w:color w:val="auto"/>
          <w:szCs w:val="22"/>
          <w:lang w:eastAsia="en-US"/>
        </w:rPr>
      </w:pPr>
      <w:proofErr w:type="gramStart"/>
      <w:r w:rsidRPr="00843828">
        <w:rPr>
          <w:rFonts w:eastAsia="Calibri"/>
          <w:i/>
          <w:color w:val="auto"/>
          <w:szCs w:val="22"/>
          <w:lang w:eastAsia="en-US"/>
        </w:rPr>
        <w:t xml:space="preserve">Treasury material used </w:t>
      </w:r>
      <w:r w:rsidR="008A07A0">
        <w:rPr>
          <w:rFonts w:eastAsia="Calibri"/>
          <w:i/>
          <w:color w:val="auto"/>
          <w:szCs w:val="22"/>
          <w:lang w:eastAsia="en-US"/>
        </w:rPr>
        <w:t>‘</w:t>
      </w:r>
      <w:r w:rsidRPr="00843828">
        <w:rPr>
          <w:rFonts w:eastAsia="Calibri"/>
          <w:i/>
          <w:color w:val="auto"/>
          <w:szCs w:val="22"/>
          <w:lang w:eastAsia="en-US"/>
        </w:rPr>
        <w:t>as supplied</w:t>
      </w:r>
      <w:r w:rsidR="008A07A0">
        <w:rPr>
          <w:rFonts w:eastAsia="Calibri"/>
          <w:i/>
          <w:color w:val="auto"/>
          <w:szCs w:val="22"/>
          <w:lang w:eastAsia="en-US"/>
        </w:rPr>
        <w:t>’</w:t>
      </w:r>
      <w:r w:rsidRPr="00843828">
        <w:rPr>
          <w:rFonts w:eastAsia="Calibri"/>
          <w:i/>
          <w:color w:val="auto"/>
          <w:szCs w:val="22"/>
          <w:lang w:eastAsia="en-US"/>
        </w:rPr>
        <w:t>.</w:t>
      </w:r>
      <w:proofErr w:type="gramEnd"/>
    </w:p>
    <w:p w14:paraId="3049D9CB" w14:textId="77777777" w:rsidR="00843828" w:rsidRPr="00843828" w:rsidRDefault="00843828" w:rsidP="00843828">
      <w:pPr>
        <w:rPr>
          <w:rFonts w:eastAsia="Calibri"/>
        </w:rPr>
      </w:pPr>
      <w:r w:rsidRPr="00843828">
        <w:rPr>
          <w:rFonts w:eastAsia="Calibri"/>
        </w:rPr>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1C35089B" w14:textId="77777777" w:rsidR="00843828" w:rsidRPr="00843828" w:rsidRDefault="00843828" w:rsidP="00843828">
      <w:pPr>
        <w:spacing w:after="200" w:line="276" w:lineRule="auto"/>
        <w:ind w:firstLine="720"/>
        <w:jc w:val="left"/>
        <w:rPr>
          <w:rFonts w:eastAsia="Calibri"/>
          <w:color w:val="auto"/>
          <w:szCs w:val="22"/>
          <w:lang w:eastAsia="en-US"/>
        </w:rPr>
      </w:pPr>
      <w:r w:rsidRPr="00843828">
        <w:rPr>
          <w:rFonts w:eastAsia="Calibri"/>
          <w:i/>
          <w:color w:val="auto"/>
          <w:szCs w:val="22"/>
          <w:lang w:eastAsia="en-US"/>
        </w:rPr>
        <w:t xml:space="preserve">Source: The </w:t>
      </w:r>
      <w:r w:rsidRPr="00843828">
        <w:rPr>
          <w:rFonts w:eastAsia="Calibri"/>
          <w:i/>
          <w:iCs/>
          <w:color w:val="auto"/>
          <w:szCs w:val="22"/>
          <w:lang w:eastAsia="en-US"/>
        </w:rPr>
        <w:t>Australian Government the Treasury</w:t>
      </w:r>
      <w:r>
        <w:rPr>
          <w:rFonts w:eastAsia="Calibri"/>
          <w:i/>
          <w:iCs/>
          <w:color w:val="auto"/>
          <w:szCs w:val="22"/>
          <w:lang w:eastAsia="en-US"/>
        </w:rPr>
        <w:t>.</w:t>
      </w:r>
    </w:p>
    <w:p w14:paraId="3997DD34" w14:textId="77777777" w:rsidR="00843828" w:rsidRPr="00843828" w:rsidRDefault="00843828" w:rsidP="00843828">
      <w:pPr>
        <w:spacing w:after="200" w:line="276" w:lineRule="auto"/>
        <w:jc w:val="left"/>
        <w:rPr>
          <w:rFonts w:eastAsia="Calibri"/>
          <w:b/>
          <w:color w:val="auto"/>
          <w:szCs w:val="22"/>
          <w:lang w:eastAsia="en-US"/>
        </w:rPr>
      </w:pPr>
      <w:r w:rsidRPr="00843828">
        <w:rPr>
          <w:rFonts w:eastAsia="Calibri"/>
          <w:b/>
          <w:color w:val="auto"/>
          <w:szCs w:val="22"/>
          <w:lang w:eastAsia="en-US"/>
        </w:rPr>
        <w:t>Derivative material</w:t>
      </w:r>
    </w:p>
    <w:p w14:paraId="120DE4E4" w14:textId="77777777" w:rsidR="00843828" w:rsidRPr="00843828" w:rsidRDefault="00843828" w:rsidP="00843828">
      <w:pPr>
        <w:rPr>
          <w:rFonts w:eastAsia="Calibri"/>
        </w:rPr>
      </w:pPr>
      <w:r w:rsidRPr="00843828">
        <w:rPr>
          <w:rFonts w:eastAsia="Calibri"/>
        </w:rPr>
        <w:t>If you have modified or transformed Treasury material, or derived new material from those of the Treasury in any way, then Treasury prefers the following attribution:</w:t>
      </w:r>
    </w:p>
    <w:p w14:paraId="3A12BFDE" w14:textId="77777777" w:rsidR="00843828" w:rsidRPr="00843828" w:rsidRDefault="00843828" w:rsidP="00843828">
      <w:pPr>
        <w:spacing w:after="200" w:line="276" w:lineRule="auto"/>
        <w:ind w:firstLine="720"/>
        <w:jc w:val="left"/>
        <w:rPr>
          <w:rFonts w:eastAsia="Calibri"/>
          <w:color w:val="auto"/>
          <w:szCs w:val="22"/>
          <w:lang w:eastAsia="en-US"/>
        </w:rPr>
      </w:pPr>
      <w:proofErr w:type="gramStart"/>
      <w:r w:rsidRPr="00843828">
        <w:rPr>
          <w:rFonts w:eastAsia="Calibri"/>
          <w:i/>
          <w:color w:val="auto"/>
          <w:szCs w:val="22"/>
          <w:lang w:eastAsia="en-US"/>
        </w:rPr>
        <w:t>Based on The Australian Government the Treasury data</w:t>
      </w:r>
      <w:r>
        <w:rPr>
          <w:rFonts w:eastAsia="Calibri"/>
          <w:i/>
          <w:color w:val="auto"/>
          <w:szCs w:val="22"/>
          <w:lang w:eastAsia="en-US"/>
        </w:rPr>
        <w:t>.</w:t>
      </w:r>
      <w:proofErr w:type="gramEnd"/>
    </w:p>
    <w:p w14:paraId="7C577499" w14:textId="77777777" w:rsidR="00843828" w:rsidRPr="00843828" w:rsidRDefault="00843828" w:rsidP="00843828">
      <w:pPr>
        <w:spacing w:after="40" w:line="276" w:lineRule="auto"/>
        <w:jc w:val="left"/>
        <w:rPr>
          <w:rFonts w:eastAsia="Calibri"/>
          <w:b/>
          <w:color w:val="auto"/>
          <w:szCs w:val="22"/>
          <w:lang w:eastAsia="en-US"/>
        </w:rPr>
      </w:pPr>
      <w:r w:rsidRPr="00843828">
        <w:rPr>
          <w:rFonts w:eastAsia="Calibri"/>
          <w:b/>
          <w:color w:val="auto"/>
          <w:szCs w:val="22"/>
          <w:lang w:eastAsia="en-US"/>
        </w:rPr>
        <w:t>Use of the Coat of Arms</w:t>
      </w:r>
    </w:p>
    <w:p w14:paraId="42210054" w14:textId="77777777" w:rsidR="00843828" w:rsidRPr="00843828" w:rsidRDefault="00843828" w:rsidP="00843828">
      <w:pPr>
        <w:rPr>
          <w:rFonts w:eastAsia="Calibri"/>
        </w:rPr>
      </w:pPr>
      <w:r w:rsidRPr="00843828">
        <w:rPr>
          <w:rFonts w:eastAsia="Calibri"/>
        </w:rPr>
        <w:t>The terms under which the Coat of Arms can be used are set out on the It</w:t>
      </w:r>
      <w:r w:rsidR="008A07A0">
        <w:rPr>
          <w:rFonts w:eastAsia="Calibri"/>
        </w:rPr>
        <w:t>’</w:t>
      </w:r>
      <w:r w:rsidRPr="00843828">
        <w:rPr>
          <w:rFonts w:eastAsia="Calibri"/>
        </w:rPr>
        <w:t>s an Honour website (see </w:t>
      </w:r>
      <w:hyperlink r:id="rId20" w:history="1">
        <w:r w:rsidRPr="00843828">
          <w:rPr>
            <w:rStyle w:val="Hyperlink"/>
            <w:rFonts w:eastAsia="Calibri"/>
          </w:rPr>
          <w:t>www.itsanhonour.gov.au</w:t>
        </w:r>
      </w:hyperlink>
      <w:r w:rsidRPr="00843828">
        <w:rPr>
          <w:rFonts w:eastAsia="Calibri"/>
        </w:rPr>
        <w:t>).</w:t>
      </w:r>
    </w:p>
    <w:p w14:paraId="07165BD4" w14:textId="77777777" w:rsidR="00843828" w:rsidRPr="00843828" w:rsidRDefault="00843828" w:rsidP="00843828">
      <w:pPr>
        <w:spacing w:after="40" w:line="276" w:lineRule="auto"/>
        <w:jc w:val="left"/>
        <w:rPr>
          <w:rFonts w:eastAsia="Calibri"/>
          <w:b/>
          <w:color w:val="auto"/>
          <w:szCs w:val="22"/>
          <w:lang w:eastAsia="en-US"/>
        </w:rPr>
      </w:pPr>
      <w:r w:rsidRPr="00843828">
        <w:rPr>
          <w:rFonts w:eastAsia="Calibri"/>
          <w:b/>
          <w:color w:val="auto"/>
          <w:szCs w:val="22"/>
          <w:lang w:eastAsia="en-US"/>
        </w:rPr>
        <w:t>Other Uses</w:t>
      </w:r>
    </w:p>
    <w:p w14:paraId="7FCD882A" w14:textId="77777777" w:rsidR="00843828" w:rsidRPr="00843828" w:rsidRDefault="00843828" w:rsidP="00843828">
      <w:pPr>
        <w:rPr>
          <w:rFonts w:eastAsia="Calibri"/>
        </w:rPr>
      </w:pPr>
      <w:r w:rsidRPr="00843828">
        <w:rPr>
          <w:rFonts w:eastAsia="Calibri"/>
        </w:rPr>
        <w:t>Inquiries regarding this licence and any other use of this document are welcome at:</w:t>
      </w:r>
    </w:p>
    <w:p w14:paraId="0AED9D49"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Manager</w:t>
      </w:r>
    </w:p>
    <w:p w14:paraId="58B7ADE5"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Communications</w:t>
      </w:r>
    </w:p>
    <w:p w14:paraId="199702C2"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The Treasury</w:t>
      </w:r>
    </w:p>
    <w:p w14:paraId="51519AC7"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 xml:space="preserve">Langton Crescent </w:t>
      </w:r>
      <w:proofErr w:type="spellStart"/>
      <w:r w:rsidRPr="00843828">
        <w:rPr>
          <w:rFonts w:eastAsia="Calibri"/>
          <w:color w:val="auto"/>
          <w:szCs w:val="22"/>
          <w:lang w:eastAsia="en-US"/>
        </w:rPr>
        <w:t>Parkes</w:t>
      </w:r>
      <w:proofErr w:type="spellEnd"/>
      <w:proofErr w:type="gramStart"/>
      <w:r w:rsidRPr="00843828">
        <w:rPr>
          <w:rFonts w:eastAsia="Calibri"/>
          <w:color w:val="auto"/>
          <w:szCs w:val="22"/>
          <w:lang w:eastAsia="en-US"/>
        </w:rPr>
        <w:t>  ACT</w:t>
      </w:r>
      <w:proofErr w:type="gramEnd"/>
      <w:r w:rsidRPr="00843828">
        <w:rPr>
          <w:rFonts w:eastAsia="Calibri"/>
          <w:color w:val="auto"/>
          <w:szCs w:val="22"/>
          <w:lang w:eastAsia="en-US"/>
        </w:rPr>
        <w:t>  2600</w:t>
      </w:r>
    </w:p>
    <w:p w14:paraId="42AB9704" w14:textId="77777777" w:rsidR="00843828" w:rsidRPr="00843828" w:rsidRDefault="00843828" w:rsidP="00843828">
      <w:pPr>
        <w:spacing w:after="0" w:line="276" w:lineRule="auto"/>
        <w:ind w:left="720"/>
        <w:jc w:val="left"/>
        <w:rPr>
          <w:rFonts w:eastAsia="Calibri"/>
          <w:color w:val="auto"/>
          <w:szCs w:val="22"/>
          <w:lang w:eastAsia="en-US"/>
        </w:rPr>
      </w:pPr>
      <w:r w:rsidRPr="00843828">
        <w:rPr>
          <w:rFonts w:eastAsia="Calibri"/>
          <w:color w:val="auto"/>
          <w:szCs w:val="22"/>
          <w:lang w:eastAsia="en-US"/>
        </w:rPr>
        <w:t xml:space="preserve">Email: </w:t>
      </w:r>
      <w:hyperlink r:id="rId21" w:history="1">
        <w:r w:rsidRPr="00843828">
          <w:rPr>
            <w:rFonts w:eastAsia="Calibri"/>
            <w:color w:val="auto"/>
            <w:szCs w:val="22"/>
            <w:lang w:eastAsia="en-US"/>
          </w:rPr>
          <w:t>medialiaison@treasury.gov.au</w:t>
        </w:r>
      </w:hyperlink>
    </w:p>
    <w:p w14:paraId="01F1ED9A" w14:textId="77777777" w:rsidR="000C5EE4" w:rsidRDefault="000C5EE4" w:rsidP="00082936">
      <w:pPr>
        <w:shd w:val="clear" w:color="auto" w:fill="FFFFFF"/>
        <w:rPr>
          <w:rFonts w:cstheme="minorHAnsi"/>
        </w:rPr>
        <w:sectPr w:rsidR="000C5EE4" w:rsidSect="009A5D17">
          <w:footerReference w:type="first" r:id="rId22"/>
          <w:pgSz w:w="11906" w:h="16838" w:code="9"/>
          <w:pgMar w:top="1440" w:right="1440" w:bottom="1440" w:left="1440" w:header="709" w:footer="709" w:gutter="0"/>
          <w:cols w:space="708"/>
          <w:titlePg/>
          <w:docGrid w:linePitch="360"/>
        </w:sectPr>
      </w:pPr>
    </w:p>
    <w:p w14:paraId="2AA02A67" w14:textId="77777777" w:rsidR="00D85D73" w:rsidRPr="00082936" w:rsidRDefault="00D85D73" w:rsidP="00082936">
      <w:pPr>
        <w:pStyle w:val="ContentsHeading"/>
        <w:rPr>
          <w:b/>
        </w:rPr>
      </w:pPr>
      <w:bookmarkStart w:id="27" w:name="_Toc321133391"/>
      <w:bookmarkStart w:id="28" w:name="_Toc321134070"/>
      <w:bookmarkStart w:id="29" w:name="_Toc321134167"/>
      <w:bookmarkStart w:id="30" w:name="_Toc405808760"/>
      <w:bookmarkStart w:id="31" w:name="_Toc406155130"/>
      <w:bookmarkStart w:id="32" w:name="_Toc406424583"/>
      <w:bookmarkStart w:id="33" w:name="_Toc408413461"/>
      <w:bookmarkStart w:id="34" w:name="_Toc408414175"/>
      <w:bookmarkStart w:id="35" w:name="_Toc409191082"/>
      <w:bookmarkStart w:id="36" w:name="_Toc409618515"/>
      <w:bookmarkStart w:id="37" w:name="_Toc409630046"/>
      <w:bookmarkStart w:id="38" w:name="_Toc410229538"/>
      <w:bookmarkStart w:id="39" w:name="_Toc410302173"/>
      <w:r w:rsidRPr="00082936">
        <w:rPr>
          <w:b/>
        </w:rPr>
        <w:lastRenderedPageBreak/>
        <w:t>Contents</w:t>
      </w:r>
      <w:bookmarkEnd w:id="27"/>
      <w:bookmarkEnd w:id="28"/>
      <w:bookmarkEnd w:id="29"/>
      <w:bookmarkEnd w:id="30"/>
      <w:bookmarkEnd w:id="31"/>
      <w:bookmarkEnd w:id="32"/>
      <w:bookmarkEnd w:id="33"/>
      <w:bookmarkEnd w:id="34"/>
      <w:bookmarkEnd w:id="35"/>
      <w:bookmarkEnd w:id="36"/>
      <w:bookmarkEnd w:id="37"/>
      <w:bookmarkEnd w:id="38"/>
      <w:bookmarkEnd w:id="39"/>
    </w:p>
    <w:p w14:paraId="4F981560" w14:textId="44288610" w:rsidR="00340A45" w:rsidRDefault="00951A43">
      <w:pPr>
        <w:pStyle w:val="TOC1"/>
        <w:rPr>
          <w:rFonts w:asciiTheme="minorHAnsi" w:eastAsiaTheme="minorEastAsia" w:hAnsiTheme="minorHAnsi" w:cstheme="minorBidi"/>
          <w:b w:val="0"/>
          <w:smallCaps w:val="0"/>
          <w:noProof/>
          <w:color w:val="auto"/>
        </w:rPr>
      </w:pPr>
      <w:r>
        <w:rPr>
          <w:rFonts w:asciiTheme="majorHAnsi" w:hAnsiTheme="majorHAnsi"/>
          <w:b w:val="0"/>
          <w:smallCaps w:val="0"/>
          <w:color w:val="4F81BD" w:themeColor="accent1"/>
        </w:rPr>
        <w:fldChar w:fldCharType="begin"/>
      </w:r>
      <w:r>
        <w:rPr>
          <w:rFonts w:asciiTheme="majorHAnsi" w:hAnsiTheme="majorHAnsi"/>
          <w:b w:val="0"/>
          <w:smallCaps w:val="0"/>
          <w:color w:val="4F81BD" w:themeColor="accent1"/>
        </w:rPr>
        <w:instrText xml:space="preserve"> TOC \o "1-2" \u </w:instrText>
      </w:r>
      <w:r>
        <w:rPr>
          <w:rFonts w:asciiTheme="majorHAnsi" w:hAnsiTheme="majorHAnsi"/>
          <w:b w:val="0"/>
          <w:smallCaps w:val="0"/>
          <w:color w:val="4F81BD" w:themeColor="accent1"/>
        </w:rPr>
        <w:fldChar w:fldCharType="separate"/>
      </w:r>
      <w:r w:rsidR="00340A45">
        <w:rPr>
          <w:noProof/>
        </w:rPr>
        <w:t>List of Acronyms and Abbreviations</w:t>
      </w:r>
      <w:r w:rsidR="00340A45">
        <w:rPr>
          <w:noProof/>
        </w:rPr>
        <w:tab/>
      </w:r>
    </w:p>
    <w:p w14:paraId="1878D9D2" w14:textId="77777777" w:rsidR="00340A45" w:rsidRDefault="00340A45">
      <w:pPr>
        <w:pStyle w:val="TOC1"/>
        <w:rPr>
          <w:rFonts w:asciiTheme="minorHAnsi" w:eastAsiaTheme="minorEastAsia" w:hAnsiTheme="minorHAnsi" w:cstheme="minorBidi"/>
          <w:b w:val="0"/>
          <w:smallCaps w:val="0"/>
          <w:noProof/>
          <w:color w:val="auto"/>
        </w:rPr>
      </w:pPr>
      <w:r>
        <w:rPr>
          <w:noProof/>
        </w:rPr>
        <w:t>Executive Summary</w:t>
      </w:r>
      <w:r>
        <w:rPr>
          <w:noProof/>
        </w:rPr>
        <w:tab/>
      </w:r>
      <w:r>
        <w:rPr>
          <w:noProof/>
        </w:rPr>
        <w:fldChar w:fldCharType="begin"/>
      </w:r>
      <w:r>
        <w:rPr>
          <w:noProof/>
        </w:rPr>
        <w:instrText xml:space="preserve"> PAGEREF _Toc437877547 \h </w:instrText>
      </w:r>
      <w:r>
        <w:rPr>
          <w:noProof/>
        </w:rPr>
      </w:r>
      <w:r>
        <w:rPr>
          <w:noProof/>
        </w:rPr>
        <w:fldChar w:fldCharType="separate"/>
      </w:r>
      <w:r w:rsidR="008479D3">
        <w:rPr>
          <w:noProof/>
        </w:rPr>
        <w:t>1</w:t>
      </w:r>
      <w:r>
        <w:rPr>
          <w:noProof/>
        </w:rPr>
        <w:fldChar w:fldCharType="end"/>
      </w:r>
    </w:p>
    <w:p w14:paraId="6F490DE0" w14:textId="77777777" w:rsidR="00340A45" w:rsidRDefault="00340A45">
      <w:pPr>
        <w:pStyle w:val="TOC2"/>
        <w:rPr>
          <w:rFonts w:asciiTheme="minorHAnsi" w:eastAsiaTheme="minorEastAsia" w:hAnsiTheme="minorHAnsi" w:cstheme="minorBidi"/>
          <w:noProof/>
          <w:color w:val="auto"/>
          <w:sz w:val="22"/>
          <w:szCs w:val="22"/>
        </w:rPr>
      </w:pPr>
      <w:r>
        <w:rPr>
          <w:noProof/>
        </w:rPr>
        <w:t>Australia’s Terrorism Insurance Scheme</w:t>
      </w:r>
      <w:r>
        <w:rPr>
          <w:noProof/>
        </w:rPr>
        <w:tab/>
      </w:r>
      <w:r>
        <w:rPr>
          <w:noProof/>
        </w:rPr>
        <w:fldChar w:fldCharType="begin"/>
      </w:r>
      <w:r>
        <w:rPr>
          <w:noProof/>
        </w:rPr>
        <w:instrText xml:space="preserve"> PAGEREF _Toc437877548 \h </w:instrText>
      </w:r>
      <w:r>
        <w:rPr>
          <w:noProof/>
        </w:rPr>
      </w:r>
      <w:r>
        <w:rPr>
          <w:noProof/>
        </w:rPr>
        <w:fldChar w:fldCharType="separate"/>
      </w:r>
      <w:r w:rsidR="008479D3">
        <w:rPr>
          <w:noProof/>
        </w:rPr>
        <w:t>1</w:t>
      </w:r>
      <w:r>
        <w:rPr>
          <w:noProof/>
        </w:rPr>
        <w:fldChar w:fldCharType="end"/>
      </w:r>
    </w:p>
    <w:p w14:paraId="60A63A3E" w14:textId="77777777" w:rsidR="00340A45" w:rsidRDefault="00340A45">
      <w:pPr>
        <w:pStyle w:val="TOC1"/>
        <w:rPr>
          <w:rFonts w:asciiTheme="minorHAnsi" w:eastAsiaTheme="minorEastAsia" w:hAnsiTheme="minorHAnsi" w:cstheme="minorBidi"/>
          <w:b w:val="0"/>
          <w:smallCaps w:val="0"/>
          <w:noProof/>
          <w:color w:val="auto"/>
        </w:rPr>
      </w:pPr>
      <w:r>
        <w:rPr>
          <w:noProof/>
        </w:rPr>
        <w:t>Chapter 1:  Introduction</w:t>
      </w:r>
      <w:r>
        <w:rPr>
          <w:noProof/>
        </w:rPr>
        <w:tab/>
      </w:r>
      <w:r>
        <w:rPr>
          <w:noProof/>
        </w:rPr>
        <w:fldChar w:fldCharType="begin"/>
      </w:r>
      <w:r>
        <w:rPr>
          <w:noProof/>
        </w:rPr>
        <w:instrText xml:space="preserve"> PAGEREF _Toc437877549 \h </w:instrText>
      </w:r>
      <w:r>
        <w:rPr>
          <w:noProof/>
        </w:rPr>
      </w:r>
      <w:r>
        <w:rPr>
          <w:noProof/>
        </w:rPr>
        <w:fldChar w:fldCharType="separate"/>
      </w:r>
      <w:r w:rsidR="008479D3">
        <w:rPr>
          <w:noProof/>
        </w:rPr>
        <w:t>5</w:t>
      </w:r>
      <w:r>
        <w:rPr>
          <w:noProof/>
        </w:rPr>
        <w:fldChar w:fldCharType="end"/>
      </w:r>
    </w:p>
    <w:p w14:paraId="64153DB4" w14:textId="77777777" w:rsidR="00340A45" w:rsidRDefault="00340A45">
      <w:pPr>
        <w:pStyle w:val="TOC2"/>
        <w:rPr>
          <w:rFonts w:asciiTheme="minorHAnsi" w:eastAsiaTheme="minorEastAsia" w:hAnsiTheme="minorHAnsi" w:cstheme="minorBidi"/>
          <w:noProof/>
          <w:color w:val="auto"/>
          <w:sz w:val="22"/>
          <w:szCs w:val="22"/>
        </w:rPr>
      </w:pPr>
      <w:r>
        <w:rPr>
          <w:noProof/>
        </w:rPr>
        <w:t>Rationale of the scheme</w:t>
      </w:r>
      <w:r>
        <w:rPr>
          <w:noProof/>
        </w:rPr>
        <w:tab/>
      </w:r>
      <w:r>
        <w:rPr>
          <w:noProof/>
        </w:rPr>
        <w:fldChar w:fldCharType="begin"/>
      </w:r>
      <w:r>
        <w:rPr>
          <w:noProof/>
        </w:rPr>
        <w:instrText xml:space="preserve"> PAGEREF _Toc437877550 \h </w:instrText>
      </w:r>
      <w:r>
        <w:rPr>
          <w:noProof/>
        </w:rPr>
      </w:r>
      <w:r>
        <w:rPr>
          <w:noProof/>
        </w:rPr>
        <w:fldChar w:fldCharType="separate"/>
      </w:r>
      <w:r w:rsidR="008479D3">
        <w:rPr>
          <w:noProof/>
        </w:rPr>
        <w:t>5</w:t>
      </w:r>
      <w:r>
        <w:rPr>
          <w:noProof/>
        </w:rPr>
        <w:fldChar w:fldCharType="end"/>
      </w:r>
    </w:p>
    <w:p w14:paraId="1DED12C9" w14:textId="77777777" w:rsidR="00340A45" w:rsidRDefault="00340A45">
      <w:pPr>
        <w:pStyle w:val="TOC1"/>
        <w:rPr>
          <w:rFonts w:asciiTheme="minorHAnsi" w:eastAsiaTheme="minorEastAsia" w:hAnsiTheme="minorHAnsi" w:cstheme="minorBidi"/>
          <w:b w:val="0"/>
          <w:smallCaps w:val="0"/>
          <w:noProof/>
          <w:color w:val="auto"/>
        </w:rPr>
      </w:pPr>
      <w:r>
        <w:rPr>
          <w:noProof/>
        </w:rPr>
        <w:t>Chapter 2:  Continuation of the act</w:t>
      </w:r>
      <w:r>
        <w:rPr>
          <w:noProof/>
        </w:rPr>
        <w:tab/>
      </w:r>
      <w:r>
        <w:rPr>
          <w:noProof/>
        </w:rPr>
        <w:fldChar w:fldCharType="begin"/>
      </w:r>
      <w:r>
        <w:rPr>
          <w:noProof/>
        </w:rPr>
        <w:instrText xml:space="preserve"> PAGEREF _Toc437877551 \h </w:instrText>
      </w:r>
      <w:r>
        <w:rPr>
          <w:noProof/>
        </w:rPr>
      </w:r>
      <w:r>
        <w:rPr>
          <w:noProof/>
        </w:rPr>
        <w:fldChar w:fldCharType="separate"/>
      </w:r>
      <w:r w:rsidR="008479D3">
        <w:rPr>
          <w:noProof/>
        </w:rPr>
        <w:t>9</w:t>
      </w:r>
      <w:r>
        <w:rPr>
          <w:noProof/>
        </w:rPr>
        <w:fldChar w:fldCharType="end"/>
      </w:r>
    </w:p>
    <w:p w14:paraId="2AF66E2E" w14:textId="77777777" w:rsidR="00340A45" w:rsidRDefault="00340A45">
      <w:pPr>
        <w:pStyle w:val="TOC2"/>
        <w:rPr>
          <w:rFonts w:asciiTheme="minorHAnsi" w:eastAsiaTheme="minorEastAsia" w:hAnsiTheme="minorHAnsi" w:cstheme="minorBidi"/>
          <w:noProof/>
          <w:color w:val="auto"/>
          <w:sz w:val="22"/>
          <w:szCs w:val="22"/>
        </w:rPr>
      </w:pPr>
      <w:r>
        <w:rPr>
          <w:noProof/>
        </w:rPr>
        <w:t>Issue</w:t>
      </w:r>
      <w:r>
        <w:rPr>
          <w:noProof/>
        </w:rPr>
        <w:tab/>
      </w:r>
      <w:r>
        <w:rPr>
          <w:noProof/>
        </w:rPr>
        <w:fldChar w:fldCharType="begin"/>
      </w:r>
      <w:r>
        <w:rPr>
          <w:noProof/>
        </w:rPr>
        <w:instrText xml:space="preserve"> PAGEREF _Toc437877552 \h </w:instrText>
      </w:r>
      <w:r>
        <w:rPr>
          <w:noProof/>
        </w:rPr>
      </w:r>
      <w:r>
        <w:rPr>
          <w:noProof/>
        </w:rPr>
        <w:fldChar w:fldCharType="separate"/>
      </w:r>
      <w:r w:rsidR="008479D3">
        <w:rPr>
          <w:noProof/>
        </w:rPr>
        <w:t>9</w:t>
      </w:r>
      <w:r>
        <w:rPr>
          <w:noProof/>
        </w:rPr>
        <w:fldChar w:fldCharType="end"/>
      </w:r>
    </w:p>
    <w:p w14:paraId="4AEDA74A" w14:textId="77777777" w:rsidR="00340A45" w:rsidRDefault="00340A45">
      <w:pPr>
        <w:pStyle w:val="TOC2"/>
        <w:rPr>
          <w:rFonts w:asciiTheme="minorHAnsi" w:eastAsiaTheme="minorEastAsia" w:hAnsiTheme="minorHAnsi" w:cstheme="minorBidi"/>
          <w:noProof/>
          <w:color w:val="auto"/>
          <w:sz w:val="22"/>
          <w:szCs w:val="22"/>
        </w:rPr>
      </w:pPr>
      <w:r>
        <w:rPr>
          <w:noProof/>
        </w:rPr>
        <w:t>Recommendation</w:t>
      </w:r>
      <w:r>
        <w:rPr>
          <w:noProof/>
        </w:rPr>
        <w:tab/>
      </w:r>
      <w:r>
        <w:rPr>
          <w:noProof/>
        </w:rPr>
        <w:fldChar w:fldCharType="begin"/>
      </w:r>
      <w:r>
        <w:rPr>
          <w:noProof/>
        </w:rPr>
        <w:instrText xml:space="preserve"> PAGEREF _Toc437877553 \h </w:instrText>
      </w:r>
      <w:r>
        <w:rPr>
          <w:noProof/>
        </w:rPr>
      </w:r>
      <w:r>
        <w:rPr>
          <w:noProof/>
        </w:rPr>
        <w:fldChar w:fldCharType="separate"/>
      </w:r>
      <w:r w:rsidR="008479D3">
        <w:rPr>
          <w:noProof/>
        </w:rPr>
        <w:t>9</w:t>
      </w:r>
      <w:r>
        <w:rPr>
          <w:noProof/>
        </w:rPr>
        <w:fldChar w:fldCharType="end"/>
      </w:r>
    </w:p>
    <w:p w14:paraId="1A378DCA" w14:textId="77777777" w:rsidR="00340A45" w:rsidRDefault="00340A45">
      <w:pPr>
        <w:pStyle w:val="TOC2"/>
        <w:rPr>
          <w:rFonts w:asciiTheme="minorHAnsi" w:eastAsiaTheme="minorEastAsia" w:hAnsiTheme="minorHAnsi" w:cstheme="minorBidi"/>
          <w:noProof/>
          <w:color w:val="auto"/>
          <w:sz w:val="22"/>
          <w:szCs w:val="22"/>
        </w:rPr>
      </w:pPr>
      <w:r>
        <w:rPr>
          <w:noProof/>
        </w:rPr>
        <w:t>Assessment</w:t>
      </w:r>
      <w:r>
        <w:rPr>
          <w:noProof/>
        </w:rPr>
        <w:tab/>
      </w:r>
      <w:r>
        <w:rPr>
          <w:noProof/>
        </w:rPr>
        <w:fldChar w:fldCharType="begin"/>
      </w:r>
      <w:r>
        <w:rPr>
          <w:noProof/>
        </w:rPr>
        <w:instrText xml:space="preserve"> PAGEREF _Toc437877554 \h </w:instrText>
      </w:r>
      <w:r>
        <w:rPr>
          <w:noProof/>
        </w:rPr>
      </w:r>
      <w:r>
        <w:rPr>
          <w:noProof/>
        </w:rPr>
        <w:fldChar w:fldCharType="separate"/>
      </w:r>
      <w:r w:rsidR="008479D3">
        <w:rPr>
          <w:noProof/>
        </w:rPr>
        <w:t>9</w:t>
      </w:r>
      <w:r>
        <w:rPr>
          <w:noProof/>
        </w:rPr>
        <w:fldChar w:fldCharType="end"/>
      </w:r>
    </w:p>
    <w:p w14:paraId="604731EF" w14:textId="77777777" w:rsidR="00340A45" w:rsidRDefault="00340A45">
      <w:pPr>
        <w:pStyle w:val="TOC1"/>
        <w:rPr>
          <w:rFonts w:asciiTheme="minorHAnsi" w:eastAsiaTheme="minorEastAsia" w:hAnsiTheme="minorHAnsi" w:cstheme="minorBidi"/>
          <w:b w:val="0"/>
          <w:smallCaps w:val="0"/>
          <w:noProof/>
          <w:color w:val="auto"/>
        </w:rPr>
      </w:pPr>
      <w:r>
        <w:rPr>
          <w:noProof/>
        </w:rPr>
        <w:t>Chapter 3:  Ownership structure of the ARPC</w:t>
      </w:r>
      <w:r>
        <w:rPr>
          <w:noProof/>
        </w:rPr>
        <w:tab/>
      </w:r>
      <w:r>
        <w:rPr>
          <w:noProof/>
        </w:rPr>
        <w:fldChar w:fldCharType="begin"/>
      </w:r>
      <w:r>
        <w:rPr>
          <w:noProof/>
        </w:rPr>
        <w:instrText xml:space="preserve"> PAGEREF _Toc437877555 \h </w:instrText>
      </w:r>
      <w:r>
        <w:rPr>
          <w:noProof/>
        </w:rPr>
      </w:r>
      <w:r>
        <w:rPr>
          <w:noProof/>
        </w:rPr>
        <w:fldChar w:fldCharType="separate"/>
      </w:r>
      <w:r w:rsidR="008479D3">
        <w:rPr>
          <w:noProof/>
        </w:rPr>
        <w:t>13</w:t>
      </w:r>
      <w:r>
        <w:rPr>
          <w:noProof/>
        </w:rPr>
        <w:fldChar w:fldCharType="end"/>
      </w:r>
    </w:p>
    <w:p w14:paraId="26537677" w14:textId="77777777" w:rsidR="00340A45" w:rsidRDefault="00340A45">
      <w:pPr>
        <w:pStyle w:val="TOC2"/>
        <w:rPr>
          <w:rFonts w:asciiTheme="minorHAnsi" w:eastAsiaTheme="minorEastAsia" w:hAnsiTheme="minorHAnsi" w:cstheme="minorBidi"/>
          <w:noProof/>
          <w:color w:val="auto"/>
          <w:sz w:val="22"/>
          <w:szCs w:val="22"/>
        </w:rPr>
      </w:pPr>
      <w:r>
        <w:rPr>
          <w:noProof/>
        </w:rPr>
        <w:t>Issue</w:t>
      </w:r>
      <w:r>
        <w:rPr>
          <w:noProof/>
        </w:rPr>
        <w:tab/>
      </w:r>
      <w:r>
        <w:rPr>
          <w:noProof/>
        </w:rPr>
        <w:fldChar w:fldCharType="begin"/>
      </w:r>
      <w:r>
        <w:rPr>
          <w:noProof/>
        </w:rPr>
        <w:instrText xml:space="preserve"> PAGEREF _Toc437877556 \h </w:instrText>
      </w:r>
      <w:r>
        <w:rPr>
          <w:noProof/>
        </w:rPr>
      </w:r>
      <w:r>
        <w:rPr>
          <w:noProof/>
        </w:rPr>
        <w:fldChar w:fldCharType="separate"/>
      </w:r>
      <w:r w:rsidR="008479D3">
        <w:rPr>
          <w:noProof/>
        </w:rPr>
        <w:t>13</w:t>
      </w:r>
      <w:r>
        <w:rPr>
          <w:noProof/>
        </w:rPr>
        <w:fldChar w:fldCharType="end"/>
      </w:r>
    </w:p>
    <w:p w14:paraId="6AF4887F" w14:textId="77777777" w:rsidR="00340A45" w:rsidRDefault="00340A45">
      <w:pPr>
        <w:pStyle w:val="TOC2"/>
        <w:rPr>
          <w:rFonts w:asciiTheme="minorHAnsi" w:eastAsiaTheme="minorEastAsia" w:hAnsiTheme="minorHAnsi" w:cstheme="minorBidi"/>
          <w:noProof/>
          <w:color w:val="auto"/>
          <w:sz w:val="22"/>
          <w:szCs w:val="22"/>
        </w:rPr>
      </w:pPr>
      <w:r>
        <w:rPr>
          <w:noProof/>
        </w:rPr>
        <w:t>Recommendation</w:t>
      </w:r>
      <w:r>
        <w:rPr>
          <w:noProof/>
        </w:rPr>
        <w:tab/>
      </w:r>
      <w:r>
        <w:rPr>
          <w:noProof/>
        </w:rPr>
        <w:fldChar w:fldCharType="begin"/>
      </w:r>
      <w:r>
        <w:rPr>
          <w:noProof/>
        </w:rPr>
        <w:instrText xml:space="preserve"> PAGEREF _Toc437877557 \h </w:instrText>
      </w:r>
      <w:r>
        <w:rPr>
          <w:noProof/>
        </w:rPr>
      </w:r>
      <w:r>
        <w:rPr>
          <w:noProof/>
        </w:rPr>
        <w:fldChar w:fldCharType="separate"/>
      </w:r>
      <w:r w:rsidR="008479D3">
        <w:rPr>
          <w:noProof/>
        </w:rPr>
        <w:t>13</w:t>
      </w:r>
      <w:r>
        <w:rPr>
          <w:noProof/>
        </w:rPr>
        <w:fldChar w:fldCharType="end"/>
      </w:r>
    </w:p>
    <w:p w14:paraId="4225651A" w14:textId="77777777" w:rsidR="00340A45" w:rsidRDefault="00340A45">
      <w:pPr>
        <w:pStyle w:val="TOC2"/>
        <w:rPr>
          <w:rFonts w:asciiTheme="minorHAnsi" w:eastAsiaTheme="minorEastAsia" w:hAnsiTheme="minorHAnsi" w:cstheme="minorBidi"/>
          <w:noProof/>
          <w:color w:val="auto"/>
          <w:sz w:val="22"/>
          <w:szCs w:val="22"/>
        </w:rPr>
      </w:pPr>
      <w:r>
        <w:rPr>
          <w:noProof/>
        </w:rPr>
        <w:t>Assessment</w:t>
      </w:r>
      <w:r>
        <w:rPr>
          <w:noProof/>
        </w:rPr>
        <w:tab/>
      </w:r>
      <w:r>
        <w:rPr>
          <w:noProof/>
        </w:rPr>
        <w:fldChar w:fldCharType="begin"/>
      </w:r>
      <w:r>
        <w:rPr>
          <w:noProof/>
        </w:rPr>
        <w:instrText xml:space="preserve"> PAGEREF _Toc437877558 \h </w:instrText>
      </w:r>
      <w:r>
        <w:rPr>
          <w:noProof/>
        </w:rPr>
      </w:r>
      <w:r>
        <w:rPr>
          <w:noProof/>
        </w:rPr>
        <w:fldChar w:fldCharType="separate"/>
      </w:r>
      <w:r w:rsidR="008479D3">
        <w:rPr>
          <w:noProof/>
        </w:rPr>
        <w:t>13</w:t>
      </w:r>
      <w:r>
        <w:rPr>
          <w:noProof/>
        </w:rPr>
        <w:fldChar w:fldCharType="end"/>
      </w:r>
    </w:p>
    <w:p w14:paraId="2FA45EC1" w14:textId="77777777" w:rsidR="00340A45" w:rsidRDefault="00340A45">
      <w:pPr>
        <w:pStyle w:val="TOC1"/>
        <w:rPr>
          <w:rFonts w:asciiTheme="minorHAnsi" w:eastAsiaTheme="minorEastAsia" w:hAnsiTheme="minorHAnsi" w:cstheme="minorBidi"/>
          <w:b w:val="0"/>
          <w:smallCaps w:val="0"/>
          <w:noProof/>
          <w:color w:val="auto"/>
        </w:rPr>
      </w:pPr>
      <w:r>
        <w:rPr>
          <w:noProof/>
        </w:rPr>
        <w:t>Chapter 4:  Ensuring Financial Sustainability of the Scheme</w:t>
      </w:r>
      <w:r>
        <w:rPr>
          <w:noProof/>
        </w:rPr>
        <w:tab/>
      </w:r>
      <w:r>
        <w:rPr>
          <w:noProof/>
        </w:rPr>
        <w:fldChar w:fldCharType="begin"/>
      </w:r>
      <w:r>
        <w:rPr>
          <w:noProof/>
        </w:rPr>
        <w:instrText xml:space="preserve"> PAGEREF _Toc437877559 \h </w:instrText>
      </w:r>
      <w:r>
        <w:rPr>
          <w:noProof/>
        </w:rPr>
      </w:r>
      <w:r>
        <w:rPr>
          <w:noProof/>
        </w:rPr>
        <w:fldChar w:fldCharType="separate"/>
      </w:r>
      <w:r w:rsidR="008479D3">
        <w:rPr>
          <w:noProof/>
        </w:rPr>
        <w:t>17</w:t>
      </w:r>
      <w:r>
        <w:rPr>
          <w:noProof/>
        </w:rPr>
        <w:fldChar w:fldCharType="end"/>
      </w:r>
    </w:p>
    <w:p w14:paraId="4FD3D074" w14:textId="77777777" w:rsidR="00340A45" w:rsidRDefault="00340A45">
      <w:pPr>
        <w:pStyle w:val="TOC2"/>
        <w:rPr>
          <w:rFonts w:asciiTheme="minorHAnsi" w:eastAsiaTheme="minorEastAsia" w:hAnsiTheme="minorHAnsi" w:cstheme="minorBidi"/>
          <w:noProof/>
          <w:color w:val="auto"/>
          <w:sz w:val="22"/>
          <w:szCs w:val="22"/>
        </w:rPr>
      </w:pPr>
      <w:r>
        <w:rPr>
          <w:noProof/>
        </w:rPr>
        <w:t>Industry retentions</w:t>
      </w:r>
      <w:r>
        <w:rPr>
          <w:noProof/>
        </w:rPr>
        <w:tab/>
      </w:r>
      <w:r>
        <w:rPr>
          <w:noProof/>
        </w:rPr>
        <w:fldChar w:fldCharType="begin"/>
      </w:r>
      <w:r>
        <w:rPr>
          <w:noProof/>
        </w:rPr>
        <w:instrText xml:space="preserve"> PAGEREF _Toc437877560 \h </w:instrText>
      </w:r>
      <w:r>
        <w:rPr>
          <w:noProof/>
        </w:rPr>
      </w:r>
      <w:r>
        <w:rPr>
          <w:noProof/>
        </w:rPr>
        <w:fldChar w:fldCharType="separate"/>
      </w:r>
      <w:r w:rsidR="008479D3">
        <w:rPr>
          <w:noProof/>
        </w:rPr>
        <w:t>17</w:t>
      </w:r>
      <w:r>
        <w:rPr>
          <w:noProof/>
        </w:rPr>
        <w:fldChar w:fldCharType="end"/>
      </w:r>
    </w:p>
    <w:p w14:paraId="0BF0D0C7" w14:textId="77777777" w:rsidR="00340A45" w:rsidRDefault="00340A45">
      <w:pPr>
        <w:pStyle w:val="TOC2"/>
        <w:rPr>
          <w:rFonts w:asciiTheme="minorHAnsi" w:eastAsiaTheme="minorEastAsia" w:hAnsiTheme="minorHAnsi" w:cstheme="minorBidi"/>
          <w:noProof/>
          <w:color w:val="auto"/>
          <w:sz w:val="22"/>
          <w:szCs w:val="22"/>
        </w:rPr>
      </w:pPr>
      <w:r>
        <w:rPr>
          <w:noProof/>
        </w:rPr>
        <w:t>Continuation of Retrocession Program</w:t>
      </w:r>
      <w:r>
        <w:rPr>
          <w:noProof/>
        </w:rPr>
        <w:tab/>
      </w:r>
      <w:r>
        <w:rPr>
          <w:noProof/>
        </w:rPr>
        <w:fldChar w:fldCharType="begin"/>
      </w:r>
      <w:r>
        <w:rPr>
          <w:noProof/>
        </w:rPr>
        <w:instrText xml:space="preserve"> PAGEREF _Toc437877561 \h </w:instrText>
      </w:r>
      <w:r>
        <w:rPr>
          <w:noProof/>
        </w:rPr>
      </w:r>
      <w:r>
        <w:rPr>
          <w:noProof/>
        </w:rPr>
        <w:fldChar w:fldCharType="separate"/>
      </w:r>
      <w:r w:rsidR="008479D3">
        <w:rPr>
          <w:noProof/>
        </w:rPr>
        <w:t>18</w:t>
      </w:r>
      <w:r>
        <w:rPr>
          <w:noProof/>
        </w:rPr>
        <w:fldChar w:fldCharType="end"/>
      </w:r>
    </w:p>
    <w:p w14:paraId="30862594" w14:textId="77777777" w:rsidR="00340A45" w:rsidRDefault="00340A45">
      <w:pPr>
        <w:pStyle w:val="TOC2"/>
        <w:rPr>
          <w:rFonts w:asciiTheme="minorHAnsi" w:eastAsiaTheme="minorEastAsia" w:hAnsiTheme="minorHAnsi" w:cstheme="minorBidi"/>
          <w:noProof/>
          <w:color w:val="auto"/>
          <w:sz w:val="22"/>
          <w:szCs w:val="22"/>
        </w:rPr>
      </w:pPr>
      <w:r>
        <w:rPr>
          <w:noProof/>
        </w:rPr>
        <w:t>Compensation to government</w:t>
      </w:r>
      <w:r>
        <w:rPr>
          <w:noProof/>
        </w:rPr>
        <w:tab/>
      </w:r>
      <w:r>
        <w:rPr>
          <w:noProof/>
        </w:rPr>
        <w:fldChar w:fldCharType="begin"/>
      </w:r>
      <w:r>
        <w:rPr>
          <w:noProof/>
        </w:rPr>
        <w:instrText xml:space="preserve"> PAGEREF _Toc437877562 \h </w:instrText>
      </w:r>
      <w:r>
        <w:rPr>
          <w:noProof/>
        </w:rPr>
      </w:r>
      <w:r>
        <w:rPr>
          <w:noProof/>
        </w:rPr>
        <w:fldChar w:fldCharType="separate"/>
      </w:r>
      <w:r w:rsidR="008479D3">
        <w:rPr>
          <w:noProof/>
        </w:rPr>
        <w:t>19</w:t>
      </w:r>
      <w:r>
        <w:rPr>
          <w:noProof/>
        </w:rPr>
        <w:fldChar w:fldCharType="end"/>
      </w:r>
    </w:p>
    <w:p w14:paraId="255C7CF4" w14:textId="77777777" w:rsidR="00340A45" w:rsidRDefault="00340A45">
      <w:pPr>
        <w:pStyle w:val="TOC2"/>
        <w:rPr>
          <w:rFonts w:asciiTheme="minorHAnsi" w:eastAsiaTheme="minorEastAsia" w:hAnsiTheme="minorHAnsi" w:cstheme="minorBidi"/>
          <w:noProof/>
          <w:color w:val="auto"/>
          <w:sz w:val="22"/>
          <w:szCs w:val="22"/>
        </w:rPr>
      </w:pPr>
      <w:r>
        <w:rPr>
          <w:noProof/>
        </w:rPr>
        <w:t>Premium pricing</w:t>
      </w:r>
      <w:r>
        <w:rPr>
          <w:noProof/>
        </w:rPr>
        <w:tab/>
      </w:r>
      <w:r>
        <w:rPr>
          <w:noProof/>
        </w:rPr>
        <w:fldChar w:fldCharType="begin"/>
      </w:r>
      <w:r>
        <w:rPr>
          <w:noProof/>
        </w:rPr>
        <w:instrText xml:space="preserve"> PAGEREF _Toc437877563 \h </w:instrText>
      </w:r>
      <w:r>
        <w:rPr>
          <w:noProof/>
        </w:rPr>
      </w:r>
      <w:r>
        <w:rPr>
          <w:noProof/>
        </w:rPr>
        <w:fldChar w:fldCharType="separate"/>
      </w:r>
      <w:r w:rsidR="008479D3">
        <w:rPr>
          <w:noProof/>
        </w:rPr>
        <w:t>22</w:t>
      </w:r>
      <w:r>
        <w:rPr>
          <w:noProof/>
        </w:rPr>
        <w:fldChar w:fldCharType="end"/>
      </w:r>
    </w:p>
    <w:p w14:paraId="68325C7A" w14:textId="77777777" w:rsidR="00340A45" w:rsidRDefault="00340A45">
      <w:pPr>
        <w:pStyle w:val="TOC1"/>
        <w:rPr>
          <w:rFonts w:asciiTheme="minorHAnsi" w:eastAsiaTheme="minorEastAsia" w:hAnsiTheme="minorHAnsi" w:cstheme="minorBidi"/>
          <w:b w:val="0"/>
          <w:smallCaps w:val="0"/>
          <w:noProof/>
          <w:color w:val="auto"/>
        </w:rPr>
      </w:pPr>
      <w:r>
        <w:rPr>
          <w:noProof/>
        </w:rPr>
        <w:t>Chapter 5:  Clarifying the coverage of the scheme</w:t>
      </w:r>
      <w:r>
        <w:rPr>
          <w:noProof/>
        </w:rPr>
        <w:tab/>
      </w:r>
      <w:r>
        <w:rPr>
          <w:noProof/>
        </w:rPr>
        <w:fldChar w:fldCharType="begin"/>
      </w:r>
      <w:r>
        <w:rPr>
          <w:noProof/>
        </w:rPr>
        <w:instrText xml:space="preserve"> PAGEREF _Toc437877564 \h </w:instrText>
      </w:r>
      <w:r>
        <w:rPr>
          <w:noProof/>
        </w:rPr>
      </w:r>
      <w:r>
        <w:rPr>
          <w:noProof/>
        </w:rPr>
        <w:fldChar w:fldCharType="separate"/>
      </w:r>
      <w:r w:rsidR="008479D3">
        <w:rPr>
          <w:noProof/>
        </w:rPr>
        <w:t>25</w:t>
      </w:r>
      <w:r>
        <w:rPr>
          <w:noProof/>
        </w:rPr>
        <w:fldChar w:fldCharType="end"/>
      </w:r>
    </w:p>
    <w:p w14:paraId="6F12AB3B" w14:textId="77777777" w:rsidR="00340A45" w:rsidRDefault="00340A45">
      <w:pPr>
        <w:pStyle w:val="TOC2"/>
        <w:rPr>
          <w:rFonts w:asciiTheme="minorHAnsi" w:eastAsiaTheme="minorEastAsia" w:hAnsiTheme="minorHAnsi" w:cstheme="minorBidi"/>
          <w:noProof/>
          <w:color w:val="auto"/>
          <w:sz w:val="22"/>
          <w:szCs w:val="22"/>
        </w:rPr>
      </w:pPr>
      <w:r>
        <w:rPr>
          <w:noProof/>
        </w:rPr>
        <w:t>Mixed</w:t>
      </w:r>
      <w:r>
        <w:rPr>
          <w:noProof/>
        </w:rPr>
        <w:noBreakHyphen/>
        <w:t>use and high</w:t>
      </w:r>
      <w:r>
        <w:rPr>
          <w:noProof/>
        </w:rPr>
        <w:noBreakHyphen/>
        <w:t>rise residential building cover</w:t>
      </w:r>
      <w:r>
        <w:rPr>
          <w:noProof/>
        </w:rPr>
        <w:tab/>
      </w:r>
      <w:r>
        <w:rPr>
          <w:noProof/>
        </w:rPr>
        <w:fldChar w:fldCharType="begin"/>
      </w:r>
      <w:r>
        <w:rPr>
          <w:noProof/>
        </w:rPr>
        <w:instrText xml:space="preserve"> PAGEREF _Toc437877565 \h </w:instrText>
      </w:r>
      <w:r>
        <w:rPr>
          <w:noProof/>
        </w:rPr>
      </w:r>
      <w:r>
        <w:rPr>
          <w:noProof/>
        </w:rPr>
        <w:fldChar w:fldCharType="separate"/>
      </w:r>
      <w:r w:rsidR="008479D3">
        <w:rPr>
          <w:noProof/>
        </w:rPr>
        <w:t>25</w:t>
      </w:r>
      <w:r>
        <w:rPr>
          <w:noProof/>
        </w:rPr>
        <w:fldChar w:fldCharType="end"/>
      </w:r>
    </w:p>
    <w:p w14:paraId="3A3FDA63" w14:textId="77777777" w:rsidR="00340A45" w:rsidRDefault="00340A45">
      <w:pPr>
        <w:pStyle w:val="TOC2"/>
        <w:rPr>
          <w:rFonts w:asciiTheme="minorHAnsi" w:eastAsiaTheme="minorEastAsia" w:hAnsiTheme="minorHAnsi" w:cstheme="minorBidi"/>
          <w:noProof/>
          <w:color w:val="auto"/>
          <w:sz w:val="22"/>
          <w:szCs w:val="22"/>
        </w:rPr>
      </w:pPr>
      <w:r>
        <w:rPr>
          <w:noProof/>
        </w:rPr>
        <w:t>Impact of exclusions in insurance policies</w:t>
      </w:r>
      <w:r>
        <w:rPr>
          <w:noProof/>
        </w:rPr>
        <w:tab/>
      </w:r>
      <w:r>
        <w:rPr>
          <w:noProof/>
        </w:rPr>
        <w:fldChar w:fldCharType="begin"/>
      </w:r>
      <w:r>
        <w:rPr>
          <w:noProof/>
        </w:rPr>
        <w:instrText xml:space="preserve"> PAGEREF _Toc437877566 \h </w:instrText>
      </w:r>
      <w:r>
        <w:rPr>
          <w:noProof/>
        </w:rPr>
      </w:r>
      <w:r>
        <w:rPr>
          <w:noProof/>
        </w:rPr>
        <w:fldChar w:fldCharType="separate"/>
      </w:r>
      <w:r w:rsidR="008479D3">
        <w:rPr>
          <w:noProof/>
        </w:rPr>
        <w:t>27</w:t>
      </w:r>
      <w:r>
        <w:rPr>
          <w:noProof/>
        </w:rPr>
        <w:fldChar w:fldCharType="end"/>
      </w:r>
    </w:p>
    <w:p w14:paraId="3EA9EDA5" w14:textId="77777777" w:rsidR="00340A45" w:rsidRDefault="00340A45">
      <w:pPr>
        <w:pStyle w:val="TOC1"/>
        <w:rPr>
          <w:rFonts w:asciiTheme="minorHAnsi" w:eastAsiaTheme="minorEastAsia" w:hAnsiTheme="minorHAnsi" w:cstheme="minorBidi"/>
          <w:b w:val="0"/>
          <w:smallCaps w:val="0"/>
          <w:noProof/>
          <w:color w:val="auto"/>
        </w:rPr>
      </w:pPr>
      <w:r>
        <w:rPr>
          <w:noProof/>
        </w:rPr>
        <w:t>Appendix A:  Terms of reference</w:t>
      </w:r>
      <w:r>
        <w:rPr>
          <w:noProof/>
        </w:rPr>
        <w:tab/>
      </w:r>
      <w:r>
        <w:rPr>
          <w:noProof/>
        </w:rPr>
        <w:fldChar w:fldCharType="begin"/>
      </w:r>
      <w:r>
        <w:rPr>
          <w:noProof/>
        </w:rPr>
        <w:instrText xml:space="preserve"> PAGEREF _Toc437877567 \h </w:instrText>
      </w:r>
      <w:r>
        <w:rPr>
          <w:noProof/>
        </w:rPr>
      </w:r>
      <w:r>
        <w:rPr>
          <w:noProof/>
        </w:rPr>
        <w:fldChar w:fldCharType="separate"/>
      </w:r>
      <w:r w:rsidR="008479D3">
        <w:rPr>
          <w:noProof/>
        </w:rPr>
        <w:t>29</w:t>
      </w:r>
      <w:r>
        <w:rPr>
          <w:noProof/>
        </w:rPr>
        <w:fldChar w:fldCharType="end"/>
      </w:r>
    </w:p>
    <w:p w14:paraId="180E9914" w14:textId="77777777" w:rsidR="00340A45" w:rsidRDefault="00340A45">
      <w:pPr>
        <w:pStyle w:val="TOC1"/>
        <w:rPr>
          <w:rFonts w:asciiTheme="minorHAnsi" w:eastAsiaTheme="minorEastAsia" w:hAnsiTheme="minorHAnsi" w:cstheme="minorBidi"/>
          <w:b w:val="0"/>
          <w:smallCaps w:val="0"/>
          <w:noProof/>
          <w:color w:val="auto"/>
        </w:rPr>
      </w:pPr>
      <w:r>
        <w:rPr>
          <w:noProof/>
        </w:rPr>
        <w:t>Appendix B:  International approaches</w:t>
      </w:r>
      <w:r>
        <w:rPr>
          <w:noProof/>
        </w:rPr>
        <w:tab/>
      </w:r>
      <w:r>
        <w:rPr>
          <w:noProof/>
        </w:rPr>
        <w:fldChar w:fldCharType="begin"/>
      </w:r>
      <w:r>
        <w:rPr>
          <w:noProof/>
        </w:rPr>
        <w:instrText xml:space="preserve"> PAGEREF _Toc437877568 \h </w:instrText>
      </w:r>
      <w:r>
        <w:rPr>
          <w:noProof/>
        </w:rPr>
      </w:r>
      <w:r>
        <w:rPr>
          <w:noProof/>
        </w:rPr>
        <w:fldChar w:fldCharType="separate"/>
      </w:r>
      <w:r w:rsidR="008479D3">
        <w:rPr>
          <w:noProof/>
        </w:rPr>
        <w:t>31</w:t>
      </w:r>
      <w:r>
        <w:rPr>
          <w:noProof/>
        </w:rPr>
        <w:fldChar w:fldCharType="end"/>
      </w:r>
    </w:p>
    <w:p w14:paraId="03134858" w14:textId="77777777" w:rsidR="00340A45" w:rsidRDefault="00340A45">
      <w:pPr>
        <w:pStyle w:val="TOC2"/>
        <w:rPr>
          <w:rFonts w:asciiTheme="minorHAnsi" w:eastAsiaTheme="minorEastAsia" w:hAnsiTheme="minorHAnsi" w:cstheme="minorBidi"/>
          <w:noProof/>
          <w:color w:val="auto"/>
          <w:sz w:val="22"/>
          <w:szCs w:val="22"/>
        </w:rPr>
      </w:pPr>
      <w:r>
        <w:rPr>
          <w:noProof/>
        </w:rPr>
        <w:t>Recent developments in the United Kingdom and United States</w:t>
      </w:r>
      <w:r>
        <w:rPr>
          <w:noProof/>
        </w:rPr>
        <w:tab/>
      </w:r>
      <w:r>
        <w:rPr>
          <w:noProof/>
        </w:rPr>
        <w:fldChar w:fldCharType="begin"/>
      </w:r>
      <w:r>
        <w:rPr>
          <w:noProof/>
        </w:rPr>
        <w:instrText xml:space="preserve"> PAGEREF _Toc437877569 \h </w:instrText>
      </w:r>
      <w:r>
        <w:rPr>
          <w:noProof/>
        </w:rPr>
      </w:r>
      <w:r>
        <w:rPr>
          <w:noProof/>
        </w:rPr>
        <w:fldChar w:fldCharType="separate"/>
      </w:r>
      <w:r w:rsidR="008479D3">
        <w:rPr>
          <w:noProof/>
        </w:rPr>
        <w:t>31</w:t>
      </w:r>
      <w:r>
        <w:rPr>
          <w:noProof/>
        </w:rPr>
        <w:fldChar w:fldCharType="end"/>
      </w:r>
    </w:p>
    <w:p w14:paraId="15CB14AA" w14:textId="77777777" w:rsidR="00340A45" w:rsidRDefault="00340A45">
      <w:pPr>
        <w:pStyle w:val="TOC2"/>
        <w:rPr>
          <w:rFonts w:asciiTheme="minorHAnsi" w:eastAsiaTheme="minorEastAsia" w:hAnsiTheme="minorHAnsi" w:cstheme="minorBidi"/>
          <w:noProof/>
          <w:color w:val="auto"/>
          <w:sz w:val="22"/>
          <w:szCs w:val="22"/>
        </w:rPr>
      </w:pPr>
      <w:r>
        <w:rPr>
          <w:noProof/>
        </w:rPr>
        <w:t>How the Australian scheme compares with other schemes</w:t>
      </w:r>
      <w:r>
        <w:rPr>
          <w:noProof/>
        </w:rPr>
        <w:tab/>
      </w:r>
      <w:r>
        <w:rPr>
          <w:noProof/>
        </w:rPr>
        <w:fldChar w:fldCharType="begin"/>
      </w:r>
      <w:r>
        <w:rPr>
          <w:noProof/>
        </w:rPr>
        <w:instrText xml:space="preserve"> PAGEREF _Toc437877570 \h </w:instrText>
      </w:r>
      <w:r>
        <w:rPr>
          <w:noProof/>
        </w:rPr>
      </w:r>
      <w:r>
        <w:rPr>
          <w:noProof/>
        </w:rPr>
        <w:fldChar w:fldCharType="separate"/>
      </w:r>
      <w:r w:rsidR="008479D3">
        <w:rPr>
          <w:noProof/>
        </w:rPr>
        <w:t>32</w:t>
      </w:r>
      <w:r>
        <w:rPr>
          <w:noProof/>
        </w:rPr>
        <w:fldChar w:fldCharType="end"/>
      </w:r>
    </w:p>
    <w:p w14:paraId="2AE4762F" w14:textId="26085FA9" w:rsidR="00340A45" w:rsidRDefault="00340A45">
      <w:pPr>
        <w:pStyle w:val="TOC1"/>
        <w:rPr>
          <w:rFonts w:asciiTheme="minorHAnsi" w:eastAsiaTheme="minorEastAsia" w:hAnsiTheme="minorHAnsi" w:cstheme="minorBidi"/>
          <w:b w:val="0"/>
          <w:smallCaps w:val="0"/>
          <w:noProof/>
          <w:color w:val="auto"/>
        </w:rPr>
      </w:pPr>
      <w:r>
        <w:rPr>
          <w:noProof/>
        </w:rPr>
        <w:t>Annex A:  Pottinger Report</w:t>
      </w:r>
      <w:r>
        <w:rPr>
          <w:noProof/>
        </w:rPr>
        <w:tab/>
      </w:r>
    </w:p>
    <w:p w14:paraId="1996AAF0" w14:textId="2A4A9D94" w:rsidR="00340A45" w:rsidRDefault="00340A45">
      <w:pPr>
        <w:pStyle w:val="TOC1"/>
        <w:rPr>
          <w:rFonts w:asciiTheme="minorHAnsi" w:eastAsiaTheme="minorEastAsia" w:hAnsiTheme="minorHAnsi" w:cstheme="minorBidi"/>
          <w:b w:val="0"/>
          <w:smallCaps w:val="0"/>
          <w:noProof/>
          <w:color w:val="auto"/>
        </w:rPr>
      </w:pPr>
      <w:r>
        <w:rPr>
          <w:noProof/>
        </w:rPr>
        <w:t>Annex B:  Finity Report</w:t>
      </w:r>
      <w:r>
        <w:rPr>
          <w:noProof/>
        </w:rPr>
        <w:tab/>
      </w:r>
    </w:p>
    <w:p w14:paraId="7FE81869" w14:textId="77777777" w:rsidR="00D85D73" w:rsidRDefault="00951A43" w:rsidP="00951A43">
      <w:r>
        <w:fldChar w:fldCharType="end"/>
      </w:r>
    </w:p>
    <w:p w14:paraId="078A59C5" w14:textId="77777777" w:rsidR="00B03C85" w:rsidRDefault="00B03C85" w:rsidP="00951A43">
      <w:pPr>
        <w:pStyle w:val="Heading1"/>
        <w:sectPr w:rsidR="00B03C85" w:rsidSect="000C5EE4">
          <w:type w:val="oddPage"/>
          <w:pgSz w:w="11906" w:h="16838" w:code="9"/>
          <w:pgMar w:top="1440" w:right="1440" w:bottom="1440" w:left="1440" w:header="709" w:footer="709" w:gutter="0"/>
          <w:cols w:space="708"/>
          <w:titlePg/>
          <w:docGrid w:linePitch="360"/>
        </w:sectPr>
      </w:pPr>
      <w:bookmarkStart w:id="40" w:name="_Toc321134071"/>
      <w:bookmarkStart w:id="41" w:name="_Toc405808761"/>
      <w:bookmarkStart w:id="42" w:name="_Toc406155131"/>
      <w:bookmarkStart w:id="43" w:name="_Toc406424584"/>
      <w:bookmarkStart w:id="44" w:name="_Toc408413462"/>
      <w:bookmarkStart w:id="45" w:name="_Toc408414176"/>
      <w:bookmarkStart w:id="46" w:name="_Toc409191083"/>
      <w:bookmarkStart w:id="47" w:name="_Toc409618516"/>
      <w:bookmarkStart w:id="48" w:name="_Toc409630047"/>
      <w:bookmarkStart w:id="49" w:name="_Toc410229539"/>
      <w:bookmarkStart w:id="50" w:name="_Toc410302174"/>
    </w:p>
    <w:p w14:paraId="49E73434" w14:textId="128251BA" w:rsidR="00D85D73" w:rsidRPr="001021F2" w:rsidRDefault="00D85D73" w:rsidP="00951A43">
      <w:pPr>
        <w:pStyle w:val="Heading1"/>
      </w:pPr>
      <w:bookmarkStart w:id="51" w:name="_Toc437876662"/>
      <w:bookmarkStart w:id="52" w:name="_Toc437877546"/>
      <w:r>
        <w:t>List of Acronyms and Abbreviations</w:t>
      </w:r>
      <w:bookmarkEnd w:id="40"/>
      <w:bookmarkEnd w:id="41"/>
      <w:bookmarkEnd w:id="42"/>
      <w:bookmarkEnd w:id="43"/>
      <w:bookmarkEnd w:id="44"/>
      <w:bookmarkEnd w:id="45"/>
      <w:bookmarkEnd w:id="46"/>
      <w:bookmarkEnd w:id="47"/>
      <w:bookmarkEnd w:id="48"/>
      <w:bookmarkEnd w:id="49"/>
      <w:bookmarkEnd w:id="50"/>
      <w:bookmarkEnd w:id="51"/>
      <w:bookmarkEnd w:id="52"/>
    </w:p>
    <w:tbl>
      <w:tblPr>
        <w:tblW w:w="0" w:type="auto"/>
        <w:tblLook w:val="01E0" w:firstRow="1" w:lastRow="1" w:firstColumn="1" w:lastColumn="1" w:noHBand="0" w:noVBand="0"/>
      </w:tblPr>
      <w:tblGrid>
        <w:gridCol w:w="1526"/>
        <w:gridCol w:w="7654"/>
      </w:tblGrid>
      <w:tr w:rsidR="00D85D73" w14:paraId="085E9BEC" w14:textId="77777777" w:rsidTr="00B33414">
        <w:tc>
          <w:tcPr>
            <w:tcW w:w="1526" w:type="dxa"/>
          </w:tcPr>
          <w:p w14:paraId="45CA8D60" w14:textId="77777777" w:rsidR="00D85D73" w:rsidRDefault="00D85D73" w:rsidP="00082936">
            <w:pPr>
              <w:spacing w:before="120" w:after="120"/>
            </w:pPr>
            <w:r>
              <w:t>AGA</w:t>
            </w:r>
          </w:p>
        </w:tc>
        <w:tc>
          <w:tcPr>
            <w:tcW w:w="7654" w:type="dxa"/>
          </w:tcPr>
          <w:p w14:paraId="069E7797" w14:textId="77777777" w:rsidR="00D85D73" w:rsidRPr="00734FDA" w:rsidRDefault="00D85D73" w:rsidP="00082936">
            <w:pPr>
              <w:spacing w:before="120" w:after="120"/>
            </w:pPr>
            <w:r>
              <w:t>Australian Government Actuary</w:t>
            </w:r>
          </w:p>
        </w:tc>
      </w:tr>
      <w:tr w:rsidR="00D85D73" w14:paraId="29241254" w14:textId="77777777" w:rsidTr="00B33414">
        <w:tc>
          <w:tcPr>
            <w:tcW w:w="1526" w:type="dxa"/>
          </w:tcPr>
          <w:p w14:paraId="30906BD3" w14:textId="77777777" w:rsidR="00D85D73" w:rsidRDefault="00D85D73" w:rsidP="00082936">
            <w:pPr>
              <w:spacing w:before="120" w:after="120"/>
            </w:pPr>
            <w:r>
              <w:t>ARPC</w:t>
            </w:r>
          </w:p>
        </w:tc>
        <w:tc>
          <w:tcPr>
            <w:tcW w:w="7654" w:type="dxa"/>
          </w:tcPr>
          <w:p w14:paraId="2F85553F" w14:textId="77777777" w:rsidR="00D85D73" w:rsidRPr="00734FDA" w:rsidRDefault="00D85D73" w:rsidP="00082936">
            <w:pPr>
              <w:spacing w:before="120" w:after="120"/>
            </w:pPr>
            <w:r w:rsidRPr="00734FDA">
              <w:t>Australian Reinsurance Pool Corporation</w:t>
            </w:r>
          </w:p>
        </w:tc>
      </w:tr>
      <w:tr w:rsidR="00D85D73" w14:paraId="0709F90D" w14:textId="77777777" w:rsidTr="00B33414">
        <w:tc>
          <w:tcPr>
            <w:tcW w:w="1526" w:type="dxa"/>
          </w:tcPr>
          <w:p w14:paraId="41B6A576" w14:textId="77777777" w:rsidR="00D85D73" w:rsidRPr="00734FDA" w:rsidRDefault="00D85D73" w:rsidP="00082936">
            <w:pPr>
              <w:spacing w:before="120" w:after="120"/>
            </w:pPr>
            <w:r w:rsidRPr="00734FDA">
              <w:t>DTI</w:t>
            </w:r>
          </w:p>
        </w:tc>
        <w:tc>
          <w:tcPr>
            <w:tcW w:w="7654" w:type="dxa"/>
          </w:tcPr>
          <w:p w14:paraId="16F66EEB" w14:textId="77777777" w:rsidR="00D85D73" w:rsidRPr="00734FDA" w:rsidRDefault="00D85D73" w:rsidP="00082936">
            <w:pPr>
              <w:spacing w:before="120" w:after="120"/>
            </w:pPr>
            <w:r w:rsidRPr="00734FDA">
              <w:t xml:space="preserve">Declared Terrorist Incident as defined in the </w:t>
            </w:r>
            <w:r w:rsidRPr="00734FDA">
              <w:rPr>
                <w:rStyle w:val="Italic0"/>
              </w:rPr>
              <w:t>Terrorism Insurance Act</w:t>
            </w:r>
            <w:r>
              <w:rPr>
                <w:rStyle w:val="Italic0"/>
              </w:rPr>
              <w:t> </w:t>
            </w:r>
            <w:r w:rsidRPr="00734FDA">
              <w:rPr>
                <w:rStyle w:val="Italic0"/>
              </w:rPr>
              <w:t>2003</w:t>
            </w:r>
          </w:p>
        </w:tc>
      </w:tr>
      <w:tr w:rsidR="00D85D73" w14:paraId="6A65BF53" w14:textId="77777777" w:rsidTr="00B33414">
        <w:tc>
          <w:tcPr>
            <w:tcW w:w="1526" w:type="dxa"/>
          </w:tcPr>
          <w:p w14:paraId="156BEB0C" w14:textId="77777777" w:rsidR="00D85D73" w:rsidRPr="009A5979" w:rsidRDefault="00D85D73" w:rsidP="00082936">
            <w:pPr>
              <w:spacing w:before="120" w:after="120"/>
            </w:pPr>
            <w:r w:rsidRPr="009A5979">
              <w:t>OECD</w:t>
            </w:r>
          </w:p>
        </w:tc>
        <w:tc>
          <w:tcPr>
            <w:tcW w:w="7654" w:type="dxa"/>
          </w:tcPr>
          <w:p w14:paraId="6824E4AD" w14:textId="77777777" w:rsidR="00D85D73" w:rsidRPr="009A5979" w:rsidRDefault="00D85D73" w:rsidP="00082936">
            <w:pPr>
              <w:spacing w:before="120" w:after="120"/>
            </w:pPr>
            <w:r w:rsidRPr="009A5979">
              <w:t>Organisation for Economic Co</w:t>
            </w:r>
            <w:r w:rsidR="008A07A0">
              <w:noBreakHyphen/>
            </w:r>
            <w:r w:rsidRPr="009A5979">
              <w:t>operation and Development</w:t>
            </w:r>
          </w:p>
        </w:tc>
      </w:tr>
      <w:tr w:rsidR="00D85D73" w14:paraId="55812EF6" w14:textId="77777777" w:rsidTr="00B33414">
        <w:tc>
          <w:tcPr>
            <w:tcW w:w="1526" w:type="dxa"/>
          </w:tcPr>
          <w:p w14:paraId="35BFCBD3" w14:textId="77777777" w:rsidR="00D85D73" w:rsidRPr="004C0766" w:rsidRDefault="00D85D73" w:rsidP="00082936">
            <w:pPr>
              <w:spacing w:before="120" w:after="120"/>
            </w:pPr>
            <w:r w:rsidRPr="004C0766">
              <w:t>NBCR</w:t>
            </w:r>
          </w:p>
        </w:tc>
        <w:tc>
          <w:tcPr>
            <w:tcW w:w="7654" w:type="dxa"/>
          </w:tcPr>
          <w:p w14:paraId="19FB3732" w14:textId="77777777" w:rsidR="00D85D73" w:rsidRPr="009A5979" w:rsidRDefault="00D85D73" w:rsidP="00082936">
            <w:pPr>
              <w:spacing w:before="120" w:after="120"/>
            </w:pPr>
            <w:r w:rsidRPr="004C0766">
              <w:t>Nuclear, biological, chemical and radiological risks</w:t>
            </w:r>
          </w:p>
        </w:tc>
      </w:tr>
    </w:tbl>
    <w:p w14:paraId="57F37D3D" w14:textId="77777777" w:rsidR="00D85D73" w:rsidRPr="00B33414" w:rsidRDefault="00D85D73" w:rsidP="00B33414"/>
    <w:p w14:paraId="6313F328" w14:textId="77777777" w:rsidR="000C5EE4" w:rsidRDefault="000C5EE4" w:rsidP="00B02419">
      <w:pPr>
        <w:pStyle w:val="Heading1"/>
        <w:sectPr w:rsidR="000C5EE4" w:rsidSect="000C5EE4">
          <w:type w:val="oddPage"/>
          <w:pgSz w:w="11906" w:h="16838" w:code="9"/>
          <w:pgMar w:top="1440" w:right="1440" w:bottom="1440" w:left="1440" w:header="709" w:footer="709" w:gutter="0"/>
          <w:cols w:space="708"/>
          <w:titlePg/>
          <w:docGrid w:linePitch="360"/>
        </w:sectPr>
      </w:pPr>
      <w:bookmarkStart w:id="53" w:name="_Toc321134072"/>
      <w:bookmarkStart w:id="54" w:name="_Toc405808762"/>
      <w:bookmarkStart w:id="55" w:name="_Toc406155132"/>
      <w:bookmarkStart w:id="56" w:name="_Toc406424585"/>
      <w:bookmarkStart w:id="57" w:name="_Toc408413463"/>
      <w:bookmarkStart w:id="58" w:name="_Toc408414177"/>
      <w:bookmarkStart w:id="59" w:name="_Toc409191084"/>
      <w:bookmarkStart w:id="60" w:name="_Toc409618517"/>
      <w:bookmarkStart w:id="61" w:name="_Toc409630048"/>
      <w:bookmarkStart w:id="62" w:name="_Toc410229540"/>
      <w:bookmarkStart w:id="63" w:name="_Toc410302175"/>
    </w:p>
    <w:p w14:paraId="7BB9D106" w14:textId="12496165" w:rsidR="00D85D73" w:rsidRPr="00691B0C" w:rsidRDefault="00D85D73" w:rsidP="00B02419">
      <w:pPr>
        <w:pStyle w:val="Heading1"/>
      </w:pPr>
      <w:bookmarkStart w:id="64" w:name="_Toc437877547"/>
      <w:r w:rsidRPr="00691B0C">
        <w:t>Executive Summary</w:t>
      </w:r>
      <w:bookmarkEnd w:id="53"/>
      <w:bookmarkEnd w:id="54"/>
      <w:bookmarkEnd w:id="55"/>
      <w:bookmarkEnd w:id="56"/>
      <w:bookmarkEnd w:id="57"/>
      <w:bookmarkEnd w:id="58"/>
      <w:bookmarkEnd w:id="59"/>
      <w:bookmarkEnd w:id="60"/>
      <w:bookmarkEnd w:id="61"/>
      <w:bookmarkEnd w:id="62"/>
      <w:bookmarkEnd w:id="63"/>
      <w:bookmarkEnd w:id="64"/>
    </w:p>
    <w:p w14:paraId="2294D2EF" w14:textId="77777777" w:rsidR="00D85D73" w:rsidRDefault="00D85D73" w:rsidP="00B02419">
      <w:pPr>
        <w:pStyle w:val="Heading2"/>
      </w:pPr>
      <w:bookmarkStart w:id="65" w:name="_Toc321133394"/>
      <w:bookmarkStart w:id="66" w:name="_Toc321134073"/>
      <w:bookmarkStart w:id="67" w:name="_Toc437877548"/>
      <w:r w:rsidRPr="00436986">
        <w:t>Australia</w:t>
      </w:r>
      <w:r w:rsidR="008A07A0">
        <w:t>’</w:t>
      </w:r>
      <w:r w:rsidRPr="00436986">
        <w:t>s Terrorism Insurance Scheme</w:t>
      </w:r>
      <w:bookmarkEnd w:id="65"/>
      <w:bookmarkEnd w:id="66"/>
      <w:bookmarkEnd w:id="67"/>
    </w:p>
    <w:p w14:paraId="426CE920" w14:textId="77777777" w:rsidR="00DE4AC2" w:rsidRDefault="00DE4AC2" w:rsidP="00B02419">
      <w:pPr>
        <w:pStyle w:val="Heading3"/>
      </w:pPr>
      <w:bookmarkStart w:id="68" w:name="_Toc321133395"/>
      <w:bookmarkStart w:id="69" w:name="_Toc321134074"/>
      <w:r>
        <w:t>Background to Review</w:t>
      </w:r>
    </w:p>
    <w:p w14:paraId="67384358" w14:textId="03D1D34C" w:rsidR="00E148B2" w:rsidRPr="00755335" w:rsidRDefault="00E148B2" w:rsidP="00FF537F">
      <w:r w:rsidRPr="00755335">
        <w:t xml:space="preserve">The Terrorism Insurance Scheme </w:t>
      </w:r>
      <w:r w:rsidR="003A43E0" w:rsidRPr="00755335">
        <w:t xml:space="preserve">(the scheme) </w:t>
      </w:r>
      <w:r w:rsidRPr="00755335">
        <w:t xml:space="preserve">was </w:t>
      </w:r>
      <w:r w:rsidR="008D5F98">
        <w:t>intended</w:t>
      </w:r>
      <w:r w:rsidRPr="00755335">
        <w:t xml:space="preserve"> as an interim measure to operate while terrorism insurance cover </w:t>
      </w:r>
      <w:r w:rsidR="00197D4F" w:rsidRPr="00755335">
        <w:t>wa</w:t>
      </w:r>
      <w:r w:rsidRPr="00755335">
        <w:t xml:space="preserve">s unavailable </w:t>
      </w:r>
      <w:r w:rsidR="00197D4F" w:rsidRPr="00755335">
        <w:t>in the private market</w:t>
      </w:r>
      <w:r w:rsidRPr="00755335">
        <w:t>. The</w:t>
      </w:r>
      <w:r w:rsidR="008368E1" w:rsidRPr="00755335">
        <w:t xml:space="preserve"> scheme was set up under the</w:t>
      </w:r>
      <w:r w:rsidRPr="00755335">
        <w:t xml:space="preserve"> </w:t>
      </w:r>
      <w:r w:rsidR="004A36DD" w:rsidRPr="009F7DAD">
        <w:rPr>
          <w:i/>
        </w:rPr>
        <w:t xml:space="preserve">Terrorism Insurance </w:t>
      </w:r>
      <w:r w:rsidRPr="009F7DAD">
        <w:rPr>
          <w:i/>
        </w:rPr>
        <w:t>Act</w:t>
      </w:r>
      <w:r w:rsidR="004A36DD" w:rsidRPr="009F7DAD">
        <w:rPr>
          <w:i/>
        </w:rPr>
        <w:t xml:space="preserve"> 2003</w:t>
      </w:r>
      <w:r w:rsidR="004A36DD" w:rsidRPr="00755335">
        <w:t xml:space="preserve"> (the Act)</w:t>
      </w:r>
      <w:r w:rsidR="008368E1" w:rsidRPr="00755335">
        <w:t>, and is operated by the Australian Reinsurance Pool Corporation (the ARPC). The Act</w:t>
      </w:r>
      <w:r w:rsidRPr="00755335">
        <w:t xml:space="preserve"> requires that the Minister prepare a report that reviews the need for the Act to continue in operation</w:t>
      </w:r>
      <w:r w:rsidR="00C465F7" w:rsidRPr="00755335">
        <w:t xml:space="preserve"> at least once every three</w:t>
      </w:r>
      <w:r w:rsidR="00F34A1D">
        <w:t> </w:t>
      </w:r>
      <w:r w:rsidR="00C465F7" w:rsidRPr="00755335">
        <w:t>years</w:t>
      </w:r>
      <w:r w:rsidRPr="00755335">
        <w:t>.</w:t>
      </w:r>
      <w:r w:rsidRPr="00873A0A">
        <w:rPr>
          <w:rStyle w:val="FootnoteReference"/>
        </w:rPr>
        <w:footnoteReference w:id="2"/>
      </w:r>
      <w:r w:rsidR="004E0C48" w:rsidRPr="00755335">
        <w:t xml:space="preserve"> Previous reviews in 2006, 2009 and 2012 have concluded </w:t>
      </w:r>
      <w:r w:rsidR="00A7164C">
        <w:t xml:space="preserve">that </w:t>
      </w:r>
      <w:r w:rsidR="004E0C48" w:rsidRPr="00755335">
        <w:t>there was insufficient commercial market terrorism insurance available at affordable rates</w:t>
      </w:r>
      <w:r w:rsidR="00A7164C">
        <w:t xml:space="preserve"> and</w:t>
      </w:r>
      <w:r w:rsidR="004E0C48" w:rsidRPr="00755335">
        <w:t xml:space="preserve"> that the </w:t>
      </w:r>
      <w:r w:rsidR="00BA711D">
        <w:t>scheme</w:t>
      </w:r>
      <w:r w:rsidR="004E0C48" w:rsidRPr="00755335">
        <w:t xml:space="preserve"> should continue to operate.</w:t>
      </w:r>
    </w:p>
    <w:p w14:paraId="747C752F" w14:textId="11D9FC43" w:rsidR="003A43E0" w:rsidRPr="00755335" w:rsidRDefault="000707DF" w:rsidP="00FF537F">
      <w:r w:rsidRPr="00755335">
        <w:t>The terms of reference for this review appear at A</w:t>
      </w:r>
      <w:r w:rsidR="00377A4D">
        <w:t>ppendix</w:t>
      </w:r>
      <w:r w:rsidRPr="00755335">
        <w:t xml:space="preserve"> </w:t>
      </w:r>
      <w:r w:rsidR="00D672D8">
        <w:t>A</w:t>
      </w:r>
      <w:r w:rsidR="008A07A0">
        <w:t xml:space="preserve">. </w:t>
      </w:r>
      <w:r w:rsidR="005D2DF3" w:rsidRPr="00755335">
        <w:t xml:space="preserve">It is not the purpose of </w:t>
      </w:r>
      <w:r w:rsidR="00BA711D">
        <w:t xml:space="preserve">this </w:t>
      </w:r>
      <w:r w:rsidR="003A43E0" w:rsidRPr="00755335">
        <w:t>review to consider the level of risk of terrorism</w:t>
      </w:r>
      <w:r w:rsidR="008A07A0">
        <w:t xml:space="preserve">. </w:t>
      </w:r>
      <w:r w:rsidR="005D2DF3" w:rsidRPr="00755335">
        <w:t xml:space="preserve">That is the function of other branches of government. </w:t>
      </w:r>
      <w:r w:rsidR="003A43E0" w:rsidRPr="00755335">
        <w:t>Nevertheless, recent events</w:t>
      </w:r>
      <w:r w:rsidR="008A07A0">
        <w:t xml:space="preserve"> — </w:t>
      </w:r>
      <w:r w:rsidR="003A43E0" w:rsidRPr="00755335">
        <w:t>in Sydney and Paris</w:t>
      </w:r>
      <w:r w:rsidR="001137ED">
        <w:t>,</w:t>
      </w:r>
      <w:r w:rsidR="003A43E0" w:rsidRPr="00755335">
        <w:t xml:space="preserve"> for example</w:t>
      </w:r>
      <w:r w:rsidR="008A07A0">
        <w:t xml:space="preserve"> — </w:t>
      </w:r>
      <w:r w:rsidR="003A43E0" w:rsidRPr="00755335">
        <w:t>highlight that terrorism is an ongoing threat</w:t>
      </w:r>
      <w:r w:rsidR="008A07A0">
        <w:t xml:space="preserve">. </w:t>
      </w:r>
      <w:r w:rsidR="003A43E0" w:rsidRPr="00755335">
        <w:t xml:space="preserve">The Sydney event in December 2014 gave rise to the first and only activation of the scheme since its inception. </w:t>
      </w:r>
    </w:p>
    <w:p w14:paraId="62369F48" w14:textId="4CA96653" w:rsidR="003371F8" w:rsidRDefault="006E702E" w:rsidP="00FF537F">
      <w:r w:rsidRPr="00755335">
        <w:t xml:space="preserve">This comes at a time when the scheme has been in operation </w:t>
      </w:r>
      <w:r w:rsidR="001137ED">
        <w:t>more than</w:t>
      </w:r>
      <w:r w:rsidRPr="00755335">
        <w:t xml:space="preserve"> a decade</w:t>
      </w:r>
      <w:r w:rsidR="008A07A0">
        <w:t xml:space="preserve">. </w:t>
      </w:r>
      <w:r w:rsidR="003371F8">
        <w:t>Last year, the National Commission of Audit, in expressing a view on the future of a number of Australian Government bodies, said of the ARPC:</w:t>
      </w:r>
    </w:p>
    <w:p w14:paraId="04D56C65" w14:textId="349290D8" w:rsidR="003371F8" w:rsidRDefault="003371F8" w:rsidP="003371F8">
      <w:pPr>
        <w:ind w:left="720"/>
      </w:pPr>
      <w:r>
        <w:t>“With continued recovery in terrorism insurance markets, there is scope for a gradual Commonwealth exit over the coming years.”</w:t>
      </w:r>
      <w:r>
        <w:rPr>
          <w:rStyle w:val="FootnoteReference"/>
        </w:rPr>
        <w:footnoteReference w:id="3"/>
      </w:r>
    </w:p>
    <w:p w14:paraId="46272F31" w14:textId="5D886D5C" w:rsidR="00785FE0" w:rsidRDefault="00785FE0" w:rsidP="00785FE0">
      <w:r>
        <w:t xml:space="preserve">Against that background, this review has closely </w:t>
      </w:r>
      <w:r w:rsidRPr="00755335">
        <w:t>consider</w:t>
      </w:r>
      <w:r>
        <w:t>ed</w:t>
      </w:r>
      <w:r w:rsidRPr="00755335">
        <w:t xml:space="preserve"> the </w:t>
      </w:r>
      <w:r>
        <w:t xml:space="preserve">scope for government withdrawal from the market, and </w:t>
      </w:r>
      <w:r w:rsidRPr="00755335">
        <w:t>whether alternative structures for the ARPC, including full or partial private ownership, would be viable</w:t>
      </w:r>
      <w:r>
        <w:t>.  To assist in exploring these issues, an external consultant</w:t>
      </w:r>
      <w:r w:rsidRPr="00755335">
        <w:t xml:space="preserve"> (</w:t>
      </w:r>
      <w:proofErr w:type="spellStart"/>
      <w:r w:rsidRPr="00755335">
        <w:t>Pottinger</w:t>
      </w:r>
      <w:proofErr w:type="spellEnd"/>
      <w:r w:rsidRPr="00755335">
        <w:t xml:space="preserve">) </w:t>
      </w:r>
      <w:r>
        <w:t>was engaged by Treasury</w:t>
      </w:r>
      <w:r w:rsidRPr="00755335">
        <w:t>.</w:t>
      </w:r>
      <w:r w:rsidR="009D5510">
        <w:t xml:space="preserve">  In addition, in finalising this review, consultations were held with industry representatives on </w:t>
      </w:r>
      <w:r w:rsidR="00347F50">
        <w:t xml:space="preserve">a </w:t>
      </w:r>
      <w:r w:rsidR="009D5510">
        <w:t>draft</w:t>
      </w:r>
      <w:r w:rsidR="00347F50">
        <w:t xml:space="preserve"> of the Report</w:t>
      </w:r>
      <w:r w:rsidR="009D5510">
        <w:t>.</w:t>
      </w:r>
    </w:p>
    <w:p w14:paraId="684A350D" w14:textId="359DA0CE" w:rsidR="00785FE0" w:rsidRPr="00755335" w:rsidRDefault="00CD575C" w:rsidP="00785FE0">
      <w:r>
        <w:t>F</w:t>
      </w:r>
      <w:r w:rsidR="00785FE0" w:rsidRPr="00755335">
        <w:t xml:space="preserve">or the reasons set out in </w:t>
      </w:r>
      <w:r>
        <w:t>detail in the chapters below</w:t>
      </w:r>
      <w:r w:rsidR="00785FE0" w:rsidRPr="00755335">
        <w:t xml:space="preserve">, the recommendation of this review is that the current </w:t>
      </w:r>
      <w:r>
        <w:t xml:space="preserve">ownership and administration </w:t>
      </w:r>
      <w:r w:rsidR="00785FE0" w:rsidRPr="00755335">
        <w:t xml:space="preserve">structure </w:t>
      </w:r>
      <w:r>
        <w:t xml:space="preserve">of the scheme </w:t>
      </w:r>
      <w:r w:rsidR="00785FE0" w:rsidRPr="00755335">
        <w:t xml:space="preserve">as set out in the Act be retained, </w:t>
      </w:r>
      <w:r>
        <w:t>while noting that</w:t>
      </w:r>
      <w:r w:rsidR="00785FE0" w:rsidRPr="00755335">
        <w:t xml:space="preserve"> there is scope to revisit alternative structures </w:t>
      </w:r>
      <w:r w:rsidR="00785FE0">
        <w:t xml:space="preserve">in </w:t>
      </w:r>
      <w:r>
        <w:t>future if there is</w:t>
      </w:r>
      <w:r w:rsidR="00785FE0">
        <w:t xml:space="preserve"> a</w:t>
      </w:r>
      <w:r w:rsidR="00785FE0" w:rsidRPr="00755335">
        <w:t xml:space="preserve"> significant change in market conditions.</w:t>
      </w:r>
    </w:p>
    <w:p w14:paraId="0F36E4AA" w14:textId="6519AF28" w:rsidR="00734BEA" w:rsidRPr="00755335" w:rsidRDefault="00CD575C" w:rsidP="00CD575C">
      <w:r>
        <w:t>Nevertheless, a</w:t>
      </w:r>
      <w:r w:rsidR="00734BEA" w:rsidRPr="00755335">
        <w:t xml:space="preserve">s the need for the scheme has persisted for more than a decade, the policy framework against which its operation is assessed </w:t>
      </w:r>
      <w:r w:rsidR="00354CA3" w:rsidRPr="00755335">
        <w:t>should no</w:t>
      </w:r>
      <w:r>
        <w:t xml:space="preserve"> longer</w:t>
      </w:r>
      <w:r w:rsidR="00354CA3" w:rsidRPr="00755335">
        <w:t xml:space="preserve"> be limited to</w:t>
      </w:r>
      <w:r w:rsidR="00734BEA" w:rsidRPr="00755335">
        <w:t xml:space="preserve"> one that conceives of the scheme as a</w:t>
      </w:r>
      <w:r>
        <w:t xml:space="preserve"> </w:t>
      </w:r>
      <w:r w:rsidR="00734BEA" w:rsidRPr="00755335">
        <w:t>short</w:t>
      </w:r>
      <w:r w:rsidR="008A07A0">
        <w:noBreakHyphen/>
      </w:r>
      <w:r w:rsidR="00734BEA" w:rsidRPr="00755335">
        <w:t>term, temporary measure</w:t>
      </w:r>
      <w:r w:rsidR="008A07A0">
        <w:t xml:space="preserve">. </w:t>
      </w:r>
      <w:r w:rsidR="00734BEA" w:rsidRPr="00755335">
        <w:t>Whil</w:t>
      </w:r>
      <w:r w:rsidR="001137ED">
        <w:t>e</w:t>
      </w:r>
      <w:r w:rsidR="00734BEA" w:rsidRPr="00755335">
        <w:t xml:space="preserve"> the ongoing need for the scheme should </w:t>
      </w:r>
      <w:r w:rsidR="00A7164C">
        <w:t>continue to</w:t>
      </w:r>
      <w:r w:rsidR="00734BEA" w:rsidRPr="00755335">
        <w:t xml:space="preserve"> be periodically reviewed, the fact that it has matured into at least a medium</w:t>
      </w:r>
      <w:r w:rsidR="001137ED">
        <w:t>-</w:t>
      </w:r>
      <w:r w:rsidR="00734BEA" w:rsidRPr="00755335">
        <w:t>term policy response should be recognised and reflected in decisions about the nature and scope of its operation.</w:t>
      </w:r>
    </w:p>
    <w:p w14:paraId="47EF0ECC" w14:textId="1A98B05F" w:rsidR="007B304B" w:rsidRPr="00755335" w:rsidRDefault="00354CA3" w:rsidP="00FF537F">
      <w:r w:rsidRPr="00755335">
        <w:t xml:space="preserve">Reflecting the </w:t>
      </w:r>
      <w:r w:rsidR="007B3BBA">
        <w:t>considerations outlined above</w:t>
      </w:r>
      <w:r w:rsidR="007B304B" w:rsidRPr="00755335">
        <w:t>, the recommendations in this report</w:t>
      </w:r>
      <w:r w:rsidR="00734BEA" w:rsidRPr="00755335">
        <w:t xml:space="preserve"> </w:t>
      </w:r>
      <w:r w:rsidR="007B304B" w:rsidRPr="00755335">
        <w:t>are motivated by the desire to ensure that:</w:t>
      </w:r>
    </w:p>
    <w:p w14:paraId="39177510" w14:textId="233AA1A0" w:rsidR="007B304B" w:rsidRPr="00755335" w:rsidRDefault="00D03DA6" w:rsidP="00755335">
      <w:pPr>
        <w:pStyle w:val="Bullet"/>
      </w:pPr>
      <w:r>
        <w:t>t</w:t>
      </w:r>
      <w:r w:rsidR="007B304B" w:rsidRPr="00755335">
        <w:t>hose who benefit most from the scheme</w:t>
      </w:r>
      <w:r w:rsidR="008A07A0">
        <w:t xml:space="preserve"> — </w:t>
      </w:r>
      <w:r w:rsidR="007B304B" w:rsidRPr="00755335">
        <w:t>insured parties and the insurance i</w:t>
      </w:r>
      <w:r w:rsidR="00D02AE1" w:rsidRPr="00755335">
        <w:t>ndustry</w:t>
      </w:r>
      <w:r w:rsidR="001137ED">
        <w:t xml:space="preserve"> – </w:t>
      </w:r>
      <w:r w:rsidR="00D02AE1" w:rsidRPr="00755335">
        <w:t xml:space="preserve">take an appropriate level of responsibility for </w:t>
      </w:r>
      <w:r w:rsidR="00A7164C">
        <w:t>its</w:t>
      </w:r>
      <w:r w:rsidR="00D02AE1" w:rsidRPr="00755335">
        <w:t xml:space="preserve"> </w:t>
      </w:r>
      <w:r w:rsidR="007B304B" w:rsidRPr="00755335">
        <w:t xml:space="preserve">sustainable operation; </w:t>
      </w:r>
    </w:p>
    <w:p w14:paraId="53F2AF31" w14:textId="0BCACF5B" w:rsidR="007B304B" w:rsidRPr="00755335" w:rsidRDefault="00B97B26" w:rsidP="00755335">
      <w:pPr>
        <w:pStyle w:val="Bullet"/>
      </w:pPr>
      <w:r>
        <w:t>the g</w:t>
      </w:r>
      <w:r w:rsidR="007B304B" w:rsidRPr="00755335">
        <w:t>overnment and taxpayers are fairly compensated for any financial support provided to scheme;</w:t>
      </w:r>
    </w:p>
    <w:p w14:paraId="2037D67A" w14:textId="77777777" w:rsidR="007B304B" w:rsidRPr="00755335" w:rsidRDefault="00D03DA6" w:rsidP="00755335">
      <w:pPr>
        <w:pStyle w:val="Bullet"/>
      </w:pPr>
      <w:r>
        <w:t>t</w:t>
      </w:r>
      <w:r w:rsidR="007B304B" w:rsidRPr="00755335">
        <w:t>he scheme operates equitably and effectively to provide terrorism cover where it is unavailable in the private market; and</w:t>
      </w:r>
    </w:p>
    <w:p w14:paraId="192BBA79" w14:textId="77777777" w:rsidR="007B304B" w:rsidRPr="00755335" w:rsidRDefault="00D03DA6" w:rsidP="00755335">
      <w:pPr>
        <w:pStyle w:val="Bullet"/>
      </w:pPr>
      <w:proofErr w:type="gramStart"/>
      <w:r>
        <w:t>t</w:t>
      </w:r>
      <w:r w:rsidR="007B304B" w:rsidRPr="00755335">
        <w:t>here</w:t>
      </w:r>
      <w:proofErr w:type="gramEnd"/>
      <w:r w:rsidR="007B304B" w:rsidRPr="00755335">
        <w:t xml:space="preserve"> is an appropriate level of certainty around the operation of the scheme.</w:t>
      </w:r>
    </w:p>
    <w:p w14:paraId="3FEFA491" w14:textId="77777777" w:rsidR="006E702E" w:rsidRDefault="006E702E" w:rsidP="00B02419">
      <w:pPr>
        <w:pStyle w:val="Heading3"/>
      </w:pPr>
      <w:r w:rsidRPr="00FD04F8">
        <w:t>Recommendations</w:t>
      </w:r>
    </w:p>
    <w:p w14:paraId="12C4AE90" w14:textId="77777777" w:rsidR="00351A38" w:rsidRPr="00B02419" w:rsidRDefault="00351A38" w:rsidP="00B02419">
      <w:pPr>
        <w:pStyle w:val="Heading4"/>
      </w:pPr>
      <w:r w:rsidRPr="00B02419">
        <w:t>Structure of the ARPC</w:t>
      </w:r>
    </w:p>
    <w:p w14:paraId="4746C92A" w14:textId="4315BE97" w:rsidR="0004480C" w:rsidRDefault="0004480C" w:rsidP="0004480C">
      <w:r w:rsidRPr="0004480C">
        <w:rPr>
          <w:i/>
        </w:rPr>
        <w:t>Recommendation 1</w:t>
      </w:r>
      <w:r>
        <w:t xml:space="preserve">: </w:t>
      </w:r>
      <w:r w:rsidR="00685DAA">
        <w:t>That t</w:t>
      </w:r>
      <w:r w:rsidR="001A425F" w:rsidRPr="00B02419">
        <w:t xml:space="preserve">he Act </w:t>
      </w:r>
      <w:r w:rsidR="001275D2" w:rsidRPr="00B02419">
        <w:t>remain</w:t>
      </w:r>
      <w:r w:rsidR="00C71289">
        <w:t>s</w:t>
      </w:r>
      <w:r w:rsidR="001275D2" w:rsidRPr="00B02419">
        <w:t xml:space="preserve"> in force</w:t>
      </w:r>
      <w:r w:rsidR="005C3408" w:rsidRPr="00B02419">
        <w:t>, subject to future three</w:t>
      </w:r>
      <w:r w:rsidR="008A07A0">
        <w:noBreakHyphen/>
      </w:r>
      <w:r w:rsidR="005C3408" w:rsidRPr="00B02419">
        <w:t>year</w:t>
      </w:r>
      <w:r w:rsidR="00D03DA6">
        <w:t>ly statutory reviews</w:t>
      </w:r>
      <w:r>
        <w:t>.</w:t>
      </w:r>
    </w:p>
    <w:p w14:paraId="4E7ED1E7" w14:textId="3F5369D2" w:rsidR="00D03137" w:rsidRPr="00B02419" w:rsidRDefault="0004480C" w:rsidP="0004480C">
      <w:r w:rsidRPr="0004480C">
        <w:rPr>
          <w:i/>
        </w:rPr>
        <w:t>Recommendation 2</w:t>
      </w:r>
      <w:r>
        <w:t xml:space="preserve">: </w:t>
      </w:r>
      <w:r w:rsidR="007B666A">
        <w:t>That t</w:t>
      </w:r>
      <w:r w:rsidR="000001DC" w:rsidRPr="00B02419">
        <w:t xml:space="preserve">he </w:t>
      </w:r>
      <w:r w:rsidR="00685DAA">
        <w:t xml:space="preserve">current </w:t>
      </w:r>
      <w:r w:rsidR="00CE6ED4">
        <w:t xml:space="preserve">administration </w:t>
      </w:r>
      <w:r w:rsidR="00B3184E" w:rsidRPr="00B02419">
        <w:t xml:space="preserve">structure of the </w:t>
      </w:r>
      <w:r w:rsidR="000001DC" w:rsidRPr="00B02419">
        <w:t xml:space="preserve">ARPC </w:t>
      </w:r>
      <w:r w:rsidR="00B3184E" w:rsidRPr="00B02419">
        <w:t>as set out in the Act be retained</w:t>
      </w:r>
      <w:r w:rsidR="005C3408" w:rsidRPr="00B02419">
        <w:t>.</w:t>
      </w:r>
    </w:p>
    <w:p w14:paraId="72475D90" w14:textId="77777777" w:rsidR="001F6F3E" w:rsidRPr="006C15D2" w:rsidRDefault="001F6F3E" w:rsidP="00B02419">
      <w:pPr>
        <w:pStyle w:val="Heading4"/>
      </w:pPr>
      <w:r w:rsidRPr="006C15D2">
        <w:t>Retentions</w:t>
      </w:r>
    </w:p>
    <w:p w14:paraId="568A7E93" w14:textId="77777777" w:rsidR="0004480C" w:rsidRPr="00843660" w:rsidRDefault="0004480C" w:rsidP="0004480C">
      <w:r w:rsidRPr="0004480C">
        <w:rPr>
          <w:i/>
        </w:rPr>
        <w:t>Recommendation 3</w:t>
      </w:r>
      <w:r>
        <w:t>: T</w:t>
      </w:r>
      <w:r w:rsidRPr="00843660">
        <w:t>he four per cent rate of gross fire and industrial special risk premium (less any fire services levy) shoul</w:t>
      </w:r>
      <w:r>
        <w:t>d be increased to five per cent.</w:t>
      </w:r>
    </w:p>
    <w:p w14:paraId="1A269EC7" w14:textId="25771D83" w:rsidR="0004480C" w:rsidRPr="00843660" w:rsidRDefault="0004480C" w:rsidP="0004480C">
      <w:r w:rsidRPr="0004480C">
        <w:rPr>
          <w:i/>
        </w:rPr>
        <w:t>Recommendation 4</w:t>
      </w:r>
      <w:r>
        <w:t>: C</w:t>
      </w:r>
      <w:r w:rsidRPr="00843660">
        <w:t xml:space="preserve">urrent maximum retention levels for individual insurers </w:t>
      </w:r>
      <w:r>
        <w:t>should be removed.</w:t>
      </w:r>
    </w:p>
    <w:p w14:paraId="56A5F5CF" w14:textId="77777777" w:rsidR="0004480C" w:rsidRPr="00843660" w:rsidRDefault="0004480C"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5982A362" w14:textId="77777777" w:rsidR="00903C67" w:rsidRPr="00B02419" w:rsidRDefault="00903C67" w:rsidP="00903C67">
      <w:pPr>
        <w:pStyle w:val="Heading4"/>
      </w:pPr>
      <w:r w:rsidRPr="00B02419">
        <w:t>Retrocession</w:t>
      </w:r>
    </w:p>
    <w:p w14:paraId="03C2C684" w14:textId="23E5D847" w:rsidR="00903C67" w:rsidRPr="00B359E3" w:rsidRDefault="00903C67" w:rsidP="00903C67">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rsidR="007B666A">
        <w:t>,</w:t>
      </w:r>
      <w:r w:rsidRPr="00AF5B6D">
        <w:t xml:space="preserve"> and levels of</w:t>
      </w:r>
      <w:r w:rsidR="007B666A">
        <w:t>,</w:t>
      </w:r>
      <w:r w:rsidRPr="00AF5B6D">
        <w:t xml:space="preserve"> </w:t>
      </w:r>
      <w:r w:rsidRPr="00D779FA">
        <w:t xml:space="preserve">its retrocession programme </w:t>
      </w:r>
      <w:r>
        <w:t>and</w:t>
      </w:r>
      <w:r w:rsidRPr="00D779FA">
        <w:t xml:space="preserve"> value for money.</w:t>
      </w:r>
    </w:p>
    <w:p w14:paraId="5316DBA8" w14:textId="77777777" w:rsidR="00EE3F50" w:rsidRDefault="006C15D2" w:rsidP="00B02419">
      <w:pPr>
        <w:pStyle w:val="Heading4"/>
      </w:pPr>
      <w:r w:rsidRPr="006C15D2">
        <w:t>Fee for the government guarantee</w:t>
      </w:r>
    </w:p>
    <w:p w14:paraId="272E901D" w14:textId="5DB95BDB" w:rsidR="00903C67" w:rsidRDefault="00903C67" w:rsidP="00903C67">
      <w:r>
        <w:rPr>
          <w:i/>
        </w:rPr>
        <w:t>Recommendation 7</w:t>
      </w:r>
      <w:r w:rsidRPr="007B666A">
        <w:rPr>
          <w:i/>
        </w:rPr>
        <w:t>:</w:t>
      </w:r>
      <w:r>
        <w:t xml:space="preserve"> That the ARPC pay to the Commonwealth each year</w:t>
      </w:r>
      <w:r w:rsidR="007B666A">
        <w:t>, commencing in 2016-17</w:t>
      </w:r>
      <w:r>
        <w:t>:</w:t>
      </w:r>
    </w:p>
    <w:p w14:paraId="405B7A0F" w14:textId="77777777" w:rsidR="00903C67" w:rsidRDefault="00903C67" w:rsidP="00903C67">
      <w:pPr>
        <w:pStyle w:val="Bullet"/>
        <w:numPr>
          <w:ilvl w:val="0"/>
          <w:numId w:val="39"/>
        </w:numPr>
      </w:pPr>
      <w:r>
        <w:t>a fee of $55 million in respect of the Commonwealth guarantee of the ARPC’s liabilities; and</w:t>
      </w:r>
    </w:p>
    <w:p w14:paraId="10665CE8" w14:textId="4793B162" w:rsidR="00903C67" w:rsidRDefault="00903C67" w:rsidP="00FE628B">
      <w:pPr>
        <w:pStyle w:val="Bullet"/>
        <w:numPr>
          <w:ilvl w:val="0"/>
          <w:numId w:val="39"/>
        </w:numPr>
        <w:tabs>
          <w:tab w:val="clear" w:pos="397"/>
          <w:tab w:val="left" w:pos="426"/>
        </w:tabs>
        <w:ind w:left="397" w:hanging="397"/>
      </w:pPr>
      <w:proofErr w:type="gramStart"/>
      <w:r>
        <w:t>an</w:t>
      </w:r>
      <w:proofErr w:type="gramEnd"/>
      <w:r>
        <w:t xml:space="preserve"> additional amount of $35 million per annum to reflect the Commonwealth’s support in</w:t>
      </w:r>
      <w:r w:rsidR="00C71289">
        <w:t xml:space="preserve"> </w:t>
      </w:r>
      <w:r>
        <w:t>making the ARPC reserves available for payment of claims.</w:t>
      </w:r>
    </w:p>
    <w:p w14:paraId="6C90A5D7" w14:textId="77777777" w:rsidR="00D35F25" w:rsidRPr="001A7E19" w:rsidRDefault="00D35F25" w:rsidP="00B02419">
      <w:pPr>
        <w:pStyle w:val="Heading4"/>
      </w:pPr>
      <w:r w:rsidRPr="001A7E19">
        <w:t xml:space="preserve">Premiums </w:t>
      </w:r>
    </w:p>
    <w:p w14:paraId="1C49C5D4" w14:textId="4C7C87C3" w:rsidR="00CE6ED4" w:rsidRPr="00CE6ED4" w:rsidRDefault="00092072" w:rsidP="009D66B7">
      <w:pPr>
        <w:pStyle w:val="Bullet"/>
        <w:numPr>
          <w:ilvl w:val="0"/>
          <w:numId w:val="0"/>
        </w:numPr>
        <w:rPr>
          <w:szCs w:val="22"/>
        </w:rPr>
      </w:pPr>
      <w:r>
        <w:rPr>
          <w:i/>
        </w:rPr>
        <w:t>Recommendation 8</w:t>
      </w:r>
      <w:r w:rsidR="0004480C">
        <w:t xml:space="preserve">: </w:t>
      </w:r>
      <w:r w:rsidR="00FD11EF">
        <w:t>T</w:t>
      </w:r>
      <w:r w:rsidR="0074499E">
        <w:t>hat the premiums charged by the ARPC be increased</w:t>
      </w:r>
      <w:r w:rsidR="009D66B7">
        <w:t>, with effect from 1 April 2016</w:t>
      </w:r>
      <w:r w:rsidR="0074499E">
        <w:t xml:space="preserve"> to</w:t>
      </w:r>
      <w:r w:rsidR="00CE6ED4">
        <w:t>:</w:t>
      </w:r>
    </w:p>
    <w:p w14:paraId="729B088A" w14:textId="65B3DE5D" w:rsidR="00CE6ED4" w:rsidRPr="00CE6ED4" w:rsidRDefault="0074499E" w:rsidP="00CE6ED4">
      <w:pPr>
        <w:pStyle w:val="Dash"/>
        <w:rPr>
          <w:szCs w:val="22"/>
        </w:rPr>
      </w:pPr>
      <w:r>
        <w:t>1</w:t>
      </w:r>
      <w:r w:rsidR="00BF4048">
        <w:t>6</w:t>
      </w:r>
      <w:r>
        <w:t xml:space="preserve"> per cent for Tier A, </w:t>
      </w:r>
    </w:p>
    <w:p w14:paraId="5EDC7236" w14:textId="40668355" w:rsidR="00CE6ED4" w:rsidRPr="00CE6ED4" w:rsidRDefault="00BF4048" w:rsidP="00CE6ED4">
      <w:pPr>
        <w:pStyle w:val="Dash"/>
        <w:rPr>
          <w:szCs w:val="22"/>
        </w:rPr>
      </w:pPr>
      <w:r>
        <w:t>5.3</w:t>
      </w:r>
      <w:r w:rsidR="0074499E">
        <w:t> per cent for Tier B</w:t>
      </w:r>
      <w:r w:rsidR="00CE6ED4">
        <w:t>,</w:t>
      </w:r>
      <w:r w:rsidR="0074499E">
        <w:t xml:space="preserve"> and </w:t>
      </w:r>
    </w:p>
    <w:p w14:paraId="043709C4" w14:textId="37C91CC9" w:rsidR="0074499E" w:rsidRPr="001A7E19" w:rsidRDefault="00BF4048" w:rsidP="00CE6ED4">
      <w:pPr>
        <w:pStyle w:val="Dash"/>
        <w:rPr>
          <w:szCs w:val="22"/>
        </w:rPr>
      </w:pPr>
      <w:r>
        <w:t>2.</w:t>
      </w:r>
      <w:r w:rsidR="007B73B1">
        <w:t>6</w:t>
      </w:r>
      <w:r w:rsidR="0074499E">
        <w:t> per cent for Tier C.</w:t>
      </w:r>
    </w:p>
    <w:p w14:paraId="15D9A2DA" w14:textId="0A312C5E" w:rsidR="00084B44" w:rsidRPr="00D8469D" w:rsidRDefault="00FF537F" w:rsidP="0004480C">
      <w:pPr>
        <w:pStyle w:val="Heading4"/>
      </w:pPr>
      <w:r>
        <w:br w:type="page"/>
      </w:r>
      <w:r w:rsidR="00351A38" w:rsidRPr="00811B1B">
        <w:t>Scope of the scheme</w:t>
      </w:r>
    </w:p>
    <w:p w14:paraId="59492F87" w14:textId="6E2C328F" w:rsidR="00CC6401" w:rsidRDefault="0004480C" w:rsidP="00FE628B">
      <w:pPr>
        <w:rPr>
          <w:szCs w:val="22"/>
        </w:rPr>
      </w:pPr>
      <w:r w:rsidRPr="00FE628B">
        <w:rPr>
          <w:i/>
        </w:rPr>
        <w:t xml:space="preserve">Recommendation 9: </w:t>
      </w:r>
      <w:r w:rsidR="00CC6401" w:rsidRPr="00FE628B">
        <w:t xml:space="preserve">That the scope of the scheme </w:t>
      </w:r>
      <w:proofErr w:type="gramStart"/>
      <w:r w:rsidR="00CC6401" w:rsidRPr="00FE628B">
        <w:t>be</w:t>
      </w:r>
      <w:proofErr w:type="gramEnd"/>
      <w:r w:rsidR="00CC6401" w:rsidRPr="00FE628B">
        <w:t xml:space="preserve"> </w:t>
      </w:r>
      <w:r w:rsidR="00FC1F7A" w:rsidRPr="00FE628B">
        <w:t>extended so that it applies to:</w:t>
      </w:r>
    </w:p>
    <w:p w14:paraId="67B13FEF" w14:textId="77777777" w:rsidR="00CC6401" w:rsidRPr="00FE628B" w:rsidRDefault="00007AA3" w:rsidP="00FE628B">
      <w:pPr>
        <w:pStyle w:val="Bullet"/>
        <w:numPr>
          <w:ilvl w:val="0"/>
          <w:numId w:val="44"/>
        </w:numPr>
        <w:tabs>
          <w:tab w:val="clear" w:pos="397"/>
          <w:tab w:val="left" w:pos="426"/>
        </w:tabs>
      </w:pPr>
      <w:r w:rsidRPr="00FE628B">
        <w:t>b</w:t>
      </w:r>
      <w:r w:rsidR="00CC6401" w:rsidRPr="00FE628B">
        <w:t>uildings in which at least 20</w:t>
      </w:r>
      <w:r w:rsidR="009F7DAD" w:rsidRPr="00FE628B">
        <w:t xml:space="preserve"> per cent</w:t>
      </w:r>
      <w:r w:rsidR="00CC6401" w:rsidRPr="00FE628B">
        <w:t xml:space="preserve"> of floor space is used for commercial purposes; and</w:t>
      </w:r>
    </w:p>
    <w:p w14:paraId="15EE9143" w14:textId="77777777" w:rsidR="00CC6401" w:rsidRPr="0004480C" w:rsidRDefault="00007AA3" w:rsidP="00FE628B">
      <w:pPr>
        <w:pStyle w:val="Bullet"/>
        <w:numPr>
          <w:ilvl w:val="0"/>
          <w:numId w:val="44"/>
        </w:numPr>
        <w:tabs>
          <w:tab w:val="clear" w:pos="397"/>
          <w:tab w:val="left" w:pos="426"/>
        </w:tabs>
        <w:ind w:left="397" w:hanging="397"/>
      </w:pPr>
      <w:proofErr w:type="gramStart"/>
      <w:r w:rsidRPr="00FE628B">
        <w:t>b</w:t>
      </w:r>
      <w:r w:rsidR="00CC6401" w:rsidRPr="00FE628B">
        <w:t>uildings</w:t>
      </w:r>
      <w:proofErr w:type="gramEnd"/>
      <w:r w:rsidR="00CC6401" w:rsidRPr="00FE628B">
        <w:t xml:space="preserve"> with a sum</w:t>
      </w:r>
      <w:r w:rsidR="008A07A0" w:rsidRPr="00FE628B">
        <w:noBreakHyphen/>
      </w:r>
      <w:r w:rsidR="00CC6401" w:rsidRPr="00FE628B">
        <w:t>insured value of at least $50 million, whether used for commercial or other purposes</w:t>
      </w:r>
      <w:r w:rsidR="00CC6401" w:rsidRPr="0004480C">
        <w:t>.</w:t>
      </w:r>
    </w:p>
    <w:p w14:paraId="69046E8C" w14:textId="3B8B2A96" w:rsidR="007B73B1" w:rsidRPr="0004480C" w:rsidRDefault="0004480C" w:rsidP="007B73B1">
      <w:r w:rsidRPr="0004480C">
        <w:rPr>
          <w:i/>
        </w:rPr>
        <w:t xml:space="preserve">Recommendation 10: </w:t>
      </w:r>
      <w:bookmarkStart w:id="70" w:name="_Toc408413464"/>
      <w:bookmarkStart w:id="71" w:name="_Toc408414178"/>
      <w:r w:rsidR="007B73B1" w:rsidRPr="0004480C">
        <w:t xml:space="preserve">That the application of the Act be clarified by amendments that remove doubt about </w:t>
      </w:r>
      <w:r w:rsidR="007B73B1">
        <w:t>whether certain losses would be covered under the scheme</w:t>
      </w:r>
      <w:r w:rsidR="00F90D19">
        <w:t>;</w:t>
      </w:r>
      <w:r w:rsidR="00FD11EF">
        <w:t xml:space="preserve"> in particular, losses attributable to terrorism </w:t>
      </w:r>
      <w:r w:rsidR="00E358A1">
        <w:t>attacks that use chemi</w:t>
      </w:r>
      <w:r w:rsidR="00FD11EF">
        <w:t xml:space="preserve">cal or biological </w:t>
      </w:r>
      <w:r w:rsidR="00E358A1">
        <w:t>means.</w:t>
      </w:r>
    </w:p>
    <w:p w14:paraId="7C477E38" w14:textId="0145ACD7" w:rsidR="005938C3" w:rsidRPr="0004480C" w:rsidRDefault="005938C3" w:rsidP="0004480C"/>
    <w:p w14:paraId="64A9A8FE" w14:textId="77777777" w:rsidR="000C5EE4" w:rsidRDefault="000C5EE4" w:rsidP="00951A43">
      <w:pPr>
        <w:pStyle w:val="Heading1"/>
        <w:sectPr w:rsidR="000C5EE4" w:rsidSect="00781757">
          <w:footerReference w:type="first" r:id="rId23"/>
          <w:type w:val="oddPage"/>
          <w:pgSz w:w="11906" w:h="16838" w:code="9"/>
          <w:pgMar w:top="1440" w:right="1440" w:bottom="1440" w:left="1440" w:header="709" w:footer="709" w:gutter="0"/>
          <w:pgNumType w:start="1"/>
          <w:cols w:space="708"/>
          <w:titlePg/>
          <w:docGrid w:linePitch="360"/>
        </w:sectPr>
      </w:pPr>
      <w:bookmarkStart w:id="72" w:name="_Toc409191085"/>
      <w:bookmarkStart w:id="73" w:name="_Toc409618518"/>
      <w:bookmarkStart w:id="74" w:name="_Toc409630049"/>
      <w:bookmarkStart w:id="75" w:name="_Toc410229541"/>
      <w:bookmarkStart w:id="76" w:name="_Toc410302176"/>
    </w:p>
    <w:p w14:paraId="3B809E12" w14:textId="50666153" w:rsidR="00DE4AC2" w:rsidRDefault="00DE4AC2" w:rsidP="00951A43">
      <w:pPr>
        <w:pStyle w:val="Heading1"/>
      </w:pPr>
      <w:bookmarkStart w:id="77" w:name="_Toc437877549"/>
      <w:r>
        <w:t>Chapter 1:</w:t>
      </w:r>
      <w:r w:rsidR="00951A43">
        <w:t xml:space="preserve">  </w:t>
      </w:r>
      <w:r>
        <w:t>Introduction</w:t>
      </w:r>
      <w:bookmarkEnd w:id="70"/>
      <w:bookmarkEnd w:id="71"/>
      <w:bookmarkEnd w:id="72"/>
      <w:bookmarkEnd w:id="73"/>
      <w:bookmarkEnd w:id="74"/>
      <w:bookmarkEnd w:id="75"/>
      <w:bookmarkEnd w:id="76"/>
      <w:bookmarkEnd w:id="77"/>
    </w:p>
    <w:p w14:paraId="503CE8C9" w14:textId="77777777" w:rsidR="00D85D73" w:rsidRPr="00F46513" w:rsidRDefault="009F7138" w:rsidP="00B02419">
      <w:pPr>
        <w:pStyle w:val="Heading2"/>
        <w:rPr>
          <w:rFonts w:cstheme="minorHAnsi"/>
        </w:rPr>
      </w:pPr>
      <w:bookmarkStart w:id="78" w:name="_Toc437877550"/>
      <w:r>
        <w:t>Rational</w:t>
      </w:r>
      <w:r w:rsidR="00243252">
        <w:t>e</w:t>
      </w:r>
      <w:r>
        <w:t xml:space="preserve"> </w:t>
      </w:r>
      <w:r w:rsidR="00D85D73">
        <w:t>of the scheme</w:t>
      </w:r>
      <w:bookmarkEnd w:id="68"/>
      <w:bookmarkEnd w:id="69"/>
      <w:bookmarkEnd w:id="78"/>
    </w:p>
    <w:p w14:paraId="4BBB5577" w14:textId="6C633352" w:rsidR="00042D76" w:rsidRDefault="004E0C48" w:rsidP="00755335">
      <w:pPr>
        <w:rPr>
          <w:rFonts w:cstheme="minorHAnsi"/>
        </w:rPr>
      </w:pPr>
      <w:r w:rsidRPr="009104A5">
        <w:t xml:space="preserve">The lack of affordable terrorism insurance </w:t>
      </w:r>
      <w:r>
        <w:t xml:space="preserve">following </w:t>
      </w:r>
      <w:r w:rsidR="00353987">
        <w:t xml:space="preserve">terrorism events on </w:t>
      </w:r>
      <w:r w:rsidRPr="00901B7D">
        <w:t>11 September 2001</w:t>
      </w:r>
      <w:r>
        <w:t xml:space="preserve"> </w:t>
      </w:r>
      <w:r w:rsidRPr="009104A5">
        <w:t>forced Australia</w:t>
      </w:r>
      <w:r w:rsidR="008A07A0">
        <w:t>’</w:t>
      </w:r>
      <w:r w:rsidRPr="009104A5">
        <w:t>s commercial property owners</w:t>
      </w:r>
      <w:r w:rsidR="005C38E2">
        <w:t>, developers</w:t>
      </w:r>
      <w:r w:rsidR="00D8469D">
        <w:t xml:space="preserve"> and investors </w:t>
      </w:r>
      <w:r w:rsidR="00353987">
        <w:t>(</w:t>
      </w:r>
      <w:r w:rsidR="00D8469D">
        <w:t>such as</w:t>
      </w:r>
      <w:r w:rsidRPr="009104A5">
        <w:t xml:space="preserve"> banks, superannuation funds and fund managers</w:t>
      </w:r>
      <w:r w:rsidR="00353987">
        <w:t>)</w:t>
      </w:r>
      <w:r w:rsidRPr="009104A5">
        <w:t xml:space="preserve"> to assume their own terrorism risk, as existing policies expired and renewal policies expl</w:t>
      </w:r>
      <w:r>
        <w:t>icitly excluded terrorism cover.</w:t>
      </w:r>
      <w:r w:rsidR="005C38E2">
        <w:t xml:space="preserve"> Effects included a substantial</w:t>
      </w:r>
      <w:r w:rsidR="005C38E2">
        <w:rPr>
          <w:rFonts w:cstheme="minorHAnsi"/>
        </w:rPr>
        <w:t xml:space="preserve"> reduction in commercial building activity.</w:t>
      </w:r>
      <w:r w:rsidR="00574ABA">
        <w:rPr>
          <w:rFonts w:cstheme="minorHAnsi"/>
        </w:rPr>
        <w:t xml:space="preserve"> As a result, in May 2002</w:t>
      </w:r>
      <w:r w:rsidR="00D85D73">
        <w:rPr>
          <w:rFonts w:cstheme="minorHAnsi"/>
        </w:rPr>
        <w:t xml:space="preserve"> the G</w:t>
      </w:r>
      <w:r w:rsidR="00D85D73" w:rsidRPr="00F46513">
        <w:rPr>
          <w:rFonts w:cstheme="minorHAnsi"/>
        </w:rPr>
        <w:t>overnment announced that it would act to protect the Australian economy from the negative effects of the withdrawa</w:t>
      </w:r>
      <w:r w:rsidR="00D85D73">
        <w:rPr>
          <w:rFonts w:cstheme="minorHAnsi"/>
        </w:rPr>
        <w:t>l of terrorism insurance cover.</w:t>
      </w:r>
    </w:p>
    <w:p w14:paraId="6CCA8607" w14:textId="77777777" w:rsidR="003A43E0" w:rsidRDefault="00D85D73" w:rsidP="00755335">
      <w:pPr>
        <w:rPr>
          <w:rFonts w:cstheme="minorHAnsi"/>
        </w:rPr>
      </w:pPr>
      <w:r w:rsidRPr="00F46513">
        <w:rPr>
          <w:rFonts w:cstheme="minorHAnsi"/>
        </w:rPr>
        <w:t xml:space="preserve">Subsequently, </w:t>
      </w:r>
      <w:r w:rsidR="00042D76">
        <w:rPr>
          <w:rFonts w:cstheme="minorHAnsi"/>
        </w:rPr>
        <w:t>a</w:t>
      </w:r>
      <w:r w:rsidRPr="00F46513">
        <w:rPr>
          <w:rFonts w:cstheme="minorHAnsi"/>
        </w:rPr>
        <w:t xml:space="preserve"> scheme was established under the </w:t>
      </w:r>
      <w:r w:rsidRPr="00F46513">
        <w:rPr>
          <w:rFonts w:cstheme="minorHAnsi"/>
          <w:i/>
        </w:rPr>
        <w:t>Terrorism Insurance Act 2003</w:t>
      </w:r>
      <w:r w:rsidRPr="00F46513">
        <w:rPr>
          <w:rFonts w:cstheme="minorHAnsi"/>
        </w:rPr>
        <w:t xml:space="preserve"> (the Act) to replace terrorism insurance coverage for commercial property and associated business interruption losses and public liability claims. Under the Act, the scheme is administered by the ARPC</w:t>
      </w:r>
      <w:r w:rsidR="00042D76">
        <w:rPr>
          <w:rFonts w:cstheme="minorHAnsi"/>
        </w:rPr>
        <w:t xml:space="preserve">, a </w:t>
      </w:r>
      <w:r w:rsidR="003A43E0">
        <w:rPr>
          <w:rFonts w:cstheme="minorHAnsi"/>
        </w:rPr>
        <w:t xml:space="preserve">Commonwealth </w:t>
      </w:r>
      <w:r w:rsidR="00042D76">
        <w:rPr>
          <w:rFonts w:cstheme="minorHAnsi"/>
        </w:rPr>
        <w:t>statutory corporation</w:t>
      </w:r>
      <w:r w:rsidR="008A07A0">
        <w:rPr>
          <w:rFonts w:cstheme="minorHAnsi"/>
        </w:rPr>
        <w:t xml:space="preserve">. </w:t>
      </w:r>
      <w:r w:rsidRPr="00F46513">
        <w:rPr>
          <w:rFonts w:cstheme="minorHAnsi"/>
        </w:rPr>
        <w:t>The scheme commenced on 1 July 2003.</w:t>
      </w:r>
    </w:p>
    <w:p w14:paraId="3084A58B" w14:textId="77777777" w:rsidR="00465F4F" w:rsidRPr="00B84A93" w:rsidRDefault="00465F4F" w:rsidP="00843660">
      <w:pPr>
        <w:pStyle w:val="Heading3"/>
      </w:pPr>
      <w:r w:rsidRPr="00B84A93">
        <w:t>Operation and coverage</w:t>
      </w:r>
    </w:p>
    <w:p w14:paraId="6BCF87A8" w14:textId="66BE3256" w:rsidR="001D147D" w:rsidRDefault="00465F4F" w:rsidP="00755335">
      <w:r w:rsidRPr="008A688D">
        <w:t>The Act operates by overriding terrorism exclusion clauses i</w:t>
      </w:r>
      <w:r w:rsidR="002A4390">
        <w:t>n eligible insurance contracts</w:t>
      </w:r>
      <w:r w:rsidRPr="008A688D">
        <w:t xml:space="preserve"> to the extent the losses excluded a</w:t>
      </w:r>
      <w:r w:rsidR="002A4390">
        <w:t>re eligible terrorism losses</w:t>
      </w:r>
      <w:r w:rsidRPr="008A688D">
        <w:t xml:space="preserve"> arising fro</w:t>
      </w:r>
      <w:r w:rsidR="002A4390">
        <w:t>m a declared terrorist incident</w:t>
      </w:r>
      <w:r>
        <w:t xml:space="preserve"> (DTI)</w:t>
      </w:r>
      <w:r w:rsidRPr="008A688D">
        <w:t>.</w:t>
      </w:r>
      <w:r w:rsidRPr="008A688D">
        <w:rPr>
          <w:rStyle w:val="FootnoteReference"/>
          <w:rFonts w:cstheme="minorHAnsi"/>
        </w:rPr>
        <w:footnoteReference w:id="4"/>
      </w:r>
      <w:r w:rsidRPr="008A688D">
        <w:t xml:space="preserve"> This requires insurers to meet eligible claims in accordance with the other terms and conditions of their policies.</w:t>
      </w:r>
    </w:p>
    <w:p w14:paraId="139420C9" w14:textId="53DFD5FD" w:rsidR="00376FD6" w:rsidRPr="008A688D" w:rsidRDefault="00042D76" w:rsidP="00755335">
      <w:r w:rsidRPr="008A688D">
        <w:t xml:space="preserve">Insurance companies </w:t>
      </w:r>
      <w:r w:rsidR="00583D2F">
        <w:t>can</w:t>
      </w:r>
      <w:r w:rsidRPr="008A688D">
        <w:t xml:space="preserve"> </w:t>
      </w:r>
      <w:r w:rsidR="00971BDA">
        <w:t>(</w:t>
      </w:r>
      <w:r>
        <w:t xml:space="preserve">but </w:t>
      </w:r>
      <w:r w:rsidR="00583D2F">
        <w:t xml:space="preserve">are </w:t>
      </w:r>
      <w:r>
        <w:t xml:space="preserve">not required </w:t>
      </w:r>
      <w:r w:rsidRPr="008A688D">
        <w:t>to</w:t>
      </w:r>
      <w:r w:rsidR="00971BDA">
        <w:t>)</w:t>
      </w:r>
      <w:r w:rsidRPr="008A688D">
        <w:t xml:space="preserve"> reinsure the risk of claims for eligible terrorism losses through the ARPC, in which case premiums are payable to the ARPC</w:t>
      </w:r>
      <w:r w:rsidR="00755539">
        <w:t xml:space="preserve"> at rates set by the Minister</w:t>
      </w:r>
      <w:r w:rsidRPr="008A688D">
        <w:t>.</w:t>
      </w:r>
      <w:r w:rsidR="002A4390">
        <w:t xml:space="preserve"> Insurance companies can choose to reinsure through the private reinsurance market.</w:t>
      </w:r>
    </w:p>
    <w:p w14:paraId="34BA6FF3" w14:textId="77777777" w:rsidR="00465F4F" w:rsidRPr="008A688D" w:rsidRDefault="00465F4F" w:rsidP="00755335">
      <w:r>
        <w:t>An eligible insurance contract</w:t>
      </w:r>
      <w:r w:rsidRPr="008A688D">
        <w:t xml:space="preserve"> is a contract that provides insurance coverage for:</w:t>
      </w:r>
    </w:p>
    <w:p w14:paraId="6F658834" w14:textId="72FE8E98" w:rsidR="00465F4F" w:rsidRPr="00843660" w:rsidRDefault="00465F4F" w:rsidP="00843660">
      <w:pPr>
        <w:pStyle w:val="Bullet"/>
      </w:pPr>
      <w:r w:rsidRPr="00843660">
        <w:t>loss of, or damage to, eligible property owned by the insured;</w:t>
      </w:r>
      <w:r w:rsidR="00506367" w:rsidRPr="00843660">
        <w:tab/>
      </w:r>
    </w:p>
    <w:p w14:paraId="2527254F" w14:textId="36CA7856" w:rsidR="00465F4F" w:rsidRPr="00843660" w:rsidRDefault="00465F4F" w:rsidP="00843660">
      <w:pPr>
        <w:pStyle w:val="Bullet"/>
      </w:pPr>
      <w:r w:rsidRPr="00843660">
        <w:t>business interruption and consequential loss arising from loss of, or damage to, eligible property that is owned or occupied by the insured or an inability to use all or part of such property; or</w:t>
      </w:r>
    </w:p>
    <w:p w14:paraId="69CF0942" w14:textId="2AB15122" w:rsidR="00465F4F" w:rsidRPr="00843660" w:rsidRDefault="00465F4F" w:rsidP="00843660">
      <w:pPr>
        <w:pStyle w:val="Bullet"/>
      </w:pPr>
      <w:proofErr w:type="gramStart"/>
      <w:r w:rsidRPr="00843660">
        <w:t>liability</w:t>
      </w:r>
      <w:proofErr w:type="gramEnd"/>
      <w:r w:rsidRPr="00843660">
        <w:t xml:space="preserve"> of the insured that arises </w:t>
      </w:r>
      <w:r w:rsidR="00BD531D">
        <w:t>from</w:t>
      </w:r>
      <w:r w:rsidRPr="00843660">
        <w:t xml:space="preserve"> the insured being the owner or occupier of eligible property.</w:t>
      </w:r>
      <w:r w:rsidRPr="00843660">
        <w:rPr>
          <w:rStyle w:val="FootnoteReference"/>
        </w:rPr>
        <w:footnoteReference w:id="5"/>
      </w:r>
    </w:p>
    <w:p w14:paraId="46A326B5" w14:textId="77777777" w:rsidR="00465F4F" w:rsidRPr="00843660" w:rsidRDefault="008A07A0" w:rsidP="00755335">
      <w:r>
        <w:t>‘</w:t>
      </w:r>
      <w:r w:rsidR="00465F4F" w:rsidRPr="00843660">
        <w:t>Eligible property</w:t>
      </w:r>
      <w:r>
        <w:t>’</w:t>
      </w:r>
      <w:r w:rsidR="00465F4F" w:rsidRPr="00843660">
        <w:t xml:space="preserve"> is defined under the Act as the following property that is located in Australia:</w:t>
      </w:r>
    </w:p>
    <w:p w14:paraId="7C10BFA6" w14:textId="77777777" w:rsidR="00465F4F" w:rsidRPr="00843660" w:rsidRDefault="00465F4F" w:rsidP="00843660">
      <w:pPr>
        <w:pStyle w:val="Bullet"/>
      </w:pPr>
      <w:r w:rsidRPr="00843660">
        <w:t>buildings (including fixtures) or other structures or works on, in or under land;</w:t>
      </w:r>
    </w:p>
    <w:p w14:paraId="2995319A" w14:textId="77777777" w:rsidR="00465F4F" w:rsidRPr="00843660" w:rsidRDefault="00465F4F" w:rsidP="00843660">
      <w:pPr>
        <w:pStyle w:val="Bullet"/>
      </w:pPr>
      <w:r w:rsidRPr="00843660">
        <w:t>tangible property that is located in, or on, such property; and</w:t>
      </w:r>
    </w:p>
    <w:p w14:paraId="5B9CA2CE" w14:textId="77777777" w:rsidR="00465F4F" w:rsidRDefault="00465F4F" w:rsidP="00843660">
      <w:pPr>
        <w:pStyle w:val="Bullet"/>
      </w:pPr>
      <w:proofErr w:type="gramStart"/>
      <w:r w:rsidRPr="00843660">
        <w:t>property</w:t>
      </w:r>
      <w:proofErr w:type="gramEnd"/>
      <w:r w:rsidRPr="00843660">
        <w:t xml:space="preserve"> prescribed by regulation.</w:t>
      </w:r>
      <w:r w:rsidRPr="005938C3">
        <w:rPr>
          <w:rStyle w:val="FootnoteReference"/>
        </w:rPr>
        <w:footnoteReference w:id="6"/>
      </w:r>
    </w:p>
    <w:p w14:paraId="4D2128F2" w14:textId="7D1323FE" w:rsidR="00971BDA" w:rsidRPr="00843660" w:rsidRDefault="00971BDA" w:rsidP="00971BDA">
      <w:pPr>
        <w:pStyle w:val="Bullet"/>
        <w:numPr>
          <w:ilvl w:val="0"/>
          <w:numId w:val="0"/>
        </w:numPr>
        <w:ind w:left="397" w:hanging="397"/>
      </w:pPr>
      <w:r>
        <w:t xml:space="preserve">Note that there </w:t>
      </w:r>
      <w:r w:rsidR="00C71289">
        <w:t xml:space="preserve">is </w:t>
      </w:r>
      <w:r>
        <w:t xml:space="preserve">a range of exclusions set out in the </w:t>
      </w:r>
      <w:r w:rsidRPr="00971BDA">
        <w:rPr>
          <w:i/>
        </w:rPr>
        <w:t>Terrorism Insurance Regulations 2003</w:t>
      </w:r>
      <w:r>
        <w:t>.</w:t>
      </w:r>
    </w:p>
    <w:p w14:paraId="231EAC14" w14:textId="77777777" w:rsidR="00465F4F" w:rsidRPr="00C879ED" w:rsidRDefault="00997403" w:rsidP="00755335">
      <w:pPr>
        <w:pStyle w:val="Heading3"/>
        <w:spacing w:before="0"/>
      </w:pPr>
      <w:r>
        <w:t xml:space="preserve">How </w:t>
      </w:r>
      <w:r w:rsidR="00762C43">
        <w:t>a claim</w:t>
      </w:r>
      <w:r>
        <w:t xml:space="preserve"> is funded</w:t>
      </w:r>
    </w:p>
    <w:p w14:paraId="6ABC3CAD" w14:textId="5C0A2D91" w:rsidR="00C03209" w:rsidRPr="00BD7D43" w:rsidRDefault="00BD7D43" w:rsidP="00755335">
      <w:pPr>
        <w:rPr>
          <w:lang w:val="en"/>
        </w:rPr>
      </w:pPr>
      <w:r w:rsidRPr="00BD7D43">
        <w:rPr>
          <w:lang w:val="en"/>
        </w:rPr>
        <w:t xml:space="preserve">In the event of a DTI, claims would </w:t>
      </w:r>
      <w:r w:rsidR="00BD531D">
        <w:rPr>
          <w:lang w:val="en"/>
        </w:rPr>
        <w:t>progress along the following sequence</w:t>
      </w:r>
      <w:r w:rsidR="002A4390">
        <w:rPr>
          <w:lang w:val="en"/>
        </w:rPr>
        <w:t xml:space="preserve"> (see also Figure 1)</w:t>
      </w:r>
      <w:r w:rsidR="00C03209" w:rsidRPr="00BD7D43">
        <w:rPr>
          <w:lang w:val="en"/>
        </w:rPr>
        <w:t>:</w:t>
      </w:r>
    </w:p>
    <w:p w14:paraId="5270A8A4" w14:textId="55E7ED25" w:rsidR="00C03209" w:rsidRPr="00BD7D43" w:rsidRDefault="00BD7D43" w:rsidP="00843660">
      <w:pPr>
        <w:pStyle w:val="OutlineNumbered1"/>
        <w:rPr>
          <w:lang w:val="en"/>
        </w:rPr>
      </w:pPr>
      <w:r w:rsidRPr="00BD7D43">
        <w:rPr>
          <w:lang w:val="en"/>
        </w:rPr>
        <w:t xml:space="preserve">Losses would be met first </w:t>
      </w:r>
      <w:r w:rsidR="002A4390">
        <w:rPr>
          <w:lang w:val="en"/>
        </w:rPr>
        <w:t>by</w:t>
      </w:r>
      <w:r w:rsidRPr="00BD7D43">
        <w:rPr>
          <w:lang w:val="en"/>
        </w:rPr>
        <w:t xml:space="preserve"> </w:t>
      </w:r>
      <w:r w:rsidR="00C03209" w:rsidRPr="00BD7D43">
        <w:rPr>
          <w:lang w:val="en"/>
        </w:rPr>
        <w:t xml:space="preserve">industry </w:t>
      </w:r>
      <w:r w:rsidR="002A4390">
        <w:rPr>
          <w:lang w:val="en"/>
        </w:rPr>
        <w:t>up to the level of each insurer</w:t>
      </w:r>
      <w:r w:rsidR="008A07A0">
        <w:rPr>
          <w:lang w:val="en"/>
        </w:rPr>
        <w:t>’</w:t>
      </w:r>
      <w:r w:rsidR="002A4390">
        <w:rPr>
          <w:lang w:val="en"/>
        </w:rPr>
        <w:t xml:space="preserve">s </w:t>
      </w:r>
      <w:r w:rsidR="00C03209" w:rsidRPr="00BD7D43">
        <w:rPr>
          <w:lang w:val="en"/>
        </w:rPr>
        <w:t>retention</w:t>
      </w:r>
      <w:r w:rsidR="00001646">
        <w:rPr>
          <w:lang w:val="en"/>
        </w:rPr>
        <w:t>;</w:t>
      </w:r>
      <w:r w:rsidRPr="00BD7D43">
        <w:rPr>
          <w:lang w:val="en"/>
        </w:rPr>
        <w:t xml:space="preserve"> then</w:t>
      </w:r>
    </w:p>
    <w:p w14:paraId="470275B7" w14:textId="77777777" w:rsidR="00C03209" w:rsidRPr="00BD7D43" w:rsidRDefault="00843660" w:rsidP="00843660">
      <w:pPr>
        <w:pStyle w:val="OutlineNumbered1"/>
        <w:rPr>
          <w:lang w:val="en"/>
        </w:rPr>
      </w:pPr>
      <w:r>
        <w:rPr>
          <w:lang w:val="en"/>
        </w:rPr>
        <w:t>F</w:t>
      </w:r>
      <w:r w:rsidR="00BD7D43" w:rsidRPr="00BD7D43">
        <w:rPr>
          <w:lang w:val="en"/>
        </w:rPr>
        <w:t xml:space="preserve">rom </w:t>
      </w:r>
      <w:r w:rsidR="00C03209" w:rsidRPr="00BD7D43">
        <w:rPr>
          <w:lang w:val="en"/>
        </w:rPr>
        <w:t xml:space="preserve">ARPC </w:t>
      </w:r>
      <w:r w:rsidR="00BD7D43" w:rsidRPr="00BD7D43">
        <w:rPr>
          <w:lang w:val="en"/>
        </w:rPr>
        <w:t xml:space="preserve">capital </w:t>
      </w:r>
      <w:r w:rsidR="002A4390">
        <w:rPr>
          <w:lang w:val="en"/>
        </w:rPr>
        <w:t xml:space="preserve">up </w:t>
      </w:r>
      <w:r w:rsidR="00BD7D43" w:rsidRPr="00BD7D43">
        <w:rPr>
          <w:lang w:val="en"/>
        </w:rPr>
        <w:t>to the value of the deductible on retrocession cover</w:t>
      </w:r>
      <w:r w:rsidR="00E70FAE">
        <w:rPr>
          <w:lang w:val="en"/>
        </w:rPr>
        <w:t>;</w:t>
      </w:r>
      <w:r w:rsidR="00BD7D43" w:rsidRPr="00BD7D43">
        <w:rPr>
          <w:lang w:val="en"/>
        </w:rPr>
        <w:t xml:space="preserve"> then</w:t>
      </w:r>
    </w:p>
    <w:p w14:paraId="446ADB07" w14:textId="5B37DF17" w:rsidR="00C03209" w:rsidRPr="00BD7D43" w:rsidRDefault="00843660" w:rsidP="00843660">
      <w:pPr>
        <w:pStyle w:val="OutlineNumbered1"/>
        <w:rPr>
          <w:lang w:val="en"/>
        </w:rPr>
      </w:pPr>
      <w:r>
        <w:rPr>
          <w:lang w:val="en"/>
        </w:rPr>
        <w:t>F</w:t>
      </w:r>
      <w:r w:rsidR="00E70FAE">
        <w:rPr>
          <w:lang w:val="en"/>
        </w:rPr>
        <w:t>rom</w:t>
      </w:r>
      <w:r w:rsidR="00BD7D43" w:rsidRPr="00BD7D43">
        <w:rPr>
          <w:lang w:val="en"/>
        </w:rPr>
        <w:t xml:space="preserve"> the </w:t>
      </w:r>
      <w:r w:rsidR="00C03209" w:rsidRPr="00BD7D43">
        <w:rPr>
          <w:lang w:val="en"/>
        </w:rPr>
        <w:t>retrocession program</w:t>
      </w:r>
      <w:r w:rsidR="00BD7D43" w:rsidRPr="00BD7D43">
        <w:rPr>
          <w:lang w:val="en"/>
        </w:rPr>
        <w:t xml:space="preserve">, </w:t>
      </w:r>
      <w:r w:rsidR="00F64173">
        <w:rPr>
          <w:lang w:val="en"/>
        </w:rPr>
        <w:t>(</w:t>
      </w:r>
      <w:r w:rsidR="00BD7D43" w:rsidRPr="00BD7D43">
        <w:rPr>
          <w:lang w:val="en"/>
        </w:rPr>
        <w:t>with a</w:t>
      </w:r>
      <w:r w:rsidR="00F64173">
        <w:rPr>
          <w:lang w:val="en"/>
        </w:rPr>
        <w:t>ny</w:t>
      </w:r>
      <w:r w:rsidR="00BD7D43" w:rsidRPr="00BD7D43">
        <w:rPr>
          <w:lang w:val="en"/>
        </w:rPr>
        <w:t xml:space="preserve"> co</w:t>
      </w:r>
      <w:r w:rsidR="008A07A0">
        <w:rPr>
          <w:lang w:val="en"/>
        </w:rPr>
        <w:noBreakHyphen/>
      </w:r>
      <w:r w:rsidR="00BD7D43" w:rsidRPr="00BD7D43">
        <w:rPr>
          <w:lang w:val="en"/>
        </w:rPr>
        <w:t>contribution being made from ARPC capital</w:t>
      </w:r>
      <w:r w:rsidR="002C7CF8">
        <w:rPr>
          <w:lang w:val="en"/>
        </w:rPr>
        <w:t xml:space="preserve"> and then through the government guarantee</w:t>
      </w:r>
      <w:r w:rsidR="00F64173">
        <w:rPr>
          <w:lang w:val="en"/>
        </w:rPr>
        <w:t>)</w:t>
      </w:r>
      <w:r w:rsidR="00001646">
        <w:rPr>
          <w:lang w:val="en"/>
        </w:rPr>
        <w:t xml:space="preserve">; </w:t>
      </w:r>
      <w:r w:rsidR="00BD7D43" w:rsidRPr="00BD7D43">
        <w:rPr>
          <w:lang w:val="en"/>
        </w:rPr>
        <w:t>and finally</w:t>
      </w:r>
    </w:p>
    <w:p w14:paraId="52616473" w14:textId="12ED72D7" w:rsidR="00C03209" w:rsidRPr="00BD7D43" w:rsidRDefault="00843660" w:rsidP="00843660">
      <w:pPr>
        <w:pStyle w:val="OutlineNumbered1"/>
        <w:rPr>
          <w:lang w:val="en"/>
        </w:rPr>
      </w:pPr>
      <w:r>
        <w:rPr>
          <w:lang w:val="en"/>
        </w:rPr>
        <w:t>Through</w:t>
      </w:r>
      <w:r w:rsidR="00BD7D43" w:rsidRPr="00BD7D43">
        <w:rPr>
          <w:lang w:val="en"/>
        </w:rPr>
        <w:t xml:space="preserve"> the </w:t>
      </w:r>
      <w:r w:rsidR="00297D28">
        <w:rPr>
          <w:lang w:val="en"/>
        </w:rPr>
        <w:t>government</w:t>
      </w:r>
      <w:r w:rsidR="00297D28" w:rsidRPr="00BD7D43">
        <w:rPr>
          <w:lang w:val="en"/>
        </w:rPr>
        <w:t xml:space="preserve"> </w:t>
      </w:r>
      <w:r w:rsidR="00C03209" w:rsidRPr="00BD7D43">
        <w:rPr>
          <w:lang w:val="en"/>
        </w:rPr>
        <w:t>guarantee</w:t>
      </w:r>
      <w:r w:rsidR="00762C43">
        <w:rPr>
          <w:lang w:val="en"/>
        </w:rPr>
        <w:t>,</w:t>
      </w:r>
      <w:r w:rsidR="00BD7D43" w:rsidRPr="00BD7D43">
        <w:rPr>
          <w:lang w:val="en"/>
        </w:rPr>
        <w:t xml:space="preserve"> u</w:t>
      </w:r>
      <w:r w:rsidR="00F64173">
        <w:rPr>
          <w:lang w:val="en"/>
        </w:rPr>
        <w:t>p to the $10 billion cap</w:t>
      </w:r>
      <w:r w:rsidR="00C03209" w:rsidRPr="00BD7D43">
        <w:rPr>
          <w:lang w:val="en"/>
        </w:rPr>
        <w:t>.</w:t>
      </w:r>
    </w:p>
    <w:p w14:paraId="7D575F7F" w14:textId="078018AA" w:rsidR="00BD7D43" w:rsidRDefault="002A4390" w:rsidP="00755335">
      <w:pPr>
        <w:rPr>
          <w:lang w:val="en"/>
        </w:rPr>
      </w:pPr>
      <w:r>
        <w:rPr>
          <w:lang w:val="en"/>
        </w:rPr>
        <w:t xml:space="preserve">The sum of these tiers represents the maximum claimable amount under the scheme. </w:t>
      </w:r>
      <w:r w:rsidR="00BD7D43">
        <w:rPr>
          <w:lang w:val="en"/>
        </w:rPr>
        <w:t xml:space="preserve">Should the total claimed losses exceed the capital of the ARPC, the value of retrocession cover purchased and the $10 billion government guarantee, </w:t>
      </w:r>
      <w:r w:rsidR="00F64173">
        <w:rPr>
          <w:lang w:val="en"/>
        </w:rPr>
        <w:t xml:space="preserve">a ‘reduction percentage’ would be applied and </w:t>
      </w:r>
      <w:r w:rsidR="00BD7D43">
        <w:rPr>
          <w:lang w:val="en"/>
        </w:rPr>
        <w:t xml:space="preserve">claims </w:t>
      </w:r>
      <w:r w:rsidR="00762C43">
        <w:rPr>
          <w:lang w:val="en"/>
        </w:rPr>
        <w:t xml:space="preserve">would </w:t>
      </w:r>
      <w:r w:rsidR="00BD7D43">
        <w:rPr>
          <w:lang w:val="en"/>
        </w:rPr>
        <w:t xml:space="preserve">be paid </w:t>
      </w:r>
      <w:r w:rsidR="00762C43">
        <w:rPr>
          <w:lang w:val="en"/>
        </w:rPr>
        <w:t>on a</w:t>
      </w:r>
      <w:r w:rsidR="00BD7D43">
        <w:rPr>
          <w:lang w:val="en"/>
        </w:rPr>
        <w:t xml:space="preserve"> pro rata</w:t>
      </w:r>
      <w:r w:rsidR="00762C43">
        <w:rPr>
          <w:lang w:val="en"/>
        </w:rPr>
        <w:t xml:space="preserve"> basis</w:t>
      </w:r>
      <w:r w:rsidR="00BD7D43">
        <w:rPr>
          <w:lang w:val="en"/>
        </w:rPr>
        <w:t>.</w:t>
      </w:r>
    </w:p>
    <w:p w14:paraId="1BF79588" w14:textId="77777777" w:rsidR="00A967F2" w:rsidRPr="00BD7D43" w:rsidRDefault="00A967F2" w:rsidP="00755335">
      <w:pPr>
        <w:rPr>
          <w:lang w:val="en"/>
        </w:rPr>
      </w:pPr>
      <w:r w:rsidRPr="00BD7D43">
        <w:rPr>
          <w:lang w:val="en"/>
        </w:rPr>
        <w:t>Insurers that reinsure their terrorism risks with ARPC retain part of the cost from a DTI. The retention</w:t>
      </w:r>
      <w:r w:rsidR="00762C43">
        <w:rPr>
          <w:lang w:val="en"/>
        </w:rPr>
        <w:t>, similar to</w:t>
      </w:r>
      <w:r w:rsidRPr="00BD7D43">
        <w:rPr>
          <w:lang w:val="en"/>
        </w:rPr>
        <w:t xml:space="preserve"> an excess or deductible, requires the insurer to pay the first part of any claim. Retentions </w:t>
      </w:r>
      <w:r w:rsidR="00762C43">
        <w:rPr>
          <w:lang w:val="en"/>
        </w:rPr>
        <w:t>for individual insurers</w:t>
      </w:r>
      <w:r w:rsidRPr="00BD7D43">
        <w:rPr>
          <w:lang w:val="en"/>
        </w:rPr>
        <w:t xml:space="preserve"> are calculated as </w:t>
      </w:r>
      <w:r w:rsidR="0060526C">
        <w:rPr>
          <w:lang w:val="en"/>
        </w:rPr>
        <w:t>4</w:t>
      </w:r>
      <w:r w:rsidRPr="00BD7D43">
        <w:rPr>
          <w:lang w:val="en"/>
        </w:rPr>
        <w:t xml:space="preserve"> per cent of fire and industrial special risk premiums collected by the insurer, with a minimum retention of $100,000 and a maximum retention of $10 million.</w:t>
      </w:r>
    </w:p>
    <w:p w14:paraId="043048C5" w14:textId="77777777" w:rsidR="005C1B0A" w:rsidRPr="005938C3" w:rsidRDefault="00762C43" w:rsidP="00755335">
      <w:pPr>
        <w:rPr>
          <w:lang w:val="en"/>
        </w:rPr>
      </w:pPr>
      <w:r>
        <w:rPr>
          <w:lang w:val="en"/>
        </w:rPr>
        <w:t>T</w:t>
      </w:r>
      <w:r w:rsidR="00C7748A">
        <w:rPr>
          <w:lang w:val="en"/>
        </w:rPr>
        <w:t xml:space="preserve">he </w:t>
      </w:r>
      <w:r w:rsidR="00A967F2" w:rsidRPr="00BD7D43">
        <w:rPr>
          <w:lang w:val="en"/>
        </w:rPr>
        <w:t>ARPC</w:t>
      </w:r>
      <w:r w:rsidR="008A07A0">
        <w:rPr>
          <w:lang w:val="en"/>
        </w:rPr>
        <w:t>’</w:t>
      </w:r>
      <w:r w:rsidR="00A967F2" w:rsidRPr="00BD7D43">
        <w:rPr>
          <w:lang w:val="en"/>
        </w:rPr>
        <w:t xml:space="preserve">s reinsurance agreement </w:t>
      </w:r>
      <w:r>
        <w:rPr>
          <w:lang w:val="en"/>
        </w:rPr>
        <w:t xml:space="preserve">also </w:t>
      </w:r>
      <w:r w:rsidR="00A967F2" w:rsidRPr="00BD7D43">
        <w:rPr>
          <w:lang w:val="en"/>
        </w:rPr>
        <w:t xml:space="preserve">provides for </w:t>
      </w:r>
      <w:proofErr w:type="gramStart"/>
      <w:r w:rsidR="00755335">
        <w:rPr>
          <w:lang w:val="en"/>
        </w:rPr>
        <w:t>a maximum</w:t>
      </w:r>
      <w:proofErr w:type="gramEnd"/>
      <w:r w:rsidR="00A967F2" w:rsidRPr="00BD7D43">
        <w:rPr>
          <w:lang w:val="en"/>
        </w:rPr>
        <w:t xml:space="preserve"> industry retention of $100 million. If the </w:t>
      </w:r>
      <w:r w:rsidR="002228AD">
        <w:rPr>
          <w:lang w:val="en"/>
        </w:rPr>
        <w:t xml:space="preserve">sum of the </w:t>
      </w:r>
      <w:r w:rsidR="002228AD" w:rsidRPr="00BD7D43">
        <w:rPr>
          <w:lang w:val="en"/>
        </w:rPr>
        <w:t xml:space="preserve">retentions of </w:t>
      </w:r>
      <w:r w:rsidR="002228AD">
        <w:rPr>
          <w:lang w:val="en"/>
        </w:rPr>
        <w:t xml:space="preserve">individual </w:t>
      </w:r>
      <w:r w:rsidR="002228AD" w:rsidRPr="00BD7D43">
        <w:rPr>
          <w:lang w:val="en"/>
        </w:rPr>
        <w:t>insurers in respect of all eligible terrorism losses caused by a single DTI exceeds</w:t>
      </w:r>
      <w:r w:rsidR="00A967F2" w:rsidRPr="00BD7D43">
        <w:rPr>
          <w:lang w:val="en"/>
        </w:rPr>
        <w:t xml:space="preserve"> the maximum industry retention of $100 million, </w:t>
      </w:r>
      <w:r w:rsidR="002228AD">
        <w:rPr>
          <w:lang w:val="en"/>
        </w:rPr>
        <w:t xml:space="preserve">then </w:t>
      </w:r>
      <w:r>
        <w:rPr>
          <w:lang w:val="en"/>
        </w:rPr>
        <w:t>each</w:t>
      </w:r>
      <w:r w:rsidR="00A967F2" w:rsidRPr="00BD7D43">
        <w:rPr>
          <w:lang w:val="en"/>
        </w:rPr>
        <w:t xml:space="preserve"> insurer</w:t>
      </w:r>
      <w:r w:rsidR="008A07A0">
        <w:rPr>
          <w:lang w:val="en"/>
        </w:rPr>
        <w:t>’</w:t>
      </w:r>
      <w:r w:rsidR="00A967F2" w:rsidRPr="00BD7D43">
        <w:rPr>
          <w:lang w:val="en"/>
        </w:rPr>
        <w:t>s retention is reduced proportionately.</w:t>
      </w:r>
      <w:r w:rsidR="00E70FAE">
        <w:rPr>
          <w:rStyle w:val="FootnoteReference"/>
          <w:lang w:val="en"/>
        </w:rPr>
        <w:footnoteReference w:id="7"/>
      </w:r>
    </w:p>
    <w:p w14:paraId="6264F1C4" w14:textId="6B8BAEE3" w:rsidR="000022E1" w:rsidRDefault="000022E1" w:rsidP="000022E1">
      <w:pPr>
        <w:pStyle w:val="ChartGraphic"/>
      </w:pPr>
      <w:r>
        <w:br w:type="page"/>
      </w:r>
    </w:p>
    <w:p w14:paraId="559BCC1C" w14:textId="77777777" w:rsidR="00D9103C" w:rsidRDefault="00465F4F" w:rsidP="000022E1">
      <w:pPr>
        <w:pStyle w:val="FigureHeading"/>
      </w:pPr>
      <w:r w:rsidRPr="00BE2F72">
        <w:t xml:space="preserve">Figure 1: </w:t>
      </w:r>
      <w:r w:rsidR="0099789F">
        <w:t>2015</w:t>
      </w:r>
      <w:r w:rsidR="0099789F" w:rsidRPr="00BE2F72">
        <w:t xml:space="preserve"> </w:t>
      </w:r>
      <w:r w:rsidRPr="00BE2F72">
        <w:t xml:space="preserve">ARPC </w:t>
      </w:r>
      <w:r w:rsidR="001B6A78">
        <w:t xml:space="preserve">scheme </w:t>
      </w:r>
      <w:proofErr w:type="gramStart"/>
      <w:r w:rsidRPr="00BE2F72">
        <w:t>capacity</w:t>
      </w:r>
      <w:proofErr w:type="gramEnd"/>
    </w:p>
    <w:p w14:paraId="54F23B31" w14:textId="77777777" w:rsidR="00A52006" w:rsidRDefault="000022E1" w:rsidP="00082936">
      <w:pPr>
        <w:pStyle w:val="Figuregraphic"/>
      </w:pPr>
      <w:bookmarkStart w:id="79" w:name="_Toc406424586"/>
      <w:r>
        <w:rPr>
          <w:noProof/>
        </w:rPr>
        <w:drawing>
          <wp:anchor distT="0" distB="0" distL="114300" distR="114300" simplePos="0" relativeHeight="251658240" behindDoc="0" locked="0" layoutInCell="1" allowOverlap="1" wp14:anchorId="65E74569" wp14:editId="745EC4A7">
            <wp:simplePos x="0" y="0"/>
            <wp:positionH relativeFrom="margin">
              <wp:align>center</wp:align>
            </wp:positionH>
            <wp:positionV relativeFrom="paragraph">
              <wp:posOffset>210693</wp:posOffset>
            </wp:positionV>
            <wp:extent cx="4340591" cy="6300000"/>
            <wp:effectExtent l="0" t="0" r="317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C scheme structure 1501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0591" cy="6300000"/>
                    </a:xfrm>
                    <a:prstGeom prst="rect">
                      <a:avLst/>
                    </a:prstGeom>
                    <a:ln w="3175">
                      <a:noFill/>
                    </a:ln>
                  </pic:spPr>
                </pic:pic>
              </a:graphicData>
            </a:graphic>
            <wp14:sizeRelH relativeFrom="page">
              <wp14:pctWidth>0</wp14:pctWidth>
            </wp14:sizeRelH>
            <wp14:sizeRelV relativeFrom="page">
              <wp14:pctHeight>0</wp14:pctHeight>
            </wp14:sizeRelV>
          </wp:anchor>
        </w:drawing>
      </w:r>
    </w:p>
    <w:p w14:paraId="6BD5ABA7" w14:textId="77777777" w:rsidR="000022E1" w:rsidRDefault="000022E1" w:rsidP="00082936"/>
    <w:p w14:paraId="7F27123C" w14:textId="77777777" w:rsidR="000022E1" w:rsidRDefault="000022E1" w:rsidP="00082936"/>
    <w:p w14:paraId="18F38FA5" w14:textId="77777777" w:rsidR="000022E1" w:rsidRDefault="000022E1" w:rsidP="00082936"/>
    <w:p w14:paraId="52DA6C8E" w14:textId="77777777" w:rsidR="000022E1" w:rsidRDefault="000022E1" w:rsidP="00082936"/>
    <w:p w14:paraId="20836598" w14:textId="77777777" w:rsidR="000022E1" w:rsidRDefault="000022E1" w:rsidP="00082936"/>
    <w:p w14:paraId="6BDD422C" w14:textId="77777777" w:rsidR="000022E1" w:rsidRDefault="000022E1" w:rsidP="00082936"/>
    <w:p w14:paraId="2240768A" w14:textId="77777777" w:rsidR="000022E1" w:rsidRDefault="000022E1" w:rsidP="00082936"/>
    <w:p w14:paraId="1E105CD5" w14:textId="77777777" w:rsidR="000022E1" w:rsidRDefault="000022E1" w:rsidP="00082936"/>
    <w:p w14:paraId="74C622E7" w14:textId="77777777" w:rsidR="000022E1" w:rsidRDefault="000022E1" w:rsidP="00082936"/>
    <w:p w14:paraId="7035FBB7" w14:textId="77777777" w:rsidR="000022E1" w:rsidRDefault="000022E1" w:rsidP="00082936"/>
    <w:p w14:paraId="620688CD" w14:textId="77777777" w:rsidR="000022E1" w:rsidRDefault="000022E1" w:rsidP="00082936"/>
    <w:p w14:paraId="2FBAFAEA" w14:textId="77777777" w:rsidR="000022E1" w:rsidRDefault="000022E1" w:rsidP="00082936"/>
    <w:p w14:paraId="33389FB3" w14:textId="77777777" w:rsidR="000022E1" w:rsidRDefault="000022E1" w:rsidP="00082936"/>
    <w:p w14:paraId="1E5374D0" w14:textId="77777777" w:rsidR="000022E1" w:rsidRDefault="000022E1" w:rsidP="00082936"/>
    <w:p w14:paraId="02B520CA" w14:textId="77777777" w:rsidR="000022E1" w:rsidRDefault="000022E1" w:rsidP="00082936"/>
    <w:p w14:paraId="79B794F6" w14:textId="77777777" w:rsidR="000022E1" w:rsidRDefault="000022E1" w:rsidP="00082936"/>
    <w:p w14:paraId="12DA8853" w14:textId="77777777" w:rsidR="000022E1" w:rsidRDefault="000022E1" w:rsidP="00082936"/>
    <w:p w14:paraId="64AC9238" w14:textId="77777777" w:rsidR="000022E1" w:rsidRDefault="000022E1" w:rsidP="00082936"/>
    <w:p w14:paraId="4B7265C7" w14:textId="77777777" w:rsidR="000022E1" w:rsidRDefault="000022E1" w:rsidP="00082936"/>
    <w:p w14:paraId="37AB5FFF" w14:textId="77777777" w:rsidR="000C5EE4" w:rsidRDefault="000C5EE4" w:rsidP="00951A43">
      <w:pPr>
        <w:pStyle w:val="Heading1"/>
        <w:sectPr w:rsidR="000C5EE4" w:rsidSect="000C5EE4">
          <w:type w:val="oddPage"/>
          <w:pgSz w:w="11906" w:h="16838" w:code="9"/>
          <w:pgMar w:top="1440" w:right="1440" w:bottom="1440" w:left="1440" w:header="709" w:footer="709" w:gutter="0"/>
          <w:cols w:space="708"/>
          <w:titlePg/>
          <w:docGrid w:linePitch="360"/>
        </w:sectPr>
      </w:pPr>
      <w:bookmarkStart w:id="80" w:name="_Toc408413465"/>
      <w:bookmarkStart w:id="81" w:name="_Toc408414179"/>
      <w:bookmarkStart w:id="82" w:name="_Toc409191086"/>
      <w:bookmarkStart w:id="83" w:name="_Toc409618519"/>
      <w:bookmarkStart w:id="84" w:name="_Toc409630050"/>
      <w:bookmarkStart w:id="85" w:name="_Toc410229542"/>
      <w:bookmarkStart w:id="86" w:name="_Toc410302177"/>
    </w:p>
    <w:p w14:paraId="733874D2" w14:textId="77777777" w:rsidR="00AB5F14" w:rsidRDefault="00AB5F14" w:rsidP="00951A43">
      <w:pPr>
        <w:pStyle w:val="Heading1"/>
      </w:pPr>
      <w:bookmarkStart w:id="87" w:name="_Toc437877551"/>
      <w:r w:rsidRPr="00BC183D">
        <w:t xml:space="preserve">Chapter </w:t>
      </w:r>
      <w:r w:rsidR="00FE266A">
        <w:t>2</w:t>
      </w:r>
      <w:r w:rsidR="00951A43">
        <w:t xml:space="preserve">:  </w:t>
      </w:r>
      <w:r w:rsidR="00B87057">
        <w:t>Continuation of</w:t>
      </w:r>
      <w:r>
        <w:t xml:space="preserve"> the act</w:t>
      </w:r>
      <w:bookmarkEnd w:id="79"/>
      <w:bookmarkEnd w:id="80"/>
      <w:bookmarkEnd w:id="81"/>
      <w:bookmarkEnd w:id="82"/>
      <w:bookmarkEnd w:id="83"/>
      <w:bookmarkEnd w:id="84"/>
      <w:bookmarkEnd w:id="85"/>
      <w:bookmarkEnd w:id="86"/>
      <w:bookmarkEnd w:id="87"/>
    </w:p>
    <w:p w14:paraId="57E6888F" w14:textId="77777777" w:rsidR="004D70CF" w:rsidRDefault="004D70CF" w:rsidP="00843660">
      <w:pPr>
        <w:pStyle w:val="Heading2"/>
      </w:pPr>
      <w:bookmarkStart w:id="88" w:name="_Toc437877552"/>
      <w:r>
        <w:t>Issue</w:t>
      </w:r>
      <w:bookmarkEnd w:id="88"/>
      <w:r>
        <w:t xml:space="preserve"> </w:t>
      </w:r>
    </w:p>
    <w:p w14:paraId="4211C1EC" w14:textId="67993ED9" w:rsidR="004D70CF" w:rsidRDefault="00710003" w:rsidP="00755335">
      <w:r>
        <w:t>This chapter examines whether</w:t>
      </w:r>
      <w:r w:rsidR="004D70CF" w:rsidRPr="009104A5">
        <w:t xml:space="preserve"> </w:t>
      </w:r>
      <w:r w:rsidR="0030282A">
        <w:t xml:space="preserve">there </w:t>
      </w:r>
      <w:r>
        <w:t>is</w:t>
      </w:r>
      <w:r w:rsidR="004D70CF" w:rsidRPr="009104A5">
        <w:t xml:space="preserve"> a need for the </w:t>
      </w:r>
      <w:r w:rsidR="004D70CF">
        <w:t xml:space="preserve">Act </w:t>
      </w:r>
      <w:r w:rsidR="004D70CF" w:rsidRPr="009104A5">
        <w:t xml:space="preserve">to continue </w:t>
      </w:r>
      <w:r w:rsidR="00EB1E1E">
        <w:t xml:space="preserve">to deem cover for losses suffered due to a terrorism incident into eligible insurance contracts and </w:t>
      </w:r>
      <w:r w:rsidR="00876AC5">
        <w:t>whether</w:t>
      </w:r>
      <w:r w:rsidR="00EB1E1E">
        <w:t xml:space="preserve"> the </w:t>
      </w:r>
      <w:r w:rsidR="00B97B26">
        <w:t>g</w:t>
      </w:r>
      <w:r w:rsidR="00EB1E1E">
        <w:t xml:space="preserve">overnment should continue to provide </w:t>
      </w:r>
      <w:r w:rsidR="00D9035F">
        <w:t xml:space="preserve">a </w:t>
      </w:r>
      <w:r w:rsidR="00EB1E1E">
        <w:t xml:space="preserve">reinsurance </w:t>
      </w:r>
      <w:r w:rsidR="00D9035F">
        <w:t xml:space="preserve">scheme </w:t>
      </w:r>
      <w:r w:rsidR="00EB1E1E">
        <w:t>for this risk. Considerations include to what extent</w:t>
      </w:r>
      <w:r w:rsidR="004D70CF" w:rsidRPr="009104A5">
        <w:t xml:space="preserve"> there continues to be a market failure </w:t>
      </w:r>
      <w:r w:rsidR="005B3B9F">
        <w:t xml:space="preserve">in the provision of terrorism insurance </w:t>
      </w:r>
      <w:r w:rsidR="004D70CF" w:rsidRPr="009104A5">
        <w:t xml:space="preserve">and what the impact would be if the Act were </w:t>
      </w:r>
      <w:r w:rsidR="005B3B9F">
        <w:t>to be abolished</w:t>
      </w:r>
      <w:r w:rsidR="004D70CF" w:rsidRPr="009104A5">
        <w:t>.</w:t>
      </w:r>
    </w:p>
    <w:p w14:paraId="792DA739" w14:textId="11441264" w:rsidR="00F64173" w:rsidRDefault="00F64173" w:rsidP="00F64173">
      <w:r>
        <w:t>As noted above, the National Commission of Audit, in expressing a view on the future of a number of Australian Government bodies, said of the ARPC:</w:t>
      </w:r>
    </w:p>
    <w:p w14:paraId="67751D7B" w14:textId="77777777" w:rsidR="00F64173" w:rsidRDefault="00F64173" w:rsidP="00F64173">
      <w:pPr>
        <w:ind w:left="720"/>
      </w:pPr>
      <w:r>
        <w:t>“With continued recovery in terrorism insurance markets, there is scope for a gradual Commonwealth exit over the coming years.”</w:t>
      </w:r>
      <w:r>
        <w:rPr>
          <w:rStyle w:val="FootnoteReference"/>
        </w:rPr>
        <w:footnoteReference w:id="8"/>
      </w:r>
    </w:p>
    <w:p w14:paraId="4AFEF514" w14:textId="7B823FB8" w:rsidR="00F64173" w:rsidRDefault="00F64173" w:rsidP="00755335">
      <w:r>
        <w:t>The scope for any short term Commonwealth exit is considered below.</w:t>
      </w:r>
    </w:p>
    <w:p w14:paraId="3E494AC2" w14:textId="77777777" w:rsidR="004D70CF" w:rsidRPr="0048105B" w:rsidRDefault="004D70CF" w:rsidP="00843660">
      <w:pPr>
        <w:pStyle w:val="Heading2"/>
      </w:pPr>
      <w:bookmarkStart w:id="89" w:name="_Toc437877553"/>
      <w:r w:rsidRPr="0048105B">
        <w:t>Recommendation</w:t>
      </w:r>
      <w:bookmarkEnd w:id="89"/>
    </w:p>
    <w:p w14:paraId="459041EB" w14:textId="0B902166" w:rsidR="00F64173" w:rsidRDefault="00804745" w:rsidP="00755335">
      <w:r>
        <w:rPr>
          <w:noProof/>
        </w:rPr>
        <mc:AlternateContent>
          <mc:Choice Requires="wps">
            <w:drawing>
              <wp:anchor distT="0" distB="0" distL="114300" distR="114300" simplePos="0" relativeHeight="251658243" behindDoc="0" locked="0" layoutInCell="1" allowOverlap="1" wp14:anchorId="5E5F7A35" wp14:editId="37B082C7">
                <wp:simplePos x="0" y="0"/>
                <wp:positionH relativeFrom="column">
                  <wp:posOffset>351155</wp:posOffset>
                </wp:positionH>
                <wp:positionV relativeFrom="paragraph">
                  <wp:posOffset>739775</wp:posOffset>
                </wp:positionV>
                <wp:extent cx="4981575" cy="6000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00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40E1B70" w14:textId="30B669BC" w:rsidR="00685DAA" w:rsidRDefault="00685DAA">
                            <w:r w:rsidRPr="00804745">
                              <w:rPr>
                                <w:i/>
                              </w:rPr>
                              <w:t>Recommendation 1</w:t>
                            </w:r>
                            <w:r>
                              <w:t>: T</w:t>
                            </w:r>
                            <w:r w:rsidRPr="00B02419">
                              <w:t>hat the Act remain</w:t>
                            </w:r>
                            <w:r>
                              <w:t>s</w:t>
                            </w:r>
                            <w:r w:rsidRPr="00B02419">
                              <w:t xml:space="preserve"> in force, subject to future three</w:t>
                            </w:r>
                            <w:r>
                              <w:noBreakHyphen/>
                            </w:r>
                            <w:r w:rsidRPr="00B02419">
                              <w:t>year</w:t>
                            </w:r>
                            <w:r>
                              <w:t>ly statutory 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5pt;margin-top:58.25pt;width:392.25pt;height:4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" fillcolor="white [3201]" strokecolor="#4f81bd [3204]" strokeweight="2pt">
                <v:textbox>
                  <w:txbxContent>
                    <w:p w14:paraId="540E1B70" w14:textId="30B669BC" w:rsidR="00685DAA" w:rsidRDefault="00685DAA">
                      <w:r w:rsidRPr="00804745">
                        <w:rPr>
                          <w:i/>
                        </w:rPr>
                        <w:t>Recommendation 1</w:t>
                      </w:r>
                      <w:r>
                        <w:t>: T</w:t>
                      </w:r>
                      <w:r w:rsidRPr="00B02419">
                        <w:t>hat the Act remain</w:t>
                      </w:r>
                      <w:r>
                        <w:t>s</w:t>
                      </w:r>
                      <w:r w:rsidRPr="00B02419">
                        <w:t xml:space="preserve"> in force, subject to future three</w:t>
                      </w:r>
                      <w:r>
                        <w:noBreakHyphen/>
                      </w:r>
                      <w:r w:rsidRPr="00B02419">
                        <w:t>year</w:t>
                      </w:r>
                      <w:r>
                        <w:t>ly statutory reviews.</w:t>
                      </w:r>
                    </w:p>
                  </w:txbxContent>
                </v:textbox>
              </v:shape>
            </w:pict>
          </mc:Fallback>
        </mc:AlternateContent>
      </w:r>
      <w:r w:rsidR="005B3B9F">
        <w:t>T</w:t>
      </w:r>
      <w:r w:rsidR="004D70CF" w:rsidRPr="009104A5">
        <w:t xml:space="preserve">he </w:t>
      </w:r>
      <w:r w:rsidR="00755539">
        <w:t xml:space="preserve">restriction on availability of terrorism insurance and reinsurance cover in the private </w:t>
      </w:r>
      <w:r w:rsidR="004D70CF" w:rsidRPr="009104A5">
        <w:t xml:space="preserve">market </w:t>
      </w:r>
      <w:r w:rsidR="002033A4">
        <w:t>remains</w:t>
      </w:r>
      <w:r w:rsidR="008A07A0">
        <w:t xml:space="preserve">. </w:t>
      </w:r>
      <w:r w:rsidR="00755539">
        <w:t>There is some cover available, but this falls well short</w:t>
      </w:r>
      <w:r w:rsidR="002033A4">
        <w:t xml:space="preserve"> </w:t>
      </w:r>
      <w:r w:rsidR="00755539">
        <w:t>of</w:t>
      </w:r>
      <w:r w:rsidR="00791072">
        <w:t xml:space="preserve"> </w:t>
      </w:r>
      <w:r w:rsidR="0019107F">
        <w:t>the current</w:t>
      </w:r>
      <w:r w:rsidR="00791072">
        <w:t xml:space="preserve"> level</w:t>
      </w:r>
      <w:r w:rsidR="0019107F">
        <w:t xml:space="preserve"> provided under the scheme</w:t>
      </w:r>
      <w:r w:rsidR="004D70CF" w:rsidRPr="009104A5">
        <w:t>.</w:t>
      </w:r>
      <w:r w:rsidR="00791072">
        <w:t xml:space="preserve"> </w:t>
      </w:r>
      <w:r w:rsidR="00FE7B78">
        <w:t xml:space="preserve">This is unlikely to change in the short to medium term. As a result, </w:t>
      </w:r>
      <w:r w:rsidR="00F64173">
        <w:t>it is recommended that:</w:t>
      </w:r>
    </w:p>
    <w:p w14:paraId="6B144CF3" w14:textId="0ACA3CEE" w:rsidR="00804745" w:rsidRDefault="00804745" w:rsidP="00755335"/>
    <w:p w14:paraId="0995D62D" w14:textId="77777777" w:rsidR="00804745" w:rsidRDefault="00804745" w:rsidP="00755335"/>
    <w:p w14:paraId="6B7D4B9D" w14:textId="22E42750" w:rsidR="00071ABB" w:rsidRDefault="00BD531D" w:rsidP="00755335">
      <w:r>
        <w:t>In relation</w:t>
      </w:r>
      <w:r w:rsidR="00071ABB">
        <w:t xml:space="preserve"> to the size of the scheme, </w:t>
      </w:r>
      <w:r w:rsidR="002E36D4">
        <w:t>the current capacity is</w:t>
      </w:r>
      <w:r w:rsidR="00755539">
        <w:t xml:space="preserve"> considered an appropriate</w:t>
      </w:r>
      <w:r w:rsidR="00EB1E1E">
        <w:t xml:space="preserve"> level of </w:t>
      </w:r>
      <w:r w:rsidR="002E36D4">
        <w:t>cover</w:t>
      </w:r>
      <w:r w:rsidR="00EB1E1E">
        <w:t xml:space="preserve">, in that </w:t>
      </w:r>
      <w:r w:rsidR="00647E68">
        <w:t xml:space="preserve">modelling indicates </w:t>
      </w:r>
      <w:r w:rsidR="00EB1E1E">
        <w:t xml:space="preserve">it would </w:t>
      </w:r>
      <w:r w:rsidR="00AB3D0A">
        <w:t xml:space="preserve">adequately </w:t>
      </w:r>
      <w:r w:rsidR="00EB1E1E">
        <w:t>cover</w:t>
      </w:r>
      <w:r w:rsidR="002E36D4">
        <w:t xml:space="preserve"> the cost of a single explosion event</w:t>
      </w:r>
      <w:r w:rsidR="00EB1E1E">
        <w:t xml:space="preserve"> and provide a good level of cover for a multiple explosion event</w:t>
      </w:r>
      <w:r w:rsidR="002E36D4">
        <w:t xml:space="preserve">. </w:t>
      </w:r>
    </w:p>
    <w:p w14:paraId="40CAAFE9" w14:textId="77777777" w:rsidR="00EB1E1E" w:rsidRPr="0039678B" w:rsidRDefault="00EB1E1E" w:rsidP="00843660">
      <w:pPr>
        <w:pStyle w:val="Heading2"/>
      </w:pPr>
      <w:bookmarkStart w:id="90" w:name="_Toc437877554"/>
      <w:r w:rsidRPr="0039678B">
        <w:t>Assessment</w:t>
      </w:r>
      <w:bookmarkEnd w:id="90"/>
    </w:p>
    <w:p w14:paraId="3ACB4A72" w14:textId="77777777" w:rsidR="00A663C6" w:rsidRDefault="00A663C6" w:rsidP="00843660">
      <w:pPr>
        <w:pStyle w:val="Heading3"/>
      </w:pPr>
      <w:r>
        <w:t>Appropriate level of terrorism cover</w:t>
      </w:r>
    </w:p>
    <w:p w14:paraId="23F3D839" w14:textId="507C4374" w:rsidR="00EB1E1E" w:rsidRPr="00FC1F7A" w:rsidRDefault="00755539" w:rsidP="00755335">
      <w:pPr>
        <w:rPr>
          <w:sz w:val="20"/>
        </w:rPr>
      </w:pPr>
      <w:r>
        <w:rPr>
          <w:sz w:val="24"/>
        </w:rPr>
        <w:t xml:space="preserve">The </w:t>
      </w:r>
      <w:r w:rsidR="00C53B6D" w:rsidRPr="00D25398">
        <w:t>ARPC</w:t>
      </w:r>
      <w:r w:rsidR="008A07A0">
        <w:t>’</w:t>
      </w:r>
      <w:r w:rsidR="00C53B6D" w:rsidRPr="00D25398">
        <w:t>s modelling demonstrates that</w:t>
      </w:r>
      <w:r w:rsidR="00BD531D">
        <w:t>,</w:t>
      </w:r>
      <w:r w:rsidR="00C53B6D" w:rsidRPr="00D25398">
        <w:t xml:space="preserve"> if a loss was to occur in the Sydney or Melbourne central business districts from a large blast, ARPC</w:t>
      </w:r>
      <w:r w:rsidR="008A07A0">
        <w:t>’</w:t>
      </w:r>
      <w:r w:rsidR="00C53B6D" w:rsidRPr="00D25398">
        <w:t>s pool of funds plus the retrocession program would cover almost all probable events.</w:t>
      </w:r>
      <w:r w:rsidR="00C53B6D" w:rsidRPr="00B16624">
        <w:rPr>
          <w:rStyle w:val="FootnoteReference"/>
          <w:color w:val="221E1F"/>
        </w:rPr>
        <w:footnoteReference w:id="9"/>
      </w:r>
      <w:r w:rsidR="00161D7B">
        <w:rPr>
          <w:sz w:val="20"/>
        </w:rPr>
        <w:t xml:space="preserve"> </w:t>
      </w:r>
      <w:r w:rsidR="00EB1E1E">
        <w:t xml:space="preserve">Multiple explosion events have not been modelled </w:t>
      </w:r>
      <w:r>
        <w:t>and</w:t>
      </w:r>
      <w:r w:rsidR="00EB1E1E">
        <w:t xml:space="preserve"> </w:t>
      </w:r>
      <w:r w:rsidR="00C53B6D">
        <w:t>w</w:t>
      </w:r>
      <w:r w:rsidR="00EB1E1E">
        <w:t xml:space="preserve">ould lead to larger losses. </w:t>
      </w:r>
      <w:r>
        <w:t>D</w:t>
      </w:r>
      <w:r w:rsidR="00EB1E1E">
        <w:t xml:space="preserve">etermining </w:t>
      </w:r>
      <w:r>
        <w:t xml:space="preserve">an appropriate capacity </w:t>
      </w:r>
      <w:r w:rsidR="00843660">
        <w:t>for the</w:t>
      </w:r>
      <w:r w:rsidR="00EB1E1E">
        <w:t xml:space="preserve"> scheme </w:t>
      </w:r>
      <w:r>
        <w:t>is challenging due to the lack of certainty of the probability of substantial events</w:t>
      </w:r>
      <w:r w:rsidR="008A07A0">
        <w:t xml:space="preserve">. </w:t>
      </w:r>
      <w:r>
        <w:t>However, the ARPC</w:t>
      </w:r>
      <w:r w:rsidR="008A07A0">
        <w:t>’</w:t>
      </w:r>
      <w:r>
        <w:t>s conclusion that</w:t>
      </w:r>
      <w:r w:rsidR="00EB1E1E">
        <w:t xml:space="preserve"> the current </w:t>
      </w:r>
      <w:r>
        <w:t>capacity</w:t>
      </w:r>
      <w:r w:rsidR="00EB1E1E">
        <w:t xml:space="preserve"> </w:t>
      </w:r>
      <w:r w:rsidR="00222FD3">
        <w:t xml:space="preserve">of $13 billion </w:t>
      </w:r>
      <w:r>
        <w:t xml:space="preserve">is adequate to </w:t>
      </w:r>
      <w:r w:rsidR="000808B4">
        <w:t xml:space="preserve">comfortably </w:t>
      </w:r>
      <w:r>
        <w:t xml:space="preserve">cover most </w:t>
      </w:r>
      <w:r w:rsidR="009857BC">
        <w:t xml:space="preserve">foreseeable </w:t>
      </w:r>
      <w:r>
        <w:t xml:space="preserve">outcomes of </w:t>
      </w:r>
      <w:r w:rsidR="000808B4">
        <w:t xml:space="preserve">a major </w:t>
      </w:r>
      <w:r w:rsidR="00FB5A77">
        <w:t xml:space="preserve">explosion </w:t>
      </w:r>
      <w:r w:rsidR="000808B4">
        <w:t>event in a large Australian city provides a basis on which to maintain the current level of cover under the scheme</w:t>
      </w:r>
      <w:r w:rsidR="008A07A0">
        <w:t xml:space="preserve">. </w:t>
      </w:r>
      <w:r w:rsidR="000808B4">
        <w:t>I</w:t>
      </w:r>
      <w:r w:rsidR="008E7BEF">
        <w:t>f</w:t>
      </w:r>
      <w:r w:rsidR="000808B4">
        <w:t xml:space="preserve"> ARPC </w:t>
      </w:r>
      <w:r w:rsidR="00843660">
        <w:t>reserves</w:t>
      </w:r>
      <w:r w:rsidR="000808B4">
        <w:t xml:space="preserve"> were depleted after such an event, </w:t>
      </w:r>
      <w:r w:rsidR="00843660">
        <w:t>consideration</w:t>
      </w:r>
      <w:r w:rsidR="000808B4">
        <w:t xml:space="preserve"> would be given as to how best to replenish those reserves in preparation for any further event</w:t>
      </w:r>
      <w:r w:rsidR="008A07A0">
        <w:t xml:space="preserve">. </w:t>
      </w:r>
    </w:p>
    <w:p w14:paraId="5CBAD042" w14:textId="77777777" w:rsidR="00A663C6" w:rsidRDefault="00A663C6" w:rsidP="00843660">
      <w:pPr>
        <w:pStyle w:val="Heading3"/>
      </w:pPr>
      <w:r>
        <w:t>Market failure</w:t>
      </w:r>
    </w:p>
    <w:p w14:paraId="05D44DBF" w14:textId="7F28CE18" w:rsidR="00AF4EEF" w:rsidRPr="00A61F7E" w:rsidRDefault="00AF4EEF" w:rsidP="00755335">
      <w:r w:rsidRPr="00A61F7E">
        <w:t xml:space="preserve">The report </w:t>
      </w:r>
      <w:r w:rsidR="00B837E1">
        <w:t xml:space="preserve">prepared by external consulting firm </w:t>
      </w:r>
      <w:proofErr w:type="spellStart"/>
      <w:r w:rsidR="00B837E1">
        <w:t>Pottinger</w:t>
      </w:r>
      <w:proofErr w:type="spellEnd"/>
      <w:r w:rsidR="00B837E1">
        <w:t xml:space="preserve"> </w:t>
      </w:r>
      <w:r w:rsidR="00EB1E1E">
        <w:t>considered the availability of reinsurance for terrorism risk in detail. It c</w:t>
      </w:r>
      <w:r w:rsidRPr="00A61F7E">
        <w:t>oncludes that the availability and pricing of private sector terrorism insurance has improved over time</w:t>
      </w:r>
      <w:r w:rsidR="000A1A96" w:rsidRPr="00A61F7E">
        <w:t xml:space="preserve"> </w:t>
      </w:r>
      <w:r w:rsidR="00A27E81" w:rsidRPr="00A61F7E">
        <w:t xml:space="preserve">due to the low incidence of major terrorism claims, better risk modelling and greater competition among reinsurers. </w:t>
      </w:r>
      <w:r w:rsidR="007A563A" w:rsidRPr="00A61F7E">
        <w:t>Terrorism loss</w:t>
      </w:r>
      <w:r w:rsidR="00A27E81" w:rsidRPr="00A61F7E">
        <w:t xml:space="preserve"> reinsurance prices have also fallen over time.</w:t>
      </w:r>
      <w:r w:rsidR="001D5755">
        <w:t xml:space="preserve"> In addition, coverage has improved for small events</w:t>
      </w:r>
      <w:r w:rsidR="00AC1F66">
        <w:t>.</w:t>
      </w:r>
    </w:p>
    <w:p w14:paraId="3CB73CBA" w14:textId="08B87416" w:rsidR="000A1A96" w:rsidRPr="00A61F7E" w:rsidRDefault="00AF4EEF" w:rsidP="00755335">
      <w:r w:rsidRPr="00A61F7E">
        <w:t>Nonethel</w:t>
      </w:r>
      <w:r w:rsidR="00A27E81" w:rsidRPr="00A61F7E">
        <w:t>e</w:t>
      </w:r>
      <w:r w:rsidRPr="00A61F7E">
        <w:t>ss,</w:t>
      </w:r>
      <w:r w:rsidR="004D70CF" w:rsidRPr="00A61F7E">
        <w:t xml:space="preserve"> </w:t>
      </w:r>
      <w:r w:rsidR="008E7BEF">
        <w:t xml:space="preserve">there is still a </w:t>
      </w:r>
      <w:r w:rsidR="004D70CF" w:rsidRPr="00A61F7E">
        <w:t>partial market failure</w:t>
      </w:r>
      <w:r w:rsidR="008A07A0">
        <w:t xml:space="preserve">. </w:t>
      </w:r>
      <w:r w:rsidR="004534B8">
        <w:t>T</w:t>
      </w:r>
      <w:r w:rsidR="00084B44">
        <w:t xml:space="preserve">he </w:t>
      </w:r>
      <w:proofErr w:type="spellStart"/>
      <w:r w:rsidR="00084B44">
        <w:t>Pottinger</w:t>
      </w:r>
      <w:proofErr w:type="spellEnd"/>
      <w:r w:rsidR="00084B44">
        <w:t xml:space="preserve"> report estimates that</w:t>
      </w:r>
      <w:r w:rsidR="000A1A96" w:rsidRPr="00A61F7E">
        <w:t xml:space="preserve"> t</w:t>
      </w:r>
      <w:r w:rsidR="004D70CF" w:rsidRPr="00A61F7E">
        <w:t xml:space="preserve">errorism risk retrocessions available </w:t>
      </w:r>
      <w:r w:rsidR="00E30E2D">
        <w:t>to</w:t>
      </w:r>
      <w:r w:rsidR="00E30E2D" w:rsidRPr="00A61F7E">
        <w:t xml:space="preserve"> Australia</w:t>
      </w:r>
      <w:r w:rsidR="00E30E2D">
        <w:t>n insurers</w:t>
      </w:r>
      <w:r w:rsidR="00E30E2D" w:rsidRPr="00A61F7E">
        <w:t xml:space="preserve"> </w:t>
      </w:r>
      <w:r w:rsidRPr="00A61F7E">
        <w:t xml:space="preserve">at a reasonable </w:t>
      </w:r>
      <w:r w:rsidR="00161D7B">
        <w:t>price</w:t>
      </w:r>
      <w:r w:rsidRPr="00A61F7E">
        <w:t xml:space="preserve"> </w:t>
      </w:r>
      <w:r w:rsidR="000A1A96" w:rsidRPr="00A61F7E">
        <w:t>total</w:t>
      </w:r>
      <w:r w:rsidRPr="00A61F7E">
        <w:t xml:space="preserve"> around $5 </w:t>
      </w:r>
      <w:r w:rsidR="00161D7B">
        <w:t>b</w:t>
      </w:r>
      <w:r w:rsidRPr="00A61F7E">
        <w:t xml:space="preserve">illion, </w:t>
      </w:r>
      <w:r w:rsidR="008E7BEF">
        <w:t xml:space="preserve">which is </w:t>
      </w:r>
      <w:r w:rsidRPr="00A61F7E">
        <w:t xml:space="preserve">well below </w:t>
      </w:r>
      <w:r w:rsidR="004D70CF" w:rsidRPr="00A61F7E">
        <w:t>th</w:t>
      </w:r>
      <w:r w:rsidRPr="00A61F7E">
        <w:t xml:space="preserve">e </w:t>
      </w:r>
      <w:r w:rsidR="00481861">
        <w:t xml:space="preserve">approximately </w:t>
      </w:r>
      <w:r w:rsidRPr="00A61F7E">
        <w:t>$13 billion</w:t>
      </w:r>
      <w:r w:rsidR="004D70CF" w:rsidRPr="00A61F7E">
        <w:t xml:space="preserve"> of </w:t>
      </w:r>
      <w:r w:rsidR="004534B8">
        <w:t xml:space="preserve">reinsurance </w:t>
      </w:r>
      <w:r w:rsidR="004D70CF" w:rsidRPr="00A61F7E">
        <w:t xml:space="preserve">cover provided by the </w:t>
      </w:r>
      <w:r w:rsidRPr="00A61F7E">
        <w:t>scheme</w:t>
      </w:r>
      <w:r w:rsidR="004D70CF" w:rsidRPr="00A61F7E">
        <w:t xml:space="preserve">. </w:t>
      </w:r>
    </w:p>
    <w:p w14:paraId="5CA18914" w14:textId="28EBE9AF" w:rsidR="00A27E81" w:rsidRDefault="008E7BEF" w:rsidP="00755335">
      <w:r>
        <w:t>There also seems to be</w:t>
      </w:r>
      <w:r w:rsidR="00AB3F76" w:rsidRPr="00A61F7E">
        <w:t xml:space="preserve"> </w:t>
      </w:r>
      <w:r w:rsidR="004D70CF" w:rsidRPr="00A61F7E">
        <w:t>no material likelihood of market conditions changing such that adequate private sector supply of terrorism insurance becomes available over the near to medium term</w:t>
      </w:r>
      <w:r w:rsidR="004721AE" w:rsidRPr="00A61F7E">
        <w:t>.</w:t>
      </w:r>
      <w:r w:rsidR="001D5755">
        <w:t xml:space="preserve"> </w:t>
      </w:r>
      <w:r w:rsidR="00BE4D6A">
        <w:t>T</w:t>
      </w:r>
      <w:r w:rsidR="00AB3F76">
        <w:t xml:space="preserve">he development of a private market for terrorism insurance in Australia depends on further growth in the capacity of global reinsurance markets for terrorism risk. </w:t>
      </w:r>
      <w:r w:rsidR="00394373">
        <w:t xml:space="preserve">Recent developments overseas indicate that government support of terrorism insurance arrangements continues to be required. </w:t>
      </w:r>
      <w:r w:rsidR="00394373" w:rsidRPr="007F7689">
        <w:t>The US</w:t>
      </w:r>
      <w:r w:rsidR="00873A0A">
        <w:t> </w:t>
      </w:r>
      <w:r w:rsidR="00394373" w:rsidRPr="007F7689">
        <w:t>Parliament</w:t>
      </w:r>
      <w:r>
        <w:t>, for example,</w:t>
      </w:r>
      <w:r w:rsidR="00394373" w:rsidRPr="007F7689">
        <w:t xml:space="preserve"> recently voted to reinstate the national terrorist insurance scheme, which had lapsed in December 2014.</w:t>
      </w:r>
      <w:r w:rsidR="00394373">
        <w:t xml:space="preserve"> </w:t>
      </w:r>
      <w:r w:rsidR="00394373" w:rsidRPr="007F7689">
        <w:t xml:space="preserve">The Bill passed with bipartisan support. </w:t>
      </w:r>
    </w:p>
    <w:p w14:paraId="3C14B87B" w14:textId="26AE2565" w:rsidR="00A27E81" w:rsidRDefault="00FD30B1" w:rsidP="00755335">
      <w:r>
        <w:t>C</w:t>
      </w:r>
      <w:r w:rsidR="000A1A96">
        <w:t xml:space="preserve">urrent conditions do not imply </w:t>
      </w:r>
      <w:r w:rsidR="00A27E81">
        <w:t xml:space="preserve">the </w:t>
      </w:r>
      <w:r w:rsidR="000A1A96">
        <w:t xml:space="preserve">continued </w:t>
      </w:r>
      <w:r w:rsidR="00A27E81">
        <w:t>availability of private sector terrorism insurance at an economic price over the medium to longer term, particularly in the event of a major claim in Australia or overseas. Further, the report indicates that</w:t>
      </w:r>
      <w:r w:rsidR="008E7BEF">
        <w:t>,</w:t>
      </w:r>
      <w:r w:rsidR="00A27E81">
        <w:t xml:space="preserve"> while there is increasing capacity to insure the risk pool managed by the ARPC, there is no guarantee that the same capacity would be available to individual insurers</w:t>
      </w:r>
      <w:r w:rsidR="00727B12">
        <w:t>. The report identifies</w:t>
      </w:r>
      <w:r w:rsidR="00A27E81">
        <w:t xml:space="preserve"> </w:t>
      </w:r>
      <w:r w:rsidR="000A1A96">
        <w:t>the</w:t>
      </w:r>
      <w:r w:rsidR="00A27E81">
        <w:t xml:space="preserve"> risk</w:t>
      </w:r>
      <w:r w:rsidR="008E7BEF">
        <w:t>-</w:t>
      </w:r>
      <w:r w:rsidR="00A27E81">
        <w:t xml:space="preserve">pooling mechanism </w:t>
      </w:r>
      <w:r w:rsidR="00727B12">
        <w:t>as</w:t>
      </w:r>
      <w:r w:rsidR="008E7BEF">
        <w:t xml:space="preserve"> </w:t>
      </w:r>
      <w:r w:rsidR="00A27E81">
        <w:t>a key factor in providing cost</w:t>
      </w:r>
      <w:r w:rsidR="008A07A0">
        <w:noBreakHyphen/>
      </w:r>
      <w:r w:rsidR="00A27E81">
        <w:t>effective reinsurance of terrorism risk.</w:t>
      </w:r>
    </w:p>
    <w:p w14:paraId="01F615F6" w14:textId="77777777" w:rsidR="00A663C6" w:rsidRDefault="00A663C6" w:rsidP="00843660">
      <w:pPr>
        <w:pStyle w:val="Heading3"/>
      </w:pPr>
      <w:r>
        <w:t>Impact on competition</w:t>
      </w:r>
    </w:p>
    <w:p w14:paraId="58B53896" w14:textId="3A5CBA78" w:rsidR="00222FD3" w:rsidRDefault="00FC1DD0" w:rsidP="00755335">
      <w:r>
        <w:t xml:space="preserve">A second consideration is whether continuation of the scheme is preventing </w:t>
      </w:r>
      <w:r w:rsidR="008E7BEF">
        <w:t xml:space="preserve">the re-emergence of </w:t>
      </w:r>
      <w:r>
        <w:t>a private market for terrorism insurance</w:t>
      </w:r>
      <w:r w:rsidR="00AB3F76">
        <w:t xml:space="preserve">. </w:t>
      </w:r>
      <w:r w:rsidR="00BE4D6A">
        <w:t>Again, the capacity of Australian insurers depends on the global market for reinsurance. In this context</w:t>
      </w:r>
      <w:r>
        <w:t xml:space="preserve">, </w:t>
      </w:r>
      <w:r w:rsidR="00BE4D6A">
        <w:t>the</w:t>
      </w:r>
      <w:r>
        <w:t xml:space="preserve"> current government</w:t>
      </w:r>
      <w:r w:rsidR="008A07A0">
        <w:noBreakHyphen/>
      </w:r>
      <w:r>
        <w:t>supported sc</w:t>
      </w:r>
      <w:r w:rsidR="00BE4D6A">
        <w:t>heme in Australia is likely to have little effect on the development of the market</w:t>
      </w:r>
      <w:r w:rsidR="00AB3F76">
        <w:t>.</w:t>
      </w:r>
      <w:r w:rsidR="00BE4D6A">
        <w:t xml:space="preserve"> </w:t>
      </w:r>
      <w:r w:rsidR="00AF3546">
        <w:t xml:space="preserve">Supporting this conclusion is </w:t>
      </w:r>
      <w:r w:rsidR="002C7CF8">
        <w:t xml:space="preserve">the </w:t>
      </w:r>
      <w:proofErr w:type="spellStart"/>
      <w:r w:rsidR="00AF3546">
        <w:t>Finity</w:t>
      </w:r>
      <w:proofErr w:type="spellEnd"/>
      <w:r w:rsidR="00AF3546">
        <w:t xml:space="preserve"> report</w:t>
      </w:r>
      <w:r w:rsidR="008E7BEF">
        <w:t>’s finding</w:t>
      </w:r>
      <w:r w:rsidR="00AF3546">
        <w:t xml:space="preserve"> that no market solution </w:t>
      </w:r>
      <w:r w:rsidR="008E7BEF">
        <w:t xml:space="preserve">has </w:t>
      </w:r>
      <w:r w:rsidR="00AF3546">
        <w:t>emerge</w:t>
      </w:r>
      <w:r w:rsidR="008E7BEF">
        <w:t>d</w:t>
      </w:r>
      <w:r w:rsidR="00AF3546">
        <w:t xml:space="preserve"> in relation to</w:t>
      </w:r>
      <w:r w:rsidR="00F34A1D">
        <w:br/>
      </w:r>
      <w:r w:rsidR="00AF3546">
        <w:t>high</w:t>
      </w:r>
      <w:r w:rsidR="008A07A0">
        <w:noBreakHyphen/>
      </w:r>
      <w:r w:rsidR="00AF3546">
        <w:t>rise residential and mixed</w:t>
      </w:r>
      <w:r w:rsidR="008A07A0">
        <w:noBreakHyphen/>
      </w:r>
      <w:r w:rsidR="00AF3546">
        <w:t xml:space="preserve">use buildings </w:t>
      </w:r>
      <w:r w:rsidR="00FC1F7A">
        <w:t>not covered by the scheme</w:t>
      </w:r>
      <w:r w:rsidR="008E7BEF">
        <w:t>.</w:t>
      </w:r>
    </w:p>
    <w:p w14:paraId="3B48B181" w14:textId="77777777" w:rsidR="00AF3546" w:rsidRDefault="00222FD3" w:rsidP="00755335">
      <w:r>
        <w:t>The low impact of the scheme on the development of a market solution is consistent with the view of insurance industry stakeholders that the scheme should remain in largely its current form and is of benefit to them in a market where terrorism insurance is lacking</w:t>
      </w:r>
      <w:r w:rsidR="00A663C6">
        <w:t xml:space="preserve">. </w:t>
      </w:r>
      <w:r w:rsidR="00AF3546">
        <w:t>In fact, the successful retrocession program operated by the ARPC is viewed by stakeholders as having a positive effect on Australian insurers</w:t>
      </w:r>
      <w:r w:rsidR="008A07A0">
        <w:t>’</w:t>
      </w:r>
      <w:r w:rsidR="00AF3546">
        <w:t xml:space="preserve"> access to global reinsurance markets.</w:t>
      </w:r>
    </w:p>
    <w:p w14:paraId="6ECE78A1" w14:textId="77777777" w:rsidR="00A663C6" w:rsidRDefault="00A663C6" w:rsidP="00843660">
      <w:pPr>
        <w:pStyle w:val="Heading3"/>
      </w:pPr>
      <w:r>
        <w:t>Impact of removal of the scheme</w:t>
      </w:r>
    </w:p>
    <w:p w14:paraId="01F69F5E" w14:textId="77777777" w:rsidR="00151886" w:rsidRDefault="00A663C6" w:rsidP="00755335">
      <w:r w:rsidRPr="00A663C6">
        <w:t>A final consideration is whether the removal of the scheme would have any negative impacts.</w:t>
      </w:r>
    </w:p>
    <w:p w14:paraId="6D4C9BC2" w14:textId="0D9D3D71" w:rsidR="001D5755" w:rsidRDefault="00A663C6" w:rsidP="00755335">
      <w:r w:rsidRPr="00A663C6">
        <w:t>The likely negative economic impacts are difficult to assess. There are indications from some stakeholders that removing the scheme may not initially concern   the market more generally. However, conditions have not materially changed so that funding of large</w:t>
      </w:r>
      <w:r w:rsidR="008A07A0">
        <w:noBreakHyphen/>
      </w:r>
      <w:r w:rsidRPr="00A663C6">
        <w:t xml:space="preserve">scale commercial projects would be viable without insurance. In current conditions, the pricing of the scheme suggests that insurers </w:t>
      </w:r>
      <w:r w:rsidR="008E7BEF">
        <w:t>see</w:t>
      </w:r>
      <w:r w:rsidR="008E7BEF" w:rsidRPr="00A663C6">
        <w:t xml:space="preserve"> </w:t>
      </w:r>
      <w:r w:rsidRPr="00A663C6">
        <w:t xml:space="preserve">little likelihood </w:t>
      </w:r>
      <w:r w:rsidR="008E7BEF">
        <w:t>of</w:t>
      </w:r>
      <w:r w:rsidR="008E7BEF" w:rsidRPr="00A663C6">
        <w:t xml:space="preserve"> </w:t>
      </w:r>
      <w:r w:rsidRPr="00A663C6">
        <w:t>a large</w:t>
      </w:r>
      <w:r w:rsidR="008E7BEF">
        <w:t>-</w:t>
      </w:r>
      <w:r w:rsidRPr="00A663C6">
        <w:t>s</w:t>
      </w:r>
      <w:r w:rsidR="008E7BEF">
        <w:t>c</w:t>
      </w:r>
      <w:r w:rsidRPr="00A663C6">
        <w:t>ale loss</w:t>
      </w:r>
      <w:r w:rsidR="008A07A0">
        <w:t xml:space="preserve">. </w:t>
      </w:r>
      <w:r w:rsidRPr="00A663C6">
        <w:t xml:space="preserve">Yet there </w:t>
      </w:r>
      <w:r w:rsidR="008E7BEF">
        <w:t>seems to be</w:t>
      </w:r>
      <w:r w:rsidR="008E7BEF" w:rsidRPr="00A663C6">
        <w:t xml:space="preserve"> </w:t>
      </w:r>
      <w:r w:rsidRPr="00A663C6">
        <w:t>no reason to think that a future large terrorist event would not have a similar effect on large commercial building activity to that in 2001.</w:t>
      </w:r>
    </w:p>
    <w:p w14:paraId="2F004DAD" w14:textId="03997C12" w:rsidR="001D5755" w:rsidRPr="00082936" w:rsidRDefault="00151886" w:rsidP="00755335">
      <w:r>
        <w:t xml:space="preserve">A further issue is </w:t>
      </w:r>
      <w:proofErr w:type="gramStart"/>
      <w:r>
        <w:t>that</w:t>
      </w:r>
      <w:r w:rsidR="00EF75E3">
        <w:t>,</w:t>
      </w:r>
      <w:proofErr w:type="gramEnd"/>
      <w:r w:rsidR="001D5755">
        <w:t xml:space="preserve"> if </w:t>
      </w:r>
      <w:r>
        <w:t xml:space="preserve">sufficient </w:t>
      </w:r>
      <w:r w:rsidR="001D5755">
        <w:t xml:space="preserve">terrorism insurance is not available </w:t>
      </w:r>
      <w:r>
        <w:t>in the private market</w:t>
      </w:r>
      <w:r w:rsidR="001D5755">
        <w:t xml:space="preserve">, then the </w:t>
      </w:r>
      <w:r w:rsidR="00B97B26">
        <w:t>g</w:t>
      </w:r>
      <w:r w:rsidR="001D5755">
        <w:t xml:space="preserve">overnment may be </w:t>
      </w:r>
      <w:r w:rsidR="00FC1DD0">
        <w:t>called on to provide open</w:t>
      </w:r>
      <w:r w:rsidR="000670D2">
        <w:t>-</w:t>
      </w:r>
      <w:r w:rsidR="00FC1DD0">
        <w:t>ended support in the event of a terrorist incident.</w:t>
      </w:r>
      <w:r w:rsidR="001D5755">
        <w:t xml:space="preserve"> </w:t>
      </w:r>
      <w:r w:rsidR="00FC1DD0">
        <w:t>Existence of a</w:t>
      </w:r>
      <w:r w:rsidR="00394373">
        <w:t>n explicit guarantee</w:t>
      </w:r>
      <w:r w:rsidR="00FC1DD0">
        <w:t xml:space="preserve"> provides certainty and enables the </w:t>
      </w:r>
      <w:r w:rsidR="00B97B26">
        <w:t>g</w:t>
      </w:r>
      <w:r w:rsidR="00FC1DD0">
        <w:t>overnment and tax payers to be fairly compensated for the provision of the guarantee.</w:t>
      </w:r>
      <w:r w:rsidR="001D5755">
        <w:t xml:space="preserve"> </w:t>
      </w:r>
    </w:p>
    <w:p w14:paraId="39B0BB57" w14:textId="7040C324" w:rsidR="00134843" w:rsidRDefault="00FC1DD0" w:rsidP="00755335">
      <w:r>
        <w:t>T</w:t>
      </w:r>
      <w:r w:rsidR="001D5755">
        <w:t>he need for the scheme was highlighted recently through the certainty it provided in the</w:t>
      </w:r>
      <w:r w:rsidR="00F34A1D">
        <w:br/>
      </w:r>
      <w:r w:rsidR="001D5755">
        <w:t xml:space="preserve">December Sydney siege events where it was activated for the first time. Although losses are </w:t>
      </w:r>
      <w:r w:rsidR="00222FD3">
        <w:t>predicted</w:t>
      </w:r>
      <w:r w:rsidR="001D5755">
        <w:t xml:space="preserve"> to </w:t>
      </w:r>
      <w:r w:rsidR="00222FD3">
        <w:t>be</w:t>
      </w:r>
      <w:r w:rsidR="001D5755">
        <w:t xml:space="preserve"> below the level of activation of the government guarantee, the scheme has provided a mechanism for communication between insurers and the </w:t>
      </w:r>
      <w:r w:rsidR="00B97B26">
        <w:t>g</w:t>
      </w:r>
      <w:r w:rsidR="001D5755">
        <w:t>overnment and provided certainty to claimants.</w:t>
      </w:r>
      <w:r w:rsidR="00134843">
        <w:t xml:space="preserve"> </w:t>
      </w:r>
    </w:p>
    <w:p w14:paraId="4C0FDC1C" w14:textId="77777777" w:rsidR="00A663C6" w:rsidRDefault="00A663C6" w:rsidP="00843660">
      <w:pPr>
        <w:pStyle w:val="Heading3"/>
      </w:pPr>
      <w:r>
        <w:t>Ongoing reviews</w:t>
      </w:r>
    </w:p>
    <w:p w14:paraId="177C0068" w14:textId="54E6192C" w:rsidR="00222FD3" w:rsidRPr="009104A5" w:rsidRDefault="00222FD3" w:rsidP="00755335">
      <w:r>
        <w:t xml:space="preserve">The </w:t>
      </w:r>
      <w:proofErr w:type="spellStart"/>
      <w:r>
        <w:t>Pottinger</w:t>
      </w:r>
      <w:proofErr w:type="spellEnd"/>
      <w:r>
        <w:t xml:space="preserve"> report recommends making the scheme permanent given the apparent ongoing need for the Act</w:t>
      </w:r>
      <w:r w:rsidR="003420BE">
        <w:t>, and posits reviews once every 5 years</w:t>
      </w:r>
      <w:r>
        <w:t>.</w:t>
      </w:r>
      <w:r w:rsidR="003420BE">
        <w:t xml:space="preserve"> While this review recognises that the temporary nature of the scheme needs to be reassessed given the persistent need for it, </w:t>
      </w:r>
      <w:r w:rsidR="00D9035F">
        <w:t>it is considered that tri</w:t>
      </w:r>
      <w:r w:rsidR="00736EC3">
        <w:t>ennial</w:t>
      </w:r>
      <w:r w:rsidR="00D9035F">
        <w:t xml:space="preserve"> reviews should remain in place to ensure that the ongoing need for the scheme is closely monitored, but also to ensure that the parameters of the scheme are appropriately set.</w:t>
      </w:r>
      <w:r>
        <w:t xml:space="preserve"> </w:t>
      </w:r>
    </w:p>
    <w:p w14:paraId="5C44108C" w14:textId="77777777" w:rsidR="000C5EE4" w:rsidRDefault="000C5EE4" w:rsidP="00951A43">
      <w:pPr>
        <w:pStyle w:val="Heading1"/>
        <w:sectPr w:rsidR="000C5EE4" w:rsidSect="000C5EE4">
          <w:type w:val="oddPage"/>
          <w:pgSz w:w="11906" w:h="16838" w:code="9"/>
          <w:pgMar w:top="1440" w:right="1440" w:bottom="1440" w:left="1440" w:header="709" w:footer="709" w:gutter="0"/>
          <w:cols w:space="708"/>
          <w:titlePg/>
          <w:docGrid w:linePitch="360"/>
        </w:sectPr>
      </w:pPr>
      <w:bookmarkStart w:id="91" w:name="_Toc405808765"/>
      <w:bookmarkStart w:id="92" w:name="_Toc406424588"/>
      <w:bookmarkStart w:id="93" w:name="_Toc408413466"/>
      <w:bookmarkStart w:id="94" w:name="_Toc408414180"/>
      <w:bookmarkStart w:id="95" w:name="_Toc409191087"/>
      <w:bookmarkStart w:id="96" w:name="_Toc409618520"/>
      <w:bookmarkStart w:id="97" w:name="_Toc409630051"/>
      <w:bookmarkStart w:id="98" w:name="_Toc410229543"/>
      <w:bookmarkStart w:id="99" w:name="_Toc410302178"/>
      <w:bookmarkStart w:id="100" w:name="_Toc321134078"/>
    </w:p>
    <w:p w14:paraId="2537825F" w14:textId="03534E0C" w:rsidR="00FE549F" w:rsidRPr="00436986" w:rsidRDefault="00FE549F" w:rsidP="00951A43">
      <w:pPr>
        <w:pStyle w:val="Heading1"/>
      </w:pPr>
      <w:bookmarkStart w:id="101" w:name="_Toc437877555"/>
      <w:r>
        <w:t xml:space="preserve">Chapter </w:t>
      </w:r>
      <w:bookmarkStart w:id="102" w:name="_Toc405808766"/>
      <w:bookmarkStart w:id="103" w:name="_Toc406155136"/>
      <w:bookmarkEnd w:id="91"/>
      <w:r w:rsidR="00FE266A">
        <w:t>3</w:t>
      </w:r>
      <w:r>
        <w:t>:</w:t>
      </w:r>
      <w:r w:rsidR="00951A43">
        <w:t xml:space="preserve">  </w:t>
      </w:r>
      <w:r w:rsidR="00BA6A4F">
        <w:t>O</w:t>
      </w:r>
      <w:r>
        <w:t xml:space="preserve">wnership </w:t>
      </w:r>
      <w:r w:rsidR="00B87057">
        <w:t xml:space="preserve">structure </w:t>
      </w:r>
      <w:r>
        <w:t xml:space="preserve">of </w:t>
      </w:r>
      <w:r w:rsidR="00B87057">
        <w:t>the</w:t>
      </w:r>
      <w:r>
        <w:t xml:space="preserve"> </w:t>
      </w:r>
      <w:r w:rsidR="00240C90">
        <w:t>ARPC</w:t>
      </w:r>
      <w:bookmarkEnd w:id="92"/>
      <w:bookmarkEnd w:id="93"/>
      <w:bookmarkEnd w:id="94"/>
      <w:bookmarkEnd w:id="95"/>
      <w:bookmarkEnd w:id="96"/>
      <w:bookmarkEnd w:id="97"/>
      <w:bookmarkEnd w:id="98"/>
      <w:bookmarkEnd w:id="99"/>
      <w:bookmarkEnd w:id="102"/>
      <w:bookmarkEnd w:id="103"/>
      <w:bookmarkEnd w:id="101"/>
    </w:p>
    <w:p w14:paraId="5D913779" w14:textId="77777777" w:rsidR="00FE549F" w:rsidRPr="00B4027E" w:rsidRDefault="00FE549F" w:rsidP="00843660">
      <w:pPr>
        <w:pStyle w:val="Heading2"/>
      </w:pPr>
      <w:bookmarkStart w:id="104" w:name="_Toc437877556"/>
      <w:r>
        <w:t>Iss</w:t>
      </w:r>
      <w:r w:rsidRPr="006367E9">
        <w:t>ue</w:t>
      </w:r>
      <w:bookmarkEnd w:id="104"/>
      <w:r w:rsidR="002539F8">
        <w:t xml:space="preserve"> </w:t>
      </w:r>
    </w:p>
    <w:p w14:paraId="270A094E" w14:textId="696D1C6E" w:rsidR="00A602EB" w:rsidRDefault="00817157" w:rsidP="00755335">
      <w:r>
        <w:t>While the Act and the ARPC are necessary and likely to be so over the longer term, there may be</w:t>
      </w:r>
      <w:r w:rsidR="00A602EB">
        <w:t xml:space="preserve"> alternative</w:t>
      </w:r>
      <w:r w:rsidR="00FE549F" w:rsidRPr="009104A5">
        <w:t xml:space="preserve"> options </w:t>
      </w:r>
      <w:r w:rsidR="00E87539">
        <w:t xml:space="preserve">available </w:t>
      </w:r>
      <w:r w:rsidR="00FE549F" w:rsidRPr="009104A5">
        <w:t>for ownership of the ARPC</w:t>
      </w:r>
      <w:r>
        <w:t>. This chapter considers alternative options for the ARPC and</w:t>
      </w:r>
      <w:r w:rsidR="00804745">
        <w:t xml:space="preserve"> </w:t>
      </w:r>
      <w:r w:rsidR="00A602EB">
        <w:t xml:space="preserve">whether </w:t>
      </w:r>
      <w:r>
        <w:t>the</w:t>
      </w:r>
      <w:r w:rsidR="00A602EB">
        <w:t xml:space="preserve"> ownership </w:t>
      </w:r>
      <w:r w:rsidR="00804745">
        <w:t xml:space="preserve">or administration </w:t>
      </w:r>
      <w:r w:rsidR="00A602EB">
        <w:t xml:space="preserve">structure should be </w:t>
      </w:r>
      <w:r>
        <w:t>changed</w:t>
      </w:r>
      <w:r w:rsidR="00A602EB">
        <w:t>.</w:t>
      </w:r>
    </w:p>
    <w:p w14:paraId="4713C1D6" w14:textId="77777777" w:rsidR="004B263D" w:rsidRPr="004B263D" w:rsidRDefault="004B263D" w:rsidP="00843660">
      <w:pPr>
        <w:pStyle w:val="Heading2"/>
      </w:pPr>
      <w:bookmarkStart w:id="105" w:name="_Toc437877557"/>
      <w:r>
        <w:t>Recommendation</w:t>
      </w:r>
      <w:bookmarkEnd w:id="105"/>
    </w:p>
    <w:p w14:paraId="0C21ECBE" w14:textId="77777777" w:rsidR="00804745" w:rsidRDefault="00804745" w:rsidP="00755335">
      <w:r>
        <w:rPr>
          <w:noProof/>
        </w:rPr>
        <mc:AlternateContent>
          <mc:Choice Requires="wps">
            <w:drawing>
              <wp:anchor distT="0" distB="0" distL="114300" distR="114300" simplePos="0" relativeHeight="251658242" behindDoc="0" locked="0" layoutInCell="1" allowOverlap="1" wp14:anchorId="7EBA10D3" wp14:editId="2757310B">
                <wp:simplePos x="0" y="0"/>
                <wp:positionH relativeFrom="column">
                  <wp:align>center</wp:align>
                </wp:positionH>
                <wp:positionV relativeFrom="paragraph">
                  <wp:posOffset>0</wp:posOffset>
                </wp:positionV>
                <wp:extent cx="52578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04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BA9F5EC" w14:textId="322F3EC9" w:rsidR="00685DAA" w:rsidRDefault="00685DAA">
                            <w:r w:rsidRPr="00804745">
                              <w:rPr>
                                <w:i/>
                              </w:rPr>
                              <w:t>Recommendation 2</w:t>
                            </w:r>
                            <w:r>
                              <w:t xml:space="preserve">: </w:t>
                            </w:r>
                            <w:r w:rsidRPr="00804745">
                              <w:t xml:space="preserve">That the current administration structure of the ARPC as set out in the Act be retained.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14pt;height:39.7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" fillcolor="white [3201]" strokecolor="#4f81bd [3204]" strokeweight="2pt">
                <v:textbox>
                  <w:txbxContent>
                    <w:p w14:paraId="3BA9F5EC" w14:textId="322F3EC9" w:rsidR="00685DAA" w:rsidRDefault="00685DAA">
                      <w:r w:rsidRPr="00804745">
                        <w:rPr>
                          <w:i/>
                        </w:rPr>
                        <w:t>Recommendation 2</w:t>
                      </w:r>
                      <w:r>
                        <w:t xml:space="preserve">: </w:t>
                      </w:r>
                      <w:r w:rsidRPr="00804745">
                        <w:t xml:space="preserve">That the current administration structure of the ARPC as set out in the Act be retained.   </w:t>
                      </w:r>
                    </w:p>
                  </w:txbxContent>
                </v:textbox>
              </v:shape>
            </w:pict>
          </mc:Fallback>
        </mc:AlternateContent>
      </w:r>
    </w:p>
    <w:p w14:paraId="04652CF7" w14:textId="77777777" w:rsidR="00804745" w:rsidRDefault="00804745" w:rsidP="00843660">
      <w:pPr>
        <w:pStyle w:val="Heading2"/>
      </w:pPr>
    </w:p>
    <w:p w14:paraId="0AF3CFAC" w14:textId="77777777" w:rsidR="00240C90" w:rsidRPr="00734A1D" w:rsidRDefault="00DC41E1" w:rsidP="00843660">
      <w:pPr>
        <w:pStyle w:val="Heading2"/>
      </w:pPr>
      <w:bookmarkStart w:id="106" w:name="_Toc437877558"/>
      <w:r>
        <w:t>Assessment</w:t>
      </w:r>
      <w:bookmarkEnd w:id="106"/>
    </w:p>
    <w:p w14:paraId="4672AB63" w14:textId="58D94146" w:rsidR="00BA6A4F" w:rsidRDefault="00BA6A4F" w:rsidP="00755335">
      <w:r>
        <w:t>The introduction of the scheme in 200</w:t>
      </w:r>
      <w:r w:rsidR="00C40FB9">
        <w:t>3</w:t>
      </w:r>
      <w:r>
        <w:t xml:space="preserve"> was to counter a significant impact on economic activity</w:t>
      </w:r>
      <w:r w:rsidR="000670D2">
        <w:t xml:space="preserve"> </w:t>
      </w:r>
      <w:r>
        <w:t xml:space="preserve">due to a lack of insurance for </w:t>
      </w:r>
      <w:r w:rsidRPr="00F46513">
        <w:rPr>
          <w:rFonts w:cstheme="minorHAnsi"/>
        </w:rPr>
        <w:t>commercial property and associated business interruption losses and public liability claims</w:t>
      </w:r>
      <w:r>
        <w:rPr>
          <w:rFonts w:cstheme="minorHAnsi"/>
        </w:rPr>
        <w:t>.</w:t>
      </w:r>
      <w:r>
        <w:t xml:space="preserve"> At the time, it was recognised that creation of the ARPC, a government</w:t>
      </w:r>
      <w:r w:rsidR="008A07A0">
        <w:noBreakHyphen/>
      </w:r>
      <w:r>
        <w:t xml:space="preserve">owned statutory corporation, would increase </w:t>
      </w:r>
      <w:r w:rsidR="00B97B26">
        <w:t>g</w:t>
      </w:r>
      <w:r>
        <w:t>overnment involvement in the insurance market, operate as a competitor to private</w:t>
      </w:r>
      <w:r w:rsidR="008A07A0">
        <w:noBreakHyphen/>
      </w:r>
      <w:r>
        <w:t xml:space="preserve">sector reinsurers, and increase the risk faced by the </w:t>
      </w:r>
      <w:r w:rsidR="00B97B26">
        <w:t>g</w:t>
      </w:r>
      <w:r>
        <w:t>overnment through the provision of a government guarantee. For these reasons, the scheme was intended to be temporary until a market</w:t>
      </w:r>
      <w:r w:rsidR="008A07A0">
        <w:noBreakHyphen/>
      </w:r>
      <w:r>
        <w:t>based solution re</w:t>
      </w:r>
      <w:r w:rsidR="008A07A0">
        <w:noBreakHyphen/>
      </w:r>
      <w:r>
        <w:t>emerged.</w:t>
      </w:r>
    </w:p>
    <w:p w14:paraId="3825CDC1" w14:textId="3AF5CDD9" w:rsidR="00BA6A4F" w:rsidRPr="00A602EB" w:rsidRDefault="00890F2D" w:rsidP="00755335">
      <w:r>
        <w:t>This</w:t>
      </w:r>
      <w:r w:rsidR="00B7715C">
        <w:t xml:space="preserve"> review finds that there is no near</w:t>
      </w:r>
      <w:r w:rsidR="008A07A0">
        <w:noBreakHyphen/>
      </w:r>
      <w:r w:rsidR="00B7715C">
        <w:t xml:space="preserve">term possibility of </w:t>
      </w:r>
      <w:r w:rsidR="0029060C">
        <w:t>a</w:t>
      </w:r>
      <w:r w:rsidR="00B7715C">
        <w:t xml:space="preserve"> market</w:t>
      </w:r>
      <w:r w:rsidR="0029060C">
        <w:t xml:space="preserve">-based solution emerging and that the scheme should continue.  However, the </w:t>
      </w:r>
      <w:proofErr w:type="gramStart"/>
      <w:r w:rsidR="0029060C">
        <w:t>review also considers whether there is scope for</w:t>
      </w:r>
      <w:r w:rsidR="00B7715C">
        <w:t xml:space="preserve"> alternative ownership </w:t>
      </w:r>
      <w:r w:rsidR="0029060C">
        <w:t xml:space="preserve">or administration </w:t>
      </w:r>
      <w:r w:rsidR="00B7715C">
        <w:t xml:space="preserve">structures for the ARPC that </w:t>
      </w:r>
      <w:r w:rsidR="0029060C">
        <w:t>might</w:t>
      </w:r>
      <w:r w:rsidR="00B7715C">
        <w:t xml:space="preserve"> increase industry responsibility for the scheme</w:t>
      </w:r>
      <w:r w:rsidR="008A07A0">
        <w:t>’</w:t>
      </w:r>
      <w:r w:rsidR="00B7715C">
        <w:t xml:space="preserve">s continued operation, </w:t>
      </w:r>
      <w:r w:rsidR="0029060C">
        <w:t>and facilitate</w:t>
      </w:r>
      <w:proofErr w:type="gramEnd"/>
      <w:r w:rsidR="0029060C">
        <w:t xml:space="preserve"> a gradual wit</w:t>
      </w:r>
      <w:r w:rsidR="00B97B26">
        <w:t>hdrawal from the market by the g</w:t>
      </w:r>
      <w:r w:rsidR="0029060C">
        <w:t>overnment. An e</w:t>
      </w:r>
      <w:r w:rsidR="00B7715C">
        <w:t>xternal consulting firm</w:t>
      </w:r>
      <w:r w:rsidR="0029060C">
        <w:t>,</w:t>
      </w:r>
      <w:r w:rsidR="00B7715C">
        <w:t xml:space="preserve"> </w:t>
      </w:r>
      <w:proofErr w:type="spellStart"/>
      <w:r w:rsidR="00B7715C">
        <w:t>Pottinger</w:t>
      </w:r>
      <w:proofErr w:type="spellEnd"/>
      <w:r w:rsidR="0029060C">
        <w:t>,</w:t>
      </w:r>
      <w:r w:rsidR="00B7715C">
        <w:t xml:space="preserve"> was engaged by Treasury to provide advice on alternatives for this review</w:t>
      </w:r>
      <w:r w:rsidR="00DC065C">
        <w:t xml:space="preserve"> (</w:t>
      </w:r>
      <w:r w:rsidR="0089533B">
        <w:t>report attached as Annex A</w:t>
      </w:r>
      <w:r w:rsidR="00DC065C">
        <w:t>)</w:t>
      </w:r>
      <w:r w:rsidR="00B7715C">
        <w:t>.</w:t>
      </w:r>
    </w:p>
    <w:p w14:paraId="1D534852" w14:textId="101D21A1" w:rsidR="00980394" w:rsidRDefault="005363E0" w:rsidP="00755335">
      <w:proofErr w:type="spellStart"/>
      <w:r>
        <w:t>Pottinger</w:t>
      </w:r>
      <w:r w:rsidR="00B837E1">
        <w:t>’s</w:t>
      </w:r>
      <w:proofErr w:type="spellEnd"/>
      <w:r>
        <w:t xml:space="preserve"> report canvasses ownership </w:t>
      </w:r>
      <w:r w:rsidR="0029060C">
        <w:t xml:space="preserve">and administration </w:t>
      </w:r>
      <w:r>
        <w:t xml:space="preserve">structures used </w:t>
      </w:r>
      <w:r w:rsidR="0029060C">
        <w:t xml:space="preserve">for similar schemes </w:t>
      </w:r>
      <w:r>
        <w:t xml:space="preserve">overseas and </w:t>
      </w:r>
      <w:r w:rsidR="0029060C">
        <w:t>considers costs and benefits i</w:t>
      </w:r>
      <w:r>
        <w:t xml:space="preserve">f these options </w:t>
      </w:r>
      <w:r w:rsidR="0029060C">
        <w:t xml:space="preserve">were to be adapted for use </w:t>
      </w:r>
      <w:r>
        <w:t xml:space="preserve">in the Australian context. </w:t>
      </w:r>
      <w:r w:rsidR="0029060C">
        <w:t xml:space="preserve">Drawing on </w:t>
      </w:r>
      <w:proofErr w:type="spellStart"/>
      <w:r w:rsidR="0029060C">
        <w:t>Pottinger’s</w:t>
      </w:r>
      <w:proofErr w:type="spellEnd"/>
      <w:r w:rsidR="0029060C">
        <w:t xml:space="preserve"> work, t</w:t>
      </w:r>
      <w:r w:rsidR="00BB5CF8">
        <w:t xml:space="preserve">his review considers two </w:t>
      </w:r>
      <w:r w:rsidR="00DC41E1">
        <w:t xml:space="preserve">broad </w:t>
      </w:r>
      <w:r w:rsidR="00BB5CF8">
        <w:t xml:space="preserve">alternative options for ownership of the ARPC that would allow for significantly lower </w:t>
      </w:r>
      <w:r w:rsidR="00B97B26">
        <w:t>g</w:t>
      </w:r>
      <w:r w:rsidR="00BB5CF8">
        <w:t xml:space="preserve">overnment involvement: a private sale and a mutual structure. If one of these options were to be pursued, a transition </w:t>
      </w:r>
      <w:r w:rsidR="00D23C8D">
        <w:t xml:space="preserve">plan </w:t>
      </w:r>
      <w:r w:rsidR="00A602EB">
        <w:t xml:space="preserve">would need to </w:t>
      </w:r>
      <w:r w:rsidR="00D23C8D">
        <w:t>be established</w:t>
      </w:r>
      <w:r w:rsidR="00BB5CF8">
        <w:t xml:space="preserve"> to ensure the success of the transfer.</w:t>
      </w:r>
    </w:p>
    <w:p w14:paraId="1F0A3826" w14:textId="62D039CC" w:rsidR="00834239" w:rsidRDefault="00834239" w:rsidP="00755335">
      <w:r>
        <w:t xml:space="preserve">Both options </w:t>
      </w:r>
      <w:r w:rsidR="004538EC">
        <w:t xml:space="preserve">presented here </w:t>
      </w:r>
      <w:r>
        <w:t xml:space="preserve">retain a mechanism to pool risk. Terrorism risk is different to other insurable risks as the potential loss from a single event is very high, events happen at very low frequency and are unpredictable, and the actions of the </w:t>
      </w:r>
      <w:r w:rsidR="00B97B26">
        <w:t>g</w:t>
      </w:r>
      <w:r>
        <w:t xml:space="preserve">overnment can have an impact on the probability of an event. The </w:t>
      </w:r>
      <w:proofErr w:type="spellStart"/>
      <w:r>
        <w:t>Pottinger</w:t>
      </w:r>
      <w:proofErr w:type="spellEnd"/>
      <w:r>
        <w:t xml:space="preserve"> report concludes that a risk pool, such as </w:t>
      </w:r>
      <w:r w:rsidR="00B837E1">
        <w:t xml:space="preserve">the one </w:t>
      </w:r>
      <w:r>
        <w:t>operated by the ARPC, is the most cost</w:t>
      </w:r>
      <w:r w:rsidR="008A07A0">
        <w:noBreakHyphen/>
      </w:r>
      <w:r>
        <w:t xml:space="preserve">efficient way to provide access to retrocession markets. The report </w:t>
      </w:r>
      <w:r w:rsidR="00F12530">
        <w:t>concludes</w:t>
      </w:r>
      <w:r>
        <w:t xml:space="preserve"> that the same level of retrocessions may not be available to individual insurers outside a risk pool.</w:t>
      </w:r>
      <w:r>
        <w:rPr>
          <w:rStyle w:val="FootnoteReference"/>
        </w:rPr>
        <w:footnoteReference w:id="10"/>
      </w:r>
      <w:r w:rsidR="00C40FB9">
        <w:t xml:space="preserve">  This view was reinforced in consultations with the industry.</w:t>
      </w:r>
    </w:p>
    <w:p w14:paraId="615B3FB6" w14:textId="3803677E" w:rsidR="007C177B" w:rsidRDefault="00834239" w:rsidP="00755335">
      <w:r>
        <w:t xml:space="preserve">Both options also contemplate the continuation of the government guarantee. </w:t>
      </w:r>
      <w:r w:rsidR="00F27515">
        <w:t>T</w:t>
      </w:r>
      <w:r>
        <w:t xml:space="preserve">he </w:t>
      </w:r>
      <w:proofErr w:type="spellStart"/>
      <w:r>
        <w:t>Pottinger</w:t>
      </w:r>
      <w:proofErr w:type="spellEnd"/>
      <w:r>
        <w:t xml:space="preserve"> report estimates that the private sector</w:t>
      </w:r>
      <w:r w:rsidR="00F12530">
        <w:t xml:space="preserve"> currently </w:t>
      </w:r>
      <w:r>
        <w:t>can provide only $3</w:t>
      </w:r>
      <w:r w:rsidR="00FE088B">
        <w:t xml:space="preserve"> billion</w:t>
      </w:r>
      <w:r w:rsidR="00F700FC">
        <w:t xml:space="preserve"> — $</w:t>
      </w:r>
      <w:r>
        <w:t xml:space="preserve">5 billion in </w:t>
      </w:r>
      <w:r w:rsidR="00F27515">
        <w:t xml:space="preserve">retrocession </w:t>
      </w:r>
      <w:r>
        <w:t>coverage for terrorism risk in Australia</w:t>
      </w:r>
      <w:r w:rsidR="00F27515">
        <w:t xml:space="preserve">, below the </w:t>
      </w:r>
      <w:r w:rsidR="007C177B">
        <w:t xml:space="preserve">current size of the scheme and the </w:t>
      </w:r>
      <w:r w:rsidR="00F27515">
        <w:t>estimated maximum losses under a single large terrorist incident</w:t>
      </w:r>
      <w:r>
        <w:t xml:space="preserve">. In the event of a terrorist incident where losses exceeded those covered by the private sector, it is likely that the </w:t>
      </w:r>
      <w:r w:rsidR="009C525F">
        <w:t>G</w:t>
      </w:r>
      <w:r>
        <w:t xml:space="preserve">overnment would be called upon to provide additional financial support. An explicit government guarantee reduces uncertainty, decreases insurance premiums, and ensures that the </w:t>
      </w:r>
      <w:r w:rsidR="00B97B26">
        <w:t>g</w:t>
      </w:r>
      <w:r>
        <w:t>overnment receives adequate compensation for the risk faced in acting as an insurer.</w:t>
      </w:r>
      <w:r w:rsidR="007C177B">
        <w:t xml:space="preserve"> Most foreign schemes have </w:t>
      </w:r>
      <w:r w:rsidR="00F12530">
        <w:t xml:space="preserve">some form of </w:t>
      </w:r>
      <w:r w:rsidR="007C177B">
        <w:t>government support.</w:t>
      </w:r>
    </w:p>
    <w:p w14:paraId="04A80908" w14:textId="77777777" w:rsidR="00DC41E1" w:rsidRPr="005E58A6" w:rsidRDefault="00DC41E1" w:rsidP="00843828">
      <w:pPr>
        <w:pStyle w:val="Heading3"/>
      </w:pPr>
      <w:r w:rsidRPr="005E58A6">
        <w:t>Sale of the ARPC by trade sale or initial public offering</w:t>
      </w:r>
    </w:p>
    <w:p w14:paraId="3D6F1833" w14:textId="07AADE95" w:rsidR="00F36C4E" w:rsidRDefault="00EB6EC1" w:rsidP="00755335">
      <w:r>
        <w:t>A p</w:t>
      </w:r>
      <w:r w:rsidR="00F36C4E">
        <w:t xml:space="preserve">rivate sale of the ARPC </w:t>
      </w:r>
      <w:r>
        <w:t xml:space="preserve">has the potential to reduce </w:t>
      </w:r>
      <w:r w:rsidR="00B97B26">
        <w:t>g</w:t>
      </w:r>
      <w:r w:rsidR="00F36C4E">
        <w:t>overnment involvement and risk</w:t>
      </w:r>
      <w:r w:rsidR="004538EC">
        <w:t xml:space="preserve"> taken by the </w:t>
      </w:r>
      <w:r w:rsidR="00B97B26">
        <w:t>g</w:t>
      </w:r>
      <w:r w:rsidR="004538EC">
        <w:t>overnment</w:t>
      </w:r>
      <w:r w:rsidR="00F36C4E">
        <w:t xml:space="preserve">, as well as realising value for the </w:t>
      </w:r>
      <w:r w:rsidR="00B97B26">
        <w:t>g</w:t>
      </w:r>
      <w:r w:rsidR="00F36C4E">
        <w:t>overnment that is currently tied up in the ARPC.</w:t>
      </w:r>
      <w:r>
        <w:t xml:space="preserve"> </w:t>
      </w:r>
      <w:r w:rsidR="00F27515">
        <w:t xml:space="preserve">The </w:t>
      </w:r>
      <w:r w:rsidR="00B97B26">
        <w:t>g</w:t>
      </w:r>
      <w:r w:rsidR="00F27515">
        <w:t>overnment</w:t>
      </w:r>
      <w:r w:rsidR="00442601">
        <w:t xml:space="preserve"> could </w:t>
      </w:r>
      <w:r w:rsidR="00F27515">
        <w:t xml:space="preserve">seek to retain majority ownership through a limited share offer or </w:t>
      </w:r>
      <w:r w:rsidR="004538EC">
        <w:t>pursue</w:t>
      </w:r>
      <w:r w:rsidR="00F27515">
        <w:t xml:space="preserve"> full privatisation</w:t>
      </w:r>
      <w:r>
        <w:t>.</w:t>
      </w:r>
      <w:r w:rsidR="00F27515">
        <w:t xml:space="preserve"> </w:t>
      </w:r>
    </w:p>
    <w:p w14:paraId="6A004161" w14:textId="2B171D47" w:rsidR="002F2F28" w:rsidRDefault="00DC41E1" w:rsidP="00755335">
      <w:r w:rsidRPr="004F25D4">
        <w:t>E</w:t>
      </w:r>
      <w:r>
        <w:t xml:space="preserve">stablishing </w:t>
      </w:r>
      <w:r w:rsidR="00C80F6A">
        <w:t xml:space="preserve">a likely purchase </w:t>
      </w:r>
      <w:r>
        <w:t xml:space="preserve">value for the ARPC is difficult without exact knowledge of how the scheme would operate after a sale. </w:t>
      </w:r>
      <w:r w:rsidR="002F2F28">
        <w:t xml:space="preserve">The factors to be considered include how much control the private entity would have over premiums and the ability of the purchaser to diversify risk; market sounding reports suggest that few market participants would be interested in purchasing an insurer that only covered terrorism risk. The value would also be affected by </w:t>
      </w:r>
      <w:r w:rsidR="00A750CA">
        <w:t xml:space="preserve">any </w:t>
      </w:r>
      <w:r w:rsidR="002F2F28">
        <w:t>minimum prudential capital requirements</w:t>
      </w:r>
      <w:r w:rsidR="00A750CA">
        <w:t xml:space="preserve"> that might be applied</w:t>
      </w:r>
      <w:r w:rsidR="002F2F28">
        <w:t>, required provisions for charges following a major claim, and whether the Act will continue to deem insurance cover for losses caused by terrorism inc</w:t>
      </w:r>
      <w:r w:rsidR="00FC1F7A">
        <w:t>idents into eligible contracts.</w:t>
      </w:r>
    </w:p>
    <w:p w14:paraId="26D912D0" w14:textId="3227A768" w:rsidR="004C0E03" w:rsidRDefault="00442601" w:rsidP="00755335">
      <w:r>
        <w:rPr>
          <w:rFonts w:cs="Arial"/>
        </w:rPr>
        <w:t xml:space="preserve">If the scheme </w:t>
      </w:r>
      <w:r w:rsidR="002F2F28">
        <w:rPr>
          <w:rFonts w:cs="Arial"/>
        </w:rPr>
        <w:t xml:space="preserve">settings remain as </w:t>
      </w:r>
      <w:r w:rsidR="00890F2D">
        <w:rPr>
          <w:rFonts w:cs="Arial"/>
        </w:rPr>
        <w:t>they are</w:t>
      </w:r>
      <w:r w:rsidR="00A750CA">
        <w:rPr>
          <w:rFonts w:cs="Arial"/>
        </w:rPr>
        <w:t xml:space="preserve">, </w:t>
      </w:r>
      <w:proofErr w:type="spellStart"/>
      <w:r w:rsidR="00DC41E1">
        <w:rPr>
          <w:rFonts w:cs="Arial"/>
        </w:rPr>
        <w:t>Pottinger</w:t>
      </w:r>
      <w:proofErr w:type="spellEnd"/>
      <w:r w:rsidR="00DC41E1">
        <w:rPr>
          <w:rFonts w:cs="Arial"/>
        </w:rPr>
        <w:t xml:space="preserve"> </w:t>
      </w:r>
      <w:r w:rsidR="00A750CA">
        <w:rPr>
          <w:rFonts w:cs="Arial"/>
        </w:rPr>
        <w:t>consider</w:t>
      </w:r>
      <w:r w:rsidR="00DC41E1">
        <w:rPr>
          <w:rFonts w:cs="Arial"/>
        </w:rPr>
        <w:t xml:space="preserve">s that private sector buyers would place little value on the ARPC. </w:t>
      </w:r>
      <w:r w:rsidR="00D24319">
        <w:rPr>
          <w:rFonts w:cs="Arial"/>
        </w:rPr>
        <w:t xml:space="preserve">The </w:t>
      </w:r>
      <w:proofErr w:type="spellStart"/>
      <w:r w:rsidR="00D24319">
        <w:t>Pottinger</w:t>
      </w:r>
      <w:proofErr w:type="spellEnd"/>
      <w:r w:rsidR="00D24319">
        <w:t xml:space="preserve"> report estimates that </w:t>
      </w:r>
      <w:r w:rsidR="00DC41E1">
        <w:t xml:space="preserve">the </w:t>
      </w:r>
      <w:r w:rsidR="007C177B">
        <w:t xml:space="preserve">current premium and cost structure of the </w:t>
      </w:r>
      <w:r w:rsidR="00DC41E1">
        <w:t>ARPC</w:t>
      </w:r>
      <w:r w:rsidR="00F36C4E">
        <w:t xml:space="preserve"> </w:t>
      </w:r>
      <w:r w:rsidR="00D24319">
        <w:t>would generate</w:t>
      </w:r>
      <w:r>
        <w:t xml:space="preserve"> </w:t>
      </w:r>
      <w:r w:rsidR="007C177B">
        <w:t>a</w:t>
      </w:r>
      <w:r w:rsidR="00DC41E1">
        <w:t xml:space="preserve"> return on </w:t>
      </w:r>
      <w:r w:rsidR="00EB6EC1">
        <w:t xml:space="preserve">equity </w:t>
      </w:r>
      <w:r w:rsidR="007C177B">
        <w:t xml:space="preserve">below that </w:t>
      </w:r>
      <w:r w:rsidR="00EB6EC1">
        <w:t>of other listed insurers</w:t>
      </w:r>
      <w:r w:rsidR="00DC41E1">
        <w:t>.</w:t>
      </w:r>
      <w:r w:rsidR="002F2F28">
        <w:t xml:space="preserve"> </w:t>
      </w:r>
      <w:r w:rsidR="00CE3EE8">
        <w:t>The</w:t>
      </w:r>
      <w:r w:rsidR="00980394">
        <w:t xml:space="preserve"> potential purchaser may </w:t>
      </w:r>
      <w:r w:rsidR="00CE3EE8">
        <w:t xml:space="preserve">also </w:t>
      </w:r>
      <w:r w:rsidR="00980394">
        <w:t xml:space="preserve">be required to inject capital into the ARPC </w:t>
      </w:r>
      <w:r w:rsidR="008D1906">
        <w:t xml:space="preserve">to meet prudential capital requirements </w:t>
      </w:r>
      <w:r w:rsidR="00980394">
        <w:t xml:space="preserve">if </w:t>
      </w:r>
      <w:r w:rsidR="00CE3EE8">
        <w:t>the ARPC</w:t>
      </w:r>
      <w:r w:rsidR="00980394">
        <w:t xml:space="preserve"> </w:t>
      </w:r>
      <w:r w:rsidR="00616E43">
        <w:t xml:space="preserve">was </w:t>
      </w:r>
      <w:r w:rsidR="00980394">
        <w:t>privately owned</w:t>
      </w:r>
      <w:r w:rsidR="00CE3EE8">
        <w:t>, lowering the value to a potential purchaser</w:t>
      </w:r>
      <w:r w:rsidR="00FE088B">
        <w:t>.</w:t>
      </w:r>
    </w:p>
    <w:p w14:paraId="70B3709A" w14:textId="77777777" w:rsidR="00742E58" w:rsidRDefault="00980394" w:rsidP="00755335">
      <w:r>
        <w:t xml:space="preserve">While the settings of the scheme can be changed to facilitate a sale, </w:t>
      </w:r>
      <w:r w:rsidR="004C0E03">
        <w:t xml:space="preserve">a clear transition plan to establish and maintain the value </w:t>
      </w:r>
      <w:r w:rsidR="00FE088B">
        <w:t>of the ARPC would be required.</w:t>
      </w:r>
    </w:p>
    <w:p w14:paraId="2EF3C93E" w14:textId="77777777" w:rsidR="00F27515" w:rsidRPr="004538EC" w:rsidRDefault="004C0E03" w:rsidP="00755335">
      <w:r>
        <w:t xml:space="preserve">A </w:t>
      </w:r>
      <w:r w:rsidR="004538EC">
        <w:t>significant</w:t>
      </w:r>
      <w:r w:rsidR="00834239">
        <w:t xml:space="preserve"> </w:t>
      </w:r>
      <w:r>
        <w:t>policy issue is that a privately</w:t>
      </w:r>
      <w:r w:rsidR="008A07A0">
        <w:noBreakHyphen/>
      </w:r>
      <w:r>
        <w:t>owned ARPC would likely operate as the sole provider of terrorism reinsurance in Australia</w:t>
      </w:r>
      <w:r w:rsidR="00AE0280">
        <w:t xml:space="preserve">. Creation of a systemically important financial institution operating as a monopoly </w:t>
      </w:r>
      <w:r w:rsidR="00834239">
        <w:t xml:space="preserve">provider of terrorism reinsurance </w:t>
      </w:r>
      <w:r w:rsidR="00742E58">
        <w:t xml:space="preserve">may trigger </w:t>
      </w:r>
      <w:r w:rsidR="00834239">
        <w:t>financial system stability concerns. In particular, it may be necessary to identify</w:t>
      </w:r>
      <w:r w:rsidR="00983AF1">
        <w:t xml:space="preserve"> how the entity would recapitalise after a large claim</w:t>
      </w:r>
      <w:r w:rsidR="00AE0280">
        <w:t>.</w:t>
      </w:r>
      <w:r w:rsidR="00F27515">
        <w:t xml:space="preserve"> </w:t>
      </w:r>
      <w:r w:rsidR="00CE3EE8">
        <w:t>Privatisation may also impact on the prudential capital requirements of insurers reinsuring with the ARPC.</w:t>
      </w:r>
    </w:p>
    <w:p w14:paraId="597C2EC2" w14:textId="77777777" w:rsidR="007D4A78" w:rsidRPr="00FE266A" w:rsidRDefault="007D4A78" w:rsidP="00843828">
      <w:pPr>
        <w:pStyle w:val="Heading3"/>
      </w:pPr>
      <w:r w:rsidRPr="004B53C1">
        <w:t>Transfer to a mutual structure</w:t>
      </w:r>
    </w:p>
    <w:p w14:paraId="0C1A9D26" w14:textId="65F239D3" w:rsidR="0073085A" w:rsidRPr="00ED78DD" w:rsidRDefault="00D6783D" w:rsidP="00755335">
      <w:r>
        <w:t xml:space="preserve">A second </w:t>
      </w:r>
      <w:r w:rsidR="004538EC">
        <w:t>o</w:t>
      </w:r>
      <w:r w:rsidR="0081626C">
        <w:t>ption is for the ARPC to adopt</w:t>
      </w:r>
      <w:r>
        <w:t xml:space="preserve"> a mutual structure</w:t>
      </w:r>
      <w:r w:rsidR="0081626C">
        <w:t xml:space="preserve">.  Members could be </w:t>
      </w:r>
      <w:r>
        <w:t xml:space="preserve">either the </w:t>
      </w:r>
      <w:r w:rsidR="0081626C">
        <w:t xml:space="preserve">property insurers or </w:t>
      </w:r>
      <w:r>
        <w:t xml:space="preserve">the insured property holders. </w:t>
      </w:r>
      <w:r w:rsidR="00D01296">
        <w:t>An i</w:t>
      </w:r>
      <w:r w:rsidR="00D01296" w:rsidRPr="00ED78DD">
        <w:t>nternational precedent exist</w:t>
      </w:r>
      <w:r w:rsidR="00D01296">
        <w:t>s</w:t>
      </w:r>
      <w:r w:rsidR="00D01296" w:rsidRPr="00ED78DD">
        <w:t xml:space="preserve"> for </w:t>
      </w:r>
      <w:r w:rsidR="00D01296">
        <w:t xml:space="preserve">a mutual structure owned by insurers </w:t>
      </w:r>
      <w:r w:rsidR="0081626C">
        <w:t>-</w:t>
      </w:r>
      <w:r w:rsidR="00D01296">
        <w:t xml:space="preserve"> the UK </w:t>
      </w:r>
      <w:r w:rsidR="00C40FB9">
        <w:t xml:space="preserve">Pool Re </w:t>
      </w:r>
      <w:r w:rsidR="00D01296">
        <w:t>scheme</w:t>
      </w:r>
      <w:r w:rsidR="006B239B">
        <w:t>.</w:t>
      </w:r>
    </w:p>
    <w:p w14:paraId="740B7805" w14:textId="595F2AAB" w:rsidR="009739E6" w:rsidRPr="00ED78DD" w:rsidRDefault="00D6783D" w:rsidP="00755335">
      <w:r>
        <w:t>M</w:t>
      </w:r>
      <w:r w:rsidRPr="00ED78DD">
        <w:t xml:space="preserve">utualisation </w:t>
      </w:r>
      <w:r>
        <w:t>of the ARPC offers several advantages. It could</w:t>
      </w:r>
      <w:r w:rsidR="007D4A78" w:rsidRPr="00ED78DD">
        <w:t xml:space="preserve"> increase industry </w:t>
      </w:r>
      <w:r>
        <w:t xml:space="preserve">involvement and </w:t>
      </w:r>
      <w:r w:rsidR="007D4A78" w:rsidRPr="00ED78DD">
        <w:t>responsibility</w:t>
      </w:r>
      <w:r w:rsidR="00D01296">
        <w:t xml:space="preserve"> </w:t>
      </w:r>
      <w:r>
        <w:t>and align incentives</w:t>
      </w:r>
      <w:r w:rsidR="00382239" w:rsidRPr="00ED78DD">
        <w:t xml:space="preserve"> between the </w:t>
      </w:r>
      <w:r>
        <w:t>administrators</w:t>
      </w:r>
      <w:r w:rsidR="00382239" w:rsidRPr="00ED78DD">
        <w:t xml:space="preserve"> of the scheme and those who benefit from the availability of terrorism insurance.</w:t>
      </w:r>
      <w:r w:rsidR="00D01296">
        <w:t xml:space="preserve"> The private sector would also take a much larger role in operating the scheme, reducing the administrative burden on the </w:t>
      </w:r>
      <w:r w:rsidR="00B97B26">
        <w:t>g</w:t>
      </w:r>
      <w:r w:rsidR="00D01296">
        <w:t>overnment</w:t>
      </w:r>
      <w:r w:rsidR="008A07A0">
        <w:t xml:space="preserve">. </w:t>
      </w:r>
      <w:r w:rsidR="00D01296">
        <w:t xml:space="preserve">However, </w:t>
      </w:r>
      <w:r w:rsidR="00D01296" w:rsidRPr="00ED78DD">
        <w:t>mutualisation is unlikely to</w:t>
      </w:r>
      <w:r w:rsidR="00B97B26">
        <w:t xml:space="preserve"> reduce the risks faced by the g</w:t>
      </w:r>
      <w:r w:rsidR="00D01296" w:rsidRPr="00ED78DD">
        <w:t xml:space="preserve">overnment. </w:t>
      </w:r>
      <w:r w:rsidR="00D01296">
        <w:t>As discussed, for the</w:t>
      </w:r>
      <w:r w:rsidR="00DC5EFB">
        <w:t xml:space="preserve"> capacity</w:t>
      </w:r>
      <w:r w:rsidR="00D01296">
        <w:t xml:space="preserve"> of the scheme to be maintained</w:t>
      </w:r>
      <w:r w:rsidR="00225624">
        <w:t>,</w:t>
      </w:r>
      <w:r w:rsidR="00D01296">
        <w:t xml:space="preserve"> a government guarantee would be required. Existing mutual schemes overseas also receive government support.</w:t>
      </w:r>
    </w:p>
    <w:p w14:paraId="77084103" w14:textId="29D51797" w:rsidR="00F27515" w:rsidRDefault="00F27515" w:rsidP="00755335">
      <w:r>
        <w:t>A</w:t>
      </w:r>
      <w:r w:rsidR="00D70F3F">
        <w:t>gain</w:t>
      </w:r>
      <w:r>
        <w:t xml:space="preserve"> </w:t>
      </w:r>
      <w:proofErr w:type="spellStart"/>
      <w:r>
        <w:t>Pottinger</w:t>
      </w:r>
      <w:proofErr w:type="spellEnd"/>
      <w:r>
        <w:t xml:space="preserve"> </w:t>
      </w:r>
      <w:r w:rsidR="00D70F3F">
        <w:t>considers</w:t>
      </w:r>
      <w:r>
        <w:t xml:space="preserve"> that clarification of uncertain aspects of the scheme would </w:t>
      </w:r>
      <w:r w:rsidR="004538EC">
        <w:t>be required</w:t>
      </w:r>
      <w:r w:rsidR="00CA2C94">
        <w:t xml:space="preserve"> before the scheme could be mutualised</w:t>
      </w:r>
      <w:r>
        <w:t xml:space="preserve">. This list includes </w:t>
      </w:r>
      <w:r w:rsidR="00CA2C94">
        <w:t>clarification of the regulatory framework for</w:t>
      </w:r>
      <w:r>
        <w:t xml:space="preserve"> the mutual structure and </w:t>
      </w:r>
      <w:r w:rsidR="00CA2C94">
        <w:t xml:space="preserve">any </w:t>
      </w:r>
      <w:r>
        <w:t xml:space="preserve">regulatory capital requirements; </w:t>
      </w:r>
      <w:r w:rsidR="005363E0">
        <w:t>the mutual</w:t>
      </w:r>
      <w:r w:rsidR="00CA2C94">
        <w:t xml:space="preserve"> entity’s</w:t>
      </w:r>
      <w:r w:rsidR="005363E0">
        <w:t xml:space="preserve"> ability to set prices</w:t>
      </w:r>
      <w:r>
        <w:t xml:space="preserve">; </w:t>
      </w:r>
      <w:r w:rsidR="00CA2C94">
        <w:t xml:space="preserve">the process for </w:t>
      </w:r>
      <w:r>
        <w:t xml:space="preserve">recapitalisation after a large claim; </w:t>
      </w:r>
      <w:r w:rsidR="00A84D68">
        <w:t xml:space="preserve">the nature of the government guarantee; </w:t>
      </w:r>
      <w:r>
        <w:t xml:space="preserve">and </w:t>
      </w:r>
      <w:r w:rsidR="00CA2C94">
        <w:t xml:space="preserve">the </w:t>
      </w:r>
      <w:r>
        <w:t xml:space="preserve">coverage of the scheme. In addition, the governance and voting rights within a mutual would need to be considered </w:t>
      </w:r>
      <w:r w:rsidR="005363E0">
        <w:t xml:space="preserve">to ensure </w:t>
      </w:r>
      <w:r w:rsidR="00CA2C94">
        <w:t xml:space="preserve">the </w:t>
      </w:r>
      <w:r w:rsidR="005363E0">
        <w:rPr>
          <w:rFonts w:cs="Calibri"/>
        </w:rPr>
        <w:t>appropriate balance of interest</w:t>
      </w:r>
      <w:r w:rsidR="00CA2C94">
        <w:rPr>
          <w:rFonts w:cs="Calibri"/>
        </w:rPr>
        <w:t>s</w:t>
      </w:r>
      <w:r w:rsidR="005363E0">
        <w:rPr>
          <w:rFonts w:cs="Calibri"/>
        </w:rPr>
        <w:t xml:space="preserve"> between stakeholders</w:t>
      </w:r>
      <w:r w:rsidR="00D70F3F">
        <w:t>. A comprehensive</w:t>
      </w:r>
      <w:r>
        <w:t xml:space="preserve"> transition plan would be required to ensure the success of </w:t>
      </w:r>
      <w:r w:rsidR="00D70F3F">
        <w:t>any</w:t>
      </w:r>
      <w:r>
        <w:t xml:space="preserve"> </w:t>
      </w:r>
      <w:r w:rsidR="009739E6" w:rsidRPr="00ED78DD">
        <w:t>mutualisation</w:t>
      </w:r>
      <w:r w:rsidR="00FC1F7A">
        <w:t>.</w:t>
      </w:r>
    </w:p>
    <w:p w14:paraId="12B31132" w14:textId="420698DE" w:rsidR="00C747CE" w:rsidRDefault="00F27515" w:rsidP="00755335">
      <w:r>
        <w:t>M</w:t>
      </w:r>
      <w:r w:rsidR="00C747CE">
        <w:t>utualisation</w:t>
      </w:r>
      <w:r w:rsidR="009739E6" w:rsidRPr="00ED78DD">
        <w:t xml:space="preserve"> </w:t>
      </w:r>
      <w:r w:rsidR="00C747CE">
        <w:t xml:space="preserve">would not necessarily release capital to the </w:t>
      </w:r>
      <w:r w:rsidR="00B97B26">
        <w:t>g</w:t>
      </w:r>
      <w:r w:rsidR="00C747CE">
        <w:t xml:space="preserve">overnment. </w:t>
      </w:r>
      <w:r w:rsidR="00284B04">
        <w:t xml:space="preserve">The </w:t>
      </w:r>
      <w:proofErr w:type="spellStart"/>
      <w:r w:rsidR="00284B04">
        <w:t>Pottinger</w:t>
      </w:r>
      <w:proofErr w:type="spellEnd"/>
      <w:r w:rsidR="00284B04">
        <w:t xml:space="preserve"> report argues that</w:t>
      </w:r>
      <w:r w:rsidR="00C747CE">
        <w:t xml:space="preserve"> </w:t>
      </w:r>
      <w:r w:rsidR="00C40FB9">
        <w:t xml:space="preserve">a </w:t>
      </w:r>
      <w:r w:rsidR="00C747CE">
        <w:t xml:space="preserve">mutual structure </w:t>
      </w:r>
      <w:r w:rsidR="00D01296">
        <w:t>may</w:t>
      </w:r>
      <w:r w:rsidR="007E22BD">
        <w:t xml:space="preserve"> be</w:t>
      </w:r>
      <w:r w:rsidR="00C747CE">
        <w:t xml:space="preserve"> subject to prudential capital requirements </w:t>
      </w:r>
      <w:r w:rsidR="00284B04">
        <w:t xml:space="preserve">or may wish to hold capital </w:t>
      </w:r>
      <w:r w:rsidR="00C747CE">
        <w:t>in a similar way to a private entity. One implication is that</w:t>
      </w:r>
      <w:r w:rsidR="00C747CE" w:rsidRPr="00ED78DD">
        <w:t xml:space="preserve"> it may be necessary for the </w:t>
      </w:r>
      <w:r w:rsidR="00B97B26">
        <w:t>g</w:t>
      </w:r>
      <w:r w:rsidR="00C747CE" w:rsidRPr="00ED78DD">
        <w:t xml:space="preserve">overnment to </w:t>
      </w:r>
      <w:r w:rsidR="008A07A0">
        <w:t>‘</w:t>
      </w:r>
      <w:r w:rsidR="00C747CE" w:rsidRPr="00ED78DD">
        <w:t>gift</w:t>
      </w:r>
      <w:r w:rsidR="008A07A0">
        <w:t>’</w:t>
      </w:r>
      <w:r w:rsidR="00C747CE" w:rsidRPr="00ED78DD">
        <w:t xml:space="preserve"> </w:t>
      </w:r>
      <w:r w:rsidR="00C747CE">
        <w:t>the existing</w:t>
      </w:r>
      <w:r w:rsidR="00C747CE" w:rsidRPr="00ED78DD">
        <w:t xml:space="preserve"> capital to the scheme without compens</w:t>
      </w:r>
      <w:r w:rsidR="00FE088B">
        <w:t>ation.</w:t>
      </w:r>
    </w:p>
    <w:p w14:paraId="7AA75D70" w14:textId="4D436125" w:rsidR="007D4A78" w:rsidRPr="00FC1F7A" w:rsidRDefault="00057704" w:rsidP="00843828">
      <w:pPr>
        <w:pStyle w:val="Heading3"/>
      </w:pPr>
      <w:r>
        <w:t>Assessment</w:t>
      </w:r>
      <w:r w:rsidR="007D4A78" w:rsidRPr="004B53C1">
        <w:t xml:space="preserve"> </w:t>
      </w:r>
    </w:p>
    <w:p w14:paraId="4994E468" w14:textId="04C9C59A" w:rsidR="00057704" w:rsidRDefault="00057704" w:rsidP="00755335">
      <w:r>
        <w:t>The options outlined above may be viable in the longer term but do not present as at</w:t>
      </w:r>
      <w:r w:rsidR="00D71DA6">
        <w:t xml:space="preserve">tractive short-term solutions. </w:t>
      </w:r>
      <w:r>
        <w:t xml:space="preserve">None of the viable options identified by </w:t>
      </w:r>
      <w:proofErr w:type="spellStart"/>
      <w:r>
        <w:t>Pottinger</w:t>
      </w:r>
      <w:proofErr w:type="spellEnd"/>
      <w:r>
        <w:t xml:space="preserve"> involve complete withdrawal of government support, and would require major adjustments to the scheme, including heavily increasing the burden on the users of the scheme, if they were to release capital to the Commonwealth.</w:t>
      </w:r>
    </w:p>
    <w:p w14:paraId="01B88D53" w14:textId="1C751E77" w:rsidR="00234F28" w:rsidRDefault="00394736" w:rsidP="00755335">
      <w:r>
        <w:t xml:space="preserve">The current </w:t>
      </w:r>
      <w:r w:rsidR="00057704">
        <w:t xml:space="preserve">administrative </w:t>
      </w:r>
      <w:r>
        <w:t xml:space="preserve">structure is well </w:t>
      </w:r>
      <w:r w:rsidR="00A22A63">
        <w:t>established</w:t>
      </w:r>
      <w:r>
        <w:t xml:space="preserve"> and </w:t>
      </w:r>
      <w:r w:rsidR="00A22A63">
        <w:t>provid</w:t>
      </w:r>
      <w:r w:rsidR="00234F28">
        <w:t>es</w:t>
      </w:r>
      <w:r>
        <w:t xml:space="preserve"> terrorism </w:t>
      </w:r>
      <w:r w:rsidR="00A22A63">
        <w:t>insurance that cannot be provided to the same degree in the private market</w:t>
      </w:r>
      <w:r>
        <w:t xml:space="preserve">. </w:t>
      </w:r>
      <w:r w:rsidR="00234F28">
        <w:t>In addition, the current scheme provides a high level of cost</w:t>
      </w:r>
      <w:r w:rsidR="00234F28">
        <w:noBreakHyphen/>
        <w:t>effective access to international reinsurance markets for terrorism risk, with the ARPC being able to build a sizeable retrocession program.</w:t>
      </w:r>
      <w:r w:rsidR="007176BF">
        <w:t xml:space="preserve"> </w:t>
      </w:r>
      <w:r w:rsidR="006F23DD">
        <w:t>Market participants widely support the continuation of the current scheme in its structure and operation.</w:t>
      </w:r>
    </w:p>
    <w:p w14:paraId="20125164" w14:textId="3738FE28" w:rsidR="00234F28" w:rsidRDefault="007509DA" w:rsidP="00755335">
      <w:r>
        <w:t>Following</w:t>
      </w:r>
      <w:r w:rsidR="00234F28">
        <w:t xml:space="preserve"> the events </w:t>
      </w:r>
      <w:r>
        <w:t xml:space="preserve">at the </w:t>
      </w:r>
      <w:proofErr w:type="spellStart"/>
      <w:r>
        <w:t>Lindt</w:t>
      </w:r>
      <w:proofErr w:type="spellEnd"/>
      <w:r>
        <w:t xml:space="preserve"> Café </w:t>
      </w:r>
      <w:r w:rsidR="00234F28">
        <w:t>in Sydney</w:t>
      </w:r>
      <w:r w:rsidR="00C40FB9">
        <w:t xml:space="preserve"> in December 2014</w:t>
      </w:r>
      <w:r w:rsidR="00234F28">
        <w:t xml:space="preserve">, the scheme provided certainty to claimants and allowed for effective communication between industry and the </w:t>
      </w:r>
      <w:r w:rsidR="00B97B26">
        <w:t>g</w:t>
      </w:r>
      <w:r w:rsidR="00234F28">
        <w:t>overnment. Government control of the scheme ensures that the scheme will continue to be operated in the public interest</w:t>
      </w:r>
      <w:r w:rsidR="00093F06">
        <w:t>,</w:t>
      </w:r>
      <w:r w:rsidR="00234F28">
        <w:t xml:space="preserve"> </w:t>
      </w:r>
      <w:r w:rsidR="00093F06">
        <w:t>including in the event of a</w:t>
      </w:r>
      <w:r w:rsidR="00234F28">
        <w:t xml:space="preserve"> large claim.</w:t>
      </w:r>
    </w:p>
    <w:p w14:paraId="367F2FB0" w14:textId="72976267" w:rsidR="000022E1" w:rsidRDefault="007509DA" w:rsidP="00755335">
      <w:r>
        <w:t>Against this background, there appears to be no compelling case</w:t>
      </w:r>
      <w:r w:rsidR="009222D1">
        <w:t xml:space="preserve"> for a major change in the </w:t>
      </w:r>
      <w:r w:rsidR="006F23DD">
        <w:t xml:space="preserve">ownership or administration </w:t>
      </w:r>
      <w:r w:rsidR="009222D1">
        <w:t>stru</w:t>
      </w:r>
      <w:r>
        <w:t xml:space="preserve">cture of the ARPC </w:t>
      </w:r>
      <w:r w:rsidR="00057704">
        <w:t>in the short term</w:t>
      </w:r>
      <w:r w:rsidR="00EC110F">
        <w:t xml:space="preserve">. </w:t>
      </w:r>
      <w:r>
        <w:t>If market considerations change</w:t>
      </w:r>
      <w:r w:rsidR="00225624">
        <w:t>,</w:t>
      </w:r>
      <w:r w:rsidR="009222D1">
        <w:t xml:space="preserve"> further consideration could be given to these options</w:t>
      </w:r>
      <w:r w:rsidR="00EC110F">
        <w:t xml:space="preserve">. </w:t>
      </w:r>
      <w:r w:rsidR="009222D1">
        <w:t xml:space="preserve">The appropriate next step </w:t>
      </w:r>
      <w:r w:rsidR="00057704">
        <w:t>would be to undertake a</w:t>
      </w:r>
      <w:r w:rsidR="009222D1">
        <w:t xml:space="preserve"> comprehensive scoping study</w:t>
      </w:r>
      <w:r w:rsidR="00D71DA6">
        <w:t xml:space="preserve"> to</w:t>
      </w:r>
      <w:r w:rsidR="009222D1">
        <w:t xml:space="preserve"> further consider </w:t>
      </w:r>
      <w:r w:rsidR="0089533B">
        <w:t xml:space="preserve">the </w:t>
      </w:r>
      <w:r w:rsidR="009222D1">
        <w:t>viability</w:t>
      </w:r>
      <w:r w:rsidR="0089533B">
        <w:t xml:space="preserve"> of alternative options</w:t>
      </w:r>
      <w:bookmarkStart w:id="107" w:name="_Toc409618521"/>
      <w:bookmarkEnd w:id="100"/>
      <w:r w:rsidR="00057704">
        <w:t xml:space="preserve"> and set out an implementation plan for a preferred option</w:t>
      </w:r>
      <w:r w:rsidR="00AC77A3">
        <w:t>. In the meantime, greater private sector participation can be encouraged by adjustments to the scheme parameters as set out in this review.</w:t>
      </w:r>
    </w:p>
    <w:p w14:paraId="731EEA61" w14:textId="77777777" w:rsidR="000C5EE4" w:rsidRDefault="008B64B7" w:rsidP="000C5EE4">
      <w:pPr>
        <w:jc w:val="left"/>
        <w:sectPr w:rsidR="000C5EE4" w:rsidSect="000C5EE4">
          <w:type w:val="oddPage"/>
          <w:pgSz w:w="11906" w:h="16838" w:code="9"/>
          <w:pgMar w:top="1440" w:right="1440" w:bottom="1440" w:left="1440" w:header="709" w:footer="709" w:gutter="0"/>
          <w:cols w:space="708"/>
          <w:titlePg/>
          <w:docGrid w:linePitch="360"/>
        </w:sectPr>
      </w:pPr>
      <w:r>
        <w:t>T</w:t>
      </w:r>
      <w:r w:rsidR="00AA6307">
        <w:t>he North</w:t>
      </w:r>
      <w:r w:rsidR="00BD4697">
        <w:t xml:space="preserve">ern Australia Insurance Premiums Task Force is </w:t>
      </w:r>
      <w:r>
        <w:t>assessing the feasibility of a reinsurance pool for cyclone risk</w:t>
      </w:r>
      <w:r w:rsidR="00CA791F">
        <w:t xml:space="preserve">, </w:t>
      </w:r>
      <w:r w:rsidR="00CA791F" w:rsidRPr="00C71289">
        <w:rPr>
          <w:color w:val="auto"/>
        </w:rPr>
        <w:t>among other options</w:t>
      </w:r>
      <w:r>
        <w:t>.  Its interim report notes that the ARPC could potentially be used to offer a cyclone reinsurance contract (although the cyclone and terrorism pools would need to be completely segregated from each other).</w:t>
      </w:r>
      <w:bookmarkStart w:id="108" w:name="_Toc409630052"/>
      <w:bookmarkStart w:id="109" w:name="_Toc410229544"/>
      <w:bookmarkStart w:id="110" w:name="_Toc410302179"/>
    </w:p>
    <w:p w14:paraId="0B69803A" w14:textId="77777777" w:rsidR="00321498" w:rsidRDefault="00D85D73" w:rsidP="00951A43">
      <w:pPr>
        <w:pStyle w:val="Heading1"/>
      </w:pPr>
      <w:bookmarkStart w:id="111" w:name="_Toc437877559"/>
      <w:r>
        <w:t xml:space="preserve">Chapter </w:t>
      </w:r>
      <w:r w:rsidR="00CD26F2">
        <w:t>4</w:t>
      </w:r>
      <w:r>
        <w:t>:</w:t>
      </w:r>
      <w:r w:rsidR="00951A43">
        <w:t xml:space="preserve">  </w:t>
      </w:r>
      <w:r w:rsidR="005B3B9F">
        <w:t xml:space="preserve">Ensuring </w:t>
      </w:r>
      <w:r w:rsidR="007B6BBE">
        <w:t xml:space="preserve">Financial </w:t>
      </w:r>
      <w:r w:rsidR="005B3B9F">
        <w:t>Sustainability of the Scheme</w:t>
      </w:r>
      <w:bookmarkEnd w:id="107"/>
      <w:bookmarkEnd w:id="108"/>
      <w:bookmarkEnd w:id="109"/>
      <w:bookmarkEnd w:id="110"/>
      <w:bookmarkEnd w:id="111"/>
    </w:p>
    <w:p w14:paraId="6968EC56" w14:textId="77EA0610" w:rsidR="00722914" w:rsidRPr="00082936" w:rsidRDefault="00173A91" w:rsidP="000022E1">
      <w:pPr>
        <w:rPr>
          <w:rFonts w:eastAsiaTheme="minorHAnsi"/>
          <w:bCs/>
          <w:lang w:eastAsia="en-US"/>
        </w:rPr>
      </w:pPr>
      <w:r>
        <w:rPr>
          <w:rFonts w:eastAsiaTheme="minorHAnsi"/>
          <w:lang w:eastAsia="en-US"/>
        </w:rPr>
        <w:t xml:space="preserve">Although introduced on a temporary basis, the Act has been required to operate over a </w:t>
      </w:r>
      <w:proofErr w:type="gramStart"/>
      <w:r>
        <w:rPr>
          <w:rFonts w:eastAsiaTheme="minorHAnsi"/>
          <w:lang w:eastAsia="en-US"/>
        </w:rPr>
        <w:t>longer  period</w:t>
      </w:r>
      <w:proofErr w:type="gramEnd"/>
      <w:r>
        <w:rPr>
          <w:rFonts w:eastAsiaTheme="minorHAnsi"/>
          <w:lang w:eastAsia="en-US"/>
        </w:rPr>
        <w:t xml:space="preserve"> than initial</w:t>
      </w:r>
      <w:r w:rsidR="001B656A">
        <w:rPr>
          <w:rFonts w:eastAsiaTheme="minorHAnsi"/>
          <w:lang w:eastAsia="en-US"/>
        </w:rPr>
        <w:t>ly</w:t>
      </w:r>
      <w:r>
        <w:rPr>
          <w:rFonts w:eastAsiaTheme="minorHAnsi"/>
          <w:lang w:eastAsia="en-US"/>
        </w:rPr>
        <w:t xml:space="preserve"> contemplated. The current pricing of the government guarantee and premiums</w:t>
      </w:r>
      <w:r w:rsidR="00E150BF">
        <w:rPr>
          <w:rFonts w:eastAsiaTheme="minorHAnsi"/>
          <w:lang w:eastAsia="en-US"/>
        </w:rPr>
        <w:t>,</w:t>
      </w:r>
      <w:r>
        <w:rPr>
          <w:rFonts w:eastAsiaTheme="minorHAnsi"/>
          <w:lang w:eastAsia="en-US"/>
        </w:rPr>
        <w:t xml:space="preserve"> as well as settings relating to the purchase of retrocession and retention levels</w:t>
      </w:r>
      <w:r w:rsidR="00E150BF">
        <w:rPr>
          <w:rFonts w:eastAsiaTheme="minorHAnsi"/>
          <w:lang w:eastAsia="en-US"/>
        </w:rPr>
        <w:t>,</w:t>
      </w:r>
      <w:r>
        <w:rPr>
          <w:rFonts w:eastAsiaTheme="minorHAnsi"/>
          <w:lang w:eastAsia="en-US"/>
        </w:rPr>
        <w:t xml:space="preserve"> should be reviewed to ensure the scheme is sustainable over the medium term and that </w:t>
      </w:r>
      <w:r w:rsidR="00843828">
        <w:rPr>
          <w:rFonts w:eastAsiaTheme="minorHAnsi"/>
          <w:lang w:eastAsia="en-US"/>
        </w:rPr>
        <w:t>industry takes</w:t>
      </w:r>
      <w:r>
        <w:rPr>
          <w:rFonts w:eastAsiaTheme="minorHAnsi"/>
          <w:lang w:eastAsia="en-US"/>
        </w:rPr>
        <w:t xml:space="preserve"> an appropriate level of responsibility.</w:t>
      </w:r>
    </w:p>
    <w:p w14:paraId="793F9314" w14:textId="77777777" w:rsidR="00722914" w:rsidRDefault="00722914" w:rsidP="000022E1">
      <w:r>
        <w:t>This chapter considers:</w:t>
      </w:r>
    </w:p>
    <w:p w14:paraId="2C504879" w14:textId="77777777" w:rsidR="005F6857" w:rsidRPr="00843660" w:rsidRDefault="005F6857" w:rsidP="005F6857">
      <w:pPr>
        <w:pStyle w:val="Bullet"/>
        <w:rPr>
          <w:rFonts w:eastAsiaTheme="minorHAnsi"/>
        </w:rPr>
      </w:pPr>
      <w:r w:rsidRPr="00843660">
        <w:rPr>
          <w:rFonts w:eastAsiaTheme="minorHAnsi"/>
        </w:rPr>
        <w:t>the level of industry retentions;</w:t>
      </w:r>
    </w:p>
    <w:p w14:paraId="718EDB52" w14:textId="21E0C44B" w:rsidR="005F6857" w:rsidRDefault="005F6857" w:rsidP="005F6857">
      <w:pPr>
        <w:pStyle w:val="Bullet"/>
        <w:rPr>
          <w:rFonts w:eastAsiaTheme="minorHAnsi"/>
        </w:rPr>
      </w:pPr>
      <w:r w:rsidRPr="00843660">
        <w:rPr>
          <w:rFonts w:eastAsiaTheme="minorHAnsi"/>
        </w:rPr>
        <w:t xml:space="preserve">the </w:t>
      </w:r>
      <w:r w:rsidR="004C4546">
        <w:rPr>
          <w:rFonts w:eastAsiaTheme="minorHAnsi"/>
        </w:rPr>
        <w:t>purchase</w:t>
      </w:r>
      <w:r w:rsidRPr="00843660">
        <w:rPr>
          <w:rFonts w:eastAsiaTheme="minorHAnsi"/>
        </w:rPr>
        <w:t xml:space="preserve"> of retrocession </w:t>
      </w:r>
      <w:r w:rsidR="004C4546">
        <w:rPr>
          <w:rFonts w:eastAsiaTheme="minorHAnsi"/>
        </w:rPr>
        <w:t>b</w:t>
      </w:r>
      <w:r w:rsidRPr="00843660">
        <w:rPr>
          <w:rFonts w:eastAsiaTheme="minorHAnsi"/>
        </w:rPr>
        <w:t>y the ARPC</w:t>
      </w:r>
      <w:r>
        <w:rPr>
          <w:rFonts w:eastAsiaTheme="minorHAnsi"/>
        </w:rPr>
        <w:t>;</w:t>
      </w:r>
    </w:p>
    <w:p w14:paraId="16FA5F6D" w14:textId="757433AC" w:rsidR="00722914" w:rsidRPr="00843660" w:rsidRDefault="00722914" w:rsidP="005F6857">
      <w:pPr>
        <w:pStyle w:val="Bullet"/>
        <w:rPr>
          <w:rFonts w:eastAsiaTheme="minorHAnsi"/>
        </w:rPr>
      </w:pPr>
      <w:r w:rsidRPr="00843660">
        <w:rPr>
          <w:rFonts w:eastAsiaTheme="minorHAnsi"/>
        </w:rPr>
        <w:t xml:space="preserve">the fair level of compensation received by the </w:t>
      </w:r>
      <w:r w:rsidR="00B97B26">
        <w:rPr>
          <w:rFonts w:eastAsiaTheme="minorHAnsi"/>
        </w:rPr>
        <w:t>g</w:t>
      </w:r>
      <w:r w:rsidRPr="00843660">
        <w:rPr>
          <w:rFonts w:eastAsiaTheme="minorHAnsi"/>
        </w:rPr>
        <w:t>overnment for the provision of the $10 billion guarantee and the retention of capital by the ARPC;</w:t>
      </w:r>
      <w:r w:rsidR="005F6857">
        <w:rPr>
          <w:rFonts w:eastAsiaTheme="minorHAnsi"/>
        </w:rPr>
        <w:t xml:space="preserve"> and</w:t>
      </w:r>
    </w:p>
    <w:p w14:paraId="489E0972" w14:textId="4A676DBA" w:rsidR="00D349E1" w:rsidRPr="00843660" w:rsidRDefault="00E2369E" w:rsidP="00843660">
      <w:pPr>
        <w:pStyle w:val="Bullet"/>
        <w:rPr>
          <w:rFonts w:eastAsiaTheme="minorHAnsi"/>
        </w:rPr>
      </w:pPr>
      <w:proofErr w:type="gramStart"/>
      <w:r w:rsidRPr="00843660">
        <w:rPr>
          <w:rFonts w:eastAsiaTheme="minorHAnsi"/>
        </w:rPr>
        <w:t>the</w:t>
      </w:r>
      <w:proofErr w:type="gramEnd"/>
      <w:r w:rsidRPr="00843660">
        <w:rPr>
          <w:rFonts w:eastAsiaTheme="minorHAnsi"/>
        </w:rPr>
        <w:t xml:space="preserve"> appropriate level of premiums.</w:t>
      </w:r>
    </w:p>
    <w:p w14:paraId="2A98A03E" w14:textId="77777777" w:rsidR="005F6857" w:rsidRPr="00843660" w:rsidRDefault="005F6857" w:rsidP="005F6857">
      <w:pPr>
        <w:pStyle w:val="Heading2"/>
      </w:pPr>
      <w:bookmarkStart w:id="112" w:name="_Toc437877560"/>
      <w:r w:rsidRPr="00843660">
        <w:t>Industry retentions</w:t>
      </w:r>
      <w:bookmarkEnd w:id="112"/>
    </w:p>
    <w:p w14:paraId="3C483ED1" w14:textId="77777777" w:rsidR="005F6857" w:rsidRPr="00843660" w:rsidRDefault="005F6857" w:rsidP="005F6857">
      <w:pPr>
        <w:pStyle w:val="Heading3"/>
      </w:pPr>
      <w:r w:rsidRPr="00843660">
        <w:t>Issue</w:t>
      </w:r>
    </w:p>
    <w:p w14:paraId="3A9EBF07" w14:textId="77777777" w:rsidR="005F6857" w:rsidRDefault="005F6857" w:rsidP="005F6857">
      <w:r>
        <w:t>Whether:</w:t>
      </w:r>
    </w:p>
    <w:p w14:paraId="771346FB" w14:textId="77777777" w:rsidR="005F6857" w:rsidRPr="00843660" w:rsidRDefault="005F6857" w:rsidP="005F6857">
      <w:pPr>
        <w:pStyle w:val="Bullet"/>
      </w:pPr>
      <w:r w:rsidRPr="00843660">
        <w:t xml:space="preserve">the current level and structure of retentions </w:t>
      </w:r>
      <w:r>
        <w:t>that</w:t>
      </w:r>
      <w:r w:rsidRPr="00843660">
        <w:t xml:space="preserve"> apply to individual entities </w:t>
      </w:r>
      <w:r>
        <w:t>that</w:t>
      </w:r>
      <w:r w:rsidRPr="00843660">
        <w:t xml:space="preserve"> reinsure with the ARPC are appropriate;</w:t>
      </w:r>
    </w:p>
    <w:p w14:paraId="39970A6A" w14:textId="77777777" w:rsidR="005F6857" w:rsidRPr="00843660" w:rsidRDefault="005F6857" w:rsidP="005F6857">
      <w:pPr>
        <w:pStyle w:val="Bullet"/>
      </w:pPr>
      <w:r w:rsidRPr="00843660">
        <w:t>the overall industry retention per incident is appropriate; and</w:t>
      </w:r>
    </w:p>
    <w:p w14:paraId="72774851" w14:textId="77777777" w:rsidR="005F6857" w:rsidRPr="00843660" w:rsidRDefault="005F6857" w:rsidP="005F6857">
      <w:pPr>
        <w:pStyle w:val="Bullet"/>
      </w:pPr>
      <w:proofErr w:type="gramStart"/>
      <w:r w:rsidRPr="00843660">
        <w:t>increasing</w:t>
      </w:r>
      <w:proofErr w:type="gramEnd"/>
      <w:r w:rsidRPr="00843660">
        <w:t xml:space="preserve"> this retention would encourage insurers to seek out reinsurance privately.</w:t>
      </w:r>
    </w:p>
    <w:p w14:paraId="651E3406" w14:textId="77777777" w:rsidR="005F6857" w:rsidRDefault="005F6857" w:rsidP="005F6857">
      <w:pPr>
        <w:pStyle w:val="Heading3"/>
      </w:pPr>
      <w:r>
        <w:t>Recommendations</w:t>
      </w:r>
    </w:p>
    <w:p w14:paraId="6061C9B8" w14:textId="77777777" w:rsidR="0004480C" w:rsidRDefault="0004480C" w:rsidP="0004480C">
      <w:r>
        <w:rPr>
          <w:noProof/>
        </w:rPr>
        <mc:AlternateContent>
          <mc:Choice Requires="wps">
            <w:drawing>
              <wp:anchor distT="0" distB="0" distL="114300" distR="114300" simplePos="0" relativeHeight="251658244" behindDoc="0" locked="0" layoutInCell="1" allowOverlap="1" wp14:anchorId="77A72698" wp14:editId="0D8AFE50">
                <wp:simplePos x="0" y="0"/>
                <wp:positionH relativeFrom="column">
                  <wp:align>center</wp:align>
                </wp:positionH>
                <wp:positionV relativeFrom="paragraph">
                  <wp:posOffset>0</wp:posOffset>
                </wp:positionV>
                <wp:extent cx="4838700" cy="15716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571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433FD2" w14:textId="1EAB99BB" w:rsidR="00685DAA" w:rsidRPr="00843660" w:rsidRDefault="00685DAA" w:rsidP="0004480C">
                            <w:r w:rsidRPr="0004480C">
                              <w:rPr>
                                <w:i/>
                              </w:rPr>
                              <w:t>Recommendation 3</w:t>
                            </w:r>
                            <w:r>
                              <w:t>: T</w:t>
                            </w:r>
                            <w:r w:rsidRPr="00843660">
                              <w:t>he four per cent rate of gross fire and industrial special risk premium (less any fire services levy) shoul</w:t>
                            </w:r>
                            <w:r>
                              <w:t>d be increased to five per cent.</w:t>
                            </w:r>
                          </w:p>
                          <w:p w14:paraId="1FF42C37" w14:textId="090027EE" w:rsidR="00685DAA" w:rsidRPr="00843660" w:rsidRDefault="00685DAA" w:rsidP="0004480C">
                            <w:r w:rsidRPr="0004480C">
                              <w:rPr>
                                <w:i/>
                              </w:rPr>
                              <w:t>Recommendation 4</w:t>
                            </w:r>
                            <w:r>
                              <w:t>: C</w:t>
                            </w:r>
                            <w:r w:rsidRPr="00843660">
                              <w:t xml:space="preserve">urrent maximum retention levels for individual insurers </w:t>
                            </w:r>
                            <w:r>
                              <w:t>should be removed.</w:t>
                            </w:r>
                          </w:p>
                          <w:p w14:paraId="7550F40C" w14:textId="15D941C6" w:rsidR="00685DAA" w:rsidRPr="00843660" w:rsidRDefault="00685DAA"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26F854FA" w14:textId="2FEFD8BB" w:rsidR="00685DAA" w:rsidRDefault="00685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81pt;height:123.75pt;z-index:2516582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" fillcolor="white [3201]" strokecolor="#4f81bd [3204]" strokeweight="2pt">
                <v:textbox>
                  <w:txbxContent>
                    <w:p w14:paraId="25433FD2" w14:textId="1EAB99BB" w:rsidR="00685DAA" w:rsidRPr="00843660" w:rsidRDefault="00685DAA" w:rsidP="0004480C">
                      <w:r w:rsidRPr="0004480C">
                        <w:rPr>
                          <w:i/>
                        </w:rPr>
                        <w:t>Recommendation 3</w:t>
                      </w:r>
                      <w:r>
                        <w:t>: T</w:t>
                      </w:r>
                      <w:r w:rsidRPr="00843660">
                        <w:t>he four per cent rate of gross fire and industrial special risk premium (less any fire services levy) shoul</w:t>
                      </w:r>
                      <w:r>
                        <w:t>d be increased to five per cent.</w:t>
                      </w:r>
                    </w:p>
                    <w:p w14:paraId="1FF42C37" w14:textId="090027EE" w:rsidR="00685DAA" w:rsidRPr="00843660" w:rsidRDefault="00685DAA" w:rsidP="0004480C">
                      <w:r w:rsidRPr="0004480C">
                        <w:rPr>
                          <w:i/>
                        </w:rPr>
                        <w:t>Recommendation 4</w:t>
                      </w:r>
                      <w:r>
                        <w:t>: C</w:t>
                      </w:r>
                      <w:r w:rsidRPr="00843660">
                        <w:t xml:space="preserve">urrent maximum retention levels for individual insurers </w:t>
                      </w:r>
                      <w:r>
                        <w:t>should be removed.</w:t>
                      </w:r>
                    </w:p>
                    <w:p w14:paraId="7550F40C" w14:textId="15D941C6" w:rsidR="00685DAA" w:rsidRPr="00843660" w:rsidRDefault="00685DAA" w:rsidP="0004480C">
                      <w:r w:rsidRPr="0004480C">
                        <w:rPr>
                          <w:i/>
                        </w:rPr>
                        <w:t>Recommendation 5</w:t>
                      </w:r>
                      <w:r>
                        <w:t>: T</w:t>
                      </w:r>
                      <w:r w:rsidRPr="00843660">
                        <w:t xml:space="preserve">he maximum industry retention </w:t>
                      </w:r>
                      <w:r>
                        <w:t xml:space="preserve">should </w:t>
                      </w:r>
                      <w:r w:rsidRPr="00843660">
                        <w:t>be increased from $100 million to $200 million.</w:t>
                      </w:r>
                    </w:p>
                    <w:p w14:paraId="26F854FA" w14:textId="2FEFD8BB" w:rsidR="00685DAA" w:rsidRDefault="00685DAA"/>
                  </w:txbxContent>
                </v:textbox>
              </v:shape>
            </w:pict>
          </mc:Fallback>
        </mc:AlternateContent>
      </w:r>
    </w:p>
    <w:p w14:paraId="395740DC" w14:textId="778FBD65" w:rsidR="0004480C" w:rsidRDefault="0004480C" w:rsidP="0004480C"/>
    <w:p w14:paraId="4CE768A1" w14:textId="77777777" w:rsidR="0004480C" w:rsidRDefault="0004480C" w:rsidP="0004480C"/>
    <w:p w14:paraId="4B4B2F10" w14:textId="77777777" w:rsidR="0004480C" w:rsidRDefault="0004480C" w:rsidP="0004480C"/>
    <w:p w14:paraId="1E596649" w14:textId="77777777" w:rsidR="0004480C" w:rsidRDefault="0004480C" w:rsidP="0004480C"/>
    <w:p w14:paraId="4C9B5956" w14:textId="77777777" w:rsidR="0004480C" w:rsidRPr="0004480C" w:rsidRDefault="0004480C" w:rsidP="0004480C"/>
    <w:p w14:paraId="1334D2FC" w14:textId="77777777" w:rsidR="005F6857" w:rsidRDefault="005F6857" w:rsidP="005F6857">
      <w:pPr>
        <w:pStyle w:val="Heading3"/>
      </w:pPr>
      <w:r>
        <w:t>Background</w:t>
      </w:r>
    </w:p>
    <w:p w14:paraId="6C8EC165" w14:textId="0344235D" w:rsidR="005F6857" w:rsidRDefault="005F6857" w:rsidP="005F6857">
      <w:r>
        <w:t xml:space="preserve">When the scheme began in 2003, the Act required insurers who </w:t>
      </w:r>
      <w:r w:rsidR="00C40FB9">
        <w:t>bought</w:t>
      </w:r>
      <w:r>
        <w:t xml:space="preserve"> reinsurance from </w:t>
      </w:r>
      <w:r w:rsidR="00A12317">
        <w:t xml:space="preserve">the </w:t>
      </w:r>
      <w:r>
        <w:t xml:space="preserve">ARPC to retain </w:t>
      </w:r>
      <w:r w:rsidR="003D5A50">
        <w:t xml:space="preserve">risk at </w:t>
      </w:r>
      <w:r>
        <w:t>a minimum of nil and a maximum of $1 m</w:t>
      </w:r>
      <w:r w:rsidR="003D5A50">
        <w:t xml:space="preserve">illion, with the maximum industry wide </w:t>
      </w:r>
      <w:r>
        <w:t>retention set at $10 million. Retentions were</w:t>
      </w:r>
      <w:r w:rsidR="00B20B39">
        <w:t xml:space="preserve"> based on 4</w:t>
      </w:r>
      <w:r>
        <w:t xml:space="preserve"> per cent of the </w:t>
      </w:r>
      <w:proofErr w:type="spellStart"/>
      <w:r>
        <w:t>reinsured’s</w:t>
      </w:r>
      <w:proofErr w:type="spellEnd"/>
      <w:r>
        <w:t xml:space="preserve"> gross fire and industrial special risk premium less any fire service levy.</w:t>
      </w:r>
    </w:p>
    <w:p w14:paraId="3B9E3435" w14:textId="35F2FB5D" w:rsidR="005F6857" w:rsidRDefault="005F6857" w:rsidP="005F6857">
      <w:r>
        <w:t xml:space="preserve">The 2006 review of the Act recommended that, as the insurance industry had developed, retentions under the scheme should increase to a minimum of $100,000 and a maximum of $10 million, with </w:t>
      </w:r>
      <w:proofErr w:type="gramStart"/>
      <w:r>
        <w:t>a</w:t>
      </w:r>
      <w:r w:rsidR="001634D0">
        <w:t>n industry</w:t>
      </w:r>
      <w:proofErr w:type="gramEnd"/>
      <w:r>
        <w:t xml:space="preserve"> retention of $100 million. Retentions were gradually increased </w:t>
      </w:r>
      <w:r w:rsidR="001634D0">
        <w:t>as a result.</w:t>
      </w:r>
      <w:r>
        <w:t xml:space="preserve"> The 2012 review of the Act recommended no change to retention levels. </w:t>
      </w:r>
    </w:p>
    <w:p w14:paraId="3F459A1D" w14:textId="77777777" w:rsidR="005F6857" w:rsidRDefault="005F6857" w:rsidP="005F6857">
      <w:pPr>
        <w:pStyle w:val="Heading3"/>
      </w:pPr>
      <w:r>
        <w:t>Assessment</w:t>
      </w:r>
    </w:p>
    <w:p w14:paraId="6C362199" w14:textId="726C3FC8" w:rsidR="005F6857" w:rsidRDefault="005F6857" w:rsidP="005F6857">
      <w:r>
        <w:t>An analysis of ARPC’s portfolio indicates that fiv</w:t>
      </w:r>
      <w:r w:rsidR="00832A09">
        <w:t>e insurers benefit from the $10 </w:t>
      </w:r>
      <w:r>
        <w:t xml:space="preserve">million maximum retention and many insurers would have </w:t>
      </w:r>
      <w:proofErr w:type="gramStart"/>
      <w:r>
        <w:t>a retention</w:t>
      </w:r>
      <w:proofErr w:type="gramEnd"/>
      <w:r>
        <w:t xml:space="preserve"> of less than $100,000 if the minimum was not applied. That is, smaller insurers are made to retain more than 4 per cent of relevant premiums, yet large insurers have their retention capped under the current arrangements at less than 4 per cent.</w:t>
      </w:r>
    </w:p>
    <w:p w14:paraId="2532EA5B" w14:textId="104766FC" w:rsidR="00EA3F51" w:rsidRDefault="00EA3F51" w:rsidP="005F6857">
      <w:r>
        <w:t xml:space="preserve">Further, some consolidation of insurance licenses has led to a situation where some insurance groups have effectively reduced their maximum exposure under the scheme by reducing the number of insurance companies they own that are subject to an individual cap of $10 million. </w:t>
      </w:r>
    </w:p>
    <w:p w14:paraId="3BB52AD0" w14:textId="27305BBB" w:rsidR="00EA3F51" w:rsidRDefault="00EA3F51" w:rsidP="005F6857">
      <w:r>
        <w:t>T</w:t>
      </w:r>
      <w:r w:rsidR="005F6857">
        <w:t xml:space="preserve">he ARPC advises that insurer’s retentions under the ARPC’s terrorism reinsurance agreements are much lower than those used in natural catastrophe reinsurance, even though the ARPC retentions are more generous in that they are the maximum retention per year rather than per event. </w:t>
      </w:r>
    </w:p>
    <w:p w14:paraId="73B3ED54" w14:textId="09D61398" w:rsidR="005F6857" w:rsidRPr="008277D6" w:rsidRDefault="00EA3F51" w:rsidP="005F6857">
      <w:r>
        <w:t>Based on the above</w:t>
      </w:r>
      <w:r w:rsidR="00897189">
        <w:t>,</w:t>
      </w:r>
      <w:r>
        <w:t xml:space="preserve"> the case can be made for</w:t>
      </w:r>
      <w:r w:rsidR="005F6857">
        <w:t xml:space="preserve"> increasing the retention level </w:t>
      </w:r>
      <w:r w:rsidR="001C7033">
        <w:t xml:space="preserve">and removing the </w:t>
      </w:r>
      <w:r w:rsidR="00897189">
        <w:t>maximum individual</w:t>
      </w:r>
      <w:r w:rsidR="001C7033">
        <w:t xml:space="preserve"> retention </w:t>
      </w:r>
      <w:r w:rsidR="005F6857">
        <w:t xml:space="preserve">in ARPC agreements </w:t>
      </w:r>
      <w:r>
        <w:t>to</w:t>
      </w:r>
      <w:r w:rsidR="005F6857">
        <w:t xml:space="preserve"> ensure that the insurance industry take</w:t>
      </w:r>
      <w:r w:rsidR="00616E43">
        <w:t>s</w:t>
      </w:r>
      <w:r w:rsidR="005F6857">
        <w:t xml:space="preserve"> an appropriate level of responsibility </w:t>
      </w:r>
      <w:r>
        <w:t xml:space="preserve">in the event of a major claim </w:t>
      </w:r>
      <w:r w:rsidR="005F6857">
        <w:t>under the scheme.</w:t>
      </w:r>
      <w:r w:rsidR="00FE0204">
        <w:t xml:space="preserve"> Removing the maximum retention will also ensure a more even distribution of retention burden.</w:t>
      </w:r>
      <w:r w:rsidR="001C7033">
        <w:t xml:space="preserve"> </w:t>
      </w:r>
      <w:r w:rsidR="00897189">
        <w:t xml:space="preserve">Minimum retentions should be maintained to ensure that insurers retain a non-trivial level of responsibility under the scheme. </w:t>
      </w:r>
    </w:p>
    <w:p w14:paraId="28F65C68" w14:textId="2EBC554D" w:rsidR="00BF4048" w:rsidRDefault="005F6857" w:rsidP="005F6857">
      <w:r w:rsidRPr="0043324C">
        <w:t>One of the underlying principles of the scheme is that it should be designed to allow the</w:t>
      </w:r>
      <w:r>
        <w:br/>
      </w:r>
      <w:r w:rsidRPr="0043324C">
        <w:t>re</w:t>
      </w:r>
      <w:r>
        <w:noBreakHyphen/>
      </w:r>
      <w:r w:rsidRPr="0043324C">
        <w:t>emergence of the commercial ma</w:t>
      </w:r>
      <w:r>
        <w:t xml:space="preserve">rket for terrorism risk cover. </w:t>
      </w:r>
      <w:r w:rsidRPr="0043324C">
        <w:t xml:space="preserve">Raising retention levels requires insurers to retain a greater amount of terrorism risk, </w:t>
      </w:r>
      <w:r>
        <w:t xml:space="preserve">for </w:t>
      </w:r>
      <w:r w:rsidRPr="0043324C">
        <w:t>which</w:t>
      </w:r>
      <w:r w:rsidR="00EA3F51">
        <w:t xml:space="preserve"> they</w:t>
      </w:r>
      <w:r w:rsidRPr="0043324C">
        <w:t xml:space="preserve"> can self</w:t>
      </w:r>
      <w:r>
        <w:noBreakHyphen/>
      </w:r>
      <w:r w:rsidRPr="0043324C">
        <w:t>insure or seek to commercially reinsure. Either course of action increases private sector involvement in the provision of terrorism risk cover. Increasing retentions also increases the relative attracti</w:t>
      </w:r>
      <w:r>
        <w:t>veness of commercial terrorism reinsurance.</w:t>
      </w:r>
    </w:p>
    <w:p w14:paraId="40C239EB" w14:textId="77777777" w:rsidR="005F6857" w:rsidRDefault="005F6857" w:rsidP="005F6857">
      <w:pPr>
        <w:pStyle w:val="Heading2"/>
      </w:pPr>
      <w:bookmarkStart w:id="113" w:name="_Toc437877561"/>
      <w:r>
        <w:t>Continuation of Retrocession Program</w:t>
      </w:r>
      <w:bookmarkEnd w:id="113"/>
    </w:p>
    <w:p w14:paraId="7634CA2E" w14:textId="77777777" w:rsidR="005F6857" w:rsidRPr="00843660" w:rsidRDefault="005F6857" w:rsidP="005F6857">
      <w:pPr>
        <w:pStyle w:val="Heading3"/>
      </w:pPr>
      <w:r w:rsidRPr="00843660">
        <w:t>Issue</w:t>
      </w:r>
    </w:p>
    <w:p w14:paraId="623D306F" w14:textId="77777777" w:rsidR="005F6857" w:rsidRDefault="005F6857" w:rsidP="005F6857">
      <w:proofErr w:type="gramStart"/>
      <w:r>
        <w:t>Whether the ARPC should continue to have the discretion to purchase retrocession in the private market.</w:t>
      </w:r>
      <w:proofErr w:type="gramEnd"/>
    </w:p>
    <w:p w14:paraId="6077F78D" w14:textId="77777777" w:rsidR="005F6857" w:rsidRDefault="005F6857" w:rsidP="005F6857">
      <w:pPr>
        <w:pStyle w:val="Heading3"/>
      </w:pPr>
      <w:r w:rsidRPr="00843660">
        <w:t>Recommendation</w:t>
      </w:r>
    </w:p>
    <w:p w14:paraId="55208008" w14:textId="77777777" w:rsidR="00092072" w:rsidRDefault="00092072" w:rsidP="00092072">
      <w:r>
        <w:rPr>
          <w:noProof/>
        </w:rPr>
        <mc:AlternateContent>
          <mc:Choice Requires="wps">
            <w:drawing>
              <wp:anchor distT="0" distB="0" distL="114300" distR="114300" simplePos="0" relativeHeight="251658246" behindDoc="0" locked="0" layoutInCell="1" allowOverlap="1" wp14:anchorId="47B3C1CA" wp14:editId="4DEC5A0C">
                <wp:simplePos x="0" y="0"/>
                <wp:positionH relativeFrom="column">
                  <wp:align>center</wp:align>
                </wp:positionH>
                <wp:positionV relativeFrom="paragraph">
                  <wp:posOffset>0</wp:posOffset>
                </wp:positionV>
                <wp:extent cx="4886325" cy="7048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04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6CA11E" w14:textId="3F249A6E" w:rsidR="00685DAA" w:rsidRPr="00B359E3" w:rsidRDefault="00685DAA" w:rsidP="00092072">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t>,</w:t>
                            </w:r>
                            <w:r w:rsidRPr="00AF5B6D">
                              <w:t xml:space="preserve"> and levels of</w:t>
                            </w:r>
                            <w:r>
                              <w:t>,</w:t>
                            </w:r>
                            <w:r w:rsidRPr="00AF5B6D">
                              <w:t xml:space="preserve"> </w:t>
                            </w:r>
                            <w:r w:rsidRPr="00D779FA">
                              <w:t xml:space="preserve">its retrocession programme </w:t>
                            </w:r>
                            <w:r>
                              <w:t>and</w:t>
                            </w:r>
                            <w:r w:rsidRPr="00D779FA">
                              <w:t xml:space="preserve"> value for money.</w:t>
                            </w:r>
                          </w:p>
                          <w:p w14:paraId="006D1E94" w14:textId="08435DA8" w:rsidR="00685DAA" w:rsidRPr="0004480C" w:rsidRDefault="00685DAA" w:rsidP="00092072">
                            <w:pPr>
                              <w:rPr>
                                <w:i/>
                              </w:rPr>
                            </w:pPr>
                          </w:p>
                          <w:p w14:paraId="3B100137" w14:textId="38DD2C41" w:rsidR="00685DAA" w:rsidRDefault="00685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84.75pt;height:55.5pt;z-index:25165824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" fillcolor="white [3201]" strokecolor="#4f81bd [3204]" strokeweight="2pt">
                <v:textbox>
                  <w:txbxContent>
                    <w:p w14:paraId="1B6CA11E" w14:textId="3F249A6E" w:rsidR="00685DAA" w:rsidRPr="00B359E3" w:rsidRDefault="00685DAA" w:rsidP="00092072">
                      <w:r>
                        <w:rPr>
                          <w:i/>
                        </w:rPr>
                        <w:t>Recommendation 6</w:t>
                      </w:r>
                      <w:r w:rsidRPr="0004480C">
                        <w:rPr>
                          <w:i/>
                        </w:rPr>
                        <w:t xml:space="preserve">: </w:t>
                      </w:r>
                      <w:r w:rsidRPr="008277D6">
                        <w:t>That the ARPC continue to have the discretion to purchase retrocession, subject to the APRC assessing</w:t>
                      </w:r>
                      <w:r w:rsidRPr="00AF5B6D">
                        <w:t xml:space="preserve"> the need for</w:t>
                      </w:r>
                      <w:r>
                        <w:t>,</w:t>
                      </w:r>
                      <w:r w:rsidRPr="00AF5B6D">
                        <w:t xml:space="preserve"> and levels of</w:t>
                      </w:r>
                      <w:r>
                        <w:t>,</w:t>
                      </w:r>
                      <w:r w:rsidRPr="00AF5B6D">
                        <w:t xml:space="preserve"> </w:t>
                      </w:r>
                      <w:r w:rsidRPr="00D779FA">
                        <w:t xml:space="preserve">its retrocession programme </w:t>
                      </w:r>
                      <w:r>
                        <w:t>and</w:t>
                      </w:r>
                      <w:r w:rsidRPr="00D779FA">
                        <w:t xml:space="preserve"> value for money.</w:t>
                      </w:r>
                    </w:p>
                    <w:p w14:paraId="006D1E94" w14:textId="08435DA8" w:rsidR="00685DAA" w:rsidRPr="0004480C" w:rsidRDefault="00685DAA" w:rsidP="00092072">
                      <w:pPr>
                        <w:rPr>
                          <w:i/>
                        </w:rPr>
                      </w:pPr>
                    </w:p>
                    <w:p w14:paraId="3B100137" w14:textId="38DD2C41" w:rsidR="00685DAA" w:rsidRDefault="00685DAA"/>
                  </w:txbxContent>
                </v:textbox>
              </v:shape>
            </w:pict>
          </mc:Fallback>
        </mc:AlternateContent>
      </w:r>
    </w:p>
    <w:p w14:paraId="03E6E4D4" w14:textId="603E67C9" w:rsidR="00092072" w:rsidRDefault="00092072" w:rsidP="00092072"/>
    <w:p w14:paraId="3A4C9F76" w14:textId="1BA1068C" w:rsidR="00092072" w:rsidRDefault="00092072" w:rsidP="00092072"/>
    <w:p w14:paraId="1C7CDB3C" w14:textId="77777777" w:rsidR="005F6857" w:rsidRPr="00843660" w:rsidRDefault="005F6857" w:rsidP="005F6857">
      <w:pPr>
        <w:pStyle w:val="Heading3"/>
      </w:pPr>
      <w:r w:rsidRPr="00843660">
        <w:t>Background</w:t>
      </w:r>
    </w:p>
    <w:p w14:paraId="7CF34750" w14:textId="77777777" w:rsidR="005F6857" w:rsidRDefault="005F6857" w:rsidP="005F6857">
      <w:r>
        <w:t>For the first six years of the scheme, the ARPC did not purchase retrocession. Instead, premiums were used to build capital within the ARPC to extend the size of the scheme and provide a buffer before the unfunded government guarantee was called upon. However, once sufficient capital had built up within the scheme, the ARPC was given the discretion to purchase additional retrocession cover from the private market.</w:t>
      </w:r>
    </w:p>
    <w:p w14:paraId="1C03C2F3" w14:textId="4780BDE5" w:rsidR="005F6857" w:rsidRDefault="005F6857" w:rsidP="005F6857">
      <w:r>
        <w:t>The ARPC has purchased retrocession every year since 2009. It initially provided cover of $2.3 billion, but this amount has increased over time to a maximum of $3.2 billion in 2014. In 2015, retrocession co</w:t>
      </w:r>
      <w:r w:rsidR="00F92CD2">
        <w:t>ver was slightly lower at $2.9 b</w:t>
      </w:r>
      <w:r>
        <w:t>illion.</w:t>
      </w:r>
      <w:r w:rsidRPr="000B6F29">
        <w:t xml:space="preserve"> </w:t>
      </w:r>
    </w:p>
    <w:p w14:paraId="575A938E" w14:textId="77777777" w:rsidR="005F6857" w:rsidRPr="00843660" w:rsidRDefault="005F6857" w:rsidP="005F6857">
      <w:pPr>
        <w:pStyle w:val="Heading3"/>
      </w:pPr>
      <w:r w:rsidRPr="00843660">
        <w:t>Assessment</w:t>
      </w:r>
    </w:p>
    <w:p w14:paraId="48DBA007" w14:textId="77777777" w:rsidR="005F6857" w:rsidRPr="006C7099" w:rsidRDefault="005F6857" w:rsidP="005F6857">
      <w:r>
        <w:t>The purchase of retrocession creates a role for the private market in providing terrorism insurance under the scheme and ensures that the insurance of private sector assets is provided to the greatest degree possible by the private market. A strong argument</w:t>
      </w:r>
      <w:r w:rsidRPr="006C7099">
        <w:t xml:space="preserve"> can be made in support of continuing the </w:t>
      </w:r>
      <w:r>
        <w:t>retrocession program, in that it:</w:t>
      </w:r>
    </w:p>
    <w:p w14:paraId="2C970689" w14:textId="77777777" w:rsidR="005F6857" w:rsidRPr="00843660" w:rsidRDefault="005F6857" w:rsidP="005F6857">
      <w:pPr>
        <w:pStyle w:val="Bullet"/>
      </w:pPr>
      <w:r w:rsidRPr="00843660">
        <w:t>supports the private sector provision of terrorism insurance and reinsurance;</w:t>
      </w:r>
    </w:p>
    <w:p w14:paraId="38E26F04" w14:textId="77777777" w:rsidR="005F6857" w:rsidRPr="00843660" w:rsidRDefault="005F6857" w:rsidP="002961FE">
      <w:pPr>
        <w:pStyle w:val="Bullet"/>
        <w:ind w:left="397" w:hanging="397"/>
      </w:pPr>
      <w:r w:rsidRPr="00843660">
        <w:t xml:space="preserve">provides an indication of </w:t>
      </w:r>
      <w:r>
        <w:t xml:space="preserve">both </w:t>
      </w:r>
      <w:r w:rsidRPr="00843660">
        <w:t xml:space="preserve">the market price for terrorism insurance and the availability of terrorism reinsurance in the private sector; </w:t>
      </w:r>
    </w:p>
    <w:p w14:paraId="61C9BD99" w14:textId="4B47A8F6" w:rsidR="005F6857" w:rsidRPr="00843660" w:rsidRDefault="005F6857" w:rsidP="005F6857">
      <w:pPr>
        <w:pStyle w:val="Bullet"/>
      </w:pPr>
      <w:r w:rsidRPr="00843660">
        <w:t>increases the</w:t>
      </w:r>
      <w:r w:rsidR="002E543F">
        <w:t xml:space="preserve"> overall capacity of the scheme</w:t>
      </w:r>
      <w:r w:rsidRPr="00843660">
        <w:t xml:space="preserve"> </w:t>
      </w:r>
      <w:r w:rsidR="002E543F">
        <w:t>(</w:t>
      </w:r>
      <w:r w:rsidRPr="00843660">
        <w:t>currently by around $3 billion</w:t>
      </w:r>
      <w:r w:rsidR="002E543F">
        <w:t>)</w:t>
      </w:r>
      <w:r w:rsidRPr="00843660">
        <w:t>; and</w:t>
      </w:r>
    </w:p>
    <w:p w14:paraId="137B8BEC" w14:textId="1C03B3A2" w:rsidR="005F6857" w:rsidRPr="00843660" w:rsidRDefault="006B6710" w:rsidP="005F6857">
      <w:pPr>
        <w:pStyle w:val="Bullet"/>
      </w:pPr>
      <w:proofErr w:type="gramStart"/>
      <w:r>
        <w:t>reduces</w:t>
      </w:r>
      <w:proofErr w:type="gramEnd"/>
      <w:r>
        <w:t xml:space="preserve"> the risk that the government guarantee will be called upon</w:t>
      </w:r>
      <w:r w:rsidR="005F6857" w:rsidRPr="00843660">
        <w:t>.</w:t>
      </w:r>
    </w:p>
    <w:p w14:paraId="05B3A173" w14:textId="005292CB" w:rsidR="005F6857" w:rsidRDefault="005F6857" w:rsidP="005F6857">
      <w:r>
        <w:t>During consultation, industry stakeholders did not express particular views on the ARPC’s retrocession program. Insurers generally benefit under current arrangements; the purchase of retrocession by the ARPC increases the size of the scheme and, therefore, the amount of reinsurance c</w:t>
      </w:r>
      <w:r w:rsidR="002E543F">
        <w:t>over purchased by insurers</w:t>
      </w:r>
      <w:r>
        <w:t>.</w:t>
      </w:r>
    </w:p>
    <w:p w14:paraId="57455B8B" w14:textId="4A84E996" w:rsidR="005F6857" w:rsidRDefault="005F6857" w:rsidP="005F6857">
      <w:r>
        <w:t>On balance, it is prudent for the ARPC to maintain its retrocession programme</w:t>
      </w:r>
      <w:r w:rsidR="002E543F">
        <w:t xml:space="preserve">, at a level that represents the best value for money having regard to the ARPC’s other commitments, </w:t>
      </w:r>
      <w:r>
        <w:t>to</w:t>
      </w:r>
      <w:r w:rsidR="002E543F">
        <w:t xml:space="preserve"> ensure that the private </w:t>
      </w:r>
      <w:r>
        <w:t xml:space="preserve">reinsurance market </w:t>
      </w:r>
      <w:r w:rsidR="002E543F">
        <w:t xml:space="preserve">for terrorism cover </w:t>
      </w:r>
      <w:r>
        <w:t xml:space="preserve">continues to operate in Australia, and to give information about the availability and price of private terrorism reinsurance. This approach would </w:t>
      </w:r>
      <w:r w:rsidR="002E543F">
        <w:t>assist in a</w:t>
      </w:r>
      <w:r>
        <w:t xml:space="preserve"> </w:t>
      </w:r>
      <w:r w:rsidR="00B97B26">
        <w:t>g</w:t>
      </w:r>
      <w:r>
        <w:t xml:space="preserve">overnment </w:t>
      </w:r>
      <w:r w:rsidR="002E543F">
        <w:t>withdrawal from the</w:t>
      </w:r>
      <w:r>
        <w:t xml:space="preserve"> market</w:t>
      </w:r>
      <w:r w:rsidR="002E543F">
        <w:t xml:space="preserve"> in future </w:t>
      </w:r>
      <w:r>
        <w:t xml:space="preserve">if conditions improved. </w:t>
      </w:r>
    </w:p>
    <w:p w14:paraId="01397A30" w14:textId="0CCEF1D3" w:rsidR="00994617" w:rsidRDefault="00975AE9" w:rsidP="00843660">
      <w:pPr>
        <w:pStyle w:val="Heading2"/>
      </w:pPr>
      <w:bookmarkStart w:id="114" w:name="_Toc437877562"/>
      <w:r>
        <w:t>C</w:t>
      </w:r>
      <w:r w:rsidR="0028269C">
        <w:t>ompensation to</w:t>
      </w:r>
      <w:r w:rsidR="00B719A4">
        <w:t xml:space="preserve"> government</w:t>
      </w:r>
      <w:bookmarkEnd w:id="114"/>
    </w:p>
    <w:p w14:paraId="15113844" w14:textId="77777777" w:rsidR="004B636E" w:rsidRDefault="00595CB4" w:rsidP="00843660">
      <w:pPr>
        <w:pStyle w:val="Heading3"/>
      </w:pPr>
      <w:r>
        <w:t>Issue</w:t>
      </w:r>
    </w:p>
    <w:p w14:paraId="50A83E5A" w14:textId="07A488C0" w:rsidR="0028269C" w:rsidRDefault="00722914" w:rsidP="000022E1">
      <w:r>
        <w:t xml:space="preserve">Whether </w:t>
      </w:r>
      <w:r w:rsidR="00BC7D46">
        <w:t>and to what extent</w:t>
      </w:r>
      <w:r>
        <w:t xml:space="preserve"> the </w:t>
      </w:r>
      <w:r w:rsidR="00B97B26">
        <w:t>g</w:t>
      </w:r>
      <w:r>
        <w:t xml:space="preserve">overnment should be compensated for </w:t>
      </w:r>
      <w:r w:rsidR="0028269C">
        <w:t>the financial benefit</w:t>
      </w:r>
      <w:r w:rsidR="00F53FDA">
        <w:t>s</w:t>
      </w:r>
      <w:r w:rsidR="0028269C">
        <w:t xml:space="preserve"> it provides to the ARPC.</w:t>
      </w:r>
    </w:p>
    <w:p w14:paraId="616CEA22" w14:textId="77777777" w:rsidR="00BC7D46" w:rsidRDefault="00BC7D46" w:rsidP="00843660">
      <w:pPr>
        <w:pStyle w:val="Heading3"/>
      </w:pPr>
      <w:r>
        <w:t>Recommendation</w:t>
      </w:r>
    </w:p>
    <w:p w14:paraId="07551769" w14:textId="77777777" w:rsidR="00903C67" w:rsidRDefault="00903C67" w:rsidP="00903C67">
      <w:r>
        <w:rPr>
          <w:noProof/>
        </w:rPr>
        <mc:AlternateContent>
          <mc:Choice Requires="wps">
            <w:drawing>
              <wp:anchor distT="0" distB="0" distL="114300" distR="114300" simplePos="0" relativeHeight="251658249" behindDoc="0" locked="0" layoutInCell="1" allowOverlap="1" wp14:anchorId="7A64F00F" wp14:editId="12571F59">
                <wp:simplePos x="0" y="0"/>
                <wp:positionH relativeFrom="column">
                  <wp:align>center</wp:align>
                </wp:positionH>
                <wp:positionV relativeFrom="paragraph">
                  <wp:posOffset>0</wp:posOffset>
                </wp:positionV>
                <wp:extent cx="5286375" cy="13716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371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341902" w14:textId="48B96810" w:rsidR="00685DAA" w:rsidRDefault="00685DAA" w:rsidP="00903C67">
                            <w:r>
                              <w:rPr>
                                <w:i/>
                              </w:rPr>
                              <w:t>Recommendation 7</w:t>
                            </w:r>
                            <w:r>
                              <w:t>: That the ARPC pay to the Commonwealth each year, commencing in 2016-17:</w:t>
                            </w:r>
                          </w:p>
                          <w:p w14:paraId="60B050B2" w14:textId="77777777" w:rsidR="00685DAA" w:rsidRDefault="00685DAA" w:rsidP="002261E5">
                            <w:pPr>
                              <w:pStyle w:val="Bullet"/>
                              <w:numPr>
                                <w:ilvl w:val="0"/>
                                <w:numId w:val="39"/>
                              </w:numPr>
                              <w:tabs>
                                <w:tab w:val="clear" w:pos="566"/>
                                <w:tab w:val="num" w:pos="426"/>
                                <w:tab w:val="left" w:pos="709"/>
                                <w:tab w:val="left" w:pos="851"/>
                              </w:tabs>
                              <w:ind w:left="397" w:hanging="397"/>
                            </w:pPr>
                            <w:r>
                              <w:t>a fee of $55 million in respect of the Commonwealth guarantee of the ARPC’s liabilities; and</w:t>
                            </w:r>
                          </w:p>
                          <w:p w14:paraId="671496E0" w14:textId="77777777" w:rsidR="00685DAA" w:rsidRDefault="00685DAA" w:rsidP="002261E5">
                            <w:pPr>
                              <w:pStyle w:val="Bullet"/>
                              <w:numPr>
                                <w:ilvl w:val="0"/>
                                <w:numId w:val="39"/>
                              </w:numPr>
                              <w:tabs>
                                <w:tab w:val="clear" w:pos="566"/>
                                <w:tab w:val="left" w:pos="426"/>
                                <w:tab w:val="left" w:pos="709"/>
                              </w:tabs>
                              <w:ind w:left="397" w:hanging="397"/>
                            </w:pPr>
                            <w:proofErr w:type="gramStart"/>
                            <w:r>
                              <w:t>an</w:t>
                            </w:r>
                            <w:proofErr w:type="gramEnd"/>
                            <w:r>
                              <w:t xml:space="preserve"> additional amount of $35 million per annum to reflect the Commonwealth’s support in making the ARPC reserves available for payment of claims.</w:t>
                            </w:r>
                          </w:p>
                          <w:p w14:paraId="48FB28B7" w14:textId="17F98523" w:rsidR="00685DAA" w:rsidRDefault="00685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16.25pt;height:108pt;z-index:25165824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" fillcolor="white [3201]" strokecolor="#4f81bd [3204]" strokeweight="2pt">
                <v:textbox>
                  <w:txbxContent>
                    <w:p w14:paraId="63341902" w14:textId="48B96810" w:rsidR="00685DAA" w:rsidRDefault="00685DAA" w:rsidP="00903C67">
                      <w:r>
                        <w:rPr>
                          <w:i/>
                        </w:rPr>
                        <w:t>Recommendation 7</w:t>
                      </w:r>
                      <w:r>
                        <w:t>: That the ARPC pay to the Commonwealth each year, commencing in 2016-17:</w:t>
                      </w:r>
                    </w:p>
                    <w:p w14:paraId="60B050B2" w14:textId="77777777" w:rsidR="00685DAA" w:rsidRDefault="00685DAA" w:rsidP="002261E5">
                      <w:pPr>
                        <w:pStyle w:val="Bullet"/>
                        <w:numPr>
                          <w:ilvl w:val="0"/>
                          <w:numId w:val="39"/>
                        </w:numPr>
                        <w:tabs>
                          <w:tab w:val="clear" w:pos="566"/>
                          <w:tab w:val="num" w:pos="426"/>
                          <w:tab w:val="left" w:pos="709"/>
                          <w:tab w:val="left" w:pos="851"/>
                        </w:tabs>
                        <w:ind w:left="397" w:hanging="397"/>
                      </w:pPr>
                      <w:r>
                        <w:t>a fee of $55 million in respect of the Commonwealth guarantee of the ARPC’s liabilities; and</w:t>
                      </w:r>
                    </w:p>
                    <w:p w14:paraId="671496E0" w14:textId="77777777" w:rsidR="00685DAA" w:rsidRDefault="00685DAA" w:rsidP="002261E5">
                      <w:pPr>
                        <w:pStyle w:val="Bullet"/>
                        <w:numPr>
                          <w:ilvl w:val="0"/>
                          <w:numId w:val="39"/>
                        </w:numPr>
                        <w:tabs>
                          <w:tab w:val="clear" w:pos="566"/>
                          <w:tab w:val="left" w:pos="426"/>
                          <w:tab w:val="left" w:pos="709"/>
                        </w:tabs>
                        <w:ind w:left="397" w:hanging="397"/>
                      </w:pPr>
                      <w:proofErr w:type="gramStart"/>
                      <w:r>
                        <w:t>an</w:t>
                      </w:r>
                      <w:proofErr w:type="gramEnd"/>
                      <w:r>
                        <w:t xml:space="preserve"> additional amount of $35 million per annum to reflect the Commonwealth’s support in making the ARPC reserves available for payment of claims.</w:t>
                      </w:r>
                    </w:p>
                    <w:p w14:paraId="48FB28B7" w14:textId="17F98523" w:rsidR="00685DAA" w:rsidRDefault="00685DAA"/>
                  </w:txbxContent>
                </v:textbox>
              </v:shape>
            </w:pict>
          </mc:Fallback>
        </mc:AlternateContent>
      </w:r>
    </w:p>
    <w:p w14:paraId="4F03E0F0" w14:textId="08AA463C" w:rsidR="00903C67" w:rsidRDefault="00903C67" w:rsidP="00903C67"/>
    <w:p w14:paraId="785462F6" w14:textId="77777777" w:rsidR="00903C67" w:rsidRDefault="00903C67" w:rsidP="00903C67"/>
    <w:p w14:paraId="193E531F" w14:textId="77777777" w:rsidR="006A488B" w:rsidRDefault="006A488B" w:rsidP="00843660">
      <w:pPr>
        <w:pStyle w:val="Heading3"/>
      </w:pPr>
      <w:r>
        <w:t xml:space="preserve">Background </w:t>
      </w:r>
    </w:p>
    <w:p w14:paraId="0707970B" w14:textId="18CF9DEF" w:rsidR="00A9249A" w:rsidRPr="00843660" w:rsidRDefault="0096202F" w:rsidP="00A9249A">
      <w:r>
        <w:t>The ARPC</w:t>
      </w:r>
      <w:r w:rsidR="00B97B26">
        <w:t xml:space="preserve"> is not a mutual pool. It is a g</w:t>
      </w:r>
      <w:r>
        <w:t xml:space="preserve">overnment owned reinsurance agency that provides reinsurance cover to industry on the same basis as that provided by commercial reinsurers. The premiums charged by the ARPC represent compensation for the risk of a claim occurring during the period of insurance. </w:t>
      </w:r>
      <w:r w:rsidR="00F53FDA">
        <w:t xml:space="preserve"> T</w:t>
      </w:r>
      <w:r w:rsidR="00A9249A">
        <w:t>he government bears considerable risk in the event of a claim. In the first instance</w:t>
      </w:r>
      <w:r w:rsidR="00E150BF">
        <w:t>,</w:t>
      </w:r>
      <w:r w:rsidR="00A9249A">
        <w:t xml:space="preserve"> the government’s equity in the ARPC would be reduced as claims are paid out of its pool. Further, in the event of a large claim that exhausts the capital retained in the ARPC and any retrocession purchased by the ARPC, the government will be called upon to cover losses.</w:t>
      </w:r>
    </w:p>
    <w:p w14:paraId="5A940543" w14:textId="14F44188" w:rsidR="0028269C" w:rsidRDefault="00A04ADC" w:rsidP="00D10BA5">
      <w:r w:rsidRPr="00843660">
        <w:t xml:space="preserve">Since its inception, the </w:t>
      </w:r>
      <w:r w:rsidR="00DC4810">
        <w:t>ARPC</w:t>
      </w:r>
      <w:r w:rsidRPr="00843660">
        <w:t xml:space="preserve"> has been backed by a government guarantee of the ARPC</w:t>
      </w:r>
      <w:r>
        <w:t>’</w:t>
      </w:r>
      <w:r w:rsidRPr="00843660">
        <w:t xml:space="preserve">s liabilities to the amount of $10 billion. </w:t>
      </w:r>
      <w:r w:rsidR="0028269C">
        <w:t>From the scheme’s commencement, it was intended that the Commonwealth be compensated for the risk it assumed in providing its guarantee</w:t>
      </w:r>
      <w:r w:rsidR="00F53FDA">
        <w:t xml:space="preserve">. </w:t>
      </w:r>
      <w:r w:rsidR="0028269C">
        <w:t>As outlined in the Revised Explanatory Memorandum to the Terrorism Insurance Bill 2002, the intention was</w:t>
      </w:r>
      <w:r w:rsidR="00E150BF">
        <w:t xml:space="preserve"> </w:t>
      </w:r>
      <w:r w:rsidR="0028269C">
        <w:t xml:space="preserve">“that risk transferred to the Commonwealth is appropriately priced and that the Commonwealth is compensated by those benefiting from the assistance”. </w:t>
      </w:r>
    </w:p>
    <w:p w14:paraId="7B9AD159" w14:textId="795EE12F" w:rsidR="00B719A4" w:rsidRDefault="0028269C" w:rsidP="0028269C">
      <w:r>
        <w:t>Initially no charge was made for the Commonwealth’s assistance to the scheme, allowing i</w:t>
      </w:r>
      <w:r w:rsidR="00595CB4">
        <w:t>ncome</w:t>
      </w:r>
      <w:r w:rsidR="00F34A1D">
        <w:t> </w:t>
      </w:r>
      <w:r w:rsidR="00595CB4">
        <w:t xml:space="preserve">from premiums </w:t>
      </w:r>
      <w:r w:rsidR="007D508D">
        <w:t xml:space="preserve">to be used </w:t>
      </w:r>
      <w:r w:rsidR="00595CB4">
        <w:t>to</w:t>
      </w:r>
      <w:r w:rsidR="00B719A4">
        <w:t xml:space="preserve"> build up capital </w:t>
      </w:r>
      <w:r w:rsidR="00595CB4">
        <w:t xml:space="preserve">within the ARPC as a </w:t>
      </w:r>
      <w:r w:rsidR="00B719A4">
        <w:t>reserve</w:t>
      </w:r>
      <w:r w:rsidR="00FE6852">
        <w:t xml:space="preserve"> fund</w:t>
      </w:r>
      <w:r w:rsidR="00935D63">
        <w:t xml:space="preserve"> to act as a buffer against a claim on the </w:t>
      </w:r>
      <w:r w:rsidR="00595CB4">
        <w:t xml:space="preserve">government </w:t>
      </w:r>
      <w:r w:rsidR="00935D63">
        <w:t>guarantee.</w:t>
      </w:r>
      <w:r w:rsidR="00595CB4">
        <w:t xml:space="preserve"> </w:t>
      </w:r>
    </w:p>
    <w:p w14:paraId="7D5E46C1" w14:textId="77777777" w:rsidR="00A9249A" w:rsidRDefault="00A9249A" w:rsidP="0089533B">
      <w:pPr>
        <w:pStyle w:val="Heading3"/>
      </w:pPr>
      <w:r>
        <w:t>Nature of Government Support</w:t>
      </w:r>
    </w:p>
    <w:p w14:paraId="35676DB1" w14:textId="055108CA" w:rsidR="00C36CF7" w:rsidRPr="003654D2" w:rsidRDefault="00C36CF7" w:rsidP="00C36CF7">
      <w:pPr>
        <w:rPr>
          <w:color w:val="auto"/>
        </w:rPr>
      </w:pPr>
      <w:r w:rsidRPr="003654D2">
        <w:rPr>
          <w:color w:val="auto"/>
        </w:rPr>
        <w:t>In determining a f</w:t>
      </w:r>
      <w:r w:rsidR="00B97B26">
        <w:rPr>
          <w:color w:val="auto"/>
        </w:rPr>
        <w:t>air amount of compensation for g</w:t>
      </w:r>
      <w:r w:rsidRPr="003654D2">
        <w:rPr>
          <w:color w:val="auto"/>
        </w:rPr>
        <w:t>overnment support to the ARPC, it is instructive to consider the nature of t</w:t>
      </w:r>
      <w:r w:rsidR="00B97B26">
        <w:rPr>
          <w:color w:val="auto"/>
        </w:rPr>
        <w:t>hat support. It is open to the g</w:t>
      </w:r>
      <w:r w:rsidRPr="003654D2">
        <w:rPr>
          <w:color w:val="auto"/>
        </w:rPr>
        <w:t>overnment to raise premiums at any time, including following a DTI and subsequent claim on the scheme</w:t>
      </w:r>
      <w:r w:rsidR="003654D2" w:rsidRPr="003654D2">
        <w:rPr>
          <w:color w:val="auto"/>
        </w:rPr>
        <w:t xml:space="preserve">. </w:t>
      </w:r>
      <w:r w:rsidRPr="003654D2">
        <w:rPr>
          <w:color w:val="auto"/>
        </w:rPr>
        <w:t>This does not, however, have the consequence that the scheme is intended to be a ‘post-funded’ one in the sense that stakeholders would be required to ‘repay’ funds expended by the Commonwealth as a result of the guarantee. The ARPC provides reinsurance to insurers and is not able to demand repayment of any claims made on it. Similarly, the support provided by the Commonwealth as guarantor is in the nature of reinsurance rather than temporary liquidity.</w:t>
      </w:r>
    </w:p>
    <w:p w14:paraId="6A9EAAA8" w14:textId="77777777" w:rsidR="00C36CF7" w:rsidRPr="003654D2" w:rsidRDefault="00C36CF7" w:rsidP="00C36CF7">
      <w:pPr>
        <w:rPr>
          <w:color w:val="auto"/>
        </w:rPr>
      </w:pPr>
      <w:r w:rsidRPr="003654D2">
        <w:rPr>
          <w:color w:val="auto"/>
        </w:rPr>
        <w:t xml:space="preserve">Post-funding would be similarly complicated by the fact that the scheme as it currently stands is not compulsory, so that any increase in premiums following an event may result in insurers looking for retrocession cover outside the ARPC scheme. In this regard, the terrorism insurance scheme stands in contrast to the Financial Claims Scheme, for example, which </w:t>
      </w:r>
      <w:r w:rsidRPr="003654D2">
        <w:rPr>
          <w:i/>
          <w:iCs/>
          <w:color w:val="auto"/>
        </w:rPr>
        <w:t>imposes</w:t>
      </w:r>
      <w:r w:rsidRPr="003654D2">
        <w:rPr>
          <w:color w:val="auto"/>
        </w:rPr>
        <w:t xml:space="preserve"> a levy on industry, if required, in the aftermath of the failure of a financial sector entity. While flexibility remains for ARPC premiums to increase following a large claim, insurers are not compelled to reinsure with it. </w:t>
      </w:r>
    </w:p>
    <w:p w14:paraId="50C658D7" w14:textId="69F47455" w:rsidR="00C36CF7" w:rsidRDefault="00C36CF7" w:rsidP="00C36CF7">
      <w:r>
        <w:t>The result is th</w:t>
      </w:r>
      <w:r w:rsidR="00B97B26">
        <w:t>at the support provided by the g</w:t>
      </w:r>
      <w:r>
        <w:t>overnment guarantee is akin, if not identical to, retrocession cover, and this is an appropriate starting point for assessing the amount of compensation that should be paid to the Commonwealth.</w:t>
      </w:r>
    </w:p>
    <w:p w14:paraId="1186EDDE" w14:textId="77777777" w:rsidR="00567860" w:rsidRDefault="00567860" w:rsidP="00567860">
      <w:pPr>
        <w:pStyle w:val="Heading3"/>
      </w:pPr>
      <w:r>
        <w:t>Assessment</w:t>
      </w:r>
    </w:p>
    <w:p w14:paraId="7B73476F" w14:textId="2CBCA3D5" w:rsidR="004729A9" w:rsidRDefault="00326E1A" w:rsidP="000022E1">
      <w:r>
        <w:t>F</w:t>
      </w:r>
      <w:r w:rsidR="006A488B">
        <w:t>rom the 2012</w:t>
      </w:r>
      <w:r w:rsidR="008A07A0">
        <w:noBreakHyphen/>
      </w:r>
      <w:r w:rsidR="006A488B">
        <w:t xml:space="preserve">13 </w:t>
      </w:r>
      <w:r w:rsidR="00921211">
        <w:t>fiscal year</w:t>
      </w:r>
      <w:r w:rsidR="00E150BF">
        <w:t>,</w:t>
      </w:r>
      <w:r w:rsidR="006A488B">
        <w:t xml:space="preserve"> the ARPC began </w:t>
      </w:r>
      <w:r>
        <w:t>to compensate the</w:t>
      </w:r>
      <w:r w:rsidR="006A488B">
        <w:t xml:space="preserve"> </w:t>
      </w:r>
      <w:r w:rsidR="00B97B26">
        <w:t>g</w:t>
      </w:r>
      <w:r w:rsidR="006A488B">
        <w:t>overnment</w:t>
      </w:r>
      <w:r>
        <w:t xml:space="preserve"> for the guarantee</w:t>
      </w:r>
      <w:r w:rsidR="007D508D">
        <w:t xml:space="preserve"> and this has continued to the time of this review</w:t>
      </w:r>
      <w:r w:rsidR="006A488B">
        <w:t>.</w:t>
      </w:r>
      <w:r>
        <w:t xml:space="preserve"> </w:t>
      </w:r>
      <w:r w:rsidR="006A488B">
        <w:t xml:space="preserve">The </w:t>
      </w:r>
      <w:r w:rsidR="007D508D">
        <w:t xml:space="preserve">current </w:t>
      </w:r>
      <w:r>
        <w:t xml:space="preserve">compensation </w:t>
      </w:r>
      <w:r w:rsidR="007D508D">
        <w:t xml:space="preserve">arrangements are </w:t>
      </w:r>
      <w:r>
        <w:t xml:space="preserve">split </w:t>
      </w:r>
      <w:r w:rsidR="006A488B">
        <w:t>into a fee and dividend</w:t>
      </w:r>
      <w:r>
        <w:t>:</w:t>
      </w:r>
      <w:r w:rsidR="006A488B">
        <w:t xml:space="preserve"> </w:t>
      </w:r>
      <w:r>
        <w:t>the</w:t>
      </w:r>
      <w:r w:rsidR="006A488B">
        <w:t xml:space="preserve"> fee </w:t>
      </w:r>
      <w:r w:rsidR="007D508D">
        <w:t>represents</w:t>
      </w:r>
      <w:r>
        <w:t xml:space="preserve"> </w:t>
      </w:r>
      <w:r w:rsidR="006A488B">
        <w:t xml:space="preserve">a reasonable annual charge for the guarantee ($55 million), </w:t>
      </w:r>
      <w:r>
        <w:t>while the</w:t>
      </w:r>
      <w:r w:rsidR="006A488B">
        <w:t xml:space="preserve"> dividend </w:t>
      </w:r>
      <w:r w:rsidR="004C60DF">
        <w:t xml:space="preserve">($57.5 million) </w:t>
      </w:r>
      <w:r>
        <w:t>provide</w:t>
      </w:r>
      <w:r w:rsidR="004C60DF">
        <w:t>s</w:t>
      </w:r>
      <w:r>
        <w:t xml:space="preserve"> retrospective compensation </w:t>
      </w:r>
      <w:r w:rsidR="006A488B">
        <w:t>for the years</w:t>
      </w:r>
      <w:r>
        <w:t xml:space="preserve"> that</w:t>
      </w:r>
      <w:r w:rsidR="006A488B">
        <w:t xml:space="preserve"> taxpayers were not compensated for </w:t>
      </w:r>
      <w:r>
        <w:t xml:space="preserve">providing </w:t>
      </w:r>
      <w:r w:rsidR="006A488B">
        <w:t xml:space="preserve">the guarantee. </w:t>
      </w:r>
      <w:r w:rsidR="004C60DF">
        <w:t>The dividend is set to cease after 2017</w:t>
      </w:r>
      <w:r w:rsidR="00283399">
        <w:t>-</w:t>
      </w:r>
      <w:r w:rsidR="004C60DF">
        <w:t>18</w:t>
      </w:r>
      <w:r w:rsidR="00EC110F">
        <w:t xml:space="preserve">. </w:t>
      </w:r>
      <w:r w:rsidR="00BA5707">
        <w:t xml:space="preserve">A study by the AGA </w:t>
      </w:r>
      <w:r w:rsidR="00E150BF">
        <w:t xml:space="preserve">put </w:t>
      </w:r>
      <w:r w:rsidR="00BA5707">
        <w:t xml:space="preserve">the value to the ARPC </w:t>
      </w:r>
      <w:r w:rsidR="004729A9">
        <w:t xml:space="preserve">(and those it reinsures) </w:t>
      </w:r>
      <w:r w:rsidR="00BA5707">
        <w:t>of the guarantee over this period</w:t>
      </w:r>
      <w:r w:rsidR="00E150BF">
        <w:t xml:space="preserve"> (</w:t>
      </w:r>
      <w:r w:rsidR="00A9249A">
        <w:t>having regard to the background as set out above</w:t>
      </w:r>
      <w:r w:rsidR="00E150BF">
        <w:t>)</w:t>
      </w:r>
      <w:r w:rsidR="00BA5707">
        <w:t xml:space="preserve"> </w:t>
      </w:r>
      <w:r w:rsidR="00E150BF">
        <w:t>at</w:t>
      </w:r>
      <w:r w:rsidR="00BA5707">
        <w:t xml:space="preserve"> </w:t>
      </w:r>
      <w:r w:rsidR="007122E6">
        <w:t xml:space="preserve">least </w:t>
      </w:r>
      <w:r w:rsidR="00BA5707">
        <w:t>$800 million.</w:t>
      </w:r>
      <w:r w:rsidR="004729A9">
        <w:t xml:space="preserve"> </w:t>
      </w:r>
      <w:r w:rsidR="004C60DF">
        <w:t xml:space="preserve">The task of this review is to assess an appropriate and sustainable level of compensation for the </w:t>
      </w:r>
      <w:r w:rsidR="004C60DF" w:rsidRPr="002818C8">
        <w:t>ARPC to pay to the Commonwealth on an ongoing basis.</w:t>
      </w:r>
      <w:r w:rsidR="00E150BF">
        <w:t xml:space="preserve"> </w:t>
      </w:r>
    </w:p>
    <w:p w14:paraId="03D0A405" w14:textId="7F6BAE29" w:rsidR="00A7014D" w:rsidRPr="0089533B" w:rsidRDefault="006A488B" w:rsidP="000022E1">
      <w:proofErr w:type="spellStart"/>
      <w:r w:rsidRPr="0089533B">
        <w:t>Pottinger</w:t>
      </w:r>
      <w:proofErr w:type="spellEnd"/>
      <w:r w:rsidRPr="0089533B">
        <w:t xml:space="preserve"> </w:t>
      </w:r>
      <w:r w:rsidR="00A7014D" w:rsidRPr="0089533B">
        <w:t>estimate</w:t>
      </w:r>
      <w:r w:rsidR="00567860" w:rsidRPr="0089533B">
        <w:t>s</w:t>
      </w:r>
      <w:r w:rsidR="00A7014D" w:rsidRPr="0089533B">
        <w:t xml:space="preserve"> that, if the ARPC w</w:t>
      </w:r>
      <w:r w:rsidR="005A1BB5">
        <w:t>as</w:t>
      </w:r>
      <w:r w:rsidR="00A7014D" w:rsidRPr="0089533B">
        <w:t xml:space="preserve"> to replace the government guarantee with private retrocession of $10 billion in the private market (if it </w:t>
      </w:r>
      <w:r w:rsidR="00BF7747">
        <w:t>was</w:t>
      </w:r>
      <w:r w:rsidR="00BF7747" w:rsidRPr="0089533B">
        <w:t xml:space="preserve"> </w:t>
      </w:r>
      <w:r w:rsidR="00A7014D" w:rsidRPr="0089533B">
        <w:t>available),</w:t>
      </w:r>
      <w:r w:rsidRPr="0089533B">
        <w:t xml:space="preserve"> </w:t>
      </w:r>
      <w:r w:rsidR="00BF7747">
        <w:t>this</w:t>
      </w:r>
      <w:r w:rsidR="00BF7747" w:rsidRPr="0089533B">
        <w:t xml:space="preserve"> </w:t>
      </w:r>
      <w:r w:rsidRPr="0089533B">
        <w:t xml:space="preserve">would cost around </w:t>
      </w:r>
      <w:r w:rsidR="00431A38" w:rsidRPr="0089533B">
        <w:t>$200 million</w:t>
      </w:r>
      <w:r w:rsidR="00567860" w:rsidRPr="0089533B">
        <w:t xml:space="preserve"> annually</w:t>
      </w:r>
      <w:r w:rsidR="00431A38" w:rsidRPr="0089533B">
        <w:t xml:space="preserve">. This estimate </w:t>
      </w:r>
      <w:r w:rsidR="00BA5707" w:rsidRPr="0089533B">
        <w:t xml:space="preserve">assumes the </w:t>
      </w:r>
      <w:r w:rsidR="00A7014D" w:rsidRPr="0089533B">
        <w:t>premium paid by the</w:t>
      </w:r>
      <w:r w:rsidR="00BA5707" w:rsidRPr="0089533B">
        <w:t xml:space="preserve"> ARPC would be equal to</w:t>
      </w:r>
      <w:r w:rsidR="00431A38" w:rsidRPr="0089533B">
        <w:t xml:space="preserve"> the marginal rate on line for the ARPC</w:t>
      </w:r>
      <w:r w:rsidR="008A07A0" w:rsidRPr="0089533B">
        <w:t>’</w:t>
      </w:r>
      <w:r w:rsidR="00431A38" w:rsidRPr="0089533B">
        <w:t>s retrocession program</w:t>
      </w:r>
      <w:r w:rsidR="00BA5707" w:rsidRPr="0089533B">
        <w:t xml:space="preserve"> in 2014</w:t>
      </w:r>
      <w:r w:rsidR="00431A38" w:rsidRPr="0089533B">
        <w:t xml:space="preserve">. </w:t>
      </w:r>
      <w:proofErr w:type="spellStart"/>
      <w:r w:rsidR="00431A38" w:rsidRPr="0089533B">
        <w:t>Pottinger</w:t>
      </w:r>
      <w:proofErr w:type="spellEnd"/>
      <w:r w:rsidR="00431A38" w:rsidRPr="0089533B">
        <w:t xml:space="preserve"> argues that this rate is the minimum rate </w:t>
      </w:r>
      <w:r w:rsidR="00BF7747">
        <w:t xml:space="preserve">at which </w:t>
      </w:r>
      <w:r w:rsidR="00431A38" w:rsidRPr="0089533B">
        <w:t xml:space="preserve">the private sector </w:t>
      </w:r>
      <w:r w:rsidR="00431A38" w:rsidRPr="004729A9">
        <w:rPr>
          <w:i/>
        </w:rPr>
        <w:t>could</w:t>
      </w:r>
      <w:r w:rsidR="00431A38" w:rsidRPr="0089533B">
        <w:t xml:space="preserve"> provide </w:t>
      </w:r>
      <w:r w:rsidR="00A7014D" w:rsidRPr="0089533B">
        <w:t>retrocess</w:t>
      </w:r>
      <w:r w:rsidR="00567860" w:rsidRPr="0089533B">
        <w:t>ion</w:t>
      </w:r>
      <w:r w:rsidR="00173C54" w:rsidRPr="0089533B">
        <w:t>.</w:t>
      </w:r>
    </w:p>
    <w:p w14:paraId="76310EA2" w14:textId="518720F3" w:rsidR="004B636E" w:rsidRDefault="00080201" w:rsidP="000022E1">
      <w:r w:rsidRPr="00843660">
        <w:t>T</w:t>
      </w:r>
      <w:r w:rsidR="004B636E" w:rsidRPr="00843660">
        <w:t xml:space="preserve">he </w:t>
      </w:r>
      <w:r w:rsidR="00431A38" w:rsidRPr="00843660">
        <w:t>AGA</w:t>
      </w:r>
      <w:r w:rsidR="004B636E" w:rsidRPr="00843660">
        <w:t xml:space="preserve"> </w:t>
      </w:r>
      <w:r w:rsidR="00FE6852" w:rsidRPr="00843660">
        <w:t>provides a</w:t>
      </w:r>
      <w:r w:rsidR="006D5CEE">
        <w:t>n intentionally</w:t>
      </w:r>
      <w:r w:rsidR="00FE6852" w:rsidRPr="00843660">
        <w:t xml:space="preserve"> more conservative estimate of the value </w:t>
      </w:r>
      <w:r w:rsidR="00431A38" w:rsidRPr="00843660">
        <w:t xml:space="preserve">of the guarantee </w:t>
      </w:r>
      <w:r w:rsidR="00FE6852" w:rsidRPr="00843660">
        <w:t xml:space="preserve">to the ARPC of around $55 million, significantly below the charge </w:t>
      </w:r>
      <w:r w:rsidR="00BA5FAD" w:rsidRPr="00843660">
        <w:t xml:space="preserve">the </w:t>
      </w:r>
      <w:proofErr w:type="spellStart"/>
      <w:r w:rsidR="00BA5FAD" w:rsidRPr="00843660">
        <w:t>Pottinger</w:t>
      </w:r>
      <w:proofErr w:type="spellEnd"/>
      <w:r w:rsidR="00BA5FAD" w:rsidRPr="00843660">
        <w:t xml:space="preserve"> report estimates </w:t>
      </w:r>
      <w:r w:rsidR="00FE6852" w:rsidRPr="00843660">
        <w:t xml:space="preserve">would be applied by a private sector reinsurer. This estimate assumes </w:t>
      </w:r>
      <w:r w:rsidR="004B636E" w:rsidRPr="00843660">
        <w:t xml:space="preserve">the </w:t>
      </w:r>
      <w:r w:rsidR="00FE6852" w:rsidRPr="00843660">
        <w:t xml:space="preserve">first dollar of cover provided under the guarantee </w:t>
      </w:r>
      <w:r w:rsidR="006D5CEE">
        <w:t>c</w:t>
      </w:r>
      <w:r w:rsidR="00FE6852" w:rsidRPr="00843660">
        <w:t xml:space="preserve">ould be priced at the </w:t>
      </w:r>
      <w:r w:rsidR="00431A38" w:rsidRPr="00843660">
        <w:t>marginal rate on</w:t>
      </w:r>
      <w:r w:rsidR="004B636E" w:rsidRPr="00843660">
        <w:t xml:space="preserve"> line of the retrocession programme, </w:t>
      </w:r>
      <w:r w:rsidR="00FE6852" w:rsidRPr="00843660">
        <w:t>but</w:t>
      </w:r>
      <w:r w:rsidR="004B636E" w:rsidRPr="00843660">
        <w:t xml:space="preserve"> that </w:t>
      </w:r>
      <w:r w:rsidR="008E5A69">
        <w:t>reasonable</w:t>
      </w:r>
      <w:r w:rsidR="004B636E" w:rsidRPr="00843660">
        <w:t xml:space="preserve"> </w:t>
      </w:r>
      <w:r w:rsidR="00431A38" w:rsidRPr="00843660">
        <w:t xml:space="preserve">fee </w:t>
      </w:r>
      <w:r w:rsidR="004B636E" w:rsidRPr="00843660">
        <w:t xml:space="preserve">falls for each additional dollar of the guarantee provided. </w:t>
      </w:r>
      <w:r w:rsidR="00B14625">
        <w:t>In effect, the AGA’s valuation impli</w:t>
      </w:r>
      <w:r w:rsidR="008F0D24">
        <w:t>es zero charge for the last $3 billion</w:t>
      </w:r>
      <w:r w:rsidR="00B14625">
        <w:t xml:space="preserve"> of the guarantee. The end result is</w:t>
      </w:r>
      <w:r w:rsidR="00B14625" w:rsidRPr="00843660">
        <w:t xml:space="preserve"> </w:t>
      </w:r>
      <w:r w:rsidR="00FE6852" w:rsidRPr="00843660">
        <w:t xml:space="preserve">a fee below the private sector charge as the </w:t>
      </w:r>
      <w:r w:rsidR="005A1BB5">
        <w:t>g</w:t>
      </w:r>
      <w:r w:rsidR="00FE6852" w:rsidRPr="00843660">
        <w:t xml:space="preserve">overnment does not have to </w:t>
      </w:r>
      <w:r w:rsidR="0071416B">
        <w:t>achieve ‘market returns’</w:t>
      </w:r>
      <w:r w:rsidR="004729A9">
        <w:t>.</w:t>
      </w:r>
    </w:p>
    <w:p w14:paraId="530B5B9E" w14:textId="0E2453AB" w:rsidR="008E0F89" w:rsidRPr="00843660" w:rsidRDefault="008E0F89" w:rsidP="000022E1">
      <w:r w:rsidRPr="00843660">
        <w:t>To date</w:t>
      </w:r>
      <w:r w:rsidR="003A01E6">
        <w:t>,</w:t>
      </w:r>
      <w:r w:rsidRPr="00843660">
        <w:t xml:space="preserve"> the </w:t>
      </w:r>
      <w:r w:rsidR="00B97B26">
        <w:t>g</w:t>
      </w:r>
      <w:r w:rsidRPr="00843660">
        <w:t xml:space="preserve">overnment has received no compensation for </w:t>
      </w:r>
      <w:r>
        <w:t xml:space="preserve">allowing the ARPC to retain capital to fund a potential </w:t>
      </w:r>
      <w:r w:rsidRPr="002818C8">
        <w:t>claim</w:t>
      </w:r>
      <w:r w:rsidR="00E426C9" w:rsidRPr="002818C8">
        <w:t>, even though the ARPC has built up a significant pool</w:t>
      </w:r>
      <w:r w:rsidR="004729A9">
        <w:t xml:space="preserve"> through its reinsurance operations</w:t>
      </w:r>
      <w:r w:rsidRPr="002818C8">
        <w:t xml:space="preserve">. </w:t>
      </w:r>
      <w:proofErr w:type="spellStart"/>
      <w:r w:rsidRPr="0089533B">
        <w:t>Pottinger</w:t>
      </w:r>
      <w:proofErr w:type="spellEnd"/>
      <w:r w:rsidRPr="0089533B">
        <w:t xml:space="preserve"> estimate</w:t>
      </w:r>
      <w:r w:rsidR="00567860" w:rsidRPr="0089533B">
        <w:t>s</w:t>
      </w:r>
      <w:r w:rsidRPr="0089533B">
        <w:t xml:space="preserve"> that the cost to the ARPC to reinsure the first $360 million of losses in the private market, which would currently be funded using the capital retained by the ARPC, would be between $30 million and $70 million. A similar value of $35 million is obtained by the AGA based </w:t>
      </w:r>
      <w:r w:rsidR="003A01E6">
        <w:t xml:space="preserve">on </w:t>
      </w:r>
      <w:r w:rsidRPr="0089533B">
        <w:t xml:space="preserve">the ARPC holding a capital pool of $500 million. Both of these calculations draw on actual premiums paid by the ARPC for retrocession. </w:t>
      </w:r>
    </w:p>
    <w:p w14:paraId="75C68C32" w14:textId="47857852" w:rsidR="004C60DF" w:rsidRDefault="00431A38" w:rsidP="000022E1">
      <w:r w:rsidRPr="00843660">
        <w:t xml:space="preserve">Given the principle that the </w:t>
      </w:r>
      <w:r w:rsidR="00B97B26">
        <w:t>g</w:t>
      </w:r>
      <w:r w:rsidRPr="00843660">
        <w:t xml:space="preserve">overnment should be fairly compensated for taking on the risk, </w:t>
      </w:r>
      <w:r w:rsidR="00026294">
        <w:t xml:space="preserve">a </w:t>
      </w:r>
      <w:r w:rsidRPr="00843660">
        <w:t xml:space="preserve">fee </w:t>
      </w:r>
      <w:r w:rsidR="00567860">
        <w:t xml:space="preserve">or dividend </w:t>
      </w:r>
      <w:r w:rsidRPr="00843660">
        <w:t>consistent with the AGA</w:t>
      </w:r>
      <w:r w:rsidR="008A07A0">
        <w:t>’</w:t>
      </w:r>
      <w:r w:rsidRPr="00843660">
        <w:t xml:space="preserve">s </w:t>
      </w:r>
      <w:r w:rsidR="00026294">
        <w:t xml:space="preserve">more conservative </w:t>
      </w:r>
      <w:r w:rsidRPr="00843660">
        <w:t>estimate</w:t>
      </w:r>
      <w:r w:rsidR="00E426C9">
        <w:t xml:space="preserve"> of $</w:t>
      </w:r>
      <w:r w:rsidR="00567860">
        <w:t>35</w:t>
      </w:r>
      <w:r w:rsidR="00E426C9">
        <w:t> million</w:t>
      </w:r>
      <w:r w:rsidRPr="00843660">
        <w:t xml:space="preserve"> is </w:t>
      </w:r>
      <w:r w:rsidR="00567860">
        <w:t xml:space="preserve">considered </w:t>
      </w:r>
      <w:r w:rsidR="00026294">
        <w:t xml:space="preserve">more </w:t>
      </w:r>
      <w:r w:rsidRPr="00843660">
        <w:t>appropriate</w:t>
      </w:r>
      <w:r w:rsidR="00026294">
        <w:t xml:space="preserve"> than a full commercial rate</w:t>
      </w:r>
      <w:r w:rsidRPr="00843660">
        <w:t xml:space="preserve">. </w:t>
      </w:r>
      <w:r w:rsidR="00E426C9">
        <w:t xml:space="preserve">This fee represents fair compensation for the provision of </w:t>
      </w:r>
      <w:r w:rsidR="00B97B26">
        <w:t>around $500 million in g</w:t>
      </w:r>
      <w:r w:rsidR="00567860">
        <w:t>overnment funds in the form of the pool and reserves</w:t>
      </w:r>
      <w:r w:rsidR="00EC110F">
        <w:t xml:space="preserve">. </w:t>
      </w:r>
    </w:p>
    <w:p w14:paraId="5CFD4529" w14:textId="56DA7A3C" w:rsidR="00E426C9" w:rsidRDefault="00567860" w:rsidP="000022E1">
      <w:r>
        <w:t>Coupled with the fee of $55</w:t>
      </w:r>
      <w:r w:rsidR="0089533B">
        <w:t> </w:t>
      </w:r>
      <w:r>
        <w:t xml:space="preserve">million for the </w:t>
      </w:r>
      <w:r w:rsidR="004729A9">
        <w:t xml:space="preserve">$10 billion </w:t>
      </w:r>
      <w:r>
        <w:t>guarantee, this equates to an ongoing annual compensation amount of $90</w:t>
      </w:r>
      <w:r w:rsidR="0089533B">
        <w:t> </w:t>
      </w:r>
      <w:r>
        <w:t>million payable by the ARPC to the Commonwealth.</w:t>
      </w:r>
    </w:p>
    <w:p w14:paraId="7B531E6B" w14:textId="22902361" w:rsidR="00C630B2" w:rsidRDefault="00567860" w:rsidP="000022E1">
      <w:r>
        <w:t>Compensation</w:t>
      </w:r>
      <w:r w:rsidR="00E426C9">
        <w:t xml:space="preserve"> </w:t>
      </w:r>
      <w:r>
        <w:t>at this level</w:t>
      </w:r>
      <w:r w:rsidR="00431A38" w:rsidRPr="00843660">
        <w:t xml:space="preserve"> </w:t>
      </w:r>
      <w:r>
        <w:t xml:space="preserve">still </w:t>
      </w:r>
      <w:r w:rsidR="00431A38" w:rsidRPr="00843660">
        <w:t>allow</w:t>
      </w:r>
      <w:r>
        <w:t>s</w:t>
      </w:r>
      <w:r w:rsidR="00431A38" w:rsidRPr="00843660">
        <w:t xml:space="preserve"> the ARPC to offer cover at below the rate </w:t>
      </w:r>
      <w:r w:rsidR="003A01E6">
        <w:t>that</w:t>
      </w:r>
      <w:r w:rsidR="003A01E6" w:rsidRPr="00843660">
        <w:t xml:space="preserve"> </w:t>
      </w:r>
      <w:r w:rsidR="00431A38" w:rsidRPr="00843660">
        <w:t xml:space="preserve">could be provided by the private sector. </w:t>
      </w:r>
      <w:r>
        <w:t xml:space="preserve">This is considered appropriate unless or until there is evidence that suggests this impedes the return of the private market to provide reinsurance cover for terrorism. </w:t>
      </w:r>
    </w:p>
    <w:p w14:paraId="3EC2D79F" w14:textId="77777777" w:rsidR="00E426C9" w:rsidRPr="00843660" w:rsidRDefault="00567860" w:rsidP="00E426C9">
      <w:r>
        <w:t>T</w:t>
      </w:r>
      <w:r w:rsidR="00E426C9" w:rsidRPr="00843660">
        <w:t xml:space="preserve">he </w:t>
      </w:r>
      <w:r>
        <w:t xml:space="preserve">assessment of the </w:t>
      </w:r>
      <w:r w:rsidR="00E426C9" w:rsidRPr="00843660">
        <w:t xml:space="preserve">value of the government guarantee </w:t>
      </w:r>
      <w:r>
        <w:t xml:space="preserve">set out above assumes retrocession cover continues to be purchased at around the current level. </w:t>
      </w:r>
      <w:r w:rsidR="00E426C9" w:rsidRPr="00843660">
        <w:t xml:space="preserve">If the retrocession program were reduced </w:t>
      </w:r>
      <w:r>
        <w:t xml:space="preserve">in size, </w:t>
      </w:r>
      <w:r w:rsidR="00E426C9" w:rsidRPr="00843660">
        <w:t>the value of the guarantee would rise in line with the increasing risk that the guarantee would be called upon</w:t>
      </w:r>
      <w:r w:rsidR="00E426C9">
        <w:t xml:space="preserve"> and </w:t>
      </w:r>
      <w:r w:rsidR="00026294">
        <w:t xml:space="preserve">the fee </w:t>
      </w:r>
      <w:r w:rsidR="00E426C9">
        <w:t>would need to be reviewed</w:t>
      </w:r>
      <w:r w:rsidR="00E426C9" w:rsidRPr="00843660">
        <w:t>.</w:t>
      </w:r>
    </w:p>
    <w:p w14:paraId="53D6C60D" w14:textId="697BD499" w:rsidR="000956C5" w:rsidRPr="00843660" w:rsidRDefault="009F02C6" w:rsidP="000022E1">
      <w:r w:rsidRPr="00843660">
        <w:t xml:space="preserve">An implication of the higher compensation to the </w:t>
      </w:r>
      <w:r w:rsidR="00B97B26">
        <w:t>g</w:t>
      </w:r>
      <w:r w:rsidRPr="00843660">
        <w:t xml:space="preserve">overnment is that the ARPC will need to raise additional premiums. This is discussed </w:t>
      </w:r>
      <w:r w:rsidR="003A01E6">
        <w:t>in more detail</w:t>
      </w:r>
      <w:r w:rsidR="003A01E6" w:rsidRPr="00843660">
        <w:t xml:space="preserve"> </w:t>
      </w:r>
      <w:r w:rsidRPr="00843660">
        <w:t>below.</w:t>
      </w:r>
    </w:p>
    <w:p w14:paraId="5B8A756D" w14:textId="77777777" w:rsidR="00584D2A" w:rsidRPr="00843660" w:rsidRDefault="00584D2A" w:rsidP="00843660">
      <w:pPr>
        <w:pStyle w:val="Heading2"/>
      </w:pPr>
      <w:bookmarkStart w:id="115" w:name="_Toc437877563"/>
      <w:r w:rsidRPr="00843660">
        <w:t>Premium pricing</w:t>
      </w:r>
      <w:bookmarkEnd w:id="115"/>
    </w:p>
    <w:p w14:paraId="69C7AF63" w14:textId="77777777" w:rsidR="00584D2A" w:rsidRDefault="00584D2A" w:rsidP="00843660">
      <w:pPr>
        <w:pStyle w:val="Heading3"/>
      </w:pPr>
      <w:r>
        <w:t>Issue</w:t>
      </w:r>
    </w:p>
    <w:p w14:paraId="2CA04C2C" w14:textId="77777777" w:rsidR="00584D2A" w:rsidRPr="00563598" w:rsidRDefault="00584D2A" w:rsidP="000022E1">
      <w:pPr>
        <w:rPr>
          <w:rFonts w:cstheme="minorHAnsi"/>
        </w:rPr>
      </w:pPr>
      <w:r>
        <w:t>Whether current premiums</w:t>
      </w:r>
      <w:r>
        <w:rPr>
          <w:rFonts w:cstheme="minorHAnsi"/>
        </w:rPr>
        <w:t>:</w:t>
      </w:r>
    </w:p>
    <w:p w14:paraId="1C96FA58" w14:textId="77777777" w:rsidR="00584D2A" w:rsidRPr="00843660" w:rsidRDefault="00584D2A" w:rsidP="00843660">
      <w:pPr>
        <w:pStyle w:val="Bullet"/>
      </w:pPr>
      <w:r w:rsidRPr="00843660">
        <w:t>adequately reflect the cost of providing the terrorism reinsurance scheme; and</w:t>
      </w:r>
    </w:p>
    <w:p w14:paraId="670ECAF2" w14:textId="77777777" w:rsidR="00584D2A" w:rsidRPr="00843660" w:rsidRDefault="00584D2A" w:rsidP="00843660">
      <w:pPr>
        <w:pStyle w:val="Bullet"/>
      </w:pPr>
      <w:proofErr w:type="gramStart"/>
      <w:r w:rsidRPr="00843660">
        <w:t>in</w:t>
      </w:r>
      <w:proofErr w:type="gramEnd"/>
      <w:r w:rsidRPr="00843660">
        <w:t xml:space="preserve"> any way impede a competitor from providing terrorism reinsurance in Australia.</w:t>
      </w:r>
    </w:p>
    <w:p w14:paraId="3D8CA2F8" w14:textId="77777777" w:rsidR="00584D2A" w:rsidRDefault="00584D2A" w:rsidP="00843660">
      <w:pPr>
        <w:pStyle w:val="Heading3"/>
      </w:pPr>
      <w:r>
        <w:t>Recommendation</w:t>
      </w:r>
    </w:p>
    <w:p w14:paraId="7DADA486" w14:textId="77777777" w:rsidR="00220FAB" w:rsidRDefault="00220FAB" w:rsidP="00220FAB">
      <w:r>
        <w:rPr>
          <w:noProof/>
        </w:rPr>
        <mc:AlternateContent>
          <mc:Choice Requires="wps">
            <w:drawing>
              <wp:anchor distT="0" distB="0" distL="114300" distR="114300" simplePos="0" relativeHeight="251658245" behindDoc="0" locked="0" layoutInCell="1" allowOverlap="1" wp14:anchorId="61B695B0" wp14:editId="1E3457F9">
                <wp:simplePos x="0" y="0"/>
                <wp:positionH relativeFrom="column">
                  <wp:align>center</wp:align>
                </wp:positionH>
                <wp:positionV relativeFrom="paragraph">
                  <wp:posOffset>0</wp:posOffset>
                </wp:positionV>
                <wp:extent cx="4943475" cy="12763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FB6A40" w14:textId="6D7DFDD0" w:rsidR="00685DAA" w:rsidRPr="00716BDF" w:rsidRDefault="00685DAA" w:rsidP="00716BDF">
                            <w:pPr>
                              <w:rPr>
                                <w:i/>
                              </w:rPr>
                            </w:pPr>
                            <w:r>
                              <w:rPr>
                                <w:i/>
                              </w:rPr>
                              <w:t>Recommendation 8</w:t>
                            </w:r>
                            <w:r w:rsidRPr="00716BDF">
                              <w:rPr>
                                <w:i/>
                              </w:rPr>
                              <w:t xml:space="preserve">: </w:t>
                            </w:r>
                            <w:r w:rsidRPr="00716BDF">
                              <w:t xml:space="preserve">That the premiums charged by the ARPC be increased, with effect from 1 </w:t>
                            </w:r>
                            <w:r>
                              <w:t>April</w:t>
                            </w:r>
                            <w:r w:rsidRPr="00716BDF">
                              <w:t xml:space="preserve"> 2016, to:</w:t>
                            </w:r>
                          </w:p>
                          <w:p w14:paraId="1227FC15" w14:textId="6608839D" w:rsidR="00685DAA" w:rsidRPr="00CE6ED4" w:rsidRDefault="00685DAA" w:rsidP="00220FAB">
                            <w:pPr>
                              <w:pStyle w:val="Dash"/>
                              <w:rPr>
                                <w:szCs w:val="22"/>
                              </w:rPr>
                            </w:pPr>
                            <w:r>
                              <w:t xml:space="preserve">16 per cent for Tier A, </w:t>
                            </w:r>
                          </w:p>
                          <w:p w14:paraId="22FE7B83" w14:textId="6FAE1A0A" w:rsidR="00685DAA" w:rsidRPr="00CE6ED4" w:rsidRDefault="00685DAA" w:rsidP="00220FAB">
                            <w:pPr>
                              <w:pStyle w:val="Dash"/>
                              <w:rPr>
                                <w:szCs w:val="22"/>
                              </w:rPr>
                            </w:pPr>
                            <w:r>
                              <w:t xml:space="preserve">5.3 per cent for Tier B, and </w:t>
                            </w:r>
                          </w:p>
                          <w:p w14:paraId="17D507D1" w14:textId="0529E314" w:rsidR="00685DAA" w:rsidRPr="001A7E19" w:rsidRDefault="00685DAA" w:rsidP="00220FAB">
                            <w:pPr>
                              <w:pStyle w:val="Dash"/>
                              <w:rPr>
                                <w:szCs w:val="22"/>
                              </w:rPr>
                            </w:pPr>
                            <w:r>
                              <w:t>2.6 per cent for Tier C.</w:t>
                            </w:r>
                          </w:p>
                          <w:p w14:paraId="58072D8A" w14:textId="036E4213" w:rsidR="00685DAA" w:rsidRDefault="00685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89.25pt;height:100.5pt;z-index:25165824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" fillcolor="white [3201]" strokecolor="#4f81bd [3204]" strokeweight="2pt">
                <v:textbox>
                  <w:txbxContent>
                    <w:p w14:paraId="52FB6A40" w14:textId="6D7DFDD0" w:rsidR="00685DAA" w:rsidRPr="00716BDF" w:rsidRDefault="00685DAA" w:rsidP="00716BDF">
                      <w:pPr>
                        <w:rPr>
                          <w:i/>
                        </w:rPr>
                      </w:pPr>
                      <w:r>
                        <w:rPr>
                          <w:i/>
                        </w:rPr>
                        <w:t>Recommendation 8</w:t>
                      </w:r>
                      <w:r w:rsidRPr="00716BDF">
                        <w:rPr>
                          <w:i/>
                        </w:rPr>
                        <w:t xml:space="preserve">: </w:t>
                      </w:r>
                      <w:r w:rsidRPr="00716BDF">
                        <w:t xml:space="preserve">That the premiums charged by the ARPC be increased, with effect from 1 </w:t>
                      </w:r>
                      <w:r>
                        <w:t>April</w:t>
                      </w:r>
                      <w:r w:rsidRPr="00716BDF">
                        <w:t xml:space="preserve"> 2016, to:</w:t>
                      </w:r>
                    </w:p>
                    <w:p w14:paraId="1227FC15" w14:textId="6608839D" w:rsidR="00685DAA" w:rsidRPr="00CE6ED4" w:rsidRDefault="00685DAA" w:rsidP="00220FAB">
                      <w:pPr>
                        <w:pStyle w:val="Dash"/>
                        <w:rPr>
                          <w:szCs w:val="22"/>
                        </w:rPr>
                      </w:pPr>
                      <w:r>
                        <w:t xml:space="preserve">16 per cent for Tier A, </w:t>
                      </w:r>
                    </w:p>
                    <w:p w14:paraId="22FE7B83" w14:textId="6FAE1A0A" w:rsidR="00685DAA" w:rsidRPr="00CE6ED4" w:rsidRDefault="00685DAA" w:rsidP="00220FAB">
                      <w:pPr>
                        <w:pStyle w:val="Dash"/>
                        <w:rPr>
                          <w:szCs w:val="22"/>
                        </w:rPr>
                      </w:pPr>
                      <w:r>
                        <w:t xml:space="preserve">5.3 per cent for Tier B, and </w:t>
                      </w:r>
                    </w:p>
                    <w:p w14:paraId="17D507D1" w14:textId="0529E314" w:rsidR="00685DAA" w:rsidRPr="001A7E19" w:rsidRDefault="00685DAA" w:rsidP="00220FAB">
                      <w:pPr>
                        <w:pStyle w:val="Dash"/>
                        <w:rPr>
                          <w:szCs w:val="22"/>
                        </w:rPr>
                      </w:pPr>
                      <w:r>
                        <w:t>2.6 per cent for Tier C.</w:t>
                      </w:r>
                    </w:p>
                    <w:p w14:paraId="58072D8A" w14:textId="036E4213" w:rsidR="00685DAA" w:rsidRDefault="00685DAA"/>
                  </w:txbxContent>
                </v:textbox>
              </v:shape>
            </w:pict>
          </mc:Fallback>
        </mc:AlternateContent>
      </w:r>
    </w:p>
    <w:p w14:paraId="7E040C84" w14:textId="79FD18CF" w:rsidR="00220FAB" w:rsidRDefault="00220FAB" w:rsidP="00220FAB"/>
    <w:p w14:paraId="71B371D1" w14:textId="77777777" w:rsidR="00220FAB" w:rsidRDefault="00220FAB" w:rsidP="00220FAB"/>
    <w:p w14:paraId="3AE45C0F" w14:textId="77777777" w:rsidR="00220FAB" w:rsidRDefault="00220FAB" w:rsidP="00220FAB"/>
    <w:p w14:paraId="481E5A79" w14:textId="77777777" w:rsidR="0092346C" w:rsidRDefault="0092346C" w:rsidP="00220FAB"/>
    <w:p w14:paraId="6EBBC105" w14:textId="77777777" w:rsidR="00584D2A" w:rsidRDefault="00584D2A" w:rsidP="00843660">
      <w:pPr>
        <w:pStyle w:val="Heading3"/>
      </w:pPr>
      <w:r>
        <w:t>Background</w:t>
      </w:r>
    </w:p>
    <w:p w14:paraId="33E8C1AC" w14:textId="77777777" w:rsidR="00722914" w:rsidRDefault="00722914" w:rsidP="000022E1">
      <w:r>
        <w:t>Insurers who seek terrorism reinsurance through the ARPC pay premiums to the ARPC, although insurers may choose to reinsure with other providers. Insurers may pass on the cost of reinsurance to their policy holders through premiums, although this is a comme</w:t>
      </w:r>
      <w:r w:rsidR="00FC1F7A">
        <w:t>rcial decision for the insurer.</w:t>
      </w:r>
    </w:p>
    <w:p w14:paraId="035AA9B2" w14:textId="401897F1" w:rsidR="005A3ED2" w:rsidRDefault="00722914" w:rsidP="00B67A45">
      <w:r>
        <w:t xml:space="preserve">When the scheme was first established, it </w:t>
      </w:r>
      <w:r w:rsidR="00BA5FAD">
        <w:t xml:space="preserve">was considered that reinsurance </w:t>
      </w:r>
      <w:r>
        <w:t>premiums of between</w:t>
      </w:r>
      <w:r w:rsidR="00843828">
        <w:br/>
      </w:r>
      <w:r w:rsidR="00B4151A">
        <w:t>2</w:t>
      </w:r>
      <w:r w:rsidR="00843828">
        <w:t xml:space="preserve"> </w:t>
      </w:r>
      <w:r>
        <w:t xml:space="preserve">and 12 per cent of underlying commercial property insurance premiums would be adequate to build the pool (reserves for claims) and would not be a significant cost to smaller commercial property owners if passed on by insurers. The premium levels </w:t>
      </w:r>
      <w:r w:rsidR="00B67A45">
        <w:t xml:space="preserve">(as a percentage) </w:t>
      </w:r>
      <w:r>
        <w:t>have remained unchanged since</w:t>
      </w:r>
      <w:r w:rsidR="00B67A45">
        <w:t xml:space="preserve"> </w:t>
      </w:r>
      <w:r>
        <w:t>1 October 2003.</w:t>
      </w:r>
      <w:r w:rsidR="005A468D">
        <w:rPr>
          <w:rStyle w:val="FootnoteReference"/>
        </w:rPr>
        <w:footnoteReference w:id="11"/>
      </w:r>
      <w:r w:rsidR="00F75B5E">
        <w:t xml:space="preserve"> </w:t>
      </w:r>
    </w:p>
    <w:p w14:paraId="79B61AAF" w14:textId="77777777" w:rsidR="00584D2A" w:rsidRDefault="00584D2A" w:rsidP="00843660">
      <w:pPr>
        <w:pStyle w:val="Heading3"/>
      </w:pPr>
      <w:r>
        <w:t>Assessment</w:t>
      </w:r>
    </w:p>
    <w:p w14:paraId="5A2AB118" w14:textId="5B5BD818" w:rsidR="003154E8" w:rsidRDefault="002C5DEE" w:rsidP="000022E1">
      <w:r>
        <w:t xml:space="preserve">Two </w:t>
      </w:r>
      <w:r w:rsidR="00626A16">
        <w:t>broad questions</w:t>
      </w:r>
      <w:r>
        <w:t xml:space="preserve"> emerge in relation </w:t>
      </w:r>
      <w:proofErr w:type="gramStart"/>
      <w:r>
        <w:t xml:space="preserve">to  </w:t>
      </w:r>
      <w:r w:rsidR="006B6710">
        <w:t>whether</w:t>
      </w:r>
      <w:proofErr w:type="gramEnd"/>
      <w:r w:rsidR="006B6710">
        <w:t xml:space="preserve"> the current premiums adequately reflect the cost of providing terrorism insurance</w:t>
      </w:r>
      <w:r w:rsidR="00626A16">
        <w:t xml:space="preserve">: </w:t>
      </w:r>
      <w:r w:rsidR="00673BA7">
        <w:t xml:space="preserve">firstly, </w:t>
      </w:r>
      <w:r w:rsidR="00626A16">
        <w:t>is the level of the premium sufficient and</w:t>
      </w:r>
      <w:r w:rsidR="00673BA7">
        <w:t>, secondly,</w:t>
      </w:r>
      <w:r w:rsidR="00626A16">
        <w:t xml:space="preserve"> is the mechanism for c</w:t>
      </w:r>
      <w:r w:rsidR="00A937EB">
        <w:t>alculating</w:t>
      </w:r>
      <w:r w:rsidR="00626A16">
        <w:t xml:space="preserve"> the premiums appropriate</w:t>
      </w:r>
      <w:r w:rsidR="00673BA7">
        <w:t>?</w:t>
      </w:r>
    </w:p>
    <w:p w14:paraId="32D8D9C9" w14:textId="6DD6B004" w:rsidR="003154E8" w:rsidRDefault="00673BA7" w:rsidP="000022E1">
      <w:r>
        <w:t>The</w:t>
      </w:r>
      <w:r w:rsidR="003154E8">
        <w:t xml:space="preserve"> </w:t>
      </w:r>
      <w:proofErr w:type="spellStart"/>
      <w:r w:rsidR="003154E8">
        <w:t>Pottinger</w:t>
      </w:r>
      <w:proofErr w:type="spellEnd"/>
      <w:r w:rsidR="003154E8">
        <w:t xml:space="preserve"> report concludes that p</w:t>
      </w:r>
      <w:r w:rsidR="003154E8" w:rsidRPr="000C1FCC">
        <w:t xml:space="preserve">remium rates currently charged under the scheme are materially lower than implied by the cost of terrorism risk retrocessions purchased by </w:t>
      </w:r>
      <w:r w:rsidR="003154E8">
        <w:t xml:space="preserve">the </w:t>
      </w:r>
      <w:r w:rsidR="003154E8" w:rsidRPr="000C1FCC">
        <w:t xml:space="preserve">ARPC from the private sector. </w:t>
      </w:r>
      <w:r>
        <w:t xml:space="preserve">It </w:t>
      </w:r>
      <w:r w:rsidR="003154E8" w:rsidRPr="003B7BDE">
        <w:t xml:space="preserve">estimates </w:t>
      </w:r>
      <w:r w:rsidR="003B7BDE" w:rsidRPr="003B7BDE">
        <w:t>that</w:t>
      </w:r>
      <w:r>
        <w:t>,</w:t>
      </w:r>
      <w:r w:rsidR="003B7BDE" w:rsidRPr="003B7BDE">
        <w:t xml:space="preserve"> if the ARPC set premiums in line with the price of retrocessions</w:t>
      </w:r>
      <w:r>
        <w:t>,</w:t>
      </w:r>
      <w:r w:rsidR="003B7BDE" w:rsidRPr="003B7BDE">
        <w:t xml:space="preserve"> premiums </w:t>
      </w:r>
      <w:r>
        <w:t>c</w:t>
      </w:r>
      <w:r w:rsidR="003B7BDE" w:rsidRPr="003B7BDE">
        <w:t>ould rise by over 100 per cent</w:t>
      </w:r>
      <w:r w:rsidR="008F4193">
        <w:t xml:space="preserve"> of current levels</w:t>
      </w:r>
      <w:r w:rsidR="003154E8" w:rsidRPr="003B7BDE">
        <w:t>. The</w:t>
      </w:r>
      <w:r w:rsidR="003B7BDE">
        <w:t xml:space="preserve"> report</w:t>
      </w:r>
      <w:r w:rsidR="003154E8" w:rsidRPr="003B7BDE">
        <w:t xml:space="preserve"> </w:t>
      </w:r>
      <w:r>
        <w:t xml:space="preserve">further </w:t>
      </w:r>
      <w:r w:rsidR="003154E8" w:rsidRPr="003B7BDE">
        <w:t>note</w:t>
      </w:r>
      <w:r w:rsidR="003B7BDE">
        <w:t>s</w:t>
      </w:r>
      <w:r w:rsidR="003154E8">
        <w:t xml:space="preserve"> that the current premiums were set before there was a reasonable estima</w:t>
      </w:r>
      <w:r w:rsidR="00FC1F7A">
        <w:t>te of the cost of reinsurance</w:t>
      </w:r>
      <w:r w:rsidR="008F4193">
        <w:t xml:space="preserve"> (or retrocession) in the private market</w:t>
      </w:r>
      <w:r w:rsidR="00FC1F7A">
        <w:t xml:space="preserve">. </w:t>
      </w:r>
    </w:p>
    <w:p w14:paraId="0B79BC55" w14:textId="6F2FF61C" w:rsidR="006B6710" w:rsidRDefault="00020D41" w:rsidP="006B6710">
      <w:proofErr w:type="spellStart"/>
      <w:r>
        <w:t>Pottinger’s</w:t>
      </w:r>
      <w:proofErr w:type="spellEnd"/>
      <w:r>
        <w:t xml:space="preserve"> assessment could therefore underpin a doubling of current reinsurance premiums charged by the ARPC. This is not, however, the result recommended in this review.  T</w:t>
      </w:r>
      <w:r w:rsidR="006B6710" w:rsidRPr="00D673BE">
        <w:t>he principal determinant of the</w:t>
      </w:r>
      <w:r w:rsidR="006B6710">
        <w:t xml:space="preserve"> marginal</w:t>
      </w:r>
      <w:r w:rsidR="006B6710" w:rsidRPr="00D673BE">
        <w:t xml:space="preserve"> </w:t>
      </w:r>
      <w:r w:rsidR="006B6710">
        <w:t xml:space="preserve">price for </w:t>
      </w:r>
      <w:r>
        <w:t>reinsurance/</w:t>
      </w:r>
      <w:r w:rsidR="006B6710">
        <w:t>retrocession</w:t>
      </w:r>
      <w:r w:rsidR="006B6710" w:rsidRPr="00D673BE">
        <w:t xml:space="preserve"> </w:t>
      </w:r>
      <w:r>
        <w:t xml:space="preserve">in the private market </w:t>
      </w:r>
      <w:r w:rsidR="006B6710">
        <w:t xml:space="preserve">is </w:t>
      </w:r>
      <w:r w:rsidR="006B6710" w:rsidRPr="00D673BE">
        <w:t>the cost of capital of the reinsurers concerned</w:t>
      </w:r>
      <w:r w:rsidR="006B6710">
        <w:t xml:space="preserve">. Given </w:t>
      </w:r>
      <w:r w:rsidR="006B6710" w:rsidRPr="00D673BE">
        <w:t xml:space="preserve">that the </w:t>
      </w:r>
      <w:r w:rsidR="00B97B26">
        <w:t>g</w:t>
      </w:r>
      <w:r w:rsidR="006B6710" w:rsidRPr="00D673BE">
        <w:t xml:space="preserve">overnment </w:t>
      </w:r>
      <w:r w:rsidR="006B6710">
        <w:t xml:space="preserve">does not need to achieve ‘market returns’, </w:t>
      </w:r>
      <w:r w:rsidR="006B6710" w:rsidRPr="00D673BE">
        <w:t xml:space="preserve">it </w:t>
      </w:r>
      <w:r>
        <w:t>is</w:t>
      </w:r>
      <w:r w:rsidR="006B6710" w:rsidRPr="00D673BE">
        <w:t xml:space="preserve"> no</w:t>
      </w:r>
      <w:r w:rsidR="006B6710">
        <w:t>t</w:t>
      </w:r>
      <w:r w:rsidR="006B6710" w:rsidRPr="00D673BE">
        <w:t xml:space="preserve"> </w:t>
      </w:r>
      <w:r>
        <w:t>considered</w:t>
      </w:r>
      <w:r w:rsidR="006B6710">
        <w:t xml:space="preserve"> </w:t>
      </w:r>
      <w:r w:rsidR="006B6710" w:rsidRPr="00D673BE">
        <w:t>unreasonable that the charges levied</w:t>
      </w:r>
      <w:r w:rsidR="00B97B26">
        <w:t xml:space="preserve"> by the g</w:t>
      </w:r>
      <w:r w:rsidR="006B6710" w:rsidRPr="00D673BE">
        <w:t xml:space="preserve">overnment </w:t>
      </w:r>
      <w:r>
        <w:t xml:space="preserve">through the ARPC </w:t>
      </w:r>
      <w:r w:rsidR="006B6710" w:rsidRPr="00D673BE">
        <w:t xml:space="preserve">are lower than those </w:t>
      </w:r>
      <w:r w:rsidR="006B6710">
        <w:t xml:space="preserve">that would be </w:t>
      </w:r>
      <w:r w:rsidR="006B6710" w:rsidRPr="00D673BE">
        <w:t>set by the private sector</w:t>
      </w:r>
      <w:r w:rsidR="006B6710">
        <w:t xml:space="preserve"> for reinsurance. </w:t>
      </w:r>
    </w:p>
    <w:p w14:paraId="13550BDE" w14:textId="2D646D75" w:rsidR="006B6710" w:rsidRDefault="00624B6B" w:rsidP="006B6710">
      <w:r>
        <w:t>At this stage, it is unlikely that the premium settings are currently restricting competition or the development of a private market for terrorism risk (see Chapter 2), although the potential for a private market to re</w:t>
      </w:r>
      <w:r>
        <w:noBreakHyphen/>
        <w:t>emerge</w:t>
      </w:r>
      <w:r w:rsidR="00A937EB">
        <w:t xml:space="preserve">, and any effect ARPC premium rates have on this, </w:t>
      </w:r>
      <w:r>
        <w:t>should continue to be monitored.</w:t>
      </w:r>
    </w:p>
    <w:p w14:paraId="02B5129A" w14:textId="3D2F48B9" w:rsidR="004D4D13" w:rsidRDefault="00A937EB" w:rsidP="000022E1">
      <w:r>
        <w:t>Never</w:t>
      </w:r>
      <w:r w:rsidR="00225A6E">
        <w:t>theless,</w:t>
      </w:r>
      <w:r w:rsidR="004D4D13">
        <w:t xml:space="preserve"> the ARPC</w:t>
      </w:r>
      <w:r w:rsidR="00337034">
        <w:t xml:space="preserve"> must</w:t>
      </w:r>
      <w:r w:rsidR="004D4D13">
        <w:t xml:space="preserve"> generate sufficient premiums to cover its ongoing costs</w:t>
      </w:r>
      <w:r>
        <w:t xml:space="preserve"> and ensure that those who benefit from the scheme share an appropriate burden of the cost</w:t>
      </w:r>
      <w:r w:rsidR="004D4D13">
        <w:t>. At current levels</w:t>
      </w:r>
      <w:r w:rsidR="00673BA7">
        <w:t>,</w:t>
      </w:r>
      <w:r w:rsidR="004D4D13">
        <w:t xml:space="preserve"> the premiums appear sufficient to cover operational costs, </w:t>
      </w:r>
      <w:r w:rsidR="006B6710">
        <w:t xml:space="preserve">to cover </w:t>
      </w:r>
      <w:r w:rsidR="004D4D13">
        <w:t>the fee for the government guarantee and to purchase a degree of retroc</w:t>
      </w:r>
      <w:r w:rsidR="0021155A">
        <w:t>ession cover while maintaining the</w:t>
      </w:r>
      <w:r w:rsidR="004D4D13">
        <w:t xml:space="preserve"> capital pool at around current levels. </w:t>
      </w:r>
      <w:r w:rsidR="00225A6E">
        <w:t xml:space="preserve">However, the current level of premiums is not </w:t>
      </w:r>
      <w:r w:rsidR="00673BA7">
        <w:t xml:space="preserve">enough </w:t>
      </w:r>
      <w:r w:rsidR="00225A6E">
        <w:t>to provide a return on the equity held by the ARPC</w:t>
      </w:r>
      <w:r w:rsidR="00624B6B">
        <w:t xml:space="preserve"> that will be used as the first tier of funding in the event of a claim</w:t>
      </w:r>
      <w:r w:rsidR="00225A6E">
        <w:t>. A</w:t>
      </w:r>
      <w:r w:rsidR="00624B6B">
        <w:t xml:space="preserve">n </w:t>
      </w:r>
      <w:r w:rsidR="00225A6E">
        <w:t>increase in the premium pool is, therefore, re</w:t>
      </w:r>
      <w:r>
        <w:t>commended</w:t>
      </w:r>
      <w:r w:rsidR="00225A6E">
        <w:t>.</w:t>
      </w:r>
    </w:p>
    <w:p w14:paraId="40733D9B" w14:textId="7D297E13" w:rsidR="00337034" w:rsidRDefault="00337034" w:rsidP="00337034">
      <w:r w:rsidRPr="00A937EB">
        <w:t>The second question is whether the mechanism for c</w:t>
      </w:r>
      <w:r w:rsidR="00A937EB" w:rsidRPr="00A937EB">
        <w:t>alculating</w:t>
      </w:r>
      <w:r w:rsidRPr="00A937EB">
        <w:t xml:space="preserve"> the premium is appropriate. This is the practice of setting premiums as a percentage of gross fire and industrial special risk premiums charged by the insurer and of using a community rating. Potential alternatives exist, including pricing premiums based on a larger number of criteria than only location and setting premiums as a proportion of </w:t>
      </w:r>
      <w:r w:rsidR="00624B6B" w:rsidRPr="00A937EB">
        <w:t xml:space="preserve">the </w:t>
      </w:r>
      <w:r w:rsidRPr="00A937EB">
        <w:t>sum insured.</w:t>
      </w:r>
    </w:p>
    <w:p w14:paraId="779753E4" w14:textId="61C6D434" w:rsidR="00EA5444" w:rsidRPr="00FC1F7A" w:rsidRDefault="00337034" w:rsidP="000022E1">
      <w:r>
        <w:t>T</w:t>
      </w:r>
      <w:r w:rsidR="00225A6E">
        <w:t xml:space="preserve">he </w:t>
      </w:r>
      <w:proofErr w:type="spellStart"/>
      <w:r w:rsidR="00225A6E">
        <w:t>Pottinger</w:t>
      </w:r>
      <w:proofErr w:type="spellEnd"/>
      <w:r w:rsidR="00225A6E">
        <w:t xml:space="preserve"> report </w:t>
      </w:r>
      <w:r w:rsidR="00A937EB">
        <w:t>considers that some level of</w:t>
      </w:r>
      <w:r w:rsidR="00225A6E">
        <w:t xml:space="preserve"> community rating is appropriate in the context of the terrorism insurance scheme. </w:t>
      </w:r>
      <w:r w:rsidR="008640E6">
        <w:t>T</w:t>
      </w:r>
      <w:r w:rsidR="00EA5444">
        <w:t>he current system balances the need to take into account certain risks, such as geographical location, while maintaining a simple system that is well</w:t>
      </w:r>
      <w:r w:rsidR="008A07A0">
        <w:noBreakHyphen/>
      </w:r>
      <w:r w:rsidR="00EA5444">
        <w:t xml:space="preserve">established and understood by stakeholders. </w:t>
      </w:r>
      <w:r w:rsidR="00225A6E">
        <w:t xml:space="preserve">Setting premiums for </w:t>
      </w:r>
      <w:r w:rsidR="00B567EA">
        <w:t>properties</w:t>
      </w:r>
      <w:r w:rsidR="00225A6E">
        <w:t xml:space="preserve"> </w:t>
      </w:r>
      <w:r w:rsidR="00B567EA">
        <w:t>using</w:t>
      </w:r>
      <w:r w:rsidR="00225A6E">
        <w:t xml:space="preserve"> </w:t>
      </w:r>
      <w:r w:rsidR="00B567EA">
        <w:t>a more complex calculation of the risk</w:t>
      </w:r>
      <w:r w:rsidR="00225A6E">
        <w:t xml:space="preserve"> </w:t>
      </w:r>
      <w:r w:rsidR="00B567EA">
        <w:t xml:space="preserve">attached to each property </w:t>
      </w:r>
      <w:r w:rsidR="00225A6E">
        <w:t xml:space="preserve">would </w:t>
      </w:r>
      <w:r w:rsidR="00B567EA">
        <w:t>raise costs significantly</w:t>
      </w:r>
      <w:r w:rsidR="00225A6E">
        <w:t>, without necessarily implying that the premiums charged would accurately reflect</w:t>
      </w:r>
      <w:r w:rsidR="00FC1F7A">
        <w:t xml:space="preserve"> the risk taken on by the ARPC.</w:t>
      </w:r>
      <w:r>
        <w:t xml:space="preserve"> Setting premiums as a proportion of the gross fire and industrial special risk premiums links </w:t>
      </w:r>
      <w:r w:rsidR="00B567EA">
        <w:t xml:space="preserve">the ARPC’s </w:t>
      </w:r>
      <w:r>
        <w:t xml:space="preserve">premiums to </w:t>
      </w:r>
      <w:r w:rsidR="00B567EA">
        <w:t>conditions</w:t>
      </w:r>
      <w:r>
        <w:t xml:space="preserve"> in the </w:t>
      </w:r>
      <w:r w:rsidR="00B567EA">
        <w:t xml:space="preserve">wider </w:t>
      </w:r>
      <w:r>
        <w:t>insurance market</w:t>
      </w:r>
      <w:r w:rsidR="00B567EA">
        <w:t xml:space="preserve"> and is a simple mechanism to allow premiums to increase over time with property values</w:t>
      </w:r>
      <w:r>
        <w:t>.</w:t>
      </w:r>
    </w:p>
    <w:p w14:paraId="037A49A5" w14:textId="461741F2" w:rsidR="000022E1" w:rsidRDefault="00A0668D" w:rsidP="000022E1">
      <w:r>
        <w:t>It</w:t>
      </w:r>
      <w:r w:rsidR="00EA5444">
        <w:t xml:space="preserve"> is</w:t>
      </w:r>
      <w:r w:rsidR="008640E6">
        <w:t>,</w:t>
      </w:r>
      <w:r w:rsidR="00EA5444">
        <w:t xml:space="preserve"> </w:t>
      </w:r>
      <w:r>
        <w:t>therefore</w:t>
      </w:r>
      <w:r w:rsidR="008640E6">
        <w:t>,</w:t>
      </w:r>
      <w:r>
        <w:t xml:space="preserve"> </w:t>
      </w:r>
      <w:r w:rsidR="00EA5444">
        <w:t>proposed that the ratios between the premiums under the current tiered structure b</w:t>
      </w:r>
      <w:r>
        <w:t>e</w:t>
      </w:r>
      <w:r w:rsidR="00EA5444">
        <w:t xml:space="preserve"> maintained, but that the level of premiums be increased </w:t>
      </w:r>
      <w:r w:rsidR="007E4F23">
        <w:t>with effect from 1 April</w:t>
      </w:r>
      <w:r w:rsidR="005F61D3">
        <w:t xml:space="preserve"> 2016 </w:t>
      </w:r>
      <w:r w:rsidR="00EA5444">
        <w:t>to ensure the ARPC can remain self</w:t>
      </w:r>
      <w:r w:rsidR="008A07A0">
        <w:noBreakHyphen/>
      </w:r>
      <w:r w:rsidR="00EA5444">
        <w:t>funded over the medium term</w:t>
      </w:r>
      <w:r w:rsidR="00EE2788" w:rsidRPr="00EE2788">
        <w:t xml:space="preserve"> </w:t>
      </w:r>
      <w:r w:rsidR="00EE2788">
        <w:t>while reasonably compensating the Commonwealth</w:t>
      </w:r>
      <w:r w:rsidR="00A937EB">
        <w:t xml:space="preserve"> and maintaining an appropriate level of capital</w:t>
      </w:r>
      <w:r w:rsidR="00EE2788">
        <w:t>.</w:t>
      </w:r>
    </w:p>
    <w:p w14:paraId="5DF6C21D" w14:textId="5758B0CA" w:rsidR="005F61D3" w:rsidRDefault="005F61D3" w:rsidP="000022E1">
      <w:pPr>
        <w:rPr>
          <w:szCs w:val="22"/>
        </w:rPr>
      </w:pPr>
      <w:r>
        <w:t>In consultations with the insurance industry on premiums, a number of parties expressed a</w:t>
      </w:r>
      <w:r w:rsidR="00472B8A">
        <w:t xml:space="preserve"> view about </w:t>
      </w:r>
      <w:r>
        <w:t xml:space="preserve">calculating premiums as a percentage of the insured value of the asset.  </w:t>
      </w:r>
      <w:r w:rsidR="007963D1">
        <w:t>Adoption of this method of calculation</w:t>
      </w:r>
      <w:r w:rsidRPr="007963D1">
        <w:rPr>
          <w:szCs w:val="22"/>
        </w:rPr>
        <w:t xml:space="preserve"> would give the ARPC a more stable funding base as it would overcome the cyclical nature of insurance premiums and make ARPC’s funding smoother</w:t>
      </w:r>
      <w:r>
        <w:rPr>
          <w:szCs w:val="22"/>
        </w:rPr>
        <w:t xml:space="preserve">.  </w:t>
      </w:r>
    </w:p>
    <w:p w14:paraId="6B93E3B4" w14:textId="77777777" w:rsidR="000C5EE4" w:rsidRDefault="00472B8A" w:rsidP="000C5EE4">
      <w:pPr>
        <w:jc w:val="left"/>
        <w:rPr>
          <w:szCs w:val="22"/>
        </w:rPr>
        <w:sectPr w:rsidR="000C5EE4" w:rsidSect="000C5EE4">
          <w:type w:val="oddPage"/>
          <w:pgSz w:w="11906" w:h="16838" w:code="9"/>
          <w:pgMar w:top="1440" w:right="1440" w:bottom="1440" w:left="1440" w:header="709" w:footer="709" w:gutter="0"/>
          <w:cols w:space="708"/>
          <w:titlePg/>
          <w:docGrid w:linePitch="360"/>
        </w:sectPr>
      </w:pPr>
      <w:r>
        <w:rPr>
          <w:szCs w:val="22"/>
        </w:rPr>
        <w:t>Further consultation should be undertaken with insurers to assess the likely impact of such a change</w:t>
      </w:r>
      <w:r w:rsidR="00EB33ED">
        <w:rPr>
          <w:szCs w:val="22"/>
        </w:rPr>
        <w:t>,</w:t>
      </w:r>
      <w:r w:rsidR="0004400B">
        <w:rPr>
          <w:szCs w:val="22"/>
        </w:rPr>
        <w:t xml:space="preserve"> including compliance costs,</w:t>
      </w:r>
      <w:r>
        <w:rPr>
          <w:szCs w:val="22"/>
        </w:rPr>
        <w:t xml:space="preserve"> on their systems and processe</w:t>
      </w:r>
      <w:r w:rsidR="0004400B">
        <w:rPr>
          <w:szCs w:val="22"/>
        </w:rPr>
        <w:t>s, with a view to considering the adoption of this methodology at a later date.</w:t>
      </w:r>
      <w:bookmarkStart w:id="116" w:name="_Toc410229545"/>
      <w:bookmarkStart w:id="117" w:name="_Toc410302180"/>
    </w:p>
    <w:p w14:paraId="414CFB7B" w14:textId="77777777" w:rsidR="00C27291" w:rsidRPr="00562521" w:rsidRDefault="00C27291" w:rsidP="00951A43">
      <w:pPr>
        <w:pStyle w:val="Heading1"/>
        <w:rPr>
          <w:smallCaps w:val="0"/>
        </w:rPr>
      </w:pPr>
      <w:bookmarkStart w:id="118" w:name="_Toc437877564"/>
      <w:r w:rsidRPr="00562521">
        <w:t>Chapter 5:</w:t>
      </w:r>
      <w:r w:rsidR="00951A43">
        <w:t xml:space="preserve">  </w:t>
      </w:r>
      <w:r w:rsidRPr="00562521">
        <w:t>Clarifying the coverage of the scheme</w:t>
      </w:r>
      <w:bookmarkEnd w:id="116"/>
      <w:bookmarkEnd w:id="117"/>
      <w:bookmarkEnd w:id="118"/>
    </w:p>
    <w:p w14:paraId="41587427" w14:textId="77777777" w:rsidR="00D85D73" w:rsidRPr="00843660" w:rsidRDefault="00D85D73" w:rsidP="00843660">
      <w:pPr>
        <w:pStyle w:val="Heading2"/>
      </w:pPr>
      <w:bookmarkStart w:id="119" w:name="_Toc321133409"/>
      <w:bookmarkStart w:id="120" w:name="_Toc321134088"/>
      <w:bookmarkStart w:id="121" w:name="_Toc437877565"/>
      <w:r w:rsidRPr="00843660">
        <w:t>Mixed</w:t>
      </w:r>
      <w:r w:rsidR="008A07A0">
        <w:noBreakHyphen/>
      </w:r>
      <w:r w:rsidRPr="00843660">
        <w:t xml:space="preserve">use </w:t>
      </w:r>
      <w:r w:rsidR="00BB1A15" w:rsidRPr="00843660">
        <w:t xml:space="preserve">and </w:t>
      </w:r>
      <w:r w:rsidRPr="00843660">
        <w:t>high</w:t>
      </w:r>
      <w:r w:rsidR="008A07A0">
        <w:noBreakHyphen/>
      </w:r>
      <w:r w:rsidRPr="00843660">
        <w:t xml:space="preserve">rise </w:t>
      </w:r>
      <w:r w:rsidR="00BB1A15" w:rsidRPr="00843660">
        <w:t xml:space="preserve">residential </w:t>
      </w:r>
      <w:r w:rsidRPr="00843660">
        <w:t>building cover</w:t>
      </w:r>
      <w:bookmarkEnd w:id="119"/>
      <w:bookmarkEnd w:id="120"/>
      <w:bookmarkEnd w:id="121"/>
    </w:p>
    <w:p w14:paraId="796CD4CE" w14:textId="77777777" w:rsidR="00D85D73" w:rsidRPr="003F72EE" w:rsidRDefault="00D85D73" w:rsidP="00843660">
      <w:pPr>
        <w:pStyle w:val="Heading3"/>
      </w:pPr>
      <w:r w:rsidRPr="003F72EE">
        <w:t>Issue</w:t>
      </w:r>
    </w:p>
    <w:p w14:paraId="103C5839" w14:textId="77777777" w:rsidR="000C163E" w:rsidRDefault="00165841" w:rsidP="00082936">
      <w:pPr>
        <w:pStyle w:val="Bullet"/>
        <w:numPr>
          <w:ilvl w:val="0"/>
          <w:numId w:val="0"/>
        </w:numPr>
      </w:pPr>
      <w:proofErr w:type="gramStart"/>
      <w:r>
        <w:t xml:space="preserve">Whether the scheme should be extended to </w:t>
      </w:r>
      <w:r w:rsidR="000C163E">
        <w:t>cover ‘mixed use’ buildings and high value residential buildings.</w:t>
      </w:r>
      <w:proofErr w:type="gramEnd"/>
      <w:r w:rsidR="000C163E">
        <w:t xml:space="preserve"> </w:t>
      </w:r>
    </w:p>
    <w:p w14:paraId="0B138BF9" w14:textId="77777777" w:rsidR="00881085" w:rsidRDefault="00881085" w:rsidP="00881085">
      <w:pPr>
        <w:pStyle w:val="Heading3"/>
      </w:pPr>
      <w:r w:rsidRPr="00212F3A">
        <w:t>Recommendation</w:t>
      </w:r>
    </w:p>
    <w:p w14:paraId="3E2BF58B" w14:textId="77777777" w:rsidR="00092072" w:rsidRDefault="00092072" w:rsidP="00092072">
      <w:r>
        <w:rPr>
          <w:noProof/>
        </w:rPr>
        <mc:AlternateContent>
          <mc:Choice Requires="wps">
            <w:drawing>
              <wp:anchor distT="0" distB="0" distL="114300" distR="114300" simplePos="0" relativeHeight="251658247" behindDoc="0" locked="0" layoutInCell="1" allowOverlap="1" wp14:anchorId="709B50B2" wp14:editId="713B832A">
                <wp:simplePos x="0" y="0"/>
                <wp:positionH relativeFrom="column">
                  <wp:align>center</wp:align>
                </wp:positionH>
                <wp:positionV relativeFrom="paragraph">
                  <wp:posOffset>0</wp:posOffset>
                </wp:positionV>
                <wp:extent cx="5172075" cy="1403985"/>
                <wp:effectExtent l="0" t="0" r="2857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5F802BA" w14:textId="77777777" w:rsidR="00685DAA" w:rsidRDefault="00685DAA" w:rsidP="00092072">
                            <w:r w:rsidRPr="0004480C">
                              <w:rPr>
                                <w:i/>
                              </w:rPr>
                              <w:t xml:space="preserve">Recommendation 9: </w:t>
                            </w:r>
                            <w:r w:rsidRPr="0004480C">
                              <w:t xml:space="preserve">That the scope of the scheme </w:t>
                            </w:r>
                            <w:proofErr w:type="gramStart"/>
                            <w:r w:rsidRPr="0004480C">
                              <w:t>be</w:t>
                            </w:r>
                            <w:proofErr w:type="gramEnd"/>
                            <w:r w:rsidRPr="0004480C">
                              <w:t xml:space="preserve"> extended so that it applies to:</w:t>
                            </w:r>
                          </w:p>
                          <w:p w14:paraId="70EB16CD" w14:textId="768D97AC" w:rsidR="00685DAA" w:rsidRPr="0004480C" w:rsidRDefault="00685DAA" w:rsidP="00092072">
                            <w:pPr>
                              <w:pStyle w:val="ListParagraph"/>
                              <w:numPr>
                                <w:ilvl w:val="0"/>
                                <w:numId w:val="42"/>
                              </w:numPr>
                            </w:pPr>
                            <w:r w:rsidRPr="0004480C">
                              <w:t xml:space="preserve">buildings in </w:t>
                            </w:r>
                            <w:proofErr w:type="spellStart"/>
                            <w:r w:rsidRPr="0004480C">
                              <w:t>which</w:t>
                            </w:r>
                            <w:proofErr w:type="spellEnd"/>
                            <w:r w:rsidRPr="0004480C">
                              <w:t xml:space="preserve"> at least 20 per cent of </w:t>
                            </w:r>
                            <w:proofErr w:type="spellStart"/>
                            <w:r w:rsidRPr="0004480C">
                              <w:t>floor</w:t>
                            </w:r>
                            <w:proofErr w:type="spellEnd"/>
                            <w:r w:rsidRPr="0004480C">
                              <w:t xml:space="preserve"> </w:t>
                            </w:r>
                            <w:proofErr w:type="spellStart"/>
                            <w:r w:rsidRPr="0004480C">
                              <w:t>space</w:t>
                            </w:r>
                            <w:proofErr w:type="spellEnd"/>
                            <w:r w:rsidRPr="0004480C">
                              <w:t xml:space="preserve"> </w:t>
                            </w:r>
                            <w:proofErr w:type="spellStart"/>
                            <w:r w:rsidRPr="0004480C">
                              <w:t>is</w:t>
                            </w:r>
                            <w:proofErr w:type="spellEnd"/>
                            <w:r w:rsidRPr="0004480C">
                              <w:t xml:space="preserve"> </w:t>
                            </w:r>
                            <w:proofErr w:type="spellStart"/>
                            <w:r w:rsidRPr="0004480C">
                              <w:t>used</w:t>
                            </w:r>
                            <w:proofErr w:type="spellEnd"/>
                            <w:r w:rsidRPr="0004480C">
                              <w:t xml:space="preserve"> for commercial </w:t>
                            </w:r>
                            <w:proofErr w:type="spellStart"/>
                            <w:r w:rsidRPr="0004480C">
                              <w:t>purposes</w:t>
                            </w:r>
                            <w:proofErr w:type="spellEnd"/>
                            <w:r w:rsidRPr="0004480C">
                              <w:t>; and</w:t>
                            </w:r>
                          </w:p>
                          <w:p w14:paraId="142A692F" w14:textId="5A249FAE" w:rsidR="00685DAA" w:rsidRDefault="00685DAA" w:rsidP="00092072">
                            <w:pPr>
                              <w:pStyle w:val="ListParagraph"/>
                              <w:numPr>
                                <w:ilvl w:val="0"/>
                                <w:numId w:val="42"/>
                              </w:numPr>
                            </w:pPr>
                            <w:r w:rsidRPr="0004480C">
                              <w:t xml:space="preserve">buildings </w:t>
                            </w:r>
                            <w:proofErr w:type="spellStart"/>
                            <w:r w:rsidRPr="0004480C">
                              <w:t>with</w:t>
                            </w:r>
                            <w:proofErr w:type="spellEnd"/>
                            <w:r w:rsidRPr="0004480C">
                              <w:t xml:space="preserve"> a </w:t>
                            </w:r>
                            <w:proofErr w:type="spellStart"/>
                            <w:r w:rsidRPr="0004480C">
                              <w:t>sum</w:t>
                            </w:r>
                            <w:r w:rsidRPr="0004480C">
                              <w:noBreakHyphen/>
                              <w:t>insured</w:t>
                            </w:r>
                            <w:proofErr w:type="spellEnd"/>
                            <w:r w:rsidRPr="0004480C">
                              <w:t xml:space="preserve"> value of at least $50 million, </w:t>
                            </w:r>
                            <w:proofErr w:type="spellStart"/>
                            <w:r w:rsidRPr="0004480C">
                              <w:t>whether</w:t>
                            </w:r>
                            <w:proofErr w:type="spellEnd"/>
                            <w:r w:rsidRPr="0004480C">
                              <w:t xml:space="preserve"> </w:t>
                            </w:r>
                            <w:proofErr w:type="spellStart"/>
                            <w:r w:rsidRPr="0004480C">
                              <w:t>used</w:t>
                            </w:r>
                            <w:proofErr w:type="spellEnd"/>
                            <w:r w:rsidRPr="0004480C">
                              <w:t xml:space="preserve"> for commercial or </w:t>
                            </w:r>
                            <w:proofErr w:type="spellStart"/>
                            <w:r w:rsidRPr="0004480C">
                              <w:t>other</w:t>
                            </w:r>
                            <w:proofErr w:type="spellEnd"/>
                            <w:r w:rsidRPr="0004480C">
                              <w:t xml:space="preserve"> </w:t>
                            </w:r>
                            <w:proofErr w:type="spellStart"/>
                            <w:r w:rsidRPr="0004480C">
                              <w:t>purposes</w:t>
                            </w:r>
                            <w:proofErr w:type="spellEnd"/>
                            <w:r w:rsidRPr="0004480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0;margin-top:0;width:407.25pt;height:110.55pt;z-index:251658247;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" fillcolor="white [3201]" strokecolor="#4f81bd [3204]" strokeweight="2pt">
                <v:textbox style="mso-fit-shape-to-text:t">
                  <w:txbxContent>
                    <w:p w14:paraId="65F802BA" w14:textId="77777777" w:rsidR="00685DAA" w:rsidRDefault="00685DAA" w:rsidP="00092072">
                      <w:r w:rsidRPr="0004480C">
                        <w:rPr>
                          <w:i/>
                        </w:rPr>
                        <w:t xml:space="preserve">Recommendation 9: </w:t>
                      </w:r>
                      <w:r w:rsidRPr="0004480C">
                        <w:t xml:space="preserve">That the scope of the scheme </w:t>
                      </w:r>
                      <w:proofErr w:type="gramStart"/>
                      <w:r w:rsidRPr="0004480C">
                        <w:t>be</w:t>
                      </w:r>
                      <w:proofErr w:type="gramEnd"/>
                      <w:r w:rsidRPr="0004480C">
                        <w:t xml:space="preserve"> extended so that it applies to:</w:t>
                      </w:r>
                    </w:p>
                    <w:p w14:paraId="70EB16CD" w14:textId="768D97AC" w:rsidR="00685DAA" w:rsidRPr="0004480C" w:rsidRDefault="00685DAA" w:rsidP="00092072">
                      <w:pPr>
                        <w:pStyle w:val="ListParagraph"/>
                        <w:numPr>
                          <w:ilvl w:val="0"/>
                          <w:numId w:val="42"/>
                        </w:numPr>
                      </w:pPr>
                      <w:r w:rsidRPr="0004480C">
                        <w:t xml:space="preserve">buildings in </w:t>
                      </w:r>
                      <w:proofErr w:type="spellStart"/>
                      <w:r w:rsidRPr="0004480C">
                        <w:t>which</w:t>
                      </w:r>
                      <w:proofErr w:type="spellEnd"/>
                      <w:r w:rsidRPr="0004480C">
                        <w:t xml:space="preserve"> at least 20 per cent of </w:t>
                      </w:r>
                      <w:proofErr w:type="spellStart"/>
                      <w:r w:rsidRPr="0004480C">
                        <w:t>floor</w:t>
                      </w:r>
                      <w:proofErr w:type="spellEnd"/>
                      <w:r w:rsidRPr="0004480C">
                        <w:t xml:space="preserve"> </w:t>
                      </w:r>
                      <w:proofErr w:type="spellStart"/>
                      <w:r w:rsidRPr="0004480C">
                        <w:t>space</w:t>
                      </w:r>
                      <w:proofErr w:type="spellEnd"/>
                      <w:r w:rsidRPr="0004480C">
                        <w:t xml:space="preserve"> </w:t>
                      </w:r>
                      <w:proofErr w:type="spellStart"/>
                      <w:r w:rsidRPr="0004480C">
                        <w:t>is</w:t>
                      </w:r>
                      <w:proofErr w:type="spellEnd"/>
                      <w:r w:rsidRPr="0004480C">
                        <w:t xml:space="preserve"> </w:t>
                      </w:r>
                      <w:proofErr w:type="spellStart"/>
                      <w:r w:rsidRPr="0004480C">
                        <w:t>used</w:t>
                      </w:r>
                      <w:proofErr w:type="spellEnd"/>
                      <w:r w:rsidRPr="0004480C">
                        <w:t xml:space="preserve"> for commercial </w:t>
                      </w:r>
                      <w:proofErr w:type="spellStart"/>
                      <w:r w:rsidRPr="0004480C">
                        <w:t>purposes</w:t>
                      </w:r>
                      <w:proofErr w:type="spellEnd"/>
                      <w:r w:rsidRPr="0004480C">
                        <w:t>; and</w:t>
                      </w:r>
                    </w:p>
                    <w:p w14:paraId="142A692F" w14:textId="5A249FAE" w:rsidR="00685DAA" w:rsidRDefault="00685DAA" w:rsidP="00092072">
                      <w:pPr>
                        <w:pStyle w:val="ListParagraph"/>
                        <w:numPr>
                          <w:ilvl w:val="0"/>
                          <w:numId w:val="42"/>
                        </w:numPr>
                      </w:pPr>
                      <w:r w:rsidRPr="0004480C">
                        <w:t xml:space="preserve">buildings </w:t>
                      </w:r>
                      <w:proofErr w:type="spellStart"/>
                      <w:r w:rsidRPr="0004480C">
                        <w:t>with</w:t>
                      </w:r>
                      <w:proofErr w:type="spellEnd"/>
                      <w:r w:rsidRPr="0004480C">
                        <w:t xml:space="preserve"> a </w:t>
                      </w:r>
                      <w:proofErr w:type="spellStart"/>
                      <w:r w:rsidRPr="0004480C">
                        <w:t>sum</w:t>
                      </w:r>
                      <w:r w:rsidRPr="0004480C">
                        <w:noBreakHyphen/>
                        <w:t>insured</w:t>
                      </w:r>
                      <w:proofErr w:type="spellEnd"/>
                      <w:r w:rsidRPr="0004480C">
                        <w:t xml:space="preserve"> value of at least $50 million, </w:t>
                      </w:r>
                      <w:proofErr w:type="spellStart"/>
                      <w:r w:rsidRPr="0004480C">
                        <w:t>whether</w:t>
                      </w:r>
                      <w:proofErr w:type="spellEnd"/>
                      <w:r w:rsidRPr="0004480C">
                        <w:t xml:space="preserve"> </w:t>
                      </w:r>
                      <w:proofErr w:type="spellStart"/>
                      <w:r w:rsidRPr="0004480C">
                        <w:t>used</w:t>
                      </w:r>
                      <w:proofErr w:type="spellEnd"/>
                      <w:r w:rsidRPr="0004480C">
                        <w:t xml:space="preserve"> for commercial or </w:t>
                      </w:r>
                      <w:proofErr w:type="spellStart"/>
                      <w:r w:rsidRPr="0004480C">
                        <w:t>other</w:t>
                      </w:r>
                      <w:proofErr w:type="spellEnd"/>
                      <w:r w:rsidRPr="0004480C">
                        <w:t xml:space="preserve"> </w:t>
                      </w:r>
                      <w:proofErr w:type="spellStart"/>
                      <w:r w:rsidRPr="0004480C">
                        <w:t>purposes</w:t>
                      </w:r>
                      <w:proofErr w:type="spellEnd"/>
                      <w:r w:rsidRPr="0004480C">
                        <w:t>.</w:t>
                      </w:r>
                    </w:p>
                  </w:txbxContent>
                </v:textbox>
              </v:shape>
            </w:pict>
          </mc:Fallback>
        </mc:AlternateContent>
      </w:r>
    </w:p>
    <w:p w14:paraId="0442FDA5" w14:textId="1D9D7F5E" w:rsidR="00092072" w:rsidRDefault="00092072" w:rsidP="00092072"/>
    <w:p w14:paraId="40A4A4BB" w14:textId="77777777" w:rsidR="00092072" w:rsidRDefault="00092072" w:rsidP="00092072"/>
    <w:p w14:paraId="0247B943" w14:textId="77777777" w:rsidR="00092072" w:rsidRDefault="00092072" w:rsidP="00092072"/>
    <w:p w14:paraId="044B0835" w14:textId="77777777" w:rsidR="00092072" w:rsidRDefault="00092072" w:rsidP="00092072"/>
    <w:p w14:paraId="4EEA1038" w14:textId="77777777" w:rsidR="003A55C8" w:rsidRPr="003F72EE" w:rsidRDefault="003A55C8" w:rsidP="003A55C8">
      <w:pPr>
        <w:pStyle w:val="Heading3"/>
      </w:pPr>
      <w:r w:rsidRPr="003F72EE">
        <w:t>Background</w:t>
      </w:r>
    </w:p>
    <w:p w14:paraId="78049334" w14:textId="77777777" w:rsidR="000C163E" w:rsidRDefault="000C163E" w:rsidP="000C163E">
      <w:pPr>
        <w:pStyle w:val="Bullet"/>
        <w:numPr>
          <w:ilvl w:val="0"/>
          <w:numId w:val="0"/>
        </w:numPr>
      </w:pPr>
      <w:r>
        <w:t>The scheme set up by the Act was intended to cover commercial property. The rationale for confining the scheme to commercial property is set out in the Explanatory Statement to the Terrorism Insurance Regulations:</w:t>
      </w:r>
    </w:p>
    <w:p w14:paraId="62903C22" w14:textId="77777777" w:rsidR="000C163E" w:rsidRDefault="000C163E" w:rsidP="000C163E">
      <w:pPr>
        <w:pStyle w:val="Bullet"/>
        <w:numPr>
          <w:ilvl w:val="0"/>
          <w:numId w:val="0"/>
        </w:numPr>
        <w:ind w:left="397"/>
      </w:pPr>
      <w:r w:rsidRPr="000B6A65">
        <w:t xml:space="preserve">An assessment of the Australian insurance market by Trowbridge Consulting, assisted by </w:t>
      </w:r>
      <w:proofErr w:type="spellStart"/>
      <w:r w:rsidRPr="000B6A65">
        <w:t>Chiltington</w:t>
      </w:r>
      <w:proofErr w:type="spellEnd"/>
      <w:r>
        <w:t> </w:t>
      </w:r>
      <w:r w:rsidRPr="000B6A65">
        <w:t>International, in June and July 2002 found that virtually no terrorism</w:t>
      </w:r>
      <w:r>
        <w:noBreakHyphen/>
      </w:r>
      <w:r w:rsidRPr="000B6A65">
        <w:t>related insurance cover is available for commercial property and business interruption. The Government therefore decided that its replacement terrorism insurance scheme should cover commercial property.</w:t>
      </w:r>
      <w:r>
        <w:rPr>
          <w:rStyle w:val="FootnoteReference"/>
        </w:rPr>
        <w:footnoteReference w:id="12"/>
      </w:r>
      <w:r w:rsidRPr="000B6A65">
        <w:t xml:space="preserve"> </w:t>
      </w:r>
    </w:p>
    <w:p w14:paraId="525FC323" w14:textId="77777777" w:rsidR="000C163E" w:rsidRDefault="000C163E" w:rsidP="000C163E">
      <w:r>
        <w:t>This decision was given effect by excluding policies that cover losses to property that is used wholly or predominantly for personal, domestic or household purposes by the insured.</w:t>
      </w:r>
      <w:r>
        <w:rPr>
          <w:rStyle w:val="FootnoteReference"/>
        </w:rPr>
        <w:footnoteReference w:id="13"/>
      </w:r>
    </w:p>
    <w:p w14:paraId="3ECDE6F0" w14:textId="77777777" w:rsidR="000C163E" w:rsidRDefault="000C163E" w:rsidP="000C163E">
      <w:pPr>
        <w:pStyle w:val="Bullet"/>
        <w:numPr>
          <w:ilvl w:val="0"/>
          <w:numId w:val="0"/>
        </w:numPr>
      </w:pPr>
      <w:r>
        <w:t>At each review of the Act, the scope of the scheme has been reviewed. One consistent call from stakeholders has been that consideration should be given to extending the scheme to certain classes of residential buildings. Most recently, the question was considered in the 2012 Review, which declined to recommend that the scope of the scheme be extended. It did, however, recommend that the issue be re</w:t>
      </w:r>
      <w:r>
        <w:noBreakHyphen/>
        <w:t xml:space="preserve">examined at a later stage. </w:t>
      </w:r>
    </w:p>
    <w:p w14:paraId="7C215B20" w14:textId="77777777" w:rsidR="000C163E" w:rsidRDefault="000C163E" w:rsidP="000C163E">
      <w:pPr>
        <w:pStyle w:val="Bullet"/>
        <w:numPr>
          <w:ilvl w:val="0"/>
          <w:numId w:val="0"/>
        </w:numPr>
      </w:pPr>
      <w:r>
        <w:t>Past reviews have come to the conclusion that the scheme should not be extended to any class of predominantly residential building primarily because there was no evidence to suggest that the lack of coverage for that kind of property was not having an acute economic effect in the same way the lack of coverage for commercial property had in the lead-up to the establishment of the scheme. Against a background where the scheme was established to address that specific economic effect and was intended to exist only for as long as needed, the conclusion in past reviews has been not to extend the scheme. That view is re-examined in this review.</w:t>
      </w:r>
    </w:p>
    <w:p w14:paraId="05656790" w14:textId="77777777" w:rsidR="00881085" w:rsidRDefault="00881085" w:rsidP="00881085">
      <w:pPr>
        <w:pStyle w:val="Heading3"/>
      </w:pPr>
      <w:r>
        <w:t>Assessment</w:t>
      </w:r>
    </w:p>
    <w:p w14:paraId="1E42B2A4" w14:textId="16B071C8" w:rsidR="0090272E" w:rsidRDefault="00033222" w:rsidP="00082936">
      <w:pPr>
        <w:pStyle w:val="Bullet"/>
        <w:numPr>
          <w:ilvl w:val="0"/>
          <w:numId w:val="0"/>
        </w:numPr>
      </w:pPr>
      <w:r>
        <w:t>This review has concluded that, after more than a decade in operation, the scheme should continue for the foreseeable future</w:t>
      </w:r>
      <w:r w:rsidR="00ED49CC">
        <w:t xml:space="preserve">. </w:t>
      </w:r>
      <w:r>
        <w:t xml:space="preserve">As the need for the scheme persists, arguments that appeal to its temporary nature become less convincing, and the need to deal with potentially inequitable results if a major terrorist act were to occur </w:t>
      </w:r>
      <w:r w:rsidR="00ED49CC">
        <w:t xml:space="preserve">becomes </w:t>
      </w:r>
      <w:r>
        <w:t xml:space="preserve">more </w:t>
      </w:r>
      <w:r w:rsidR="00ED49CC">
        <w:t>pressing</w:t>
      </w:r>
      <w:r>
        <w:t>.</w:t>
      </w:r>
    </w:p>
    <w:p w14:paraId="7FCC014F" w14:textId="2D87C5A6" w:rsidR="006B24E3" w:rsidRDefault="000C163E" w:rsidP="00602545">
      <w:r>
        <w:t xml:space="preserve"> </w:t>
      </w:r>
      <w:r w:rsidR="006B24E3">
        <w:t xml:space="preserve">A study by </w:t>
      </w:r>
      <w:proofErr w:type="spellStart"/>
      <w:r w:rsidR="006B24E3">
        <w:t>Finity</w:t>
      </w:r>
      <w:proofErr w:type="spellEnd"/>
      <w:r w:rsidR="006B24E3">
        <w:t xml:space="preserve"> Consulting, undertaken for the purposes of this review</w:t>
      </w:r>
      <w:r w:rsidR="00602545">
        <w:t xml:space="preserve"> (Annex B)</w:t>
      </w:r>
      <w:r w:rsidR="006B24E3">
        <w:t xml:space="preserve">, has </w:t>
      </w:r>
      <w:r w:rsidR="001B65DB">
        <w:t xml:space="preserve">indicated </w:t>
      </w:r>
      <w:r w:rsidR="006B24E3">
        <w:t xml:space="preserve">that there </w:t>
      </w:r>
      <w:r w:rsidR="001B65DB">
        <w:t xml:space="preserve">are still </w:t>
      </w:r>
      <w:r w:rsidR="006B24E3">
        <w:t xml:space="preserve">classes of buildings </w:t>
      </w:r>
      <w:r w:rsidR="001B65DB">
        <w:t>for</w:t>
      </w:r>
      <w:r w:rsidR="006B24E3">
        <w:t xml:space="preserve"> which terrorism cover is unavailable in the private market</w:t>
      </w:r>
      <w:r w:rsidR="00465619">
        <w:t xml:space="preserve"> (and currently unavailable under the terrorism insurance scheme)</w:t>
      </w:r>
      <w:r w:rsidR="006B24E3">
        <w:t xml:space="preserve">. These are buildings with </w:t>
      </w:r>
      <w:r w:rsidR="00465619">
        <w:t>between 20</w:t>
      </w:r>
      <w:r w:rsidR="009F7DAD">
        <w:t xml:space="preserve"> </w:t>
      </w:r>
      <w:r w:rsidR="00843828">
        <w:t>per cent and</w:t>
      </w:r>
      <w:r w:rsidR="00465619">
        <w:t xml:space="preserve"> 50</w:t>
      </w:r>
      <w:r w:rsidR="009F7DAD">
        <w:t xml:space="preserve"> per cent</w:t>
      </w:r>
      <w:r w:rsidR="00465619">
        <w:t xml:space="preserve"> commercial </w:t>
      </w:r>
      <w:r w:rsidR="00843828">
        <w:t>floor space</w:t>
      </w:r>
      <w:r w:rsidR="006B24E3">
        <w:t>, and buildings with a sum insured value of at least $50 million</w:t>
      </w:r>
      <w:r w:rsidR="00465619">
        <w:t>, whether used for commercial or other purposes</w:t>
      </w:r>
      <w:r w:rsidR="008A07A0">
        <w:t xml:space="preserve">. </w:t>
      </w:r>
    </w:p>
    <w:p w14:paraId="505B3BB2" w14:textId="327BDFE3" w:rsidR="00033222" w:rsidRDefault="00033222" w:rsidP="00082936">
      <w:pPr>
        <w:pStyle w:val="Bullet"/>
        <w:numPr>
          <w:ilvl w:val="0"/>
          <w:numId w:val="0"/>
        </w:numPr>
      </w:pPr>
      <w:r>
        <w:t xml:space="preserve">If a major </w:t>
      </w:r>
      <w:r w:rsidR="006B24E3">
        <w:t xml:space="preserve">terrorist </w:t>
      </w:r>
      <w:r>
        <w:t>event were to occur, the result could be that buildings in close proximity were treated differently under the Act due to variations in the nature of the building</w:t>
      </w:r>
      <w:r w:rsidR="001B65DB">
        <w:t>s’</w:t>
      </w:r>
      <w:r>
        <w:t xml:space="preserve"> use</w:t>
      </w:r>
      <w:r w:rsidR="008A07A0">
        <w:t xml:space="preserve">. </w:t>
      </w:r>
      <w:r>
        <w:t xml:space="preserve">The result would be that owners of some buildings would be dealt with in an </w:t>
      </w:r>
      <w:r w:rsidR="003B5034">
        <w:t xml:space="preserve">orderly </w:t>
      </w:r>
      <w:r>
        <w:t>fashion under the scheme, while other</w:t>
      </w:r>
      <w:r w:rsidR="001B65DB">
        <w:t xml:space="preserve">s </w:t>
      </w:r>
      <w:r>
        <w:t xml:space="preserve">would be left to appeal to </w:t>
      </w:r>
      <w:r w:rsidR="001B65DB">
        <w:t>g</w:t>
      </w:r>
      <w:r>
        <w:t xml:space="preserve">overnments for assistance in a less structured way. </w:t>
      </w:r>
    </w:p>
    <w:p w14:paraId="5C341EE4" w14:textId="3DF4AAF1" w:rsidR="000E2AF6" w:rsidRDefault="00B97B26" w:rsidP="00082936">
      <w:pPr>
        <w:pStyle w:val="Bullet"/>
        <w:numPr>
          <w:ilvl w:val="0"/>
          <w:numId w:val="0"/>
        </w:numPr>
      </w:pPr>
      <w:r>
        <w:t>The g</w:t>
      </w:r>
      <w:r w:rsidR="00ED49CC">
        <w:t>overnment currently recovers no compensation for the risk that it may be called upon to cover</w:t>
      </w:r>
      <w:r w:rsidR="000E2AF6">
        <w:t xml:space="preserve"> those </w:t>
      </w:r>
      <w:r w:rsidR="00ED49CC">
        <w:t>outside</w:t>
      </w:r>
      <w:r w:rsidR="000E2AF6">
        <w:t xml:space="preserve"> the scheme. Expanding the scheme enables the government and tax payers to be suitably compensated for bearing that risk</w:t>
      </w:r>
      <w:r w:rsidR="00ED49CC">
        <w:t xml:space="preserve">. </w:t>
      </w:r>
      <w:r w:rsidR="000E2AF6">
        <w:t xml:space="preserve"> </w:t>
      </w:r>
    </w:p>
    <w:p w14:paraId="5AE47654" w14:textId="23711E98" w:rsidR="00D53EA2" w:rsidRDefault="00D53EA2" w:rsidP="00D53EA2">
      <w:pPr>
        <w:pStyle w:val="Bullet"/>
        <w:numPr>
          <w:ilvl w:val="0"/>
          <w:numId w:val="0"/>
        </w:numPr>
      </w:pPr>
      <w:r>
        <w:t xml:space="preserve">A large majority of respondents to the market soundings exercise conducted by </w:t>
      </w:r>
      <w:proofErr w:type="spellStart"/>
      <w:r>
        <w:t>Pottinger</w:t>
      </w:r>
      <w:proofErr w:type="spellEnd"/>
      <w:r>
        <w:t xml:space="preserve"> recommended broader coverage of predominantly residential mixed</w:t>
      </w:r>
      <w:r>
        <w:noBreakHyphen/>
        <w:t xml:space="preserve">use buildings by the terrorism insurance scheme. Respondents indicated that they considered the exclusion of these buildings from the scheme to be inequitable. The view was expressed that, should a terrorist attack cause material damage to a building that is </w:t>
      </w:r>
      <w:r w:rsidR="00B97B26">
        <w:t>not covered by the scheme, the g</w:t>
      </w:r>
      <w:r>
        <w:t>overnment would be likely to come under pressure to provide financial support to the affected parties. It was thought that including such buildings in the scheme would</w:t>
      </w:r>
      <w:r w:rsidR="00B97B26">
        <w:t xml:space="preserve"> allow the g</w:t>
      </w:r>
      <w:r>
        <w:t>overnment, through the ARPC, to collect insurance premiums in advance of such an event.</w:t>
      </w:r>
    </w:p>
    <w:p w14:paraId="7D402CAD" w14:textId="58A3150A" w:rsidR="00165841" w:rsidRDefault="00165841" w:rsidP="00834411">
      <w:proofErr w:type="spellStart"/>
      <w:r>
        <w:t>Finity’s</w:t>
      </w:r>
      <w:proofErr w:type="spellEnd"/>
      <w:r>
        <w:t xml:space="preserve"> 2014 analysis of the impact of including mixed</w:t>
      </w:r>
      <w:r>
        <w:noBreakHyphen/>
        <w:t>use and high</w:t>
      </w:r>
      <w:r>
        <w:noBreakHyphen/>
        <w:t xml:space="preserve">rise residential buildings in the scheme focused on buildings located in Sydney and Melbourne Tier </w:t>
      </w:r>
      <w:proofErr w:type="gramStart"/>
      <w:r>
        <w:t>A</w:t>
      </w:r>
      <w:proofErr w:type="gramEnd"/>
      <w:r>
        <w:t xml:space="preserve"> postcodes. </w:t>
      </w:r>
      <w:proofErr w:type="spellStart"/>
      <w:r>
        <w:t>Finity</w:t>
      </w:r>
      <w:proofErr w:type="spellEnd"/>
      <w:r>
        <w:t xml:space="preserve"> found that including existing mixed</w:t>
      </w:r>
      <w:r>
        <w:noBreakHyphen/>
        <w:t>use and high</w:t>
      </w:r>
      <w:r>
        <w:noBreakHyphen/>
        <w:t>rise residential buildings in these locations in the scheme would increase the total sum insured by the ARPC in those locations by approximately 1.2 per cent and 9.7 per cent, respectively.</w:t>
      </w:r>
      <w:r w:rsidR="00834411">
        <w:t xml:space="preserve"> </w:t>
      </w:r>
      <w:proofErr w:type="spellStart"/>
      <w:r>
        <w:t>Finity</w:t>
      </w:r>
      <w:proofErr w:type="spellEnd"/>
      <w:r>
        <w:t xml:space="preserve"> examined the impact on the premiums received by the ARPC of including mixed</w:t>
      </w:r>
      <w:r>
        <w:noBreakHyphen/>
        <w:t>use and</w:t>
      </w:r>
      <w:r w:rsidR="00834411">
        <w:t xml:space="preserve"> </w:t>
      </w:r>
      <w:r>
        <w:t>high</w:t>
      </w:r>
      <w:r>
        <w:noBreakHyphen/>
        <w:t xml:space="preserve">rise residential buildings in the scheme. It was found that, across all </w:t>
      </w:r>
      <w:proofErr w:type="gramStart"/>
      <w:r>
        <w:t>Tier</w:t>
      </w:r>
      <w:proofErr w:type="gramEnd"/>
      <w:r>
        <w:t xml:space="preserve"> A postcodes in Australia, including existing mixed</w:t>
      </w:r>
      <w:r>
        <w:noBreakHyphen/>
        <w:t>use buildings would increase premium income by between $100,000 and $200,000 per annum, while including existing high</w:t>
      </w:r>
      <w:r>
        <w:noBreakHyphen/>
        <w:t>rise residential buildings would increase premium income by between $700,000 and $1.4 million per annum.</w:t>
      </w:r>
    </w:p>
    <w:p w14:paraId="21FEE3CF" w14:textId="28D8DDDD" w:rsidR="00165841" w:rsidRDefault="00165841" w:rsidP="00165841">
      <w:pPr>
        <w:spacing w:after="200" w:line="276" w:lineRule="auto"/>
      </w:pPr>
      <w:proofErr w:type="spellStart"/>
      <w:r>
        <w:t>Finity</w:t>
      </w:r>
      <w:proofErr w:type="spellEnd"/>
      <w:r>
        <w:t xml:space="preserve"> also concluded that, while including mixed</w:t>
      </w:r>
      <w:r>
        <w:noBreakHyphen/>
        <w:t>use buildings in the scheme woul</w:t>
      </w:r>
      <w:r w:rsidR="00B97B26">
        <w:t>d not significantly change the g</w:t>
      </w:r>
      <w:r>
        <w:t>overnment’s exposure, the inclusion of high</w:t>
      </w:r>
      <w:r>
        <w:noBreakHyphen/>
        <w:t>rise residential building</w:t>
      </w:r>
      <w:r w:rsidR="00B97B26">
        <w:t>s would generally increase the g</w:t>
      </w:r>
      <w:r>
        <w:t>overnment’s exposure; for some key risk locations, including high</w:t>
      </w:r>
      <w:r>
        <w:noBreakHyphen/>
        <w:t>rise residential buildings wo</w:t>
      </w:r>
      <w:r w:rsidR="00B97B26">
        <w:t>uld significantly increase the g</w:t>
      </w:r>
      <w:r>
        <w:t xml:space="preserve">overnment’s exposure to losses from a declared terrorist incident. </w:t>
      </w:r>
    </w:p>
    <w:p w14:paraId="39AF6DDE" w14:textId="1D8EBCEB" w:rsidR="00D404B2" w:rsidRDefault="00D404B2" w:rsidP="00082936">
      <w:pPr>
        <w:pStyle w:val="Bullet"/>
        <w:numPr>
          <w:ilvl w:val="0"/>
          <w:numId w:val="0"/>
        </w:numPr>
      </w:pPr>
      <w:r>
        <w:t xml:space="preserve">This review </w:t>
      </w:r>
      <w:r w:rsidR="009F472C">
        <w:t xml:space="preserve">recommends </w:t>
      </w:r>
      <w:r>
        <w:t xml:space="preserve">that the scheme be extended to cover buildings </w:t>
      </w:r>
      <w:r w:rsidR="006B24E3">
        <w:t>of those classes where terrorism insurance is unavailable in the private market.</w:t>
      </w:r>
    </w:p>
    <w:p w14:paraId="36D8333D" w14:textId="77777777" w:rsidR="00204B6E" w:rsidRPr="00843660" w:rsidRDefault="00204B6E" w:rsidP="00843660">
      <w:pPr>
        <w:pStyle w:val="Heading2"/>
      </w:pPr>
      <w:bookmarkStart w:id="122" w:name="_Toc437877566"/>
      <w:r w:rsidRPr="00843660">
        <w:t>Impact of exclusions in insurance policies</w:t>
      </w:r>
      <w:bookmarkEnd w:id="122"/>
    </w:p>
    <w:p w14:paraId="1F328DC5" w14:textId="77777777" w:rsidR="00204B6E" w:rsidRPr="003F72EE" w:rsidRDefault="00204B6E" w:rsidP="00843660">
      <w:pPr>
        <w:pStyle w:val="Heading3"/>
      </w:pPr>
      <w:r w:rsidRPr="003F72EE">
        <w:t>Issue</w:t>
      </w:r>
    </w:p>
    <w:p w14:paraId="7175738A" w14:textId="77777777" w:rsidR="00204B6E" w:rsidRDefault="00204B6E" w:rsidP="00082936">
      <w:pPr>
        <w:pStyle w:val="Bullet"/>
        <w:numPr>
          <w:ilvl w:val="0"/>
          <w:numId w:val="0"/>
        </w:numPr>
      </w:pPr>
      <w:r>
        <w:t>The</w:t>
      </w:r>
      <w:r w:rsidR="0090057E">
        <w:t xml:space="preserve">re is some uncertainty in the insurance and reinsurance markets as to the effect of some </w:t>
      </w:r>
      <w:proofErr w:type="gramStart"/>
      <w:r w:rsidR="0090057E">
        <w:t>exclusions</w:t>
      </w:r>
      <w:proofErr w:type="gramEnd"/>
      <w:r>
        <w:t xml:space="preserve"> in eligible insurance contracts</w:t>
      </w:r>
      <w:r w:rsidR="008A07A0">
        <w:t xml:space="preserve">. </w:t>
      </w:r>
      <w:r w:rsidR="0090057E">
        <w:t>For example, some stakeholders expressed the view that general exclusions in insurance contracts may, despite the application of the Terrorism Insurance Act, remain effective to exclude</w:t>
      </w:r>
      <w:r>
        <w:t xml:space="preserve"> </w:t>
      </w:r>
      <w:r w:rsidR="0090057E">
        <w:t xml:space="preserve">liability to pay claims. </w:t>
      </w:r>
    </w:p>
    <w:p w14:paraId="41DE5F15" w14:textId="77777777" w:rsidR="00204B6E" w:rsidRDefault="00204B6E" w:rsidP="00843660">
      <w:pPr>
        <w:pStyle w:val="Heading3"/>
      </w:pPr>
      <w:r w:rsidRPr="00212F3A">
        <w:t>Recommendation</w:t>
      </w:r>
    </w:p>
    <w:p w14:paraId="016F6A5D" w14:textId="77777777" w:rsidR="00ED49CC" w:rsidRDefault="00ED49CC" w:rsidP="00ED49CC">
      <w:r>
        <w:rPr>
          <w:noProof/>
        </w:rPr>
        <mc:AlternateContent>
          <mc:Choice Requires="wps">
            <w:drawing>
              <wp:anchor distT="0" distB="0" distL="114300" distR="114300" simplePos="0" relativeHeight="251658248" behindDoc="0" locked="0" layoutInCell="1" allowOverlap="1" wp14:anchorId="5F883754" wp14:editId="4A8F65EE">
                <wp:simplePos x="0" y="0"/>
                <wp:positionH relativeFrom="column">
                  <wp:align>center</wp:align>
                </wp:positionH>
                <wp:positionV relativeFrom="paragraph">
                  <wp:posOffset>0</wp:posOffset>
                </wp:positionV>
                <wp:extent cx="5143500" cy="8191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19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E67433" w14:textId="67C4D223" w:rsidR="00685DAA" w:rsidRPr="0004480C" w:rsidRDefault="00685DAA" w:rsidP="003740A7">
                            <w:r w:rsidRPr="0004480C">
                              <w:rPr>
                                <w:i/>
                              </w:rPr>
                              <w:t xml:space="preserve">Recommendation 10: </w:t>
                            </w:r>
                            <w:r w:rsidRPr="0004480C">
                              <w:t xml:space="preserve">That the application of the Act be clarified by amendments that remove doubt about </w:t>
                            </w:r>
                            <w:r>
                              <w:t>whether certain losses would be covered under the scheme;</w:t>
                            </w:r>
                            <w:r w:rsidRPr="003740A7">
                              <w:t xml:space="preserve"> </w:t>
                            </w:r>
                            <w:r>
                              <w:t>in particular, losses attributable to terrorist attacks that use chemical or biological means.</w:t>
                            </w:r>
                          </w:p>
                          <w:p w14:paraId="3E033270" w14:textId="7DF1E4C8" w:rsidR="00685DAA" w:rsidRPr="0004480C" w:rsidRDefault="00685DAA" w:rsidP="00ED49CC">
                            <w:r>
                              <w:t>.</w:t>
                            </w:r>
                          </w:p>
                          <w:p w14:paraId="357EE354" w14:textId="69BB677D" w:rsidR="00685DAA" w:rsidRDefault="00685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405pt;height:64.5pt;z-index:251658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" fillcolor="white [3201]" strokecolor="#4f81bd [3204]" strokeweight="2pt">
                <v:textbox>
                  <w:txbxContent>
                    <w:p w14:paraId="2DE67433" w14:textId="67C4D223" w:rsidR="00685DAA" w:rsidRPr="0004480C" w:rsidRDefault="00685DAA" w:rsidP="003740A7">
                      <w:r w:rsidRPr="0004480C">
                        <w:rPr>
                          <w:i/>
                        </w:rPr>
                        <w:t xml:space="preserve">Recommendation 10: </w:t>
                      </w:r>
                      <w:r w:rsidRPr="0004480C">
                        <w:t xml:space="preserve">That the application of the Act be clarified by amendments that remove doubt about </w:t>
                      </w:r>
                      <w:r>
                        <w:t>whether certain losses would be covered under the scheme;</w:t>
                      </w:r>
                      <w:r w:rsidRPr="003740A7">
                        <w:t xml:space="preserve"> </w:t>
                      </w:r>
                      <w:r>
                        <w:t>in particular, losses attributable to terrorist attacks that use chemical or biological means.</w:t>
                      </w:r>
                    </w:p>
                    <w:p w14:paraId="3E033270" w14:textId="7DF1E4C8" w:rsidR="00685DAA" w:rsidRPr="0004480C" w:rsidRDefault="00685DAA" w:rsidP="00ED49CC">
                      <w:r>
                        <w:t>.</w:t>
                      </w:r>
                    </w:p>
                    <w:p w14:paraId="357EE354" w14:textId="69BB677D" w:rsidR="00685DAA" w:rsidRDefault="00685DAA"/>
                  </w:txbxContent>
                </v:textbox>
              </v:shape>
            </w:pict>
          </mc:Fallback>
        </mc:AlternateContent>
      </w:r>
    </w:p>
    <w:p w14:paraId="53FCFAB4" w14:textId="572A00D9" w:rsidR="00ED49CC" w:rsidRDefault="00ED49CC" w:rsidP="00ED49CC"/>
    <w:p w14:paraId="5D0E2770" w14:textId="77777777" w:rsidR="00ED49CC" w:rsidRDefault="00ED49CC" w:rsidP="00ED49CC"/>
    <w:p w14:paraId="139851E0" w14:textId="77777777" w:rsidR="00204B6E" w:rsidRPr="003F72EE" w:rsidRDefault="00CC7C36" w:rsidP="00843660">
      <w:pPr>
        <w:pStyle w:val="Heading3"/>
      </w:pPr>
      <w:r>
        <w:t>Assessment</w:t>
      </w:r>
    </w:p>
    <w:p w14:paraId="1D4DD752" w14:textId="17CCABDC" w:rsidR="00204B6E" w:rsidRDefault="003D005C" w:rsidP="00082936">
      <w:r>
        <w:t>Once a terrorism incident has been declared, t</w:t>
      </w:r>
      <w:r w:rsidR="00204B6E">
        <w:t xml:space="preserve">he Act operates to </w:t>
      </w:r>
      <w:r>
        <w:t>render</w:t>
      </w:r>
      <w:r w:rsidR="00204B6E">
        <w:t xml:space="preserve"> terrorism exclusion</w:t>
      </w:r>
      <w:r>
        <w:t>s</w:t>
      </w:r>
      <w:r w:rsidR="00204B6E">
        <w:t xml:space="preserve"> in eligible insurance contract</w:t>
      </w:r>
      <w:r>
        <w:t xml:space="preserve">s of no effect. </w:t>
      </w:r>
      <w:r w:rsidR="00204B6E">
        <w:t xml:space="preserve">Section 8 of the Act defines a terrorism exclusion as: </w:t>
      </w:r>
      <w:r w:rsidR="00204B6E" w:rsidRPr="009D6D45">
        <w:t xml:space="preserve">an exclusion </w:t>
      </w:r>
      <w:r w:rsidR="00204B6E">
        <w:t xml:space="preserve">or exception for </w:t>
      </w:r>
      <w:r w:rsidR="00204B6E" w:rsidRPr="009D6D45">
        <w:t xml:space="preserve">acts that are described using the </w:t>
      </w:r>
      <w:bookmarkStart w:id="123" w:name="terrorism"/>
      <w:bookmarkStart w:id="124" w:name="terrorist"/>
      <w:bookmarkEnd w:id="123"/>
      <w:bookmarkEnd w:id="124"/>
      <w:r w:rsidR="00204B6E" w:rsidRPr="009D6D45">
        <w:t xml:space="preserve">word </w:t>
      </w:r>
      <w:r w:rsidR="008A07A0">
        <w:t>‘</w:t>
      </w:r>
      <w:r w:rsidR="00204B6E" w:rsidRPr="009D6D45">
        <w:t>terrorism</w:t>
      </w:r>
      <w:r w:rsidR="008A07A0">
        <w:t>’</w:t>
      </w:r>
      <w:r w:rsidR="00204B6E" w:rsidRPr="009D6D45">
        <w:t xml:space="preserve"> or </w:t>
      </w:r>
      <w:r w:rsidR="008A07A0">
        <w:t>‘</w:t>
      </w:r>
      <w:r w:rsidR="00204B6E" w:rsidRPr="009D6D45">
        <w:t>terrorist</w:t>
      </w:r>
      <w:r w:rsidR="008A07A0">
        <w:t>’</w:t>
      </w:r>
      <w:r w:rsidR="00204B6E" w:rsidRPr="009D6D45">
        <w:t xml:space="preserve"> or words of similar effect; or </w:t>
      </w:r>
      <w:r w:rsidR="00204B6E">
        <w:t xml:space="preserve">other acts </w:t>
      </w:r>
      <w:r w:rsidR="00204B6E" w:rsidRPr="009D6D45">
        <w:t xml:space="preserve">that are substantially similar to terrorist acts as defined in </w:t>
      </w:r>
      <w:r w:rsidR="00527014">
        <w:t>S</w:t>
      </w:r>
      <w:r w:rsidR="00204B6E">
        <w:t>ection</w:t>
      </w:r>
      <w:r w:rsidR="00527014">
        <w:t> </w:t>
      </w:r>
      <w:r w:rsidR="00204B6E">
        <w:t>5 of the Act.</w:t>
      </w:r>
      <w:r w:rsidR="00204B6E" w:rsidRPr="009D6D45">
        <w:t xml:space="preserve"> </w:t>
      </w:r>
    </w:p>
    <w:p w14:paraId="4E4A1E69" w14:textId="563BB937" w:rsidR="003D005C" w:rsidRDefault="00204B6E" w:rsidP="00082936">
      <w:r>
        <w:t xml:space="preserve">Many insurance contracts contain a range of exclusions (general exclusions) that exclude cover for losses from things </w:t>
      </w:r>
      <w:r w:rsidR="002A002D">
        <w:t>like</w:t>
      </w:r>
      <w:r>
        <w:t>: chemical, biological and nuclear explosion, pollution or contamination; the destruction of electronic data; or the effects of micro</w:t>
      </w:r>
      <w:r w:rsidR="008A07A0">
        <w:noBreakHyphen/>
      </w:r>
      <w:r>
        <w:t>organisms</w:t>
      </w:r>
      <w:r w:rsidR="008A07A0">
        <w:t xml:space="preserve">. </w:t>
      </w:r>
      <w:r w:rsidR="003D005C">
        <w:t>Doubt has arisen as to whether</w:t>
      </w:r>
      <w:r>
        <w:t xml:space="preserve"> such exclusions constitute terrorism exclusions as defined by the Act. </w:t>
      </w:r>
    </w:p>
    <w:p w14:paraId="0C7D6FC6" w14:textId="77777777" w:rsidR="00204B6E" w:rsidRDefault="00204B6E" w:rsidP="00082936">
      <w:r>
        <w:t xml:space="preserve">This is because these exclusions do </w:t>
      </w:r>
      <w:r w:rsidR="0071451A">
        <w:t xml:space="preserve">not </w:t>
      </w:r>
      <w:r>
        <w:t xml:space="preserve">use words like </w:t>
      </w:r>
      <w:r w:rsidR="008A07A0">
        <w:t>‘</w:t>
      </w:r>
      <w:r>
        <w:t>terrorism</w:t>
      </w:r>
      <w:r w:rsidR="008A07A0">
        <w:t>’</w:t>
      </w:r>
      <w:r>
        <w:t xml:space="preserve"> or </w:t>
      </w:r>
      <w:r w:rsidR="008A07A0">
        <w:t>‘</w:t>
      </w:r>
      <w:r>
        <w:t>terrorist</w:t>
      </w:r>
      <w:r w:rsidR="008A07A0">
        <w:t>’</w:t>
      </w:r>
      <w:r w:rsidR="00AA1BB4">
        <w:t xml:space="preserve"> or other words that specifically refer to events like terrorism, but rather merely exclude losses of a particular class of event. </w:t>
      </w:r>
    </w:p>
    <w:p w14:paraId="4335B94D" w14:textId="23C56D34" w:rsidR="00204B6E" w:rsidRDefault="00AA1BB4" w:rsidP="00082936">
      <w:r>
        <w:t xml:space="preserve">If this view is correct, </w:t>
      </w:r>
      <w:r w:rsidR="009E25DB">
        <w:t>l</w:t>
      </w:r>
      <w:r>
        <w:t xml:space="preserve">osses </w:t>
      </w:r>
      <w:r w:rsidR="00D11B36">
        <w:t>of a particular class</w:t>
      </w:r>
      <w:r>
        <w:t xml:space="preserve"> </w:t>
      </w:r>
      <w:r w:rsidR="009E25DB">
        <w:t xml:space="preserve">could be effectively excluded </w:t>
      </w:r>
      <w:r>
        <w:t xml:space="preserve">even where they </w:t>
      </w:r>
      <w:r w:rsidR="00D11B36">
        <w:t>came about as the result of events decla</w:t>
      </w:r>
      <w:r>
        <w:t>red to be terrorist incidents under the Act</w:t>
      </w:r>
      <w:r w:rsidR="008A07A0">
        <w:t xml:space="preserve">. </w:t>
      </w:r>
      <w:r w:rsidR="009E25DB">
        <w:t xml:space="preserve"> Take, for example, the </w:t>
      </w:r>
      <w:r>
        <w:t xml:space="preserve">release </w:t>
      </w:r>
      <w:r w:rsidR="009E25DB">
        <w:t xml:space="preserve">of </w:t>
      </w:r>
      <w:r>
        <w:t xml:space="preserve">a toxic chemical agent </w:t>
      </w:r>
      <w:r w:rsidR="009E25DB">
        <w:t>in such circumstances that caused the event to be declared a terrorist incident under the Act. O</w:t>
      </w:r>
      <w:r>
        <w:t>n one view, a clause that purported to exclude damages caused by the release of chemical agent</w:t>
      </w:r>
      <w:r w:rsidR="009E25DB">
        <w:t>s</w:t>
      </w:r>
      <w:r>
        <w:t xml:space="preserve">, but made no mention of terrorism or like terms, would </w:t>
      </w:r>
      <w:r w:rsidR="009E25DB">
        <w:t>remain effective to exclude the insurer’s liability to pay claims for losses caused by the event.</w:t>
      </w:r>
    </w:p>
    <w:p w14:paraId="7F12858D" w14:textId="77777777" w:rsidR="00204B6E" w:rsidRDefault="00204B6E" w:rsidP="00082936">
      <w:r>
        <w:t xml:space="preserve">The uncertainty over whether general exclusions would be voided by the Act has created a lack of clarity over the coverage afforded by </w:t>
      </w:r>
      <w:r w:rsidR="00FC1F7A">
        <w:t>the terrorism insurance scheme.</w:t>
      </w:r>
    </w:p>
    <w:p w14:paraId="7FCA5C38" w14:textId="42F3F4A6" w:rsidR="00CF2E40" w:rsidRDefault="00922492" w:rsidP="00082936">
      <w:r>
        <w:t xml:space="preserve">When the scheme was introduced in 2003 it was the intention of the (then) Government that a terrorist event using chemical and biological means should be </w:t>
      </w:r>
      <w:r w:rsidR="00CF2E40">
        <w:t>covered</w:t>
      </w:r>
      <w:r w:rsidR="007D7EBD">
        <w:t>.</w:t>
      </w:r>
    </w:p>
    <w:p w14:paraId="2A3B165C" w14:textId="37D5841D" w:rsidR="00DE7ACD" w:rsidRPr="00DE7ACD" w:rsidRDefault="00DE7ACD" w:rsidP="00082936">
      <w:r>
        <w:t>Chemical and biological attacks are covered in most international pools.</w:t>
      </w:r>
    </w:p>
    <w:p w14:paraId="049A767A" w14:textId="61A300EE" w:rsidR="00204B6E" w:rsidRDefault="00204B6E" w:rsidP="00082936">
      <w:r>
        <w:t xml:space="preserve">In its report, </w:t>
      </w:r>
      <w:proofErr w:type="spellStart"/>
      <w:r w:rsidR="00B97B26">
        <w:t>Pottinger</w:t>
      </w:r>
      <w:proofErr w:type="spellEnd"/>
      <w:r w:rsidR="00B97B26">
        <w:t xml:space="preserve"> recommended that the g</w:t>
      </w:r>
      <w:r>
        <w:t>overnment provide clarity in relation to any restrictions that apply to the cover provided by the scheme, as uncertainty over the extent of cover may create both economic and political risks.</w:t>
      </w:r>
      <w:r>
        <w:rPr>
          <w:rStyle w:val="FootnoteReference"/>
        </w:rPr>
        <w:footnoteReference w:id="14"/>
      </w:r>
    </w:p>
    <w:p w14:paraId="34BFCA5D" w14:textId="3DE416C0" w:rsidR="00204B6E" w:rsidRDefault="00204B6E" w:rsidP="00082936">
      <w:r>
        <w:t xml:space="preserve">In the market soundings exercise conducted by </w:t>
      </w:r>
      <w:proofErr w:type="spellStart"/>
      <w:r>
        <w:t>Pottinger</w:t>
      </w:r>
      <w:proofErr w:type="spellEnd"/>
      <w:r>
        <w:t>, there was strong support from respondents for clarifying the coverage of the scheme</w:t>
      </w:r>
      <w:r w:rsidR="00616E43">
        <w:t xml:space="preserve"> in relation to chemical and biological means of attack</w:t>
      </w:r>
      <w:r w:rsidR="008A07A0">
        <w:t xml:space="preserve">. </w:t>
      </w:r>
      <w:r>
        <w:t xml:space="preserve">Some responses from reinsurers to </w:t>
      </w:r>
      <w:r w:rsidR="002A002D">
        <w:t>thi</w:t>
      </w:r>
      <w:r>
        <w:t xml:space="preserve">s exercise also highlighted the lack of clarity over the impact of general exclusions on the coverage of the scheme. Some reinsurers </w:t>
      </w:r>
      <w:r w:rsidRPr="00323B3B">
        <w:t xml:space="preserve">indicated that they would expect </w:t>
      </w:r>
      <w:r>
        <w:t>losses from biological and chemical hazards associated with terrorist attacks to be excluded from the scheme</w:t>
      </w:r>
      <w:r w:rsidR="008A07A0">
        <w:t>’</w:t>
      </w:r>
      <w:r>
        <w:t xml:space="preserve">s coverage, through the operation of general exclusions in insurance contracts, </w:t>
      </w:r>
      <w:r w:rsidR="002A002D">
        <w:t xml:space="preserve">while </w:t>
      </w:r>
      <w:r>
        <w:t>others expressed the</w:t>
      </w:r>
      <w:r w:rsidRPr="00323B3B">
        <w:t xml:space="preserve"> opposite view</w:t>
      </w:r>
      <w:r w:rsidR="008A07A0">
        <w:t xml:space="preserve">. </w:t>
      </w:r>
      <w:r w:rsidR="00616E43">
        <w:t>Should such an event occur the uncertainty surrounding the extent of cover provided by the ARPC would potentially create both economic and political risks.</w:t>
      </w:r>
      <w:r w:rsidR="00616E43">
        <w:rPr>
          <w:rStyle w:val="FootnoteReference"/>
        </w:rPr>
        <w:footnoteReference w:id="15"/>
      </w:r>
    </w:p>
    <w:p w14:paraId="12D2BF02" w14:textId="55FCA60E" w:rsidR="009E25DB" w:rsidRDefault="00B97B26" w:rsidP="00082936">
      <w:r>
        <w:t>If the g</w:t>
      </w:r>
      <w:r w:rsidR="00204B6E">
        <w:t>overnment w</w:t>
      </w:r>
      <w:r w:rsidR="002021D9">
        <w:t>as</w:t>
      </w:r>
      <w:r w:rsidR="00204B6E">
        <w:t xml:space="preserve"> to clarify, through legislation, the coverage of the terrorism insurance scheme, this would require careful consideration of</w:t>
      </w:r>
      <w:r w:rsidR="009E25DB">
        <w:t xml:space="preserve"> both the operation of general exclusion clauses, and </w:t>
      </w:r>
      <w:r w:rsidR="00204B6E">
        <w:t xml:space="preserve">whether losses from certain types of declared terrorist incidents should be explicitly excluded from coverage in </w:t>
      </w:r>
      <w:r w:rsidR="009E25DB">
        <w:t xml:space="preserve">the same manner </w:t>
      </w:r>
      <w:r w:rsidR="00E8748B">
        <w:t>as</w:t>
      </w:r>
      <w:r w:rsidR="009E25DB">
        <w:t xml:space="preserve"> losses from</w:t>
      </w:r>
      <w:r w:rsidR="00204B6E">
        <w:t xml:space="preserve"> nuclear </w:t>
      </w:r>
      <w:r w:rsidR="009E25DB">
        <w:t>hazards</w:t>
      </w:r>
      <w:r w:rsidR="00204B6E">
        <w:t>. Detailed consultation with stake</w:t>
      </w:r>
      <w:r w:rsidR="009E25DB">
        <w:t>holders would be needed on these issues.</w:t>
      </w:r>
    </w:p>
    <w:p w14:paraId="2FCE10EA" w14:textId="2F07DFC6" w:rsidR="002021D9" w:rsidRDefault="002021D9" w:rsidP="00082936">
      <w:r>
        <w:t xml:space="preserve">The Review recommends that the lack of clarity surrounding exclusion for terrorist attacks </w:t>
      </w:r>
      <w:r w:rsidR="00922492">
        <w:t>using chemical</w:t>
      </w:r>
      <w:r>
        <w:t xml:space="preserve"> </w:t>
      </w:r>
      <w:r w:rsidR="00922492">
        <w:t xml:space="preserve">or </w:t>
      </w:r>
      <w:r>
        <w:t>biological means be resolved as soon as possible</w:t>
      </w:r>
      <w:r w:rsidR="00616E43">
        <w:t>.</w:t>
      </w:r>
      <w:r w:rsidR="00CF2E40">
        <w:t xml:space="preserve"> </w:t>
      </w:r>
    </w:p>
    <w:p w14:paraId="174166EB" w14:textId="77777777" w:rsidR="000C5EE4" w:rsidRDefault="000C5EE4" w:rsidP="003D30BA">
      <w:pPr>
        <w:pStyle w:val="AppendixHeading"/>
        <w:sectPr w:rsidR="000C5EE4" w:rsidSect="000C5EE4">
          <w:type w:val="oddPage"/>
          <w:pgSz w:w="11906" w:h="16838" w:code="9"/>
          <w:pgMar w:top="1440" w:right="1440" w:bottom="1440" w:left="1440" w:header="709" w:footer="709" w:gutter="0"/>
          <w:cols w:space="708"/>
          <w:titlePg/>
          <w:docGrid w:linePitch="360"/>
        </w:sectPr>
      </w:pPr>
      <w:bookmarkStart w:id="125" w:name="_Toc409618523"/>
      <w:bookmarkStart w:id="126" w:name="_Toc409630054"/>
      <w:bookmarkStart w:id="127" w:name="_Toc410229546"/>
      <w:bookmarkStart w:id="128" w:name="_Toc410302181"/>
      <w:bookmarkStart w:id="129" w:name="_Toc321134094"/>
    </w:p>
    <w:p w14:paraId="4BA8E43B" w14:textId="2BA2952B" w:rsidR="00321498" w:rsidRPr="003D30BA" w:rsidRDefault="00321498" w:rsidP="003D30BA">
      <w:pPr>
        <w:pStyle w:val="AppendixHeading"/>
      </w:pPr>
      <w:bookmarkStart w:id="130" w:name="_Toc437877567"/>
      <w:r w:rsidRPr="003D30BA">
        <w:t xml:space="preserve">Appendix </w:t>
      </w:r>
      <w:r w:rsidR="00843660" w:rsidRPr="003D30BA">
        <w:t>A</w:t>
      </w:r>
      <w:r w:rsidRPr="003D30BA">
        <w:t>:</w:t>
      </w:r>
      <w:r w:rsidR="00951A43" w:rsidRPr="003D30BA">
        <w:t xml:space="preserve">  </w:t>
      </w:r>
      <w:r w:rsidRPr="003D30BA">
        <w:t>Terms of reference</w:t>
      </w:r>
      <w:bookmarkEnd w:id="125"/>
      <w:bookmarkEnd w:id="126"/>
      <w:bookmarkEnd w:id="127"/>
      <w:bookmarkEnd w:id="128"/>
      <w:bookmarkEnd w:id="130"/>
    </w:p>
    <w:p w14:paraId="29489024" w14:textId="77777777" w:rsidR="0075575B" w:rsidRDefault="00C61B49" w:rsidP="007171C5">
      <w:pPr>
        <w:pStyle w:val="Bullet"/>
        <w:numPr>
          <w:ilvl w:val="0"/>
          <w:numId w:val="0"/>
        </w:numPr>
        <w:ind w:left="397" w:hanging="397"/>
        <w:rPr>
          <w:lang w:val="en"/>
        </w:rPr>
      </w:pPr>
      <w:r>
        <w:rPr>
          <w:szCs w:val="22"/>
        </w:rPr>
        <w:t>Treasury will report</w:t>
      </w:r>
      <w:r w:rsidR="0075575B">
        <w:rPr>
          <w:szCs w:val="22"/>
        </w:rPr>
        <w:t xml:space="preserve"> to the </w:t>
      </w:r>
      <w:r>
        <w:rPr>
          <w:szCs w:val="22"/>
        </w:rPr>
        <w:t>Minister on</w:t>
      </w:r>
      <w:r w:rsidR="0075575B">
        <w:rPr>
          <w:szCs w:val="22"/>
        </w:rPr>
        <w:t>:</w:t>
      </w:r>
    </w:p>
    <w:p w14:paraId="5FCE6D59" w14:textId="5FB91870" w:rsidR="00B85CB2" w:rsidRPr="00B85CB2" w:rsidRDefault="00B85CB2" w:rsidP="0027258C">
      <w:pPr>
        <w:pStyle w:val="Bullet"/>
        <w:rPr>
          <w:lang w:val="en"/>
        </w:rPr>
      </w:pPr>
      <w:r>
        <w:rPr>
          <w:lang w:val="en"/>
        </w:rPr>
        <w:t>W</w:t>
      </w:r>
      <w:r w:rsidRPr="00B85CB2">
        <w:rPr>
          <w:lang w:val="en"/>
        </w:rPr>
        <w:t>hether there continues to be market failure in the private sector supply of terrorism insurance and</w:t>
      </w:r>
      <w:r w:rsidR="002A002D">
        <w:rPr>
          <w:lang w:val="en"/>
        </w:rPr>
        <w:t>,</w:t>
      </w:r>
      <w:r w:rsidRPr="00B85CB2">
        <w:rPr>
          <w:lang w:val="en"/>
        </w:rPr>
        <w:t xml:space="preserve"> consequently</w:t>
      </w:r>
      <w:r w:rsidR="002A002D">
        <w:rPr>
          <w:lang w:val="en"/>
        </w:rPr>
        <w:t>,</w:t>
      </w:r>
      <w:r w:rsidRPr="00B85CB2">
        <w:rPr>
          <w:lang w:val="en"/>
        </w:rPr>
        <w:t xml:space="preserve"> whether there is a need for the Act to continue in operation;</w:t>
      </w:r>
    </w:p>
    <w:p w14:paraId="0D45D8FC" w14:textId="61A81D89" w:rsidR="00B85CB2" w:rsidRPr="00B85CB2" w:rsidRDefault="00B85CB2" w:rsidP="0027258C">
      <w:pPr>
        <w:pStyle w:val="Bullet"/>
        <w:rPr>
          <w:lang w:val="en"/>
        </w:rPr>
      </w:pPr>
      <w:r>
        <w:rPr>
          <w:lang w:val="en"/>
        </w:rPr>
        <w:t>O</w:t>
      </w:r>
      <w:r w:rsidRPr="00B85CB2">
        <w:rPr>
          <w:lang w:val="en"/>
        </w:rPr>
        <w:t>ptions on the future of the Act, including if there are possible alternative modes of ownership of the ARPC availa</w:t>
      </w:r>
      <w:r w:rsidR="00B97B26">
        <w:rPr>
          <w:lang w:val="en"/>
        </w:rPr>
        <w:t xml:space="preserve">ble to the </w:t>
      </w:r>
      <w:r w:rsidR="00834788">
        <w:rPr>
          <w:lang w:val="en"/>
        </w:rPr>
        <w:t>G</w:t>
      </w:r>
      <w:r w:rsidRPr="00B85CB2">
        <w:rPr>
          <w:lang w:val="en"/>
        </w:rPr>
        <w:t>overnment and the costs and benefits of each alternative;</w:t>
      </w:r>
    </w:p>
    <w:p w14:paraId="4BA1F35E" w14:textId="0509D25E" w:rsidR="00B85CB2" w:rsidRPr="00B85CB2" w:rsidRDefault="00B85CB2" w:rsidP="0027258C">
      <w:pPr>
        <w:pStyle w:val="Bullet"/>
        <w:rPr>
          <w:lang w:val="en"/>
        </w:rPr>
      </w:pPr>
      <w:r>
        <w:rPr>
          <w:lang w:val="en"/>
        </w:rPr>
        <w:t>W</w:t>
      </w:r>
      <w:r w:rsidRPr="00B85CB2">
        <w:rPr>
          <w:lang w:val="en"/>
        </w:rPr>
        <w:t>hether the pricing of the scheme (the premium rates and tier structure)</w:t>
      </w:r>
      <w:r w:rsidR="002A002D">
        <w:rPr>
          <w:lang w:val="en"/>
        </w:rPr>
        <w:t>,</w:t>
      </w:r>
      <w:r w:rsidRPr="00B85CB2">
        <w:rPr>
          <w:lang w:val="en"/>
        </w:rPr>
        <w:t xml:space="preserve"> the level and structure of insurer and industry retentions</w:t>
      </w:r>
      <w:r w:rsidR="002A002D">
        <w:rPr>
          <w:lang w:val="en"/>
        </w:rPr>
        <w:t>,</w:t>
      </w:r>
      <w:r w:rsidRPr="00B85CB2">
        <w:rPr>
          <w:lang w:val="en"/>
        </w:rPr>
        <w:t xml:space="preserve"> and the purchase of retrocession cover (including its level and cost) continue to be appropriate and do not distort demand for insurance;</w:t>
      </w:r>
    </w:p>
    <w:p w14:paraId="1F02435A" w14:textId="77777777" w:rsidR="00B85CB2" w:rsidRPr="00B85CB2" w:rsidRDefault="00B85CB2" w:rsidP="0027258C">
      <w:pPr>
        <w:pStyle w:val="Bullet"/>
        <w:rPr>
          <w:lang w:val="en"/>
        </w:rPr>
      </w:pPr>
      <w:r>
        <w:rPr>
          <w:lang w:val="en"/>
        </w:rPr>
        <w:t>W</w:t>
      </w:r>
      <w:r w:rsidRPr="00B85CB2">
        <w:rPr>
          <w:lang w:val="en"/>
        </w:rPr>
        <w:t>hether the operation of the scheme should be extended to include mixed commercial and residential use buildings, and high-rise residential buildings; and</w:t>
      </w:r>
    </w:p>
    <w:p w14:paraId="34DEA43F" w14:textId="77777777" w:rsidR="00B85CB2" w:rsidRPr="00B85CB2" w:rsidRDefault="00B85CB2" w:rsidP="0027258C">
      <w:pPr>
        <w:pStyle w:val="Bullet"/>
        <w:rPr>
          <w:lang w:val="en"/>
        </w:rPr>
      </w:pPr>
      <w:r>
        <w:rPr>
          <w:lang w:val="en"/>
        </w:rPr>
        <w:t>W</w:t>
      </w:r>
      <w:r w:rsidRPr="00B85CB2">
        <w:rPr>
          <w:lang w:val="en"/>
        </w:rPr>
        <w:t>hether refinements to the scheme are necessary to clarify coverage for biochemical attacks, having regard to the effect of insurance policy exclusion clauses such as Chemical, Biological, and Pollution exclusions.</w:t>
      </w:r>
    </w:p>
    <w:p w14:paraId="5C4FC27A" w14:textId="64D81904" w:rsidR="00FC1321" w:rsidRPr="00FC1321" w:rsidRDefault="00FC1321" w:rsidP="00FC1321">
      <w:pPr>
        <w:rPr>
          <w:szCs w:val="24"/>
        </w:rPr>
      </w:pPr>
      <w:r w:rsidRPr="00FC1321">
        <w:rPr>
          <w:szCs w:val="24"/>
        </w:rPr>
        <w:t xml:space="preserve">In conducting the review, Treasury will incorporate input from an expert external consultant. The consultant </w:t>
      </w:r>
      <w:r w:rsidR="002A002D">
        <w:rPr>
          <w:szCs w:val="24"/>
        </w:rPr>
        <w:t>will</w:t>
      </w:r>
      <w:r w:rsidR="002A002D" w:rsidRPr="00FC1321">
        <w:rPr>
          <w:szCs w:val="24"/>
        </w:rPr>
        <w:t xml:space="preserve"> </w:t>
      </w:r>
      <w:r w:rsidRPr="00FC1321">
        <w:rPr>
          <w:szCs w:val="24"/>
        </w:rPr>
        <w:t>be instructed to provide a written report to Treasury.</w:t>
      </w:r>
    </w:p>
    <w:p w14:paraId="222B0906" w14:textId="77777777" w:rsidR="00C545A6" w:rsidRDefault="00C545A6" w:rsidP="003D30BA">
      <w:pPr>
        <w:pStyle w:val="AppendixHeading"/>
        <w:sectPr w:rsidR="00C545A6" w:rsidSect="000C5EE4">
          <w:type w:val="oddPage"/>
          <w:pgSz w:w="11906" w:h="16838" w:code="9"/>
          <w:pgMar w:top="1440" w:right="1440" w:bottom="1440" w:left="1440" w:header="709" w:footer="709" w:gutter="0"/>
          <w:cols w:space="708"/>
          <w:titlePg/>
          <w:docGrid w:linePitch="360"/>
        </w:sectPr>
      </w:pPr>
      <w:bookmarkStart w:id="131" w:name="_Toc409618524"/>
      <w:bookmarkStart w:id="132" w:name="_Toc409630055"/>
      <w:bookmarkStart w:id="133" w:name="_Toc410229547"/>
      <w:bookmarkStart w:id="134" w:name="_Toc410302182"/>
    </w:p>
    <w:p w14:paraId="310DCE22" w14:textId="0A5962AC" w:rsidR="00B87057" w:rsidRPr="003D30BA" w:rsidRDefault="00321498" w:rsidP="003D30BA">
      <w:pPr>
        <w:pStyle w:val="AppendixHeading"/>
      </w:pPr>
      <w:bookmarkStart w:id="135" w:name="_Toc437877568"/>
      <w:r w:rsidRPr="003D30BA">
        <w:t>Appendix B</w:t>
      </w:r>
      <w:r w:rsidR="00B87057" w:rsidRPr="003D30BA">
        <w:t>:</w:t>
      </w:r>
      <w:r w:rsidR="00951A43" w:rsidRPr="003D30BA">
        <w:t xml:space="preserve">  </w:t>
      </w:r>
      <w:r w:rsidR="00B87057" w:rsidRPr="003D30BA">
        <w:t>International approaches</w:t>
      </w:r>
      <w:bookmarkEnd w:id="131"/>
      <w:bookmarkEnd w:id="132"/>
      <w:bookmarkEnd w:id="133"/>
      <w:bookmarkEnd w:id="134"/>
      <w:bookmarkEnd w:id="135"/>
    </w:p>
    <w:p w14:paraId="79A9C8C9" w14:textId="77777777" w:rsidR="003752CA" w:rsidRDefault="00357A26" w:rsidP="00082936">
      <w:r>
        <w:t>Many developed countries have national terrorism insurance systems in place.</w:t>
      </w:r>
      <w:r w:rsidR="002818C8">
        <w:t xml:space="preserve"> </w:t>
      </w:r>
      <w:r w:rsidR="003752CA">
        <w:t>Countries with a history of terrorism tend to have long</w:t>
      </w:r>
      <w:r w:rsidR="008A07A0">
        <w:noBreakHyphen/>
      </w:r>
      <w:r w:rsidR="003752CA">
        <w:t>standing government</w:t>
      </w:r>
      <w:r w:rsidR="008A07A0">
        <w:noBreakHyphen/>
      </w:r>
      <w:r w:rsidR="003752CA">
        <w:t xml:space="preserve">run terrorism insurance schemes. </w:t>
      </w:r>
      <w:r w:rsidR="003752CA" w:rsidRPr="00BC183D">
        <w:t>For example</w:t>
      </w:r>
      <w:r w:rsidR="003752CA">
        <w:t xml:space="preserve">, </w:t>
      </w:r>
      <w:r w:rsidR="003752CA" w:rsidRPr="00BC183D">
        <w:t xml:space="preserve">the Spanish scheme was established following the Spanish Civil War; the South African scheme </w:t>
      </w:r>
      <w:r w:rsidR="003752CA">
        <w:t>was set out</w:t>
      </w:r>
      <w:r w:rsidR="003752CA" w:rsidRPr="00BC183D">
        <w:t xml:space="preserve"> following the political unrest of the 1970s; </w:t>
      </w:r>
      <w:r w:rsidR="003752CA">
        <w:t>and the Israeli scheme was starte</w:t>
      </w:r>
      <w:r w:rsidR="00FC1F7A">
        <w:t>d early in Israel</w:t>
      </w:r>
      <w:r w:rsidR="008A07A0">
        <w:t>’</w:t>
      </w:r>
      <w:r w:rsidR="00FC1F7A">
        <w:t xml:space="preserve">s statehood. </w:t>
      </w:r>
    </w:p>
    <w:p w14:paraId="0188D071" w14:textId="31EF91B4" w:rsidR="003752CA" w:rsidRDefault="003752CA" w:rsidP="00082936">
      <w:r>
        <w:t>In the early 1990s</w:t>
      </w:r>
      <w:r w:rsidR="002A002D">
        <w:t>,</w:t>
      </w:r>
      <w:r>
        <w:t xml:space="preserve"> the UK </w:t>
      </w:r>
      <w:r w:rsidR="00D22E59">
        <w:t>G</w:t>
      </w:r>
      <w:r>
        <w:t>overnment and the UK insurance industry set up the Pool Reinsurance Company Limited (Pool Re) scheme. The scheme was designed to deal with a market failure for the provision of terrorism insurance following terrorism incident</w:t>
      </w:r>
      <w:r w:rsidR="002A002D">
        <w:t>s</w:t>
      </w:r>
      <w:r>
        <w:t xml:space="preserve"> related to the troubles in Northern</w:t>
      </w:r>
      <w:r w:rsidR="00F34A1D">
        <w:t> </w:t>
      </w:r>
      <w:r>
        <w:t>Ireland and the flow</w:t>
      </w:r>
      <w:r w:rsidR="002A002D">
        <w:t>-</w:t>
      </w:r>
      <w:r>
        <w:t xml:space="preserve">on effects of a lack </w:t>
      </w:r>
      <w:r w:rsidR="00FC1F7A">
        <w:t>of insurance on the UK economy.</w:t>
      </w:r>
    </w:p>
    <w:p w14:paraId="78B13778" w14:textId="658EBE9C" w:rsidR="00B87057" w:rsidRDefault="00B87057" w:rsidP="00082936">
      <w:r>
        <w:t xml:space="preserve">A large number </w:t>
      </w:r>
      <w:r w:rsidR="002A002D">
        <w:t xml:space="preserve">of schemes </w:t>
      </w:r>
      <w:r>
        <w:t>were set up following the September 11 terror</w:t>
      </w:r>
      <w:r w:rsidR="002A002D">
        <w:t>ist</w:t>
      </w:r>
      <w:r>
        <w:t xml:space="preserve"> attacks,</w:t>
      </w:r>
      <w:r w:rsidRPr="003F468A">
        <w:t xml:space="preserve"> </w:t>
      </w:r>
      <w:r w:rsidRPr="00BC183D">
        <w:t xml:space="preserve">including </w:t>
      </w:r>
      <w:r w:rsidR="002A002D">
        <w:t xml:space="preserve">in </w:t>
      </w:r>
      <w:r w:rsidRPr="00BC183D">
        <w:t>Austria, France, Germany, India, the Netherlands, Switzerland</w:t>
      </w:r>
      <w:r w:rsidR="002A002D">
        <w:t xml:space="preserve">, </w:t>
      </w:r>
      <w:r w:rsidRPr="00BC183D">
        <w:t>the United States</w:t>
      </w:r>
      <w:r w:rsidR="002A002D">
        <w:t xml:space="preserve"> and, of course,</w:t>
      </w:r>
      <w:r>
        <w:t xml:space="preserve"> Australia. </w:t>
      </w:r>
    </w:p>
    <w:p w14:paraId="41A9EE2E" w14:textId="77777777" w:rsidR="00B87057" w:rsidRDefault="003752CA" w:rsidP="00843660">
      <w:pPr>
        <w:pStyle w:val="Heading2"/>
      </w:pPr>
      <w:bookmarkStart w:id="136" w:name="_Toc437877569"/>
      <w:r>
        <w:t>Recent developments in the United Kingdom and United States</w:t>
      </w:r>
      <w:bookmarkEnd w:id="136"/>
    </w:p>
    <w:p w14:paraId="2F233C32" w14:textId="1F75E7A4" w:rsidR="000129ED" w:rsidRDefault="000129ED" w:rsidP="00082936">
      <w:r>
        <w:t>In the English</w:t>
      </w:r>
      <w:r w:rsidR="008A07A0">
        <w:noBreakHyphen/>
      </w:r>
      <w:r>
        <w:t>speaking world</w:t>
      </w:r>
      <w:r w:rsidR="002A002D">
        <w:t>,</w:t>
      </w:r>
      <w:r>
        <w:t xml:space="preserve"> there has been a push to make the insurance industry pay more for government guarantees</w:t>
      </w:r>
      <w:r w:rsidR="002A002D">
        <w:t>,</w:t>
      </w:r>
      <w:r>
        <w:t xml:space="preserve"> as well as </w:t>
      </w:r>
      <w:r w:rsidR="002A002D">
        <w:t xml:space="preserve">to increase </w:t>
      </w:r>
      <w:r>
        <w:t xml:space="preserve">the amount of risk </w:t>
      </w:r>
      <w:r w:rsidR="002A002D">
        <w:t xml:space="preserve">borne by </w:t>
      </w:r>
      <w:r>
        <w:t>the industry</w:t>
      </w:r>
      <w:r w:rsidR="00FC1F7A">
        <w:t xml:space="preserve">. </w:t>
      </w:r>
    </w:p>
    <w:p w14:paraId="75C909B3" w14:textId="41827DA2" w:rsidR="00B87057" w:rsidRDefault="00B87057" w:rsidP="00082936">
      <w:r>
        <w:t xml:space="preserve">The UK Government recently announced </w:t>
      </w:r>
      <w:r w:rsidR="00350D7D">
        <w:t>changes to the UK scheme</w:t>
      </w:r>
      <w:r w:rsidR="0033574E">
        <w:t xml:space="preserve"> </w:t>
      </w:r>
      <w:r w:rsidR="002A002D">
        <w:t xml:space="preserve">that </w:t>
      </w:r>
      <w:r w:rsidR="0033574E">
        <w:t>push the</w:t>
      </w:r>
      <w:r w:rsidR="006C268B">
        <w:t>ir</w:t>
      </w:r>
      <w:r w:rsidR="0033574E">
        <w:t xml:space="preserve"> scheme</w:t>
      </w:r>
      <w:r w:rsidR="006C268B">
        <w:t>’s</w:t>
      </w:r>
      <w:r w:rsidR="0033574E">
        <w:t xml:space="preserve"> costs towards the insurance industry and away from taxpayers</w:t>
      </w:r>
      <w:r w:rsidR="006C268B">
        <w:t>. F</w:t>
      </w:r>
      <w:r w:rsidR="003752CA">
        <w:t>or example</w:t>
      </w:r>
      <w:r w:rsidR="006C268B">
        <w:t>,</w:t>
      </w:r>
      <w:r>
        <w:t xml:space="preserve"> it will charge Pool Re</w:t>
      </w:r>
      <w:r w:rsidR="0033574E">
        <w:t xml:space="preserve"> (the UK scheme)</w:t>
      </w:r>
      <w:r w:rsidR="003752CA">
        <w:t xml:space="preserve"> a fee for the UK Government guarantee of the equivalent of </w:t>
      </w:r>
      <w:r>
        <w:t xml:space="preserve">50 per cent of premiums, in addition to a dividend payment of 50 per cent of any surplus generated, half of which will go to the UK Government and half of which will </w:t>
      </w:r>
      <w:r w:rsidR="001134AD">
        <w:t xml:space="preserve">be paid to members of Pool Re. </w:t>
      </w:r>
      <w:r>
        <w:t>The UK</w:t>
      </w:r>
      <w:r w:rsidR="00F34A1D">
        <w:t> </w:t>
      </w:r>
      <w:r>
        <w:t xml:space="preserve">Government also recently announced that Pool Re will be </w:t>
      </w:r>
      <w:r w:rsidR="00C40A49">
        <w:t>permitted</w:t>
      </w:r>
      <w:r w:rsidR="00FC1F7A">
        <w:t xml:space="preserve"> to seek retrocession cover. </w:t>
      </w:r>
    </w:p>
    <w:p w14:paraId="3C86196E" w14:textId="31E49766" w:rsidR="006101CF" w:rsidRDefault="006101CF" w:rsidP="00082936">
      <w:pPr>
        <w:autoSpaceDE w:val="0"/>
        <w:autoSpaceDN w:val="0"/>
        <w:adjustRightInd w:val="0"/>
      </w:pPr>
      <w:r>
        <w:t>In the US</w:t>
      </w:r>
      <w:r w:rsidR="006C268B">
        <w:t>,</w:t>
      </w:r>
      <w:r>
        <w:t xml:space="preserve"> the federal terrorist risk insurance scheme was recently</w:t>
      </w:r>
      <w:r w:rsidRPr="007F7689">
        <w:t xml:space="preserve"> reinstated</w:t>
      </w:r>
      <w:r w:rsidR="001134AD">
        <w:t xml:space="preserve"> after the scheme briefly lapsed due to delays in getting the bill passed in Congress. Some </w:t>
      </w:r>
      <w:r w:rsidR="00C40A49">
        <w:t xml:space="preserve">changes to the scheme </w:t>
      </w:r>
      <w:r w:rsidR="001134AD">
        <w:t>push more of the</w:t>
      </w:r>
      <w:r w:rsidRPr="007F7689">
        <w:t xml:space="preserve"> r</w:t>
      </w:r>
      <w:r>
        <w:t>esponsibility</w:t>
      </w:r>
      <w:r w:rsidR="00C40A49">
        <w:t xml:space="preserve"> </w:t>
      </w:r>
      <w:r w:rsidR="003B4D30">
        <w:t xml:space="preserve">onto </w:t>
      </w:r>
      <w:r w:rsidR="00B74B1F">
        <w:t xml:space="preserve">industry </w:t>
      </w:r>
      <w:r w:rsidR="00C40A49">
        <w:t>in the event of a terrorist attack. The</w:t>
      </w:r>
      <w:r>
        <w:t xml:space="preserve"> </w:t>
      </w:r>
      <w:r w:rsidR="00C40A49">
        <w:t>changes</w:t>
      </w:r>
      <w:r>
        <w:t xml:space="preserve"> </w:t>
      </w:r>
      <w:r w:rsidRPr="007F7689">
        <w:t>raise</w:t>
      </w:r>
      <w:r>
        <w:t xml:space="preserve"> </w:t>
      </w:r>
      <w:r w:rsidRPr="007F7689">
        <w:t>industry retentions in the event of a claim</w:t>
      </w:r>
      <w:r w:rsidR="00C40A49">
        <w:t>, for example</w:t>
      </w:r>
      <w:r w:rsidR="003B4D30">
        <w:t>,</w:t>
      </w:r>
      <w:r w:rsidR="00C40A49">
        <w:t xml:space="preserve"> b</w:t>
      </w:r>
      <w:r w:rsidRPr="007F7689">
        <w:t xml:space="preserve">y </w:t>
      </w:r>
      <w:proofErr w:type="gramStart"/>
      <w:r w:rsidRPr="007F7689">
        <w:t>2020,</w:t>
      </w:r>
      <w:proofErr w:type="gramEnd"/>
      <w:r w:rsidRPr="007F7689">
        <w:t xml:space="preserve"> the amount of an incident </w:t>
      </w:r>
      <w:r w:rsidR="003B4D30">
        <w:t>that</w:t>
      </w:r>
      <w:r w:rsidR="003B4D30" w:rsidRPr="007F7689">
        <w:t xml:space="preserve"> </w:t>
      </w:r>
      <w:r w:rsidRPr="007F7689">
        <w:t xml:space="preserve">triggers the </w:t>
      </w:r>
      <w:r w:rsidR="00C40A49">
        <w:t xml:space="preserve">government </w:t>
      </w:r>
      <w:r w:rsidRPr="007F7689">
        <w:t>scheme will need to be $200</w:t>
      </w:r>
      <w:r>
        <w:t> </w:t>
      </w:r>
      <w:r w:rsidRPr="007F7689">
        <w:t>million</w:t>
      </w:r>
      <w:r w:rsidR="000E685E">
        <w:t>, with co</w:t>
      </w:r>
      <w:r w:rsidR="003B4D30">
        <w:t>-</w:t>
      </w:r>
      <w:r w:rsidR="000E685E">
        <w:t>insurance</w:t>
      </w:r>
      <w:r w:rsidR="001134AD">
        <w:t xml:space="preserve"> from the insurance industry</w:t>
      </w:r>
      <w:r w:rsidR="000E685E">
        <w:t xml:space="preserve"> increased to 20 per cent</w:t>
      </w:r>
      <w:r w:rsidRPr="007F7689">
        <w:t>.</w:t>
      </w:r>
      <w:r w:rsidRPr="006101CF">
        <w:rPr>
          <w:vertAlign w:val="superscript"/>
        </w:rPr>
        <w:footnoteReference w:id="16"/>
      </w:r>
      <w:r w:rsidR="00FC1F7A">
        <w:t xml:space="preserve"> </w:t>
      </w:r>
    </w:p>
    <w:p w14:paraId="7F8A5F1C" w14:textId="7F5F9F19" w:rsidR="006101CF" w:rsidRDefault="00C40A49" w:rsidP="00082936">
      <w:pPr>
        <w:autoSpaceDE w:val="0"/>
        <w:autoSpaceDN w:val="0"/>
        <w:adjustRightInd w:val="0"/>
      </w:pPr>
      <w:r>
        <w:t>Towards the end of 2014 and into early 2015</w:t>
      </w:r>
      <w:r w:rsidR="003B4D30">
        <w:t>,</w:t>
      </w:r>
      <w:r>
        <w:t xml:space="preserve"> the </w:t>
      </w:r>
      <w:r w:rsidR="003B4D30">
        <w:t xml:space="preserve">US </w:t>
      </w:r>
      <w:r>
        <w:t xml:space="preserve">scheme faced uncertainty </w:t>
      </w:r>
      <w:r w:rsidR="003B4D30">
        <w:t xml:space="preserve">because </w:t>
      </w:r>
      <w:r w:rsidR="00627384">
        <w:t xml:space="preserve">it was not clear </w:t>
      </w:r>
      <w:r w:rsidR="003B4D30">
        <w:t xml:space="preserve">whether </w:t>
      </w:r>
      <w:r w:rsidR="00627384">
        <w:t xml:space="preserve">the US </w:t>
      </w:r>
      <w:r w:rsidR="003B4D30">
        <w:t>C</w:t>
      </w:r>
      <w:r w:rsidR="00627384">
        <w:t xml:space="preserve">ongress would extend the scheme. </w:t>
      </w:r>
      <w:r w:rsidR="006101CF">
        <w:t xml:space="preserve">Full effects on the US economy and businesses were not felt in this short lapse as many businesses did not wish to publicise </w:t>
      </w:r>
      <w:r w:rsidR="003B4D30">
        <w:t>the nature of their vulnerability</w:t>
      </w:r>
      <w:r w:rsidR="006101CF">
        <w:t xml:space="preserve"> in the absence of TRIA.</w:t>
      </w:r>
      <w:r w:rsidR="006101CF">
        <w:rPr>
          <w:rStyle w:val="FootnoteReference"/>
        </w:rPr>
        <w:footnoteReference w:id="17"/>
      </w:r>
      <w:r w:rsidR="006101CF">
        <w:t xml:space="preserve"> However, no major cancellations of building projects or events are known to have occurred.</w:t>
      </w:r>
      <w:r w:rsidR="006101CF">
        <w:rPr>
          <w:rStyle w:val="FootnoteReference"/>
        </w:rPr>
        <w:footnoteReference w:id="18"/>
      </w:r>
      <w:r w:rsidR="00FC1F7A">
        <w:t xml:space="preserve"> </w:t>
      </w:r>
    </w:p>
    <w:p w14:paraId="7A6FA051" w14:textId="77777777" w:rsidR="000129ED" w:rsidRDefault="00627384" w:rsidP="00082936">
      <w:r>
        <w:t>Part 3.</w:t>
      </w:r>
      <w:r w:rsidR="009A2CD5">
        <w:t>8</w:t>
      </w:r>
      <w:r>
        <w:t xml:space="preserve"> of the attached report by </w:t>
      </w:r>
      <w:proofErr w:type="spellStart"/>
      <w:r>
        <w:t>Pottinger</w:t>
      </w:r>
      <w:proofErr w:type="spellEnd"/>
      <w:r>
        <w:t xml:space="preserve"> discusses some of the recent developments in internat</w:t>
      </w:r>
      <w:r w:rsidR="000129ED">
        <w:t>ional terrorism schemes.</w:t>
      </w:r>
    </w:p>
    <w:p w14:paraId="276639E4" w14:textId="77777777" w:rsidR="00B87057" w:rsidRPr="00B6097F" w:rsidRDefault="00B87057" w:rsidP="00951A43">
      <w:pPr>
        <w:pStyle w:val="Heading2"/>
      </w:pPr>
      <w:bookmarkStart w:id="137" w:name="_Toc437877570"/>
      <w:r w:rsidRPr="00B6097F">
        <w:t>How the Australian scheme compares</w:t>
      </w:r>
      <w:r>
        <w:t xml:space="preserve"> with other schemes</w:t>
      </w:r>
      <w:bookmarkEnd w:id="137"/>
      <w:r w:rsidRPr="00B6097F">
        <w:t xml:space="preserve"> </w:t>
      </w:r>
    </w:p>
    <w:p w14:paraId="17C79A0D" w14:textId="67BAF34F" w:rsidR="00B87057" w:rsidRPr="00BC183D" w:rsidRDefault="000129ED" w:rsidP="000022E1">
      <w:r>
        <w:t xml:space="preserve">The Australian scheme is similar to terrorism insurance schemes in other </w:t>
      </w:r>
      <w:r w:rsidR="00545ABF" w:rsidRPr="009A5979">
        <w:t>Organisation for Economic Co</w:t>
      </w:r>
      <w:r w:rsidR="00545ABF">
        <w:noBreakHyphen/>
      </w:r>
      <w:r w:rsidR="00545ABF" w:rsidRPr="009A5979">
        <w:t>operation and Development</w:t>
      </w:r>
      <w:r w:rsidR="00545ABF" w:rsidRPr="00BC183D">
        <w:t xml:space="preserve"> </w:t>
      </w:r>
      <w:r w:rsidR="00545ABF">
        <w:t>(</w:t>
      </w:r>
      <w:r w:rsidR="00B87057" w:rsidRPr="00BC183D">
        <w:t>OECD</w:t>
      </w:r>
      <w:r w:rsidR="00545ABF">
        <w:t>)</w:t>
      </w:r>
      <w:r w:rsidR="00B87057" w:rsidRPr="00BC183D">
        <w:t xml:space="preserve"> countries</w:t>
      </w:r>
      <w:r>
        <w:t xml:space="preserve">, </w:t>
      </w:r>
      <w:r w:rsidR="00172528">
        <w:t>with so</w:t>
      </w:r>
      <w:r w:rsidR="00172528" w:rsidRPr="00CD3C6B">
        <w:t>me combination of a pool, reinsur</w:t>
      </w:r>
      <w:r w:rsidR="00172528">
        <w:t>ance and a government guarantee,</w:t>
      </w:r>
      <w:r w:rsidR="00172528" w:rsidRPr="00CD3C6B">
        <w:t xml:space="preserve"> </w:t>
      </w:r>
      <w:r>
        <w:t>especially those established after the 2001 terrorist attacks</w:t>
      </w:r>
      <w:r w:rsidR="00B87057" w:rsidRPr="00BC183D">
        <w:t xml:space="preserve"> (</w:t>
      </w:r>
      <w:r w:rsidR="003B4D30">
        <w:t xml:space="preserve">for example, </w:t>
      </w:r>
      <w:r w:rsidR="00B87057" w:rsidRPr="00BC183D">
        <w:t>Belgium, Denmar</w:t>
      </w:r>
      <w:r>
        <w:t xml:space="preserve">k, France, </w:t>
      </w:r>
      <w:r w:rsidR="00172528">
        <w:t xml:space="preserve">Germany, </w:t>
      </w:r>
      <w:r w:rsidR="003B4D30">
        <w:t xml:space="preserve">and </w:t>
      </w:r>
      <w:r w:rsidR="00172528">
        <w:t>the</w:t>
      </w:r>
      <w:r>
        <w:t xml:space="preserve"> Netherlands</w:t>
      </w:r>
      <w:r w:rsidR="00172528">
        <w:t>)</w:t>
      </w:r>
      <w:r w:rsidR="003F2E01">
        <w:t>.</w:t>
      </w:r>
    </w:p>
    <w:p w14:paraId="5F6D9D5E" w14:textId="7B05FCC0" w:rsidR="00B87057" w:rsidRPr="00BC183D" w:rsidRDefault="00B87057" w:rsidP="000022E1">
      <w:r w:rsidRPr="00BC183D">
        <w:t xml:space="preserve">Schemes established </w:t>
      </w:r>
      <w:r w:rsidR="003B4D30">
        <w:t>after</w:t>
      </w:r>
      <w:r w:rsidRPr="00BC183D">
        <w:t xml:space="preserve"> September 2001 were generally </w:t>
      </w:r>
      <w:r w:rsidR="00172528">
        <w:t xml:space="preserve">set </w:t>
      </w:r>
      <w:r w:rsidR="00F664C3">
        <w:t xml:space="preserve">up </w:t>
      </w:r>
      <w:r w:rsidR="00172528">
        <w:t xml:space="preserve">as </w:t>
      </w:r>
      <w:r w:rsidRPr="00BC183D">
        <w:t>immediate response</w:t>
      </w:r>
      <w:r w:rsidR="00172528">
        <w:t>s</w:t>
      </w:r>
      <w:r w:rsidRPr="00BC183D">
        <w:t xml:space="preserve"> to</w:t>
      </w:r>
      <w:r w:rsidR="00172528">
        <w:t xml:space="preserve"> </w:t>
      </w:r>
      <w:r w:rsidRPr="00BC183D">
        <w:t>market failure in terrorism insurance</w:t>
      </w:r>
      <w:r w:rsidR="00F664C3">
        <w:t xml:space="preserve">, and were </w:t>
      </w:r>
      <w:r w:rsidRPr="00BC183D">
        <w:t>expected to be temporary in nature. Reflecting this, some schemes, such as those in Germany and the United States, i</w:t>
      </w:r>
      <w:r>
        <w:t>nclude sunset clauses. Similar</w:t>
      </w:r>
      <w:r w:rsidRPr="00BC183D">
        <w:t xml:space="preserve"> to the Australian scheme</w:t>
      </w:r>
      <w:r>
        <w:t>,</w:t>
      </w:r>
      <w:r w:rsidRPr="00BC183D">
        <w:t xml:space="preserve"> they exist on a temporary basis with the intention that they only continue to operate whil</w:t>
      </w:r>
      <w:r w:rsidR="00F664C3">
        <w:t>e</w:t>
      </w:r>
      <w:r w:rsidRPr="00BC183D">
        <w:t xml:space="preserve"> sufficient terrorism insurance cover remains commercially unavailable on reasonable terms. As with the Australian scheme, these two schemes are also subject to periodic review. Both the United States and German governments have extended their respective schemes.</w:t>
      </w:r>
    </w:p>
    <w:p w14:paraId="0B3B0547" w14:textId="5603373B" w:rsidR="00172528" w:rsidRDefault="00172528" w:rsidP="000022E1">
      <w:r>
        <w:t>Internationally, many terrorism</w:t>
      </w:r>
      <w:r w:rsidRPr="00172528">
        <w:t xml:space="preserve"> schemes are public sector schemes, </w:t>
      </w:r>
      <w:r>
        <w:t>owned by the government. Ho</w:t>
      </w:r>
      <w:r w:rsidRPr="00172528">
        <w:t>wever</w:t>
      </w:r>
      <w:r>
        <w:t>,</w:t>
      </w:r>
      <w:r w:rsidRPr="00172528">
        <w:t xml:space="preserve"> some are public</w:t>
      </w:r>
      <w:r w:rsidR="008A07A0">
        <w:noBreakHyphen/>
      </w:r>
      <w:r w:rsidRPr="00172528">
        <w:t>private partne</w:t>
      </w:r>
      <w:r>
        <w:t xml:space="preserve">rships run by </w:t>
      </w:r>
      <w:r w:rsidR="003F2E01">
        <w:t xml:space="preserve">an </w:t>
      </w:r>
      <w:r>
        <w:t>administrator operated as a mutual on behalf of insurance companies, but backed by a government guarantee.</w:t>
      </w:r>
      <w:r w:rsidR="00FC1F7A">
        <w:t xml:space="preserve"> </w:t>
      </w:r>
    </w:p>
    <w:p w14:paraId="72463E5F" w14:textId="469E0174" w:rsidR="00B53C9F" w:rsidRDefault="00B53C9F" w:rsidP="000022E1">
      <w:r>
        <w:t>Private sector provision of terrorism insurance around the world is limited</w:t>
      </w:r>
      <w:r w:rsidR="00F664C3">
        <w:t>. I</w:t>
      </w:r>
      <w:r>
        <w:t>n most countries</w:t>
      </w:r>
      <w:r w:rsidR="00F664C3">
        <w:t>,</w:t>
      </w:r>
      <w:r>
        <w:t xml:space="preserve"> the private sector does not provide terrorism insurance, even in countries where there is no terrorism insurance scheme. </w:t>
      </w:r>
      <w:r w:rsidR="00F664C3">
        <w:t xml:space="preserve">In </w:t>
      </w:r>
      <w:r>
        <w:t>India and Singapore</w:t>
      </w:r>
      <w:r w:rsidR="00F664C3">
        <w:t>,</w:t>
      </w:r>
      <w:r>
        <w:t xml:space="preserve"> limited terrorism reinsurance is pro</w:t>
      </w:r>
      <w:r w:rsidR="00FC1F7A">
        <w:t xml:space="preserve">vided by industry consortiums. </w:t>
      </w:r>
    </w:p>
    <w:p w14:paraId="0BD3AA97" w14:textId="51523916" w:rsidR="00B87057" w:rsidRPr="00035E7E" w:rsidRDefault="00B87057" w:rsidP="000022E1">
      <w:r w:rsidRPr="00035E7E">
        <w:t>While the Australian scheme covers property that ha</w:t>
      </w:r>
      <w:r>
        <w:t>s predominantly commercial floor</w:t>
      </w:r>
      <w:r w:rsidRPr="00035E7E">
        <w:t xml:space="preserve"> space, a number of schemes among other OECD countries go further, covering </w:t>
      </w:r>
      <w:r w:rsidR="00356DB6">
        <w:t xml:space="preserve">all commercial property, </w:t>
      </w:r>
      <w:r w:rsidRPr="00035E7E">
        <w:t xml:space="preserve">residential property and their contents. The German, </w:t>
      </w:r>
      <w:r>
        <w:t>UK</w:t>
      </w:r>
      <w:r w:rsidRPr="00035E7E">
        <w:t xml:space="preserve"> and </w:t>
      </w:r>
      <w:proofErr w:type="gramStart"/>
      <w:r w:rsidR="00F664C3">
        <w:t>US</w:t>
      </w:r>
      <w:proofErr w:type="gramEnd"/>
      <w:r w:rsidRPr="00035E7E">
        <w:t xml:space="preserve"> schemes </w:t>
      </w:r>
      <w:r w:rsidR="00F664C3">
        <w:t>resemble</w:t>
      </w:r>
      <w:r w:rsidRPr="00035E7E">
        <w:t xml:space="preserve"> the Australian scheme</w:t>
      </w:r>
      <w:r w:rsidR="00F664C3">
        <w:t xml:space="preserve"> most</w:t>
      </w:r>
      <w:r w:rsidRPr="00035E7E">
        <w:t>, focussing on cover for commercial property and business interruption.</w:t>
      </w:r>
    </w:p>
    <w:p w14:paraId="524421DF" w14:textId="20E43E71" w:rsidR="00B87057" w:rsidRDefault="00B87057" w:rsidP="000022E1">
      <w:r w:rsidRPr="00035E7E">
        <w:t>Similarly, while the Australian scheme excludes cover for nuclear and radiological</w:t>
      </w:r>
      <w:r w:rsidR="00935C0E">
        <w:t xml:space="preserve"> risks</w:t>
      </w:r>
      <w:r w:rsidRPr="00035E7E">
        <w:t xml:space="preserve">, </w:t>
      </w:r>
      <w:r w:rsidR="00935C0E">
        <w:t>they</w:t>
      </w:r>
      <w:r w:rsidRPr="00035E7E">
        <w:t xml:space="preserve"> are covered by a number of other schemes. </w:t>
      </w:r>
      <w:r w:rsidR="00935C0E">
        <w:t>The</w:t>
      </w:r>
      <w:r w:rsidRPr="00035E7E">
        <w:t xml:space="preserve"> Danish scheme was established specifically to cover nuclear, radiological, chemical and biological risks. </w:t>
      </w:r>
      <w:r w:rsidR="00935C0E">
        <w:t>The</w:t>
      </w:r>
      <w:r w:rsidRPr="00035E7E">
        <w:t xml:space="preserve"> German scheme</w:t>
      </w:r>
      <w:r w:rsidR="00935C0E">
        <w:t xml:space="preserve">, on the other hand, </w:t>
      </w:r>
      <w:r w:rsidRPr="00035E7E">
        <w:t>excludes nuclear risks</w:t>
      </w:r>
      <w:r w:rsidR="00935C0E">
        <w:t xml:space="preserve">, while </w:t>
      </w:r>
      <w:r w:rsidRPr="00035E7E">
        <w:t>insurers in the United States have the option to exclude coverage for NBCR risks.</w:t>
      </w:r>
    </w:p>
    <w:p w14:paraId="0F2D0A26" w14:textId="77777777" w:rsidR="00FE35F5" w:rsidRDefault="000129ED" w:rsidP="00FE35F5">
      <w:pPr>
        <w:spacing w:after="0" w:line="240" w:lineRule="auto"/>
        <w:jc w:val="left"/>
        <w:sectPr w:rsidR="00FE35F5" w:rsidSect="00C545A6">
          <w:type w:val="oddPage"/>
          <w:pgSz w:w="11906" w:h="16838" w:code="9"/>
          <w:pgMar w:top="1440" w:right="1440" w:bottom="1440" w:left="1440" w:header="709" w:footer="709" w:gutter="0"/>
          <w:cols w:space="708"/>
          <w:titlePg/>
          <w:docGrid w:linePitch="360"/>
        </w:sectPr>
      </w:pPr>
      <w:bookmarkStart w:id="138" w:name="_Toc409618525"/>
      <w:bookmarkStart w:id="139" w:name="_Toc409630056"/>
      <w:bookmarkStart w:id="140" w:name="_Toc410229548"/>
      <w:r>
        <w:t xml:space="preserve">For a detailed description of the operation and ownership structures of </w:t>
      </w:r>
      <w:r w:rsidR="00356DB6">
        <w:t>foreign</w:t>
      </w:r>
      <w:r>
        <w:t xml:space="preserve"> terrorism insurance schemes</w:t>
      </w:r>
      <w:r w:rsidR="00935C0E">
        <w:t>,</w:t>
      </w:r>
      <w:r>
        <w:t xml:space="preserve"> see </w:t>
      </w:r>
      <w:r w:rsidR="00356DB6">
        <w:t>Section 5</w:t>
      </w:r>
      <w:r w:rsidR="000022E1">
        <w:t xml:space="preserve"> of the </w:t>
      </w:r>
      <w:proofErr w:type="spellStart"/>
      <w:r w:rsidR="000022E1">
        <w:t>Pottinger</w:t>
      </w:r>
      <w:proofErr w:type="spellEnd"/>
      <w:r w:rsidR="000022E1">
        <w:t xml:space="preserve"> Report.</w:t>
      </w:r>
      <w:bookmarkStart w:id="141" w:name="_Toc437337985"/>
      <w:bookmarkStart w:id="142" w:name="_Toc437338034"/>
      <w:bookmarkStart w:id="143" w:name="_Toc437338133"/>
      <w:bookmarkEnd w:id="129"/>
      <w:bookmarkEnd w:id="138"/>
      <w:bookmarkEnd w:id="139"/>
      <w:bookmarkEnd w:id="140"/>
    </w:p>
    <w:p w14:paraId="6F7AC09B" w14:textId="39826A85" w:rsidR="00301754" w:rsidRDefault="00301754" w:rsidP="00301754">
      <w:pPr>
        <w:pStyle w:val="AppendixHeading"/>
      </w:pPr>
      <w:bookmarkStart w:id="144" w:name="_Toc437874252"/>
      <w:bookmarkStart w:id="145" w:name="_Toc437874641"/>
      <w:bookmarkStart w:id="146" w:name="_Toc437875730"/>
      <w:bookmarkStart w:id="147" w:name="_Toc437876605"/>
      <w:bookmarkStart w:id="148" w:name="_Toc437876687"/>
      <w:bookmarkStart w:id="149" w:name="_Toc437877571"/>
      <w:r>
        <w:t>Annex A</w:t>
      </w:r>
      <w:r w:rsidRPr="003D30BA">
        <w:t xml:space="preserve">:  </w:t>
      </w:r>
      <w:proofErr w:type="spellStart"/>
      <w:r>
        <w:t>Pottinger</w:t>
      </w:r>
      <w:proofErr w:type="spellEnd"/>
      <w:r>
        <w:t xml:space="preserve"> Report</w:t>
      </w:r>
      <w:bookmarkEnd w:id="141"/>
      <w:bookmarkEnd w:id="142"/>
      <w:bookmarkEnd w:id="143"/>
      <w:bookmarkEnd w:id="144"/>
      <w:bookmarkEnd w:id="145"/>
      <w:bookmarkEnd w:id="146"/>
      <w:bookmarkEnd w:id="147"/>
      <w:bookmarkEnd w:id="148"/>
      <w:bookmarkEnd w:id="149"/>
    </w:p>
    <w:p w14:paraId="04B11BD1" w14:textId="77777777" w:rsidR="00C545A6" w:rsidRDefault="00C545A6">
      <w:pPr>
        <w:spacing w:after="200" w:line="276" w:lineRule="auto"/>
        <w:jc w:val="left"/>
        <w:sectPr w:rsidR="00C545A6" w:rsidSect="00FE35F5">
          <w:footerReference w:type="even" r:id="rId25"/>
          <w:footerReference w:type="first" r:id="rId26"/>
          <w:type w:val="oddPage"/>
          <w:pgSz w:w="11906" w:h="16838" w:code="9"/>
          <w:pgMar w:top="1440" w:right="1440" w:bottom="1440" w:left="1440" w:header="709" w:footer="709" w:gutter="0"/>
          <w:cols w:space="708"/>
          <w:titlePg/>
          <w:docGrid w:linePitch="360"/>
        </w:sectPr>
      </w:pPr>
    </w:p>
    <w:p w14:paraId="64E46CC2" w14:textId="35ECE668" w:rsidR="00301754" w:rsidRDefault="00301754" w:rsidP="00301754">
      <w:pPr>
        <w:pStyle w:val="AppendixHeading"/>
      </w:pPr>
      <w:bookmarkStart w:id="150" w:name="_Toc437337986"/>
      <w:bookmarkStart w:id="151" w:name="_Toc437338035"/>
      <w:bookmarkStart w:id="152" w:name="_Toc437338134"/>
      <w:bookmarkStart w:id="153" w:name="_Toc437874253"/>
      <w:bookmarkStart w:id="154" w:name="_Toc437874642"/>
      <w:bookmarkStart w:id="155" w:name="_Toc437875731"/>
      <w:bookmarkStart w:id="156" w:name="_Toc437876606"/>
      <w:bookmarkStart w:id="157" w:name="_Toc437876688"/>
      <w:bookmarkStart w:id="158" w:name="_Toc437877572"/>
      <w:r>
        <w:t>Annex B</w:t>
      </w:r>
      <w:r w:rsidRPr="003D30BA">
        <w:t xml:space="preserve">:  </w:t>
      </w:r>
      <w:proofErr w:type="spellStart"/>
      <w:r>
        <w:t>Finity</w:t>
      </w:r>
      <w:proofErr w:type="spellEnd"/>
      <w:r>
        <w:t xml:space="preserve"> Report</w:t>
      </w:r>
      <w:bookmarkEnd w:id="150"/>
      <w:bookmarkEnd w:id="151"/>
      <w:bookmarkEnd w:id="152"/>
      <w:bookmarkEnd w:id="153"/>
      <w:bookmarkEnd w:id="154"/>
      <w:bookmarkEnd w:id="155"/>
      <w:bookmarkEnd w:id="156"/>
      <w:bookmarkEnd w:id="157"/>
      <w:bookmarkEnd w:id="158"/>
    </w:p>
    <w:p w14:paraId="73B9C9DF" w14:textId="5B3D498E" w:rsidR="00301754" w:rsidRPr="00301754" w:rsidRDefault="00301754" w:rsidP="00301754"/>
    <w:p w14:paraId="6A25108E" w14:textId="4A271820" w:rsidR="000022E1" w:rsidRPr="00951A43" w:rsidRDefault="000022E1" w:rsidP="00F26F90">
      <w:pPr>
        <w:spacing w:after="0" w:line="240" w:lineRule="auto"/>
        <w:jc w:val="left"/>
      </w:pPr>
    </w:p>
    <w:sectPr w:rsidR="000022E1" w:rsidRPr="00951A43" w:rsidSect="00FE35F5">
      <w:type w:val="oddPage"/>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900FC" w14:textId="77777777" w:rsidR="00685DAA" w:rsidRDefault="00685DAA" w:rsidP="00D85D73">
      <w:r>
        <w:separator/>
      </w:r>
    </w:p>
  </w:endnote>
  <w:endnote w:type="continuationSeparator" w:id="0">
    <w:p w14:paraId="2ECC3119" w14:textId="77777777" w:rsidR="00685DAA" w:rsidRDefault="00685DAA" w:rsidP="00D85D73">
      <w:r>
        <w:continuationSeparator/>
      </w:r>
    </w:p>
  </w:endnote>
  <w:endnote w:type="continuationNotice" w:id="1">
    <w:p w14:paraId="73FF03A3" w14:textId="77777777" w:rsidR="00685DAA" w:rsidRDefault="00685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A5DDB" w14:textId="77777777" w:rsidR="00685DAA" w:rsidRDefault="00685DAA">
    <w:pPr>
      <w:pStyle w:val="FooterEven"/>
      <w:rPr>
        <w:noProof/>
      </w:rPr>
    </w:pPr>
    <w:r>
      <w:t xml:space="preserve">Page </w:t>
    </w:r>
    <w:r>
      <w:fldChar w:fldCharType="begin"/>
    </w:r>
    <w:r>
      <w:instrText xml:space="preserve"> PAGE  \* Arabic  \* MERGEFORMAT </w:instrText>
    </w:r>
    <w:r>
      <w:fldChar w:fldCharType="separate"/>
    </w:r>
    <w:r w:rsidR="00A3479F">
      <w:rPr>
        <w:noProof/>
      </w:rPr>
      <w:t>32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C20CD" w14:textId="77777777" w:rsidR="00685DAA" w:rsidRDefault="00685DAA">
    <w:pPr>
      <w:pStyle w:val="FooterOdd"/>
      <w:rPr>
        <w:noProof/>
      </w:rPr>
    </w:pPr>
    <w:r>
      <w:t xml:space="preserve">Page </w:t>
    </w:r>
    <w:r>
      <w:fldChar w:fldCharType="begin"/>
    </w:r>
    <w:r>
      <w:instrText xml:space="preserve"> PAGE   \* MERGEFORMAT </w:instrText>
    </w:r>
    <w:r>
      <w:fldChar w:fldCharType="separate"/>
    </w:r>
    <w:r w:rsidR="00A3479F">
      <w:rPr>
        <w:noProof/>
      </w:rPr>
      <w:t>27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849D0" w14:textId="77777777" w:rsidR="00A3479F" w:rsidRDefault="00A347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3E837" w14:textId="007C044F" w:rsidR="008A166D" w:rsidRPr="00781757" w:rsidRDefault="008A166D" w:rsidP="007817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4EC5" w14:textId="77777777" w:rsidR="00781757" w:rsidRDefault="00781757" w:rsidP="007D1246">
    <w:pPr>
      <w:pStyle w:val="FooterOdd"/>
      <w:tabs>
        <w:tab w:val="left" w:pos="8265"/>
        <w:tab w:val="right" w:pos="9026"/>
      </w:tabs>
    </w:pPr>
    <w:r w:rsidRPr="005317EF">
      <w:t xml:space="preserve">Page </w:t>
    </w:r>
    <w:r w:rsidRPr="001B2B97">
      <w:fldChar w:fldCharType="begin"/>
    </w:r>
    <w:r w:rsidRPr="001B2B97">
      <w:instrText xml:space="preserve"> PAGE </w:instrText>
    </w:r>
    <w:r w:rsidRPr="001B2B97">
      <w:fldChar w:fldCharType="separate"/>
    </w:r>
    <w:r w:rsidR="00A3479F">
      <w:rPr>
        <w:noProof/>
      </w:rPr>
      <w:t>31</w:t>
    </w:r>
    <w:r w:rsidRPr="001B2B97">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07D6" w14:textId="671692FA" w:rsidR="00FE35F5" w:rsidRPr="00FE35F5" w:rsidRDefault="00FE35F5" w:rsidP="00FE35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E1FB" w14:textId="681172C9" w:rsidR="00FE35F5" w:rsidRDefault="00FE35F5" w:rsidP="00371601">
    <w:pPr>
      <w:pStyle w:val="FooterOdd"/>
      <w:tabs>
        <w:tab w:val="left" w:pos="8265"/>
        <w:tab w:val="right" w:pos="9026"/>
      </w:tabs>
      <w:jc w:val="lef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CE80F" w14:textId="77777777" w:rsidR="00685DAA" w:rsidRDefault="00685DAA" w:rsidP="00D85D73">
      <w:r>
        <w:separator/>
      </w:r>
    </w:p>
  </w:footnote>
  <w:footnote w:type="continuationSeparator" w:id="0">
    <w:p w14:paraId="5078CB81" w14:textId="77777777" w:rsidR="00685DAA" w:rsidRDefault="00685DAA" w:rsidP="00D85D73">
      <w:r>
        <w:continuationSeparator/>
      </w:r>
    </w:p>
  </w:footnote>
  <w:footnote w:type="continuationNotice" w:id="1">
    <w:p w14:paraId="1117A4E6" w14:textId="77777777" w:rsidR="00685DAA" w:rsidRDefault="00685DAA"/>
  </w:footnote>
  <w:footnote w:id="2">
    <w:p w14:paraId="71C6090E" w14:textId="77777777" w:rsidR="00685DAA" w:rsidRPr="00755335" w:rsidRDefault="00685DAA" w:rsidP="00755335">
      <w:pPr>
        <w:pStyle w:val="FootnoteText"/>
      </w:pPr>
      <w:r w:rsidRPr="00755335">
        <w:rPr>
          <w:rStyle w:val="FootnoteReference"/>
          <w:vertAlign w:val="baseline"/>
        </w:rPr>
        <w:footnoteRef/>
      </w:r>
      <w:r w:rsidRPr="00755335">
        <w:tab/>
      </w:r>
      <w:r w:rsidRPr="009F7DAD">
        <w:rPr>
          <w:i/>
        </w:rPr>
        <w:t>Terrorism Insurance Act 2003</w:t>
      </w:r>
      <w:r w:rsidRPr="00755335">
        <w:t>, section 41.</w:t>
      </w:r>
    </w:p>
  </w:footnote>
  <w:footnote w:id="3">
    <w:p w14:paraId="75CB8FDF" w14:textId="5925B5CD" w:rsidR="00685DAA" w:rsidRDefault="00685DAA">
      <w:pPr>
        <w:pStyle w:val="FootnoteText"/>
      </w:pPr>
      <w:r w:rsidRPr="008C307B">
        <w:rPr>
          <w:i/>
        </w:rPr>
        <w:footnoteRef/>
      </w:r>
      <w:r w:rsidRPr="008C307B">
        <w:rPr>
          <w:i/>
        </w:rPr>
        <w:t xml:space="preserve"> </w:t>
      </w:r>
      <w:r>
        <w:rPr>
          <w:i/>
        </w:rPr>
        <w:tab/>
      </w:r>
      <w:r w:rsidRPr="003371F8">
        <w:rPr>
          <w:i/>
        </w:rPr>
        <w:t>Towards Responsible Government, The Report of the National Commission of Audit, Phase One</w:t>
      </w:r>
      <w:r w:rsidRPr="008C307B">
        <w:rPr>
          <w:i/>
        </w:rPr>
        <w:t>, p. 205</w:t>
      </w:r>
    </w:p>
  </w:footnote>
  <w:footnote w:id="4">
    <w:p w14:paraId="555650BA" w14:textId="77777777" w:rsidR="00685DAA" w:rsidRPr="00755335" w:rsidRDefault="00685DAA" w:rsidP="009F7DAD">
      <w:pPr>
        <w:pStyle w:val="FootnoteText"/>
        <w:jc w:val="left"/>
      </w:pPr>
      <w:r w:rsidRPr="00755335">
        <w:rPr>
          <w:rStyle w:val="FootnoteReference"/>
          <w:vertAlign w:val="baseline"/>
        </w:rPr>
        <w:footnoteRef/>
      </w:r>
      <w:r w:rsidRPr="00755335">
        <w:tab/>
      </w:r>
      <w:r w:rsidRPr="009F7DAD">
        <w:rPr>
          <w:i/>
        </w:rPr>
        <w:t>Terrorism Insurance Act 2003</w:t>
      </w:r>
      <w:r w:rsidRPr="00755335">
        <w:t>, sections 6</w:t>
      </w:r>
      <w:r>
        <w:noBreakHyphen/>
      </w:r>
      <w:r w:rsidRPr="00755335">
        <w:t>8.</w:t>
      </w:r>
    </w:p>
  </w:footnote>
  <w:footnote w:id="5">
    <w:p w14:paraId="6B63C5F6" w14:textId="77777777" w:rsidR="00685DAA" w:rsidRPr="00755335" w:rsidRDefault="00685DAA" w:rsidP="009F7DAD">
      <w:pPr>
        <w:pStyle w:val="FootnoteText"/>
        <w:jc w:val="left"/>
      </w:pPr>
      <w:r w:rsidRPr="00755335">
        <w:rPr>
          <w:rStyle w:val="FootnoteReference"/>
          <w:vertAlign w:val="baseline"/>
        </w:rPr>
        <w:footnoteRef/>
      </w:r>
      <w:r w:rsidRPr="00755335">
        <w:tab/>
      </w:r>
      <w:r w:rsidRPr="009F7DAD">
        <w:rPr>
          <w:i/>
        </w:rPr>
        <w:t>Terrorism Insurance Act 2003</w:t>
      </w:r>
      <w:r w:rsidRPr="00755335">
        <w:t>, subsection 7(1).</w:t>
      </w:r>
    </w:p>
  </w:footnote>
  <w:footnote w:id="6">
    <w:p w14:paraId="6DAE58C3" w14:textId="77777777" w:rsidR="00685DAA" w:rsidRPr="00755335" w:rsidRDefault="00685DAA" w:rsidP="009F7DAD">
      <w:pPr>
        <w:pStyle w:val="FootnoteText"/>
        <w:jc w:val="left"/>
      </w:pPr>
      <w:r w:rsidRPr="00755335">
        <w:footnoteRef/>
      </w:r>
      <w:r w:rsidRPr="00755335">
        <w:tab/>
      </w:r>
      <w:r w:rsidRPr="009F7DAD">
        <w:rPr>
          <w:i/>
        </w:rPr>
        <w:t>Terrorism Insurance Act 2003</w:t>
      </w:r>
      <w:r w:rsidRPr="00755335">
        <w:t>, section 3.</w:t>
      </w:r>
    </w:p>
  </w:footnote>
  <w:footnote w:id="7">
    <w:p w14:paraId="54902E58" w14:textId="77777777" w:rsidR="00685DAA" w:rsidRPr="00755335" w:rsidRDefault="00685DAA" w:rsidP="00755335">
      <w:pPr>
        <w:pStyle w:val="FootnoteText"/>
      </w:pPr>
      <w:r w:rsidRPr="00755335">
        <w:rPr>
          <w:rStyle w:val="FootnoteReference"/>
          <w:vertAlign w:val="baseline"/>
        </w:rPr>
        <w:footnoteRef/>
      </w:r>
      <w:r w:rsidRPr="00755335">
        <w:t xml:space="preserve"> </w:t>
      </w:r>
      <w:r>
        <w:tab/>
      </w:r>
      <w:r w:rsidRPr="00755335">
        <w:t>Australian Reinsurance Pool Corporation</w:t>
      </w:r>
      <w:r>
        <w:t>,</w:t>
      </w:r>
      <w:r w:rsidRPr="00755335">
        <w:t xml:space="preserve"> </w:t>
      </w:r>
      <w:r w:rsidRPr="00C71E5C">
        <w:rPr>
          <w:i/>
        </w:rPr>
        <w:t>Annual Report</w:t>
      </w:r>
      <w:r>
        <w:t xml:space="preserve"> </w:t>
      </w:r>
      <w:r w:rsidRPr="00755335">
        <w:t>2013</w:t>
      </w:r>
      <w:r>
        <w:noBreakHyphen/>
      </w:r>
      <w:r w:rsidRPr="00755335">
        <w:t>2014, page 32.</w:t>
      </w:r>
    </w:p>
  </w:footnote>
  <w:footnote w:id="8">
    <w:p w14:paraId="12F8E78E" w14:textId="77777777" w:rsidR="00685DAA" w:rsidRDefault="00685DAA" w:rsidP="00F64173">
      <w:pPr>
        <w:pStyle w:val="FootnoteText"/>
      </w:pPr>
      <w:r w:rsidRPr="008C307B">
        <w:rPr>
          <w:i/>
        </w:rPr>
        <w:footnoteRef/>
      </w:r>
      <w:r w:rsidRPr="008C307B">
        <w:rPr>
          <w:i/>
        </w:rPr>
        <w:t xml:space="preserve"> </w:t>
      </w:r>
      <w:r>
        <w:rPr>
          <w:i/>
        </w:rPr>
        <w:tab/>
      </w:r>
      <w:r w:rsidRPr="003371F8">
        <w:rPr>
          <w:i/>
        </w:rPr>
        <w:t>Towards Responsible Government, The Report of the National Commission of Audit, Phase One</w:t>
      </w:r>
      <w:r w:rsidRPr="008C307B">
        <w:rPr>
          <w:i/>
        </w:rPr>
        <w:t>, p. 205</w:t>
      </w:r>
    </w:p>
  </w:footnote>
  <w:footnote w:id="9">
    <w:p w14:paraId="3A4EC966" w14:textId="77777777" w:rsidR="00685DAA" w:rsidRPr="00755335" w:rsidRDefault="00685DAA" w:rsidP="00755335">
      <w:pPr>
        <w:pStyle w:val="FootnoteText"/>
      </w:pPr>
      <w:r w:rsidRPr="00755335">
        <w:rPr>
          <w:rStyle w:val="FootnoteReference"/>
          <w:vertAlign w:val="baseline"/>
        </w:rPr>
        <w:footnoteRef/>
      </w:r>
      <w:r w:rsidRPr="00755335">
        <w:t xml:space="preserve"> </w:t>
      </w:r>
      <w:r>
        <w:tab/>
      </w:r>
      <w:r w:rsidRPr="00755335">
        <w:t xml:space="preserve">ARPC </w:t>
      </w:r>
      <w:proofErr w:type="gramStart"/>
      <w:r w:rsidRPr="00755335">
        <w:t>Autumn</w:t>
      </w:r>
      <w:proofErr w:type="gramEnd"/>
      <w:r w:rsidRPr="00755335">
        <w:t xml:space="preserve"> 2013 </w:t>
      </w:r>
      <w:r w:rsidRPr="003614F7">
        <w:rPr>
          <w:i/>
        </w:rPr>
        <w:t>‘Under the Cover’</w:t>
      </w:r>
      <w:r w:rsidRPr="00755335">
        <w:t xml:space="preserve">. </w:t>
      </w:r>
    </w:p>
  </w:footnote>
  <w:footnote w:id="10">
    <w:p w14:paraId="7B912950" w14:textId="2BB4645D" w:rsidR="00685DAA" w:rsidRPr="00755335" w:rsidRDefault="00685DAA" w:rsidP="00755335">
      <w:pPr>
        <w:pStyle w:val="FootnoteText"/>
      </w:pPr>
      <w:r w:rsidRPr="00755335">
        <w:rPr>
          <w:rStyle w:val="FootnoteReference"/>
          <w:vertAlign w:val="baseline"/>
        </w:rPr>
        <w:footnoteRef/>
      </w:r>
      <w:r w:rsidRPr="00755335">
        <w:t xml:space="preserve"> </w:t>
      </w:r>
      <w:r>
        <w:tab/>
      </w:r>
      <w:r w:rsidRPr="00755335">
        <w:t xml:space="preserve">The </w:t>
      </w:r>
      <w:proofErr w:type="spellStart"/>
      <w:r w:rsidRPr="00755335">
        <w:t>Pottinger</w:t>
      </w:r>
      <w:proofErr w:type="spellEnd"/>
      <w:r w:rsidRPr="00755335">
        <w:t xml:space="preserve"> report examines alternative options which do not </w:t>
      </w:r>
      <w:r>
        <w:t xml:space="preserve">involve </w:t>
      </w:r>
      <w:r w:rsidRPr="00755335">
        <w:t>pool</w:t>
      </w:r>
      <w:r>
        <w:t>ing</w:t>
      </w:r>
      <w:r w:rsidRPr="00755335">
        <w:t xml:space="preserve"> in Section 6.7</w:t>
      </w:r>
      <w:r>
        <w:t xml:space="preserve"> of their report</w:t>
      </w:r>
      <w:r w:rsidRPr="00755335">
        <w:t>.</w:t>
      </w:r>
    </w:p>
  </w:footnote>
  <w:footnote w:id="11">
    <w:p w14:paraId="72320957" w14:textId="19827B41" w:rsidR="00685DAA" w:rsidRDefault="00685DAA">
      <w:pPr>
        <w:pStyle w:val="FootnoteText"/>
      </w:pPr>
      <w:r>
        <w:rPr>
          <w:rStyle w:val="FootnoteReference"/>
        </w:rPr>
        <w:footnoteRef/>
      </w:r>
      <w:r>
        <w:t xml:space="preserve"> Tier A is CBDs of cities with populations over 1 million.</w:t>
      </w:r>
    </w:p>
    <w:p w14:paraId="0A89DAB6" w14:textId="186CA640" w:rsidR="00685DAA" w:rsidRDefault="00685DAA">
      <w:pPr>
        <w:pStyle w:val="FootnoteText"/>
      </w:pPr>
      <w:r>
        <w:t xml:space="preserve">Tier B is urban areas of all State capitals plus cities with populations over 100,000 </w:t>
      </w:r>
      <w:proofErr w:type="spellStart"/>
      <w:r>
        <w:t>eg</w:t>
      </w:r>
      <w:proofErr w:type="spellEnd"/>
      <w:r>
        <w:t xml:space="preserve"> Newcastle, Geelong, Wollongong.</w:t>
      </w:r>
    </w:p>
    <w:p w14:paraId="10CC5EFC" w14:textId="0A63F3CE" w:rsidR="00685DAA" w:rsidRDefault="00685DAA">
      <w:pPr>
        <w:pStyle w:val="FootnoteText"/>
      </w:pPr>
      <w:r>
        <w:t>Tier C is all other areas of Australia</w:t>
      </w:r>
    </w:p>
  </w:footnote>
  <w:footnote w:id="12">
    <w:p w14:paraId="26B1E7F1" w14:textId="77777777" w:rsidR="00685DAA" w:rsidRPr="00755335" w:rsidRDefault="00685DAA" w:rsidP="000C163E">
      <w:pPr>
        <w:pStyle w:val="FootnoteText"/>
      </w:pPr>
      <w:r w:rsidRPr="00755335">
        <w:rPr>
          <w:rStyle w:val="FootnoteReference"/>
          <w:vertAlign w:val="baseline"/>
        </w:rPr>
        <w:footnoteRef/>
      </w:r>
      <w:r w:rsidRPr="00755335">
        <w:t xml:space="preserve"> </w:t>
      </w:r>
      <w:r>
        <w:tab/>
      </w:r>
      <w:proofErr w:type="gramStart"/>
      <w:r w:rsidRPr="00A6232E">
        <w:rPr>
          <w:i/>
        </w:rPr>
        <w:t>Terrorism Insurance Regulation</w:t>
      </w:r>
      <w:r>
        <w:rPr>
          <w:i/>
        </w:rPr>
        <w:t>s</w:t>
      </w:r>
      <w:r w:rsidRPr="00A6232E">
        <w:rPr>
          <w:i/>
        </w:rPr>
        <w:t xml:space="preserve"> 2003</w:t>
      </w:r>
      <w:r w:rsidRPr="00755335">
        <w:t>, No. 162, Explanatory Statement.</w:t>
      </w:r>
      <w:proofErr w:type="gramEnd"/>
    </w:p>
  </w:footnote>
  <w:footnote w:id="13">
    <w:p w14:paraId="121BD20F" w14:textId="77777777" w:rsidR="00685DAA" w:rsidRPr="00755335" w:rsidRDefault="00685DAA" w:rsidP="000C163E">
      <w:pPr>
        <w:pStyle w:val="FootnoteText"/>
      </w:pPr>
      <w:r w:rsidRPr="00755335">
        <w:rPr>
          <w:rStyle w:val="FootnoteReference"/>
          <w:vertAlign w:val="baseline"/>
        </w:rPr>
        <w:footnoteRef/>
      </w:r>
      <w:r w:rsidRPr="00755335">
        <w:t xml:space="preserve"> </w:t>
      </w:r>
      <w:r>
        <w:tab/>
      </w:r>
      <w:r w:rsidRPr="00A6232E">
        <w:rPr>
          <w:i/>
        </w:rPr>
        <w:t>Terrorism Insurance Regulation</w:t>
      </w:r>
      <w:r>
        <w:rPr>
          <w:i/>
        </w:rPr>
        <w:t>s</w:t>
      </w:r>
      <w:r w:rsidRPr="00A6232E">
        <w:rPr>
          <w:i/>
        </w:rPr>
        <w:t xml:space="preserve"> 2003</w:t>
      </w:r>
      <w:r w:rsidRPr="00755335">
        <w:t>, reg</w:t>
      </w:r>
      <w:r>
        <w:t>ulation</w:t>
      </w:r>
      <w:r w:rsidRPr="00755335">
        <w:t xml:space="preserve"> 7 and Schedule 1, paragraph 2(d).</w:t>
      </w:r>
    </w:p>
  </w:footnote>
  <w:footnote w:id="14">
    <w:p w14:paraId="3C39698F" w14:textId="77777777" w:rsidR="00685DAA" w:rsidRPr="00755335" w:rsidRDefault="00685DAA" w:rsidP="00755335">
      <w:pPr>
        <w:pStyle w:val="FootnoteText"/>
      </w:pPr>
      <w:r w:rsidRPr="00755335">
        <w:rPr>
          <w:rStyle w:val="FootnoteReference"/>
          <w:vertAlign w:val="baseline"/>
        </w:rPr>
        <w:footnoteRef/>
      </w:r>
      <w:r w:rsidRPr="00755335">
        <w:t xml:space="preserve"> </w:t>
      </w:r>
      <w:r>
        <w:tab/>
      </w:r>
      <w:proofErr w:type="spellStart"/>
      <w:r>
        <w:t>Pottinger</w:t>
      </w:r>
      <w:proofErr w:type="spellEnd"/>
      <w:r>
        <w:t xml:space="preserve"> Report, </w:t>
      </w:r>
      <w:r w:rsidRPr="00755335">
        <w:t xml:space="preserve">page </w:t>
      </w:r>
      <w:r>
        <w:t>76.</w:t>
      </w:r>
    </w:p>
  </w:footnote>
  <w:footnote w:id="15">
    <w:p w14:paraId="7249895B" w14:textId="7D9A7BD8" w:rsidR="00685DAA" w:rsidRDefault="00685DAA">
      <w:pPr>
        <w:pStyle w:val="FootnoteText"/>
      </w:pPr>
      <w:r>
        <w:rPr>
          <w:rStyle w:val="FootnoteReference"/>
        </w:rPr>
        <w:footnoteRef/>
      </w:r>
      <w:r>
        <w:t xml:space="preserve">    Op </w:t>
      </w:r>
      <w:proofErr w:type="spellStart"/>
      <w:r>
        <w:t>cit</w:t>
      </w:r>
      <w:proofErr w:type="spellEnd"/>
      <w:r>
        <w:t>, page 82</w:t>
      </w:r>
    </w:p>
  </w:footnote>
  <w:footnote w:id="16">
    <w:p w14:paraId="01935770" w14:textId="77777777" w:rsidR="00685DAA" w:rsidRPr="00755335" w:rsidRDefault="00685DAA" w:rsidP="00755335">
      <w:pPr>
        <w:pStyle w:val="FootnoteText"/>
      </w:pPr>
      <w:r w:rsidRPr="00755335">
        <w:rPr>
          <w:rStyle w:val="FootnoteReference"/>
          <w:vertAlign w:val="baseline"/>
        </w:rPr>
        <w:footnoteRef/>
      </w:r>
      <w:r w:rsidRPr="00755335">
        <w:t xml:space="preserve"> </w:t>
      </w:r>
      <w:r>
        <w:tab/>
      </w:r>
      <w:r w:rsidRPr="00755335">
        <w:t xml:space="preserve">Guy Carpenter, </w:t>
      </w:r>
      <w:r w:rsidRPr="009A2CD5">
        <w:rPr>
          <w:i/>
        </w:rPr>
        <w:t>‘A Comparison of the Federal Terrorism Insurance Backstop Legislation’</w:t>
      </w:r>
      <w:r w:rsidRPr="00755335">
        <w:t>, 8 January 2015.</w:t>
      </w:r>
    </w:p>
  </w:footnote>
  <w:footnote w:id="17">
    <w:p w14:paraId="0C8E17EA" w14:textId="77777777" w:rsidR="00685DAA" w:rsidRPr="00755335" w:rsidRDefault="00685DAA" w:rsidP="00755335">
      <w:pPr>
        <w:pStyle w:val="FootnoteText"/>
        <w:jc w:val="left"/>
      </w:pPr>
      <w:r w:rsidRPr="00755335">
        <w:rPr>
          <w:rStyle w:val="FootnoteReference"/>
          <w:vertAlign w:val="baseline"/>
        </w:rPr>
        <w:footnoteRef/>
      </w:r>
      <w:r w:rsidRPr="00755335">
        <w:t xml:space="preserve"> </w:t>
      </w:r>
      <w:r>
        <w:tab/>
      </w:r>
      <w:proofErr w:type="spellStart"/>
      <w:r>
        <w:t>Sturdevant</w:t>
      </w:r>
      <w:proofErr w:type="spellEnd"/>
      <w:r>
        <w:t xml:space="preserve">, Matthew </w:t>
      </w:r>
      <w:r w:rsidRPr="00755335">
        <w:t>31</w:t>
      </w:r>
      <w:r>
        <w:t> </w:t>
      </w:r>
      <w:r w:rsidRPr="00755335">
        <w:t>December</w:t>
      </w:r>
      <w:r>
        <w:t> </w:t>
      </w:r>
      <w:r w:rsidRPr="00755335">
        <w:t xml:space="preserve">2014, Hartford Courant, </w:t>
      </w:r>
      <w:hyperlink r:id="rId1" w:history="1">
        <w:r w:rsidRPr="00B82128">
          <w:rPr>
            <w:rStyle w:val="Hyperlink"/>
          </w:rPr>
          <w:t>www.courant.com/business/connecticut</w:t>
        </w:r>
        <w:r w:rsidRPr="00B82128">
          <w:rPr>
            <w:rStyle w:val="Hyperlink"/>
          </w:rPr>
          <w:noBreakHyphen/>
          <w:t>insurance/hc</w:t>
        </w:r>
        <w:r w:rsidRPr="00B82128">
          <w:rPr>
            <w:rStyle w:val="Hyperlink"/>
          </w:rPr>
          <w:noBreakHyphen/>
          <w:t>terrorism</w:t>
        </w:r>
        <w:r w:rsidRPr="00B82128">
          <w:rPr>
            <w:rStyle w:val="Hyperlink"/>
          </w:rPr>
          <w:noBreakHyphen/>
          <w:t>insurance</w:t>
        </w:r>
        <w:r w:rsidRPr="00B82128">
          <w:rPr>
            <w:rStyle w:val="Hyperlink"/>
          </w:rPr>
          <w:noBreakHyphen/>
          <w:t>act</w:t>
        </w:r>
        <w:r w:rsidRPr="00B82128">
          <w:rPr>
            <w:rStyle w:val="Hyperlink"/>
          </w:rPr>
          <w:noBreakHyphen/>
          <w:t>expires</w:t>
        </w:r>
        <w:r w:rsidRPr="00B82128">
          <w:rPr>
            <w:rStyle w:val="Hyperlink"/>
          </w:rPr>
          <w:noBreakHyphen/>
        </w:r>
        <w:r w:rsidRPr="00B82128">
          <w:rPr>
            <w:rStyle w:val="Hyperlink"/>
          </w:rPr>
          <w:br/>
          <w:t>20141231</w:t>
        </w:r>
        <w:r w:rsidRPr="00B82128">
          <w:rPr>
            <w:rStyle w:val="Hyperlink"/>
          </w:rPr>
          <w:noBreakHyphen/>
          <w:t>story.html</w:t>
        </w:r>
      </w:hyperlink>
      <w:proofErr w:type="gramStart"/>
      <w:r w:rsidRPr="00755335">
        <w:rPr>
          <w:rStyle w:val="Hyperlink"/>
          <w:color w:val="000000"/>
        </w:rPr>
        <w:t>,</w:t>
      </w:r>
      <w:r w:rsidRPr="00755335">
        <w:t>viewed</w:t>
      </w:r>
      <w:proofErr w:type="gramEnd"/>
      <w:r w:rsidRPr="00755335">
        <w:t xml:space="preserve"> 29 January 2015. </w:t>
      </w:r>
    </w:p>
  </w:footnote>
  <w:footnote w:id="18">
    <w:p w14:paraId="423836A3" w14:textId="77777777" w:rsidR="00685DAA" w:rsidRPr="00755335" w:rsidRDefault="00685DAA" w:rsidP="00755335">
      <w:pPr>
        <w:pStyle w:val="FootnoteText"/>
        <w:jc w:val="left"/>
      </w:pPr>
      <w:r w:rsidRPr="00755335">
        <w:rPr>
          <w:rStyle w:val="FootnoteReference"/>
          <w:vertAlign w:val="baseline"/>
        </w:rPr>
        <w:footnoteRef/>
      </w:r>
      <w:r w:rsidRPr="00755335">
        <w:t xml:space="preserve"> </w:t>
      </w:r>
      <w:r>
        <w:tab/>
      </w:r>
      <w:r w:rsidRPr="00755335">
        <w:t>Lehrer, Eli, 23 December 2014, The Weekly Standard,</w:t>
      </w:r>
      <w:r w:rsidRPr="00643C3E">
        <w:t xml:space="preserve"> </w:t>
      </w:r>
      <w:hyperlink r:id="rId2" w:history="1">
        <w:r w:rsidRPr="00514D2D">
          <w:rPr>
            <w:rStyle w:val="Hyperlink"/>
          </w:rPr>
          <w:t>www.weeklystandard.com/blogs/market</w:t>
        </w:r>
        <w:r w:rsidRPr="00514D2D">
          <w:rPr>
            <w:rStyle w:val="Hyperlink"/>
          </w:rPr>
          <w:noBreakHyphen/>
          <w:t>fine</w:t>
        </w:r>
        <w:r w:rsidRPr="00514D2D">
          <w:rPr>
            <w:rStyle w:val="Hyperlink"/>
          </w:rPr>
          <w:noBreakHyphen/>
          <w:t>after</w:t>
        </w:r>
        <w:r w:rsidRPr="00514D2D">
          <w:rPr>
            <w:rStyle w:val="Hyperlink"/>
          </w:rPr>
          <w:noBreakHyphen/>
          <w:t>congress</w:t>
        </w:r>
        <w:r w:rsidRPr="00514D2D">
          <w:rPr>
            <w:rStyle w:val="Hyperlink"/>
          </w:rPr>
          <w:noBreakHyphen/>
          <w:t>fails</w:t>
        </w:r>
        <w:r w:rsidRPr="00514D2D">
          <w:rPr>
            <w:rStyle w:val="Hyperlink"/>
          </w:rPr>
          <w:noBreakHyphen/>
          <w:t>reauthorize</w:t>
        </w:r>
        <w:r w:rsidRPr="00514D2D">
          <w:rPr>
            <w:rStyle w:val="Hyperlink"/>
          </w:rPr>
          <w:noBreakHyphen/>
          <w:t>fed</w:t>
        </w:r>
        <w:r w:rsidRPr="00514D2D">
          <w:rPr>
            <w:rStyle w:val="Hyperlink"/>
          </w:rPr>
          <w:noBreakHyphen/>
          <w:t>backed</w:t>
        </w:r>
        <w:r w:rsidRPr="00514D2D">
          <w:rPr>
            <w:rStyle w:val="Hyperlink"/>
          </w:rPr>
          <w:noBreakHyphen/>
          <w:t>terrorism</w:t>
        </w:r>
        <w:r w:rsidRPr="00514D2D">
          <w:rPr>
            <w:rStyle w:val="Hyperlink"/>
          </w:rPr>
          <w:noBreakHyphen/>
          <w:t>risk</w:t>
        </w:r>
        <w:r w:rsidRPr="00514D2D">
          <w:rPr>
            <w:rStyle w:val="Hyperlink"/>
          </w:rPr>
          <w:noBreakHyphen/>
        </w:r>
        <w:r w:rsidRPr="00514D2D">
          <w:rPr>
            <w:rStyle w:val="Hyperlink"/>
          </w:rPr>
          <w:br/>
          <w:t>insurance_822353.html</w:t>
        </w:r>
      </w:hyperlink>
      <w:r>
        <w:rPr>
          <w:rStyle w:val="Hyperlink"/>
        </w:rPr>
        <w:t>,</w:t>
      </w:r>
      <w:r w:rsidRPr="00755335">
        <w:t xml:space="preserve"> viewed 29 January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C981A" w14:textId="77777777" w:rsidR="00685DAA" w:rsidRDefault="00685DAA">
    <w:pPr>
      <w:framePr w:wrap="around" w:hAnchor="page" w:x="14460" w:yAlign="top" w:anchorLock="1"/>
      <w:textDirection w:val="tbRl"/>
      <w:rPr>
        <w:rStyle w:val="FramedHeader"/>
      </w:rPr>
    </w:pPr>
    <w:r>
      <w:rPr>
        <w:rStyle w:val="FramedHeader"/>
      </w:rPr>
      <w:t>Publication Title</w:t>
    </w:r>
  </w:p>
  <w:p w14:paraId="3253CDA0" w14:textId="2685421C" w:rsidR="00685DAA" w:rsidRDefault="001E0A0D">
    <w:pPr>
      <w:pStyle w:val="HeaderEven"/>
    </w:pPr>
    <w:r>
      <w:t>Terrorism Insurance Act Review: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FA40" w14:textId="0A56BB25" w:rsidR="001E0A0D" w:rsidRPr="001E0A0D" w:rsidRDefault="001E0A0D" w:rsidP="001E0A0D">
    <w:pPr>
      <w:pStyle w:val="HeaderOdd"/>
    </w:pPr>
    <w:fldSimple w:instr=" STYLEREF  &quot;Heading 1&quot;  \* MERGEFORMAT ">
      <w:r w:rsidR="00A3479F">
        <w:rPr>
          <w:noProof/>
        </w:rPr>
        <w:t>Chapter 5:  Clarifying the coverage of the scheme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79D7A" w14:textId="77777777" w:rsidR="00A3479F" w:rsidRDefault="00A347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76AF5E"/>
    <w:lvl w:ilvl="0">
      <w:start w:val="1"/>
      <w:numFmt w:val="decimal"/>
      <w:lvlText w:val="%1."/>
      <w:lvlJc w:val="left"/>
      <w:pPr>
        <w:tabs>
          <w:tab w:val="num" w:pos="1492"/>
        </w:tabs>
        <w:ind w:left="1492" w:hanging="360"/>
      </w:pPr>
    </w:lvl>
  </w:abstractNum>
  <w:abstractNum w:abstractNumId="1">
    <w:nsid w:val="FFFFFF7D"/>
    <w:multiLevelType w:val="singleLevel"/>
    <w:tmpl w:val="EEA2744C"/>
    <w:lvl w:ilvl="0">
      <w:start w:val="1"/>
      <w:numFmt w:val="decimal"/>
      <w:lvlText w:val="%1."/>
      <w:lvlJc w:val="left"/>
      <w:pPr>
        <w:tabs>
          <w:tab w:val="num" w:pos="1209"/>
        </w:tabs>
        <w:ind w:left="1209" w:hanging="360"/>
      </w:pPr>
    </w:lvl>
  </w:abstractNum>
  <w:abstractNum w:abstractNumId="2">
    <w:nsid w:val="FFFFFF7E"/>
    <w:multiLevelType w:val="singleLevel"/>
    <w:tmpl w:val="E2F43C9A"/>
    <w:lvl w:ilvl="0">
      <w:start w:val="1"/>
      <w:numFmt w:val="decimal"/>
      <w:lvlText w:val="%1."/>
      <w:lvlJc w:val="left"/>
      <w:pPr>
        <w:tabs>
          <w:tab w:val="num" w:pos="926"/>
        </w:tabs>
        <w:ind w:left="926" w:hanging="360"/>
      </w:pPr>
    </w:lvl>
  </w:abstractNum>
  <w:abstractNum w:abstractNumId="3">
    <w:nsid w:val="FFFFFF7F"/>
    <w:multiLevelType w:val="singleLevel"/>
    <w:tmpl w:val="A8D6C6DC"/>
    <w:lvl w:ilvl="0">
      <w:start w:val="1"/>
      <w:numFmt w:val="decimal"/>
      <w:lvlText w:val="%1."/>
      <w:lvlJc w:val="left"/>
      <w:pPr>
        <w:tabs>
          <w:tab w:val="num" w:pos="643"/>
        </w:tabs>
        <w:ind w:left="643" w:hanging="360"/>
      </w:pPr>
    </w:lvl>
  </w:abstractNum>
  <w:abstractNum w:abstractNumId="4">
    <w:nsid w:val="FFFFFF80"/>
    <w:multiLevelType w:val="singleLevel"/>
    <w:tmpl w:val="246E06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AA5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1C22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6C7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B282C4"/>
    <w:lvl w:ilvl="0">
      <w:start w:val="1"/>
      <w:numFmt w:val="decimal"/>
      <w:lvlText w:val="%1."/>
      <w:lvlJc w:val="left"/>
      <w:pPr>
        <w:tabs>
          <w:tab w:val="num" w:pos="360"/>
        </w:tabs>
        <w:ind w:left="360" w:hanging="360"/>
      </w:pPr>
    </w:lvl>
  </w:abstractNum>
  <w:abstractNum w:abstractNumId="9">
    <w:nsid w:val="FFFFFF89"/>
    <w:multiLevelType w:val="singleLevel"/>
    <w:tmpl w:val="D9B6BB02"/>
    <w:lvl w:ilvl="0">
      <w:start w:val="1"/>
      <w:numFmt w:val="bullet"/>
      <w:lvlText w:val=""/>
      <w:lvlJc w:val="left"/>
      <w:pPr>
        <w:tabs>
          <w:tab w:val="num" w:pos="360"/>
        </w:tabs>
        <w:ind w:left="360" w:hanging="360"/>
      </w:pPr>
      <w:rPr>
        <w:rFonts w:ascii="Symbol" w:hAnsi="Symbol" w:hint="default"/>
      </w:rPr>
    </w:lvl>
  </w:abstractNum>
  <w:abstractNum w:abstractNumId="10">
    <w:nsid w:val="014B37F9"/>
    <w:multiLevelType w:val="multilevel"/>
    <w:tmpl w:val="FF84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0329CA"/>
    <w:multiLevelType w:val="multilevel"/>
    <w:tmpl w:val="2C62F56E"/>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C743A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7ED3FC7"/>
    <w:multiLevelType w:val="multilevel"/>
    <w:tmpl w:val="F8BE2F76"/>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nsid w:val="090B0DB0"/>
    <w:multiLevelType w:val="multilevel"/>
    <w:tmpl w:val="D9A8A212"/>
    <w:styleLink w:val="RomanNumeralList"/>
    <w:lvl w:ilvl="0">
      <w:start w:val="1"/>
      <w:numFmt w:val="lowerRoman"/>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CC51CAE"/>
    <w:multiLevelType w:val="hybridMultilevel"/>
    <w:tmpl w:val="03E82C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7124F15"/>
    <w:multiLevelType w:val="multilevel"/>
    <w:tmpl w:val="1E9EFC46"/>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9">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2BF3099"/>
    <w:multiLevelType w:val="multilevel"/>
    <w:tmpl w:val="103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nsid w:val="244237C5"/>
    <w:multiLevelType w:val="multilevel"/>
    <w:tmpl w:val="79DC86BC"/>
    <w:name w:val="StandardNumberedList"/>
    <w:lvl w:ilvl="0">
      <w:start w:val="1"/>
      <w:numFmt w:val="decimal"/>
      <w:pStyle w:val="OutlineNumbered1"/>
      <w:lvlText w:val="%1."/>
      <w:lvlJc w:val="left"/>
      <w:pPr>
        <w:tabs>
          <w:tab w:val="num" w:pos="520"/>
        </w:tabs>
        <w:ind w:left="520" w:hanging="520"/>
      </w:pPr>
      <w:rPr>
        <w:rFonts w:hint="default"/>
        <w:b w:val="0"/>
        <w:i w:val="0"/>
      </w:rPr>
    </w:lvl>
    <w:lvl w:ilvl="1">
      <w:start w:val="1"/>
      <w:numFmt w:val="decimal"/>
      <w:pStyle w:val="OutlineNumbered2"/>
      <w:lvlText w:val="%1.%2."/>
      <w:lvlJc w:val="left"/>
      <w:pPr>
        <w:tabs>
          <w:tab w:val="num" w:pos="1040"/>
        </w:tabs>
        <w:ind w:left="1040" w:hanging="520"/>
      </w:pPr>
      <w:rPr>
        <w:rFonts w:hint="default"/>
        <w:b w:val="0"/>
        <w:i w:val="0"/>
      </w:rPr>
    </w:lvl>
    <w:lvl w:ilvl="2">
      <w:start w:val="1"/>
      <w:numFmt w:val="decimal"/>
      <w:pStyle w:val="OutlineNumbered3"/>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nsid w:val="25C06266"/>
    <w:multiLevelType w:val="multilevel"/>
    <w:tmpl w:val="2F9E1BE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4">
    <w:nsid w:val="27440C8B"/>
    <w:multiLevelType w:val="multilevel"/>
    <w:tmpl w:val="CB5C4156"/>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rPr>
    </w:lvl>
    <w:lvl w:ilvl="1">
      <w:start w:val="1"/>
      <w:numFmt w:val="bullet"/>
      <w:pStyle w:val="Dash"/>
      <w:lvlText w:val="–"/>
      <w:lvlJc w:val="left"/>
      <w:pPr>
        <w:tabs>
          <w:tab w:val="num" w:pos="1134"/>
        </w:tabs>
        <w:ind w:left="1134" w:hanging="568"/>
      </w:pPr>
      <w:rPr>
        <w:rFonts w:ascii="Times New Roman" w:hAnsi="Times New Roman" w:cs="Times New Roman"/>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nsid w:val="2B4C39B2"/>
    <w:multiLevelType w:val="multilevel"/>
    <w:tmpl w:val="34B2E37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D097FDD"/>
    <w:multiLevelType w:val="multilevel"/>
    <w:tmpl w:val="0A1661C4"/>
    <w:name w:val="HeadingList"/>
    <w:lvl w:ilvl="0">
      <w:start w:val="1"/>
      <w:numFmt w:val="decimal"/>
      <w:lvlRestart w:val="0"/>
      <w:lvlText w:val="%1."/>
      <w:lvlJc w:val="left"/>
      <w:pPr>
        <w:tabs>
          <w:tab w:val="num" w:pos="567"/>
        </w:tabs>
        <w:ind w:left="567" w:hanging="567"/>
      </w:pPr>
      <w:rPr>
        <w:rFonts w:ascii="Arial" w:hAnsi="Arial" w:cs="Arial"/>
        <w:b w:val="0"/>
        <w:i w:val="0"/>
        <w:color w:val="342E82"/>
        <w:sz w:val="36"/>
      </w:rPr>
    </w:lvl>
    <w:lvl w:ilvl="1">
      <w:start w:val="1"/>
      <w:numFmt w:val="decimal"/>
      <w:lvlText w:val="%1.%2"/>
      <w:lvlJc w:val="left"/>
      <w:pPr>
        <w:tabs>
          <w:tab w:val="num" w:pos="567"/>
        </w:tabs>
        <w:ind w:left="567" w:hanging="567"/>
      </w:pPr>
      <w:rPr>
        <w:rFonts w:ascii="Arial" w:hAnsi="Arial" w:cs="Arial"/>
        <w:b w:val="0"/>
        <w:i w:val="0"/>
        <w:color w:val="342E82"/>
        <w:sz w:val="32"/>
      </w:rPr>
    </w:lvl>
    <w:lvl w:ilvl="2">
      <w:start w:val="1"/>
      <w:numFmt w:val="decimal"/>
      <w:lvlText w:val="%1.%2.%3"/>
      <w:lvlJc w:val="left"/>
      <w:pPr>
        <w:tabs>
          <w:tab w:val="num" w:pos="567"/>
        </w:tabs>
        <w:ind w:left="567" w:hanging="567"/>
      </w:pPr>
      <w:rPr>
        <w:rFonts w:ascii="Arial" w:hAnsi="Arial" w:cs="Arial"/>
        <w:b w:val="0"/>
        <w:i w:val="0"/>
        <w:color w:val="342E82"/>
        <w:sz w:val="28"/>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nsid w:val="2D665DFA"/>
    <w:multiLevelType w:val="singleLevel"/>
    <w:tmpl w:val="D7E4CFE6"/>
    <w:name w:val="OneLevelAlphaParagraphList"/>
    <w:lvl w:ilvl="0">
      <w:start w:val="1"/>
      <w:numFmt w:val="lowerLetter"/>
      <w:lvlRestart w:val="0"/>
      <w:pStyle w:val="AlphaParagraph"/>
      <w:lvlText w:val="(%1)"/>
      <w:lvlJc w:val="left"/>
      <w:pPr>
        <w:tabs>
          <w:tab w:val="num" w:pos="567"/>
        </w:tabs>
        <w:ind w:left="567" w:hanging="567"/>
      </w:pPr>
      <w:rPr>
        <w:rFonts w:ascii="Arial" w:hAnsi="Arial" w:cs="Arial"/>
        <w:b w:val="0"/>
        <w:i w:val="0"/>
        <w:sz w:val="22"/>
      </w:rPr>
    </w:lvl>
  </w:abstractNum>
  <w:abstractNum w:abstractNumId="29">
    <w:nsid w:val="308C2710"/>
    <w:multiLevelType w:val="multilevel"/>
    <w:tmpl w:val="30241BA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852"/>
        </w:tabs>
        <w:ind w:left="852"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Symbol" w:hAnsi="Symbol"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nsid w:val="3238442C"/>
    <w:multiLevelType w:val="multilevel"/>
    <w:tmpl w:val="4DAA0B3E"/>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F43374A"/>
    <w:multiLevelType w:val="multilevel"/>
    <w:tmpl w:val="9ABCA912"/>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3">
    <w:nsid w:val="3FEF7B73"/>
    <w:multiLevelType w:val="hybridMultilevel"/>
    <w:tmpl w:val="11289236"/>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4">
    <w:nsid w:val="42B72EA2"/>
    <w:multiLevelType w:val="multilevel"/>
    <w:tmpl w:val="D474F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lowerLetter"/>
      <w:lvlText w:val="(%5)"/>
      <w:lvlJc w:val="left"/>
      <w:pPr>
        <w:tabs>
          <w:tab w:val="num" w:pos="2835"/>
        </w:tabs>
        <w:ind w:left="2835" w:hanging="567"/>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5">
    <w:nsid w:val="483E25F6"/>
    <w:multiLevelType w:val="multilevel"/>
    <w:tmpl w:val="2D022FDA"/>
    <w:styleLink w:val="AlphaParagraph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37">
    <w:nsid w:val="517124E0"/>
    <w:multiLevelType w:val="multilevel"/>
    <w:tmpl w:val="FEFA76DE"/>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3583"/>
        </w:tabs>
        <w:ind w:left="3549" w:hanging="453"/>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8">
    <w:nsid w:val="555E4B97"/>
    <w:multiLevelType w:val="multilevel"/>
    <w:tmpl w:val="3BE8A474"/>
    <w:lvl w:ilvl="0">
      <w:start w:val="1"/>
      <w:numFmt w:val="decimal"/>
      <w:lvlText w:val="%1."/>
      <w:lvlJc w:val="left"/>
      <w:pPr>
        <w:tabs>
          <w:tab w:val="num" w:pos="1345"/>
        </w:tabs>
        <w:ind w:left="1345" w:hanging="496"/>
      </w:pPr>
      <w:rPr>
        <w:rFonts w:hint="default"/>
      </w:rPr>
    </w:lvl>
    <w:lvl w:ilvl="1">
      <w:start w:val="1"/>
      <w:numFmt w:val="decimal"/>
      <w:lvlText w:val="%1.%2."/>
      <w:lvlJc w:val="left"/>
      <w:pPr>
        <w:tabs>
          <w:tab w:val="num" w:pos="1841"/>
        </w:tabs>
        <w:ind w:left="1841" w:hanging="496"/>
      </w:pPr>
      <w:rPr>
        <w:rFonts w:hint="default"/>
      </w:rPr>
    </w:lvl>
    <w:lvl w:ilvl="2">
      <w:start w:val="1"/>
      <w:numFmt w:val="decimal"/>
      <w:lvlText w:val="%1.%2.%3."/>
      <w:lvlJc w:val="left"/>
      <w:pPr>
        <w:tabs>
          <w:tab w:val="num" w:pos="2337"/>
        </w:tabs>
        <w:ind w:left="2337" w:hanging="496"/>
      </w:pPr>
      <w:rPr>
        <w:rFonts w:hint="default"/>
      </w:rPr>
    </w:lvl>
    <w:lvl w:ilvl="3">
      <w:start w:val="1"/>
      <w:numFmt w:val="decimal"/>
      <w:lvlText w:val="%4.%1.%2.%3."/>
      <w:lvlJc w:val="left"/>
      <w:pPr>
        <w:tabs>
          <w:tab w:val="num" w:pos="2289"/>
        </w:tabs>
        <w:ind w:left="2289" w:hanging="360"/>
      </w:pPr>
      <w:rPr>
        <w:rFonts w:hint="default"/>
      </w:rPr>
    </w:lvl>
    <w:lvl w:ilvl="4">
      <w:start w:val="1"/>
      <w:numFmt w:val="lowerLetter"/>
      <w:lvlText w:val="(%5)"/>
      <w:lvlJc w:val="left"/>
      <w:pPr>
        <w:tabs>
          <w:tab w:val="num" w:pos="2649"/>
        </w:tabs>
        <w:ind w:left="2649" w:hanging="36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39">
    <w:nsid w:val="58101827"/>
    <w:multiLevelType w:val="multilevel"/>
    <w:tmpl w:val="3CACDCCC"/>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0">
    <w:nsid w:val="5C376AF1"/>
    <w:multiLevelType w:val="hybridMultilevel"/>
    <w:tmpl w:val="B5B20D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2">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AE31DD2"/>
    <w:multiLevelType w:val="multilevel"/>
    <w:tmpl w:val="9ABCA912"/>
    <w:lvl w:ilvl="0">
      <w:start w:val="1"/>
      <w:numFmt w:val="lowerLetter"/>
      <w:lvlText w:val="%1)"/>
      <w:lvlJc w:val="left"/>
      <w:pPr>
        <w:tabs>
          <w:tab w:val="num" w:pos="566"/>
        </w:tabs>
        <w:ind w:left="566" w:hanging="566"/>
      </w:pPr>
      <w:rPr>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28"/>
  </w:num>
  <w:num w:numId="2">
    <w:abstractNumId w:val="39"/>
  </w:num>
  <w:num w:numId="3">
    <w:abstractNumId w:val="36"/>
  </w:num>
  <w:num w:numId="4">
    <w:abstractNumId w:val="24"/>
  </w:num>
  <w:num w:numId="5">
    <w:abstractNumId w:val="18"/>
  </w:num>
  <w:num w:numId="6">
    <w:abstractNumId w:val="41"/>
  </w:num>
  <w:num w:numId="7">
    <w:abstractNumId w:val="25"/>
  </w:num>
  <w:num w:numId="8">
    <w:abstractNumId w:val="13"/>
  </w:num>
  <w:num w:numId="9">
    <w:abstractNumId w:val="35"/>
  </w:num>
  <w:num w:numId="10">
    <w:abstractNumId w:val="31"/>
  </w:num>
  <w:num w:numId="11">
    <w:abstractNumId w:val="16"/>
  </w:num>
  <w:num w:numId="12">
    <w:abstractNumId w:val="19"/>
  </w:num>
  <w:num w:numId="13">
    <w:abstractNumId w:val="14"/>
  </w:num>
  <w:num w:numId="14">
    <w:abstractNumId w:val="30"/>
  </w:num>
  <w:num w:numId="15">
    <w:abstractNumId w:val="26"/>
  </w:num>
  <w:num w:numId="16">
    <w:abstractNumId w:val="10"/>
  </w:num>
  <w:num w:numId="17">
    <w:abstractNumId w:val="29"/>
  </w:num>
  <w:num w:numId="18">
    <w:abstractNumId w:val="33"/>
  </w:num>
  <w:num w:numId="19">
    <w:abstractNumId w:val="22"/>
  </w:num>
  <w:num w:numId="20">
    <w:abstractNumId w:val="27"/>
  </w:num>
  <w:num w:numId="21">
    <w:abstractNumId w:val="21"/>
  </w:num>
  <w:num w:numId="22">
    <w:abstractNumId w:val="4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7"/>
  </w:num>
  <w:num w:numId="34">
    <w:abstractNumId w:val="38"/>
  </w:num>
  <w:num w:numId="35">
    <w:abstractNumId w:val="23"/>
  </w:num>
  <w:num w:numId="36">
    <w:abstractNumId w:val="34"/>
  </w:num>
  <w:num w:numId="37">
    <w:abstractNumId w:val="12"/>
  </w:num>
  <w:num w:numId="38">
    <w:abstractNumId w:val="20"/>
  </w:num>
  <w:num w:numId="39">
    <w:abstractNumId w:val="32"/>
  </w:num>
  <w:num w:numId="40">
    <w:abstractNumId w:val="17"/>
  </w:num>
  <w:num w:numId="41">
    <w:abstractNumId w:val="40"/>
  </w:num>
  <w:num w:numId="42">
    <w:abstractNumId w:val="15"/>
  </w:num>
  <w:num w:numId="43">
    <w:abstractNumId w:val="24"/>
  </w:num>
  <w:num w:numId="44">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evenAndOddHeaders/>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73"/>
    <w:rsid w:val="000001DC"/>
    <w:rsid w:val="00000F7C"/>
    <w:rsid w:val="00001646"/>
    <w:rsid w:val="000018DD"/>
    <w:rsid w:val="000022E1"/>
    <w:rsid w:val="00002347"/>
    <w:rsid w:val="0000240F"/>
    <w:rsid w:val="000025A6"/>
    <w:rsid w:val="00003647"/>
    <w:rsid w:val="00004817"/>
    <w:rsid w:val="00004C8F"/>
    <w:rsid w:val="00006FD4"/>
    <w:rsid w:val="000070B3"/>
    <w:rsid w:val="000072A6"/>
    <w:rsid w:val="0000756D"/>
    <w:rsid w:val="00007AA3"/>
    <w:rsid w:val="00007AAF"/>
    <w:rsid w:val="00007AEC"/>
    <w:rsid w:val="000129ED"/>
    <w:rsid w:val="000130DC"/>
    <w:rsid w:val="00014CD5"/>
    <w:rsid w:val="00015AEF"/>
    <w:rsid w:val="000160B2"/>
    <w:rsid w:val="00016884"/>
    <w:rsid w:val="00016F6A"/>
    <w:rsid w:val="00016F9C"/>
    <w:rsid w:val="00017152"/>
    <w:rsid w:val="00017A8D"/>
    <w:rsid w:val="00020D41"/>
    <w:rsid w:val="000212F8"/>
    <w:rsid w:val="00022E0C"/>
    <w:rsid w:val="0002349B"/>
    <w:rsid w:val="000234EA"/>
    <w:rsid w:val="0002488D"/>
    <w:rsid w:val="00025BF0"/>
    <w:rsid w:val="00026294"/>
    <w:rsid w:val="00026ECE"/>
    <w:rsid w:val="00027343"/>
    <w:rsid w:val="00027A27"/>
    <w:rsid w:val="00027AFA"/>
    <w:rsid w:val="00030DA9"/>
    <w:rsid w:val="000322F0"/>
    <w:rsid w:val="00033222"/>
    <w:rsid w:val="000342CC"/>
    <w:rsid w:val="00034BDF"/>
    <w:rsid w:val="00034E4E"/>
    <w:rsid w:val="000369FF"/>
    <w:rsid w:val="00036D0D"/>
    <w:rsid w:val="00037D4A"/>
    <w:rsid w:val="00040D6C"/>
    <w:rsid w:val="00041566"/>
    <w:rsid w:val="00042D76"/>
    <w:rsid w:val="000432F0"/>
    <w:rsid w:val="00043F9D"/>
    <w:rsid w:val="0004400B"/>
    <w:rsid w:val="0004480C"/>
    <w:rsid w:val="00044822"/>
    <w:rsid w:val="00046248"/>
    <w:rsid w:val="00046F59"/>
    <w:rsid w:val="00050B64"/>
    <w:rsid w:val="00051807"/>
    <w:rsid w:val="000524B6"/>
    <w:rsid w:val="00052B94"/>
    <w:rsid w:val="000565B1"/>
    <w:rsid w:val="00057345"/>
    <w:rsid w:val="000573AD"/>
    <w:rsid w:val="000575A3"/>
    <w:rsid w:val="00057704"/>
    <w:rsid w:val="00057877"/>
    <w:rsid w:val="000613BB"/>
    <w:rsid w:val="00061519"/>
    <w:rsid w:val="00061F84"/>
    <w:rsid w:val="00062940"/>
    <w:rsid w:val="00064CEC"/>
    <w:rsid w:val="000657DA"/>
    <w:rsid w:val="00065AB2"/>
    <w:rsid w:val="00066703"/>
    <w:rsid w:val="00066F70"/>
    <w:rsid w:val="000670D2"/>
    <w:rsid w:val="00067854"/>
    <w:rsid w:val="000700BB"/>
    <w:rsid w:val="00070168"/>
    <w:rsid w:val="000707DF"/>
    <w:rsid w:val="00071489"/>
    <w:rsid w:val="00071978"/>
    <w:rsid w:val="00071ABB"/>
    <w:rsid w:val="00071E9B"/>
    <w:rsid w:val="00072428"/>
    <w:rsid w:val="000736D5"/>
    <w:rsid w:val="000737B0"/>
    <w:rsid w:val="00073D85"/>
    <w:rsid w:val="00074079"/>
    <w:rsid w:val="000744E5"/>
    <w:rsid w:val="00074695"/>
    <w:rsid w:val="00076C72"/>
    <w:rsid w:val="00077352"/>
    <w:rsid w:val="00077456"/>
    <w:rsid w:val="00077748"/>
    <w:rsid w:val="000778FF"/>
    <w:rsid w:val="00080201"/>
    <w:rsid w:val="000808B4"/>
    <w:rsid w:val="0008137C"/>
    <w:rsid w:val="00081589"/>
    <w:rsid w:val="00082936"/>
    <w:rsid w:val="000829C5"/>
    <w:rsid w:val="00083903"/>
    <w:rsid w:val="00083A38"/>
    <w:rsid w:val="00084B44"/>
    <w:rsid w:val="00084B4A"/>
    <w:rsid w:val="0008561B"/>
    <w:rsid w:val="00085F5F"/>
    <w:rsid w:val="00087063"/>
    <w:rsid w:val="00087950"/>
    <w:rsid w:val="000879D3"/>
    <w:rsid w:val="00090739"/>
    <w:rsid w:val="00090C20"/>
    <w:rsid w:val="00090F18"/>
    <w:rsid w:val="000916D6"/>
    <w:rsid w:val="00092072"/>
    <w:rsid w:val="000924FD"/>
    <w:rsid w:val="00093181"/>
    <w:rsid w:val="00093F06"/>
    <w:rsid w:val="00094138"/>
    <w:rsid w:val="00094C61"/>
    <w:rsid w:val="00095524"/>
    <w:rsid w:val="00095531"/>
    <w:rsid w:val="000956C5"/>
    <w:rsid w:val="00095E11"/>
    <w:rsid w:val="00096125"/>
    <w:rsid w:val="00096D96"/>
    <w:rsid w:val="00096E92"/>
    <w:rsid w:val="00096E98"/>
    <w:rsid w:val="000A07E0"/>
    <w:rsid w:val="000A1A96"/>
    <w:rsid w:val="000A269C"/>
    <w:rsid w:val="000A3363"/>
    <w:rsid w:val="000A37E6"/>
    <w:rsid w:val="000A3AD3"/>
    <w:rsid w:val="000A3AFF"/>
    <w:rsid w:val="000A4ABD"/>
    <w:rsid w:val="000A68C0"/>
    <w:rsid w:val="000B0164"/>
    <w:rsid w:val="000B03BC"/>
    <w:rsid w:val="000B1A82"/>
    <w:rsid w:val="000B2065"/>
    <w:rsid w:val="000B22EA"/>
    <w:rsid w:val="000B4362"/>
    <w:rsid w:val="000B4671"/>
    <w:rsid w:val="000B574C"/>
    <w:rsid w:val="000B6A65"/>
    <w:rsid w:val="000B6F29"/>
    <w:rsid w:val="000B799F"/>
    <w:rsid w:val="000B7BC4"/>
    <w:rsid w:val="000B7E8E"/>
    <w:rsid w:val="000C090E"/>
    <w:rsid w:val="000C09ED"/>
    <w:rsid w:val="000C11B6"/>
    <w:rsid w:val="000C163E"/>
    <w:rsid w:val="000C1FCC"/>
    <w:rsid w:val="000C3A36"/>
    <w:rsid w:val="000C4C51"/>
    <w:rsid w:val="000C5877"/>
    <w:rsid w:val="000C5971"/>
    <w:rsid w:val="000C5C91"/>
    <w:rsid w:val="000C5EE4"/>
    <w:rsid w:val="000C6A05"/>
    <w:rsid w:val="000D07BE"/>
    <w:rsid w:val="000D0A80"/>
    <w:rsid w:val="000D0EA0"/>
    <w:rsid w:val="000D1203"/>
    <w:rsid w:val="000D1630"/>
    <w:rsid w:val="000D288C"/>
    <w:rsid w:val="000D424F"/>
    <w:rsid w:val="000D5AEC"/>
    <w:rsid w:val="000D5E47"/>
    <w:rsid w:val="000D6922"/>
    <w:rsid w:val="000D6FB4"/>
    <w:rsid w:val="000E18B8"/>
    <w:rsid w:val="000E1CCA"/>
    <w:rsid w:val="000E2732"/>
    <w:rsid w:val="000E2AF6"/>
    <w:rsid w:val="000E3104"/>
    <w:rsid w:val="000E3C9B"/>
    <w:rsid w:val="000E3CF7"/>
    <w:rsid w:val="000E522E"/>
    <w:rsid w:val="000E685E"/>
    <w:rsid w:val="000F0933"/>
    <w:rsid w:val="000F0CC0"/>
    <w:rsid w:val="000F10D1"/>
    <w:rsid w:val="000F19DA"/>
    <w:rsid w:val="000F3633"/>
    <w:rsid w:val="000F36C1"/>
    <w:rsid w:val="000F3729"/>
    <w:rsid w:val="000F3941"/>
    <w:rsid w:val="000F4016"/>
    <w:rsid w:val="000F6059"/>
    <w:rsid w:val="000F6138"/>
    <w:rsid w:val="000F73C5"/>
    <w:rsid w:val="00100173"/>
    <w:rsid w:val="001002E7"/>
    <w:rsid w:val="001007BF"/>
    <w:rsid w:val="00100937"/>
    <w:rsid w:val="00100DF1"/>
    <w:rsid w:val="00103E27"/>
    <w:rsid w:val="001042AF"/>
    <w:rsid w:val="00104730"/>
    <w:rsid w:val="00104EBC"/>
    <w:rsid w:val="00105EED"/>
    <w:rsid w:val="00106162"/>
    <w:rsid w:val="0010632C"/>
    <w:rsid w:val="00106C56"/>
    <w:rsid w:val="001070E5"/>
    <w:rsid w:val="0010739F"/>
    <w:rsid w:val="00110135"/>
    <w:rsid w:val="0011108D"/>
    <w:rsid w:val="00111A03"/>
    <w:rsid w:val="00111E50"/>
    <w:rsid w:val="001122B3"/>
    <w:rsid w:val="00112875"/>
    <w:rsid w:val="00113344"/>
    <w:rsid w:val="001134AD"/>
    <w:rsid w:val="001137ED"/>
    <w:rsid w:val="00113C76"/>
    <w:rsid w:val="0011501B"/>
    <w:rsid w:val="00115489"/>
    <w:rsid w:val="00115BFA"/>
    <w:rsid w:val="00115F0B"/>
    <w:rsid w:val="00116DFB"/>
    <w:rsid w:val="00116ED6"/>
    <w:rsid w:val="001176A8"/>
    <w:rsid w:val="001202CA"/>
    <w:rsid w:val="00120ADF"/>
    <w:rsid w:val="00122F3E"/>
    <w:rsid w:val="00123E5F"/>
    <w:rsid w:val="0012466D"/>
    <w:rsid w:val="00124C4B"/>
    <w:rsid w:val="001254A2"/>
    <w:rsid w:val="00126760"/>
    <w:rsid w:val="001274EB"/>
    <w:rsid w:val="00127567"/>
    <w:rsid w:val="001275D2"/>
    <w:rsid w:val="001305A4"/>
    <w:rsid w:val="0013060A"/>
    <w:rsid w:val="00131E14"/>
    <w:rsid w:val="00131F51"/>
    <w:rsid w:val="001324C5"/>
    <w:rsid w:val="001338A4"/>
    <w:rsid w:val="001347A7"/>
    <w:rsid w:val="00134843"/>
    <w:rsid w:val="00135B8A"/>
    <w:rsid w:val="001367B3"/>
    <w:rsid w:val="0013742A"/>
    <w:rsid w:val="00137710"/>
    <w:rsid w:val="00137F7F"/>
    <w:rsid w:val="00140245"/>
    <w:rsid w:val="00140BE1"/>
    <w:rsid w:val="001418B2"/>
    <w:rsid w:val="00143266"/>
    <w:rsid w:val="00143462"/>
    <w:rsid w:val="001434B3"/>
    <w:rsid w:val="001434C5"/>
    <w:rsid w:val="00144338"/>
    <w:rsid w:val="00144D5D"/>
    <w:rsid w:val="00145E31"/>
    <w:rsid w:val="00146BAC"/>
    <w:rsid w:val="00147BAA"/>
    <w:rsid w:val="00147E8A"/>
    <w:rsid w:val="00150753"/>
    <w:rsid w:val="00150924"/>
    <w:rsid w:val="00150B98"/>
    <w:rsid w:val="00150C65"/>
    <w:rsid w:val="00150C87"/>
    <w:rsid w:val="00151886"/>
    <w:rsid w:val="00151CA8"/>
    <w:rsid w:val="00151CDF"/>
    <w:rsid w:val="0015257C"/>
    <w:rsid w:val="00152E1E"/>
    <w:rsid w:val="00152FA4"/>
    <w:rsid w:val="00155019"/>
    <w:rsid w:val="0015563D"/>
    <w:rsid w:val="001563C0"/>
    <w:rsid w:val="00156EB7"/>
    <w:rsid w:val="001571C9"/>
    <w:rsid w:val="00157486"/>
    <w:rsid w:val="00161500"/>
    <w:rsid w:val="00161D7B"/>
    <w:rsid w:val="001621C0"/>
    <w:rsid w:val="00163268"/>
    <w:rsid w:val="00163334"/>
    <w:rsid w:val="001634D0"/>
    <w:rsid w:val="00165841"/>
    <w:rsid w:val="00165DA0"/>
    <w:rsid w:val="00166B1B"/>
    <w:rsid w:val="00167A4B"/>
    <w:rsid w:val="00167C4C"/>
    <w:rsid w:val="00170045"/>
    <w:rsid w:val="00170D74"/>
    <w:rsid w:val="00171123"/>
    <w:rsid w:val="00172528"/>
    <w:rsid w:val="001733EE"/>
    <w:rsid w:val="0017387E"/>
    <w:rsid w:val="00173995"/>
    <w:rsid w:val="00173A91"/>
    <w:rsid w:val="00173C54"/>
    <w:rsid w:val="001743FD"/>
    <w:rsid w:val="00174C29"/>
    <w:rsid w:val="00174CCC"/>
    <w:rsid w:val="0017654D"/>
    <w:rsid w:val="00176AF6"/>
    <w:rsid w:val="0018021C"/>
    <w:rsid w:val="001808E6"/>
    <w:rsid w:val="0018198E"/>
    <w:rsid w:val="00183874"/>
    <w:rsid w:val="00184856"/>
    <w:rsid w:val="00185B77"/>
    <w:rsid w:val="00186B32"/>
    <w:rsid w:val="00186EEF"/>
    <w:rsid w:val="00187D5C"/>
    <w:rsid w:val="001905D9"/>
    <w:rsid w:val="0019107F"/>
    <w:rsid w:val="00191CCE"/>
    <w:rsid w:val="001931BB"/>
    <w:rsid w:val="00193B18"/>
    <w:rsid w:val="00193DF8"/>
    <w:rsid w:val="00194227"/>
    <w:rsid w:val="00194EA8"/>
    <w:rsid w:val="00194FB0"/>
    <w:rsid w:val="00197D4F"/>
    <w:rsid w:val="00197F2F"/>
    <w:rsid w:val="001A1791"/>
    <w:rsid w:val="001A26C4"/>
    <w:rsid w:val="001A32DE"/>
    <w:rsid w:val="001A3448"/>
    <w:rsid w:val="001A3A8F"/>
    <w:rsid w:val="001A425F"/>
    <w:rsid w:val="001A4D6D"/>
    <w:rsid w:val="001A5435"/>
    <w:rsid w:val="001A5D3C"/>
    <w:rsid w:val="001A5FA3"/>
    <w:rsid w:val="001A6586"/>
    <w:rsid w:val="001A6FF0"/>
    <w:rsid w:val="001A70D7"/>
    <w:rsid w:val="001A7E19"/>
    <w:rsid w:val="001A7EFD"/>
    <w:rsid w:val="001A7F68"/>
    <w:rsid w:val="001B00BD"/>
    <w:rsid w:val="001B0C4C"/>
    <w:rsid w:val="001B0E4D"/>
    <w:rsid w:val="001B0FAA"/>
    <w:rsid w:val="001B2D07"/>
    <w:rsid w:val="001B2EA6"/>
    <w:rsid w:val="001B38CD"/>
    <w:rsid w:val="001B396F"/>
    <w:rsid w:val="001B3BD9"/>
    <w:rsid w:val="001B40E1"/>
    <w:rsid w:val="001B47D6"/>
    <w:rsid w:val="001B4F51"/>
    <w:rsid w:val="001B50A0"/>
    <w:rsid w:val="001B5630"/>
    <w:rsid w:val="001B656A"/>
    <w:rsid w:val="001B65B1"/>
    <w:rsid w:val="001B65DB"/>
    <w:rsid w:val="001B6773"/>
    <w:rsid w:val="001B6845"/>
    <w:rsid w:val="001B6908"/>
    <w:rsid w:val="001B69E6"/>
    <w:rsid w:val="001B6A78"/>
    <w:rsid w:val="001C065E"/>
    <w:rsid w:val="001C16C1"/>
    <w:rsid w:val="001C2C26"/>
    <w:rsid w:val="001C3055"/>
    <w:rsid w:val="001C34AA"/>
    <w:rsid w:val="001C360C"/>
    <w:rsid w:val="001C3E6E"/>
    <w:rsid w:val="001C5638"/>
    <w:rsid w:val="001C57B8"/>
    <w:rsid w:val="001C59A5"/>
    <w:rsid w:val="001C5C20"/>
    <w:rsid w:val="001C6040"/>
    <w:rsid w:val="001C6F99"/>
    <w:rsid w:val="001C7033"/>
    <w:rsid w:val="001C716F"/>
    <w:rsid w:val="001C7B16"/>
    <w:rsid w:val="001D0237"/>
    <w:rsid w:val="001D147D"/>
    <w:rsid w:val="001D1971"/>
    <w:rsid w:val="001D1D79"/>
    <w:rsid w:val="001D1ECF"/>
    <w:rsid w:val="001D4166"/>
    <w:rsid w:val="001D4D88"/>
    <w:rsid w:val="001D5755"/>
    <w:rsid w:val="001D58DB"/>
    <w:rsid w:val="001D6148"/>
    <w:rsid w:val="001D6AD4"/>
    <w:rsid w:val="001D6E0F"/>
    <w:rsid w:val="001D76C2"/>
    <w:rsid w:val="001D7811"/>
    <w:rsid w:val="001D7826"/>
    <w:rsid w:val="001E0A0D"/>
    <w:rsid w:val="001E4B7E"/>
    <w:rsid w:val="001E5719"/>
    <w:rsid w:val="001E6BC3"/>
    <w:rsid w:val="001E7735"/>
    <w:rsid w:val="001E7920"/>
    <w:rsid w:val="001E7A6D"/>
    <w:rsid w:val="001E7C1F"/>
    <w:rsid w:val="001F0E64"/>
    <w:rsid w:val="001F3842"/>
    <w:rsid w:val="001F4317"/>
    <w:rsid w:val="001F4A7C"/>
    <w:rsid w:val="001F5050"/>
    <w:rsid w:val="001F5A4E"/>
    <w:rsid w:val="001F5A81"/>
    <w:rsid w:val="001F5D05"/>
    <w:rsid w:val="001F6F3E"/>
    <w:rsid w:val="0020086A"/>
    <w:rsid w:val="00200D5C"/>
    <w:rsid w:val="00200F3C"/>
    <w:rsid w:val="002021D9"/>
    <w:rsid w:val="00202675"/>
    <w:rsid w:val="00202A76"/>
    <w:rsid w:val="002033A4"/>
    <w:rsid w:val="002048CB"/>
    <w:rsid w:val="00204B6E"/>
    <w:rsid w:val="00204D99"/>
    <w:rsid w:val="0020682A"/>
    <w:rsid w:val="00206DA5"/>
    <w:rsid w:val="00207ABE"/>
    <w:rsid w:val="0021155A"/>
    <w:rsid w:val="0021242E"/>
    <w:rsid w:val="00213920"/>
    <w:rsid w:val="00214A52"/>
    <w:rsid w:val="002161AC"/>
    <w:rsid w:val="002172EF"/>
    <w:rsid w:val="00220A64"/>
    <w:rsid w:val="00220D63"/>
    <w:rsid w:val="00220FAB"/>
    <w:rsid w:val="002216CD"/>
    <w:rsid w:val="00222422"/>
    <w:rsid w:val="002228AD"/>
    <w:rsid w:val="00222E8A"/>
    <w:rsid w:val="00222FD3"/>
    <w:rsid w:val="00223A54"/>
    <w:rsid w:val="00224ED6"/>
    <w:rsid w:val="00225354"/>
    <w:rsid w:val="00225624"/>
    <w:rsid w:val="00225A6E"/>
    <w:rsid w:val="00225C65"/>
    <w:rsid w:val="002261E5"/>
    <w:rsid w:val="00226B25"/>
    <w:rsid w:val="002303EE"/>
    <w:rsid w:val="0023054C"/>
    <w:rsid w:val="0023079D"/>
    <w:rsid w:val="00231BFE"/>
    <w:rsid w:val="00231DE4"/>
    <w:rsid w:val="00231E63"/>
    <w:rsid w:val="00233464"/>
    <w:rsid w:val="00233BB4"/>
    <w:rsid w:val="00234F28"/>
    <w:rsid w:val="002362C1"/>
    <w:rsid w:val="00237C55"/>
    <w:rsid w:val="002404D0"/>
    <w:rsid w:val="002404F0"/>
    <w:rsid w:val="00240C90"/>
    <w:rsid w:val="00240FD9"/>
    <w:rsid w:val="00241108"/>
    <w:rsid w:val="002412B4"/>
    <w:rsid w:val="00241FCD"/>
    <w:rsid w:val="002423BA"/>
    <w:rsid w:val="002429EF"/>
    <w:rsid w:val="00242A63"/>
    <w:rsid w:val="00243252"/>
    <w:rsid w:val="00244FE4"/>
    <w:rsid w:val="0024543B"/>
    <w:rsid w:val="002466D0"/>
    <w:rsid w:val="002474C8"/>
    <w:rsid w:val="002474FF"/>
    <w:rsid w:val="002476BE"/>
    <w:rsid w:val="00250B91"/>
    <w:rsid w:val="00251E7B"/>
    <w:rsid w:val="00253571"/>
    <w:rsid w:val="002539F8"/>
    <w:rsid w:val="00253A2E"/>
    <w:rsid w:val="00254459"/>
    <w:rsid w:val="002550B3"/>
    <w:rsid w:val="0025644B"/>
    <w:rsid w:val="00256660"/>
    <w:rsid w:val="00260071"/>
    <w:rsid w:val="002608A1"/>
    <w:rsid w:val="0026107A"/>
    <w:rsid w:val="00261D4F"/>
    <w:rsid w:val="00261FB7"/>
    <w:rsid w:val="00262065"/>
    <w:rsid w:val="00262477"/>
    <w:rsid w:val="002626CA"/>
    <w:rsid w:val="00262F6C"/>
    <w:rsid w:val="00263104"/>
    <w:rsid w:val="0026362D"/>
    <w:rsid w:val="0026377C"/>
    <w:rsid w:val="00263AA2"/>
    <w:rsid w:val="00263E84"/>
    <w:rsid w:val="00264818"/>
    <w:rsid w:val="00265118"/>
    <w:rsid w:val="002653E6"/>
    <w:rsid w:val="002656A0"/>
    <w:rsid w:val="002669D2"/>
    <w:rsid w:val="00266AFC"/>
    <w:rsid w:val="00266C80"/>
    <w:rsid w:val="00266D35"/>
    <w:rsid w:val="00271415"/>
    <w:rsid w:val="0027258C"/>
    <w:rsid w:val="002730D8"/>
    <w:rsid w:val="00273369"/>
    <w:rsid w:val="002734E4"/>
    <w:rsid w:val="00273857"/>
    <w:rsid w:val="00273DC1"/>
    <w:rsid w:val="00273FDB"/>
    <w:rsid w:val="00274315"/>
    <w:rsid w:val="00274909"/>
    <w:rsid w:val="00274B95"/>
    <w:rsid w:val="00275AB7"/>
    <w:rsid w:val="00280783"/>
    <w:rsid w:val="00280DE1"/>
    <w:rsid w:val="002818C8"/>
    <w:rsid w:val="00281C3C"/>
    <w:rsid w:val="00281E3A"/>
    <w:rsid w:val="0028269C"/>
    <w:rsid w:val="0028271C"/>
    <w:rsid w:val="00283399"/>
    <w:rsid w:val="00283BC2"/>
    <w:rsid w:val="00284B04"/>
    <w:rsid w:val="00284DF1"/>
    <w:rsid w:val="002850A0"/>
    <w:rsid w:val="00287F08"/>
    <w:rsid w:val="0029060C"/>
    <w:rsid w:val="00290951"/>
    <w:rsid w:val="00291405"/>
    <w:rsid w:val="0029176E"/>
    <w:rsid w:val="00292A4A"/>
    <w:rsid w:val="00293295"/>
    <w:rsid w:val="002939C8"/>
    <w:rsid w:val="00293E45"/>
    <w:rsid w:val="002947A9"/>
    <w:rsid w:val="002961FE"/>
    <w:rsid w:val="00296437"/>
    <w:rsid w:val="00296C5F"/>
    <w:rsid w:val="002977D8"/>
    <w:rsid w:val="00297D28"/>
    <w:rsid w:val="002A002D"/>
    <w:rsid w:val="002A07E7"/>
    <w:rsid w:val="002A0947"/>
    <w:rsid w:val="002A0C50"/>
    <w:rsid w:val="002A12EF"/>
    <w:rsid w:val="002A3215"/>
    <w:rsid w:val="002A4390"/>
    <w:rsid w:val="002A5A47"/>
    <w:rsid w:val="002A5E07"/>
    <w:rsid w:val="002B12C8"/>
    <w:rsid w:val="002B1842"/>
    <w:rsid w:val="002B1928"/>
    <w:rsid w:val="002B2007"/>
    <w:rsid w:val="002B395F"/>
    <w:rsid w:val="002B3F8F"/>
    <w:rsid w:val="002B3FAE"/>
    <w:rsid w:val="002B405C"/>
    <w:rsid w:val="002B4642"/>
    <w:rsid w:val="002B5DF1"/>
    <w:rsid w:val="002B6D9B"/>
    <w:rsid w:val="002C26DE"/>
    <w:rsid w:val="002C27F1"/>
    <w:rsid w:val="002C310E"/>
    <w:rsid w:val="002C356E"/>
    <w:rsid w:val="002C3897"/>
    <w:rsid w:val="002C3DDB"/>
    <w:rsid w:val="002C4105"/>
    <w:rsid w:val="002C4929"/>
    <w:rsid w:val="002C514B"/>
    <w:rsid w:val="002C5983"/>
    <w:rsid w:val="002C5C91"/>
    <w:rsid w:val="002C5DEE"/>
    <w:rsid w:val="002C610C"/>
    <w:rsid w:val="002C6521"/>
    <w:rsid w:val="002C703D"/>
    <w:rsid w:val="002C70DF"/>
    <w:rsid w:val="002C7CF8"/>
    <w:rsid w:val="002D0D06"/>
    <w:rsid w:val="002D5109"/>
    <w:rsid w:val="002D52FF"/>
    <w:rsid w:val="002D5ACE"/>
    <w:rsid w:val="002D64C0"/>
    <w:rsid w:val="002D661A"/>
    <w:rsid w:val="002D728B"/>
    <w:rsid w:val="002E0963"/>
    <w:rsid w:val="002E110C"/>
    <w:rsid w:val="002E1DBB"/>
    <w:rsid w:val="002E2312"/>
    <w:rsid w:val="002E2A03"/>
    <w:rsid w:val="002E2E6A"/>
    <w:rsid w:val="002E2EB1"/>
    <w:rsid w:val="002E31A3"/>
    <w:rsid w:val="002E36D4"/>
    <w:rsid w:val="002E3977"/>
    <w:rsid w:val="002E543F"/>
    <w:rsid w:val="002E652E"/>
    <w:rsid w:val="002E73B6"/>
    <w:rsid w:val="002E7974"/>
    <w:rsid w:val="002E7AB8"/>
    <w:rsid w:val="002E7B2C"/>
    <w:rsid w:val="002F0DC1"/>
    <w:rsid w:val="002F1552"/>
    <w:rsid w:val="002F21DF"/>
    <w:rsid w:val="002F2931"/>
    <w:rsid w:val="002F29F1"/>
    <w:rsid w:val="002F2F28"/>
    <w:rsid w:val="002F2F2E"/>
    <w:rsid w:val="002F4866"/>
    <w:rsid w:val="002F55E5"/>
    <w:rsid w:val="002F63A2"/>
    <w:rsid w:val="002F7D15"/>
    <w:rsid w:val="00300392"/>
    <w:rsid w:val="00301754"/>
    <w:rsid w:val="0030282A"/>
    <w:rsid w:val="00302FB9"/>
    <w:rsid w:val="00303A2F"/>
    <w:rsid w:val="00304F99"/>
    <w:rsid w:val="00304FAD"/>
    <w:rsid w:val="003056BE"/>
    <w:rsid w:val="00305AC4"/>
    <w:rsid w:val="00305F5A"/>
    <w:rsid w:val="0030675F"/>
    <w:rsid w:val="00307771"/>
    <w:rsid w:val="00307CF0"/>
    <w:rsid w:val="00307D5D"/>
    <w:rsid w:val="00307DB2"/>
    <w:rsid w:val="00312C99"/>
    <w:rsid w:val="0031302E"/>
    <w:rsid w:val="00313349"/>
    <w:rsid w:val="003154E8"/>
    <w:rsid w:val="003167E5"/>
    <w:rsid w:val="00316EE6"/>
    <w:rsid w:val="00317BC9"/>
    <w:rsid w:val="00320645"/>
    <w:rsid w:val="003207AC"/>
    <w:rsid w:val="00320E47"/>
    <w:rsid w:val="00321498"/>
    <w:rsid w:val="00321573"/>
    <w:rsid w:val="00322C17"/>
    <w:rsid w:val="003232C2"/>
    <w:rsid w:val="0032348D"/>
    <w:rsid w:val="00324151"/>
    <w:rsid w:val="0032474E"/>
    <w:rsid w:val="003257EB"/>
    <w:rsid w:val="00325C35"/>
    <w:rsid w:val="00326AA1"/>
    <w:rsid w:val="00326B5B"/>
    <w:rsid w:val="00326E1A"/>
    <w:rsid w:val="003279A2"/>
    <w:rsid w:val="0033082B"/>
    <w:rsid w:val="00331653"/>
    <w:rsid w:val="00331ABE"/>
    <w:rsid w:val="00332D45"/>
    <w:rsid w:val="00333F39"/>
    <w:rsid w:val="00334F08"/>
    <w:rsid w:val="00334FFD"/>
    <w:rsid w:val="0033574E"/>
    <w:rsid w:val="00335BE1"/>
    <w:rsid w:val="00337034"/>
    <w:rsid w:val="00337119"/>
    <w:rsid w:val="003371F8"/>
    <w:rsid w:val="00340A45"/>
    <w:rsid w:val="00340A9B"/>
    <w:rsid w:val="00341F68"/>
    <w:rsid w:val="003420BE"/>
    <w:rsid w:val="003435A7"/>
    <w:rsid w:val="003438E6"/>
    <w:rsid w:val="0034391C"/>
    <w:rsid w:val="00345DA1"/>
    <w:rsid w:val="0034625A"/>
    <w:rsid w:val="00346838"/>
    <w:rsid w:val="00346B78"/>
    <w:rsid w:val="00347ADD"/>
    <w:rsid w:val="00347B58"/>
    <w:rsid w:val="00347F50"/>
    <w:rsid w:val="0035063A"/>
    <w:rsid w:val="00350D7D"/>
    <w:rsid w:val="00351A38"/>
    <w:rsid w:val="0035240B"/>
    <w:rsid w:val="00353231"/>
    <w:rsid w:val="00353987"/>
    <w:rsid w:val="00353C94"/>
    <w:rsid w:val="0035415D"/>
    <w:rsid w:val="00354263"/>
    <w:rsid w:val="00354CA3"/>
    <w:rsid w:val="00356898"/>
    <w:rsid w:val="003569E6"/>
    <w:rsid w:val="00356A80"/>
    <w:rsid w:val="00356AD1"/>
    <w:rsid w:val="00356B7A"/>
    <w:rsid w:val="00356DB6"/>
    <w:rsid w:val="003573A7"/>
    <w:rsid w:val="00357A26"/>
    <w:rsid w:val="00357D78"/>
    <w:rsid w:val="00357F4F"/>
    <w:rsid w:val="00361048"/>
    <w:rsid w:val="0036144C"/>
    <w:rsid w:val="003614F7"/>
    <w:rsid w:val="00361EF7"/>
    <w:rsid w:val="003620D6"/>
    <w:rsid w:val="00363987"/>
    <w:rsid w:val="00363A29"/>
    <w:rsid w:val="0036432C"/>
    <w:rsid w:val="0036498F"/>
    <w:rsid w:val="003654D2"/>
    <w:rsid w:val="0036564C"/>
    <w:rsid w:val="00365E4E"/>
    <w:rsid w:val="00366753"/>
    <w:rsid w:val="0036682F"/>
    <w:rsid w:val="00366E48"/>
    <w:rsid w:val="00370882"/>
    <w:rsid w:val="00371601"/>
    <w:rsid w:val="003720AD"/>
    <w:rsid w:val="00372316"/>
    <w:rsid w:val="00372BB7"/>
    <w:rsid w:val="00373DB5"/>
    <w:rsid w:val="003740A7"/>
    <w:rsid w:val="00374C57"/>
    <w:rsid w:val="003752CA"/>
    <w:rsid w:val="00376FD6"/>
    <w:rsid w:val="00377A4D"/>
    <w:rsid w:val="00377F38"/>
    <w:rsid w:val="00380938"/>
    <w:rsid w:val="003819A8"/>
    <w:rsid w:val="00381D3E"/>
    <w:rsid w:val="00382239"/>
    <w:rsid w:val="00383920"/>
    <w:rsid w:val="00383A4D"/>
    <w:rsid w:val="00383B77"/>
    <w:rsid w:val="003855A1"/>
    <w:rsid w:val="003860DD"/>
    <w:rsid w:val="003875EB"/>
    <w:rsid w:val="003875F8"/>
    <w:rsid w:val="0038791C"/>
    <w:rsid w:val="0038798C"/>
    <w:rsid w:val="00390FF7"/>
    <w:rsid w:val="003911DB"/>
    <w:rsid w:val="00391B61"/>
    <w:rsid w:val="003931F7"/>
    <w:rsid w:val="0039354C"/>
    <w:rsid w:val="003940CC"/>
    <w:rsid w:val="00394373"/>
    <w:rsid w:val="00394736"/>
    <w:rsid w:val="00394DC0"/>
    <w:rsid w:val="00396336"/>
    <w:rsid w:val="0039678B"/>
    <w:rsid w:val="00396957"/>
    <w:rsid w:val="00396D7F"/>
    <w:rsid w:val="0039715F"/>
    <w:rsid w:val="00397575"/>
    <w:rsid w:val="00397A04"/>
    <w:rsid w:val="003A00EF"/>
    <w:rsid w:val="003A019C"/>
    <w:rsid w:val="003A01E6"/>
    <w:rsid w:val="003A0297"/>
    <w:rsid w:val="003A0517"/>
    <w:rsid w:val="003A0DAC"/>
    <w:rsid w:val="003A1756"/>
    <w:rsid w:val="003A1B61"/>
    <w:rsid w:val="003A1ED4"/>
    <w:rsid w:val="003A2E63"/>
    <w:rsid w:val="003A3127"/>
    <w:rsid w:val="003A3E08"/>
    <w:rsid w:val="003A43E0"/>
    <w:rsid w:val="003A4A7A"/>
    <w:rsid w:val="003A51B5"/>
    <w:rsid w:val="003A539C"/>
    <w:rsid w:val="003A55C8"/>
    <w:rsid w:val="003A586F"/>
    <w:rsid w:val="003A59AE"/>
    <w:rsid w:val="003A6BBE"/>
    <w:rsid w:val="003A6FF5"/>
    <w:rsid w:val="003A7E34"/>
    <w:rsid w:val="003B07A1"/>
    <w:rsid w:val="003B2659"/>
    <w:rsid w:val="003B48F9"/>
    <w:rsid w:val="003B4D30"/>
    <w:rsid w:val="003B4DA3"/>
    <w:rsid w:val="003B5034"/>
    <w:rsid w:val="003B68FD"/>
    <w:rsid w:val="003B72B8"/>
    <w:rsid w:val="003B7BDE"/>
    <w:rsid w:val="003C0E8A"/>
    <w:rsid w:val="003C19C8"/>
    <w:rsid w:val="003C2A4D"/>
    <w:rsid w:val="003C355A"/>
    <w:rsid w:val="003C3C3C"/>
    <w:rsid w:val="003C417B"/>
    <w:rsid w:val="003C4B43"/>
    <w:rsid w:val="003C4BB5"/>
    <w:rsid w:val="003C4F34"/>
    <w:rsid w:val="003C5394"/>
    <w:rsid w:val="003C5552"/>
    <w:rsid w:val="003C658F"/>
    <w:rsid w:val="003C6640"/>
    <w:rsid w:val="003C665A"/>
    <w:rsid w:val="003C6D5C"/>
    <w:rsid w:val="003C6DA1"/>
    <w:rsid w:val="003C7154"/>
    <w:rsid w:val="003D002E"/>
    <w:rsid w:val="003D005C"/>
    <w:rsid w:val="003D1899"/>
    <w:rsid w:val="003D30BA"/>
    <w:rsid w:val="003D3243"/>
    <w:rsid w:val="003D3435"/>
    <w:rsid w:val="003D5137"/>
    <w:rsid w:val="003D5A50"/>
    <w:rsid w:val="003D6D70"/>
    <w:rsid w:val="003D6E26"/>
    <w:rsid w:val="003D77EA"/>
    <w:rsid w:val="003E015B"/>
    <w:rsid w:val="003E04F3"/>
    <w:rsid w:val="003E08F2"/>
    <w:rsid w:val="003E1DCA"/>
    <w:rsid w:val="003E1DD2"/>
    <w:rsid w:val="003E2472"/>
    <w:rsid w:val="003E24B7"/>
    <w:rsid w:val="003E3430"/>
    <w:rsid w:val="003E34C2"/>
    <w:rsid w:val="003E3C9F"/>
    <w:rsid w:val="003E4E8A"/>
    <w:rsid w:val="003E57A4"/>
    <w:rsid w:val="003E694F"/>
    <w:rsid w:val="003E735F"/>
    <w:rsid w:val="003F0225"/>
    <w:rsid w:val="003F0898"/>
    <w:rsid w:val="003F0C4A"/>
    <w:rsid w:val="003F15D3"/>
    <w:rsid w:val="003F249F"/>
    <w:rsid w:val="003F2ABE"/>
    <w:rsid w:val="003F2E01"/>
    <w:rsid w:val="003F2ECA"/>
    <w:rsid w:val="003F40B4"/>
    <w:rsid w:val="003F44B2"/>
    <w:rsid w:val="003F468A"/>
    <w:rsid w:val="003F4C67"/>
    <w:rsid w:val="003F51E3"/>
    <w:rsid w:val="003F5BB0"/>
    <w:rsid w:val="003F5F28"/>
    <w:rsid w:val="003F656B"/>
    <w:rsid w:val="003F7F5A"/>
    <w:rsid w:val="004010D6"/>
    <w:rsid w:val="00401DD7"/>
    <w:rsid w:val="004024BC"/>
    <w:rsid w:val="004026EF"/>
    <w:rsid w:val="00402702"/>
    <w:rsid w:val="00402793"/>
    <w:rsid w:val="0040310D"/>
    <w:rsid w:val="004031C5"/>
    <w:rsid w:val="00403C56"/>
    <w:rsid w:val="00403EF4"/>
    <w:rsid w:val="0040457E"/>
    <w:rsid w:val="004046D6"/>
    <w:rsid w:val="00406E22"/>
    <w:rsid w:val="00407B62"/>
    <w:rsid w:val="004111E6"/>
    <w:rsid w:val="004113C5"/>
    <w:rsid w:val="004153B4"/>
    <w:rsid w:val="0041554C"/>
    <w:rsid w:val="00415F6E"/>
    <w:rsid w:val="0041612E"/>
    <w:rsid w:val="004207D0"/>
    <w:rsid w:val="004207E6"/>
    <w:rsid w:val="00420A6E"/>
    <w:rsid w:val="00422DF0"/>
    <w:rsid w:val="0042339C"/>
    <w:rsid w:val="0042369E"/>
    <w:rsid w:val="00423700"/>
    <w:rsid w:val="00424080"/>
    <w:rsid w:val="004241CE"/>
    <w:rsid w:val="00425116"/>
    <w:rsid w:val="00425F8D"/>
    <w:rsid w:val="004269DB"/>
    <w:rsid w:val="00426BF5"/>
    <w:rsid w:val="00427253"/>
    <w:rsid w:val="00430B65"/>
    <w:rsid w:val="00431A38"/>
    <w:rsid w:val="004321D8"/>
    <w:rsid w:val="00432FF9"/>
    <w:rsid w:val="00433D95"/>
    <w:rsid w:val="0043405F"/>
    <w:rsid w:val="00436E75"/>
    <w:rsid w:val="00437418"/>
    <w:rsid w:val="00440E86"/>
    <w:rsid w:val="00441920"/>
    <w:rsid w:val="00441F0C"/>
    <w:rsid w:val="00442601"/>
    <w:rsid w:val="0044261D"/>
    <w:rsid w:val="00442DFB"/>
    <w:rsid w:val="00443193"/>
    <w:rsid w:val="0044343D"/>
    <w:rsid w:val="00444208"/>
    <w:rsid w:val="00444852"/>
    <w:rsid w:val="00444953"/>
    <w:rsid w:val="004469A3"/>
    <w:rsid w:val="00450ED5"/>
    <w:rsid w:val="00450F10"/>
    <w:rsid w:val="00451F3A"/>
    <w:rsid w:val="00452215"/>
    <w:rsid w:val="00452E54"/>
    <w:rsid w:val="0045312A"/>
    <w:rsid w:val="004533C2"/>
    <w:rsid w:val="004534B8"/>
    <w:rsid w:val="004538EC"/>
    <w:rsid w:val="004552A2"/>
    <w:rsid w:val="0045619F"/>
    <w:rsid w:val="0045782A"/>
    <w:rsid w:val="00457DCD"/>
    <w:rsid w:val="00462590"/>
    <w:rsid w:val="00462A01"/>
    <w:rsid w:val="00463744"/>
    <w:rsid w:val="00463C8C"/>
    <w:rsid w:val="00463F07"/>
    <w:rsid w:val="00464392"/>
    <w:rsid w:val="00465619"/>
    <w:rsid w:val="00465F4F"/>
    <w:rsid w:val="00466117"/>
    <w:rsid w:val="004661FB"/>
    <w:rsid w:val="0046620E"/>
    <w:rsid w:val="00466377"/>
    <w:rsid w:val="004669C9"/>
    <w:rsid w:val="00466DF9"/>
    <w:rsid w:val="0047035B"/>
    <w:rsid w:val="004712E3"/>
    <w:rsid w:val="004719C0"/>
    <w:rsid w:val="004721AE"/>
    <w:rsid w:val="004729A9"/>
    <w:rsid w:val="00472A3B"/>
    <w:rsid w:val="00472B8A"/>
    <w:rsid w:val="004733C7"/>
    <w:rsid w:val="0047384A"/>
    <w:rsid w:val="00473A0E"/>
    <w:rsid w:val="004742EB"/>
    <w:rsid w:val="00474505"/>
    <w:rsid w:val="004745E7"/>
    <w:rsid w:val="004746B4"/>
    <w:rsid w:val="00475267"/>
    <w:rsid w:val="00475BC0"/>
    <w:rsid w:val="004771C6"/>
    <w:rsid w:val="00477DED"/>
    <w:rsid w:val="00481861"/>
    <w:rsid w:val="0048189A"/>
    <w:rsid w:val="00481939"/>
    <w:rsid w:val="00481DB2"/>
    <w:rsid w:val="00482800"/>
    <w:rsid w:val="00483296"/>
    <w:rsid w:val="004835DC"/>
    <w:rsid w:val="004843E8"/>
    <w:rsid w:val="00485E36"/>
    <w:rsid w:val="00486337"/>
    <w:rsid w:val="004868F0"/>
    <w:rsid w:val="0049021F"/>
    <w:rsid w:val="00490450"/>
    <w:rsid w:val="00490D62"/>
    <w:rsid w:val="004915C8"/>
    <w:rsid w:val="0049189A"/>
    <w:rsid w:val="00491C97"/>
    <w:rsid w:val="00492315"/>
    <w:rsid w:val="00492878"/>
    <w:rsid w:val="00493B01"/>
    <w:rsid w:val="00494B25"/>
    <w:rsid w:val="00495986"/>
    <w:rsid w:val="004A0573"/>
    <w:rsid w:val="004A088C"/>
    <w:rsid w:val="004A0E98"/>
    <w:rsid w:val="004A2062"/>
    <w:rsid w:val="004A36DD"/>
    <w:rsid w:val="004A4564"/>
    <w:rsid w:val="004A4D58"/>
    <w:rsid w:val="004A599B"/>
    <w:rsid w:val="004A5B4C"/>
    <w:rsid w:val="004A5EA6"/>
    <w:rsid w:val="004A6699"/>
    <w:rsid w:val="004A6DD6"/>
    <w:rsid w:val="004B263D"/>
    <w:rsid w:val="004B2E1A"/>
    <w:rsid w:val="004B3051"/>
    <w:rsid w:val="004B3AD7"/>
    <w:rsid w:val="004B3B98"/>
    <w:rsid w:val="004B487B"/>
    <w:rsid w:val="004B487D"/>
    <w:rsid w:val="004B4AE2"/>
    <w:rsid w:val="004B53C1"/>
    <w:rsid w:val="004B5876"/>
    <w:rsid w:val="004B5B58"/>
    <w:rsid w:val="004B5C0D"/>
    <w:rsid w:val="004B629B"/>
    <w:rsid w:val="004B636E"/>
    <w:rsid w:val="004B6A39"/>
    <w:rsid w:val="004B6BF0"/>
    <w:rsid w:val="004B6CBD"/>
    <w:rsid w:val="004C0006"/>
    <w:rsid w:val="004C0E03"/>
    <w:rsid w:val="004C1379"/>
    <w:rsid w:val="004C207D"/>
    <w:rsid w:val="004C2BBE"/>
    <w:rsid w:val="004C3960"/>
    <w:rsid w:val="004C4546"/>
    <w:rsid w:val="004C47B3"/>
    <w:rsid w:val="004C4DD3"/>
    <w:rsid w:val="004C5521"/>
    <w:rsid w:val="004C558C"/>
    <w:rsid w:val="004C5845"/>
    <w:rsid w:val="004C5D31"/>
    <w:rsid w:val="004C60DF"/>
    <w:rsid w:val="004C6DA7"/>
    <w:rsid w:val="004C7B76"/>
    <w:rsid w:val="004D0CE8"/>
    <w:rsid w:val="004D1030"/>
    <w:rsid w:val="004D12D7"/>
    <w:rsid w:val="004D17A1"/>
    <w:rsid w:val="004D17C4"/>
    <w:rsid w:val="004D1BA2"/>
    <w:rsid w:val="004D1BCA"/>
    <w:rsid w:val="004D32F8"/>
    <w:rsid w:val="004D3408"/>
    <w:rsid w:val="004D3791"/>
    <w:rsid w:val="004D38DB"/>
    <w:rsid w:val="004D3B54"/>
    <w:rsid w:val="004D462F"/>
    <w:rsid w:val="004D4C80"/>
    <w:rsid w:val="004D4D13"/>
    <w:rsid w:val="004D5B62"/>
    <w:rsid w:val="004D70CF"/>
    <w:rsid w:val="004D73A1"/>
    <w:rsid w:val="004E0C48"/>
    <w:rsid w:val="004E14F2"/>
    <w:rsid w:val="004E1EB6"/>
    <w:rsid w:val="004E4917"/>
    <w:rsid w:val="004E6766"/>
    <w:rsid w:val="004E6811"/>
    <w:rsid w:val="004E6E92"/>
    <w:rsid w:val="004E7E9C"/>
    <w:rsid w:val="004F0184"/>
    <w:rsid w:val="004F040C"/>
    <w:rsid w:val="004F06AF"/>
    <w:rsid w:val="004F0997"/>
    <w:rsid w:val="004F09FC"/>
    <w:rsid w:val="004F0E24"/>
    <w:rsid w:val="004F0F6D"/>
    <w:rsid w:val="004F136E"/>
    <w:rsid w:val="004F1AC2"/>
    <w:rsid w:val="004F25D4"/>
    <w:rsid w:val="004F3181"/>
    <w:rsid w:val="004F33F0"/>
    <w:rsid w:val="004F3E37"/>
    <w:rsid w:val="0050014D"/>
    <w:rsid w:val="00500692"/>
    <w:rsid w:val="00500BFA"/>
    <w:rsid w:val="00501AD6"/>
    <w:rsid w:val="00501D9E"/>
    <w:rsid w:val="0050229A"/>
    <w:rsid w:val="00502D8D"/>
    <w:rsid w:val="005034AA"/>
    <w:rsid w:val="005035F2"/>
    <w:rsid w:val="00503905"/>
    <w:rsid w:val="00503A61"/>
    <w:rsid w:val="00504B23"/>
    <w:rsid w:val="005060DE"/>
    <w:rsid w:val="00506367"/>
    <w:rsid w:val="00506629"/>
    <w:rsid w:val="00507D0F"/>
    <w:rsid w:val="0051015F"/>
    <w:rsid w:val="00510EAA"/>
    <w:rsid w:val="00511BCF"/>
    <w:rsid w:val="00511C2F"/>
    <w:rsid w:val="00511D0A"/>
    <w:rsid w:val="0051380B"/>
    <w:rsid w:val="00513881"/>
    <w:rsid w:val="00513C36"/>
    <w:rsid w:val="0051575A"/>
    <w:rsid w:val="005161ED"/>
    <w:rsid w:val="005173C0"/>
    <w:rsid w:val="005201C8"/>
    <w:rsid w:val="0052047D"/>
    <w:rsid w:val="005212A7"/>
    <w:rsid w:val="00521E50"/>
    <w:rsid w:val="00522294"/>
    <w:rsid w:val="00522585"/>
    <w:rsid w:val="005225A2"/>
    <w:rsid w:val="00522C60"/>
    <w:rsid w:val="005231E6"/>
    <w:rsid w:val="005249C0"/>
    <w:rsid w:val="0052595C"/>
    <w:rsid w:val="005265AF"/>
    <w:rsid w:val="00526A07"/>
    <w:rsid w:val="00527014"/>
    <w:rsid w:val="005304D5"/>
    <w:rsid w:val="0053102A"/>
    <w:rsid w:val="0053294F"/>
    <w:rsid w:val="00532E68"/>
    <w:rsid w:val="00533CA3"/>
    <w:rsid w:val="005344E9"/>
    <w:rsid w:val="00534BCB"/>
    <w:rsid w:val="00535D43"/>
    <w:rsid w:val="005363E0"/>
    <w:rsid w:val="005368C7"/>
    <w:rsid w:val="00536E02"/>
    <w:rsid w:val="00537583"/>
    <w:rsid w:val="0054005B"/>
    <w:rsid w:val="00540BA9"/>
    <w:rsid w:val="00540EF9"/>
    <w:rsid w:val="00540F99"/>
    <w:rsid w:val="0054105B"/>
    <w:rsid w:val="00541758"/>
    <w:rsid w:val="005423E9"/>
    <w:rsid w:val="005439B7"/>
    <w:rsid w:val="00543BE4"/>
    <w:rsid w:val="00545ABF"/>
    <w:rsid w:val="00546829"/>
    <w:rsid w:val="00547CAF"/>
    <w:rsid w:val="005500FE"/>
    <w:rsid w:val="00550BF1"/>
    <w:rsid w:val="00550D6D"/>
    <w:rsid w:val="00551228"/>
    <w:rsid w:val="00551E26"/>
    <w:rsid w:val="00551E73"/>
    <w:rsid w:val="00552A26"/>
    <w:rsid w:val="005532CD"/>
    <w:rsid w:val="0055355F"/>
    <w:rsid w:val="00554B16"/>
    <w:rsid w:val="00554B91"/>
    <w:rsid w:val="00555E24"/>
    <w:rsid w:val="00556A9D"/>
    <w:rsid w:val="00560626"/>
    <w:rsid w:val="005613C7"/>
    <w:rsid w:val="00562521"/>
    <w:rsid w:val="005631A7"/>
    <w:rsid w:val="00564D7B"/>
    <w:rsid w:val="0056781B"/>
    <w:rsid w:val="00567860"/>
    <w:rsid w:val="00567944"/>
    <w:rsid w:val="0057031D"/>
    <w:rsid w:val="00570960"/>
    <w:rsid w:val="005710F8"/>
    <w:rsid w:val="00571157"/>
    <w:rsid w:val="00571445"/>
    <w:rsid w:val="0057229D"/>
    <w:rsid w:val="0057384F"/>
    <w:rsid w:val="00573BDD"/>
    <w:rsid w:val="005743CA"/>
    <w:rsid w:val="0057441A"/>
    <w:rsid w:val="005749CF"/>
    <w:rsid w:val="00574ABA"/>
    <w:rsid w:val="00575140"/>
    <w:rsid w:val="005756CC"/>
    <w:rsid w:val="00576760"/>
    <w:rsid w:val="005777F5"/>
    <w:rsid w:val="00577C9B"/>
    <w:rsid w:val="00577CEE"/>
    <w:rsid w:val="00577F28"/>
    <w:rsid w:val="00577FEB"/>
    <w:rsid w:val="00580018"/>
    <w:rsid w:val="00580961"/>
    <w:rsid w:val="005814FF"/>
    <w:rsid w:val="00581D31"/>
    <w:rsid w:val="00581E9E"/>
    <w:rsid w:val="005825AF"/>
    <w:rsid w:val="005832F5"/>
    <w:rsid w:val="005838E7"/>
    <w:rsid w:val="00583A67"/>
    <w:rsid w:val="00583D2F"/>
    <w:rsid w:val="00584D2A"/>
    <w:rsid w:val="00585273"/>
    <w:rsid w:val="00585DD4"/>
    <w:rsid w:val="005866F3"/>
    <w:rsid w:val="0058776E"/>
    <w:rsid w:val="00587860"/>
    <w:rsid w:val="00587CBD"/>
    <w:rsid w:val="005905DA"/>
    <w:rsid w:val="005912B9"/>
    <w:rsid w:val="00592D6A"/>
    <w:rsid w:val="005933C0"/>
    <w:rsid w:val="005938C3"/>
    <w:rsid w:val="00594871"/>
    <w:rsid w:val="00595759"/>
    <w:rsid w:val="00595CB4"/>
    <w:rsid w:val="005965DD"/>
    <w:rsid w:val="00596B3A"/>
    <w:rsid w:val="00597F8D"/>
    <w:rsid w:val="005A06D6"/>
    <w:rsid w:val="005A0C95"/>
    <w:rsid w:val="005A1251"/>
    <w:rsid w:val="005A1663"/>
    <w:rsid w:val="005A1A1A"/>
    <w:rsid w:val="005A1B0A"/>
    <w:rsid w:val="005A1BB5"/>
    <w:rsid w:val="005A1E19"/>
    <w:rsid w:val="005A23F8"/>
    <w:rsid w:val="005A2A66"/>
    <w:rsid w:val="005A2CFD"/>
    <w:rsid w:val="005A328D"/>
    <w:rsid w:val="005A3DA8"/>
    <w:rsid w:val="005A3ED2"/>
    <w:rsid w:val="005A41FB"/>
    <w:rsid w:val="005A468D"/>
    <w:rsid w:val="005A4CD8"/>
    <w:rsid w:val="005A4F43"/>
    <w:rsid w:val="005A52AE"/>
    <w:rsid w:val="005A53D7"/>
    <w:rsid w:val="005A555C"/>
    <w:rsid w:val="005A6DB1"/>
    <w:rsid w:val="005A6E10"/>
    <w:rsid w:val="005A7DC3"/>
    <w:rsid w:val="005B0177"/>
    <w:rsid w:val="005B0D55"/>
    <w:rsid w:val="005B1AE7"/>
    <w:rsid w:val="005B20C4"/>
    <w:rsid w:val="005B24E2"/>
    <w:rsid w:val="005B3204"/>
    <w:rsid w:val="005B35CA"/>
    <w:rsid w:val="005B3B9F"/>
    <w:rsid w:val="005B410A"/>
    <w:rsid w:val="005B7216"/>
    <w:rsid w:val="005B758D"/>
    <w:rsid w:val="005B7CA8"/>
    <w:rsid w:val="005C15B4"/>
    <w:rsid w:val="005C194F"/>
    <w:rsid w:val="005C1B0A"/>
    <w:rsid w:val="005C2232"/>
    <w:rsid w:val="005C2B7B"/>
    <w:rsid w:val="005C3282"/>
    <w:rsid w:val="005C3408"/>
    <w:rsid w:val="005C38E2"/>
    <w:rsid w:val="005C544F"/>
    <w:rsid w:val="005C5FA6"/>
    <w:rsid w:val="005C6CE7"/>
    <w:rsid w:val="005C6E4F"/>
    <w:rsid w:val="005D072E"/>
    <w:rsid w:val="005D0764"/>
    <w:rsid w:val="005D0B34"/>
    <w:rsid w:val="005D1C22"/>
    <w:rsid w:val="005D1D20"/>
    <w:rsid w:val="005D20A0"/>
    <w:rsid w:val="005D2593"/>
    <w:rsid w:val="005D2DF3"/>
    <w:rsid w:val="005D4ADA"/>
    <w:rsid w:val="005D4C64"/>
    <w:rsid w:val="005D549E"/>
    <w:rsid w:val="005D7039"/>
    <w:rsid w:val="005D7F40"/>
    <w:rsid w:val="005E057E"/>
    <w:rsid w:val="005E09B3"/>
    <w:rsid w:val="005E0CF9"/>
    <w:rsid w:val="005E1946"/>
    <w:rsid w:val="005E1D97"/>
    <w:rsid w:val="005E2C3F"/>
    <w:rsid w:val="005E3191"/>
    <w:rsid w:val="005E451C"/>
    <w:rsid w:val="005E45D6"/>
    <w:rsid w:val="005E4E28"/>
    <w:rsid w:val="005E58A6"/>
    <w:rsid w:val="005F0051"/>
    <w:rsid w:val="005F07D5"/>
    <w:rsid w:val="005F0884"/>
    <w:rsid w:val="005F1423"/>
    <w:rsid w:val="005F1F5B"/>
    <w:rsid w:val="005F2688"/>
    <w:rsid w:val="005F2B10"/>
    <w:rsid w:val="005F3597"/>
    <w:rsid w:val="005F364D"/>
    <w:rsid w:val="005F3FBC"/>
    <w:rsid w:val="005F4B3B"/>
    <w:rsid w:val="005F520D"/>
    <w:rsid w:val="005F61D3"/>
    <w:rsid w:val="005F6857"/>
    <w:rsid w:val="005F7BE7"/>
    <w:rsid w:val="00600563"/>
    <w:rsid w:val="006013EB"/>
    <w:rsid w:val="00601BD1"/>
    <w:rsid w:val="00601C36"/>
    <w:rsid w:val="00602019"/>
    <w:rsid w:val="00602545"/>
    <w:rsid w:val="006025AF"/>
    <w:rsid w:val="00602951"/>
    <w:rsid w:val="00602A98"/>
    <w:rsid w:val="00602C9B"/>
    <w:rsid w:val="00603E36"/>
    <w:rsid w:val="006041A3"/>
    <w:rsid w:val="0060509C"/>
    <w:rsid w:val="0060526C"/>
    <w:rsid w:val="00606393"/>
    <w:rsid w:val="0060703A"/>
    <w:rsid w:val="006072C5"/>
    <w:rsid w:val="006101CF"/>
    <w:rsid w:val="00610DE1"/>
    <w:rsid w:val="00611427"/>
    <w:rsid w:val="006128DA"/>
    <w:rsid w:val="0061498B"/>
    <w:rsid w:val="00614F0A"/>
    <w:rsid w:val="0061527D"/>
    <w:rsid w:val="00615AA6"/>
    <w:rsid w:val="00616E43"/>
    <w:rsid w:val="00616F6E"/>
    <w:rsid w:val="006179E5"/>
    <w:rsid w:val="006203AB"/>
    <w:rsid w:val="00620A38"/>
    <w:rsid w:val="0062135B"/>
    <w:rsid w:val="00621F39"/>
    <w:rsid w:val="006220CE"/>
    <w:rsid w:val="00623172"/>
    <w:rsid w:val="00624B6B"/>
    <w:rsid w:val="00624F71"/>
    <w:rsid w:val="00625B18"/>
    <w:rsid w:val="00626184"/>
    <w:rsid w:val="006267C3"/>
    <w:rsid w:val="00626A16"/>
    <w:rsid w:val="00627384"/>
    <w:rsid w:val="006278FE"/>
    <w:rsid w:val="00627959"/>
    <w:rsid w:val="006303A0"/>
    <w:rsid w:val="00630F55"/>
    <w:rsid w:val="00632084"/>
    <w:rsid w:val="00632B64"/>
    <w:rsid w:val="00632C1B"/>
    <w:rsid w:val="0063348F"/>
    <w:rsid w:val="00633F2D"/>
    <w:rsid w:val="0063445B"/>
    <w:rsid w:val="00634C42"/>
    <w:rsid w:val="006350CB"/>
    <w:rsid w:val="00635127"/>
    <w:rsid w:val="00635CE2"/>
    <w:rsid w:val="006363F9"/>
    <w:rsid w:val="00636F0C"/>
    <w:rsid w:val="00640878"/>
    <w:rsid w:val="006409F7"/>
    <w:rsid w:val="00640AF7"/>
    <w:rsid w:val="006415E2"/>
    <w:rsid w:val="006428B7"/>
    <w:rsid w:val="00642951"/>
    <w:rsid w:val="00643903"/>
    <w:rsid w:val="00643A30"/>
    <w:rsid w:val="00643C3E"/>
    <w:rsid w:val="00644899"/>
    <w:rsid w:val="00645662"/>
    <w:rsid w:val="00645BAE"/>
    <w:rsid w:val="00646598"/>
    <w:rsid w:val="006471C8"/>
    <w:rsid w:val="00647E68"/>
    <w:rsid w:val="00650A64"/>
    <w:rsid w:val="0065147B"/>
    <w:rsid w:val="00651D53"/>
    <w:rsid w:val="00652BB2"/>
    <w:rsid w:val="0065312C"/>
    <w:rsid w:val="006534ED"/>
    <w:rsid w:val="00653995"/>
    <w:rsid w:val="006545C4"/>
    <w:rsid w:val="0065479A"/>
    <w:rsid w:val="0065595A"/>
    <w:rsid w:val="0065604F"/>
    <w:rsid w:val="00656397"/>
    <w:rsid w:val="006569C6"/>
    <w:rsid w:val="00656C0D"/>
    <w:rsid w:val="0065770D"/>
    <w:rsid w:val="00657AD6"/>
    <w:rsid w:val="00660E79"/>
    <w:rsid w:val="006610E6"/>
    <w:rsid w:val="00661AFE"/>
    <w:rsid w:val="00662595"/>
    <w:rsid w:val="00662605"/>
    <w:rsid w:val="006628A5"/>
    <w:rsid w:val="00664096"/>
    <w:rsid w:val="00664722"/>
    <w:rsid w:val="00664EE2"/>
    <w:rsid w:val="00664F4D"/>
    <w:rsid w:val="006650C4"/>
    <w:rsid w:val="00667389"/>
    <w:rsid w:val="00667AF3"/>
    <w:rsid w:val="00670C2A"/>
    <w:rsid w:val="00671227"/>
    <w:rsid w:val="00671E07"/>
    <w:rsid w:val="0067271A"/>
    <w:rsid w:val="00672BF8"/>
    <w:rsid w:val="00672DEB"/>
    <w:rsid w:val="00673393"/>
    <w:rsid w:val="00673513"/>
    <w:rsid w:val="00673BA7"/>
    <w:rsid w:val="0067536E"/>
    <w:rsid w:val="00675972"/>
    <w:rsid w:val="00675F4F"/>
    <w:rsid w:val="0067634F"/>
    <w:rsid w:val="006767D1"/>
    <w:rsid w:val="00681069"/>
    <w:rsid w:val="00684BF5"/>
    <w:rsid w:val="0068506B"/>
    <w:rsid w:val="00685DAA"/>
    <w:rsid w:val="00686737"/>
    <w:rsid w:val="00692907"/>
    <w:rsid w:val="006943B8"/>
    <w:rsid w:val="006955E4"/>
    <w:rsid w:val="00695ACE"/>
    <w:rsid w:val="0069630E"/>
    <w:rsid w:val="00697420"/>
    <w:rsid w:val="006A0197"/>
    <w:rsid w:val="006A0A56"/>
    <w:rsid w:val="006A2A5D"/>
    <w:rsid w:val="006A2C81"/>
    <w:rsid w:val="006A488B"/>
    <w:rsid w:val="006A61E0"/>
    <w:rsid w:val="006A6670"/>
    <w:rsid w:val="006A6A87"/>
    <w:rsid w:val="006A72BE"/>
    <w:rsid w:val="006A76AE"/>
    <w:rsid w:val="006B02CE"/>
    <w:rsid w:val="006B0EA4"/>
    <w:rsid w:val="006B18F0"/>
    <w:rsid w:val="006B239B"/>
    <w:rsid w:val="006B24E3"/>
    <w:rsid w:val="006B26AE"/>
    <w:rsid w:val="006B2BA5"/>
    <w:rsid w:val="006B3BD8"/>
    <w:rsid w:val="006B4AE0"/>
    <w:rsid w:val="006B5F72"/>
    <w:rsid w:val="006B6710"/>
    <w:rsid w:val="006B6B38"/>
    <w:rsid w:val="006B7142"/>
    <w:rsid w:val="006B7BBB"/>
    <w:rsid w:val="006B7E81"/>
    <w:rsid w:val="006C0ACA"/>
    <w:rsid w:val="006C15D2"/>
    <w:rsid w:val="006C181B"/>
    <w:rsid w:val="006C268B"/>
    <w:rsid w:val="006C28B6"/>
    <w:rsid w:val="006C3017"/>
    <w:rsid w:val="006C4499"/>
    <w:rsid w:val="006C539B"/>
    <w:rsid w:val="006C57AF"/>
    <w:rsid w:val="006C5FC3"/>
    <w:rsid w:val="006C6DA9"/>
    <w:rsid w:val="006C7930"/>
    <w:rsid w:val="006D0345"/>
    <w:rsid w:val="006D073F"/>
    <w:rsid w:val="006D17DE"/>
    <w:rsid w:val="006D24AF"/>
    <w:rsid w:val="006D24C0"/>
    <w:rsid w:val="006D37EB"/>
    <w:rsid w:val="006D3BE6"/>
    <w:rsid w:val="006D542F"/>
    <w:rsid w:val="006D5CEE"/>
    <w:rsid w:val="006D680C"/>
    <w:rsid w:val="006D6871"/>
    <w:rsid w:val="006D6FD6"/>
    <w:rsid w:val="006E0000"/>
    <w:rsid w:val="006E06E8"/>
    <w:rsid w:val="006E079A"/>
    <w:rsid w:val="006E0B35"/>
    <w:rsid w:val="006E1620"/>
    <w:rsid w:val="006E1B05"/>
    <w:rsid w:val="006E2BB8"/>
    <w:rsid w:val="006E3C40"/>
    <w:rsid w:val="006E3D30"/>
    <w:rsid w:val="006E41F3"/>
    <w:rsid w:val="006E51B6"/>
    <w:rsid w:val="006E5367"/>
    <w:rsid w:val="006E543F"/>
    <w:rsid w:val="006E60F2"/>
    <w:rsid w:val="006E702E"/>
    <w:rsid w:val="006E76D9"/>
    <w:rsid w:val="006E7A09"/>
    <w:rsid w:val="006F0465"/>
    <w:rsid w:val="006F1FA9"/>
    <w:rsid w:val="006F21E2"/>
    <w:rsid w:val="006F23DD"/>
    <w:rsid w:val="006F2737"/>
    <w:rsid w:val="006F2936"/>
    <w:rsid w:val="006F31E4"/>
    <w:rsid w:val="006F3926"/>
    <w:rsid w:val="006F47A9"/>
    <w:rsid w:val="006F4DF2"/>
    <w:rsid w:val="006F6345"/>
    <w:rsid w:val="00700E5D"/>
    <w:rsid w:val="007010CC"/>
    <w:rsid w:val="0070119B"/>
    <w:rsid w:val="0070240D"/>
    <w:rsid w:val="007025D7"/>
    <w:rsid w:val="00702B7F"/>
    <w:rsid w:val="00702EB1"/>
    <w:rsid w:val="00703282"/>
    <w:rsid w:val="007046BC"/>
    <w:rsid w:val="00704A28"/>
    <w:rsid w:val="00704B78"/>
    <w:rsid w:val="007051F6"/>
    <w:rsid w:val="00705390"/>
    <w:rsid w:val="00707594"/>
    <w:rsid w:val="00707D70"/>
    <w:rsid w:val="00710003"/>
    <w:rsid w:val="00710684"/>
    <w:rsid w:val="007115F3"/>
    <w:rsid w:val="00711CBC"/>
    <w:rsid w:val="007122E6"/>
    <w:rsid w:val="00712970"/>
    <w:rsid w:val="00713616"/>
    <w:rsid w:val="0071416B"/>
    <w:rsid w:val="0071451A"/>
    <w:rsid w:val="00714AB1"/>
    <w:rsid w:val="00714EC6"/>
    <w:rsid w:val="0071657A"/>
    <w:rsid w:val="00716BDF"/>
    <w:rsid w:val="00716E8A"/>
    <w:rsid w:val="007171C5"/>
    <w:rsid w:val="007172B4"/>
    <w:rsid w:val="007176BF"/>
    <w:rsid w:val="007177DA"/>
    <w:rsid w:val="007202F2"/>
    <w:rsid w:val="00721A5F"/>
    <w:rsid w:val="00721E93"/>
    <w:rsid w:val="00721F7B"/>
    <w:rsid w:val="00722914"/>
    <w:rsid w:val="00723155"/>
    <w:rsid w:val="0072436B"/>
    <w:rsid w:val="00724BD7"/>
    <w:rsid w:val="00725023"/>
    <w:rsid w:val="007258F3"/>
    <w:rsid w:val="007262BD"/>
    <w:rsid w:val="007264DD"/>
    <w:rsid w:val="00727A33"/>
    <w:rsid w:val="00727B12"/>
    <w:rsid w:val="00730133"/>
    <w:rsid w:val="0073085A"/>
    <w:rsid w:val="00730C2F"/>
    <w:rsid w:val="007316DE"/>
    <w:rsid w:val="007319A8"/>
    <w:rsid w:val="0073265E"/>
    <w:rsid w:val="00732C8A"/>
    <w:rsid w:val="007339A8"/>
    <w:rsid w:val="00734A1D"/>
    <w:rsid w:val="00734BEA"/>
    <w:rsid w:val="00735C00"/>
    <w:rsid w:val="007363A1"/>
    <w:rsid w:val="00736EC3"/>
    <w:rsid w:val="00736F97"/>
    <w:rsid w:val="00737AC7"/>
    <w:rsid w:val="00737B66"/>
    <w:rsid w:val="0074076F"/>
    <w:rsid w:val="00740B25"/>
    <w:rsid w:val="00740E88"/>
    <w:rsid w:val="007414BA"/>
    <w:rsid w:val="007415CA"/>
    <w:rsid w:val="00741BB0"/>
    <w:rsid w:val="00742E58"/>
    <w:rsid w:val="0074499E"/>
    <w:rsid w:val="00744C91"/>
    <w:rsid w:val="007459DC"/>
    <w:rsid w:val="00746668"/>
    <w:rsid w:val="00746C7F"/>
    <w:rsid w:val="00747B72"/>
    <w:rsid w:val="00747B77"/>
    <w:rsid w:val="00747C90"/>
    <w:rsid w:val="007509DA"/>
    <w:rsid w:val="00751397"/>
    <w:rsid w:val="007516D0"/>
    <w:rsid w:val="00752B46"/>
    <w:rsid w:val="007531A1"/>
    <w:rsid w:val="007531BC"/>
    <w:rsid w:val="00754C9E"/>
    <w:rsid w:val="00755335"/>
    <w:rsid w:val="00755539"/>
    <w:rsid w:val="007555E2"/>
    <w:rsid w:val="0075575B"/>
    <w:rsid w:val="00760412"/>
    <w:rsid w:val="00761CC7"/>
    <w:rsid w:val="00761D85"/>
    <w:rsid w:val="00762C43"/>
    <w:rsid w:val="00762F17"/>
    <w:rsid w:val="007635B4"/>
    <w:rsid w:val="0076695D"/>
    <w:rsid w:val="007677FD"/>
    <w:rsid w:val="007679B6"/>
    <w:rsid w:val="00767F4E"/>
    <w:rsid w:val="0077095C"/>
    <w:rsid w:val="00771180"/>
    <w:rsid w:val="0077119C"/>
    <w:rsid w:val="00773026"/>
    <w:rsid w:val="00773A97"/>
    <w:rsid w:val="00774E1B"/>
    <w:rsid w:val="007757DC"/>
    <w:rsid w:val="00776967"/>
    <w:rsid w:val="00777023"/>
    <w:rsid w:val="007775FB"/>
    <w:rsid w:val="007776A4"/>
    <w:rsid w:val="007800A1"/>
    <w:rsid w:val="00781486"/>
    <w:rsid w:val="00781757"/>
    <w:rsid w:val="0078226A"/>
    <w:rsid w:val="0078436C"/>
    <w:rsid w:val="007844DE"/>
    <w:rsid w:val="007846BC"/>
    <w:rsid w:val="00784B24"/>
    <w:rsid w:val="00784E73"/>
    <w:rsid w:val="00785FE0"/>
    <w:rsid w:val="00790384"/>
    <w:rsid w:val="00790E69"/>
    <w:rsid w:val="00791072"/>
    <w:rsid w:val="00791116"/>
    <w:rsid w:val="0079203F"/>
    <w:rsid w:val="007928F5"/>
    <w:rsid w:val="007929ED"/>
    <w:rsid w:val="007931AB"/>
    <w:rsid w:val="00793A11"/>
    <w:rsid w:val="00794CCB"/>
    <w:rsid w:val="007963D1"/>
    <w:rsid w:val="007A226B"/>
    <w:rsid w:val="007A4949"/>
    <w:rsid w:val="007A4CA6"/>
    <w:rsid w:val="007A563A"/>
    <w:rsid w:val="007B00AA"/>
    <w:rsid w:val="007B00EC"/>
    <w:rsid w:val="007B118F"/>
    <w:rsid w:val="007B1A15"/>
    <w:rsid w:val="007B2AEF"/>
    <w:rsid w:val="007B304B"/>
    <w:rsid w:val="007B31CC"/>
    <w:rsid w:val="007B35A9"/>
    <w:rsid w:val="007B3BBA"/>
    <w:rsid w:val="007B4218"/>
    <w:rsid w:val="007B534E"/>
    <w:rsid w:val="007B5A2A"/>
    <w:rsid w:val="007B65DE"/>
    <w:rsid w:val="007B666A"/>
    <w:rsid w:val="007B6B41"/>
    <w:rsid w:val="007B6BBE"/>
    <w:rsid w:val="007B6C17"/>
    <w:rsid w:val="007B73B1"/>
    <w:rsid w:val="007B7FC3"/>
    <w:rsid w:val="007C0384"/>
    <w:rsid w:val="007C0B6E"/>
    <w:rsid w:val="007C0CEE"/>
    <w:rsid w:val="007C0DEF"/>
    <w:rsid w:val="007C177B"/>
    <w:rsid w:val="007C1AF5"/>
    <w:rsid w:val="007C1BE6"/>
    <w:rsid w:val="007C2A03"/>
    <w:rsid w:val="007C42B6"/>
    <w:rsid w:val="007C4C7C"/>
    <w:rsid w:val="007D0270"/>
    <w:rsid w:val="007D05FF"/>
    <w:rsid w:val="007D1246"/>
    <w:rsid w:val="007D37E6"/>
    <w:rsid w:val="007D4A78"/>
    <w:rsid w:val="007D4C0D"/>
    <w:rsid w:val="007D508D"/>
    <w:rsid w:val="007D693B"/>
    <w:rsid w:val="007D7EBD"/>
    <w:rsid w:val="007E0116"/>
    <w:rsid w:val="007E0D78"/>
    <w:rsid w:val="007E11A7"/>
    <w:rsid w:val="007E2183"/>
    <w:rsid w:val="007E22BD"/>
    <w:rsid w:val="007E2DFE"/>
    <w:rsid w:val="007E3223"/>
    <w:rsid w:val="007E339C"/>
    <w:rsid w:val="007E3B3A"/>
    <w:rsid w:val="007E3EA6"/>
    <w:rsid w:val="007E3EF1"/>
    <w:rsid w:val="007E405D"/>
    <w:rsid w:val="007E43C7"/>
    <w:rsid w:val="007E4F23"/>
    <w:rsid w:val="007F1279"/>
    <w:rsid w:val="007F195D"/>
    <w:rsid w:val="007F2A7F"/>
    <w:rsid w:val="007F32CF"/>
    <w:rsid w:val="007F56DE"/>
    <w:rsid w:val="007F5A72"/>
    <w:rsid w:val="007F5C18"/>
    <w:rsid w:val="007F5C38"/>
    <w:rsid w:val="007F5D54"/>
    <w:rsid w:val="007F6905"/>
    <w:rsid w:val="007F7689"/>
    <w:rsid w:val="007F76CA"/>
    <w:rsid w:val="008004EC"/>
    <w:rsid w:val="00800655"/>
    <w:rsid w:val="0080090C"/>
    <w:rsid w:val="00800A5C"/>
    <w:rsid w:val="008019AC"/>
    <w:rsid w:val="008021CC"/>
    <w:rsid w:val="00802383"/>
    <w:rsid w:val="00802B00"/>
    <w:rsid w:val="008036EC"/>
    <w:rsid w:val="00804370"/>
    <w:rsid w:val="00804745"/>
    <w:rsid w:val="008066FC"/>
    <w:rsid w:val="00807FBC"/>
    <w:rsid w:val="0081060C"/>
    <w:rsid w:val="00810BAB"/>
    <w:rsid w:val="00810C39"/>
    <w:rsid w:val="008111A7"/>
    <w:rsid w:val="00811306"/>
    <w:rsid w:val="0081171C"/>
    <w:rsid w:val="00811B1B"/>
    <w:rsid w:val="00812450"/>
    <w:rsid w:val="0081257D"/>
    <w:rsid w:val="00812A3A"/>
    <w:rsid w:val="00812D05"/>
    <w:rsid w:val="00813AA2"/>
    <w:rsid w:val="00814520"/>
    <w:rsid w:val="0081626C"/>
    <w:rsid w:val="00816458"/>
    <w:rsid w:val="00816BF9"/>
    <w:rsid w:val="00817157"/>
    <w:rsid w:val="008179B4"/>
    <w:rsid w:val="00821BAA"/>
    <w:rsid w:val="00821E13"/>
    <w:rsid w:val="008253C2"/>
    <w:rsid w:val="00826467"/>
    <w:rsid w:val="0082732C"/>
    <w:rsid w:val="0082776F"/>
    <w:rsid w:val="008277D6"/>
    <w:rsid w:val="00827D08"/>
    <w:rsid w:val="0083160D"/>
    <w:rsid w:val="008318B0"/>
    <w:rsid w:val="00832493"/>
    <w:rsid w:val="00832844"/>
    <w:rsid w:val="008328FE"/>
    <w:rsid w:val="00832A09"/>
    <w:rsid w:val="00833F47"/>
    <w:rsid w:val="00833FB2"/>
    <w:rsid w:val="00834239"/>
    <w:rsid w:val="00834411"/>
    <w:rsid w:val="00834767"/>
    <w:rsid w:val="00834788"/>
    <w:rsid w:val="00834C18"/>
    <w:rsid w:val="00834C3D"/>
    <w:rsid w:val="0083572A"/>
    <w:rsid w:val="008368E1"/>
    <w:rsid w:val="00840B06"/>
    <w:rsid w:val="00840B9D"/>
    <w:rsid w:val="00841427"/>
    <w:rsid w:val="00841B56"/>
    <w:rsid w:val="00842766"/>
    <w:rsid w:val="00843207"/>
    <w:rsid w:val="0084329B"/>
    <w:rsid w:val="00843660"/>
    <w:rsid w:val="00843828"/>
    <w:rsid w:val="008444AC"/>
    <w:rsid w:val="00845D71"/>
    <w:rsid w:val="00846656"/>
    <w:rsid w:val="0084728C"/>
    <w:rsid w:val="00847538"/>
    <w:rsid w:val="008479D3"/>
    <w:rsid w:val="00851A69"/>
    <w:rsid w:val="00852188"/>
    <w:rsid w:val="00852925"/>
    <w:rsid w:val="00852DB5"/>
    <w:rsid w:val="00854DEF"/>
    <w:rsid w:val="008552F4"/>
    <w:rsid w:val="008571FE"/>
    <w:rsid w:val="0085770B"/>
    <w:rsid w:val="00857AED"/>
    <w:rsid w:val="00857B5B"/>
    <w:rsid w:val="00860808"/>
    <w:rsid w:val="008611F5"/>
    <w:rsid w:val="008622A5"/>
    <w:rsid w:val="00862DBE"/>
    <w:rsid w:val="00862DFB"/>
    <w:rsid w:val="00862FBC"/>
    <w:rsid w:val="00863C8B"/>
    <w:rsid w:val="008640E6"/>
    <w:rsid w:val="0086429F"/>
    <w:rsid w:val="00864E7E"/>
    <w:rsid w:val="0086509B"/>
    <w:rsid w:val="00865E10"/>
    <w:rsid w:val="008663AD"/>
    <w:rsid w:val="008674C2"/>
    <w:rsid w:val="008679D0"/>
    <w:rsid w:val="008709B6"/>
    <w:rsid w:val="0087184B"/>
    <w:rsid w:val="00871DE0"/>
    <w:rsid w:val="00872B07"/>
    <w:rsid w:val="008738F1"/>
    <w:rsid w:val="00873926"/>
    <w:rsid w:val="00873A0A"/>
    <w:rsid w:val="00874ABC"/>
    <w:rsid w:val="00874ED7"/>
    <w:rsid w:val="00875ACB"/>
    <w:rsid w:val="00875DB6"/>
    <w:rsid w:val="0087616F"/>
    <w:rsid w:val="00876AC5"/>
    <w:rsid w:val="00877594"/>
    <w:rsid w:val="00877610"/>
    <w:rsid w:val="0087774F"/>
    <w:rsid w:val="00877E49"/>
    <w:rsid w:val="00880320"/>
    <w:rsid w:val="00881085"/>
    <w:rsid w:val="00881B8E"/>
    <w:rsid w:val="00881DA3"/>
    <w:rsid w:val="0088232C"/>
    <w:rsid w:val="008823A0"/>
    <w:rsid w:val="0088402D"/>
    <w:rsid w:val="00884E6D"/>
    <w:rsid w:val="008850D9"/>
    <w:rsid w:val="0088595A"/>
    <w:rsid w:val="00885979"/>
    <w:rsid w:val="00885C63"/>
    <w:rsid w:val="008860AD"/>
    <w:rsid w:val="0088671B"/>
    <w:rsid w:val="008867FF"/>
    <w:rsid w:val="00886F76"/>
    <w:rsid w:val="00890409"/>
    <w:rsid w:val="00890F2D"/>
    <w:rsid w:val="00891255"/>
    <w:rsid w:val="008916CF"/>
    <w:rsid w:val="00891747"/>
    <w:rsid w:val="00892078"/>
    <w:rsid w:val="00894793"/>
    <w:rsid w:val="00895120"/>
    <w:rsid w:val="008952DE"/>
    <w:rsid w:val="0089533B"/>
    <w:rsid w:val="00897189"/>
    <w:rsid w:val="00897C12"/>
    <w:rsid w:val="00897F6E"/>
    <w:rsid w:val="008A07A0"/>
    <w:rsid w:val="008A07B8"/>
    <w:rsid w:val="008A09D9"/>
    <w:rsid w:val="008A166D"/>
    <w:rsid w:val="008A1BAB"/>
    <w:rsid w:val="008A23FF"/>
    <w:rsid w:val="008A555B"/>
    <w:rsid w:val="008A57D5"/>
    <w:rsid w:val="008A66E1"/>
    <w:rsid w:val="008A67EB"/>
    <w:rsid w:val="008A6DA3"/>
    <w:rsid w:val="008A6E51"/>
    <w:rsid w:val="008B0B0D"/>
    <w:rsid w:val="008B3821"/>
    <w:rsid w:val="008B4D2C"/>
    <w:rsid w:val="008B5089"/>
    <w:rsid w:val="008B51E9"/>
    <w:rsid w:val="008B548B"/>
    <w:rsid w:val="008B5A94"/>
    <w:rsid w:val="008B64B7"/>
    <w:rsid w:val="008B74E5"/>
    <w:rsid w:val="008B7AFE"/>
    <w:rsid w:val="008C1148"/>
    <w:rsid w:val="008C1AE1"/>
    <w:rsid w:val="008C2EC9"/>
    <w:rsid w:val="008C307B"/>
    <w:rsid w:val="008C3128"/>
    <w:rsid w:val="008C3179"/>
    <w:rsid w:val="008C3B23"/>
    <w:rsid w:val="008C3B53"/>
    <w:rsid w:val="008C3BD5"/>
    <w:rsid w:val="008C46BE"/>
    <w:rsid w:val="008C4D60"/>
    <w:rsid w:val="008D0E23"/>
    <w:rsid w:val="008D0ED0"/>
    <w:rsid w:val="008D1906"/>
    <w:rsid w:val="008D1B76"/>
    <w:rsid w:val="008D2EE4"/>
    <w:rsid w:val="008D3082"/>
    <w:rsid w:val="008D3496"/>
    <w:rsid w:val="008D3E37"/>
    <w:rsid w:val="008D5823"/>
    <w:rsid w:val="008D5835"/>
    <w:rsid w:val="008D5F22"/>
    <w:rsid w:val="008D5F98"/>
    <w:rsid w:val="008D652B"/>
    <w:rsid w:val="008D67C1"/>
    <w:rsid w:val="008D7722"/>
    <w:rsid w:val="008D784F"/>
    <w:rsid w:val="008E0F89"/>
    <w:rsid w:val="008E1001"/>
    <w:rsid w:val="008E198F"/>
    <w:rsid w:val="008E29DA"/>
    <w:rsid w:val="008E2BC5"/>
    <w:rsid w:val="008E456B"/>
    <w:rsid w:val="008E5404"/>
    <w:rsid w:val="008E5A69"/>
    <w:rsid w:val="008E5F11"/>
    <w:rsid w:val="008E6C1E"/>
    <w:rsid w:val="008E6F69"/>
    <w:rsid w:val="008E71AA"/>
    <w:rsid w:val="008E7670"/>
    <w:rsid w:val="008E76E8"/>
    <w:rsid w:val="008E7BEF"/>
    <w:rsid w:val="008F0696"/>
    <w:rsid w:val="008F079B"/>
    <w:rsid w:val="008F0994"/>
    <w:rsid w:val="008F0D24"/>
    <w:rsid w:val="008F2DA9"/>
    <w:rsid w:val="008F35D1"/>
    <w:rsid w:val="008F4193"/>
    <w:rsid w:val="008F4811"/>
    <w:rsid w:val="008F6C1E"/>
    <w:rsid w:val="008F742E"/>
    <w:rsid w:val="008F7972"/>
    <w:rsid w:val="0090057E"/>
    <w:rsid w:val="00900D15"/>
    <w:rsid w:val="009010F0"/>
    <w:rsid w:val="009017B3"/>
    <w:rsid w:val="009017CC"/>
    <w:rsid w:val="00901842"/>
    <w:rsid w:val="00901B7D"/>
    <w:rsid w:val="0090272E"/>
    <w:rsid w:val="009031D0"/>
    <w:rsid w:val="00903212"/>
    <w:rsid w:val="00903C67"/>
    <w:rsid w:val="00904100"/>
    <w:rsid w:val="0090543A"/>
    <w:rsid w:val="00905FE0"/>
    <w:rsid w:val="00907542"/>
    <w:rsid w:val="009104A5"/>
    <w:rsid w:val="00911280"/>
    <w:rsid w:val="009115AA"/>
    <w:rsid w:val="00912219"/>
    <w:rsid w:val="00913437"/>
    <w:rsid w:val="009136F7"/>
    <w:rsid w:val="00913781"/>
    <w:rsid w:val="00914A57"/>
    <w:rsid w:val="0091586E"/>
    <w:rsid w:val="00915F58"/>
    <w:rsid w:val="009168A6"/>
    <w:rsid w:val="009169BF"/>
    <w:rsid w:val="00916ED8"/>
    <w:rsid w:val="00916FD8"/>
    <w:rsid w:val="00917485"/>
    <w:rsid w:val="0092106B"/>
    <w:rsid w:val="00921211"/>
    <w:rsid w:val="009220C8"/>
    <w:rsid w:val="009222D1"/>
    <w:rsid w:val="00922492"/>
    <w:rsid w:val="00922668"/>
    <w:rsid w:val="0092346C"/>
    <w:rsid w:val="00924680"/>
    <w:rsid w:val="009247B8"/>
    <w:rsid w:val="00924B45"/>
    <w:rsid w:val="009250E5"/>
    <w:rsid w:val="009251FF"/>
    <w:rsid w:val="009267EA"/>
    <w:rsid w:val="009274D9"/>
    <w:rsid w:val="00930542"/>
    <w:rsid w:val="009314CC"/>
    <w:rsid w:val="00931FC8"/>
    <w:rsid w:val="00933C26"/>
    <w:rsid w:val="00933F8E"/>
    <w:rsid w:val="0093405B"/>
    <w:rsid w:val="009340A6"/>
    <w:rsid w:val="009341EA"/>
    <w:rsid w:val="00934F55"/>
    <w:rsid w:val="00935C0E"/>
    <w:rsid w:val="00935D63"/>
    <w:rsid w:val="00935F22"/>
    <w:rsid w:val="00936BAD"/>
    <w:rsid w:val="00936C59"/>
    <w:rsid w:val="009370D2"/>
    <w:rsid w:val="0094013B"/>
    <w:rsid w:val="00940B15"/>
    <w:rsid w:val="00940C54"/>
    <w:rsid w:val="00940EE8"/>
    <w:rsid w:val="009414BB"/>
    <w:rsid w:val="00941F03"/>
    <w:rsid w:val="00942EB2"/>
    <w:rsid w:val="00943B2C"/>
    <w:rsid w:val="00945543"/>
    <w:rsid w:val="00945B3D"/>
    <w:rsid w:val="009464DC"/>
    <w:rsid w:val="00946543"/>
    <w:rsid w:val="00946A91"/>
    <w:rsid w:val="00947A3B"/>
    <w:rsid w:val="00951248"/>
    <w:rsid w:val="0095128E"/>
    <w:rsid w:val="00951A43"/>
    <w:rsid w:val="00953A29"/>
    <w:rsid w:val="009545C1"/>
    <w:rsid w:val="00955892"/>
    <w:rsid w:val="00955C27"/>
    <w:rsid w:val="00957806"/>
    <w:rsid w:val="00960811"/>
    <w:rsid w:val="0096202F"/>
    <w:rsid w:val="00962429"/>
    <w:rsid w:val="009626F9"/>
    <w:rsid w:val="00962F5E"/>
    <w:rsid w:val="009632BB"/>
    <w:rsid w:val="00963410"/>
    <w:rsid w:val="0096346B"/>
    <w:rsid w:val="00963FF0"/>
    <w:rsid w:val="00964471"/>
    <w:rsid w:val="0096537B"/>
    <w:rsid w:val="00966087"/>
    <w:rsid w:val="00966405"/>
    <w:rsid w:val="00966C03"/>
    <w:rsid w:val="00967100"/>
    <w:rsid w:val="00967AE6"/>
    <w:rsid w:val="00967CE9"/>
    <w:rsid w:val="009705A4"/>
    <w:rsid w:val="0097075B"/>
    <w:rsid w:val="00970BF4"/>
    <w:rsid w:val="00970EAE"/>
    <w:rsid w:val="00971BDA"/>
    <w:rsid w:val="00972958"/>
    <w:rsid w:val="00972F07"/>
    <w:rsid w:val="009739E6"/>
    <w:rsid w:val="00973B57"/>
    <w:rsid w:val="00974937"/>
    <w:rsid w:val="00975490"/>
    <w:rsid w:val="00975AE9"/>
    <w:rsid w:val="0097628C"/>
    <w:rsid w:val="00976A72"/>
    <w:rsid w:val="00980394"/>
    <w:rsid w:val="009831E4"/>
    <w:rsid w:val="00983915"/>
    <w:rsid w:val="00983ABC"/>
    <w:rsid w:val="00983AF1"/>
    <w:rsid w:val="00984DB1"/>
    <w:rsid w:val="009857BC"/>
    <w:rsid w:val="00985952"/>
    <w:rsid w:val="00985C00"/>
    <w:rsid w:val="0098624D"/>
    <w:rsid w:val="00986715"/>
    <w:rsid w:val="00986E71"/>
    <w:rsid w:val="0098757F"/>
    <w:rsid w:val="00987D41"/>
    <w:rsid w:val="00990964"/>
    <w:rsid w:val="00991B28"/>
    <w:rsid w:val="00993458"/>
    <w:rsid w:val="00993E35"/>
    <w:rsid w:val="00994617"/>
    <w:rsid w:val="00994C25"/>
    <w:rsid w:val="0099572D"/>
    <w:rsid w:val="00995A55"/>
    <w:rsid w:val="009968BD"/>
    <w:rsid w:val="00996F0D"/>
    <w:rsid w:val="00996F20"/>
    <w:rsid w:val="00997403"/>
    <w:rsid w:val="0099789F"/>
    <w:rsid w:val="00997A8F"/>
    <w:rsid w:val="00997EE5"/>
    <w:rsid w:val="009A0540"/>
    <w:rsid w:val="009A120D"/>
    <w:rsid w:val="009A2CD5"/>
    <w:rsid w:val="009A328C"/>
    <w:rsid w:val="009A379A"/>
    <w:rsid w:val="009A4073"/>
    <w:rsid w:val="009A5ADF"/>
    <w:rsid w:val="009A5D17"/>
    <w:rsid w:val="009B057E"/>
    <w:rsid w:val="009B0B85"/>
    <w:rsid w:val="009B2A83"/>
    <w:rsid w:val="009B330B"/>
    <w:rsid w:val="009B3D2B"/>
    <w:rsid w:val="009B3E2C"/>
    <w:rsid w:val="009B5B20"/>
    <w:rsid w:val="009B5DCD"/>
    <w:rsid w:val="009B6A2C"/>
    <w:rsid w:val="009B7783"/>
    <w:rsid w:val="009C0AF5"/>
    <w:rsid w:val="009C0C18"/>
    <w:rsid w:val="009C0D0A"/>
    <w:rsid w:val="009C211F"/>
    <w:rsid w:val="009C239B"/>
    <w:rsid w:val="009C27F4"/>
    <w:rsid w:val="009C2E83"/>
    <w:rsid w:val="009C2FD2"/>
    <w:rsid w:val="009C346A"/>
    <w:rsid w:val="009C4072"/>
    <w:rsid w:val="009C40CD"/>
    <w:rsid w:val="009C525F"/>
    <w:rsid w:val="009C5478"/>
    <w:rsid w:val="009C580C"/>
    <w:rsid w:val="009C779E"/>
    <w:rsid w:val="009C7AC5"/>
    <w:rsid w:val="009D00AF"/>
    <w:rsid w:val="009D10E4"/>
    <w:rsid w:val="009D20D3"/>
    <w:rsid w:val="009D293C"/>
    <w:rsid w:val="009D31D1"/>
    <w:rsid w:val="009D3846"/>
    <w:rsid w:val="009D41A5"/>
    <w:rsid w:val="009D4ACE"/>
    <w:rsid w:val="009D4ED9"/>
    <w:rsid w:val="009D5493"/>
    <w:rsid w:val="009D5510"/>
    <w:rsid w:val="009D56FC"/>
    <w:rsid w:val="009D66B7"/>
    <w:rsid w:val="009D7554"/>
    <w:rsid w:val="009D7892"/>
    <w:rsid w:val="009E0323"/>
    <w:rsid w:val="009E0DB9"/>
    <w:rsid w:val="009E1421"/>
    <w:rsid w:val="009E1942"/>
    <w:rsid w:val="009E1E7A"/>
    <w:rsid w:val="009E25DB"/>
    <w:rsid w:val="009E3170"/>
    <w:rsid w:val="009E37F1"/>
    <w:rsid w:val="009E72FD"/>
    <w:rsid w:val="009E7A34"/>
    <w:rsid w:val="009F02C6"/>
    <w:rsid w:val="009F0505"/>
    <w:rsid w:val="009F0A83"/>
    <w:rsid w:val="009F1D86"/>
    <w:rsid w:val="009F1DF7"/>
    <w:rsid w:val="009F23EA"/>
    <w:rsid w:val="009F29A1"/>
    <w:rsid w:val="009F30F3"/>
    <w:rsid w:val="009F31E5"/>
    <w:rsid w:val="009F340F"/>
    <w:rsid w:val="009F39EF"/>
    <w:rsid w:val="009F3D74"/>
    <w:rsid w:val="009F44EB"/>
    <w:rsid w:val="009F45C7"/>
    <w:rsid w:val="009F472C"/>
    <w:rsid w:val="009F4A6D"/>
    <w:rsid w:val="009F5258"/>
    <w:rsid w:val="009F60FA"/>
    <w:rsid w:val="009F65C4"/>
    <w:rsid w:val="009F6A9D"/>
    <w:rsid w:val="009F7138"/>
    <w:rsid w:val="009F7837"/>
    <w:rsid w:val="009F7C3F"/>
    <w:rsid w:val="009F7DAD"/>
    <w:rsid w:val="00A0029E"/>
    <w:rsid w:val="00A0079E"/>
    <w:rsid w:val="00A0156E"/>
    <w:rsid w:val="00A0203B"/>
    <w:rsid w:val="00A02558"/>
    <w:rsid w:val="00A027A1"/>
    <w:rsid w:val="00A03170"/>
    <w:rsid w:val="00A042BE"/>
    <w:rsid w:val="00A043D8"/>
    <w:rsid w:val="00A046B3"/>
    <w:rsid w:val="00A04ADC"/>
    <w:rsid w:val="00A04C8A"/>
    <w:rsid w:val="00A05FFF"/>
    <w:rsid w:val="00A0668D"/>
    <w:rsid w:val="00A06F9E"/>
    <w:rsid w:val="00A07730"/>
    <w:rsid w:val="00A10727"/>
    <w:rsid w:val="00A12317"/>
    <w:rsid w:val="00A12E24"/>
    <w:rsid w:val="00A1307F"/>
    <w:rsid w:val="00A16294"/>
    <w:rsid w:val="00A21366"/>
    <w:rsid w:val="00A213D9"/>
    <w:rsid w:val="00A2198A"/>
    <w:rsid w:val="00A2243F"/>
    <w:rsid w:val="00A224F8"/>
    <w:rsid w:val="00A2255F"/>
    <w:rsid w:val="00A22666"/>
    <w:rsid w:val="00A22A63"/>
    <w:rsid w:val="00A234E5"/>
    <w:rsid w:val="00A23B96"/>
    <w:rsid w:val="00A23DE7"/>
    <w:rsid w:val="00A23F92"/>
    <w:rsid w:val="00A24456"/>
    <w:rsid w:val="00A24C52"/>
    <w:rsid w:val="00A24E3E"/>
    <w:rsid w:val="00A26120"/>
    <w:rsid w:val="00A26556"/>
    <w:rsid w:val="00A266E7"/>
    <w:rsid w:val="00A277F7"/>
    <w:rsid w:val="00A27E81"/>
    <w:rsid w:val="00A313F2"/>
    <w:rsid w:val="00A331B1"/>
    <w:rsid w:val="00A3479F"/>
    <w:rsid w:val="00A35A61"/>
    <w:rsid w:val="00A36A21"/>
    <w:rsid w:val="00A36AFB"/>
    <w:rsid w:val="00A36B7A"/>
    <w:rsid w:val="00A37BF2"/>
    <w:rsid w:val="00A4048E"/>
    <w:rsid w:val="00A40AED"/>
    <w:rsid w:val="00A417DE"/>
    <w:rsid w:val="00A434DB"/>
    <w:rsid w:val="00A44015"/>
    <w:rsid w:val="00A4494C"/>
    <w:rsid w:val="00A45371"/>
    <w:rsid w:val="00A456EE"/>
    <w:rsid w:val="00A45EF9"/>
    <w:rsid w:val="00A464BD"/>
    <w:rsid w:val="00A474C5"/>
    <w:rsid w:val="00A47F73"/>
    <w:rsid w:val="00A50E76"/>
    <w:rsid w:val="00A52006"/>
    <w:rsid w:val="00A52261"/>
    <w:rsid w:val="00A52461"/>
    <w:rsid w:val="00A54B26"/>
    <w:rsid w:val="00A54D54"/>
    <w:rsid w:val="00A55312"/>
    <w:rsid w:val="00A565EB"/>
    <w:rsid w:val="00A56643"/>
    <w:rsid w:val="00A571AB"/>
    <w:rsid w:val="00A571BD"/>
    <w:rsid w:val="00A572D4"/>
    <w:rsid w:val="00A602EB"/>
    <w:rsid w:val="00A60484"/>
    <w:rsid w:val="00A60717"/>
    <w:rsid w:val="00A60857"/>
    <w:rsid w:val="00A611F6"/>
    <w:rsid w:val="00A61A3C"/>
    <w:rsid w:val="00A61B77"/>
    <w:rsid w:val="00A61F7E"/>
    <w:rsid w:val="00A6232E"/>
    <w:rsid w:val="00A62EC4"/>
    <w:rsid w:val="00A63491"/>
    <w:rsid w:val="00A639C3"/>
    <w:rsid w:val="00A64256"/>
    <w:rsid w:val="00A6472B"/>
    <w:rsid w:val="00A649CA"/>
    <w:rsid w:val="00A64E06"/>
    <w:rsid w:val="00A654D8"/>
    <w:rsid w:val="00A659F8"/>
    <w:rsid w:val="00A65F26"/>
    <w:rsid w:val="00A663C6"/>
    <w:rsid w:val="00A67335"/>
    <w:rsid w:val="00A679E1"/>
    <w:rsid w:val="00A7014D"/>
    <w:rsid w:val="00A70805"/>
    <w:rsid w:val="00A7086C"/>
    <w:rsid w:val="00A70A3C"/>
    <w:rsid w:val="00A70ABA"/>
    <w:rsid w:val="00A7132D"/>
    <w:rsid w:val="00A7164C"/>
    <w:rsid w:val="00A716D9"/>
    <w:rsid w:val="00A71833"/>
    <w:rsid w:val="00A72CD0"/>
    <w:rsid w:val="00A73D5E"/>
    <w:rsid w:val="00A74A53"/>
    <w:rsid w:val="00A74ED5"/>
    <w:rsid w:val="00A750CA"/>
    <w:rsid w:val="00A774E8"/>
    <w:rsid w:val="00A777CE"/>
    <w:rsid w:val="00A8234B"/>
    <w:rsid w:val="00A8276C"/>
    <w:rsid w:val="00A84C9B"/>
    <w:rsid w:val="00A84D68"/>
    <w:rsid w:val="00A84E21"/>
    <w:rsid w:val="00A852A3"/>
    <w:rsid w:val="00A8544C"/>
    <w:rsid w:val="00A87AB9"/>
    <w:rsid w:val="00A90EC5"/>
    <w:rsid w:val="00A91DC1"/>
    <w:rsid w:val="00A9249A"/>
    <w:rsid w:val="00A929E3"/>
    <w:rsid w:val="00A93707"/>
    <w:rsid w:val="00A937AA"/>
    <w:rsid w:val="00A937EB"/>
    <w:rsid w:val="00A9433B"/>
    <w:rsid w:val="00A9534E"/>
    <w:rsid w:val="00A961E4"/>
    <w:rsid w:val="00A962B8"/>
    <w:rsid w:val="00A967A9"/>
    <w:rsid w:val="00A967F2"/>
    <w:rsid w:val="00A96CB0"/>
    <w:rsid w:val="00AA0E46"/>
    <w:rsid w:val="00AA15B4"/>
    <w:rsid w:val="00AA1BB4"/>
    <w:rsid w:val="00AA26D3"/>
    <w:rsid w:val="00AA3C75"/>
    <w:rsid w:val="00AA4351"/>
    <w:rsid w:val="00AA5F75"/>
    <w:rsid w:val="00AA6307"/>
    <w:rsid w:val="00AA69BF"/>
    <w:rsid w:val="00AA792F"/>
    <w:rsid w:val="00AB063A"/>
    <w:rsid w:val="00AB107E"/>
    <w:rsid w:val="00AB1329"/>
    <w:rsid w:val="00AB1D71"/>
    <w:rsid w:val="00AB3AE7"/>
    <w:rsid w:val="00AB3D0A"/>
    <w:rsid w:val="00AB3F76"/>
    <w:rsid w:val="00AB42D4"/>
    <w:rsid w:val="00AB5988"/>
    <w:rsid w:val="00AB5F14"/>
    <w:rsid w:val="00AB6243"/>
    <w:rsid w:val="00AB6474"/>
    <w:rsid w:val="00AB6530"/>
    <w:rsid w:val="00AB72BA"/>
    <w:rsid w:val="00AC044C"/>
    <w:rsid w:val="00AC060D"/>
    <w:rsid w:val="00AC099A"/>
    <w:rsid w:val="00AC0B4C"/>
    <w:rsid w:val="00AC10D7"/>
    <w:rsid w:val="00AC1779"/>
    <w:rsid w:val="00AC1BF7"/>
    <w:rsid w:val="00AC1F66"/>
    <w:rsid w:val="00AC206E"/>
    <w:rsid w:val="00AC3DE5"/>
    <w:rsid w:val="00AC4FB4"/>
    <w:rsid w:val="00AC508A"/>
    <w:rsid w:val="00AC5C61"/>
    <w:rsid w:val="00AC7145"/>
    <w:rsid w:val="00AC77A3"/>
    <w:rsid w:val="00AD00D3"/>
    <w:rsid w:val="00AD0D82"/>
    <w:rsid w:val="00AD1927"/>
    <w:rsid w:val="00AD43BB"/>
    <w:rsid w:val="00AD460B"/>
    <w:rsid w:val="00AD5744"/>
    <w:rsid w:val="00AD6377"/>
    <w:rsid w:val="00AD6846"/>
    <w:rsid w:val="00AD6EA6"/>
    <w:rsid w:val="00AD737E"/>
    <w:rsid w:val="00AE0280"/>
    <w:rsid w:val="00AE0860"/>
    <w:rsid w:val="00AE0C46"/>
    <w:rsid w:val="00AE1838"/>
    <w:rsid w:val="00AE4FA6"/>
    <w:rsid w:val="00AE5DBB"/>
    <w:rsid w:val="00AE6033"/>
    <w:rsid w:val="00AE6881"/>
    <w:rsid w:val="00AE69B2"/>
    <w:rsid w:val="00AF114E"/>
    <w:rsid w:val="00AF13D8"/>
    <w:rsid w:val="00AF169F"/>
    <w:rsid w:val="00AF1CE3"/>
    <w:rsid w:val="00AF2A08"/>
    <w:rsid w:val="00AF2E4A"/>
    <w:rsid w:val="00AF3546"/>
    <w:rsid w:val="00AF3677"/>
    <w:rsid w:val="00AF4EEF"/>
    <w:rsid w:val="00AF55C6"/>
    <w:rsid w:val="00AF5809"/>
    <w:rsid w:val="00AF5B6D"/>
    <w:rsid w:val="00AF6D1C"/>
    <w:rsid w:val="00AF77B6"/>
    <w:rsid w:val="00B00D56"/>
    <w:rsid w:val="00B01210"/>
    <w:rsid w:val="00B0170E"/>
    <w:rsid w:val="00B018F2"/>
    <w:rsid w:val="00B02419"/>
    <w:rsid w:val="00B02F81"/>
    <w:rsid w:val="00B0349C"/>
    <w:rsid w:val="00B03C85"/>
    <w:rsid w:val="00B045E5"/>
    <w:rsid w:val="00B05357"/>
    <w:rsid w:val="00B05441"/>
    <w:rsid w:val="00B06950"/>
    <w:rsid w:val="00B07635"/>
    <w:rsid w:val="00B07E0A"/>
    <w:rsid w:val="00B10165"/>
    <w:rsid w:val="00B10517"/>
    <w:rsid w:val="00B10F46"/>
    <w:rsid w:val="00B12B3F"/>
    <w:rsid w:val="00B13714"/>
    <w:rsid w:val="00B13F6D"/>
    <w:rsid w:val="00B1417F"/>
    <w:rsid w:val="00B14625"/>
    <w:rsid w:val="00B15F17"/>
    <w:rsid w:val="00B16187"/>
    <w:rsid w:val="00B16504"/>
    <w:rsid w:val="00B16624"/>
    <w:rsid w:val="00B17207"/>
    <w:rsid w:val="00B1741B"/>
    <w:rsid w:val="00B17627"/>
    <w:rsid w:val="00B17C4F"/>
    <w:rsid w:val="00B201EB"/>
    <w:rsid w:val="00B20B39"/>
    <w:rsid w:val="00B2146B"/>
    <w:rsid w:val="00B2151D"/>
    <w:rsid w:val="00B21657"/>
    <w:rsid w:val="00B22109"/>
    <w:rsid w:val="00B2223F"/>
    <w:rsid w:val="00B240B8"/>
    <w:rsid w:val="00B251E9"/>
    <w:rsid w:val="00B2576C"/>
    <w:rsid w:val="00B265F5"/>
    <w:rsid w:val="00B2738F"/>
    <w:rsid w:val="00B305A2"/>
    <w:rsid w:val="00B308AB"/>
    <w:rsid w:val="00B30AC2"/>
    <w:rsid w:val="00B30C75"/>
    <w:rsid w:val="00B31128"/>
    <w:rsid w:val="00B3184E"/>
    <w:rsid w:val="00B32080"/>
    <w:rsid w:val="00B3287A"/>
    <w:rsid w:val="00B328A2"/>
    <w:rsid w:val="00B33414"/>
    <w:rsid w:val="00B33DA7"/>
    <w:rsid w:val="00B34A8C"/>
    <w:rsid w:val="00B34B57"/>
    <w:rsid w:val="00B34C49"/>
    <w:rsid w:val="00B34C51"/>
    <w:rsid w:val="00B34D07"/>
    <w:rsid w:val="00B353F1"/>
    <w:rsid w:val="00B359E3"/>
    <w:rsid w:val="00B375E9"/>
    <w:rsid w:val="00B4016B"/>
    <w:rsid w:val="00B4027E"/>
    <w:rsid w:val="00B4151A"/>
    <w:rsid w:val="00B415BE"/>
    <w:rsid w:val="00B42A5E"/>
    <w:rsid w:val="00B443FA"/>
    <w:rsid w:val="00B44A41"/>
    <w:rsid w:val="00B459D4"/>
    <w:rsid w:val="00B45B23"/>
    <w:rsid w:val="00B467FF"/>
    <w:rsid w:val="00B46D3F"/>
    <w:rsid w:val="00B5019E"/>
    <w:rsid w:val="00B50265"/>
    <w:rsid w:val="00B51E72"/>
    <w:rsid w:val="00B51EBC"/>
    <w:rsid w:val="00B53703"/>
    <w:rsid w:val="00B53C9F"/>
    <w:rsid w:val="00B5420C"/>
    <w:rsid w:val="00B5607A"/>
    <w:rsid w:val="00B567EA"/>
    <w:rsid w:val="00B56A0D"/>
    <w:rsid w:val="00B570F6"/>
    <w:rsid w:val="00B60548"/>
    <w:rsid w:val="00B60854"/>
    <w:rsid w:val="00B60C82"/>
    <w:rsid w:val="00B61547"/>
    <w:rsid w:val="00B617F2"/>
    <w:rsid w:val="00B62897"/>
    <w:rsid w:val="00B64EFD"/>
    <w:rsid w:val="00B65025"/>
    <w:rsid w:val="00B650BB"/>
    <w:rsid w:val="00B66366"/>
    <w:rsid w:val="00B66A4B"/>
    <w:rsid w:val="00B677A2"/>
    <w:rsid w:val="00B6784C"/>
    <w:rsid w:val="00B67A45"/>
    <w:rsid w:val="00B7168C"/>
    <w:rsid w:val="00B717AC"/>
    <w:rsid w:val="00B719A4"/>
    <w:rsid w:val="00B7229B"/>
    <w:rsid w:val="00B73215"/>
    <w:rsid w:val="00B73414"/>
    <w:rsid w:val="00B73BF0"/>
    <w:rsid w:val="00B741D7"/>
    <w:rsid w:val="00B74B1F"/>
    <w:rsid w:val="00B7635E"/>
    <w:rsid w:val="00B7715C"/>
    <w:rsid w:val="00B77671"/>
    <w:rsid w:val="00B77A38"/>
    <w:rsid w:val="00B801F9"/>
    <w:rsid w:val="00B80B1B"/>
    <w:rsid w:val="00B80B68"/>
    <w:rsid w:val="00B80CA1"/>
    <w:rsid w:val="00B81DE9"/>
    <w:rsid w:val="00B837E1"/>
    <w:rsid w:val="00B840CE"/>
    <w:rsid w:val="00B848F4"/>
    <w:rsid w:val="00B8531B"/>
    <w:rsid w:val="00B85CB2"/>
    <w:rsid w:val="00B861F3"/>
    <w:rsid w:val="00B86DE5"/>
    <w:rsid w:val="00B87057"/>
    <w:rsid w:val="00B912AF"/>
    <w:rsid w:val="00B929B3"/>
    <w:rsid w:val="00B93146"/>
    <w:rsid w:val="00B93AC9"/>
    <w:rsid w:val="00B943B4"/>
    <w:rsid w:val="00B948EC"/>
    <w:rsid w:val="00B94D32"/>
    <w:rsid w:val="00B94F48"/>
    <w:rsid w:val="00B95387"/>
    <w:rsid w:val="00B9543C"/>
    <w:rsid w:val="00B95FDA"/>
    <w:rsid w:val="00B96049"/>
    <w:rsid w:val="00B96674"/>
    <w:rsid w:val="00B9797B"/>
    <w:rsid w:val="00B97B26"/>
    <w:rsid w:val="00B97CC0"/>
    <w:rsid w:val="00B97E89"/>
    <w:rsid w:val="00BA00E9"/>
    <w:rsid w:val="00BA1CE5"/>
    <w:rsid w:val="00BA35FB"/>
    <w:rsid w:val="00BA4838"/>
    <w:rsid w:val="00BA5707"/>
    <w:rsid w:val="00BA59A6"/>
    <w:rsid w:val="00BA5FAD"/>
    <w:rsid w:val="00BA67BD"/>
    <w:rsid w:val="00BA6A4F"/>
    <w:rsid w:val="00BA711D"/>
    <w:rsid w:val="00BB1442"/>
    <w:rsid w:val="00BB14E1"/>
    <w:rsid w:val="00BB1528"/>
    <w:rsid w:val="00BB1874"/>
    <w:rsid w:val="00BB1A15"/>
    <w:rsid w:val="00BB202D"/>
    <w:rsid w:val="00BB2860"/>
    <w:rsid w:val="00BB48F2"/>
    <w:rsid w:val="00BB5CF8"/>
    <w:rsid w:val="00BB738F"/>
    <w:rsid w:val="00BC120F"/>
    <w:rsid w:val="00BC2275"/>
    <w:rsid w:val="00BC2804"/>
    <w:rsid w:val="00BC2FED"/>
    <w:rsid w:val="00BC363D"/>
    <w:rsid w:val="00BC3878"/>
    <w:rsid w:val="00BC4AAD"/>
    <w:rsid w:val="00BC4C4F"/>
    <w:rsid w:val="00BC56F5"/>
    <w:rsid w:val="00BC63B6"/>
    <w:rsid w:val="00BC73E7"/>
    <w:rsid w:val="00BC7D46"/>
    <w:rsid w:val="00BD130C"/>
    <w:rsid w:val="00BD1452"/>
    <w:rsid w:val="00BD19BA"/>
    <w:rsid w:val="00BD4697"/>
    <w:rsid w:val="00BD502D"/>
    <w:rsid w:val="00BD531D"/>
    <w:rsid w:val="00BD563B"/>
    <w:rsid w:val="00BD60BA"/>
    <w:rsid w:val="00BD660D"/>
    <w:rsid w:val="00BD6C53"/>
    <w:rsid w:val="00BD7345"/>
    <w:rsid w:val="00BD7D43"/>
    <w:rsid w:val="00BD7E59"/>
    <w:rsid w:val="00BE0ACA"/>
    <w:rsid w:val="00BE1089"/>
    <w:rsid w:val="00BE11C9"/>
    <w:rsid w:val="00BE19E9"/>
    <w:rsid w:val="00BE422D"/>
    <w:rsid w:val="00BE4A83"/>
    <w:rsid w:val="00BE4B19"/>
    <w:rsid w:val="00BE4D6A"/>
    <w:rsid w:val="00BE5226"/>
    <w:rsid w:val="00BE5998"/>
    <w:rsid w:val="00BE662E"/>
    <w:rsid w:val="00BE713F"/>
    <w:rsid w:val="00BF0C1B"/>
    <w:rsid w:val="00BF0C47"/>
    <w:rsid w:val="00BF19E3"/>
    <w:rsid w:val="00BF1FC8"/>
    <w:rsid w:val="00BF21DD"/>
    <w:rsid w:val="00BF2648"/>
    <w:rsid w:val="00BF3127"/>
    <w:rsid w:val="00BF4048"/>
    <w:rsid w:val="00BF5472"/>
    <w:rsid w:val="00BF7747"/>
    <w:rsid w:val="00BF7DCD"/>
    <w:rsid w:val="00C003B5"/>
    <w:rsid w:val="00C00787"/>
    <w:rsid w:val="00C02CE8"/>
    <w:rsid w:val="00C02F16"/>
    <w:rsid w:val="00C03209"/>
    <w:rsid w:val="00C0352E"/>
    <w:rsid w:val="00C03D8F"/>
    <w:rsid w:val="00C05304"/>
    <w:rsid w:val="00C0649F"/>
    <w:rsid w:val="00C06977"/>
    <w:rsid w:val="00C078A6"/>
    <w:rsid w:val="00C07A0B"/>
    <w:rsid w:val="00C10252"/>
    <w:rsid w:val="00C10368"/>
    <w:rsid w:val="00C11031"/>
    <w:rsid w:val="00C1140B"/>
    <w:rsid w:val="00C120A8"/>
    <w:rsid w:val="00C12E35"/>
    <w:rsid w:val="00C13F7E"/>
    <w:rsid w:val="00C1512E"/>
    <w:rsid w:val="00C162E9"/>
    <w:rsid w:val="00C1692D"/>
    <w:rsid w:val="00C169CD"/>
    <w:rsid w:val="00C17BDA"/>
    <w:rsid w:val="00C17F67"/>
    <w:rsid w:val="00C22FC0"/>
    <w:rsid w:val="00C23CDE"/>
    <w:rsid w:val="00C241A6"/>
    <w:rsid w:val="00C2460A"/>
    <w:rsid w:val="00C2485E"/>
    <w:rsid w:val="00C26DA3"/>
    <w:rsid w:val="00C26DC4"/>
    <w:rsid w:val="00C27291"/>
    <w:rsid w:val="00C27775"/>
    <w:rsid w:val="00C27D9E"/>
    <w:rsid w:val="00C31044"/>
    <w:rsid w:val="00C3193C"/>
    <w:rsid w:val="00C34E9D"/>
    <w:rsid w:val="00C353AD"/>
    <w:rsid w:val="00C35687"/>
    <w:rsid w:val="00C36CF7"/>
    <w:rsid w:val="00C406D2"/>
    <w:rsid w:val="00C40A49"/>
    <w:rsid w:val="00C40F42"/>
    <w:rsid w:val="00C40FB9"/>
    <w:rsid w:val="00C41769"/>
    <w:rsid w:val="00C42684"/>
    <w:rsid w:val="00C426AD"/>
    <w:rsid w:val="00C43009"/>
    <w:rsid w:val="00C431B1"/>
    <w:rsid w:val="00C43DE0"/>
    <w:rsid w:val="00C446B9"/>
    <w:rsid w:val="00C448F3"/>
    <w:rsid w:val="00C44A32"/>
    <w:rsid w:val="00C4517A"/>
    <w:rsid w:val="00C465F7"/>
    <w:rsid w:val="00C46E7F"/>
    <w:rsid w:val="00C53B6D"/>
    <w:rsid w:val="00C54425"/>
    <w:rsid w:val="00C545A6"/>
    <w:rsid w:val="00C547C0"/>
    <w:rsid w:val="00C54F34"/>
    <w:rsid w:val="00C552C9"/>
    <w:rsid w:val="00C5535D"/>
    <w:rsid w:val="00C60081"/>
    <w:rsid w:val="00C611C1"/>
    <w:rsid w:val="00C6150C"/>
    <w:rsid w:val="00C61B49"/>
    <w:rsid w:val="00C62798"/>
    <w:rsid w:val="00C62FA4"/>
    <w:rsid w:val="00C630B2"/>
    <w:rsid w:val="00C63A16"/>
    <w:rsid w:val="00C65596"/>
    <w:rsid w:val="00C67418"/>
    <w:rsid w:val="00C67FC2"/>
    <w:rsid w:val="00C71289"/>
    <w:rsid w:val="00C71E5C"/>
    <w:rsid w:val="00C72620"/>
    <w:rsid w:val="00C72C09"/>
    <w:rsid w:val="00C730E2"/>
    <w:rsid w:val="00C74607"/>
    <w:rsid w:val="00C747CE"/>
    <w:rsid w:val="00C74AB1"/>
    <w:rsid w:val="00C75C46"/>
    <w:rsid w:val="00C75EA7"/>
    <w:rsid w:val="00C7662C"/>
    <w:rsid w:val="00C7748A"/>
    <w:rsid w:val="00C808C6"/>
    <w:rsid w:val="00C80D87"/>
    <w:rsid w:val="00C80F6A"/>
    <w:rsid w:val="00C81546"/>
    <w:rsid w:val="00C815D4"/>
    <w:rsid w:val="00C81A3B"/>
    <w:rsid w:val="00C82ACF"/>
    <w:rsid w:val="00C839F6"/>
    <w:rsid w:val="00C8494F"/>
    <w:rsid w:val="00C84DAA"/>
    <w:rsid w:val="00C85130"/>
    <w:rsid w:val="00C85776"/>
    <w:rsid w:val="00C85E9D"/>
    <w:rsid w:val="00C86603"/>
    <w:rsid w:val="00C86DA9"/>
    <w:rsid w:val="00C87F8D"/>
    <w:rsid w:val="00C9092D"/>
    <w:rsid w:val="00C95001"/>
    <w:rsid w:val="00C95859"/>
    <w:rsid w:val="00C95AC9"/>
    <w:rsid w:val="00C9643A"/>
    <w:rsid w:val="00C97744"/>
    <w:rsid w:val="00C978B0"/>
    <w:rsid w:val="00C97FCD"/>
    <w:rsid w:val="00CA0CA7"/>
    <w:rsid w:val="00CA0E7F"/>
    <w:rsid w:val="00CA202D"/>
    <w:rsid w:val="00CA20FF"/>
    <w:rsid w:val="00CA2656"/>
    <w:rsid w:val="00CA2816"/>
    <w:rsid w:val="00CA293E"/>
    <w:rsid w:val="00CA2C94"/>
    <w:rsid w:val="00CA4589"/>
    <w:rsid w:val="00CA5443"/>
    <w:rsid w:val="00CA5900"/>
    <w:rsid w:val="00CA5F56"/>
    <w:rsid w:val="00CA791F"/>
    <w:rsid w:val="00CA7E1F"/>
    <w:rsid w:val="00CB0A95"/>
    <w:rsid w:val="00CB0E0D"/>
    <w:rsid w:val="00CB364D"/>
    <w:rsid w:val="00CB53E3"/>
    <w:rsid w:val="00CB60C3"/>
    <w:rsid w:val="00CB6352"/>
    <w:rsid w:val="00CB7A7D"/>
    <w:rsid w:val="00CB7C6E"/>
    <w:rsid w:val="00CB7CDD"/>
    <w:rsid w:val="00CC0C96"/>
    <w:rsid w:val="00CC1818"/>
    <w:rsid w:val="00CC45FF"/>
    <w:rsid w:val="00CC4E48"/>
    <w:rsid w:val="00CC52AD"/>
    <w:rsid w:val="00CC55E4"/>
    <w:rsid w:val="00CC5EB9"/>
    <w:rsid w:val="00CC6401"/>
    <w:rsid w:val="00CC74A2"/>
    <w:rsid w:val="00CC7C36"/>
    <w:rsid w:val="00CD07C7"/>
    <w:rsid w:val="00CD1037"/>
    <w:rsid w:val="00CD26F2"/>
    <w:rsid w:val="00CD34F9"/>
    <w:rsid w:val="00CD3943"/>
    <w:rsid w:val="00CD3BBF"/>
    <w:rsid w:val="00CD3C6B"/>
    <w:rsid w:val="00CD481F"/>
    <w:rsid w:val="00CD4D63"/>
    <w:rsid w:val="00CD4E68"/>
    <w:rsid w:val="00CD575C"/>
    <w:rsid w:val="00CD5A05"/>
    <w:rsid w:val="00CD64D3"/>
    <w:rsid w:val="00CD7AE4"/>
    <w:rsid w:val="00CE0F5E"/>
    <w:rsid w:val="00CE1541"/>
    <w:rsid w:val="00CE321E"/>
    <w:rsid w:val="00CE3EE8"/>
    <w:rsid w:val="00CE48A1"/>
    <w:rsid w:val="00CE520E"/>
    <w:rsid w:val="00CE5436"/>
    <w:rsid w:val="00CE69CE"/>
    <w:rsid w:val="00CE6ED4"/>
    <w:rsid w:val="00CE6EF2"/>
    <w:rsid w:val="00CE7D2F"/>
    <w:rsid w:val="00CE7ECB"/>
    <w:rsid w:val="00CF1E0F"/>
    <w:rsid w:val="00CF28EC"/>
    <w:rsid w:val="00CF2C60"/>
    <w:rsid w:val="00CF2D53"/>
    <w:rsid w:val="00CF2E40"/>
    <w:rsid w:val="00CF37BF"/>
    <w:rsid w:val="00CF38A8"/>
    <w:rsid w:val="00CF38D7"/>
    <w:rsid w:val="00CF3A9A"/>
    <w:rsid w:val="00CF51E9"/>
    <w:rsid w:val="00CF550A"/>
    <w:rsid w:val="00CF5BEF"/>
    <w:rsid w:val="00CF6625"/>
    <w:rsid w:val="00CF7D07"/>
    <w:rsid w:val="00D00357"/>
    <w:rsid w:val="00D00F81"/>
    <w:rsid w:val="00D01296"/>
    <w:rsid w:val="00D01FAC"/>
    <w:rsid w:val="00D026CF"/>
    <w:rsid w:val="00D02AE1"/>
    <w:rsid w:val="00D02EDB"/>
    <w:rsid w:val="00D03137"/>
    <w:rsid w:val="00D03DA6"/>
    <w:rsid w:val="00D040C9"/>
    <w:rsid w:val="00D041F4"/>
    <w:rsid w:val="00D04411"/>
    <w:rsid w:val="00D05605"/>
    <w:rsid w:val="00D075D4"/>
    <w:rsid w:val="00D077B7"/>
    <w:rsid w:val="00D10873"/>
    <w:rsid w:val="00D10AA9"/>
    <w:rsid w:val="00D10BA5"/>
    <w:rsid w:val="00D114B8"/>
    <w:rsid w:val="00D11B36"/>
    <w:rsid w:val="00D12292"/>
    <w:rsid w:val="00D12996"/>
    <w:rsid w:val="00D139CB"/>
    <w:rsid w:val="00D14999"/>
    <w:rsid w:val="00D14D5B"/>
    <w:rsid w:val="00D1582F"/>
    <w:rsid w:val="00D16426"/>
    <w:rsid w:val="00D16695"/>
    <w:rsid w:val="00D1709E"/>
    <w:rsid w:val="00D21515"/>
    <w:rsid w:val="00D21C58"/>
    <w:rsid w:val="00D22E59"/>
    <w:rsid w:val="00D23982"/>
    <w:rsid w:val="00D23C8D"/>
    <w:rsid w:val="00D24319"/>
    <w:rsid w:val="00D25398"/>
    <w:rsid w:val="00D25783"/>
    <w:rsid w:val="00D2603F"/>
    <w:rsid w:val="00D2647C"/>
    <w:rsid w:val="00D26BE9"/>
    <w:rsid w:val="00D30526"/>
    <w:rsid w:val="00D306AD"/>
    <w:rsid w:val="00D33FEC"/>
    <w:rsid w:val="00D349E1"/>
    <w:rsid w:val="00D35612"/>
    <w:rsid w:val="00D357E6"/>
    <w:rsid w:val="00D35F25"/>
    <w:rsid w:val="00D36BE2"/>
    <w:rsid w:val="00D36C1C"/>
    <w:rsid w:val="00D40359"/>
    <w:rsid w:val="00D404B2"/>
    <w:rsid w:val="00D41261"/>
    <w:rsid w:val="00D422EF"/>
    <w:rsid w:val="00D42ECE"/>
    <w:rsid w:val="00D435B8"/>
    <w:rsid w:val="00D437FA"/>
    <w:rsid w:val="00D43AD4"/>
    <w:rsid w:val="00D4449D"/>
    <w:rsid w:val="00D46130"/>
    <w:rsid w:val="00D465D9"/>
    <w:rsid w:val="00D46F7A"/>
    <w:rsid w:val="00D472B5"/>
    <w:rsid w:val="00D50BF9"/>
    <w:rsid w:val="00D51727"/>
    <w:rsid w:val="00D5290E"/>
    <w:rsid w:val="00D52B30"/>
    <w:rsid w:val="00D5384B"/>
    <w:rsid w:val="00D53EA2"/>
    <w:rsid w:val="00D562DA"/>
    <w:rsid w:val="00D56709"/>
    <w:rsid w:val="00D56AD3"/>
    <w:rsid w:val="00D570B9"/>
    <w:rsid w:val="00D57DD2"/>
    <w:rsid w:val="00D6106E"/>
    <w:rsid w:val="00D61DF0"/>
    <w:rsid w:val="00D64D5D"/>
    <w:rsid w:val="00D65C57"/>
    <w:rsid w:val="00D66581"/>
    <w:rsid w:val="00D66939"/>
    <w:rsid w:val="00D66A2E"/>
    <w:rsid w:val="00D66DEE"/>
    <w:rsid w:val="00D672D8"/>
    <w:rsid w:val="00D673BE"/>
    <w:rsid w:val="00D6783D"/>
    <w:rsid w:val="00D702E0"/>
    <w:rsid w:val="00D705C3"/>
    <w:rsid w:val="00D70F3F"/>
    <w:rsid w:val="00D7157A"/>
    <w:rsid w:val="00D71DA6"/>
    <w:rsid w:val="00D71DC5"/>
    <w:rsid w:val="00D72E50"/>
    <w:rsid w:val="00D73F30"/>
    <w:rsid w:val="00D74BBF"/>
    <w:rsid w:val="00D74E73"/>
    <w:rsid w:val="00D75BB5"/>
    <w:rsid w:val="00D768E9"/>
    <w:rsid w:val="00D76A49"/>
    <w:rsid w:val="00D76BAF"/>
    <w:rsid w:val="00D774DE"/>
    <w:rsid w:val="00D779FA"/>
    <w:rsid w:val="00D805DF"/>
    <w:rsid w:val="00D81FE1"/>
    <w:rsid w:val="00D81FE9"/>
    <w:rsid w:val="00D82444"/>
    <w:rsid w:val="00D8265B"/>
    <w:rsid w:val="00D82CB0"/>
    <w:rsid w:val="00D83F04"/>
    <w:rsid w:val="00D84370"/>
    <w:rsid w:val="00D8469D"/>
    <w:rsid w:val="00D85A64"/>
    <w:rsid w:val="00D85BA3"/>
    <w:rsid w:val="00D85D73"/>
    <w:rsid w:val="00D86048"/>
    <w:rsid w:val="00D86181"/>
    <w:rsid w:val="00D868AB"/>
    <w:rsid w:val="00D86E07"/>
    <w:rsid w:val="00D87A2E"/>
    <w:rsid w:val="00D87B61"/>
    <w:rsid w:val="00D87D0B"/>
    <w:rsid w:val="00D9035F"/>
    <w:rsid w:val="00D903C1"/>
    <w:rsid w:val="00D90754"/>
    <w:rsid w:val="00D9103C"/>
    <w:rsid w:val="00D92581"/>
    <w:rsid w:val="00D93963"/>
    <w:rsid w:val="00D95F68"/>
    <w:rsid w:val="00D97424"/>
    <w:rsid w:val="00D975BA"/>
    <w:rsid w:val="00D97898"/>
    <w:rsid w:val="00DA04F1"/>
    <w:rsid w:val="00DA0C54"/>
    <w:rsid w:val="00DA1106"/>
    <w:rsid w:val="00DA1C82"/>
    <w:rsid w:val="00DA6222"/>
    <w:rsid w:val="00DA6366"/>
    <w:rsid w:val="00DA7560"/>
    <w:rsid w:val="00DB102A"/>
    <w:rsid w:val="00DB2102"/>
    <w:rsid w:val="00DB295E"/>
    <w:rsid w:val="00DB2C25"/>
    <w:rsid w:val="00DB327D"/>
    <w:rsid w:val="00DB3B46"/>
    <w:rsid w:val="00DB3DDC"/>
    <w:rsid w:val="00DB5BC6"/>
    <w:rsid w:val="00DB64A6"/>
    <w:rsid w:val="00DB68E0"/>
    <w:rsid w:val="00DB7476"/>
    <w:rsid w:val="00DC065C"/>
    <w:rsid w:val="00DC0F2A"/>
    <w:rsid w:val="00DC1807"/>
    <w:rsid w:val="00DC1DDD"/>
    <w:rsid w:val="00DC208D"/>
    <w:rsid w:val="00DC2096"/>
    <w:rsid w:val="00DC3922"/>
    <w:rsid w:val="00DC41D3"/>
    <w:rsid w:val="00DC41E1"/>
    <w:rsid w:val="00DC4716"/>
    <w:rsid w:val="00DC4810"/>
    <w:rsid w:val="00DC4E6A"/>
    <w:rsid w:val="00DC553D"/>
    <w:rsid w:val="00DC5EFB"/>
    <w:rsid w:val="00DC6196"/>
    <w:rsid w:val="00DC61E1"/>
    <w:rsid w:val="00DC6E05"/>
    <w:rsid w:val="00DD017C"/>
    <w:rsid w:val="00DD01DB"/>
    <w:rsid w:val="00DD12A2"/>
    <w:rsid w:val="00DD1E2C"/>
    <w:rsid w:val="00DD2285"/>
    <w:rsid w:val="00DD3E25"/>
    <w:rsid w:val="00DD4D93"/>
    <w:rsid w:val="00DD50FC"/>
    <w:rsid w:val="00DD5C55"/>
    <w:rsid w:val="00DD6077"/>
    <w:rsid w:val="00DD6B35"/>
    <w:rsid w:val="00DD7485"/>
    <w:rsid w:val="00DD7767"/>
    <w:rsid w:val="00DE03C7"/>
    <w:rsid w:val="00DE0F46"/>
    <w:rsid w:val="00DE111C"/>
    <w:rsid w:val="00DE398B"/>
    <w:rsid w:val="00DE4AC2"/>
    <w:rsid w:val="00DE4B0E"/>
    <w:rsid w:val="00DE4BDC"/>
    <w:rsid w:val="00DE57F2"/>
    <w:rsid w:val="00DE7570"/>
    <w:rsid w:val="00DE7ACD"/>
    <w:rsid w:val="00DE7D6D"/>
    <w:rsid w:val="00DF06C1"/>
    <w:rsid w:val="00DF21DE"/>
    <w:rsid w:val="00DF5BD6"/>
    <w:rsid w:val="00DF5C09"/>
    <w:rsid w:val="00DF6086"/>
    <w:rsid w:val="00DF60B5"/>
    <w:rsid w:val="00DF6B7A"/>
    <w:rsid w:val="00DF6FB1"/>
    <w:rsid w:val="00DF749C"/>
    <w:rsid w:val="00E00345"/>
    <w:rsid w:val="00E007D2"/>
    <w:rsid w:val="00E014C0"/>
    <w:rsid w:val="00E015D9"/>
    <w:rsid w:val="00E03037"/>
    <w:rsid w:val="00E036E0"/>
    <w:rsid w:val="00E03803"/>
    <w:rsid w:val="00E04AA0"/>
    <w:rsid w:val="00E04BE0"/>
    <w:rsid w:val="00E07119"/>
    <w:rsid w:val="00E0765D"/>
    <w:rsid w:val="00E10429"/>
    <w:rsid w:val="00E109D6"/>
    <w:rsid w:val="00E113A3"/>
    <w:rsid w:val="00E11A3B"/>
    <w:rsid w:val="00E11B1A"/>
    <w:rsid w:val="00E12055"/>
    <w:rsid w:val="00E122CF"/>
    <w:rsid w:val="00E12808"/>
    <w:rsid w:val="00E12E58"/>
    <w:rsid w:val="00E143BC"/>
    <w:rsid w:val="00E148B2"/>
    <w:rsid w:val="00E1493A"/>
    <w:rsid w:val="00E150BF"/>
    <w:rsid w:val="00E155D5"/>
    <w:rsid w:val="00E15A0D"/>
    <w:rsid w:val="00E1677C"/>
    <w:rsid w:val="00E176F3"/>
    <w:rsid w:val="00E2017C"/>
    <w:rsid w:val="00E205E5"/>
    <w:rsid w:val="00E20BCC"/>
    <w:rsid w:val="00E2165B"/>
    <w:rsid w:val="00E22655"/>
    <w:rsid w:val="00E2366A"/>
    <w:rsid w:val="00E2369E"/>
    <w:rsid w:val="00E23CE7"/>
    <w:rsid w:val="00E23F2F"/>
    <w:rsid w:val="00E245DC"/>
    <w:rsid w:val="00E24735"/>
    <w:rsid w:val="00E2484D"/>
    <w:rsid w:val="00E25837"/>
    <w:rsid w:val="00E25BB8"/>
    <w:rsid w:val="00E2617F"/>
    <w:rsid w:val="00E2726B"/>
    <w:rsid w:val="00E27BB1"/>
    <w:rsid w:val="00E27EDA"/>
    <w:rsid w:val="00E30A2B"/>
    <w:rsid w:val="00E30E2D"/>
    <w:rsid w:val="00E338FD"/>
    <w:rsid w:val="00E33C06"/>
    <w:rsid w:val="00E34987"/>
    <w:rsid w:val="00E358A1"/>
    <w:rsid w:val="00E35911"/>
    <w:rsid w:val="00E363F7"/>
    <w:rsid w:val="00E36B8A"/>
    <w:rsid w:val="00E37BAA"/>
    <w:rsid w:val="00E402EF"/>
    <w:rsid w:val="00E40C45"/>
    <w:rsid w:val="00E41D09"/>
    <w:rsid w:val="00E4248E"/>
    <w:rsid w:val="00E42596"/>
    <w:rsid w:val="00E426C9"/>
    <w:rsid w:val="00E430CF"/>
    <w:rsid w:val="00E434DB"/>
    <w:rsid w:val="00E43E80"/>
    <w:rsid w:val="00E43EC0"/>
    <w:rsid w:val="00E449F0"/>
    <w:rsid w:val="00E458CE"/>
    <w:rsid w:val="00E46A5F"/>
    <w:rsid w:val="00E5007B"/>
    <w:rsid w:val="00E508A5"/>
    <w:rsid w:val="00E50D41"/>
    <w:rsid w:val="00E51A3A"/>
    <w:rsid w:val="00E52609"/>
    <w:rsid w:val="00E53578"/>
    <w:rsid w:val="00E53C95"/>
    <w:rsid w:val="00E551B0"/>
    <w:rsid w:val="00E55213"/>
    <w:rsid w:val="00E55E6D"/>
    <w:rsid w:val="00E57F65"/>
    <w:rsid w:val="00E60748"/>
    <w:rsid w:val="00E6135C"/>
    <w:rsid w:val="00E62047"/>
    <w:rsid w:val="00E62F94"/>
    <w:rsid w:val="00E6425E"/>
    <w:rsid w:val="00E642C8"/>
    <w:rsid w:val="00E648B0"/>
    <w:rsid w:val="00E65B66"/>
    <w:rsid w:val="00E65FAC"/>
    <w:rsid w:val="00E6684A"/>
    <w:rsid w:val="00E66CC0"/>
    <w:rsid w:val="00E6738C"/>
    <w:rsid w:val="00E674C1"/>
    <w:rsid w:val="00E67EFE"/>
    <w:rsid w:val="00E708F3"/>
    <w:rsid w:val="00E70B06"/>
    <w:rsid w:val="00E70D03"/>
    <w:rsid w:val="00E70FAE"/>
    <w:rsid w:val="00E710A4"/>
    <w:rsid w:val="00E71210"/>
    <w:rsid w:val="00E71568"/>
    <w:rsid w:val="00E743F6"/>
    <w:rsid w:val="00E744C9"/>
    <w:rsid w:val="00E746D3"/>
    <w:rsid w:val="00E75523"/>
    <w:rsid w:val="00E76479"/>
    <w:rsid w:val="00E76872"/>
    <w:rsid w:val="00E7694C"/>
    <w:rsid w:val="00E80C68"/>
    <w:rsid w:val="00E82720"/>
    <w:rsid w:val="00E83C44"/>
    <w:rsid w:val="00E83E78"/>
    <w:rsid w:val="00E852CB"/>
    <w:rsid w:val="00E85628"/>
    <w:rsid w:val="00E85743"/>
    <w:rsid w:val="00E85774"/>
    <w:rsid w:val="00E8644C"/>
    <w:rsid w:val="00E86DFE"/>
    <w:rsid w:val="00E871A5"/>
    <w:rsid w:val="00E87487"/>
    <w:rsid w:val="00E8748B"/>
    <w:rsid w:val="00E87539"/>
    <w:rsid w:val="00E92302"/>
    <w:rsid w:val="00E93251"/>
    <w:rsid w:val="00E93BE4"/>
    <w:rsid w:val="00E93D00"/>
    <w:rsid w:val="00E94236"/>
    <w:rsid w:val="00E94E3F"/>
    <w:rsid w:val="00E9554A"/>
    <w:rsid w:val="00E95DE3"/>
    <w:rsid w:val="00E96DC0"/>
    <w:rsid w:val="00E96DC5"/>
    <w:rsid w:val="00E97EF7"/>
    <w:rsid w:val="00EA1509"/>
    <w:rsid w:val="00EA1576"/>
    <w:rsid w:val="00EA18B5"/>
    <w:rsid w:val="00EA1CB5"/>
    <w:rsid w:val="00EA3519"/>
    <w:rsid w:val="00EA39BA"/>
    <w:rsid w:val="00EA3C1F"/>
    <w:rsid w:val="00EA3F51"/>
    <w:rsid w:val="00EA450C"/>
    <w:rsid w:val="00EA49C3"/>
    <w:rsid w:val="00EA4F89"/>
    <w:rsid w:val="00EA5444"/>
    <w:rsid w:val="00EA5E7A"/>
    <w:rsid w:val="00EA6E21"/>
    <w:rsid w:val="00EB0453"/>
    <w:rsid w:val="00EB048F"/>
    <w:rsid w:val="00EB145D"/>
    <w:rsid w:val="00EB14DC"/>
    <w:rsid w:val="00EB1E1E"/>
    <w:rsid w:val="00EB3173"/>
    <w:rsid w:val="00EB33ED"/>
    <w:rsid w:val="00EB39E5"/>
    <w:rsid w:val="00EB40FB"/>
    <w:rsid w:val="00EB4474"/>
    <w:rsid w:val="00EB4A2C"/>
    <w:rsid w:val="00EB5011"/>
    <w:rsid w:val="00EB5121"/>
    <w:rsid w:val="00EB5820"/>
    <w:rsid w:val="00EB6D6B"/>
    <w:rsid w:val="00EB6EC1"/>
    <w:rsid w:val="00EB74E6"/>
    <w:rsid w:val="00EB7743"/>
    <w:rsid w:val="00EB7D4B"/>
    <w:rsid w:val="00EC0FC8"/>
    <w:rsid w:val="00EC110F"/>
    <w:rsid w:val="00EC135D"/>
    <w:rsid w:val="00EC19AA"/>
    <w:rsid w:val="00EC3712"/>
    <w:rsid w:val="00EC3972"/>
    <w:rsid w:val="00EC3EBD"/>
    <w:rsid w:val="00EC5F55"/>
    <w:rsid w:val="00EC705E"/>
    <w:rsid w:val="00EC7A90"/>
    <w:rsid w:val="00EC7A91"/>
    <w:rsid w:val="00ED0141"/>
    <w:rsid w:val="00ED0BE5"/>
    <w:rsid w:val="00ED16E8"/>
    <w:rsid w:val="00ED26D3"/>
    <w:rsid w:val="00ED2A66"/>
    <w:rsid w:val="00ED3DB4"/>
    <w:rsid w:val="00ED406E"/>
    <w:rsid w:val="00ED4073"/>
    <w:rsid w:val="00ED473A"/>
    <w:rsid w:val="00ED49CC"/>
    <w:rsid w:val="00ED555E"/>
    <w:rsid w:val="00ED6678"/>
    <w:rsid w:val="00ED684D"/>
    <w:rsid w:val="00ED7585"/>
    <w:rsid w:val="00ED78DD"/>
    <w:rsid w:val="00EE0502"/>
    <w:rsid w:val="00EE122B"/>
    <w:rsid w:val="00EE180D"/>
    <w:rsid w:val="00EE1F19"/>
    <w:rsid w:val="00EE21F9"/>
    <w:rsid w:val="00EE22D3"/>
    <w:rsid w:val="00EE2788"/>
    <w:rsid w:val="00EE2D18"/>
    <w:rsid w:val="00EE3F50"/>
    <w:rsid w:val="00EE4643"/>
    <w:rsid w:val="00EE4B32"/>
    <w:rsid w:val="00EE4C8B"/>
    <w:rsid w:val="00EE566F"/>
    <w:rsid w:val="00EE58D7"/>
    <w:rsid w:val="00EE625A"/>
    <w:rsid w:val="00EE726B"/>
    <w:rsid w:val="00EE74AA"/>
    <w:rsid w:val="00EE77F9"/>
    <w:rsid w:val="00EF0282"/>
    <w:rsid w:val="00EF116F"/>
    <w:rsid w:val="00EF137D"/>
    <w:rsid w:val="00EF16EB"/>
    <w:rsid w:val="00EF303E"/>
    <w:rsid w:val="00EF312B"/>
    <w:rsid w:val="00EF3235"/>
    <w:rsid w:val="00EF3DD2"/>
    <w:rsid w:val="00EF579C"/>
    <w:rsid w:val="00EF59F6"/>
    <w:rsid w:val="00EF5A28"/>
    <w:rsid w:val="00EF681F"/>
    <w:rsid w:val="00EF688B"/>
    <w:rsid w:val="00EF69CD"/>
    <w:rsid w:val="00EF74AD"/>
    <w:rsid w:val="00EF75E3"/>
    <w:rsid w:val="00EF7EE3"/>
    <w:rsid w:val="00F01C41"/>
    <w:rsid w:val="00F035C2"/>
    <w:rsid w:val="00F0621F"/>
    <w:rsid w:val="00F06747"/>
    <w:rsid w:val="00F06D00"/>
    <w:rsid w:val="00F06ED6"/>
    <w:rsid w:val="00F07A26"/>
    <w:rsid w:val="00F07BFF"/>
    <w:rsid w:val="00F1063A"/>
    <w:rsid w:val="00F10885"/>
    <w:rsid w:val="00F10AE1"/>
    <w:rsid w:val="00F10C3F"/>
    <w:rsid w:val="00F11023"/>
    <w:rsid w:val="00F1241F"/>
    <w:rsid w:val="00F12530"/>
    <w:rsid w:val="00F12C3D"/>
    <w:rsid w:val="00F131E7"/>
    <w:rsid w:val="00F13C3B"/>
    <w:rsid w:val="00F13C96"/>
    <w:rsid w:val="00F13D01"/>
    <w:rsid w:val="00F14AEC"/>
    <w:rsid w:val="00F14CD4"/>
    <w:rsid w:val="00F15EC0"/>
    <w:rsid w:val="00F16174"/>
    <w:rsid w:val="00F16A2D"/>
    <w:rsid w:val="00F1705F"/>
    <w:rsid w:val="00F1789E"/>
    <w:rsid w:val="00F2050B"/>
    <w:rsid w:val="00F2076D"/>
    <w:rsid w:val="00F20D82"/>
    <w:rsid w:val="00F20DF7"/>
    <w:rsid w:val="00F2654C"/>
    <w:rsid w:val="00F26D01"/>
    <w:rsid w:val="00F26F90"/>
    <w:rsid w:val="00F27515"/>
    <w:rsid w:val="00F2754F"/>
    <w:rsid w:val="00F30493"/>
    <w:rsid w:val="00F32001"/>
    <w:rsid w:val="00F33C39"/>
    <w:rsid w:val="00F34A1D"/>
    <w:rsid w:val="00F354D8"/>
    <w:rsid w:val="00F35B11"/>
    <w:rsid w:val="00F36779"/>
    <w:rsid w:val="00F36937"/>
    <w:rsid w:val="00F36C4E"/>
    <w:rsid w:val="00F36CBA"/>
    <w:rsid w:val="00F37024"/>
    <w:rsid w:val="00F37747"/>
    <w:rsid w:val="00F378AF"/>
    <w:rsid w:val="00F4018C"/>
    <w:rsid w:val="00F40498"/>
    <w:rsid w:val="00F40D51"/>
    <w:rsid w:val="00F40DC0"/>
    <w:rsid w:val="00F424C9"/>
    <w:rsid w:val="00F42647"/>
    <w:rsid w:val="00F42C64"/>
    <w:rsid w:val="00F432C3"/>
    <w:rsid w:val="00F437DA"/>
    <w:rsid w:val="00F437DF"/>
    <w:rsid w:val="00F44F68"/>
    <w:rsid w:val="00F454CF"/>
    <w:rsid w:val="00F4587F"/>
    <w:rsid w:val="00F45898"/>
    <w:rsid w:val="00F46A80"/>
    <w:rsid w:val="00F507FA"/>
    <w:rsid w:val="00F50DA7"/>
    <w:rsid w:val="00F50E3D"/>
    <w:rsid w:val="00F5107A"/>
    <w:rsid w:val="00F511B3"/>
    <w:rsid w:val="00F517DD"/>
    <w:rsid w:val="00F51C9E"/>
    <w:rsid w:val="00F51FF2"/>
    <w:rsid w:val="00F53205"/>
    <w:rsid w:val="00F539AA"/>
    <w:rsid w:val="00F53ED1"/>
    <w:rsid w:val="00F53FDA"/>
    <w:rsid w:val="00F54BCB"/>
    <w:rsid w:val="00F55407"/>
    <w:rsid w:val="00F554C5"/>
    <w:rsid w:val="00F55519"/>
    <w:rsid w:val="00F55E72"/>
    <w:rsid w:val="00F56AEF"/>
    <w:rsid w:val="00F56E23"/>
    <w:rsid w:val="00F57104"/>
    <w:rsid w:val="00F605C8"/>
    <w:rsid w:val="00F60CE9"/>
    <w:rsid w:val="00F6120B"/>
    <w:rsid w:val="00F61740"/>
    <w:rsid w:val="00F61C18"/>
    <w:rsid w:val="00F62805"/>
    <w:rsid w:val="00F62FA5"/>
    <w:rsid w:val="00F639D2"/>
    <w:rsid w:val="00F63A36"/>
    <w:rsid w:val="00F64053"/>
    <w:rsid w:val="00F64173"/>
    <w:rsid w:val="00F64D1E"/>
    <w:rsid w:val="00F664C3"/>
    <w:rsid w:val="00F67110"/>
    <w:rsid w:val="00F700FC"/>
    <w:rsid w:val="00F72B66"/>
    <w:rsid w:val="00F73B37"/>
    <w:rsid w:val="00F73DF3"/>
    <w:rsid w:val="00F751D7"/>
    <w:rsid w:val="00F7549B"/>
    <w:rsid w:val="00F7554C"/>
    <w:rsid w:val="00F75B5E"/>
    <w:rsid w:val="00F75E76"/>
    <w:rsid w:val="00F76CFF"/>
    <w:rsid w:val="00F77A72"/>
    <w:rsid w:val="00F77BB4"/>
    <w:rsid w:val="00F80667"/>
    <w:rsid w:val="00F8154A"/>
    <w:rsid w:val="00F81BE5"/>
    <w:rsid w:val="00F81EF1"/>
    <w:rsid w:val="00F825F8"/>
    <w:rsid w:val="00F82D07"/>
    <w:rsid w:val="00F830E4"/>
    <w:rsid w:val="00F833FC"/>
    <w:rsid w:val="00F83F79"/>
    <w:rsid w:val="00F841B8"/>
    <w:rsid w:val="00F84A0C"/>
    <w:rsid w:val="00F853AD"/>
    <w:rsid w:val="00F85AFE"/>
    <w:rsid w:val="00F864E8"/>
    <w:rsid w:val="00F876F9"/>
    <w:rsid w:val="00F87EE0"/>
    <w:rsid w:val="00F90959"/>
    <w:rsid w:val="00F90D19"/>
    <w:rsid w:val="00F91126"/>
    <w:rsid w:val="00F92A52"/>
    <w:rsid w:val="00F92CD2"/>
    <w:rsid w:val="00F9552D"/>
    <w:rsid w:val="00F955F6"/>
    <w:rsid w:val="00F9675A"/>
    <w:rsid w:val="00F96B7A"/>
    <w:rsid w:val="00F96EBB"/>
    <w:rsid w:val="00F97F3B"/>
    <w:rsid w:val="00FA16D4"/>
    <w:rsid w:val="00FA1BFD"/>
    <w:rsid w:val="00FA403B"/>
    <w:rsid w:val="00FA483E"/>
    <w:rsid w:val="00FA6CDF"/>
    <w:rsid w:val="00FA76AD"/>
    <w:rsid w:val="00FB2F2F"/>
    <w:rsid w:val="00FB33F3"/>
    <w:rsid w:val="00FB46E2"/>
    <w:rsid w:val="00FB4D0D"/>
    <w:rsid w:val="00FB4F15"/>
    <w:rsid w:val="00FB5A77"/>
    <w:rsid w:val="00FB5BB8"/>
    <w:rsid w:val="00FB6FA5"/>
    <w:rsid w:val="00FB7045"/>
    <w:rsid w:val="00FB7868"/>
    <w:rsid w:val="00FB7FD7"/>
    <w:rsid w:val="00FC01FA"/>
    <w:rsid w:val="00FC10A1"/>
    <w:rsid w:val="00FC1321"/>
    <w:rsid w:val="00FC1428"/>
    <w:rsid w:val="00FC15E1"/>
    <w:rsid w:val="00FC1A97"/>
    <w:rsid w:val="00FC1DD0"/>
    <w:rsid w:val="00FC1F7A"/>
    <w:rsid w:val="00FC20A5"/>
    <w:rsid w:val="00FC2C73"/>
    <w:rsid w:val="00FC3EAA"/>
    <w:rsid w:val="00FC4255"/>
    <w:rsid w:val="00FC42AB"/>
    <w:rsid w:val="00FC5359"/>
    <w:rsid w:val="00FC650A"/>
    <w:rsid w:val="00FC68C0"/>
    <w:rsid w:val="00FC6B08"/>
    <w:rsid w:val="00FC70CB"/>
    <w:rsid w:val="00FC70D3"/>
    <w:rsid w:val="00FC7175"/>
    <w:rsid w:val="00FC7FEC"/>
    <w:rsid w:val="00FD04EE"/>
    <w:rsid w:val="00FD04F8"/>
    <w:rsid w:val="00FD069B"/>
    <w:rsid w:val="00FD0CF5"/>
    <w:rsid w:val="00FD11EF"/>
    <w:rsid w:val="00FD2179"/>
    <w:rsid w:val="00FD2CF2"/>
    <w:rsid w:val="00FD2D41"/>
    <w:rsid w:val="00FD30B1"/>
    <w:rsid w:val="00FD3D64"/>
    <w:rsid w:val="00FD5457"/>
    <w:rsid w:val="00FD55D4"/>
    <w:rsid w:val="00FD5F8C"/>
    <w:rsid w:val="00FE0204"/>
    <w:rsid w:val="00FE088B"/>
    <w:rsid w:val="00FE0A92"/>
    <w:rsid w:val="00FE0F34"/>
    <w:rsid w:val="00FE21B9"/>
    <w:rsid w:val="00FE266A"/>
    <w:rsid w:val="00FE35F5"/>
    <w:rsid w:val="00FE3C7E"/>
    <w:rsid w:val="00FE3E01"/>
    <w:rsid w:val="00FE4022"/>
    <w:rsid w:val="00FE4A7F"/>
    <w:rsid w:val="00FE549F"/>
    <w:rsid w:val="00FE5950"/>
    <w:rsid w:val="00FE615D"/>
    <w:rsid w:val="00FE628B"/>
    <w:rsid w:val="00FE6852"/>
    <w:rsid w:val="00FE6F12"/>
    <w:rsid w:val="00FE7B78"/>
    <w:rsid w:val="00FE7FE6"/>
    <w:rsid w:val="00FF2FE2"/>
    <w:rsid w:val="00FF537F"/>
    <w:rsid w:val="00FF5A70"/>
    <w:rsid w:val="00FF5FCA"/>
    <w:rsid w:val="00FF6AC6"/>
    <w:rsid w:val="00FF7391"/>
    <w:rsid w:val="00FF76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769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DED"/>
    <w:pPr>
      <w:spacing w:after="240" w:line="280" w:lineRule="exact"/>
      <w:jc w:val="both"/>
    </w:pPr>
    <w:rPr>
      <w:rFonts w:eastAsia="Times New Roman" w:cs="Times New Roman"/>
      <w:color w:val="000000"/>
      <w:szCs w:val="20"/>
      <w:lang w:eastAsia="en-AU"/>
    </w:rPr>
  </w:style>
  <w:style w:type="paragraph" w:styleId="Heading1">
    <w:name w:val="heading 1"/>
    <w:basedOn w:val="HeadingBase"/>
    <w:next w:val="Normal"/>
    <w:link w:val="Heading1Char"/>
    <w:qFormat/>
    <w:rsid w:val="00FF537F"/>
    <w:pPr>
      <w:spacing w:after="360"/>
      <w:outlineLvl w:val="0"/>
    </w:pPr>
    <w:rPr>
      <w:rFonts w:cs="Arial"/>
      <w:b/>
      <w:bCs/>
      <w:smallCaps/>
      <w:kern w:val="32"/>
      <w:sz w:val="36"/>
      <w:szCs w:val="36"/>
    </w:rPr>
  </w:style>
  <w:style w:type="paragraph" w:styleId="Heading2">
    <w:name w:val="heading 2"/>
    <w:basedOn w:val="HeadingBase"/>
    <w:next w:val="Normal"/>
    <w:link w:val="Heading2Char"/>
    <w:qFormat/>
    <w:rsid w:val="00FF537F"/>
    <w:pPr>
      <w:spacing w:before="360" w:after="180"/>
      <w:outlineLvl w:val="1"/>
    </w:pPr>
    <w:rPr>
      <w:rFonts w:cs="Arial"/>
      <w:b/>
      <w:bCs/>
      <w:iCs/>
      <w:smallCaps/>
      <w:sz w:val="32"/>
      <w:szCs w:val="28"/>
    </w:rPr>
  </w:style>
  <w:style w:type="paragraph" w:styleId="Heading3">
    <w:name w:val="heading 3"/>
    <w:basedOn w:val="HeadingBase"/>
    <w:next w:val="Normal"/>
    <w:link w:val="Heading3Char"/>
    <w:qFormat/>
    <w:rsid w:val="00FF537F"/>
    <w:pPr>
      <w:spacing w:before="240" w:after="120"/>
      <w:outlineLvl w:val="2"/>
    </w:pPr>
    <w:rPr>
      <w:rFonts w:cs="Arial"/>
      <w:b/>
      <w:bCs/>
      <w:sz w:val="28"/>
      <w:szCs w:val="26"/>
    </w:rPr>
  </w:style>
  <w:style w:type="paragraph" w:styleId="Heading4">
    <w:name w:val="heading 4"/>
    <w:basedOn w:val="HeadingBase"/>
    <w:next w:val="Normal"/>
    <w:link w:val="Heading4Char"/>
    <w:qFormat/>
    <w:rsid w:val="00FF537F"/>
    <w:pPr>
      <w:spacing w:before="180" w:after="120"/>
      <w:outlineLvl w:val="3"/>
    </w:pPr>
    <w:rPr>
      <w:bCs/>
      <w:sz w:val="24"/>
      <w:szCs w:val="22"/>
    </w:rPr>
  </w:style>
  <w:style w:type="paragraph" w:styleId="Heading5">
    <w:name w:val="heading 5"/>
    <w:basedOn w:val="HeadingBase"/>
    <w:next w:val="Normal"/>
    <w:link w:val="Heading5Char"/>
    <w:qFormat/>
    <w:rsid w:val="00477DED"/>
    <w:pPr>
      <w:spacing w:after="120"/>
      <w:outlineLvl w:val="4"/>
    </w:pPr>
    <w:rPr>
      <w:b/>
      <w:bCs/>
      <w:iCs/>
      <w:sz w:val="24"/>
    </w:rPr>
  </w:style>
  <w:style w:type="paragraph" w:styleId="Heading6">
    <w:name w:val="heading 6"/>
    <w:basedOn w:val="HeadingBase"/>
    <w:next w:val="Normal"/>
    <w:link w:val="Heading6Char"/>
    <w:qFormat/>
    <w:rsid w:val="00477DED"/>
    <w:pPr>
      <w:spacing w:after="120"/>
      <w:outlineLvl w:val="5"/>
    </w:pPr>
    <w:rPr>
      <w:bCs/>
      <w:sz w:val="22"/>
      <w:szCs w:val="22"/>
    </w:rPr>
  </w:style>
  <w:style w:type="paragraph" w:styleId="Heading7">
    <w:name w:val="heading 7"/>
    <w:basedOn w:val="HeadingBase"/>
    <w:next w:val="Normal"/>
    <w:link w:val="Heading7Char"/>
    <w:qFormat/>
    <w:rsid w:val="00477DED"/>
    <w:pPr>
      <w:spacing w:after="120"/>
      <w:outlineLvl w:val="6"/>
    </w:pPr>
    <w:rPr>
      <w:szCs w:val="24"/>
    </w:rPr>
  </w:style>
  <w:style w:type="paragraph" w:styleId="Heading8">
    <w:name w:val="heading 8"/>
    <w:basedOn w:val="HeadingBase"/>
    <w:next w:val="Normal"/>
    <w:link w:val="Heading8Char"/>
    <w:qFormat/>
    <w:rsid w:val="00477DED"/>
    <w:pPr>
      <w:spacing w:before="60" w:after="60"/>
      <w:jc w:val="center"/>
      <w:outlineLvl w:val="7"/>
    </w:pPr>
    <w:rPr>
      <w:iCs/>
      <w:smallCaps/>
      <w:sz w:val="22"/>
      <w:szCs w:val="24"/>
    </w:rPr>
  </w:style>
  <w:style w:type="paragraph" w:styleId="Heading9">
    <w:name w:val="heading 9"/>
    <w:basedOn w:val="HeadingBase"/>
    <w:next w:val="Normal"/>
    <w:link w:val="Heading9Char"/>
    <w:qFormat/>
    <w:rsid w:val="00477DED"/>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7DED"/>
    <w:rPr>
      <w:color w:val="auto"/>
      <w:u w:val="none"/>
    </w:rPr>
  </w:style>
  <w:style w:type="paragraph" w:customStyle="1" w:styleId="Default">
    <w:name w:val="Default"/>
    <w:rsid w:val="00D85D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FF537F"/>
    <w:rPr>
      <w:rFonts w:ascii="Calibri" w:eastAsia="Times New Roman" w:hAnsi="Calibri" w:cs="Arial"/>
      <w:b/>
      <w:bCs/>
      <w:smallCaps/>
      <w:color w:val="342E82"/>
      <w:kern w:val="32"/>
      <w:sz w:val="36"/>
      <w:szCs w:val="36"/>
      <w:lang w:eastAsia="en-AU"/>
    </w:rPr>
  </w:style>
  <w:style w:type="character" w:customStyle="1" w:styleId="Heading2Char">
    <w:name w:val="Heading 2 Char"/>
    <w:basedOn w:val="DefaultParagraphFont"/>
    <w:link w:val="Heading2"/>
    <w:rsid w:val="00FF537F"/>
    <w:rPr>
      <w:rFonts w:ascii="Calibri" w:eastAsia="Times New Roman" w:hAnsi="Calibri" w:cs="Arial"/>
      <w:b/>
      <w:bCs/>
      <w:iCs/>
      <w:smallCaps/>
      <w:color w:val="342E82"/>
      <w:sz w:val="32"/>
      <w:szCs w:val="28"/>
      <w:lang w:eastAsia="en-AU"/>
    </w:rPr>
  </w:style>
  <w:style w:type="character" w:customStyle="1" w:styleId="Heading3Char">
    <w:name w:val="Heading 3 Char"/>
    <w:basedOn w:val="DefaultParagraphFont"/>
    <w:link w:val="Heading3"/>
    <w:rsid w:val="00FF537F"/>
    <w:rPr>
      <w:rFonts w:ascii="Calibri" w:eastAsia="Times New Roman" w:hAnsi="Calibri" w:cs="Arial"/>
      <w:b/>
      <w:bCs/>
      <w:color w:val="342E82"/>
      <w:sz w:val="28"/>
      <w:szCs w:val="26"/>
      <w:lang w:eastAsia="en-AU"/>
    </w:rPr>
  </w:style>
  <w:style w:type="character" w:customStyle="1" w:styleId="Heading4Char">
    <w:name w:val="Heading 4 Char"/>
    <w:basedOn w:val="DefaultParagraphFont"/>
    <w:link w:val="Heading4"/>
    <w:rsid w:val="00FF537F"/>
    <w:rPr>
      <w:rFonts w:ascii="Calibri" w:eastAsia="Times New Roman" w:hAnsi="Calibri" w:cs="Times New Roman"/>
      <w:bCs/>
      <w:color w:val="342E82"/>
      <w:sz w:val="24"/>
      <w:lang w:eastAsia="en-AU"/>
    </w:rPr>
  </w:style>
  <w:style w:type="character" w:customStyle="1" w:styleId="Heading5Char">
    <w:name w:val="Heading 5 Char"/>
    <w:basedOn w:val="DefaultParagraphFont"/>
    <w:link w:val="Heading5"/>
    <w:rsid w:val="00477DED"/>
    <w:rPr>
      <w:rFonts w:ascii="Calibri" w:eastAsia="Times New Roman" w:hAnsi="Calibri" w:cs="Times New Roman"/>
      <w:b/>
      <w:bCs/>
      <w:iCs/>
      <w:color w:val="342E82"/>
      <w:sz w:val="24"/>
      <w:szCs w:val="20"/>
      <w:lang w:eastAsia="en-AU"/>
    </w:rPr>
  </w:style>
  <w:style w:type="character" w:customStyle="1" w:styleId="Heading6Char">
    <w:name w:val="Heading 6 Char"/>
    <w:basedOn w:val="DefaultParagraphFont"/>
    <w:link w:val="Heading6"/>
    <w:rsid w:val="00D85D73"/>
    <w:rPr>
      <w:rFonts w:ascii="Calibri" w:eastAsia="Times New Roman" w:hAnsi="Calibri" w:cs="Times New Roman"/>
      <w:bCs/>
      <w:color w:val="342E82"/>
      <w:lang w:eastAsia="en-AU"/>
    </w:rPr>
  </w:style>
  <w:style w:type="character" w:customStyle="1" w:styleId="Heading7Char">
    <w:name w:val="Heading 7 Char"/>
    <w:basedOn w:val="DefaultParagraphFont"/>
    <w:link w:val="Heading7"/>
    <w:rsid w:val="00D85D73"/>
    <w:rPr>
      <w:rFonts w:ascii="Calibri" w:eastAsia="Times New Roman" w:hAnsi="Calibri" w:cs="Times New Roman"/>
      <w:color w:val="342E82"/>
      <w:sz w:val="20"/>
      <w:szCs w:val="24"/>
      <w:lang w:eastAsia="en-AU"/>
    </w:rPr>
  </w:style>
  <w:style w:type="character" w:customStyle="1" w:styleId="Heading8Char">
    <w:name w:val="Heading 8 Char"/>
    <w:basedOn w:val="DefaultParagraphFont"/>
    <w:link w:val="Heading8"/>
    <w:rsid w:val="00D85D73"/>
    <w:rPr>
      <w:rFonts w:ascii="Calibri" w:eastAsia="Times New Roman" w:hAnsi="Calibri" w:cs="Times New Roman"/>
      <w:iCs/>
      <w:smallCaps/>
      <w:color w:val="342E82"/>
      <w:szCs w:val="24"/>
      <w:lang w:eastAsia="en-AU"/>
    </w:rPr>
  </w:style>
  <w:style w:type="character" w:customStyle="1" w:styleId="Heading9Char">
    <w:name w:val="Heading 9 Char"/>
    <w:basedOn w:val="DefaultParagraphFont"/>
    <w:link w:val="Heading9"/>
    <w:rsid w:val="00D85D73"/>
    <w:rPr>
      <w:rFonts w:ascii="Arial Bold" w:eastAsia="Times New Roman" w:hAnsi="Arial Bold" w:cs="Arial"/>
      <w:b/>
      <w:smallCaps/>
      <w:color w:val="342E82"/>
      <w:sz w:val="24"/>
      <w:lang w:eastAsia="en-AU"/>
    </w:rPr>
  </w:style>
  <w:style w:type="paragraph" w:customStyle="1" w:styleId="HeadingBase">
    <w:name w:val="Heading Base"/>
    <w:next w:val="Normal"/>
    <w:rsid w:val="00477DED"/>
    <w:pPr>
      <w:keepNext/>
      <w:spacing w:after="0" w:line="240" w:lineRule="auto"/>
    </w:pPr>
    <w:rPr>
      <w:rFonts w:ascii="Calibri" w:eastAsia="Times New Roman" w:hAnsi="Calibri" w:cs="Times New Roman"/>
      <w:color w:val="342E82"/>
      <w:sz w:val="20"/>
      <w:szCs w:val="20"/>
      <w:lang w:eastAsia="en-AU"/>
    </w:rPr>
  </w:style>
  <w:style w:type="paragraph" w:customStyle="1" w:styleId="ChartGraphic">
    <w:name w:val="Chart Graphic"/>
    <w:basedOn w:val="HeadingBase"/>
    <w:next w:val="Normal"/>
    <w:rsid w:val="00477DED"/>
    <w:pPr>
      <w:jc w:val="center"/>
    </w:pPr>
  </w:style>
  <w:style w:type="paragraph" w:customStyle="1" w:styleId="TableGraphic">
    <w:name w:val="Table Graphic"/>
    <w:basedOn w:val="HeadingBase"/>
    <w:next w:val="Normal"/>
    <w:rsid w:val="00477DED"/>
  </w:style>
  <w:style w:type="paragraph" w:customStyle="1" w:styleId="AlphaParagraph">
    <w:name w:val="Alpha Paragraph"/>
    <w:basedOn w:val="Normal"/>
    <w:rsid w:val="00477DED"/>
    <w:pPr>
      <w:numPr>
        <w:numId w:val="1"/>
      </w:numPr>
    </w:pPr>
  </w:style>
  <w:style w:type="paragraph" w:customStyle="1" w:styleId="AppendixHeading">
    <w:name w:val="Appendix Heading"/>
    <w:basedOn w:val="HeadingBase"/>
    <w:next w:val="Normal"/>
    <w:rsid w:val="00FF537F"/>
    <w:pPr>
      <w:spacing w:after="360"/>
      <w:outlineLvl w:val="0"/>
    </w:pPr>
    <w:rPr>
      <w:b/>
      <w:smallCaps/>
      <w:sz w:val="36"/>
      <w:szCs w:val="36"/>
    </w:rPr>
  </w:style>
  <w:style w:type="paragraph" w:styleId="BalloonText">
    <w:name w:val="Balloon Text"/>
    <w:basedOn w:val="Normal"/>
    <w:link w:val="BalloonTextChar"/>
    <w:semiHidden/>
    <w:rsid w:val="00477DED"/>
    <w:rPr>
      <w:rFonts w:ascii="Tahoma" w:hAnsi="Tahoma" w:cs="Tahoma"/>
      <w:sz w:val="16"/>
      <w:szCs w:val="16"/>
    </w:rPr>
  </w:style>
  <w:style w:type="character" w:customStyle="1" w:styleId="BalloonTextChar">
    <w:name w:val="Balloon Text Char"/>
    <w:basedOn w:val="DefaultParagraphFont"/>
    <w:link w:val="BalloonText"/>
    <w:semiHidden/>
    <w:rsid w:val="00D85D73"/>
    <w:rPr>
      <w:rFonts w:ascii="Tahoma" w:eastAsia="Times New Roman" w:hAnsi="Tahoma" w:cs="Tahoma"/>
      <w:color w:val="000000"/>
      <w:sz w:val="16"/>
      <w:szCs w:val="16"/>
      <w:lang w:eastAsia="en-AU"/>
    </w:rPr>
  </w:style>
  <w:style w:type="character" w:customStyle="1" w:styleId="Bold">
    <w:name w:val="Bold"/>
    <w:basedOn w:val="DefaultParagraphFont"/>
    <w:rsid w:val="00477DED"/>
    <w:rPr>
      <w:b/>
    </w:rPr>
  </w:style>
  <w:style w:type="paragraph" w:customStyle="1" w:styleId="BoxTextBase">
    <w:name w:val="Box Text Base"/>
    <w:basedOn w:val="Normal"/>
    <w:rsid w:val="00477DED"/>
  </w:style>
  <w:style w:type="paragraph" w:customStyle="1" w:styleId="BoxBullet">
    <w:name w:val="Box Bullet"/>
    <w:basedOn w:val="BoxTextBase"/>
    <w:rsid w:val="00477DED"/>
    <w:pPr>
      <w:numPr>
        <w:numId w:val="2"/>
      </w:numPr>
    </w:pPr>
  </w:style>
  <w:style w:type="paragraph" w:customStyle="1" w:styleId="BoxDash">
    <w:name w:val="Box Dash"/>
    <w:basedOn w:val="Normal"/>
    <w:rsid w:val="00477DED"/>
    <w:pPr>
      <w:numPr>
        <w:ilvl w:val="1"/>
        <w:numId w:val="2"/>
      </w:numPr>
    </w:pPr>
  </w:style>
  <w:style w:type="paragraph" w:customStyle="1" w:styleId="BoxDoubleDot">
    <w:name w:val="Box Double Dot"/>
    <w:basedOn w:val="BoxTextBase"/>
    <w:rsid w:val="00477DED"/>
    <w:pPr>
      <w:numPr>
        <w:ilvl w:val="2"/>
        <w:numId w:val="2"/>
      </w:numPr>
    </w:pPr>
  </w:style>
  <w:style w:type="paragraph" w:customStyle="1" w:styleId="BoxHeading">
    <w:name w:val="Box Heading"/>
    <w:basedOn w:val="HeadingBase"/>
    <w:next w:val="BoxText"/>
    <w:rsid w:val="00477DED"/>
    <w:pPr>
      <w:spacing w:before="240" w:after="120"/>
    </w:pPr>
    <w:rPr>
      <w:b/>
      <w:sz w:val="22"/>
    </w:rPr>
  </w:style>
  <w:style w:type="paragraph" w:customStyle="1" w:styleId="BoxText">
    <w:name w:val="Box Text"/>
    <w:basedOn w:val="BoxTextBase"/>
    <w:rsid w:val="00477DED"/>
  </w:style>
  <w:style w:type="paragraph" w:customStyle="1" w:styleId="Bullet">
    <w:name w:val="Bullet"/>
    <w:aliases w:val="b"/>
    <w:basedOn w:val="Normal"/>
    <w:link w:val="BulletChar"/>
    <w:rsid w:val="00FF537F"/>
    <w:pPr>
      <w:numPr>
        <w:numId w:val="4"/>
      </w:numPr>
      <w:tabs>
        <w:tab w:val="left" w:pos="397"/>
      </w:tabs>
      <w:spacing w:after="120" w:line="240" w:lineRule="auto"/>
    </w:pPr>
  </w:style>
  <w:style w:type="paragraph" w:styleId="NormalIndent">
    <w:name w:val="Normal Indent"/>
    <w:basedOn w:val="Normal"/>
    <w:rsid w:val="00477DED"/>
    <w:pPr>
      <w:ind w:left="567"/>
    </w:pPr>
    <w:rPr>
      <w:i/>
    </w:rPr>
  </w:style>
  <w:style w:type="paragraph" w:customStyle="1" w:styleId="ChartandTableFootnoteAlpha">
    <w:name w:val="Chart and Table Footnote Alpha"/>
    <w:rsid w:val="00477DED"/>
    <w:pPr>
      <w:numPr>
        <w:numId w:val="3"/>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77DED"/>
    <w:pPr>
      <w:spacing w:after="20"/>
      <w:jc w:val="center"/>
    </w:pPr>
    <w:rPr>
      <w:b/>
      <w:sz w:val="22"/>
    </w:rPr>
  </w:style>
  <w:style w:type="paragraph" w:customStyle="1" w:styleId="ChartorTableNote">
    <w:name w:val="Chart or Table Note"/>
    <w:next w:val="Normal"/>
    <w:rsid w:val="00477DED"/>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77DED"/>
    <w:pPr>
      <w:spacing w:after="20"/>
      <w:jc w:val="center"/>
    </w:pPr>
  </w:style>
  <w:style w:type="paragraph" w:customStyle="1" w:styleId="Classification">
    <w:name w:val="Classification"/>
    <w:basedOn w:val="HeadingBase"/>
    <w:next w:val="Footer"/>
    <w:rsid w:val="00477DED"/>
    <w:pPr>
      <w:spacing w:after="120"/>
      <w:jc w:val="center"/>
    </w:pPr>
    <w:rPr>
      <w:b/>
      <w:smallCaps/>
    </w:rPr>
  </w:style>
  <w:style w:type="paragraph" w:styleId="Footer">
    <w:name w:val="footer"/>
    <w:basedOn w:val="HeadingBase"/>
    <w:link w:val="FooterChar"/>
    <w:rsid w:val="00477DED"/>
    <w:rPr>
      <w:sz w:val="18"/>
    </w:rPr>
  </w:style>
  <w:style w:type="character" w:customStyle="1" w:styleId="FooterChar">
    <w:name w:val="Footer Char"/>
    <w:link w:val="Footer"/>
    <w:rsid w:val="00477DED"/>
    <w:rPr>
      <w:rFonts w:ascii="Calibri" w:eastAsia="Times New Roman" w:hAnsi="Calibri" w:cs="Times New Roman"/>
      <w:color w:val="342E82"/>
      <w:sz w:val="18"/>
      <w:szCs w:val="20"/>
      <w:lang w:eastAsia="en-AU"/>
    </w:rPr>
  </w:style>
  <w:style w:type="paragraph" w:customStyle="1" w:styleId="ContentsHeading">
    <w:name w:val="Contents Heading"/>
    <w:basedOn w:val="HeadingBase"/>
    <w:next w:val="Normal"/>
    <w:rsid w:val="00FF537F"/>
    <w:pPr>
      <w:spacing w:after="360"/>
    </w:pPr>
    <w:rPr>
      <w:smallCaps/>
      <w:sz w:val="36"/>
      <w:szCs w:val="36"/>
    </w:rPr>
  </w:style>
  <w:style w:type="paragraph" w:customStyle="1" w:styleId="CoverTitleSub">
    <w:name w:val="Cover Title Sub"/>
    <w:basedOn w:val="HeadingBase"/>
    <w:rsid w:val="00477DED"/>
    <w:pPr>
      <w:spacing w:after="360"/>
      <w:jc w:val="right"/>
    </w:pPr>
    <w:rPr>
      <w:sz w:val="36"/>
    </w:rPr>
  </w:style>
  <w:style w:type="paragraph" w:customStyle="1" w:styleId="Covertitlelevel3">
    <w:name w:val="Cover title level 3"/>
    <w:basedOn w:val="CoverTitleSub"/>
    <w:rsid w:val="00D85D73"/>
    <w:pPr>
      <w:spacing w:after="120"/>
    </w:pPr>
    <w:rPr>
      <w:sz w:val="28"/>
      <w:szCs w:val="28"/>
    </w:rPr>
  </w:style>
  <w:style w:type="paragraph" w:customStyle="1" w:styleId="CoverTitleMain">
    <w:name w:val="Cover Title Main"/>
    <w:basedOn w:val="HeadingBase"/>
    <w:next w:val="Normal"/>
    <w:rsid w:val="00477DED"/>
    <w:pPr>
      <w:pBdr>
        <w:bottom w:val="single" w:sz="18" w:space="9" w:color="342E82"/>
      </w:pBdr>
      <w:spacing w:after="480"/>
      <w:jc w:val="right"/>
    </w:pPr>
    <w:rPr>
      <w:b/>
      <w:sz w:val="48"/>
    </w:rPr>
  </w:style>
  <w:style w:type="paragraph" w:customStyle="1" w:styleId="Dash">
    <w:name w:val="Dash"/>
    <w:basedOn w:val="Normal"/>
    <w:link w:val="DashChar"/>
    <w:rsid w:val="00FF537F"/>
    <w:pPr>
      <w:numPr>
        <w:ilvl w:val="1"/>
        <w:numId w:val="4"/>
      </w:numPr>
      <w:tabs>
        <w:tab w:val="clear" w:pos="1134"/>
        <w:tab w:val="num" w:pos="794"/>
      </w:tabs>
      <w:spacing w:after="120" w:line="240" w:lineRule="auto"/>
      <w:ind w:left="794" w:hanging="397"/>
    </w:pPr>
  </w:style>
  <w:style w:type="paragraph" w:customStyle="1" w:styleId="DoubleDot">
    <w:name w:val="Double Dot"/>
    <w:basedOn w:val="Normal"/>
    <w:rsid w:val="00477DED"/>
    <w:pPr>
      <w:numPr>
        <w:ilvl w:val="2"/>
        <w:numId w:val="4"/>
      </w:numPr>
      <w:tabs>
        <w:tab w:val="clear" w:pos="1700"/>
        <w:tab w:val="num" w:pos="360"/>
      </w:tabs>
      <w:ind w:left="1758" w:hanging="397"/>
    </w:pPr>
  </w:style>
  <w:style w:type="paragraph" w:customStyle="1" w:styleId="Figuregraphic">
    <w:name w:val="Figure graphic"/>
    <w:basedOn w:val="Normal"/>
    <w:rsid w:val="00D85D73"/>
    <w:pPr>
      <w:jc w:val="center"/>
    </w:pPr>
  </w:style>
  <w:style w:type="paragraph" w:customStyle="1" w:styleId="FigureHeading">
    <w:name w:val="Figure Heading"/>
    <w:basedOn w:val="HeadingBase"/>
    <w:next w:val="Figuregraphic"/>
    <w:rsid w:val="00D85D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D85D73"/>
    <w:pPr>
      <w:spacing w:after="20"/>
      <w:jc w:val="center"/>
    </w:pPr>
  </w:style>
  <w:style w:type="paragraph" w:customStyle="1" w:styleId="TableMainHeading">
    <w:name w:val="Table Main Heading"/>
    <w:basedOn w:val="HeadingBase"/>
    <w:next w:val="TableGraphic"/>
    <w:rsid w:val="00477DED"/>
    <w:pPr>
      <w:spacing w:after="20"/>
    </w:pPr>
    <w:rPr>
      <w:b/>
      <w:sz w:val="22"/>
    </w:rPr>
  </w:style>
  <w:style w:type="paragraph" w:customStyle="1" w:styleId="FooterCentered">
    <w:name w:val="Footer Centered"/>
    <w:basedOn w:val="Footer"/>
    <w:rsid w:val="00477DED"/>
    <w:pPr>
      <w:jc w:val="center"/>
    </w:pPr>
  </w:style>
  <w:style w:type="paragraph" w:customStyle="1" w:styleId="FooterEven">
    <w:name w:val="Footer Even"/>
    <w:basedOn w:val="Footer"/>
    <w:rsid w:val="00477DED"/>
  </w:style>
  <w:style w:type="paragraph" w:customStyle="1" w:styleId="FooterOdd">
    <w:name w:val="Footer Odd"/>
    <w:basedOn w:val="Footer"/>
    <w:rsid w:val="00477DED"/>
    <w:pPr>
      <w:jc w:val="right"/>
    </w:pPr>
  </w:style>
  <w:style w:type="character" w:styleId="FootnoteReference">
    <w:name w:val="footnote reference"/>
    <w:basedOn w:val="DefaultParagraphFont"/>
    <w:rsid w:val="00477DED"/>
    <w:rPr>
      <w:vertAlign w:val="superscript"/>
    </w:rPr>
  </w:style>
  <w:style w:type="paragraph" w:styleId="FootnoteText">
    <w:name w:val="footnote text"/>
    <w:basedOn w:val="Normal"/>
    <w:link w:val="FootnoteTextChar"/>
    <w:rsid w:val="00477DED"/>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85D73"/>
    <w:rPr>
      <w:rFonts w:eastAsia="Times New Roman" w:cs="Times New Roman"/>
      <w:color w:val="000000"/>
      <w:sz w:val="18"/>
      <w:szCs w:val="20"/>
      <w:lang w:eastAsia="en-AU"/>
    </w:rPr>
  </w:style>
  <w:style w:type="character" w:customStyle="1" w:styleId="FramedFooter">
    <w:name w:val="Framed Footer"/>
    <w:rsid w:val="00477DED"/>
    <w:rPr>
      <w:rFonts w:ascii="Arial" w:hAnsi="Arial"/>
      <w:color w:val="342E82"/>
      <w:sz w:val="18"/>
    </w:rPr>
  </w:style>
  <w:style w:type="character" w:customStyle="1" w:styleId="FramedHeader">
    <w:name w:val="Framed Header"/>
    <w:basedOn w:val="DefaultParagraphFont"/>
    <w:rsid w:val="00477DED"/>
    <w:rPr>
      <w:rFonts w:ascii="Arial" w:hAnsi="Arial"/>
      <w:dstrike w:val="0"/>
      <w:color w:val="342E82"/>
      <w:sz w:val="18"/>
      <w:vertAlign w:val="baseline"/>
    </w:rPr>
  </w:style>
  <w:style w:type="paragraph" w:styleId="Header">
    <w:name w:val="header"/>
    <w:basedOn w:val="HeadingBase"/>
    <w:link w:val="HeaderChar"/>
    <w:rsid w:val="00477DED"/>
    <w:rPr>
      <w:sz w:val="18"/>
    </w:rPr>
  </w:style>
  <w:style w:type="character" w:customStyle="1" w:styleId="HeaderChar">
    <w:name w:val="Header Char"/>
    <w:basedOn w:val="DefaultParagraphFont"/>
    <w:link w:val="Header"/>
    <w:rsid w:val="00D85D73"/>
    <w:rPr>
      <w:rFonts w:ascii="Calibri" w:eastAsia="Times New Roman" w:hAnsi="Calibri" w:cs="Times New Roman"/>
      <w:color w:val="342E82"/>
      <w:sz w:val="18"/>
      <w:szCs w:val="20"/>
      <w:lang w:eastAsia="en-AU"/>
    </w:rPr>
  </w:style>
  <w:style w:type="paragraph" w:customStyle="1" w:styleId="HeaderEven">
    <w:name w:val="Header Even"/>
    <w:basedOn w:val="Header"/>
    <w:rsid w:val="00477DED"/>
  </w:style>
  <w:style w:type="paragraph" w:customStyle="1" w:styleId="HeaderOdd">
    <w:name w:val="Header Odd"/>
    <w:basedOn w:val="Header"/>
    <w:rsid w:val="00477DED"/>
    <w:pPr>
      <w:jc w:val="right"/>
    </w:pPr>
  </w:style>
  <w:style w:type="character" w:customStyle="1" w:styleId="italic">
    <w:name w:val="italic"/>
    <w:basedOn w:val="DefaultParagraphFont"/>
    <w:rsid w:val="00477DED"/>
    <w:rPr>
      <w:i/>
    </w:rPr>
  </w:style>
  <w:style w:type="paragraph" w:styleId="NormalWeb">
    <w:name w:val="Normal (Web)"/>
    <w:basedOn w:val="Normal"/>
    <w:uiPriority w:val="99"/>
    <w:rsid w:val="00D85D73"/>
    <w:pPr>
      <w:spacing w:line="312" w:lineRule="atLeast"/>
    </w:pPr>
    <w:rPr>
      <w:sz w:val="24"/>
      <w:szCs w:val="24"/>
    </w:rPr>
  </w:style>
  <w:style w:type="paragraph" w:customStyle="1" w:styleId="NormalIndentItalics">
    <w:name w:val="Normal Indent Italics"/>
    <w:basedOn w:val="NormalIndent"/>
    <w:rsid w:val="00D85D73"/>
    <w:rPr>
      <w:i w:val="0"/>
    </w:rPr>
  </w:style>
  <w:style w:type="paragraph" w:customStyle="1" w:styleId="OutlineNumbered1">
    <w:name w:val="Outline Numbered 1"/>
    <w:basedOn w:val="Normal"/>
    <w:rsid w:val="00FF537F"/>
    <w:pPr>
      <w:numPr>
        <w:numId w:val="19"/>
      </w:numPr>
      <w:tabs>
        <w:tab w:val="left" w:pos="397"/>
      </w:tabs>
    </w:pPr>
  </w:style>
  <w:style w:type="paragraph" w:customStyle="1" w:styleId="OneLevelNumberedParagraph">
    <w:name w:val="One Level Numbered Paragraph"/>
    <w:basedOn w:val="Normal"/>
    <w:rsid w:val="00477DED"/>
    <w:pPr>
      <w:numPr>
        <w:numId w:val="5"/>
      </w:numPr>
    </w:pPr>
  </w:style>
  <w:style w:type="paragraph" w:customStyle="1" w:styleId="OutlineNumbered2">
    <w:name w:val="Outline Numbered 2"/>
    <w:basedOn w:val="Normal"/>
    <w:rsid w:val="00477DED"/>
    <w:pPr>
      <w:numPr>
        <w:ilvl w:val="1"/>
        <w:numId w:val="19"/>
      </w:numPr>
    </w:pPr>
  </w:style>
  <w:style w:type="paragraph" w:customStyle="1" w:styleId="OutlineNumbered3">
    <w:name w:val="Outline Numbered 3"/>
    <w:basedOn w:val="Normal"/>
    <w:rsid w:val="00477DED"/>
    <w:pPr>
      <w:numPr>
        <w:ilvl w:val="2"/>
        <w:numId w:val="19"/>
      </w:numPr>
    </w:pPr>
  </w:style>
  <w:style w:type="character" w:styleId="PageNumber">
    <w:name w:val="page number"/>
    <w:basedOn w:val="DefaultParagraphFont"/>
    <w:rsid w:val="00D85D73"/>
    <w:rPr>
      <w:rFonts w:ascii="Arial" w:hAnsi="Arial"/>
      <w:sz w:val="18"/>
    </w:rPr>
  </w:style>
  <w:style w:type="paragraph" w:customStyle="1" w:styleId="Principle">
    <w:name w:val="Principle"/>
    <w:basedOn w:val="Normal"/>
    <w:rsid w:val="00D85D73"/>
    <w:pPr>
      <w:keepNext/>
      <w:spacing w:after="60"/>
      <w:ind w:left="573"/>
    </w:pPr>
    <w:rPr>
      <w:rFonts w:ascii="Book Antiqua" w:hAnsi="Book Antiqua"/>
      <w:i/>
      <w:sz w:val="20"/>
    </w:rPr>
  </w:style>
  <w:style w:type="paragraph" w:customStyle="1" w:styleId="RecommendationTextBase">
    <w:name w:val="Recommendation Text Base"/>
    <w:basedOn w:val="Normal"/>
    <w:rsid w:val="00477DED"/>
    <w:pPr>
      <w:spacing w:before="120" w:after="120"/>
    </w:pPr>
  </w:style>
  <w:style w:type="paragraph" w:customStyle="1" w:styleId="RecommendationBullet">
    <w:name w:val="Recommendation Bullet"/>
    <w:basedOn w:val="RecommendationTextBase"/>
    <w:rsid w:val="00477DED"/>
    <w:pPr>
      <w:numPr>
        <w:numId w:val="6"/>
      </w:numPr>
    </w:pPr>
  </w:style>
  <w:style w:type="paragraph" w:customStyle="1" w:styleId="RecommendationDash">
    <w:name w:val="Recommendation Dash"/>
    <w:basedOn w:val="RecommendationTextBase"/>
    <w:rsid w:val="00477DED"/>
    <w:pPr>
      <w:numPr>
        <w:ilvl w:val="1"/>
        <w:numId w:val="6"/>
      </w:numPr>
    </w:pPr>
  </w:style>
  <w:style w:type="paragraph" w:customStyle="1" w:styleId="RecommendationDoubleDot">
    <w:name w:val="Recommendation Double Dot"/>
    <w:basedOn w:val="RecommendationTextBase"/>
    <w:rsid w:val="00477DED"/>
    <w:pPr>
      <w:numPr>
        <w:ilvl w:val="2"/>
        <w:numId w:val="6"/>
      </w:numPr>
    </w:pPr>
  </w:style>
  <w:style w:type="paragraph" w:customStyle="1" w:styleId="RecommendationHeading">
    <w:name w:val="Recommendation Heading"/>
    <w:basedOn w:val="HeadingBase"/>
    <w:next w:val="RecommendationText"/>
    <w:rsid w:val="00477DED"/>
    <w:pPr>
      <w:spacing w:before="120" w:after="240"/>
    </w:pPr>
    <w:rPr>
      <w:b/>
      <w:sz w:val="22"/>
    </w:rPr>
  </w:style>
  <w:style w:type="paragraph" w:customStyle="1" w:styleId="RecommendationText">
    <w:name w:val="Recommendation Text"/>
    <w:basedOn w:val="RecommendationTextBase"/>
    <w:rsid w:val="00477DED"/>
  </w:style>
  <w:style w:type="paragraph" w:customStyle="1" w:styleId="Romannumeral">
    <w:name w:val="Roman numeral"/>
    <w:basedOn w:val="Normal"/>
    <w:rsid w:val="00477DED"/>
    <w:pPr>
      <w:numPr>
        <w:numId w:val="7"/>
      </w:numPr>
    </w:pPr>
  </w:style>
  <w:style w:type="paragraph" w:customStyle="1" w:styleId="SingleParagraph">
    <w:name w:val="Single Paragraph"/>
    <w:basedOn w:val="Normal"/>
    <w:link w:val="SingleParagraphChar"/>
    <w:rsid w:val="00477DED"/>
    <w:pPr>
      <w:spacing w:after="0"/>
    </w:pPr>
  </w:style>
  <w:style w:type="paragraph" w:customStyle="1" w:styleId="SingleParagraphIndent">
    <w:name w:val="Single Paragraph Indent"/>
    <w:basedOn w:val="SingleParagraph"/>
    <w:rsid w:val="00D85D73"/>
    <w:pPr>
      <w:ind w:left="567"/>
    </w:pPr>
  </w:style>
  <w:style w:type="paragraph" w:customStyle="1" w:styleId="TableSecondHeading">
    <w:name w:val="Table Second Heading"/>
    <w:basedOn w:val="HeadingBase"/>
    <w:next w:val="TableGraphic"/>
    <w:rsid w:val="00477DED"/>
    <w:pPr>
      <w:spacing w:after="20"/>
    </w:pPr>
  </w:style>
  <w:style w:type="paragraph" w:customStyle="1" w:styleId="TableTextBase">
    <w:name w:val="Table Text Base"/>
    <w:rsid w:val="00477DED"/>
    <w:pPr>
      <w:spacing w:before="40" w:after="40" w:line="240" w:lineRule="auto"/>
    </w:pPr>
    <w:rPr>
      <w:rFonts w:eastAsia="Times New Roman" w:cs="Times New Roman"/>
      <w:color w:val="000000"/>
      <w:sz w:val="16"/>
      <w:szCs w:val="20"/>
      <w:lang w:eastAsia="en-AU"/>
    </w:rPr>
  </w:style>
  <w:style w:type="paragraph" w:customStyle="1" w:styleId="TableColumnHeadingCentred">
    <w:name w:val="Table Column Heading Centred"/>
    <w:basedOn w:val="TableColumnHeadingBase"/>
    <w:rsid w:val="00477DED"/>
    <w:pPr>
      <w:jc w:val="center"/>
    </w:pPr>
  </w:style>
  <w:style w:type="paragraph" w:customStyle="1" w:styleId="TableColumnHeadingBase">
    <w:name w:val="Table Column Heading Base"/>
    <w:basedOn w:val="Normal"/>
    <w:rsid w:val="00477DED"/>
    <w:pPr>
      <w:spacing w:before="40" w:after="40" w:line="240" w:lineRule="auto"/>
    </w:pPr>
    <w:rPr>
      <w:b/>
      <w:color w:val="342E82"/>
      <w:sz w:val="16"/>
    </w:rPr>
  </w:style>
  <w:style w:type="paragraph" w:customStyle="1" w:styleId="TableColumnHeadingLeft">
    <w:name w:val="Table Column Heading Left"/>
    <w:basedOn w:val="TableColumnHeadingBase"/>
    <w:rsid w:val="00477DED"/>
  </w:style>
  <w:style w:type="paragraph" w:customStyle="1" w:styleId="TableColumnHeadingRight">
    <w:name w:val="Table Column Heading Right"/>
    <w:basedOn w:val="TableColumnHeadingBase"/>
    <w:rsid w:val="00477DED"/>
    <w:pPr>
      <w:jc w:val="right"/>
    </w:pPr>
  </w:style>
  <w:style w:type="table" w:styleId="TableGrid">
    <w:name w:val="Table Grid"/>
    <w:basedOn w:val="TableNormal"/>
    <w:rsid w:val="00477DE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477DED"/>
    <w:pPr>
      <w:pageBreakBefore/>
      <w:spacing w:after="20"/>
    </w:pPr>
    <w:rPr>
      <w:b/>
      <w:sz w:val="22"/>
    </w:rPr>
  </w:style>
  <w:style w:type="paragraph" w:customStyle="1" w:styleId="TableTextCentered">
    <w:name w:val="Table Text Centered"/>
    <w:basedOn w:val="TableTextBase"/>
    <w:rsid w:val="00477DED"/>
    <w:pPr>
      <w:jc w:val="center"/>
    </w:pPr>
  </w:style>
  <w:style w:type="paragraph" w:customStyle="1" w:styleId="TableTextIndented">
    <w:name w:val="Table Text Indented"/>
    <w:basedOn w:val="TableTextBase"/>
    <w:rsid w:val="00477DED"/>
    <w:pPr>
      <w:ind w:left="284"/>
    </w:pPr>
  </w:style>
  <w:style w:type="paragraph" w:customStyle="1" w:styleId="TableTextLeft">
    <w:name w:val="Table Text Left"/>
    <w:basedOn w:val="TableTextBase"/>
    <w:rsid w:val="00477DED"/>
  </w:style>
  <w:style w:type="paragraph" w:customStyle="1" w:styleId="TableTextRight">
    <w:name w:val="Table Text Right"/>
    <w:basedOn w:val="TableTextBase"/>
    <w:rsid w:val="00477DED"/>
    <w:pPr>
      <w:jc w:val="right"/>
    </w:pPr>
  </w:style>
  <w:style w:type="paragraph" w:styleId="TOC1">
    <w:name w:val="toc 1"/>
    <w:basedOn w:val="HeadingBase"/>
    <w:next w:val="Normal"/>
    <w:uiPriority w:val="39"/>
    <w:rsid w:val="00477DED"/>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rsid w:val="00656397"/>
    <w:pPr>
      <w:tabs>
        <w:tab w:val="right" w:leader="dot" w:pos="9072"/>
      </w:tabs>
      <w:spacing w:before="40" w:after="20"/>
      <w:ind w:left="284" w:right="851"/>
    </w:pPr>
  </w:style>
  <w:style w:type="paragraph" w:styleId="TOC3">
    <w:name w:val="toc 3"/>
    <w:basedOn w:val="Normal"/>
    <w:next w:val="Normal"/>
    <w:rsid w:val="00477DED"/>
    <w:pPr>
      <w:tabs>
        <w:tab w:val="right" w:leader="dot" w:pos="9072"/>
      </w:tabs>
      <w:spacing w:before="20" w:after="0" w:line="240" w:lineRule="auto"/>
      <w:ind w:left="284" w:right="851"/>
    </w:pPr>
  </w:style>
  <w:style w:type="paragraph" w:styleId="TOC4">
    <w:name w:val="toc 4"/>
    <w:basedOn w:val="Normal"/>
    <w:next w:val="Normal"/>
    <w:rsid w:val="00477DED"/>
    <w:pPr>
      <w:tabs>
        <w:tab w:val="right" w:leader="dot" w:pos="9072"/>
      </w:tabs>
      <w:spacing w:after="0" w:line="240" w:lineRule="auto"/>
      <w:ind w:left="284" w:right="851"/>
    </w:pPr>
  </w:style>
  <w:style w:type="paragraph" w:styleId="BodyTextIndent2">
    <w:name w:val="Body Text Indent 2"/>
    <w:basedOn w:val="Normal"/>
    <w:link w:val="BodyTextIndent2Char"/>
    <w:rsid w:val="00D85D73"/>
    <w:pPr>
      <w:spacing w:after="120" w:line="480" w:lineRule="auto"/>
      <w:ind w:left="283"/>
    </w:pPr>
  </w:style>
  <w:style w:type="character" w:customStyle="1" w:styleId="BodyTextIndent2Char">
    <w:name w:val="Body Text Indent 2 Char"/>
    <w:basedOn w:val="DefaultParagraphFont"/>
    <w:link w:val="BodyTextIndent2"/>
    <w:rsid w:val="00D85D73"/>
    <w:rPr>
      <w:rFonts w:eastAsia="Times New Roman" w:cs="Times New Roman"/>
      <w:szCs w:val="20"/>
      <w:lang w:eastAsia="en-AU"/>
    </w:rPr>
  </w:style>
  <w:style w:type="character" w:customStyle="1" w:styleId="BoldandItalic">
    <w:name w:val="Bold and Italic"/>
    <w:basedOn w:val="DefaultParagraphFont"/>
    <w:rsid w:val="00477DED"/>
    <w:rPr>
      <w:rFonts w:ascii="Calibri" w:hAnsi="Calibri"/>
      <w:b/>
      <w:i/>
    </w:rPr>
  </w:style>
  <w:style w:type="paragraph" w:styleId="Caption">
    <w:name w:val="caption"/>
    <w:basedOn w:val="Normal"/>
    <w:next w:val="Normal"/>
    <w:qFormat/>
    <w:rsid w:val="00477DED"/>
    <w:rPr>
      <w:b/>
      <w:bCs/>
    </w:rPr>
  </w:style>
  <w:style w:type="character" w:styleId="CommentReference">
    <w:name w:val="annotation reference"/>
    <w:basedOn w:val="DefaultParagraphFont"/>
    <w:semiHidden/>
    <w:rsid w:val="00477DED"/>
    <w:rPr>
      <w:sz w:val="16"/>
      <w:szCs w:val="16"/>
    </w:rPr>
  </w:style>
  <w:style w:type="paragraph" w:styleId="CommentText">
    <w:name w:val="annotation text"/>
    <w:basedOn w:val="Normal"/>
    <w:link w:val="CommentTextChar"/>
    <w:semiHidden/>
    <w:rsid w:val="00477DED"/>
  </w:style>
  <w:style w:type="character" w:customStyle="1" w:styleId="CommentTextChar">
    <w:name w:val="Comment Text Char"/>
    <w:basedOn w:val="DefaultParagraphFont"/>
    <w:link w:val="CommentText"/>
    <w:semiHidden/>
    <w:rsid w:val="00D85D73"/>
    <w:rPr>
      <w:rFonts w:eastAsia="Times New Roman" w:cs="Times New Roman"/>
      <w:color w:val="000000"/>
      <w:szCs w:val="20"/>
      <w:lang w:eastAsia="en-AU"/>
    </w:rPr>
  </w:style>
  <w:style w:type="paragraph" w:styleId="CommentSubject">
    <w:name w:val="annotation subject"/>
    <w:basedOn w:val="CommentText"/>
    <w:next w:val="CommentText"/>
    <w:link w:val="CommentSubjectChar"/>
    <w:semiHidden/>
    <w:rsid w:val="00477DED"/>
    <w:rPr>
      <w:b/>
      <w:bCs/>
    </w:rPr>
  </w:style>
  <w:style w:type="character" w:customStyle="1" w:styleId="CommentSubjectChar">
    <w:name w:val="Comment Subject Char"/>
    <w:basedOn w:val="CommentTextChar"/>
    <w:link w:val="CommentSubject"/>
    <w:semiHidden/>
    <w:rsid w:val="00D85D73"/>
    <w:rPr>
      <w:rFonts w:eastAsia="Times New Roman" w:cs="Times New Roman"/>
      <w:b/>
      <w:bCs/>
      <w:color w:val="000000"/>
      <w:szCs w:val="20"/>
      <w:lang w:eastAsia="en-AU"/>
    </w:rPr>
  </w:style>
  <w:style w:type="paragraph" w:styleId="DocumentMap">
    <w:name w:val="Document Map"/>
    <w:basedOn w:val="Normal"/>
    <w:link w:val="DocumentMapChar"/>
    <w:semiHidden/>
    <w:rsid w:val="00477DED"/>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5D73"/>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477DED"/>
    <w:rPr>
      <w:vertAlign w:val="superscript"/>
    </w:rPr>
  </w:style>
  <w:style w:type="paragraph" w:styleId="EndnoteText">
    <w:name w:val="endnote text"/>
    <w:basedOn w:val="Normal"/>
    <w:link w:val="EndnoteTextChar"/>
    <w:semiHidden/>
    <w:rsid w:val="00477DED"/>
  </w:style>
  <w:style w:type="character" w:customStyle="1" w:styleId="EndnoteTextChar">
    <w:name w:val="Endnote Text Char"/>
    <w:basedOn w:val="DefaultParagraphFont"/>
    <w:link w:val="EndnoteText"/>
    <w:semiHidden/>
    <w:rsid w:val="00D85D73"/>
    <w:rPr>
      <w:rFonts w:eastAsia="Times New Roman" w:cs="Times New Roman"/>
      <w:color w:val="000000"/>
      <w:szCs w:val="20"/>
      <w:lang w:eastAsia="en-AU"/>
    </w:rPr>
  </w:style>
  <w:style w:type="character" w:styleId="FollowedHyperlink">
    <w:name w:val="FollowedHyperlink"/>
    <w:basedOn w:val="DefaultParagraphFont"/>
    <w:rsid w:val="00477DED"/>
    <w:rPr>
      <w:color w:val="auto"/>
      <w:u w:val="none"/>
    </w:rPr>
  </w:style>
  <w:style w:type="paragraph" w:styleId="Index1">
    <w:name w:val="index 1"/>
    <w:basedOn w:val="Normal"/>
    <w:next w:val="Normal"/>
    <w:autoRedefine/>
    <w:semiHidden/>
    <w:rsid w:val="00477DED"/>
    <w:pPr>
      <w:ind w:left="200" w:hanging="200"/>
    </w:pPr>
  </w:style>
  <w:style w:type="paragraph" w:styleId="Index2">
    <w:name w:val="index 2"/>
    <w:basedOn w:val="Normal"/>
    <w:next w:val="Normal"/>
    <w:autoRedefine/>
    <w:semiHidden/>
    <w:rsid w:val="00477DED"/>
    <w:pPr>
      <w:ind w:left="400" w:hanging="200"/>
    </w:pPr>
  </w:style>
  <w:style w:type="paragraph" w:styleId="Index3">
    <w:name w:val="index 3"/>
    <w:basedOn w:val="Normal"/>
    <w:next w:val="Normal"/>
    <w:autoRedefine/>
    <w:semiHidden/>
    <w:rsid w:val="00477DED"/>
    <w:pPr>
      <w:ind w:left="600" w:hanging="200"/>
    </w:pPr>
  </w:style>
  <w:style w:type="paragraph" w:styleId="Index4">
    <w:name w:val="index 4"/>
    <w:basedOn w:val="Normal"/>
    <w:next w:val="Normal"/>
    <w:autoRedefine/>
    <w:semiHidden/>
    <w:rsid w:val="00477DED"/>
    <w:pPr>
      <w:ind w:left="800" w:hanging="200"/>
    </w:pPr>
  </w:style>
  <w:style w:type="paragraph" w:styleId="Index5">
    <w:name w:val="index 5"/>
    <w:basedOn w:val="Normal"/>
    <w:next w:val="Normal"/>
    <w:autoRedefine/>
    <w:semiHidden/>
    <w:rsid w:val="00477DED"/>
    <w:pPr>
      <w:ind w:left="1000" w:hanging="200"/>
    </w:pPr>
  </w:style>
  <w:style w:type="paragraph" w:styleId="Index6">
    <w:name w:val="index 6"/>
    <w:basedOn w:val="Normal"/>
    <w:next w:val="Normal"/>
    <w:autoRedefine/>
    <w:semiHidden/>
    <w:rsid w:val="00477DED"/>
    <w:pPr>
      <w:ind w:left="1200" w:hanging="200"/>
    </w:pPr>
  </w:style>
  <w:style w:type="paragraph" w:styleId="Index7">
    <w:name w:val="index 7"/>
    <w:basedOn w:val="Normal"/>
    <w:next w:val="Normal"/>
    <w:autoRedefine/>
    <w:semiHidden/>
    <w:rsid w:val="00477DED"/>
    <w:pPr>
      <w:ind w:left="1400" w:hanging="200"/>
    </w:pPr>
  </w:style>
  <w:style w:type="paragraph" w:styleId="Index8">
    <w:name w:val="index 8"/>
    <w:basedOn w:val="Normal"/>
    <w:next w:val="Normal"/>
    <w:autoRedefine/>
    <w:semiHidden/>
    <w:rsid w:val="00477DED"/>
    <w:pPr>
      <w:ind w:left="1600" w:hanging="200"/>
    </w:pPr>
  </w:style>
  <w:style w:type="paragraph" w:styleId="Index9">
    <w:name w:val="index 9"/>
    <w:basedOn w:val="Normal"/>
    <w:next w:val="Normal"/>
    <w:autoRedefine/>
    <w:semiHidden/>
    <w:rsid w:val="00477DED"/>
    <w:pPr>
      <w:ind w:left="1800" w:hanging="200"/>
    </w:pPr>
  </w:style>
  <w:style w:type="paragraph" w:styleId="IndexHeading">
    <w:name w:val="index heading"/>
    <w:basedOn w:val="Normal"/>
    <w:next w:val="Index1"/>
    <w:semiHidden/>
    <w:rsid w:val="00477DED"/>
    <w:rPr>
      <w:rFonts w:cs="Arial"/>
      <w:b/>
      <w:bCs/>
    </w:rPr>
  </w:style>
  <w:style w:type="paragraph" w:styleId="MacroText">
    <w:name w:val="macro"/>
    <w:link w:val="MacroTextChar"/>
    <w:semiHidden/>
    <w:rsid w:val="00477DE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85D73"/>
    <w:rPr>
      <w:rFonts w:ascii="Courier New" w:eastAsia="Times New Roman" w:hAnsi="Courier New" w:cs="Courier New"/>
      <w:color w:val="000000"/>
      <w:sz w:val="20"/>
      <w:szCs w:val="20"/>
      <w:lang w:eastAsia="en-AU"/>
    </w:rPr>
  </w:style>
  <w:style w:type="numbering" w:customStyle="1" w:styleId="OutlineList">
    <w:name w:val="OutlineList"/>
    <w:uiPriority w:val="99"/>
    <w:rsid w:val="00D85D73"/>
    <w:pPr>
      <w:numPr>
        <w:numId w:val="11"/>
      </w:numPr>
    </w:pPr>
  </w:style>
  <w:style w:type="paragraph" w:customStyle="1" w:styleId="PictureCentred">
    <w:name w:val="Picture Centred"/>
    <w:basedOn w:val="Normal"/>
    <w:rsid w:val="00D85D73"/>
    <w:pPr>
      <w:spacing w:before="120" w:line="240" w:lineRule="atLeast"/>
      <w:jc w:val="center"/>
    </w:pPr>
  </w:style>
  <w:style w:type="paragraph" w:customStyle="1" w:styleId="PictureLeft">
    <w:name w:val="Picture Left"/>
    <w:basedOn w:val="PictureCentred"/>
    <w:rsid w:val="00D85D73"/>
    <w:pPr>
      <w:jc w:val="left"/>
    </w:pPr>
  </w:style>
  <w:style w:type="paragraph" w:customStyle="1" w:styleId="PictureIndent">
    <w:name w:val="Picture Indent"/>
    <w:basedOn w:val="PictureLeft"/>
    <w:rsid w:val="00D85D73"/>
    <w:pPr>
      <w:ind w:left="284"/>
    </w:pPr>
  </w:style>
  <w:style w:type="paragraph" w:styleId="TableofAuthorities">
    <w:name w:val="table of authorities"/>
    <w:basedOn w:val="Normal"/>
    <w:next w:val="Normal"/>
    <w:rsid w:val="00477DED"/>
    <w:pPr>
      <w:ind w:left="200" w:hanging="200"/>
    </w:pPr>
  </w:style>
  <w:style w:type="paragraph" w:styleId="TableofFigures">
    <w:name w:val="table of figures"/>
    <w:basedOn w:val="Normal"/>
    <w:next w:val="Normal"/>
    <w:rsid w:val="00477DED"/>
  </w:style>
  <w:style w:type="paragraph" w:styleId="TOAHeading">
    <w:name w:val="toa heading"/>
    <w:basedOn w:val="Normal"/>
    <w:next w:val="Normal"/>
    <w:semiHidden/>
    <w:rsid w:val="00477DED"/>
    <w:pPr>
      <w:spacing w:before="120"/>
    </w:pPr>
    <w:rPr>
      <w:rFonts w:cs="Arial"/>
      <w:b/>
      <w:bCs/>
      <w:sz w:val="24"/>
      <w:szCs w:val="24"/>
    </w:rPr>
  </w:style>
  <w:style w:type="paragraph" w:styleId="TOC5">
    <w:name w:val="toc 5"/>
    <w:basedOn w:val="Normal"/>
    <w:next w:val="Normal"/>
    <w:autoRedefine/>
    <w:semiHidden/>
    <w:rsid w:val="00477DED"/>
    <w:pPr>
      <w:ind w:left="800"/>
    </w:pPr>
  </w:style>
  <w:style w:type="paragraph" w:styleId="TOC6">
    <w:name w:val="toc 6"/>
    <w:basedOn w:val="Normal"/>
    <w:next w:val="Normal"/>
    <w:autoRedefine/>
    <w:semiHidden/>
    <w:rsid w:val="00477DED"/>
    <w:pPr>
      <w:ind w:left="1000"/>
    </w:pPr>
  </w:style>
  <w:style w:type="paragraph" w:styleId="TOC7">
    <w:name w:val="toc 7"/>
    <w:basedOn w:val="Normal"/>
    <w:next w:val="Normal"/>
    <w:autoRedefine/>
    <w:semiHidden/>
    <w:rsid w:val="00477DED"/>
    <w:pPr>
      <w:ind w:left="1200"/>
    </w:pPr>
  </w:style>
  <w:style w:type="paragraph" w:styleId="TOC8">
    <w:name w:val="toc 8"/>
    <w:basedOn w:val="Normal"/>
    <w:next w:val="Normal"/>
    <w:autoRedefine/>
    <w:semiHidden/>
    <w:rsid w:val="00477DED"/>
    <w:pPr>
      <w:ind w:left="1400"/>
    </w:pPr>
  </w:style>
  <w:style w:type="paragraph" w:styleId="TOC9">
    <w:name w:val="toc 9"/>
    <w:basedOn w:val="Normal"/>
    <w:next w:val="Normal"/>
    <w:autoRedefine/>
    <w:semiHidden/>
    <w:rsid w:val="00477DED"/>
    <w:pPr>
      <w:ind w:left="1600"/>
    </w:pPr>
  </w:style>
  <w:style w:type="numbering" w:customStyle="1" w:styleId="BulletedList">
    <w:name w:val="Bulleted List"/>
    <w:uiPriority w:val="99"/>
    <w:rsid w:val="00D85D73"/>
    <w:pPr>
      <w:numPr>
        <w:numId w:val="17"/>
      </w:numPr>
    </w:pPr>
  </w:style>
  <w:style w:type="numbering" w:customStyle="1" w:styleId="BoxBulletedList">
    <w:name w:val="Box Bulleted List"/>
    <w:uiPriority w:val="99"/>
    <w:rsid w:val="00D85D73"/>
    <w:pPr>
      <w:numPr>
        <w:numId w:val="8"/>
      </w:numPr>
    </w:pPr>
  </w:style>
  <w:style w:type="numbering" w:customStyle="1" w:styleId="AlphaParagraphList">
    <w:name w:val="Alpha Paragraph List"/>
    <w:uiPriority w:val="99"/>
    <w:rsid w:val="00D85D73"/>
    <w:pPr>
      <w:numPr>
        <w:numId w:val="9"/>
      </w:numPr>
    </w:pPr>
  </w:style>
  <w:style w:type="numbering" w:customStyle="1" w:styleId="OneLevelList">
    <w:name w:val="OneLevelList"/>
    <w:uiPriority w:val="99"/>
    <w:rsid w:val="00D85D73"/>
    <w:pPr>
      <w:numPr>
        <w:numId w:val="10"/>
      </w:numPr>
    </w:pPr>
  </w:style>
  <w:style w:type="numbering" w:customStyle="1" w:styleId="RecommendationBulletList">
    <w:name w:val="RecommendationBulletList"/>
    <w:uiPriority w:val="99"/>
    <w:rsid w:val="00D85D73"/>
    <w:pPr>
      <w:numPr>
        <w:numId w:val="12"/>
      </w:numPr>
    </w:pPr>
  </w:style>
  <w:style w:type="numbering" w:customStyle="1" w:styleId="RomanNumeralList">
    <w:name w:val="RomanNumeralList"/>
    <w:uiPriority w:val="99"/>
    <w:rsid w:val="00D85D73"/>
    <w:pPr>
      <w:numPr>
        <w:numId w:val="13"/>
      </w:numPr>
    </w:pPr>
  </w:style>
  <w:style w:type="numbering" w:customStyle="1" w:styleId="ChartandTableFootnoteAlphaList">
    <w:name w:val="ChartandTableFootnoteAlphaList"/>
    <w:uiPriority w:val="99"/>
    <w:rsid w:val="00D85D73"/>
    <w:pPr>
      <w:numPr>
        <w:numId w:val="14"/>
      </w:numPr>
    </w:pPr>
  </w:style>
  <w:style w:type="paragraph" w:customStyle="1" w:styleId="TableTextBullet">
    <w:name w:val="Table Text Bullet"/>
    <w:basedOn w:val="Normal"/>
    <w:rsid w:val="00D85D73"/>
    <w:pPr>
      <w:numPr>
        <w:numId w:val="15"/>
      </w:numPr>
      <w:spacing w:line="260" w:lineRule="exact"/>
    </w:pPr>
  </w:style>
  <w:style w:type="numbering" w:customStyle="1" w:styleId="TableTextBulletList">
    <w:name w:val="Table Text Bullet List"/>
    <w:uiPriority w:val="99"/>
    <w:rsid w:val="00D85D73"/>
    <w:pPr>
      <w:numPr>
        <w:numId w:val="15"/>
      </w:numPr>
    </w:pPr>
  </w:style>
  <w:style w:type="paragraph" w:customStyle="1" w:styleId="SecurityClassificationHeader">
    <w:name w:val="Security Classification Header"/>
    <w:link w:val="SecurityClassificationHeaderChar"/>
    <w:rsid w:val="00D85D73"/>
    <w:pPr>
      <w:spacing w:after="240"/>
      <w:jc w:val="center"/>
    </w:pPr>
    <w:rPr>
      <w:rFonts w:ascii="Times New Roman" w:eastAsia="Times New Roman" w:hAnsi="Times New Roman"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D85D73"/>
    <w:rPr>
      <w:rFonts w:ascii="Times New Roman" w:eastAsia="Times New Roman" w:hAnsi="Times New Roman" w:cs="Times New Roman"/>
      <w:b/>
      <w:caps/>
      <w:color w:val="4F81BD" w:themeColor="accent1"/>
      <w:sz w:val="24"/>
      <w:szCs w:val="20"/>
      <w:lang w:eastAsia="en-AU"/>
    </w:rPr>
  </w:style>
  <w:style w:type="paragraph" w:customStyle="1" w:styleId="SecurityClassificationFooter">
    <w:name w:val="Security Classification Footer"/>
    <w:link w:val="SecurityClassificationFooterChar"/>
    <w:rsid w:val="00477DED"/>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477DED"/>
    <w:rPr>
      <w:rFonts w:ascii="Times New Roman" w:eastAsia="Times New Roman" w:hAnsi="Times New Roman" w:cs="Times New Roman"/>
      <w:b/>
      <w:caps/>
      <w:color w:val="342E82"/>
      <w:sz w:val="24"/>
      <w:szCs w:val="20"/>
      <w:lang w:eastAsia="en-AU"/>
    </w:rPr>
  </w:style>
  <w:style w:type="character" w:customStyle="1" w:styleId="Italic0">
    <w:name w:val="Italic"/>
    <w:basedOn w:val="DefaultParagraphFont"/>
    <w:rsid w:val="00D85D73"/>
    <w:rPr>
      <w:i/>
    </w:rPr>
  </w:style>
  <w:style w:type="character" w:customStyle="1" w:styleId="BulletChar">
    <w:name w:val="Bullet Char"/>
    <w:aliases w:val="b Char"/>
    <w:basedOn w:val="DefaultParagraphFont"/>
    <w:link w:val="Bullet"/>
    <w:rsid w:val="00FF537F"/>
    <w:rPr>
      <w:rFonts w:eastAsia="Times New Roman" w:cs="Times New Roman"/>
      <w:color w:val="000000"/>
      <w:szCs w:val="20"/>
      <w:lang w:eastAsia="en-AU"/>
    </w:rPr>
  </w:style>
  <w:style w:type="paragraph" w:customStyle="1" w:styleId="Pa15">
    <w:name w:val="Pa15"/>
    <w:basedOn w:val="Normal"/>
    <w:next w:val="Normal"/>
    <w:uiPriority w:val="99"/>
    <w:rsid w:val="00D85D73"/>
    <w:pPr>
      <w:autoSpaceDE w:val="0"/>
      <w:autoSpaceDN w:val="0"/>
      <w:adjustRightInd w:val="0"/>
      <w:spacing w:line="201" w:lineRule="atLeast"/>
    </w:pPr>
    <w:rPr>
      <w:rFonts w:ascii="Georgia" w:hAnsi="Georgia"/>
      <w:sz w:val="24"/>
      <w:szCs w:val="24"/>
    </w:rPr>
  </w:style>
  <w:style w:type="character" w:styleId="Emphasis">
    <w:name w:val="Emphasis"/>
    <w:basedOn w:val="DefaultParagraphFont"/>
    <w:uiPriority w:val="20"/>
    <w:qFormat/>
    <w:rsid w:val="00D85D73"/>
    <w:rPr>
      <w:i/>
      <w:iCs/>
    </w:rPr>
  </w:style>
  <w:style w:type="paragraph" w:styleId="ListParagraph">
    <w:name w:val="List Paragraph"/>
    <w:basedOn w:val="Normal"/>
    <w:uiPriority w:val="99"/>
    <w:qFormat/>
    <w:rsid w:val="00D85D73"/>
    <w:pPr>
      <w:spacing w:after="200" w:line="276" w:lineRule="auto"/>
      <w:ind w:left="720"/>
      <w:contextualSpacing/>
    </w:pPr>
    <w:rPr>
      <w:rFonts w:cstheme="minorBidi"/>
      <w:lang w:val="fr-FR"/>
    </w:rPr>
  </w:style>
  <w:style w:type="paragraph" w:styleId="TOCHeading">
    <w:name w:val="TOC Heading"/>
    <w:basedOn w:val="Heading1"/>
    <w:next w:val="Normal"/>
    <w:uiPriority w:val="39"/>
    <w:semiHidden/>
    <w:unhideWhenUsed/>
    <w:qFormat/>
    <w:rsid w:val="00D85D73"/>
    <w:pPr>
      <w:keepLines/>
      <w:spacing w:before="480" w:after="0" w:line="276" w:lineRule="auto"/>
      <w:outlineLvl w:val="9"/>
    </w:pPr>
    <w:rPr>
      <w:rFonts w:eastAsiaTheme="majorEastAsia" w:cstheme="majorBidi"/>
      <w:b w:val="0"/>
      <w:color w:val="365F91" w:themeColor="accent1" w:themeShade="BF"/>
      <w:kern w:val="0"/>
      <w:sz w:val="28"/>
      <w:szCs w:val="28"/>
      <w:lang w:val="en-US" w:eastAsia="ja-JP"/>
    </w:rPr>
  </w:style>
  <w:style w:type="paragraph" w:customStyle="1" w:styleId="Pa2">
    <w:name w:val="Pa2"/>
    <w:basedOn w:val="Default"/>
    <w:next w:val="Default"/>
    <w:uiPriority w:val="99"/>
    <w:rsid w:val="00D85D73"/>
    <w:pPr>
      <w:spacing w:line="201" w:lineRule="atLeast"/>
    </w:pPr>
    <w:rPr>
      <w:rFonts w:ascii="Calibri" w:hAnsi="Calibri" w:cs="Times New Roman"/>
      <w:color w:val="auto"/>
    </w:rPr>
  </w:style>
  <w:style w:type="paragraph" w:styleId="Revision">
    <w:name w:val="Revision"/>
    <w:hidden/>
    <w:uiPriority w:val="99"/>
    <w:semiHidden/>
    <w:rsid w:val="00D85D73"/>
    <w:pPr>
      <w:spacing w:after="0" w:line="240" w:lineRule="auto"/>
    </w:pPr>
    <w:rPr>
      <w:rFonts w:eastAsia="Times New Roman" w:cs="Times New Roman"/>
      <w:szCs w:val="20"/>
      <w:lang w:eastAsia="en-AU"/>
    </w:rPr>
  </w:style>
  <w:style w:type="character" w:customStyle="1" w:styleId="DashChar">
    <w:name w:val="Dash Char"/>
    <w:basedOn w:val="DefaultParagraphFont"/>
    <w:link w:val="Dash"/>
    <w:locked/>
    <w:rsid w:val="00FF537F"/>
    <w:rPr>
      <w:rFonts w:eastAsia="Times New Roman" w:cs="Times New Roman"/>
      <w:color w:val="000000"/>
      <w:szCs w:val="20"/>
      <w:lang w:eastAsia="en-AU"/>
    </w:rPr>
  </w:style>
  <w:style w:type="paragraph" w:customStyle="1" w:styleId="Heading1NotNumbered">
    <w:name w:val="Heading 1 Not Numbered"/>
    <w:basedOn w:val="HeadingBase"/>
    <w:next w:val="Normal"/>
    <w:rsid w:val="00477DED"/>
    <w:pPr>
      <w:spacing w:before="720" w:after="360"/>
    </w:pPr>
    <w:rPr>
      <w:smallCaps/>
      <w:sz w:val="36"/>
      <w:szCs w:val="36"/>
    </w:rPr>
  </w:style>
  <w:style w:type="paragraph" w:customStyle="1" w:styleId="Heading2NotNumbered">
    <w:name w:val="Heading 2 Not Numbered"/>
    <w:basedOn w:val="HeadingBase"/>
    <w:next w:val="Normal"/>
    <w:rsid w:val="00477DED"/>
    <w:pPr>
      <w:spacing w:before="360" w:after="180"/>
    </w:pPr>
    <w:rPr>
      <w:smallCaps/>
      <w:sz w:val="28"/>
      <w:szCs w:val="28"/>
    </w:rPr>
  </w:style>
  <w:style w:type="paragraph" w:customStyle="1" w:styleId="Heading3NotNumbered">
    <w:name w:val="Heading 3 Not Numbered"/>
    <w:basedOn w:val="HeadingBase"/>
    <w:next w:val="Normal"/>
    <w:rsid w:val="00477DED"/>
    <w:pPr>
      <w:spacing w:before="240" w:after="120"/>
    </w:pPr>
    <w:rPr>
      <w:sz w:val="28"/>
      <w:szCs w:val="26"/>
    </w:rPr>
  </w:style>
  <w:style w:type="paragraph" w:customStyle="1" w:styleId="Heading4NotNumbered">
    <w:name w:val="Heading 4 Not Numbered"/>
    <w:basedOn w:val="HeadingBase"/>
    <w:rsid w:val="00477DED"/>
    <w:pPr>
      <w:spacing w:before="120" w:after="120"/>
      <w:outlineLvl w:val="3"/>
    </w:pPr>
    <w:rPr>
      <w:b/>
      <w:sz w:val="26"/>
    </w:rPr>
  </w:style>
  <w:style w:type="paragraph" w:customStyle="1" w:styleId="Heading5NotNumbered">
    <w:name w:val="Heading 5 Not Numbered"/>
    <w:basedOn w:val="HeadingBase"/>
    <w:rsid w:val="00477DED"/>
    <w:pPr>
      <w:spacing w:after="120"/>
      <w:outlineLvl w:val="4"/>
    </w:pPr>
    <w:rPr>
      <w:b/>
      <w:sz w:val="24"/>
    </w:rPr>
  </w:style>
  <w:style w:type="table" w:customStyle="1" w:styleId="OptionsTable">
    <w:name w:val="Options Table"/>
    <w:basedOn w:val="TableNormal"/>
    <w:rsid w:val="00477DED"/>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OutlineNumbered4">
    <w:name w:val="Outline Numbered 4"/>
    <w:basedOn w:val="Normal"/>
    <w:rsid w:val="00477DED"/>
  </w:style>
  <w:style w:type="paragraph" w:customStyle="1" w:styleId="OutlineNumbered5">
    <w:name w:val="Outline Numbered 5"/>
    <w:basedOn w:val="Normal"/>
    <w:rsid w:val="00477DED"/>
    <w:pPr>
      <w:numPr>
        <w:ilvl w:val="4"/>
        <w:numId w:val="19"/>
      </w:numPr>
    </w:pPr>
  </w:style>
  <w:style w:type="paragraph" w:customStyle="1" w:styleId="Crest">
    <w:name w:val="Crest"/>
    <w:basedOn w:val="Header"/>
    <w:rsid w:val="00477DED"/>
    <w:pPr>
      <w:spacing w:after="480"/>
      <w:jc w:val="right"/>
    </w:pPr>
  </w:style>
  <w:style w:type="character" w:customStyle="1" w:styleId="SingleParagraphChar">
    <w:name w:val="Single Paragraph Char"/>
    <w:basedOn w:val="DefaultParagraphFont"/>
    <w:link w:val="SingleParagraph"/>
    <w:rsid w:val="00477DED"/>
    <w:rPr>
      <w:rFonts w:eastAsia="Times New Roman" w:cs="Times New Roman"/>
      <w:color w:val="000000"/>
      <w:szCs w:val="20"/>
      <w:lang w:eastAsia="en-AU"/>
    </w:rPr>
  </w:style>
  <w:style w:type="character" w:customStyle="1" w:styleId="A5">
    <w:name w:val="A5"/>
    <w:uiPriority w:val="99"/>
    <w:rsid w:val="00477DED"/>
    <w:rPr>
      <w:rFonts w:cs="Swiss 721 B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DED"/>
    <w:pPr>
      <w:spacing w:after="240" w:line="280" w:lineRule="exact"/>
      <w:jc w:val="both"/>
    </w:pPr>
    <w:rPr>
      <w:rFonts w:eastAsia="Times New Roman" w:cs="Times New Roman"/>
      <w:color w:val="000000"/>
      <w:szCs w:val="20"/>
      <w:lang w:eastAsia="en-AU"/>
    </w:rPr>
  </w:style>
  <w:style w:type="paragraph" w:styleId="Heading1">
    <w:name w:val="heading 1"/>
    <w:basedOn w:val="HeadingBase"/>
    <w:next w:val="Normal"/>
    <w:link w:val="Heading1Char"/>
    <w:qFormat/>
    <w:rsid w:val="00FF537F"/>
    <w:pPr>
      <w:spacing w:after="360"/>
      <w:outlineLvl w:val="0"/>
    </w:pPr>
    <w:rPr>
      <w:rFonts w:cs="Arial"/>
      <w:b/>
      <w:bCs/>
      <w:smallCaps/>
      <w:kern w:val="32"/>
      <w:sz w:val="36"/>
      <w:szCs w:val="36"/>
    </w:rPr>
  </w:style>
  <w:style w:type="paragraph" w:styleId="Heading2">
    <w:name w:val="heading 2"/>
    <w:basedOn w:val="HeadingBase"/>
    <w:next w:val="Normal"/>
    <w:link w:val="Heading2Char"/>
    <w:qFormat/>
    <w:rsid w:val="00FF537F"/>
    <w:pPr>
      <w:spacing w:before="360" w:after="180"/>
      <w:outlineLvl w:val="1"/>
    </w:pPr>
    <w:rPr>
      <w:rFonts w:cs="Arial"/>
      <w:b/>
      <w:bCs/>
      <w:iCs/>
      <w:smallCaps/>
      <w:sz w:val="32"/>
      <w:szCs w:val="28"/>
    </w:rPr>
  </w:style>
  <w:style w:type="paragraph" w:styleId="Heading3">
    <w:name w:val="heading 3"/>
    <w:basedOn w:val="HeadingBase"/>
    <w:next w:val="Normal"/>
    <w:link w:val="Heading3Char"/>
    <w:qFormat/>
    <w:rsid w:val="00FF537F"/>
    <w:pPr>
      <w:spacing w:before="240" w:after="120"/>
      <w:outlineLvl w:val="2"/>
    </w:pPr>
    <w:rPr>
      <w:rFonts w:cs="Arial"/>
      <w:b/>
      <w:bCs/>
      <w:sz w:val="28"/>
      <w:szCs w:val="26"/>
    </w:rPr>
  </w:style>
  <w:style w:type="paragraph" w:styleId="Heading4">
    <w:name w:val="heading 4"/>
    <w:basedOn w:val="HeadingBase"/>
    <w:next w:val="Normal"/>
    <w:link w:val="Heading4Char"/>
    <w:qFormat/>
    <w:rsid w:val="00FF537F"/>
    <w:pPr>
      <w:spacing w:before="180" w:after="120"/>
      <w:outlineLvl w:val="3"/>
    </w:pPr>
    <w:rPr>
      <w:bCs/>
      <w:sz w:val="24"/>
      <w:szCs w:val="22"/>
    </w:rPr>
  </w:style>
  <w:style w:type="paragraph" w:styleId="Heading5">
    <w:name w:val="heading 5"/>
    <w:basedOn w:val="HeadingBase"/>
    <w:next w:val="Normal"/>
    <w:link w:val="Heading5Char"/>
    <w:qFormat/>
    <w:rsid w:val="00477DED"/>
    <w:pPr>
      <w:spacing w:after="120"/>
      <w:outlineLvl w:val="4"/>
    </w:pPr>
    <w:rPr>
      <w:b/>
      <w:bCs/>
      <w:iCs/>
      <w:sz w:val="24"/>
    </w:rPr>
  </w:style>
  <w:style w:type="paragraph" w:styleId="Heading6">
    <w:name w:val="heading 6"/>
    <w:basedOn w:val="HeadingBase"/>
    <w:next w:val="Normal"/>
    <w:link w:val="Heading6Char"/>
    <w:qFormat/>
    <w:rsid w:val="00477DED"/>
    <w:pPr>
      <w:spacing w:after="120"/>
      <w:outlineLvl w:val="5"/>
    </w:pPr>
    <w:rPr>
      <w:bCs/>
      <w:sz w:val="22"/>
      <w:szCs w:val="22"/>
    </w:rPr>
  </w:style>
  <w:style w:type="paragraph" w:styleId="Heading7">
    <w:name w:val="heading 7"/>
    <w:basedOn w:val="HeadingBase"/>
    <w:next w:val="Normal"/>
    <w:link w:val="Heading7Char"/>
    <w:qFormat/>
    <w:rsid w:val="00477DED"/>
    <w:pPr>
      <w:spacing w:after="120"/>
      <w:outlineLvl w:val="6"/>
    </w:pPr>
    <w:rPr>
      <w:szCs w:val="24"/>
    </w:rPr>
  </w:style>
  <w:style w:type="paragraph" w:styleId="Heading8">
    <w:name w:val="heading 8"/>
    <w:basedOn w:val="HeadingBase"/>
    <w:next w:val="Normal"/>
    <w:link w:val="Heading8Char"/>
    <w:qFormat/>
    <w:rsid w:val="00477DED"/>
    <w:pPr>
      <w:spacing w:before="60" w:after="60"/>
      <w:jc w:val="center"/>
      <w:outlineLvl w:val="7"/>
    </w:pPr>
    <w:rPr>
      <w:iCs/>
      <w:smallCaps/>
      <w:sz w:val="22"/>
      <w:szCs w:val="24"/>
    </w:rPr>
  </w:style>
  <w:style w:type="paragraph" w:styleId="Heading9">
    <w:name w:val="heading 9"/>
    <w:basedOn w:val="HeadingBase"/>
    <w:next w:val="Normal"/>
    <w:link w:val="Heading9Char"/>
    <w:qFormat/>
    <w:rsid w:val="00477DED"/>
    <w:p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7DED"/>
    <w:rPr>
      <w:color w:val="auto"/>
      <w:u w:val="none"/>
    </w:rPr>
  </w:style>
  <w:style w:type="paragraph" w:customStyle="1" w:styleId="Default">
    <w:name w:val="Default"/>
    <w:rsid w:val="00D85D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FF537F"/>
    <w:rPr>
      <w:rFonts w:ascii="Calibri" w:eastAsia="Times New Roman" w:hAnsi="Calibri" w:cs="Arial"/>
      <w:b/>
      <w:bCs/>
      <w:smallCaps/>
      <w:color w:val="342E82"/>
      <w:kern w:val="32"/>
      <w:sz w:val="36"/>
      <w:szCs w:val="36"/>
      <w:lang w:eastAsia="en-AU"/>
    </w:rPr>
  </w:style>
  <w:style w:type="character" w:customStyle="1" w:styleId="Heading2Char">
    <w:name w:val="Heading 2 Char"/>
    <w:basedOn w:val="DefaultParagraphFont"/>
    <w:link w:val="Heading2"/>
    <w:rsid w:val="00FF537F"/>
    <w:rPr>
      <w:rFonts w:ascii="Calibri" w:eastAsia="Times New Roman" w:hAnsi="Calibri" w:cs="Arial"/>
      <w:b/>
      <w:bCs/>
      <w:iCs/>
      <w:smallCaps/>
      <w:color w:val="342E82"/>
      <w:sz w:val="32"/>
      <w:szCs w:val="28"/>
      <w:lang w:eastAsia="en-AU"/>
    </w:rPr>
  </w:style>
  <w:style w:type="character" w:customStyle="1" w:styleId="Heading3Char">
    <w:name w:val="Heading 3 Char"/>
    <w:basedOn w:val="DefaultParagraphFont"/>
    <w:link w:val="Heading3"/>
    <w:rsid w:val="00FF537F"/>
    <w:rPr>
      <w:rFonts w:ascii="Calibri" w:eastAsia="Times New Roman" w:hAnsi="Calibri" w:cs="Arial"/>
      <w:b/>
      <w:bCs/>
      <w:color w:val="342E82"/>
      <w:sz w:val="28"/>
      <w:szCs w:val="26"/>
      <w:lang w:eastAsia="en-AU"/>
    </w:rPr>
  </w:style>
  <w:style w:type="character" w:customStyle="1" w:styleId="Heading4Char">
    <w:name w:val="Heading 4 Char"/>
    <w:basedOn w:val="DefaultParagraphFont"/>
    <w:link w:val="Heading4"/>
    <w:rsid w:val="00FF537F"/>
    <w:rPr>
      <w:rFonts w:ascii="Calibri" w:eastAsia="Times New Roman" w:hAnsi="Calibri" w:cs="Times New Roman"/>
      <w:bCs/>
      <w:color w:val="342E82"/>
      <w:sz w:val="24"/>
      <w:lang w:eastAsia="en-AU"/>
    </w:rPr>
  </w:style>
  <w:style w:type="character" w:customStyle="1" w:styleId="Heading5Char">
    <w:name w:val="Heading 5 Char"/>
    <w:basedOn w:val="DefaultParagraphFont"/>
    <w:link w:val="Heading5"/>
    <w:rsid w:val="00477DED"/>
    <w:rPr>
      <w:rFonts w:ascii="Calibri" w:eastAsia="Times New Roman" w:hAnsi="Calibri" w:cs="Times New Roman"/>
      <w:b/>
      <w:bCs/>
      <w:iCs/>
      <w:color w:val="342E82"/>
      <w:sz w:val="24"/>
      <w:szCs w:val="20"/>
      <w:lang w:eastAsia="en-AU"/>
    </w:rPr>
  </w:style>
  <w:style w:type="character" w:customStyle="1" w:styleId="Heading6Char">
    <w:name w:val="Heading 6 Char"/>
    <w:basedOn w:val="DefaultParagraphFont"/>
    <w:link w:val="Heading6"/>
    <w:rsid w:val="00D85D73"/>
    <w:rPr>
      <w:rFonts w:ascii="Calibri" w:eastAsia="Times New Roman" w:hAnsi="Calibri" w:cs="Times New Roman"/>
      <w:bCs/>
      <w:color w:val="342E82"/>
      <w:lang w:eastAsia="en-AU"/>
    </w:rPr>
  </w:style>
  <w:style w:type="character" w:customStyle="1" w:styleId="Heading7Char">
    <w:name w:val="Heading 7 Char"/>
    <w:basedOn w:val="DefaultParagraphFont"/>
    <w:link w:val="Heading7"/>
    <w:rsid w:val="00D85D73"/>
    <w:rPr>
      <w:rFonts w:ascii="Calibri" w:eastAsia="Times New Roman" w:hAnsi="Calibri" w:cs="Times New Roman"/>
      <w:color w:val="342E82"/>
      <w:sz w:val="20"/>
      <w:szCs w:val="24"/>
      <w:lang w:eastAsia="en-AU"/>
    </w:rPr>
  </w:style>
  <w:style w:type="character" w:customStyle="1" w:styleId="Heading8Char">
    <w:name w:val="Heading 8 Char"/>
    <w:basedOn w:val="DefaultParagraphFont"/>
    <w:link w:val="Heading8"/>
    <w:rsid w:val="00D85D73"/>
    <w:rPr>
      <w:rFonts w:ascii="Calibri" w:eastAsia="Times New Roman" w:hAnsi="Calibri" w:cs="Times New Roman"/>
      <w:iCs/>
      <w:smallCaps/>
      <w:color w:val="342E82"/>
      <w:szCs w:val="24"/>
      <w:lang w:eastAsia="en-AU"/>
    </w:rPr>
  </w:style>
  <w:style w:type="character" w:customStyle="1" w:styleId="Heading9Char">
    <w:name w:val="Heading 9 Char"/>
    <w:basedOn w:val="DefaultParagraphFont"/>
    <w:link w:val="Heading9"/>
    <w:rsid w:val="00D85D73"/>
    <w:rPr>
      <w:rFonts w:ascii="Arial Bold" w:eastAsia="Times New Roman" w:hAnsi="Arial Bold" w:cs="Arial"/>
      <w:b/>
      <w:smallCaps/>
      <w:color w:val="342E82"/>
      <w:sz w:val="24"/>
      <w:lang w:eastAsia="en-AU"/>
    </w:rPr>
  </w:style>
  <w:style w:type="paragraph" w:customStyle="1" w:styleId="HeadingBase">
    <w:name w:val="Heading Base"/>
    <w:next w:val="Normal"/>
    <w:rsid w:val="00477DED"/>
    <w:pPr>
      <w:keepNext/>
      <w:spacing w:after="0" w:line="240" w:lineRule="auto"/>
    </w:pPr>
    <w:rPr>
      <w:rFonts w:ascii="Calibri" w:eastAsia="Times New Roman" w:hAnsi="Calibri" w:cs="Times New Roman"/>
      <w:color w:val="342E82"/>
      <w:sz w:val="20"/>
      <w:szCs w:val="20"/>
      <w:lang w:eastAsia="en-AU"/>
    </w:rPr>
  </w:style>
  <w:style w:type="paragraph" w:customStyle="1" w:styleId="ChartGraphic">
    <w:name w:val="Chart Graphic"/>
    <w:basedOn w:val="HeadingBase"/>
    <w:next w:val="Normal"/>
    <w:rsid w:val="00477DED"/>
    <w:pPr>
      <w:jc w:val="center"/>
    </w:pPr>
  </w:style>
  <w:style w:type="paragraph" w:customStyle="1" w:styleId="TableGraphic">
    <w:name w:val="Table Graphic"/>
    <w:basedOn w:val="HeadingBase"/>
    <w:next w:val="Normal"/>
    <w:rsid w:val="00477DED"/>
  </w:style>
  <w:style w:type="paragraph" w:customStyle="1" w:styleId="AlphaParagraph">
    <w:name w:val="Alpha Paragraph"/>
    <w:basedOn w:val="Normal"/>
    <w:rsid w:val="00477DED"/>
    <w:pPr>
      <w:numPr>
        <w:numId w:val="1"/>
      </w:numPr>
    </w:pPr>
  </w:style>
  <w:style w:type="paragraph" w:customStyle="1" w:styleId="AppendixHeading">
    <w:name w:val="Appendix Heading"/>
    <w:basedOn w:val="HeadingBase"/>
    <w:next w:val="Normal"/>
    <w:rsid w:val="00FF537F"/>
    <w:pPr>
      <w:spacing w:after="360"/>
      <w:outlineLvl w:val="0"/>
    </w:pPr>
    <w:rPr>
      <w:b/>
      <w:smallCaps/>
      <w:sz w:val="36"/>
      <w:szCs w:val="36"/>
    </w:rPr>
  </w:style>
  <w:style w:type="paragraph" w:styleId="BalloonText">
    <w:name w:val="Balloon Text"/>
    <w:basedOn w:val="Normal"/>
    <w:link w:val="BalloonTextChar"/>
    <w:semiHidden/>
    <w:rsid w:val="00477DED"/>
    <w:rPr>
      <w:rFonts w:ascii="Tahoma" w:hAnsi="Tahoma" w:cs="Tahoma"/>
      <w:sz w:val="16"/>
      <w:szCs w:val="16"/>
    </w:rPr>
  </w:style>
  <w:style w:type="character" w:customStyle="1" w:styleId="BalloonTextChar">
    <w:name w:val="Balloon Text Char"/>
    <w:basedOn w:val="DefaultParagraphFont"/>
    <w:link w:val="BalloonText"/>
    <w:semiHidden/>
    <w:rsid w:val="00D85D73"/>
    <w:rPr>
      <w:rFonts w:ascii="Tahoma" w:eastAsia="Times New Roman" w:hAnsi="Tahoma" w:cs="Tahoma"/>
      <w:color w:val="000000"/>
      <w:sz w:val="16"/>
      <w:szCs w:val="16"/>
      <w:lang w:eastAsia="en-AU"/>
    </w:rPr>
  </w:style>
  <w:style w:type="character" w:customStyle="1" w:styleId="Bold">
    <w:name w:val="Bold"/>
    <w:basedOn w:val="DefaultParagraphFont"/>
    <w:rsid w:val="00477DED"/>
    <w:rPr>
      <w:b/>
    </w:rPr>
  </w:style>
  <w:style w:type="paragraph" w:customStyle="1" w:styleId="BoxTextBase">
    <w:name w:val="Box Text Base"/>
    <w:basedOn w:val="Normal"/>
    <w:rsid w:val="00477DED"/>
  </w:style>
  <w:style w:type="paragraph" w:customStyle="1" w:styleId="BoxBullet">
    <w:name w:val="Box Bullet"/>
    <w:basedOn w:val="BoxTextBase"/>
    <w:rsid w:val="00477DED"/>
    <w:pPr>
      <w:numPr>
        <w:numId w:val="2"/>
      </w:numPr>
    </w:pPr>
  </w:style>
  <w:style w:type="paragraph" w:customStyle="1" w:styleId="BoxDash">
    <w:name w:val="Box Dash"/>
    <w:basedOn w:val="Normal"/>
    <w:rsid w:val="00477DED"/>
    <w:pPr>
      <w:numPr>
        <w:ilvl w:val="1"/>
        <w:numId w:val="2"/>
      </w:numPr>
    </w:pPr>
  </w:style>
  <w:style w:type="paragraph" w:customStyle="1" w:styleId="BoxDoubleDot">
    <w:name w:val="Box Double Dot"/>
    <w:basedOn w:val="BoxTextBase"/>
    <w:rsid w:val="00477DED"/>
    <w:pPr>
      <w:numPr>
        <w:ilvl w:val="2"/>
        <w:numId w:val="2"/>
      </w:numPr>
    </w:pPr>
  </w:style>
  <w:style w:type="paragraph" w:customStyle="1" w:styleId="BoxHeading">
    <w:name w:val="Box Heading"/>
    <w:basedOn w:val="HeadingBase"/>
    <w:next w:val="BoxText"/>
    <w:rsid w:val="00477DED"/>
    <w:pPr>
      <w:spacing w:before="240" w:after="120"/>
    </w:pPr>
    <w:rPr>
      <w:b/>
      <w:sz w:val="22"/>
    </w:rPr>
  </w:style>
  <w:style w:type="paragraph" w:customStyle="1" w:styleId="BoxText">
    <w:name w:val="Box Text"/>
    <w:basedOn w:val="BoxTextBase"/>
    <w:rsid w:val="00477DED"/>
  </w:style>
  <w:style w:type="paragraph" w:customStyle="1" w:styleId="Bullet">
    <w:name w:val="Bullet"/>
    <w:aliases w:val="b"/>
    <w:basedOn w:val="Normal"/>
    <w:link w:val="BulletChar"/>
    <w:rsid w:val="00FF537F"/>
    <w:pPr>
      <w:numPr>
        <w:numId w:val="4"/>
      </w:numPr>
      <w:tabs>
        <w:tab w:val="left" w:pos="397"/>
      </w:tabs>
      <w:spacing w:after="120" w:line="240" w:lineRule="auto"/>
    </w:pPr>
  </w:style>
  <w:style w:type="paragraph" w:styleId="NormalIndent">
    <w:name w:val="Normal Indent"/>
    <w:basedOn w:val="Normal"/>
    <w:rsid w:val="00477DED"/>
    <w:pPr>
      <w:ind w:left="567"/>
    </w:pPr>
    <w:rPr>
      <w:i/>
    </w:rPr>
  </w:style>
  <w:style w:type="paragraph" w:customStyle="1" w:styleId="ChartandTableFootnoteAlpha">
    <w:name w:val="Chart and Table Footnote Alpha"/>
    <w:rsid w:val="00477DED"/>
    <w:pPr>
      <w:numPr>
        <w:numId w:val="3"/>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77DED"/>
    <w:pPr>
      <w:spacing w:after="20"/>
      <w:jc w:val="center"/>
    </w:pPr>
    <w:rPr>
      <w:b/>
      <w:sz w:val="22"/>
    </w:rPr>
  </w:style>
  <w:style w:type="paragraph" w:customStyle="1" w:styleId="ChartorTableNote">
    <w:name w:val="Chart or Table Note"/>
    <w:next w:val="Normal"/>
    <w:rsid w:val="00477DED"/>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77DED"/>
    <w:pPr>
      <w:spacing w:after="20"/>
      <w:jc w:val="center"/>
    </w:pPr>
  </w:style>
  <w:style w:type="paragraph" w:customStyle="1" w:styleId="Classification">
    <w:name w:val="Classification"/>
    <w:basedOn w:val="HeadingBase"/>
    <w:next w:val="Footer"/>
    <w:rsid w:val="00477DED"/>
    <w:pPr>
      <w:spacing w:after="120"/>
      <w:jc w:val="center"/>
    </w:pPr>
    <w:rPr>
      <w:b/>
      <w:smallCaps/>
    </w:rPr>
  </w:style>
  <w:style w:type="paragraph" w:styleId="Footer">
    <w:name w:val="footer"/>
    <w:basedOn w:val="HeadingBase"/>
    <w:link w:val="FooterChar"/>
    <w:rsid w:val="00477DED"/>
    <w:rPr>
      <w:sz w:val="18"/>
    </w:rPr>
  </w:style>
  <w:style w:type="character" w:customStyle="1" w:styleId="FooterChar">
    <w:name w:val="Footer Char"/>
    <w:link w:val="Footer"/>
    <w:rsid w:val="00477DED"/>
    <w:rPr>
      <w:rFonts w:ascii="Calibri" w:eastAsia="Times New Roman" w:hAnsi="Calibri" w:cs="Times New Roman"/>
      <w:color w:val="342E82"/>
      <w:sz w:val="18"/>
      <w:szCs w:val="20"/>
      <w:lang w:eastAsia="en-AU"/>
    </w:rPr>
  </w:style>
  <w:style w:type="paragraph" w:customStyle="1" w:styleId="ContentsHeading">
    <w:name w:val="Contents Heading"/>
    <w:basedOn w:val="HeadingBase"/>
    <w:next w:val="Normal"/>
    <w:rsid w:val="00FF537F"/>
    <w:pPr>
      <w:spacing w:after="360"/>
    </w:pPr>
    <w:rPr>
      <w:smallCaps/>
      <w:sz w:val="36"/>
      <w:szCs w:val="36"/>
    </w:rPr>
  </w:style>
  <w:style w:type="paragraph" w:customStyle="1" w:styleId="CoverTitleSub">
    <w:name w:val="Cover Title Sub"/>
    <w:basedOn w:val="HeadingBase"/>
    <w:rsid w:val="00477DED"/>
    <w:pPr>
      <w:spacing w:after="360"/>
      <w:jc w:val="right"/>
    </w:pPr>
    <w:rPr>
      <w:sz w:val="36"/>
    </w:rPr>
  </w:style>
  <w:style w:type="paragraph" w:customStyle="1" w:styleId="Covertitlelevel3">
    <w:name w:val="Cover title level 3"/>
    <w:basedOn w:val="CoverTitleSub"/>
    <w:rsid w:val="00D85D73"/>
    <w:pPr>
      <w:spacing w:after="120"/>
    </w:pPr>
    <w:rPr>
      <w:sz w:val="28"/>
      <w:szCs w:val="28"/>
    </w:rPr>
  </w:style>
  <w:style w:type="paragraph" w:customStyle="1" w:styleId="CoverTitleMain">
    <w:name w:val="Cover Title Main"/>
    <w:basedOn w:val="HeadingBase"/>
    <w:next w:val="Normal"/>
    <w:rsid w:val="00477DED"/>
    <w:pPr>
      <w:pBdr>
        <w:bottom w:val="single" w:sz="18" w:space="9" w:color="342E82"/>
      </w:pBdr>
      <w:spacing w:after="480"/>
      <w:jc w:val="right"/>
    </w:pPr>
    <w:rPr>
      <w:b/>
      <w:sz w:val="48"/>
    </w:rPr>
  </w:style>
  <w:style w:type="paragraph" w:customStyle="1" w:styleId="Dash">
    <w:name w:val="Dash"/>
    <w:basedOn w:val="Normal"/>
    <w:link w:val="DashChar"/>
    <w:rsid w:val="00FF537F"/>
    <w:pPr>
      <w:numPr>
        <w:ilvl w:val="1"/>
        <w:numId w:val="4"/>
      </w:numPr>
      <w:tabs>
        <w:tab w:val="clear" w:pos="1134"/>
        <w:tab w:val="num" w:pos="794"/>
      </w:tabs>
      <w:spacing w:after="120" w:line="240" w:lineRule="auto"/>
      <w:ind w:left="794" w:hanging="397"/>
    </w:pPr>
  </w:style>
  <w:style w:type="paragraph" w:customStyle="1" w:styleId="DoubleDot">
    <w:name w:val="Double Dot"/>
    <w:basedOn w:val="Normal"/>
    <w:rsid w:val="00477DED"/>
    <w:pPr>
      <w:numPr>
        <w:ilvl w:val="2"/>
        <w:numId w:val="4"/>
      </w:numPr>
      <w:tabs>
        <w:tab w:val="clear" w:pos="1700"/>
        <w:tab w:val="num" w:pos="360"/>
      </w:tabs>
      <w:ind w:left="1758" w:hanging="397"/>
    </w:pPr>
  </w:style>
  <w:style w:type="paragraph" w:customStyle="1" w:styleId="Figuregraphic">
    <w:name w:val="Figure graphic"/>
    <w:basedOn w:val="Normal"/>
    <w:rsid w:val="00D85D73"/>
    <w:pPr>
      <w:jc w:val="center"/>
    </w:pPr>
  </w:style>
  <w:style w:type="paragraph" w:customStyle="1" w:styleId="FigureHeading">
    <w:name w:val="Figure Heading"/>
    <w:basedOn w:val="HeadingBase"/>
    <w:next w:val="Figuregraphic"/>
    <w:rsid w:val="00D85D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D85D73"/>
    <w:pPr>
      <w:spacing w:after="20"/>
      <w:jc w:val="center"/>
    </w:pPr>
  </w:style>
  <w:style w:type="paragraph" w:customStyle="1" w:styleId="TableMainHeading">
    <w:name w:val="Table Main Heading"/>
    <w:basedOn w:val="HeadingBase"/>
    <w:next w:val="TableGraphic"/>
    <w:rsid w:val="00477DED"/>
    <w:pPr>
      <w:spacing w:after="20"/>
    </w:pPr>
    <w:rPr>
      <w:b/>
      <w:sz w:val="22"/>
    </w:rPr>
  </w:style>
  <w:style w:type="paragraph" w:customStyle="1" w:styleId="FooterCentered">
    <w:name w:val="Footer Centered"/>
    <w:basedOn w:val="Footer"/>
    <w:rsid w:val="00477DED"/>
    <w:pPr>
      <w:jc w:val="center"/>
    </w:pPr>
  </w:style>
  <w:style w:type="paragraph" w:customStyle="1" w:styleId="FooterEven">
    <w:name w:val="Footer Even"/>
    <w:basedOn w:val="Footer"/>
    <w:rsid w:val="00477DED"/>
  </w:style>
  <w:style w:type="paragraph" w:customStyle="1" w:styleId="FooterOdd">
    <w:name w:val="Footer Odd"/>
    <w:basedOn w:val="Footer"/>
    <w:rsid w:val="00477DED"/>
    <w:pPr>
      <w:jc w:val="right"/>
    </w:pPr>
  </w:style>
  <w:style w:type="character" w:styleId="FootnoteReference">
    <w:name w:val="footnote reference"/>
    <w:basedOn w:val="DefaultParagraphFont"/>
    <w:rsid w:val="00477DED"/>
    <w:rPr>
      <w:vertAlign w:val="superscript"/>
    </w:rPr>
  </w:style>
  <w:style w:type="paragraph" w:styleId="FootnoteText">
    <w:name w:val="footnote text"/>
    <w:basedOn w:val="Normal"/>
    <w:link w:val="FootnoteTextChar"/>
    <w:rsid w:val="00477DED"/>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D85D73"/>
    <w:rPr>
      <w:rFonts w:eastAsia="Times New Roman" w:cs="Times New Roman"/>
      <w:color w:val="000000"/>
      <w:sz w:val="18"/>
      <w:szCs w:val="20"/>
      <w:lang w:eastAsia="en-AU"/>
    </w:rPr>
  </w:style>
  <w:style w:type="character" w:customStyle="1" w:styleId="FramedFooter">
    <w:name w:val="Framed Footer"/>
    <w:rsid w:val="00477DED"/>
    <w:rPr>
      <w:rFonts w:ascii="Arial" w:hAnsi="Arial"/>
      <w:color w:val="342E82"/>
      <w:sz w:val="18"/>
    </w:rPr>
  </w:style>
  <w:style w:type="character" w:customStyle="1" w:styleId="FramedHeader">
    <w:name w:val="Framed Header"/>
    <w:basedOn w:val="DefaultParagraphFont"/>
    <w:rsid w:val="00477DED"/>
    <w:rPr>
      <w:rFonts w:ascii="Arial" w:hAnsi="Arial"/>
      <w:dstrike w:val="0"/>
      <w:color w:val="342E82"/>
      <w:sz w:val="18"/>
      <w:vertAlign w:val="baseline"/>
    </w:rPr>
  </w:style>
  <w:style w:type="paragraph" w:styleId="Header">
    <w:name w:val="header"/>
    <w:basedOn w:val="HeadingBase"/>
    <w:link w:val="HeaderChar"/>
    <w:rsid w:val="00477DED"/>
    <w:rPr>
      <w:sz w:val="18"/>
    </w:rPr>
  </w:style>
  <w:style w:type="character" w:customStyle="1" w:styleId="HeaderChar">
    <w:name w:val="Header Char"/>
    <w:basedOn w:val="DefaultParagraphFont"/>
    <w:link w:val="Header"/>
    <w:rsid w:val="00D85D73"/>
    <w:rPr>
      <w:rFonts w:ascii="Calibri" w:eastAsia="Times New Roman" w:hAnsi="Calibri" w:cs="Times New Roman"/>
      <w:color w:val="342E82"/>
      <w:sz w:val="18"/>
      <w:szCs w:val="20"/>
      <w:lang w:eastAsia="en-AU"/>
    </w:rPr>
  </w:style>
  <w:style w:type="paragraph" w:customStyle="1" w:styleId="HeaderEven">
    <w:name w:val="Header Even"/>
    <w:basedOn w:val="Header"/>
    <w:rsid w:val="00477DED"/>
  </w:style>
  <w:style w:type="paragraph" w:customStyle="1" w:styleId="HeaderOdd">
    <w:name w:val="Header Odd"/>
    <w:basedOn w:val="Header"/>
    <w:rsid w:val="00477DED"/>
    <w:pPr>
      <w:jc w:val="right"/>
    </w:pPr>
  </w:style>
  <w:style w:type="character" w:customStyle="1" w:styleId="italic">
    <w:name w:val="italic"/>
    <w:basedOn w:val="DefaultParagraphFont"/>
    <w:rsid w:val="00477DED"/>
    <w:rPr>
      <w:i/>
    </w:rPr>
  </w:style>
  <w:style w:type="paragraph" w:styleId="NormalWeb">
    <w:name w:val="Normal (Web)"/>
    <w:basedOn w:val="Normal"/>
    <w:uiPriority w:val="99"/>
    <w:rsid w:val="00D85D73"/>
    <w:pPr>
      <w:spacing w:line="312" w:lineRule="atLeast"/>
    </w:pPr>
    <w:rPr>
      <w:sz w:val="24"/>
      <w:szCs w:val="24"/>
    </w:rPr>
  </w:style>
  <w:style w:type="paragraph" w:customStyle="1" w:styleId="NormalIndentItalics">
    <w:name w:val="Normal Indent Italics"/>
    <w:basedOn w:val="NormalIndent"/>
    <w:rsid w:val="00D85D73"/>
    <w:rPr>
      <w:i w:val="0"/>
    </w:rPr>
  </w:style>
  <w:style w:type="paragraph" w:customStyle="1" w:styleId="OutlineNumbered1">
    <w:name w:val="Outline Numbered 1"/>
    <w:basedOn w:val="Normal"/>
    <w:rsid w:val="00FF537F"/>
    <w:pPr>
      <w:numPr>
        <w:numId w:val="19"/>
      </w:numPr>
      <w:tabs>
        <w:tab w:val="left" w:pos="397"/>
      </w:tabs>
    </w:pPr>
  </w:style>
  <w:style w:type="paragraph" w:customStyle="1" w:styleId="OneLevelNumberedParagraph">
    <w:name w:val="One Level Numbered Paragraph"/>
    <w:basedOn w:val="Normal"/>
    <w:rsid w:val="00477DED"/>
    <w:pPr>
      <w:numPr>
        <w:numId w:val="5"/>
      </w:numPr>
    </w:pPr>
  </w:style>
  <w:style w:type="paragraph" w:customStyle="1" w:styleId="OutlineNumbered2">
    <w:name w:val="Outline Numbered 2"/>
    <w:basedOn w:val="Normal"/>
    <w:rsid w:val="00477DED"/>
    <w:pPr>
      <w:numPr>
        <w:ilvl w:val="1"/>
        <w:numId w:val="19"/>
      </w:numPr>
    </w:pPr>
  </w:style>
  <w:style w:type="paragraph" w:customStyle="1" w:styleId="OutlineNumbered3">
    <w:name w:val="Outline Numbered 3"/>
    <w:basedOn w:val="Normal"/>
    <w:rsid w:val="00477DED"/>
    <w:pPr>
      <w:numPr>
        <w:ilvl w:val="2"/>
        <w:numId w:val="19"/>
      </w:numPr>
    </w:pPr>
  </w:style>
  <w:style w:type="character" w:styleId="PageNumber">
    <w:name w:val="page number"/>
    <w:basedOn w:val="DefaultParagraphFont"/>
    <w:rsid w:val="00D85D73"/>
    <w:rPr>
      <w:rFonts w:ascii="Arial" w:hAnsi="Arial"/>
      <w:sz w:val="18"/>
    </w:rPr>
  </w:style>
  <w:style w:type="paragraph" w:customStyle="1" w:styleId="Principle">
    <w:name w:val="Principle"/>
    <w:basedOn w:val="Normal"/>
    <w:rsid w:val="00D85D73"/>
    <w:pPr>
      <w:keepNext/>
      <w:spacing w:after="60"/>
      <w:ind w:left="573"/>
    </w:pPr>
    <w:rPr>
      <w:rFonts w:ascii="Book Antiqua" w:hAnsi="Book Antiqua"/>
      <w:i/>
      <w:sz w:val="20"/>
    </w:rPr>
  </w:style>
  <w:style w:type="paragraph" w:customStyle="1" w:styleId="RecommendationTextBase">
    <w:name w:val="Recommendation Text Base"/>
    <w:basedOn w:val="Normal"/>
    <w:rsid w:val="00477DED"/>
    <w:pPr>
      <w:spacing w:before="120" w:after="120"/>
    </w:pPr>
  </w:style>
  <w:style w:type="paragraph" w:customStyle="1" w:styleId="RecommendationBullet">
    <w:name w:val="Recommendation Bullet"/>
    <w:basedOn w:val="RecommendationTextBase"/>
    <w:rsid w:val="00477DED"/>
    <w:pPr>
      <w:numPr>
        <w:numId w:val="6"/>
      </w:numPr>
    </w:pPr>
  </w:style>
  <w:style w:type="paragraph" w:customStyle="1" w:styleId="RecommendationDash">
    <w:name w:val="Recommendation Dash"/>
    <w:basedOn w:val="RecommendationTextBase"/>
    <w:rsid w:val="00477DED"/>
    <w:pPr>
      <w:numPr>
        <w:ilvl w:val="1"/>
        <w:numId w:val="6"/>
      </w:numPr>
    </w:pPr>
  </w:style>
  <w:style w:type="paragraph" w:customStyle="1" w:styleId="RecommendationDoubleDot">
    <w:name w:val="Recommendation Double Dot"/>
    <w:basedOn w:val="RecommendationTextBase"/>
    <w:rsid w:val="00477DED"/>
    <w:pPr>
      <w:numPr>
        <w:ilvl w:val="2"/>
        <w:numId w:val="6"/>
      </w:numPr>
    </w:pPr>
  </w:style>
  <w:style w:type="paragraph" w:customStyle="1" w:styleId="RecommendationHeading">
    <w:name w:val="Recommendation Heading"/>
    <w:basedOn w:val="HeadingBase"/>
    <w:next w:val="RecommendationText"/>
    <w:rsid w:val="00477DED"/>
    <w:pPr>
      <w:spacing w:before="120" w:after="240"/>
    </w:pPr>
    <w:rPr>
      <w:b/>
      <w:sz w:val="22"/>
    </w:rPr>
  </w:style>
  <w:style w:type="paragraph" w:customStyle="1" w:styleId="RecommendationText">
    <w:name w:val="Recommendation Text"/>
    <w:basedOn w:val="RecommendationTextBase"/>
    <w:rsid w:val="00477DED"/>
  </w:style>
  <w:style w:type="paragraph" w:customStyle="1" w:styleId="Romannumeral">
    <w:name w:val="Roman numeral"/>
    <w:basedOn w:val="Normal"/>
    <w:rsid w:val="00477DED"/>
    <w:pPr>
      <w:numPr>
        <w:numId w:val="7"/>
      </w:numPr>
    </w:pPr>
  </w:style>
  <w:style w:type="paragraph" w:customStyle="1" w:styleId="SingleParagraph">
    <w:name w:val="Single Paragraph"/>
    <w:basedOn w:val="Normal"/>
    <w:link w:val="SingleParagraphChar"/>
    <w:rsid w:val="00477DED"/>
    <w:pPr>
      <w:spacing w:after="0"/>
    </w:pPr>
  </w:style>
  <w:style w:type="paragraph" w:customStyle="1" w:styleId="SingleParagraphIndent">
    <w:name w:val="Single Paragraph Indent"/>
    <w:basedOn w:val="SingleParagraph"/>
    <w:rsid w:val="00D85D73"/>
    <w:pPr>
      <w:ind w:left="567"/>
    </w:pPr>
  </w:style>
  <w:style w:type="paragraph" w:customStyle="1" w:styleId="TableSecondHeading">
    <w:name w:val="Table Second Heading"/>
    <w:basedOn w:val="HeadingBase"/>
    <w:next w:val="TableGraphic"/>
    <w:rsid w:val="00477DED"/>
    <w:pPr>
      <w:spacing w:after="20"/>
    </w:pPr>
  </w:style>
  <w:style w:type="paragraph" w:customStyle="1" w:styleId="TableTextBase">
    <w:name w:val="Table Text Base"/>
    <w:rsid w:val="00477DED"/>
    <w:pPr>
      <w:spacing w:before="40" w:after="40" w:line="240" w:lineRule="auto"/>
    </w:pPr>
    <w:rPr>
      <w:rFonts w:eastAsia="Times New Roman" w:cs="Times New Roman"/>
      <w:color w:val="000000"/>
      <w:sz w:val="16"/>
      <w:szCs w:val="20"/>
      <w:lang w:eastAsia="en-AU"/>
    </w:rPr>
  </w:style>
  <w:style w:type="paragraph" w:customStyle="1" w:styleId="TableColumnHeadingCentred">
    <w:name w:val="Table Column Heading Centred"/>
    <w:basedOn w:val="TableColumnHeadingBase"/>
    <w:rsid w:val="00477DED"/>
    <w:pPr>
      <w:jc w:val="center"/>
    </w:pPr>
  </w:style>
  <w:style w:type="paragraph" w:customStyle="1" w:styleId="TableColumnHeadingBase">
    <w:name w:val="Table Column Heading Base"/>
    <w:basedOn w:val="Normal"/>
    <w:rsid w:val="00477DED"/>
    <w:pPr>
      <w:spacing w:before="40" w:after="40" w:line="240" w:lineRule="auto"/>
    </w:pPr>
    <w:rPr>
      <w:b/>
      <w:color w:val="342E82"/>
      <w:sz w:val="16"/>
    </w:rPr>
  </w:style>
  <w:style w:type="paragraph" w:customStyle="1" w:styleId="TableColumnHeadingLeft">
    <w:name w:val="Table Column Heading Left"/>
    <w:basedOn w:val="TableColumnHeadingBase"/>
    <w:rsid w:val="00477DED"/>
  </w:style>
  <w:style w:type="paragraph" w:customStyle="1" w:styleId="TableColumnHeadingRight">
    <w:name w:val="Table Column Heading Right"/>
    <w:basedOn w:val="TableColumnHeadingBase"/>
    <w:rsid w:val="00477DED"/>
    <w:pPr>
      <w:jc w:val="right"/>
    </w:pPr>
  </w:style>
  <w:style w:type="table" w:styleId="TableGrid">
    <w:name w:val="Table Grid"/>
    <w:basedOn w:val="TableNormal"/>
    <w:rsid w:val="00477DE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477DED"/>
    <w:pPr>
      <w:pageBreakBefore/>
      <w:spacing w:after="20"/>
    </w:pPr>
    <w:rPr>
      <w:b/>
      <w:sz w:val="22"/>
    </w:rPr>
  </w:style>
  <w:style w:type="paragraph" w:customStyle="1" w:styleId="TableTextCentered">
    <w:name w:val="Table Text Centered"/>
    <w:basedOn w:val="TableTextBase"/>
    <w:rsid w:val="00477DED"/>
    <w:pPr>
      <w:jc w:val="center"/>
    </w:pPr>
  </w:style>
  <w:style w:type="paragraph" w:customStyle="1" w:styleId="TableTextIndented">
    <w:name w:val="Table Text Indented"/>
    <w:basedOn w:val="TableTextBase"/>
    <w:rsid w:val="00477DED"/>
    <w:pPr>
      <w:ind w:left="284"/>
    </w:pPr>
  </w:style>
  <w:style w:type="paragraph" w:customStyle="1" w:styleId="TableTextLeft">
    <w:name w:val="Table Text Left"/>
    <w:basedOn w:val="TableTextBase"/>
    <w:rsid w:val="00477DED"/>
  </w:style>
  <w:style w:type="paragraph" w:customStyle="1" w:styleId="TableTextRight">
    <w:name w:val="Table Text Right"/>
    <w:basedOn w:val="TableTextBase"/>
    <w:rsid w:val="00477DED"/>
    <w:pPr>
      <w:jc w:val="right"/>
    </w:pPr>
  </w:style>
  <w:style w:type="paragraph" w:styleId="TOC1">
    <w:name w:val="toc 1"/>
    <w:basedOn w:val="HeadingBase"/>
    <w:next w:val="Normal"/>
    <w:uiPriority w:val="39"/>
    <w:rsid w:val="00477DED"/>
    <w:pPr>
      <w:tabs>
        <w:tab w:val="left" w:pos="284"/>
        <w:tab w:val="left" w:pos="567"/>
        <w:tab w:val="right" w:leader="dot" w:pos="9072"/>
      </w:tabs>
      <w:spacing w:before="180"/>
      <w:ind w:left="284" w:right="851" w:hanging="284"/>
    </w:pPr>
    <w:rPr>
      <w:b/>
      <w:smallCaps/>
      <w:sz w:val="22"/>
      <w:szCs w:val="22"/>
    </w:rPr>
  </w:style>
  <w:style w:type="paragraph" w:styleId="TOC2">
    <w:name w:val="toc 2"/>
    <w:basedOn w:val="HeadingBase"/>
    <w:next w:val="Normal"/>
    <w:uiPriority w:val="39"/>
    <w:rsid w:val="00656397"/>
    <w:pPr>
      <w:tabs>
        <w:tab w:val="right" w:leader="dot" w:pos="9072"/>
      </w:tabs>
      <w:spacing w:before="40" w:after="20"/>
      <w:ind w:left="284" w:right="851"/>
    </w:pPr>
  </w:style>
  <w:style w:type="paragraph" w:styleId="TOC3">
    <w:name w:val="toc 3"/>
    <w:basedOn w:val="Normal"/>
    <w:next w:val="Normal"/>
    <w:rsid w:val="00477DED"/>
    <w:pPr>
      <w:tabs>
        <w:tab w:val="right" w:leader="dot" w:pos="9072"/>
      </w:tabs>
      <w:spacing w:before="20" w:after="0" w:line="240" w:lineRule="auto"/>
      <w:ind w:left="284" w:right="851"/>
    </w:pPr>
  </w:style>
  <w:style w:type="paragraph" w:styleId="TOC4">
    <w:name w:val="toc 4"/>
    <w:basedOn w:val="Normal"/>
    <w:next w:val="Normal"/>
    <w:rsid w:val="00477DED"/>
    <w:pPr>
      <w:tabs>
        <w:tab w:val="right" w:leader="dot" w:pos="9072"/>
      </w:tabs>
      <w:spacing w:after="0" w:line="240" w:lineRule="auto"/>
      <w:ind w:left="284" w:right="851"/>
    </w:pPr>
  </w:style>
  <w:style w:type="paragraph" w:styleId="BodyTextIndent2">
    <w:name w:val="Body Text Indent 2"/>
    <w:basedOn w:val="Normal"/>
    <w:link w:val="BodyTextIndent2Char"/>
    <w:rsid w:val="00D85D73"/>
    <w:pPr>
      <w:spacing w:after="120" w:line="480" w:lineRule="auto"/>
      <w:ind w:left="283"/>
    </w:pPr>
  </w:style>
  <w:style w:type="character" w:customStyle="1" w:styleId="BodyTextIndent2Char">
    <w:name w:val="Body Text Indent 2 Char"/>
    <w:basedOn w:val="DefaultParagraphFont"/>
    <w:link w:val="BodyTextIndent2"/>
    <w:rsid w:val="00D85D73"/>
    <w:rPr>
      <w:rFonts w:eastAsia="Times New Roman" w:cs="Times New Roman"/>
      <w:szCs w:val="20"/>
      <w:lang w:eastAsia="en-AU"/>
    </w:rPr>
  </w:style>
  <w:style w:type="character" w:customStyle="1" w:styleId="BoldandItalic">
    <w:name w:val="Bold and Italic"/>
    <w:basedOn w:val="DefaultParagraphFont"/>
    <w:rsid w:val="00477DED"/>
    <w:rPr>
      <w:rFonts w:ascii="Calibri" w:hAnsi="Calibri"/>
      <w:b/>
      <w:i/>
    </w:rPr>
  </w:style>
  <w:style w:type="paragraph" w:styleId="Caption">
    <w:name w:val="caption"/>
    <w:basedOn w:val="Normal"/>
    <w:next w:val="Normal"/>
    <w:qFormat/>
    <w:rsid w:val="00477DED"/>
    <w:rPr>
      <w:b/>
      <w:bCs/>
    </w:rPr>
  </w:style>
  <w:style w:type="character" w:styleId="CommentReference">
    <w:name w:val="annotation reference"/>
    <w:basedOn w:val="DefaultParagraphFont"/>
    <w:semiHidden/>
    <w:rsid w:val="00477DED"/>
    <w:rPr>
      <w:sz w:val="16"/>
      <w:szCs w:val="16"/>
    </w:rPr>
  </w:style>
  <w:style w:type="paragraph" w:styleId="CommentText">
    <w:name w:val="annotation text"/>
    <w:basedOn w:val="Normal"/>
    <w:link w:val="CommentTextChar"/>
    <w:semiHidden/>
    <w:rsid w:val="00477DED"/>
  </w:style>
  <w:style w:type="character" w:customStyle="1" w:styleId="CommentTextChar">
    <w:name w:val="Comment Text Char"/>
    <w:basedOn w:val="DefaultParagraphFont"/>
    <w:link w:val="CommentText"/>
    <w:semiHidden/>
    <w:rsid w:val="00D85D73"/>
    <w:rPr>
      <w:rFonts w:eastAsia="Times New Roman" w:cs="Times New Roman"/>
      <w:color w:val="000000"/>
      <w:szCs w:val="20"/>
      <w:lang w:eastAsia="en-AU"/>
    </w:rPr>
  </w:style>
  <w:style w:type="paragraph" w:styleId="CommentSubject">
    <w:name w:val="annotation subject"/>
    <w:basedOn w:val="CommentText"/>
    <w:next w:val="CommentText"/>
    <w:link w:val="CommentSubjectChar"/>
    <w:semiHidden/>
    <w:rsid w:val="00477DED"/>
    <w:rPr>
      <w:b/>
      <w:bCs/>
    </w:rPr>
  </w:style>
  <w:style w:type="character" w:customStyle="1" w:styleId="CommentSubjectChar">
    <w:name w:val="Comment Subject Char"/>
    <w:basedOn w:val="CommentTextChar"/>
    <w:link w:val="CommentSubject"/>
    <w:semiHidden/>
    <w:rsid w:val="00D85D73"/>
    <w:rPr>
      <w:rFonts w:eastAsia="Times New Roman" w:cs="Times New Roman"/>
      <w:b/>
      <w:bCs/>
      <w:color w:val="000000"/>
      <w:szCs w:val="20"/>
      <w:lang w:eastAsia="en-AU"/>
    </w:rPr>
  </w:style>
  <w:style w:type="paragraph" w:styleId="DocumentMap">
    <w:name w:val="Document Map"/>
    <w:basedOn w:val="Normal"/>
    <w:link w:val="DocumentMapChar"/>
    <w:semiHidden/>
    <w:rsid w:val="00477DED"/>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5D73"/>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477DED"/>
    <w:rPr>
      <w:vertAlign w:val="superscript"/>
    </w:rPr>
  </w:style>
  <w:style w:type="paragraph" w:styleId="EndnoteText">
    <w:name w:val="endnote text"/>
    <w:basedOn w:val="Normal"/>
    <w:link w:val="EndnoteTextChar"/>
    <w:semiHidden/>
    <w:rsid w:val="00477DED"/>
  </w:style>
  <w:style w:type="character" w:customStyle="1" w:styleId="EndnoteTextChar">
    <w:name w:val="Endnote Text Char"/>
    <w:basedOn w:val="DefaultParagraphFont"/>
    <w:link w:val="EndnoteText"/>
    <w:semiHidden/>
    <w:rsid w:val="00D85D73"/>
    <w:rPr>
      <w:rFonts w:eastAsia="Times New Roman" w:cs="Times New Roman"/>
      <w:color w:val="000000"/>
      <w:szCs w:val="20"/>
      <w:lang w:eastAsia="en-AU"/>
    </w:rPr>
  </w:style>
  <w:style w:type="character" w:styleId="FollowedHyperlink">
    <w:name w:val="FollowedHyperlink"/>
    <w:basedOn w:val="DefaultParagraphFont"/>
    <w:rsid w:val="00477DED"/>
    <w:rPr>
      <w:color w:val="auto"/>
      <w:u w:val="none"/>
    </w:rPr>
  </w:style>
  <w:style w:type="paragraph" w:styleId="Index1">
    <w:name w:val="index 1"/>
    <w:basedOn w:val="Normal"/>
    <w:next w:val="Normal"/>
    <w:autoRedefine/>
    <w:semiHidden/>
    <w:rsid w:val="00477DED"/>
    <w:pPr>
      <w:ind w:left="200" w:hanging="200"/>
    </w:pPr>
  </w:style>
  <w:style w:type="paragraph" w:styleId="Index2">
    <w:name w:val="index 2"/>
    <w:basedOn w:val="Normal"/>
    <w:next w:val="Normal"/>
    <w:autoRedefine/>
    <w:semiHidden/>
    <w:rsid w:val="00477DED"/>
    <w:pPr>
      <w:ind w:left="400" w:hanging="200"/>
    </w:pPr>
  </w:style>
  <w:style w:type="paragraph" w:styleId="Index3">
    <w:name w:val="index 3"/>
    <w:basedOn w:val="Normal"/>
    <w:next w:val="Normal"/>
    <w:autoRedefine/>
    <w:semiHidden/>
    <w:rsid w:val="00477DED"/>
    <w:pPr>
      <w:ind w:left="600" w:hanging="200"/>
    </w:pPr>
  </w:style>
  <w:style w:type="paragraph" w:styleId="Index4">
    <w:name w:val="index 4"/>
    <w:basedOn w:val="Normal"/>
    <w:next w:val="Normal"/>
    <w:autoRedefine/>
    <w:semiHidden/>
    <w:rsid w:val="00477DED"/>
    <w:pPr>
      <w:ind w:left="800" w:hanging="200"/>
    </w:pPr>
  </w:style>
  <w:style w:type="paragraph" w:styleId="Index5">
    <w:name w:val="index 5"/>
    <w:basedOn w:val="Normal"/>
    <w:next w:val="Normal"/>
    <w:autoRedefine/>
    <w:semiHidden/>
    <w:rsid w:val="00477DED"/>
    <w:pPr>
      <w:ind w:left="1000" w:hanging="200"/>
    </w:pPr>
  </w:style>
  <w:style w:type="paragraph" w:styleId="Index6">
    <w:name w:val="index 6"/>
    <w:basedOn w:val="Normal"/>
    <w:next w:val="Normal"/>
    <w:autoRedefine/>
    <w:semiHidden/>
    <w:rsid w:val="00477DED"/>
    <w:pPr>
      <w:ind w:left="1200" w:hanging="200"/>
    </w:pPr>
  </w:style>
  <w:style w:type="paragraph" w:styleId="Index7">
    <w:name w:val="index 7"/>
    <w:basedOn w:val="Normal"/>
    <w:next w:val="Normal"/>
    <w:autoRedefine/>
    <w:semiHidden/>
    <w:rsid w:val="00477DED"/>
    <w:pPr>
      <w:ind w:left="1400" w:hanging="200"/>
    </w:pPr>
  </w:style>
  <w:style w:type="paragraph" w:styleId="Index8">
    <w:name w:val="index 8"/>
    <w:basedOn w:val="Normal"/>
    <w:next w:val="Normal"/>
    <w:autoRedefine/>
    <w:semiHidden/>
    <w:rsid w:val="00477DED"/>
    <w:pPr>
      <w:ind w:left="1600" w:hanging="200"/>
    </w:pPr>
  </w:style>
  <w:style w:type="paragraph" w:styleId="Index9">
    <w:name w:val="index 9"/>
    <w:basedOn w:val="Normal"/>
    <w:next w:val="Normal"/>
    <w:autoRedefine/>
    <w:semiHidden/>
    <w:rsid w:val="00477DED"/>
    <w:pPr>
      <w:ind w:left="1800" w:hanging="200"/>
    </w:pPr>
  </w:style>
  <w:style w:type="paragraph" w:styleId="IndexHeading">
    <w:name w:val="index heading"/>
    <w:basedOn w:val="Normal"/>
    <w:next w:val="Index1"/>
    <w:semiHidden/>
    <w:rsid w:val="00477DED"/>
    <w:rPr>
      <w:rFonts w:cs="Arial"/>
      <w:b/>
      <w:bCs/>
    </w:rPr>
  </w:style>
  <w:style w:type="paragraph" w:styleId="MacroText">
    <w:name w:val="macro"/>
    <w:link w:val="MacroTextChar"/>
    <w:semiHidden/>
    <w:rsid w:val="00477DE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85D73"/>
    <w:rPr>
      <w:rFonts w:ascii="Courier New" w:eastAsia="Times New Roman" w:hAnsi="Courier New" w:cs="Courier New"/>
      <w:color w:val="000000"/>
      <w:sz w:val="20"/>
      <w:szCs w:val="20"/>
      <w:lang w:eastAsia="en-AU"/>
    </w:rPr>
  </w:style>
  <w:style w:type="numbering" w:customStyle="1" w:styleId="OutlineList">
    <w:name w:val="OutlineList"/>
    <w:uiPriority w:val="99"/>
    <w:rsid w:val="00D85D73"/>
    <w:pPr>
      <w:numPr>
        <w:numId w:val="11"/>
      </w:numPr>
    </w:pPr>
  </w:style>
  <w:style w:type="paragraph" w:customStyle="1" w:styleId="PictureCentred">
    <w:name w:val="Picture Centred"/>
    <w:basedOn w:val="Normal"/>
    <w:rsid w:val="00D85D73"/>
    <w:pPr>
      <w:spacing w:before="120" w:line="240" w:lineRule="atLeast"/>
      <w:jc w:val="center"/>
    </w:pPr>
  </w:style>
  <w:style w:type="paragraph" w:customStyle="1" w:styleId="PictureLeft">
    <w:name w:val="Picture Left"/>
    <w:basedOn w:val="PictureCentred"/>
    <w:rsid w:val="00D85D73"/>
    <w:pPr>
      <w:jc w:val="left"/>
    </w:pPr>
  </w:style>
  <w:style w:type="paragraph" w:customStyle="1" w:styleId="PictureIndent">
    <w:name w:val="Picture Indent"/>
    <w:basedOn w:val="PictureLeft"/>
    <w:rsid w:val="00D85D73"/>
    <w:pPr>
      <w:ind w:left="284"/>
    </w:pPr>
  </w:style>
  <w:style w:type="paragraph" w:styleId="TableofAuthorities">
    <w:name w:val="table of authorities"/>
    <w:basedOn w:val="Normal"/>
    <w:next w:val="Normal"/>
    <w:rsid w:val="00477DED"/>
    <w:pPr>
      <w:ind w:left="200" w:hanging="200"/>
    </w:pPr>
  </w:style>
  <w:style w:type="paragraph" w:styleId="TableofFigures">
    <w:name w:val="table of figures"/>
    <w:basedOn w:val="Normal"/>
    <w:next w:val="Normal"/>
    <w:rsid w:val="00477DED"/>
  </w:style>
  <w:style w:type="paragraph" w:styleId="TOAHeading">
    <w:name w:val="toa heading"/>
    <w:basedOn w:val="Normal"/>
    <w:next w:val="Normal"/>
    <w:semiHidden/>
    <w:rsid w:val="00477DED"/>
    <w:pPr>
      <w:spacing w:before="120"/>
    </w:pPr>
    <w:rPr>
      <w:rFonts w:cs="Arial"/>
      <w:b/>
      <w:bCs/>
      <w:sz w:val="24"/>
      <w:szCs w:val="24"/>
    </w:rPr>
  </w:style>
  <w:style w:type="paragraph" w:styleId="TOC5">
    <w:name w:val="toc 5"/>
    <w:basedOn w:val="Normal"/>
    <w:next w:val="Normal"/>
    <w:autoRedefine/>
    <w:semiHidden/>
    <w:rsid w:val="00477DED"/>
    <w:pPr>
      <w:ind w:left="800"/>
    </w:pPr>
  </w:style>
  <w:style w:type="paragraph" w:styleId="TOC6">
    <w:name w:val="toc 6"/>
    <w:basedOn w:val="Normal"/>
    <w:next w:val="Normal"/>
    <w:autoRedefine/>
    <w:semiHidden/>
    <w:rsid w:val="00477DED"/>
    <w:pPr>
      <w:ind w:left="1000"/>
    </w:pPr>
  </w:style>
  <w:style w:type="paragraph" w:styleId="TOC7">
    <w:name w:val="toc 7"/>
    <w:basedOn w:val="Normal"/>
    <w:next w:val="Normal"/>
    <w:autoRedefine/>
    <w:semiHidden/>
    <w:rsid w:val="00477DED"/>
    <w:pPr>
      <w:ind w:left="1200"/>
    </w:pPr>
  </w:style>
  <w:style w:type="paragraph" w:styleId="TOC8">
    <w:name w:val="toc 8"/>
    <w:basedOn w:val="Normal"/>
    <w:next w:val="Normal"/>
    <w:autoRedefine/>
    <w:semiHidden/>
    <w:rsid w:val="00477DED"/>
    <w:pPr>
      <w:ind w:left="1400"/>
    </w:pPr>
  </w:style>
  <w:style w:type="paragraph" w:styleId="TOC9">
    <w:name w:val="toc 9"/>
    <w:basedOn w:val="Normal"/>
    <w:next w:val="Normal"/>
    <w:autoRedefine/>
    <w:semiHidden/>
    <w:rsid w:val="00477DED"/>
    <w:pPr>
      <w:ind w:left="1600"/>
    </w:pPr>
  </w:style>
  <w:style w:type="numbering" w:customStyle="1" w:styleId="BulletedList">
    <w:name w:val="Bulleted List"/>
    <w:uiPriority w:val="99"/>
    <w:rsid w:val="00D85D73"/>
    <w:pPr>
      <w:numPr>
        <w:numId w:val="17"/>
      </w:numPr>
    </w:pPr>
  </w:style>
  <w:style w:type="numbering" w:customStyle="1" w:styleId="BoxBulletedList">
    <w:name w:val="Box Bulleted List"/>
    <w:uiPriority w:val="99"/>
    <w:rsid w:val="00D85D73"/>
    <w:pPr>
      <w:numPr>
        <w:numId w:val="8"/>
      </w:numPr>
    </w:pPr>
  </w:style>
  <w:style w:type="numbering" w:customStyle="1" w:styleId="AlphaParagraphList">
    <w:name w:val="Alpha Paragraph List"/>
    <w:uiPriority w:val="99"/>
    <w:rsid w:val="00D85D73"/>
    <w:pPr>
      <w:numPr>
        <w:numId w:val="9"/>
      </w:numPr>
    </w:pPr>
  </w:style>
  <w:style w:type="numbering" w:customStyle="1" w:styleId="OneLevelList">
    <w:name w:val="OneLevelList"/>
    <w:uiPriority w:val="99"/>
    <w:rsid w:val="00D85D73"/>
    <w:pPr>
      <w:numPr>
        <w:numId w:val="10"/>
      </w:numPr>
    </w:pPr>
  </w:style>
  <w:style w:type="numbering" w:customStyle="1" w:styleId="RecommendationBulletList">
    <w:name w:val="RecommendationBulletList"/>
    <w:uiPriority w:val="99"/>
    <w:rsid w:val="00D85D73"/>
    <w:pPr>
      <w:numPr>
        <w:numId w:val="12"/>
      </w:numPr>
    </w:pPr>
  </w:style>
  <w:style w:type="numbering" w:customStyle="1" w:styleId="RomanNumeralList">
    <w:name w:val="RomanNumeralList"/>
    <w:uiPriority w:val="99"/>
    <w:rsid w:val="00D85D73"/>
    <w:pPr>
      <w:numPr>
        <w:numId w:val="13"/>
      </w:numPr>
    </w:pPr>
  </w:style>
  <w:style w:type="numbering" w:customStyle="1" w:styleId="ChartandTableFootnoteAlphaList">
    <w:name w:val="ChartandTableFootnoteAlphaList"/>
    <w:uiPriority w:val="99"/>
    <w:rsid w:val="00D85D73"/>
    <w:pPr>
      <w:numPr>
        <w:numId w:val="14"/>
      </w:numPr>
    </w:pPr>
  </w:style>
  <w:style w:type="paragraph" w:customStyle="1" w:styleId="TableTextBullet">
    <w:name w:val="Table Text Bullet"/>
    <w:basedOn w:val="Normal"/>
    <w:rsid w:val="00D85D73"/>
    <w:pPr>
      <w:numPr>
        <w:numId w:val="15"/>
      </w:numPr>
      <w:spacing w:line="260" w:lineRule="exact"/>
    </w:pPr>
  </w:style>
  <w:style w:type="numbering" w:customStyle="1" w:styleId="TableTextBulletList">
    <w:name w:val="Table Text Bullet List"/>
    <w:uiPriority w:val="99"/>
    <w:rsid w:val="00D85D73"/>
    <w:pPr>
      <w:numPr>
        <w:numId w:val="15"/>
      </w:numPr>
    </w:pPr>
  </w:style>
  <w:style w:type="paragraph" w:customStyle="1" w:styleId="SecurityClassificationHeader">
    <w:name w:val="Security Classification Header"/>
    <w:link w:val="SecurityClassificationHeaderChar"/>
    <w:rsid w:val="00D85D73"/>
    <w:pPr>
      <w:spacing w:after="240"/>
      <w:jc w:val="center"/>
    </w:pPr>
    <w:rPr>
      <w:rFonts w:ascii="Times New Roman" w:eastAsia="Times New Roman" w:hAnsi="Times New Roman"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D85D73"/>
    <w:rPr>
      <w:rFonts w:ascii="Times New Roman" w:eastAsia="Times New Roman" w:hAnsi="Times New Roman" w:cs="Times New Roman"/>
      <w:b/>
      <w:caps/>
      <w:color w:val="4F81BD" w:themeColor="accent1"/>
      <w:sz w:val="24"/>
      <w:szCs w:val="20"/>
      <w:lang w:eastAsia="en-AU"/>
    </w:rPr>
  </w:style>
  <w:style w:type="paragraph" w:customStyle="1" w:styleId="SecurityClassificationFooter">
    <w:name w:val="Security Classification Footer"/>
    <w:link w:val="SecurityClassificationFooterChar"/>
    <w:rsid w:val="00477DED"/>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477DED"/>
    <w:rPr>
      <w:rFonts w:ascii="Times New Roman" w:eastAsia="Times New Roman" w:hAnsi="Times New Roman" w:cs="Times New Roman"/>
      <w:b/>
      <w:caps/>
      <w:color w:val="342E82"/>
      <w:sz w:val="24"/>
      <w:szCs w:val="20"/>
      <w:lang w:eastAsia="en-AU"/>
    </w:rPr>
  </w:style>
  <w:style w:type="character" w:customStyle="1" w:styleId="Italic0">
    <w:name w:val="Italic"/>
    <w:basedOn w:val="DefaultParagraphFont"/>
    <w:rsid w:val="00D85D73"/>
    <w:rPr>
      <w:i/>
    </w:rPr>
  </w:style>
  <w:style w:type="character" w:customStyle="1" w:styleId="BulletChar">
    <w:name w:val="Bullet Char"/>
    <w:aliases w:val="b Char"/>
    <w:basedOn w:val="DefaultParagraphFont"/>
    <w:link w:val="Bullet"/>
    <w:rsid w:val="00FF537F"/>
    <w:rPr>
      <w:rFonts w:eastAsia="Times New Roman" w:cs="Times New Roman"/>
      <w:color w:val="000000"/>
      <w:szCs w:val="20"/>
      <w:lang w:eastAsia="en-AU"/>
    </w:rPr>
  </w:style>
  <w:style w:type="paragraph" w:customStyle="1" w:styleId="Pa15">
    <w:name w:val="Pa15"/>
    <w:basedOn w:val="Normal"/>
    <w:next w:val="Normal"/>
    <w:uiPriority w:val="99"/>
    <w:rsid w:val="00D85D73"/>
    <w:pPr>
      <w:autoSpaceDE w:val="0"/>
      <w:autoSpaceDN w:val="0"/>
      <w:adjustRightInd w:val="0"/>
      <w:spacing w:line="201" w:lineRule="atLeast"/>
    </w:pPr>
    <w:rPr>
      <w:rFonts w:ascii="Georgia" w:hAnsi="Georgia"/>
      <w:sz w:val="24"/>
      <w:szCs w:val="24"/>
    </w:rPr>
  </w:style>
  <w:style w:type="character" w:styleId="Emphasis">
    <w:name w:val="Emphasis"/>
    <w:basedOn w:val="DefaultParagraphFont"/>
    <w:uiPriority w:val="20"/>
    <w:qFormat/>
    <w:rsid w:val="00D85D73"/>
    <w:rPr>
      <w:i/>
      <w:iCs/>
    </w:rPr>
  </w:style>
  <w:style w:type="paragraph" w:styleId="ListParagraph">
    <w:name w:val="List Paragraph"/>
    <w:basedOn w:val="Normal"/>
    <w:uiPriority w:val="99"/>
    <w:qFormat/>
    <w:rsid w:val="00D85D73"/>
    <w:pPr>
      <w:spacing w:after="200" w:line="276" w:lineRule="auto"/>
      <w:ind w:left="720"/>
      <w:contextualSpacing/>
    </w:pPr>
    <w:rPr>
      <w:rFonts w:cstheme="minorBidi"/>
      <w:lang w:val="fr-FR"/>
    </w:rPr>
  </w:style>
  <w:style w:type="paragraph" w:styleId="TOCHeading">
    <w:name w:val="TOC Heading"/>
    <w:basedOn w:val="Heading1"/>
    <w:next w:val="Normal"/>
    <w:uiPriority w:val="39"/>
    <w:semiHidden/>
    <w:unhideWhenUsed/>
    <w:qFormat/>
    <w:rsid w:val="00D85D73"/>
    <w:pPr>
      <w:keepLines/>
      <w:spacing w:before="480" w:after="0" w:line="276" w:lineRule="auto"/>
      <w:outlineLvl w:val="9"/>
    </w:pPr>
    <w:rPr>
      <w:rFonts w:eastAsiaTheme="majorEastAsia" w:cstheme="majorBidi"/>
      <w:b w:val="0"/>
      <w:color w:val="365F91" w:themeColor="accent1" w:themeShade="BF"/>
      <w:kern w:val="0"/>
      <w:sz w:val="28"/>
      <w:szCs w:val="28"/>
      <w:lang w:val="en-US" w:eastAsia="ja-JP"/>
    </w:rPr>
  </w:style>
  <w:style w:type="paragraph" w:customStyle="1" w:styleId="Pa2">
    <w:name w:val="Pa2"/>
    <w:basedOn w:val="Default"/>
    <w:next w:val="Default"/>
    <w:uiPriority w:val="99"/>
    <w:rsid w:val="00D85D73"/>
    <w:pPr>
      <w:spacing w:line="201" w:lineRule="atLeast"/>
    </w:pPr>
    <w:rPr>
      <w:rFonts w:ascii="Calibri" w:hAnsi="Calibri" w:cs="Times New Roman"/>
      <w:color w:val="auto"/>
    </w:rPr>
  </w:style>
  <w:style w:type="paragraph" w:styleId="Revision">
    <w:name w:val="Revision"/>
    <w:hidden/>
    <w:uiPriority w:val="99"/>
    <w:semiHidden/>
    <w:rsid w:val="00D85D73"/>
    <w:pPr>
      <w:spacing w:after="0" w:line="240" w:lineRule="auto"/>
    </w:pPr>
    <w:rPr>
      <w:rFonts w:eastAsia="Times New Roman" w:cs="Times New Roman"/>
      <w:szCs w:val="20"/>
      <w:lang w:eastAsia="en-AU"/>
    </w:rPr>
  </w:style>
  <w:style w:type="character" w:customStyle="1" w:styleId="DashChar">
    <w:name w:val="Dash Char"/>
    <w:basedOn w:val="DefaultParagraphFont"/>
    <w:link w:val="Dash"/>
    <w:locked/>
    <w:rsid w:val="00FF537F"/>
    <w:rPr>
      <w:rFonts w:eastAsia="Times New Roman" w:cs="Times New Roman"/>
      <w:color w:val="000000"/>
      <w:szCs w:val="20"/>
      <w:lang w:eastAsia="en-AU"/>
    </w:rPr>
  </w:style>
  <w:style w:type="paragraph" w:customStyle="1" w:styleId="Heading1NotNumbered">
    <w:name w:val="Heading 1 Not Numbered"/>
    <w:basedOn w:val="HeadingBase"/>
    <w:next w:val="Normal"/>
    <w:rsid w:val="00477DED"/>
    <w:pPr>
      <w:spacing w:before="720" w:after="360"/>
    </w:pPr>
    <w:rPr>
      <w:smallCaps/>
      <w:sz w:val="36"/>
      <w:szCs w:val="36"/>
    </w:rPr>
  </w:style>
  <w:style w:type="paragraph" w:customStyle="1" w:styleId="Heading2NotNumbered">
    <w:name w:val="Heading 2 Not Numbered"/>
    <w:basedOn w:val="HeadingBase"/>
    <w:next w:val="Normal"/>
    <w:rsid w:val="00477DED"/>
    <w:pPr>
      <w:spacing w:before="360" w:after="180"/>
    </w:pPr>
    <w:rPr>
      <w:smallCaps/>
      <w:sz w:val="28"/>
      <w:szCs w:val="28"/>
    </w:rPr>
  </w:style>
  <w:style w:type="paragraph" w:customStyle="1" w:styleId="Heading3NotNumbered">
    <w:name w:val="Heading 3 Not Numbered"/>
    <w:basedOn w:val="HeadingBase"/>
    <w:next w:val="Normal"/>
    <w:rsid w:val="00477DED"/>
    <w:pPr>
      <w:spacing w:before="240" w:after="120"/>
    </w:pPr>
    <w:rPr>
      <w:sz w:val="28"/>
      <w:szCs w:val="26"/>
    </w:rPr>
  </w:style>
  <w:style w:type="paragraph" w:customStyle="1" w:styleId="Heading4NotNumbered">
    <w:name w:val="Heading 4 Not Numbered"/>
    <w:basedOn w:val="HeadingBase"/>
    <w:rsid w:val="00477DED"/>
    <w:pPr>
      <w:spacing w:before="120" w:after="120"/>
      <w:outlineLvl w:val="3"/>
    </w:pPr>
    <w:rPr>
      <w:b/>
      <w:sz w:val="26"/>
    </w:rPr>
  </w:style>
  <w:style w:type="paragraph" w:customStyle="1" w:styleId="Heading5NotNumbered">
    <w:name w:val="Heading 5 Not Numbered"/>
    <w:basedOn w:val="HeadingBase"/>
    <w:rsid w:val="00477DED"/>
    <w:pPr>
      <w:spacing w:after="120"/>
      <w:outlineLvl w:val="4"/>
    </w:pPr>
    <w:rPr>
      <w:b/>
      <w:sz w:val="24"/>
    </w:rPr>
  </w:style>
  <w:style w:type="table" w:customStyle="1" w:styleId="OptionsTable">
    <w:name w:val="Options Table"/>
    <w:basedOn w:val="TableNormal"/>
    <w:rsid w:val="00477DED"/>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OutlineNumbered4">
    <w:name w:val="Outline Numbered 4"/>
    <w:basedOn w:val="Normal"/>
    <w:rsid w:val="00477DED"/>
  </w:style>
  <w:style w:type="paragraph" w:customStyle="1" w:styleId="OutlineNumbered5">
    <w:name w:val="Outline Numbered 5"/>
    <w:basedOn w:val="Normal"/>
    <w:rsid w:val="00477DED"/>
    <w:pPr>
      <w:numPr>
        <w:ilvl w:val="4"/>
        <w:numId w:val="19"/>
      </w:numPr>
    </w:pPr>
  </w:style>
  <w:style w:type="paragraph" w:customStyle="1" w:styleId="Crest">
    <w:name w:val="Crest"/>
    <w:basedOn w:val="Header"/>
    <w:rsid w:val="00477DED"/>
    <w:pPr>
      <w:spacing w:after="480"/>
      <w:jc w:val="right"/>
    </w:pPr>
  </w:style>
  <w:style w:type="character" w:customStyle="1" w:styleId="SingleParagraphChar">
    <w:name w:val="Single Paragraph Char"/>
    <w:basedOn w:val="DefaultParagraphFont"/>
    <w:link w:val="SingleParagraph"/>
    <w:rsid w:val="00477DED"/>
    <w:rPr>
      <w:rFonts w:eastAsia="Times New Roman" w:cs="Times New Roman"/>
      <w:color w:val="000000"/>
      <w:szCs w:val="20"/>
      <w:lang w:eastAsia="en-AU"/>
    </w:rPr>
  </w:style>
  <w:style w:type="character" w:customStyle="1" w:styleId="A5">
    <w:name w:val="A5"/>
    <w:uiPriority w:val="99"/>
    <w:rsid w:val="00477DED"/>
    <w:rPr>
      <w:rFonts w:cs="Swiss 721 B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2420">
      <w:bodyDiv w:val="1"/>
      <w:marLeft w:val="0"/>
      <w:marRight w:val="0"/>
      <w:marTop w:val="0"/>
      <w:marBottom w:val="0"/>
      <w:divBdr>
        <w:top w:val="none" w:sz="0" w:space="0" w:color="auto"/>
        <w:left w:val="none" w:sz="0" w:space="0" w:color="auto"/>
        <w:bottom w:val="none" w:sz="0" w:space="0" w:color="auto"/>
        <w:right w:val="none" w:sz="0" w:space="0" w:color="auto"/>
      </w:divBdr>
    </w:div>
    <w:div w:id="712192347">
      <w:bodyDiv w:val="1"/>
      <w:marLeft w:val="0"/>
      <w:marRight w:val="0"/>
      <w:marTop w:val="0"/>
      <w:marBottom w:val="0"/>
      <w:divBdr>
        <w:top w:val="none" w:sz="0" w:space="0" w:color="auto"/>
        <w:left w:val="none" w:sz="0" w:space="0" w:color="auto"/>
        <w:bottom w:val="none" w:sz="0" w:space="0" w:color="auto"/>
        <w:right w:val="none" w:sz="0" w:space="0" w:color="auto"/>
      </w:divBdr>
      <w:divsChild>
        <w:div w:id="1886092518">
          <w:marLeft w:val="0"/>
          <w:marRight w:val="0"/>
          <w:marTop w:val="0"/>
          <w:marBottom w:val="0"/>
          <w:divBdr>
            <w:top w:val="none" w:sz="0" w:space="0" w:color="auto"/>
            <w:left w:val="none" w:sz="0" w:space="0" w:color="auto"/>
            <w:bottom w:val="none" w:sz="0" w:space="0" w:color="auto"/>
            <w:right w:val="none" w:sz="0" w:space="0" w:color="auto"/>
          </w:divBdr>
          <w:divsChild>
            <w:div w:id="2016640545">
              <w:marLeft w:val="0"/>
              <w:marRight w:val="0"/>
              <w:marTop w:val="270"/>
              <w:marBottom w:val="0"/>
              <w:divBdr>
                <w:top w:val="none" w:sz="0" w:space="0" w:color="auto"/>
                <w:left w:val="none" w:sz="0" w:space="0" w:color="auto"/>
                <w:bottom w:val="none" w:sz="0" w:space="0" w:color="auto"/>
                <w:right w:val="none" w:sz="0" w:space="0" w:color="auto"/>
              </w:divBdr>
              <w:divsChild>
                <w:div w:id="958074240">
                  <w:marLeft w:val="0"/>
                  <w:marRight w:val="0"/>
                  <w:marTop w:val="0"/>
                  <w:marBottom w:val="0"/>
                  <w:divBdr>
                    <w:top w:val="none" w:sz="0" w:space="0" w:color="auto"/>
                    <w:left w:val="none" w:sz="0" w:space="0" w:color="auto"/>
                    <w:bottom w:val="none" w:sz="0" w:space="0" w:color="auto"/>
                    <w:right w:val="none" w:sz="0" w:space="0" w:color="auto"/>
                  </w:divBdr>
                  <w:divsChild>
                    <w:div w:id="2007512469">
                      <w:marLeft w:val="0"/>
                      <w:marRight w:val="0"/>
                      <w:marTop w:val="0"/>
                      <w:marBottom w:val="0"/>
                      <w:divBdr>
                        <w:top w:val="none" w:sz="0" w:space="0" w:color="auto"/>
                        <w:left w:val="none" w:sz="0" w:space="0" w:color="auto"/>
                        <w:bottom w:val="none" w:sz="0" w:space="0" w:color="auto"/>
                        <w:right w:val="none" w:sz="0" w:space="0" w:color="auto"/>
                      </w:divBdr>
                      <w:divsChild>
                        <w:div w:id="1737431278">
                          <w:marLeft w:val="0"/>
                          <w:marRight w:val="0"/>
                          <w:marTop w:val="0"/>
                          <w:marBottom w:val="0"/>
                          <w:divBdr>
                            <w:top w:val="none" w:sz="0" w:space="0" w:color="auto"/>
                            <w:left w:val="none" w:sz="0" w:space="0" w:color="auto"/>
                            <w:bottom w:val="none" w:sz="0" w:space="0" w:color="auto"/>
                            <w:right w:val="none" w:sz="0" w:space="0" w:color="auto"/>
                          </w:divBdr>
                          <w:divsChild>
                            <w:div w:id="11822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43193">
      <w:bodyDiv w:val="1"/>
      <w:marLeft w:val="0"/>
      <w:marRight w:val="0"/>
      <w:marTop w:val="0"/>
      <w:marBottom w:val="0"/>
      <w:divBdr>
        <w:top w:val="none" w:sz="0" w:space="0" w:color="auto"/>
        <w:left w:val="none" w:sz="0" w:space="0" w:color="auto"/>
        <w:bottom w:val="none" w:sz="0" w:space="0" w:color="auto"/>
        <w:right w:val="none" w:sz="0" w:space="0" w:color="auto"/>
      </w:divBdr>
    </w:div>
    <w:div w:id="1173565566">
      <w:bodyDiv w:val="1"/>
      <w:marLeft w:val="0"/>
      <w:marRight w:val="0"/>
      <w:marTop w:val="0"/>
      <w:marBottom w:val="0"/>
      <w:divBdr>
        <w:top w:val="none" w:sz="0" w:space="0" w:color="auto"/>
        <w:left w:val="none" w:sz="0" w:space="0" w:color="auto"/>
        <w:bottom w:val="none" w:sz="0" w:space="0" w:color="auto"/>
        <w:right w:val="none" w:sz="0" w:space="0" w:color="auto"/>
      </w:divBdr>
      <w:divsChild>
        <w:div w:id="982202210">
          <w:marLeft w:val="0"/>
          <w:marRight w:val="0"/>
          <w:marTop w:val="0"/>
          <w:marBottom w:val="0"/>
          <w:divBdr>
            <w:top w:val="none" w:sz="0" w:space="0" w:color="auto"/>
            <w:left w:val="none" w:sz="0" w:space="0" w:color="auto"/>
            <w:bottom w:val="none" w:sz="0" w:space="0" w:color="auto"/>
            <w:right w:val="none" w:sz="0" w:space="0" w:color="auto"/>
          </w:divBdr>
          <w:divsChild>
            <w:div w:id="1184787718">
              <w:marLeft w:val="0"/>
              <w:marRight w:val="0"/>
              <w:marTop w:val="270"/>
              <w:marBottom w:val="0"/>
              <w:divBdr>
                <w:top w:val="none" w:sz="0" w:space="0" w:color="auto"/>
                <w:left w:val="none" w:sz="0" w:space="0" w:color="auto"/>
                <w:bottom w:val="none" w:sz="0" w:space="0" w:color="auto"/>
                <w:right w:val="none" w:sz="0" w:space="0" w:color="auto"/>
              </w:divBdr>
              <w:divsChild>
                <w:div w:id="226844774">
                  <w:marLeft w:val="0"/>
                  <w:marRight w:val="0"/>
                  <w:marTop w:val="0"/>
                  <w:marBottom w:val="0"/>
                  <w:divBdr>
                    <w:top w:val="none" w:sz="0" w:space="0" w:color="auto"/>
                    <w:left w:val="none" w:sz="0" w:space="0" w:color="auto"/>
                    <w:bottom w:val="none" w:sz="0" w:space="0" w:color="auto"/>
                    <w:right w:val="none" w:sz="0" w:space="0" w:color="auto"/>
                  </w:divBdr>
                  <w:divsChild>
                    <w:div w:id="307830036">
                      <w:marLeft w:val="0"/>
                      <w:marRight w:val="0"/>
                      <w:marTop w:val="0"/>
                      <w:marBottom w:val="0"/>
                      <w:divBdr>
                        <w:top w:val="none" w:sz="0" w:space="0" w:color="auto"/>
                        <w:left w:val="none" w:sz="0" w:space="0" w:color="auto"/>
                        <w:bottom w:val="none" w:sz="0" w:space="0" w:color="auto"/>
                        <w:right w:val="none" w:sz="0" w:space="0" w:color="auto"/>
                      </w:divBdr>
                      <w:divsChild>
                        <w:div w:id="122232127">
                          <w:marLeft w:val="0"/>
                          <w:marRight w:val="0"/>
                          <w:marTop w:val="0"/>
                          <w:marBottom w:val="0"/>
                          <w:divBdr>
                            <w:top w:val="none" w:sz="0" w:space="0" w:color="auto"/>
                            <w:left w:val="none" w:sz="0" w:space="0" w:color="auto"/>
                            <w:bottom w:val="none" w:sz="0" w:space="0" w:color="auto"/>
                            <w:right w:val="none" w:sz="0" w:space="0" w:color="auto"/>
                          </w:divBdr>
                          <w:divsChild>
                            <w:div w:id="11911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84154">
      <w:bodyDiv w:val="1"/>
      <w:marLeft w:val="0"/>
      <w:marRight w:val="0"/>
      <w:marTop w:val="0"/>
      <w:marBottom w:val="0"/>
      <w:divBdr>
        <w:top w:val="none" w:sz="0" w:space="0" w:color="auto"/>
        <w:left w:val="none" w:sz="0" w:space="0" w:color="auto"/>
        <w:bottom w:val="none" w:sz="0" w:space="0" w:color="auto"/>
        <w:right w:val="none" w:sz="0" w:space="0" w:color="auto"/>
      </w:divBdr>
    </w:div>
    <w:div w:id="1439834506">
      <w:bodyDiv w:val="1"/>
      <w:marLeft w:val="0"/>
      <w:marRight w:val="0"/>
      <w:marTop w:val="0"/>
      <w:marBottom w:val="0"/>
      <w:divBdr>
        <w:top w:val="none" w:sz="0" w:space="0" w:color="auto"/>
        <w:left w:val="none" w:sz="0" w:space="0" w:color="auto"/>
        <w:bottom w:val="none" w:sz="0" w:space="0" w:color="auto"/>
        <w:right w:val="none" w:sz="0" w:space="0" w:color="auto"/>
      </w:divBdr>
    </w:div>
    <w:div w:id="1513882877">
      <w:bodyDiv w:val="1"/>
      <w:marLeft w:val="0"/>
      <w:marRight w:val="0"/>
      <w:marTop w:val="0"/>
      <w:marBottom w:val="0"/>
      <w:divBdr>
        <w:top w:val="none" w:sz="0" w:space="0" w:color="auto"/>
        <w:left w:val="none" w:sz="0" w:space="0" w:color="auto"/>
        <w:bottom w:val="none" w:sz="0" w:space="0" w:color="auto"/>
        <w:right w:val="none" w:sz="0" w:space="0" w:color="auto"/>
      </w:divBdr>
    </w:div>
    <w:div w:id="2098598165">
      <w:bodyDiv w:val="1"/>
      <w:marLeft w:val="0"/>
      <w:marRight w:val="0"/>
      <w:marTop w:val="0"/>
      <w:marBottom w:val="0"/>
      <w:divBdr>
        <w:top w:val="none" w:sz="0" w:space="0" w:color="auto"/>
        <w:left w:val="none" w:sz="0" w:space="0" w:color="auto"/>
        <w:bottom w:val="none" w:sz="0" w:space="0" w:color="auto"/>
        <w:right w:val="none" w:sz="0" w:space="0" w:color="auto"/>
      </w:divBdr>
      <w:divsChild>
        <w:div w:id="848906662">
          <w:marLeft w:val="0"/>
          <w:marRight w:val="0"/>
          <w:marTop w:val="0"/>
          <w:marBottom w:val="0"/>
          <w:divBdr>
            <w:top w:val="none" w:sz="0" w:space="0" w:color="auto"/>
            <w:left w:val="none" w:sz="0" w:space="0" w:color="auto"/>
            <w:bottom w:val="none" w:sz="0" w:space="0" w:color="auto"/>
            <w:right w:val="none" w:sz="0" w:space="0" w:color="auto"/>
          </w:divBdr>
          <w:divsChild>
            <w:div w:id="367295171">
              <w:marLeft w:val="0"/>
              <w:marRight w:val="0"/>
              <w:marTop w:val="270"/>
              <w:marBottom w:val="0"/>
              <w:divBdr>
                <w:top w:val="none" w:sz="0" w:space="0" w:color="auto"/>
                <w:left w:val="none" w:sz="0" w:space="0" w:color="auto"/>
                <w:bottom w:val="none" w:sz="0" w:space="0" w:color="auto"/>
                <w:right w:val="none" w:sz="0" w:space="0" w:color="auto"/>
              </w:divBdr>
              <w:divsChild>
                <w:div w:id="1107315668">
                  <w:marLeft w:val="0"/>
                  <w:marRight w:val="0"/>
                  <w:marTop w:val="0"/>
                  <w:marBottom w:val="0"/>
                  <w:divBdr>
                    <w:top w:val="none" w:sz="0" w:space="0" w:color="auto"/>
                    <w:left w:val="none" w:sz="0" w:space="0" w:color="auto"/>
                    <w:bottom w:val="none" w:sz="0" w:space="0" w:color="auto"/>
                    <w:right w:val="none" w:sz="0" w:space="0" w:color="auto"/>
                  </w:divBdr>
                  <w:divsChild>
                    <w:div w:id="2064258258">
                      <w:marLeft w:val="0"/>
                      <w:marRight w:val="0"/>
                      <w:marTop w:val="0"/>
                      <w:marBottom w:val="0"/>
                      <w:divBdr>
                        <w:top w:val="none" w:sz="0" w:space="0" w:color="auto"/>
                        <w:left w:val="none" w:sz="0" w:space="0" w:color="auto"/>
                        <w:bottom w:val="none" w:sz="0" w:space="0" w:color="auto"/>
                        <w:right w:val="none" w:sz="0" w:space="0" w:color="auto"/>
                      </w:divBdr>
                      <w:divsChild>
                        <w:div w:id="1864393144">
                          <w:marLeft w:val="0"/>
                          <w:marRight w:val="0"/>
                          <w:marTop w:val="0"/>
                          <w:marBottom w:val="0"/>
                          <w:divBdr>
                            <w:top w:val="none" w:sz="0" w:space="0" w:color="auto"/>
                            <w:left w:val="none" w:sz="0" w:space="0" w:color="auto"/>
                            <w:bottom w:val="none" w:sz="0" w:space="0" w:color="auto"/>
                            <w:right w:val="none" w:sz="0" w:space="0" w:color="auto"/>
                          </w:divBdr>
                          <w:divsChild>
                            <w:div w:id="10187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w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mailto:medialiaison@treasury.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weeklystandard.com/blogs/marketfineaftercongressfailsreauthorizefedbackedterrorismriskinsurance_822353.html" TargetMode="External"/><Relationship Id="rId1" Type="http://schemas.openxmlformats.org/officeDocument/2006/relationships/hyperlink" Target="http://www.courant.com/business/connecticutinsurance/hcterrorisminsuranceactexpires20141231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C9F3C-4BE2-4F47-8798-FB46F5D4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9793</Words>
  <Characters>55822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Terrorism Insurance Act Review 2015</vt:lpstr>
    </vt:vector>
  </TitlesOfParts>
  <Company/>
  <LinksUpToDate>false</LinksUpToDate>
  <CharactersWithSpaces>65485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Terrorism Insurance Act Review 2015</dc:title>
  <dc:subject/>
  <dc:creator/>
  <cp:keywords/>
  <cp:lastModifiedBy/>
  <cp:revision>1</cp:revision>
  <dcterms:created xsi:type="dcterms:W3CDTF">2015-12-14T23:01:00Z</dcterms:created>
  <dcterms:modified xsi:type="dcterms:W3CDTF">2015-12-14T23:01:00Z</dcterms:modified>
</cp:coreProperties>
</file>