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E0485" w14:textId="77777777" w:rsidR="0045139D" w:rsidRDefault="0045139D" w:rsidP="002576C7">
      <w:pPr>
        <w:pStyle w:val="Baseparagraphcentred"/>
      </w:pPr>
    </w:p>
    <w:p w14:paraId="1DDA028B" w14:textId="77777777" w:rsidR="004B4380" w:rsidRDefault="004B4380" w:rsidP="002576C7">
      <w:pPr>
        <w:pStyle w:val="Baseparagraphcentred"/>
      </w:pPr>
    </w:p>
    <w:p w14:paraId="54C909F2" w14:textId="77777777" w:rsidR="0045139D" w:rsidRDefault="0045139D" w:rsidP="002576C7">
      <w:pPr>
        <w:pStyle w:val="Baseparagraphcentred"/>
      </w:pPr>
    </w:p>
    <w:p w14:paraId="51DC0175" w14:textId="77777777" w:rsidR="004B4380" w:rsidRDefault="004B4380" w:rsidP="002576C7">
      <w:pPr>
        <w:pStyle w:val="Baseparagraphcentred"/>
      </w:pPr>
      <w:bookmarkStart w:id="0" w:name="_GoBack"/>
    </w:p>
    <w:bookmarkEnd w:id="0"/>
    <w:p w14:paraId="3F8F7124" w14:textId="77777777" w:rsidR="0045139D" w:rsidRDefault="0045139D" w:rsidP="002576C7">
      <w:pPr>
        <w:pStyle w:val="Baseparagraphcentred"/>
      </w:pPr>
    </w:p>
    <w:p w14:paraId="0030BC5A" w14:textId="77777777" w:rsidR="004B4380" w:rsidRDefault="004B4380" w:rsidP="002576C7">
      <w:pPr>
        <w:pStyle w:val="Baseparagraphcentred"/>
      </w:pPr>
    </w:p>
    <w:p w14:paraId="68B669D0" w14:textId="77777777" w:rsidR="004B4380" w:rsidRDefault="004B4380" w:rsidP="002576C7">
      <w:pPr>
        <w:pStyle w:val="Baseparagraphcentred"/>
      </w:pPr>
    </w:p>
    <w:p w14:paraId="3E393E98" w14:textId="77777777" w:rsidR="004B4380" w:rsidRDefault="004B4380" w:rsidP="002576C7">
      <w:pPr>
        <w:pStyle w:val="Baseparagraphcentred"/>
      </w:pPr>
    </w:p>
    <w:p w14:paraId="22143C71" w14:textId="77777777" w:rsidR="0045139D" w:rsidRDefault="0045139D" w:rsidP="002576C7">
      <w:pPr>
        <w:pStyle w:val="Baseparagraphcentred"/>
      </w:pPr>
    </w:p>
    <w:p w14:paraId="35232DF4" w14:textId="77777777" w:rsidR="004B4380" w:rsidRDefault="004B4380" w:rsidP="002576C7">
      <w:pPr>
        <w:pStyle w:val="Baseparagraphcentred"/>
      </w:pPr>
    </w:p>
    <w:p w14:paraId="21A6B03A" w14:textId="77777777" w:rsidR="004B4380" w:rsidRDefault="004B4380" w:rsidP="002576C7">
      <w:pPr>
        <w:pStyle w:val="Baseparagraphcentred"/>
      </w:pPr>
    </w:p>
    <w:p w14:paraId="12C35898" w14:textId="77777777" w:rsidR="004B4380" w:rsidRDefault="004B4380" w:rsidP="002576C7">
      <w:pPr>
        <w:pStyle w:val="BillName"/>
      </w:pPr>
      <w:r>
        <w:t>corporations amendment (financial benchmarks) bill 2017</w:t>
      </w:r>
    </w:p>
    <w:p w14:paraId="6B2A898C" w14:textId="77777777" w:rsidR="004B4380" w:rsidRDefault="004B4380" w:rsidP="002576C7">
      <w:pPr>
        <w:pStyle w:val="Baseparagraphcentred"/>
      </w:pPr>
    </w:p>
    <w:p w14:paraId="59EBA0E4" w14:textId="77777777" w:rsidR="004B4380" w:rsidRDefault="004B4380" w:rsidP="002576C7">
      <w:pPr>
        <w:pStyle w:val="Baseparagraphcentred"/>
      </w:pPr>
    </w:p>
    <w:p w14:paraId="3F882D5C" w14:textId="77777777" w:rsidR="004B4380" w:rsidRDefault="004B4380" w:rsidP="002576C7">
      <w:pPr>
        <w:pStyle w:val="Baseparagraphcentred"/>
      </w:pPr>
    </w:p>
    <w:p w14:paraId="6640F6CA" w14:textId="77777777" w:rsidR="004B4380" w:rsidRDefault="004B4380" w:rsidP="002576C7">
      <w:pPr>
        <w:pStyle w:val="Baseparagraphcentred"/>
      </w:pPr>
    </w:p>
    <w:p w14:paraId="2C00E276" w14:textId="62C4EBC1" w:rsidR="004B4380" w:rsidRDefault="0045139D" w:rsidP="002576C7">
      <w:pPr>
        <w:pStyle w:val="Baseparagraphcentred"/>
      </w:pPr>
      <w:r w:rsidRPr="0045139D">
        <w:t>EXPOSURE DRAFT EXPLANATORY MATERIALS</w:t>
      </w:r>
    </w:p>
    <w:p w14:paraId="38FCA21C" w14:textId="77777777" w:rsidR="004B4380" w:rsidRDefault="004B4380" w:rsidP="002576C7">
      <w:pPr>
        <w:pStyle w:val="Baseparagraphcentred"/>
      </w:pPr>
    </w:p>
    <w:p w14:paraId="4EE3CC76" w14:textId="77777777" w:rsidR="004B4380" w:rsidRDefault="004B4380" w:rsidP="002576C7">
      <w:pPr>
        <w:pStyle w:val="Baseparagraphcentred"/>
      </w:pPr>
    </w:p>
    <w:p w14:paraId="37953643" w14:textId="77777777" w:rsidR="0045139D" w:rsidRDefault="0045139D" w:rsidP="002576C7">
      <w:pPr>
        <w:pStyle w:val="Baseparagraphcentred"/>
      </w:pPr>
    </w:p>
    <w:p w14:paraId="14279EDD" w14:textId="4E64A28E" w:rsidR="004B4380" w:rsidRDefault="004B4380" w:rsidP="002576C7">
      <w:pPr>
        <w:pStyle w:val="Baseparagraphcentred"/>
      </w:pPr>
    </w:p>
    <w:p w14:paraId="05BCF5F6" w14:textId="77777777" w:rsidR="0045139D" w:rsidRDefault="0045139D" w:rsidP="002576C7">
      <w:pPr>
        <w:pStyle w:val="Baseparagraphcentred"/>
      </w:pPr>
    </w:p>
    <w:p w14:paraId="4F064F83" w14:textId="77777777" w:rsidR="004B4380" w:rsidRDefault="004B4380" w:rsidP="002576C7">
      <w:pPr>
        <w:sectPr w:rsidR="004B4380" w:rsidSect="00AA6B18">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40253C84" w14:textId="77777777" w:rsidR="004B4380" w:rsidRPr="003E0794" w:rsidRDefault="004B4380" w:rsidP="002576C7">
      <w:pPr>
        <w:pStyle w:val="TOCHeading"/>
      </w:pPr>
      <w:r w:rsidRPr="003E0794">
        <w:lastRenderedPageBreak/>
        <w:t>Table of contents</w:t>
      </w:r>
    </w:p>
    <w:p w14:paraId="620D75A9" w14:textId="77777777" w:rsidR="0045139D" w:rsidRDefault="00AA6B18">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45139D">
        <w:t>Glossary</w:t>
      </w:r>
      <w:r w:rsidR="0045139D">
        <w:tab/>
      </w:r>
      <w:r w:rsidR="0045139D">
        <w:fldChar w:fldCharType="begin"/>
      </w:r>
      <w:r w:rsidR="0045139D">
        <w:instrText xml:space="preserve"> PAGEREF _Toc485738665 \h </w:instrText>
      </w:r>
      <w:r w:rsidR="0045139D">
        <w:fldChar w:fldCharType="separate"/>
      </w:r>
      <w:r w:rsidR="0045139D">
        <w:t>1</w:t>
      </w:r>
      <w:r w:rsidR="0045139D">
        <w:fldChar w:fldCharType="end"/>
      </w:r>
    </w:p>
    <w:p w14:paraId="3967C0E4" w14:textId="77777777" w:rsidR="0045139D" w:rsidRDefault="0045139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Background</w:t>
      </w:r>
      <w:r>
        <w:rPr>
          <w:noProof/>
        </w:rPr>
        <w:tab/>
      </w:r>
      <w:r>
        <w:rPr>
          <w:noProof/>
        </w:rPr>
        <w:fldChar w:fldCharType="begin"/>
      </w:r>
      <w:r>
        <w:rPr>
          <w:noProof/>
        </w:rPr>
        <w:instrText xml:space="preserve"> PAGEREF _Toc485738666 \h </w:instrText>
      </w:r>
      <w:r>
        <w:rPr>
          <w:noProof/>
        </w:rPr>
      </w:r>
      <w:r>
        <w:rPr>
          <w:noProof/>
        </w:rPr>
        <w:fldChar w:fldCharType="separate"/>
      </w:r>
      <w:r>
        <w:rPr>
          <w:noProof/>
        </w:rPr>
        <w:t>3</w:t>
      </w:r>
      <w:r>
        <w:rPr>
          <w:noProof/>
        </w:rPr>
        <w:fldChar w:fldCharType="end"/>
      </w:r>
    </w:p>
    <w:p w14:paraId="5C5FC544" w14:textId="77777777" w:rsidR="0045139D" w:rsidRDefault="0045139D">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Licensing framework</w:t>
      </w:r>
      <w:r>
        <w:rPr>
          <w:noProof/>
        </w:rPr>
        <w:tab/>
      </w:r>
      <w:r>
        <w:rPr>
          <w:noProof/>
        </w:rPr>
        <w:fldChar w:fldCharType="begin"/>
      </w:r>
      <w:r>
        <w:rPr>
          <w:noProof/>
        </w:rPr>
        <w:instrText xml:space="preserve"> PAGEREF _Toc485738667 \h </w:instrText>
      </w:r>
      <w:r>
        <w:rPr>
          <w:noProof/>
        </w:rPr>
      </w:r>
      <w:r>
        <w:rPr>
          <w:noProof/>
        </w:rPr>
        <w:fldChar w:fldCharType="separate"/>
      </w:r>
      <w:r>
        <w:rPr>
          <w:noProof/>
        </w:rPr>
        <w:t>5</w:t>
      </w:r>
      <w:r>
        <w:rPr>
          <w:noProof/>
        </w:rPr>
        <w:fldChar w:fldCharType="end"/>
      </w:r>
    </w:p>
    <w:p w14:paraId="611FA4C2" w14:textId="77777777" w:rsidR="0045139D" w:rsidRDefault="0045139D">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ASIC rule making powers</w:t>
      </w:r>
      <w:r>
        <w:rPr>
          <w:noProof/>
        </w:rPr>
        <w:tab/>
      </w:r>
      <w:r>
        <w:rPr>
          <w:noProof/>
        </w:rPr>
        <w:fldChar w:fldCharType="begin"/>
      </w:r>
      <w:r>
        <w:rPr>
          <w:noProof/>
        </w:rPr>
        <w:instrText xml:space="preserve"> PAGEREF _Toc485738668 \h </w:instrText>
      </w:r>
      <w:r>
        <w:rPr>
          <w:noProof/>
        </w:rPr>
      </w:r>
      <w:r>
        <w:rPr>
          <w:noProof/>
        </w:rPr>
        <w:fldChar w:fldCharType="separate"/>
      </w:r>
      <w:r>
        <w:rPr>
          <w:noProof/>
        </w:rPr>
        <w:t>17</w:t>
      </w:r>
      <w:r>
        <w:rPr>
          <w:noProof/>
        </w:rPr>
        <w:fldChar w:fldCharType="end"/>
      </w:r>
    </w:p>
    <w:p w14:paraId="16008544" w14:textId="77777777" w:rsidR="0045139D" w:rsidRDefault="0045139D">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Offences and civil penalties</w:t>
      </w:r>
      <w:r>
        <w:rPr>
          <w:noProof/>
        </w:rPr>
        <w:tab/>
      </w:r>
      <w:r>
        <w:rPr>
          <w:noProof/>
        </w:rPr>
        <w:fldChar w:fldCharType="begin"/>
      </w:r>
      <w:r>
        <w:rPr>
          <w:noProof/>
        </w:rPr>
        <w:instrText xml:space="preserve"> PAGEREF _Toc485738669 \h </w:instrText>
      </w:r>
      <w:r>
        <w:rPr>
          <w:noProof/>
        </w:rPr>
      </w:r>
      <w:r>
        <w:rPr>
          <w:noProof/>
        </w:rPr>
        <w:fldChar w:fldCharType="separate"/>
      </w:r>
      <w:r>
        <w:rPr>
          <w:noProof/>
        </w:rPr>
        <w:t>29</w:t>
      </w:r>
      <w:r>
        <w:rPr>
          <w:noProof/>
        </w:rPr>
        <w:fldChar w:fldCharType="end"/>
      </w:r>
    </w:p>
    <w:p w14:paraId="2D052C90" w14:textId="77777777" w:rsidR="0045139D" w:rsidRDefault="0045139D">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Other provisions</w:t>
      </w:r>
      <w:r>
        <w:rPr>
          <w:noProof/>
        </w:rPr>
        <w:tab/>
      </w:r>
      <w:r>
        <w:rPr>
          <w:noProof/>
        </w:rPr>
        <w:fldChar w:fldCharType="begin"/>
      </w:r>
      <w:r>
        <w:rPr>
          <w:noProof/>
        </w:rPr>
        <w:instrText xml:space="preserve"> PAGEREF _Toc485738670 \h </w:instrText>
      </w:r>
      <w:r>
        <w:rPr>
          <w:noProof/>
        </w:rPr>
      </w:r>
      <w:r>
        <w:rPr>
          <w:noProof/>
        </w:rPr>
        <w:fldChar w:fldCharType="separate"/>
      </w:r>
      <w:r>
        <w:rPr>
          <w:noProof/>
        </w:rPr>
        <w:t>35</w:t>
      </w:r>
      <w:r>
        <w:rPr>
          <w:noProof/>
        </w:rPr>
        <w:fldChar w:fldCharType="end"/>
      </w:r>
    </w:p>
    <w:p w14:paraId="0D62858E" w14:textId="17AA494B" w:rsidR="005360E0" w:rsidRDefault="00AA6B18" w:rsidP="005360E0">
      <w:pPr>
        <w:pStyle w:val="base-text-paragraphnonumbers"/>
        <w:rPr>
          <w:b/>
          <w:bCs/>
          <w:noProof/>
          <w:lang w:val="en-US"/>
        </w:rPr>
      </w:pPr>
      <w:r>
        <w:rPr>
          <w:b/>
          <w:bCs/>
          <w:noProof/>
          <w:lang w:val="en-US"/>
        </w:rPr>
        <w:fldChar w:fldCharType="end"/>
      </w:r>
    </w:p>
    <w:p w14:paraId="7ACA7844" w14:textId="77777777" w:rsidR="005360E0" w:rsidRDefault="005360E0" w:rsidP="005360E0">
      <w:pPr>
        <w:pStyle w:val="base-text-paragraphnonumbers"/>
        <w:ind w:left="0"/>
      </w:pPr>
    </w:p>
    <w:p w14:paraId="7BE1F9F1" w14:textId="77777777" w:rsidR="004B4380" w:rsidRDefault="004B4380" w:rsidP="002576C7">
      <w:pPr>
        <w:pStyle w:val="base-text-paragraphnonumbers"/>
        <w:sectPr w:rsidR="004B4380" w:rsidSect="00AA6B18">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2BD98DE1" w14:textId="77777777" w:rsidR="007C0FBF" w:rsidRPr="00D67ADC" w:rsidRDefault="007C0FBF" w:rsidP="00AA6B18">
      <w:pPr>
        <w:pStyle w:val="Chapterheadingsubdocument"/>
      </w:pPr>
      <w:bookmarkStart w:id="1" w:name="_Toc485738665"/>
      <w:r w:rsidRPr="00D67ADC">
        <w:lastRenderedPageBreak/>
        <w:t>Glossary</w:t>
      </w:r>
      <w:bookmarkEnd w:id="1"/>
    </w:p>
    <w:p w14:paraId="5424CE06" w14:textId="77777777" w:rsidR="007C0FBF" w:rsidRDefault="007C0FBF" w:rsidP="00AA6B18">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7C0FBF" w:rsidRPr="00123D96" w14:paraId="38DB39D2" w14:textId="77777777" w:rsidTr="00AA6B18">
        <w:tc>
          <w:tcPr>
            <w:tcW w:w="2721" w:type="dxa"/>
          </w:tcPr>
          <w:p w14:paraId="23009B7E" w14:textId="77777777" w:rsidR="007C0FBF" w:rsidRPr="00123D96" w:rsidRDefault="007C0FBF" w:rsidP="00AA6B18">
            <w:pPr>
              <w:pStyle w:val="tableheaderwithintable"/>
            </w:pPr>
            <w:r w:rsidRPr="00123D96">
              <w:t>Abbreviation</w:t>
            </w:r>
          </w:p>
        </w:tc>
        <w:tc>
          <w:tcPr>
            <w:tcW w:w="3885" w:type="dxa"/>
          </w:tcPr>
          <w:p w14:paraId="6959E60C" w14:textId="77777777" w:rsidR="007C0FBF" w:rsidRPr="00123D96" w:rsidRDefault="007C0FBF" w:rsidP="00AA6B18">
            <w:pPr>
              <w:pStyle w:val="tableheaderwithintable"/>
            </w:pPr>
            <w:r w:rsidRPr="00123D96">
              <w:t>Definition</w:t>
            </w:r>
          </w:p>
        </w:tc>
      </w:tr>
      <w:tr w:rsidR="006E5559" w:rsidRPr="002C43E8" w14:paraId="270CDB2E" w14:textId="77777777" w:rsidTr="00AA6B18">
        <w:tc>
          <w:tcPr>
            <w:tcW w:w="2721" w:type="dxa"/>
          </w:tcPr>
          <w:p w14:paraId="372AA755" w14:textId="190CA0E4" w:rsidR="006E5559" w:rsidRDefault="006E5559" w:rsidP="00AA6B18">
            <w:pPr>
              <w:pStyle w:val="Glossarytabletext"/>
              <w:rPr>
                <w:lang w:val="en-US" w:eastAsia="en-US"/>
              </w:rPr>
            </w:pPr>
            <w:r>
              <w:rPr>
                <w:lang w:val="en-US" w:eastAsia="en-US"/>
              </w:rPr>
              <w:t>AAT</w:t>
            </w:r>
          </w:p>
        </w:tc>
        <w:tc>
          <w:tcPr>
            <w:tcW w:w="3885" w:type="dxa"/>
          </w:tcPr>
          <w:p w14:paraId="7A624563" w14:textId="4F029227" w:rsidR="006E5559" w:rsidRPr="00561DCD" w:rsidRDefault="006E5559" w:rsidP="00AA6B18">
            <w:pPr>
              <w:pStyle w:val="Glossarytabletext"/>
              <w:rPr>
                <w:i/>
                <w:lang w:val="en-US" w:eastAsia="en-US"/>
              </w:rPr>
            </w:pPr>
            <w:r>
              <w:rPr>
                <w:lang w:val="en-US" w:eastAsia="en-US"/>
              </w:rPr>
              <w:t>Administrative Appeals Tribunal</w:t>
            </w:r>
          </w:p>
        </w:tc>
      </w:tr>
      <w:tr w:rsidR="007C0FBF" w:rsidRPr="002C43E8" w14:paraId="14A197CF" w14:textId="77777777" w:rsidTr="00AA6B18">
        <w:tc>
          <w:tcPr>
            <w:tcW w:w="2721" w:type="dxa"/>
          </w:tcPr>
          <w:p w14:paraId="4D45F080" w14:textId="6843D7A5" w:rsidR="007C0FBF" w:rsidRPr="002C43E8" w:rsidRDefault="00561DCD" w:rsidP="00AA6B18">
            <w:pPr>
              <w:pStyle w:val="Glossarytabletext"/>
              <w:rPr>
                <w:lang w:val="en-US" w:eastAsia="en-US"/>
              </w:rPr>
            </w:pPr>
            <w:r>
              <w:rPr>
                <w:lang w:val="en-US" w:eastAsia="en-US"/>
              </w:rPr>
              <w:t>Acts Interpretation Act</w:t>
            </w:r>
          </w:p>
        </w:tc>
        <w:tc>
          <w:tcPr>
            <w:tcW w:w="3885" w:type="dxa"/>
          </w:tcPr>
          <w:p w14:paraId="0F2835B8" w14:textId="7B91C887" w:rsidR="007C0FBF" w:rsidRPr="00561DCD" w:rsidRDefault="00561DCD" w:rsidP="00AA6B18">
            <w:pPr>
              <w:pStyle w:val="Glossarytabletext"/>
              <w:rPr>
                <w:i/>
                <w:lang w:val="en-US" w:eastAsia="en-US"/>
              </w:rPr>
            </w:pPr>
            <w:r w:rsidRPr="00561DCD">
              <w:rPr>
                <w:i/>
                <w:lang w:val="en-US" w:eastAsia="en-US"/>
              </w:rPr>
              <w:t>Acts Interpretation Act 1901</w:t>
            </w:r>
          </w:p>
        </w:tc>
      </w:tr>
      <w:tr w:rsidR="004F1B29" w:rsidRPr="002C43E8" w14:paraId="7BAF9940" w14:textId="77777777" w:rsidTr="00AA6B18">
        <w:tc>
          <w:tcPr>
            <w:tcW w:w="2721" w:type="dxa"/>
          </w:tcPr>
          <w:p w14:paraId="6DF6E612" w14:textId="4BF237C2" w:rsidR="004F1B29" w:rsidRDefault="004F1B29" w:rsidP="00AA6B18">
            <w:pPr>
              <w:pStyle w:val="Glossarytabletext"/>
              <w:rPr>
                <w:lang w:val="en-US" w:eastAsia="en-US"/>
              </w:rPr>
            </w:pPr>
            <w:r>
              <w:rPr>
                <w:lang w:val="en-US" w:eastAsia="en-US"/>
              </w:rPr>
              <w:t>APRA</w:t>
            </w:r>
          </w:p>
        </w:tc>
        <w:tc>
          <w:tcPr>
            <w:tcW w:w="3885" w:type="dxa"/>
          </w:tcPr>
          <w:p w14:paraId="33E5385A" w14:textId="7BD8EC67" w:rsidR="004F1B29" w:rsidRDefault="004F1B29" w:rsidP="00AA6B18">
            <w:pPr>
              <w:pStyle w:val="Glossarytabletext"/>
              <w:rPr>
                <w:lang w:val="en-US" w:eastAsia="en-US"/>
              </w:rPr>
            </w:pPr>
            <w:r>
              <w:t>Australian Prudential Regulation Authority</w:t>
            </w:r>
          </w:p>
        </w:tc>
      </w:tr>
      <w:tr w:rsidR="00653EA2" w:rsidRPr="002C43E8" w14:paraId="583445E0" w14:textId="77777777" w:rsidTr="00AA6B18">
        <w:tc>
          <w:tcPr>
            <w:tcW w:w="2721" w:type="dxa"/>
          </w:tcPr>
          <w:p w14:paraId="5557951E" w14:textId="78E12234" w:rsidR="00653EA2" w:rsidRDefault="00653EA2" w:rsidP="00AA6B18">
            <w:pPr>
              <w:pStyle w:val="Glossarytabletext"/>
              <w:rPr>
                <w:lang w:val="en-US" w:eastAsia="en-US"/>
              </w:rPr>
            </w:pPr>
            <w:r>
              <w:rPr>
                <w:lang w:val="en-US" w:eastAsia="en-US"/>
              </w:rPr>
              <w:t>ARC</w:t>
            </w:r>
          </w:p>
        </w:tc>
        <w:tc>
          <w:tcPr>
            <w:tcW w:w="3885" w:type="dxa"/>
          </w:tcPr>
          <w:p w14:paraId="1C007279" w14:textId="6FEA1B0D" w:rsidR="00653EA2" w:rsidRDefault="00653EA2" w:rsidP="00AA6B18">
            <w:pPr>
              <w:pStyle w:val="Glossarytabletext"/>
            </w:pPr>
            <w:r>
              <w:t>Administrative Review Council</w:t>
            </w:r>
          </w:p>
        </w:tc>
      </w:tr>
      <w:tr w:rsidR="007C0FBF" w:rsidRPr="002C43E8" w14:paraId="2537DCD0" w14:textId="77777777" w:rsidTr="00AA6B18">
        <w:tc>
          <w:tcPr>
            <w:tcW w:w="2721" w:type="dxa"/>
          </w:tcPr>
          <w:p w14:paraId="16498A03" w14:textId="41A58DE2" w:rsidR="007C0FBF" w:rsidRPr="002C43E8" w:rsidRDefault="007C0FBF" w:rsidP="00AA6B18">
            <w:pPr>
              <w:pStyle w:val="Glossarytabletext"/>
              <w:rPr>
                <w:lang w:val="en-US" w:eastAsia="en-US"/>
              </w:rPr>
            </w:pPr>
            <w:r>
              <w:rPr>
                <w:lang w:val="en-US" w:eastAsia="en-US"/>
              </w:rPr>
              <w:t>ASIC</w:t>
            </w:r>
          </w:p>
        </w:tc>
        <w:tc>
          <w:tcPr>
            <w:tcW w:w="3885" w:type="dxa"/>
          </w:tcPr>
          <w:p w14:paraId="1E405634" w14:textId="0740FB36" w:rsidR="007C0FBF" w:rsidRPr="002C43E8" w:rsidRDefault="007C0FBF" w:rsidP="00AA6B18">
            <w:pPr>
              <w:pStyle w:val="Glossarytabletext"/>
              <w:rPr>
                <w:lang w:val="en-US" w:eastAsia="en-US"/>
              </w:rPr>
            </w:pPr>
            <w:r>
              <w:rPr>
                <w:lang w:val="en-US" w:eastAsia="en-US"/>
              </w:rPr>
              <w:t>Australian Securities and Investments Commission</w:t>
            </w:r>
          </w:p>
        </w:tc>
      </w:tr>
      <w:tr w:rsidR="007D3B6F" w:rsidRPr="002C43E8" w14:paraId="29562D5B" w14:textId="77777777" w:rsidTr="00AA6B18">
        <w:tc>
          <w:tcPr>
            <w:tcW w:w="2721" w:type="dxa"/>
          </w:tcPr>
          <w:p w14:paraId="35A68A50" w14:textId="2451C119" w:rsidR="007D3B6F" w:rsidRDefault="007D3B6F" w:rsidP="00AA6B18">
            <w:pPr>
              <w:pStyle w:val="Glossarytabletext"/>
              <w:rPr>
                <w:lang w:val="en-US" w:eastAsia="en-US"/>
              </w:rPr>
            </w:pPr>
            <w:r>
              <w:rPr>
                <w:lang w:val="en-US" w:eastAsia="en-US"/>
              </w:rPr>
              <w:t>ASIC Act</w:t>
            </w:r>
          </w:p>
        </w:tc>
        <w:tc>
          <w:tcPr>
            <w:tcW w:w="3885" w:type="dxa"/>
          </w:tcPr>
          <w:p w14:paraId="5114E306" w14:textId="513A7C59" w:rsidR="007D3B6F" w:rsidRDefault="007D3B6F" w:rsidP="00AA6B18">
            <w:pPr>
              <w:pStyle w:val="Glossarytabletext"/>
              <w:rPr>
                <w:lang w:val="en-US" w:eastAsia="en-US"/>
              </w:rPr>
            </w:pPr>
            <w:r w:rsidRPr="007D3B6F">
              <w:rPr>
                <w:i/>
                <w:lang w:eastAsia="en-US"/>
              </w:rPr>
              <w:t xml:space="preserve">Australian Securities and </w:t>
            </w:r>
            <w:r w:rsidR="002B0FF0">
              <w:rPr>
                <w:i/>
                <w:lang w:eastAsia="en-US"/>
              </w:rPr>
              <w:t xml:space="preserve">Investments </w:t>
            </w:r>
            <w:r w:rsidRPr="007D3B6F">
              <w:rPr>
                <w:i/>
                <w:lang w:eastAsia="en-US"/>
              </w:rPr>
              <w:t>Commission Act 2001</w:t>
            </w:r>
          </w:p>
        </w:tc>
      </w:tr>
      <w:tr w:rsidR="006D36E7" w:rsidRPr="002C43E8" w14:paraId="780058FF" w14:textId="77777777" w:rsidTr="00AA6B18">
        <w:tc>
          <w:tcPr>
            <w:tcW w:w="2721" w:type="dxa"/>
          </w:tcPr>
          <w:p w14:paraId="3520B6B1" w14:textId="42D12BCA" w:rsidR="006D36E7" w:rsidRDefault="006D36E7" w:rsidP="00AA6B18">
            <w:pPr>
              <w:pStyle w:val="Glossarytabletext"/>
              <w:rPr>
                <w:lang w:val="en-US" w:eastAsia="en-US"/>
              </w:rPr>
            </w:pPr>
            <w:r>
              <w:rPr>
                <w:lang w:val="en-US" w:eastAsia="en-US"/>
              </w:rPr>
              <w:t>BAB</w:t>
            </w:r>
          </w:p>
        </w:tc>
        <w:tc>
          <w:tcPr>
            <w:tcW w:w="3885" w:type="dxa"/>
          </w:tcPr>
          <w:p w14:paraId="430D8050" w14:textId="6D89C09E" w:rsidR="006D36E7" w:rsidRDefault="006D36E7" w:rsidP="00AA6B18">
            <w:pPr>
              <w:pStyle w:val="Glossarytabletext"/>
            </w:pPr>
            <w:r>
              <w:t>Bank accepted bill</w:t>
            </w:r>
          </w:p>
        </w:tc>
      </w:tr>
      <w:tr w:rsidR="007C0FBF" w:rsidRPr="002C43E8" w14:paraId="58FB013C" w14:textId="77777777" w:rsidTr="00AA6B18">
        <w:tc>
          <w:tcPr>
            <w:tcW w:w="2721" w:type="dxa"/>
          </w:tcPr>
          <w:p w14:paraId="6B1EDBD2" w14:textId="766F2A71" w:rsidR="007C0FBF" w:rsidRPr="002C43E8" w:rsidRDefault="00C65FBD" w:rsidP="00AA6B18">
            <w:pPr>
              <w:pStyle w:val="Glossarytabletext"/>
              <w:rPr>
                <w:lang w:val="en-US" w:eastAsia="en-US"/>
              </w:rPr>
            </w:pPr>
            <w:r>
              <w:rPr>
                <w:lang w:val="en-US" w:eastAsia="en-US"/>
              </w:rPr>
              <w:t>Bill</w:t>
            </w:r>
          </w:p>
        </w:tc>
        <w:tc>
          <w:tcPr>
            <w:tcW w:w="3885" w:type="dxa"/>
          </w:tcPr>
          <w:p w14:paraId="19E3F357" w14:textId="4B781C62" w:rsidR="007C0FBF" w:rsidRPr="002C43E8" w:rsidRDefault="00C65FBD" w:rsidP="00AA6B18">
            <w:pPr>
              <w:pStyle w:val="Glossarytabletext"/>
              <w:rPr>
                <w:lang w:val="en-US" w:eastAsia="en-US"/>
              </w:rPr>
            </w:pPr>
            <w:r>
              <w:t>Corporations Amendment (Financial Benchmarks) Bill 2017</w:t>
            </w:r>
          </w:p>
        </w:tc>
      </w:tr>
      <w:tr w:rsidR="00D72D8E" w:rsidRPr="002C43E8" w14:paraId="4A4C60B0" w14:textId="77777777" w:rsidTr="00AA6B18">
        <w:tc>
          <w:tcPr>
            <w:tcW w:w="2721" w:type="dxa"/>
          </w:tcPr>
          <w:p w14:paraId="61BFBB8B" w14:textId="198A7D4E" w:rsidR="00D72D8E" w:rsidRDefault="00D72D8E" w:rsidP="00AA6B18">
            <w:pPr>
              <w:pStyle w:val="Glossarytabletext"/>
              <w:rPr>
                <w:lang w:val="en-US" w:eastAsia="en-US"/>
              </w:rPr>
            </w:pPr>
            <w:r>
              <w:rPr>
                <w:lang w:val="en-US" w:eastAsia="en-US"/>
              </w:rPr>
              <w:t>BBSW</w:t>
            </w:r>
          </w:p>
        </w:tc>
        <w:tc>
          <w:tcPr>
            <w:tcW w:w="3885" w:type="dxa"/>
          </w:tcPr>
          <w:p w14:paraId="138AAE46" w14:textId="70F5D67A" w:rsidR="00D72D8E" w:rsidRDefault="00D72D8E" w:rsidP="00AA6B18">
            <w:pPr>
              <w:pStyle w:val="Glossarytabletext"/>
            </w:pPr>
            <w:r>
              <w:t>Bank bill swap rate</w:t>
            </w:r>
          </w:p>
        </w:tc>
      </w:tr>
      <w:tr w:rsidR="007C0FBF" w:rsidRPr="002C43E8" w14:paraId="0A3FD04F" w14:textId="77777777" w:rsidTr="00AA6B18">
        <w:tc>
          <w:tcPr>
            <w:tcW w:w="2721" w:type="dxa"/>
          </w:tcPr>
          <w:p w14:paraId="306B3037" w14:textId="4C515588" w:rsidR="007C0FBF" w:rsidRPr="002C43E8" w:rsidRDefault="007C0FBF" w:rsidP="00AA6B18">
            <w:pPr>
              <w:pStyle w:val="Glossarytabletext"/>
              <w:rPr>
                <w:lang w:val="en-US" w:eastAsia="en-US"/>
              </w:rPr>
            </w:pPr>
            <w:r>
              <w:rPr>
                <w:lang w:val="en-US" w:eastAsia="en-US"/>
              </w:rPr>
              <w:t>CFR</w:t>
            </w:r>
          </w:p>
        </w:tc>
        <w:tc>
          <w:tcPr>
            <w:tcW w:w="3885" w:type="dxa"/>
          </w:tcPr>
          <w:p w14:paraId="1B258A85" w14:textId="674B2C47" w:rsidR="007C0FBF" w:rsidRPr="002C43E8" w:rsidRDefault="007C0FBF" w:rsidP="00AA6B18">
            <w:pPr>
              <w:pStyle w:val="Glossarytabletext"/>
              <w:rPr>
                <w:lang w:val="en-US" w:eastAsia="en-US"/>
              </w:rPr>
            </w:pPr>
            <w:r>
              <w:rPr>
                <w:lang w:val="en-US" w:eastAsia="en-US"/>
              </w:rPr>
              <w:t>Council of Financial Regulators</w:t>
            </w:r>
          </w:p>
        </w:tc>
      </w:tr>
      <w:tr w:rsidR="007C0FBF" w:rsidRPr="002C43E8" w14:paraId="657BF86D" w14:textId="77777777" w:rsidTr="00AA6B18">
        <w:tc>
          <w:tcPr>
            <w:tcW w:w="2721" w:type="dxa"/>
          </w:tcPr>
          <w:p w14:paraId="4D271ED2" w14:textId="62F1ED81" w:rsidR="007C0FBF" w:rsidRPr="002C43E8" w:rsidRDefault="007C0FBF" w:rsidP="00AA6B18">
            <w:pPr>
              <w:pStyle w:val="Glossarytabletext"/>
              <w:rPr>
                <w:lang w:val="en-US" w:eastAsia="en-US"/>
              </w:rPr>
            </w:pPr>
            <w:r>
              <w:rPr>
                <w:lang w:val="en-US" w:eastAsia="en-US"/>
              </w:rPr>
              <w:t>Corporations Act</w:t>
            </w:r>
          </w:p>
        </w:tc>
        <w:tc>
          <w:tcPr>
            <w:tcW w:w="3885" w:type="dxa"/>
          </w:tcPr>
          <w:p w14:paraId="70D63A00" w14:textId="7631521D" w:rsidR="007C0FBF" w:rsidRPr="007C0FBF" w:rsidRDefault="007C0FBF" w:rsidP="00AA6B18">
            <w:pPr>
              <w:pStyle w:val="Glossarytabletext"/>
              <w:rPr>
                <w:i/>
                <w:lang w:val="en-US" w:eastAsia="en-US"/>
              </w:rPr>
            </w:pPr>
            <w:r w:rsidRPr="007C0FBF">
              <w:rPr>
                <w:i/>
                <w:lang w:val="en-US" w:eastAsia="en-US"/>
              </w:rPr>
              <w:t>Corporations Act 2001</w:t>
            </w:r>
          </w:p>
        </w:tc>
      </w:tr>
      <w:tr w:rsidR="007C0FBF" w:rsidRPr="002C43E8" w14:paraId="3068DAC2" w14:textId="77777777" w:rsidTr="00AA6B18">
        <w:tc>
          <w:tcPr>
            <w:tcW w:w="2721" w:type="dxa"/>
          </w:tcPr>
          <w:p w14:paraId="5FF65320" w14:textId="55A03381" w:rsidR="007C0FBF" w:rsidRPr="002C43E8" w:rsidRDefault="000C3645" w:rsidP="00AA6B18">
            <w:pPr>
              <w:pStyle w:val="Glossarytabletext"/>
              <w:rPr>
                <w:lang w:val="en-US" w:eastAsia="en-US"/>
              </w:rPr>
            </w:pPr>
            <w:r>
              <w:rPr>
                <w:lang w:val="en-US" w:eastAsia="en-US"/>
              </w:rPr>
              <w:t>Criminal Code</w:t>
            </w:r>
          </w:p>
        </w:tc>
        <w:tc>
          <w:tcPr>
            <w:tcW w:w="3885" w:type="dxa"/>
          </w:tcPr>
          <w:p w14:paraId="07DFD130" w14:textId="46BE1867" w:rsidR="007C0FBF" w:rsidRPr="002C43E8" w:rsidRDefault="000C3645" w:rsidP="00AA6B18">
            <w:pPr>
              <w:pStyle w:val="Glossarytabletext"/>
              <w:rPr>
                <w:lang w:val="en-US" w:eastAsia="en-US"/>
              </w:rPr>
            </w:pPr>
            <w:r>
              <w:t xml:space="preserve">The Criminal Code set out in the Schedule of the </w:t>
            </w:r>
            <w:r w:rsidRPr="000C3645">
              <w:rPr>
                <w:i/>
              </w:rPr>
              <w:t>Criminal Code Act 1995</w:t>
            </w:r>
          </w:p>
        </w:tc>
      </w:tr>
      <w:tr w:rsidR="007C0FBF" w:rsidRPr="002C43E8" w14:paraId="2D431D19" w14:textId="77777777" w:rsidTr="00AA6B18">
        <w:tc>
          <w:tcPr>
            <w:tcW w:w="2721" w:type="dxa"/>
          </w:tcPr>
          <w:p w14:paraId="419D006B" w14:textId="75289298" w:rsidR="007C0FBF" w:rsidRPr="002C43E8" w:rsidRDefault="007469B7" w:rsidP="00AA6B18">
            <w:pPr>
              <w:pStyle w:val="Glossarytabletext"/>
              <w:rPr>
                <w:lang w:val="en-US" w:eastAsia="en-US"/>
              </w:rPr>
            </w:pPr>
            <w:r>
              <w:rPr>
                <w:lang w:val="en-US" w:eastAsia="en-US"/>
              </w:rPr>
              <w:t>Guide</w:t>
            </w:r>
          </w:p>
        </w:tc>
        <w:tc>
          <w:tcPr>
            <w:tcW w:w="3885" w:type="dxa"/>
          </w:tcPr>
          <w:p w14:paraId="3F25EEB3" w14:textId="75B6A3CB" w:rsidR="007C0FBF" w:rsidRPr="002C43E8" w:rsidRDefault="007469B7" w:rsidP="00AA6B18">
            <w:pPr>
              <w:pStyle w:val="Glossarytabletext"/>
              <w:rPr>
                <w:lang w:val="en-US" w:eastAsia="en-US"/>
              </w:rPr>
            </w:pPr>
            <w:r>
              <w:rPr>
                <w:i/>
              </w:rPr>
              <w:t xml:space="preserve">A </w:t>
            </w:r>
            <w:r w:rsidRPr="007469B7">
              <w:rPr>
                <w:i/>
              </w:rPr>
              <w:t>Guide to Framing Commonwealth Offences, Infringement Notices and Enforcement Power</w:t>
            </w:r>
            <w:r w:rsidRPr="007469B7">
              <w:t>s</w:t>
            </w:r>
            <w:r>
              <w:t>, issued by the Attorney General’s Department</w:t>
            </w:r>
          </w:p>
        </w:tc>
      </w:tr>
      <w:tr w:rsidR="007C0FBF" w:rsidRPr="002C43E8" w14:paraId="52C03A53" w14:textId="77777777" w:rsidTr="00AA6B18">
        <w:tc>
          <w:tcPr>
            <w:tcW w:w="2721" w:type="dxa"/>
          </w:tcPr>
          <w:p w14:paraId="02C01A48" w14:textId="5D282416" w:rsidR="007C0FBF" w:rsidRPr="002C43E8" w:rsidRDefault="007C0FBF" w:rsidP="00AA6B18">
            <w:pPr>
              <w:pStyle w:val="Glossarytabletext"/>
              <w:rPr>
                <w:lang w:val="en-US" w:eastAsia="en-US"/>
              </w:rPr>
            </w:pPr>
            <w:r>
              <w:rPr>
                <w:lang w:val="en-US" w:eastAsia="en-US"/>
              </w:rPr>
              <w:t>IOSCO</w:t>
            </w:r>
          </w:p>
        </w:tc>
        <w:tc>
          <w:tcPr>
            <w:tcW w:w="3885" w:type="dxa"/>
          </w:tcPr>
          <w:p w14:paraId="1EBCF99A" w14:textId="3AA7BC70" w:rsidR="007C0FBF" w:rsidRPr="002C43E8" w:rsidRDefault="007C0FBF" w:rsidP="00AA6B18">
            <w:pPr>
              <w:pStyle w:val="Glossarytabletext"/>
              <w:rPr>
                <w:lang w:val="en-US" w:eastAsia="en-US"/>
              </w:rPr>
            </w:pPr>
            <w:r>
              <w:rPr>
                <w:lang w:val="en-US" w:eastAsia="en-US"/>
              </w:rPr>
              <w:t xml:space="preserve">International </w:t>
            </w:r>
            <w:r w:rsidR="00D72D8E">
              <w:rPr>
                <w:lang w:val="en-US" w:eastAsia="en-US"/>
              </w:rPr>
              <w:t>O</w:t>
            </w:r>
            <w:r>
              <w:rPr>
                <w:lang w:val="en-US" w:eastAsia="en-US"/>
              </w:rPr>
              <w:t>rganization of Securities Commissions</w:t>
            </w:r>
          </w:p>
        </w:tc>
      </w:tr>
      <w:tr w:rsidR="007C0FBF" w:rsidRPr="002C43E8" w14:paraId="623F0077" w14:textId="77777777" w:rsidTr="00AA6B18">
        <w:tc>
          <w:tcPr>
            <w:tcW w:w="2721" w:type="dxa"/>
          </w:tcPr>
          <w:p w14:paraId="338A6788" w14:textId="0F160922" w:rsidR="007C0FBF" w:rsidRPr="002C43E8" w:rsidRDefault="00375CD9" w:rsidP="00375CD9">
            <w:pPr>
              <w:pStyle w:val="Glossarytabletext"/>
              <w:rPr>
                <w:lang w:val="en-US" w:eastAsia="en-US"/>
              </w:rPr>
            </w:pPr>
            <w:r w:rsidRPr="00375CD9">
              <w:rPr>
                <w:lang w:val="en-US" w:eastAsia="en-US"/>
              </w:rPr>
              <w:t>IOSCO Principles</w:t>
            </w:r>
          </w:p>
        </w:tc>
        <w:tc>
          <w:tcPr>
            <w:tcW w:w="3885" w:type="dxa"/>
          </w:tcPr>
          <w:p w14:paraId="5FB29D07" w14:textId="6E25168D" w:rsidR="007C0FBF" w:rsidRPr="002C43E8" w:rsidRDefault="00375CD9" w:rsidP="00AA6B18">
            <w:pPr>
              <w:pStyle w:val="Glossarytabletext"/>
              <w:rPr>
                <w:lang w:val="en-US" w:eastAsia="en-US"/>
              </w:rPr>
            </w:pPr>
            <w:r w:rsidRPr="00375CD9">
              <w:rPr>
                <w:i/>
                <w:lang w:val="en-US" w:eastAsia="en-US"/>
              </w:rPr>
              <w:t>Principles for Financial Benchmarks</w:t>
            </w:r>
            <w:r>
              <w:rPr>
                <w:lang w:val="en-US" w:eastAsia="en-US"/>
              </w:rPr>
              <w:t>, IOSCO</w:t>
            </w:r>
          </w:p>
        </w:tc>
      </w:tr>
      <w:tr w:rsidR="007C0FBF" w:rsidRPr="002C43E8" w14:paraId="4229E6BF" w14:textId="77777777" w:rsidTr="00AA6B18">
        <w:tc>
          <w:tcPr>
            <w:tcW w:w="2721" w:type="dxa"/>
          </w:tcPr>
          <w:p w14:paraId="2601B6CA" w14:textId="4BB16F1C" w:rsidR="007C0FBF" w:rsidRPr="002C43E8" w:rsidRDefault="00630499" w:rsidP="00AA6B18">
            <w:pPr>
              <w:pStyle w:val="Glossarytabletext"/>
              <w:rPr>
                <w:lang w:val="en-US" w:eastAsia="en-US"/>
              </w:rPr>
            </w:pPr>
            <w:r>
              <w:rPr>
                <w:lang w:val="en-US" w:eastAsia="en-US"/>
              </w:rPr>
              <w:t>Legislation Act</w:t>
            </w:r>
          </w:p>
        </w:tc>
        <w:tc>
          <w:tcPr>
            <w:tcW w:w="3885" w:type="dxa"/>
          </w:tcPr>
          <w:p w14:paraId="2ACE29E4" w14:textId="1273B803" w:rsidR="007C0FBF" w:rsidRPr="002C43E8" w:rsidRDefault="00630499" w:rsidP="00AA6B18">
            <w:pPr>
              <w:pStyle w:val="Glossarytabletext"/>
              <w:rPr>
                <w:lang w:val="en-US" w:eastAsia="en-US"/>
              </w:rPr>
            </w:pPr>
            <w:r w:rsidRPr="00630499">
              <w:rPr>
                <w:i/>
              </w:rPr>
              <w:t>Legislation Act 2003</w:t>
            </w:r>
          </w:p>
        </w:tc>
      </w:tr>
      <w:tr w:rsidR="007C0FBF" w:rsidRPr="002C43E8" w14:paraId="7ADD2C07" w14:textId="77777777" w:rsidTr="00AA6B18">
        <w:tc>
          <w:tcPr>
            <w:tcW w:w="2721" w:type="dxa"/>
          </w:tcPr>
          <w:p w14:paraId="5C85FBD6" w14:textId="05BB2501" w:rsidR="007C0FBF" w:rsidRPr="002C43E8" w:rsidRDefault="00D72D8E" w:rsidP="00AA6B18">
            <w:pPr>
              <w:pStyle w:val="Glossarytabletext"/>
              <w:rPr>
                <w:lang w:val="en-US" w:eastAsia="en-US"/>
              </w:rPr>
            </w:pPr>
            <w:r>
              <w:rPr>
                <w:lang w:val="en-US" w:eastAsia="en-US"/>
              </w:rPr>
              <w:t>LIBOR</w:t>
            </w:r>
          </w:p>
        </w:tc>
        <w:tc>
          <w:tcPr>
            <w:tcW w:w="3885" w:type="dxa"/>
          </w:tcPr>
          <w:p w14:paraId="1B1B2167" w14:textId="03A77F30" w:rsidR="007C0FBF" w:rsidRPr="002C43E8" w:rsidRDefault="00D72D8E" w:rsidP="00AA6B18">
            <w:pPr>
              <w:pStyle w:val="Glossarytabletext"/>
              <w:rPr>
                <w:lang w:val="en-US" w:eastAsia="en-US"/>
              </w:rPr>
            </w:pPr>
            <w:r>
              <w:rPr>
                <w:lang w:val="en-US" w:eastAsia="en-US"/>
              </w:rPr>
              <w:t>London Interbank Offered Rate</w:t>
            </w:r>
          </w:p>
        </w:tc>
      </w:tr>
      <w:tr w:rsidR="007C0FBF" w:rsidRPr="002C43E8" w14:paraId="197383EC" w14:textId="77777777" w:rsidTr="00AA6B18">
        <w:tc>
          <w:tcPr>
            <w:tcW w:w="2721" w:type="dxa"/>
          </w:tcPr>
          <w:p w14:paraId="11EF10EA" w14:textId="090C760B" w:rsidR="007C0FBF" w:rsidRPr="002C43E8" w:rsidRDefault="006D36E7" w:rsidP="00AA6B18">
            <w:pPr>
              <w:pStyle w:val="Glossarytabletext"/>
              <w:rPr>
                <w:lang w:val="en-US" w:eastAsia="en-US"/>
              </w:rPr>
            </w:pPr>
            <w:r>
              <w:rPr>
                <w:lang w:val="en-US" w:eastAsia="en-US"/>
              </w:rPr>
              <w:t>NCD</w:t>
            </w:r>
          </w:p>
        </w:tc>
        <w:tc>
          <w:tcPr>
            <w:tcW w:w="3885" w:type="dxa"/>
          </w:tcPr>
          <w:p w14:paraId="1B68AAF7" w14:textId="0553372D" w:rsidR="007C0FBF" w:rsidRPr="002C43E8" w:rsidRDefault="006D36E7" w:rsidP="00AA6B18">
            <w:pPr>
              <w:pStyle w:val="Glossarytabletext"/>
              <w:rPr>
                <w:lang w:val="en-US" w:eastAsia="en-US"/>
              </w:rPr>
            </w:pPr>
            <w:r>
              <w:rPr>
                <w:lang w:val="en-US" w:eastAsia="en-US"/>
              </w:rPr>
              <w:t>Negotiable certificate of deposit</w:t>
            </w:r>
          </w:p>
        </w:tc>
      </w:tr>
      <w:tr w:rsidR="007C0FBF" w:rsidRPr="002C43E8" w14:paraId="466FCEA1" w14:textId="77777777" w:rsidTr="00AA6B18">
        <w:tc>
          <w:tcPr>
            <w:tcW w:w="2721" w:type="dxa"/>
          </w:tcPr>
          <w:p w14:paraId="7F98C56E" w14:textId="49EE92E2" w:rsidR="007C0FBF" w:rsidRPr="002C43E8" w:rsidRDefault="007C0FBF" w:rsidP="00AA6B18">
            <w:pPr>
              <w:pStyle w:val="Glossarytabletext"/>
              <w:rPr>
                <w:lang w:val="en-US" w:eastAsia="en-US"/>
              </w:rPr>
            </w:pPr>
            <w:r>
              <w:rPr>
                <w:lang w:val="en-US" w:eastAsia="en-US"/>
              </w:rPr>
              <w:t>Regulatory Powers Act</w:t>
            </w:r>
          </w:p>
        </w:tc>
        <w:tc>
          <w:tcPr>
            <w:tcW w:w="3885" w:type="dxa"/>
          </w:tcPr>
          <w:p w14:paraId="22DAFEDB" w14:textId="0D2F9B75" w:rsidR="007C0FBF" w:rsidRPr="007C0FBF" w:rsidRDefault="007C0FBF" w:rsidP="00AA6B18">
            <w:pPr>
              <w:pStyle w:val="Glossarytabletext"/>
              <w:rPr>
                <w:i/>
                <w:lang w:val="en-US" w:eastAsia="en-US"/>
              </w:rPr>
            </w:pPr>
            <w:r w:rsidRPr="007C0FBF">
              <w:rPr>
                <w:i/>
                <w:lang w:val="en-US" w:eastAsia="en-US"/>
              </w:rPr>
              <w:t>Regulatory Powers (Standard Provisions) Act 2014</w:t>
            </w:r>
          </w:p>
        </w:tc>
      </w:tr>
    </w:tbl>
    <w:p w14:paraId="7CA7FBAB" w14:textId="77777777" w:rsidR="007C0FBF" w:rsidRDefault="007C0FBF" w:rsidP="00AA6B18">
      <w:pPr>
        <w:sectPr w:rsidR="007C0FBF" w:rsidSect="00AA6B18">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53EFE051" w14:textId="4A576739" w:rsidR="003828CC" w:rsidRPr="00F51A71" w:rsidRDefault="003828CC" w:rsidP="00AA6B18">
      <w:pPr>
        <w:pStyle w:val="ChapterHeading"/>
        <w:tabs>
          <w:tab w:val="clear" w:pos="1134"/>
          <w:tab w:val="num" w:pos="360"/>
        </w:tabs>
      </w:pPr>
      <w:r w:rsidRPr="00F51A71">
        <w:br/>
      </w:r>
      <w:bookmarkStart w:id="2" w:name="_Toc485738666"/>
      <w:r>
        <w:t>Background</w:t>
      </w:r>
      <w:bookmarkEnd w:id="2"/>
    </w:p>
    <w:p w14:paraId="347D6343" w14:textId="77777777" w:rsidR="003828CC" w:rsidRDefault="003828CC" w:rsidP="00AA6B18">
      <w:pPr>
        <w:pStyle w:val="Heading2"/>
      </w:pPr>
      <w:r>
        <w:t>Outline of chapter</w:t>
      </w:r>
    </w:p>
    <w:p w14:paraId="4955C107" w14:textId="6437758A" w:rsidR="003828CC" w:rsidRDefault="00585E9C" w:rsidP="00AA6B18">
      <w:pPr>
        <w:pStyle w:val="base-text-paragraph"/>
      </w:pPr>
      <w:r>
        <w:t>This chapter sets out the background and context for the reforms to the regulation of financial benchmarks</w:t>
      </w:r>
      <w:r w:rsidR="00C65FBD">
        <w:t xml:space="preserve"> contained in the Bill</w:t>
      </w:r>
      <w:r>
        <w:t>.</w:t>
      </w:r>
    </w:p>
    <w:p w14:paraId="79DB1284" w14:textId="77777777" w:rsidR="003828CC" w:rsidRDefault="003828CC" w:rsidP="00AA6B18">
      <w:pPr>
        <w:pStyle w:val="Heading2"/>
      </w:pPr>
      <w:r>
        <w:t>Context of amendments</w:t>
      </w:r>
    </w:p>
    <w:p w14:paraId="2EDA35B6" w14:textId="77777777" w:rsidR="00585E9C" w:rsidRDefault="00585E9C" w:rsidP="00585E9C">
      <w:pPr>
        <w:pStyle w:val="base-text-paragraph"/>
      </w:pPr>
      <w:r>
        <w:t xml:space="preserve">Financial benchmarks are used to determine the pay-out or value of financial products or contracts, or to measure the performance of investment funds. </w:t>
      </w:r>
    </w:p>
    <w:p w14:paraId="044B5340" w14:textId="77777777" w:rsidR="00585E9C" w:rsidRDefault="00585E9C" w:rsidP="00585E9C">
      <w:pPr>
        <w:pStyle w:val="base-text-paragraph"/>
      </w:pPr>
      <w:r>
        <w:t xml:space="preserve">The ASX 200 equity index is an example of a financial benchmark used to measure the performance of funds, while the bank bill swap rate (BBSW) (which is used as a reference interest rate for a range of financial products) is an example of a financial benchmark used to determine the pay-out under financial contracts. </w:t>
      </w:r>
    </w:p>
    <w:p w14:paraId="58C56057" w14:textId="77777777" w:rsidR="00585E9C" w:rsidRDefault="00585E9C" w:rsidP="00585E9C">
      <w:pPr>
        <w:pStyle w:val="base-text-paragraph"/>
      </w:pPr>
      <w:r>
        <w:t>While some benchmarks are calculated by their administrator using regulated and publicly available data (such as equities indexes), others rely on submissions from banks or other market participants (for example, reference interest rates like the London Interbank Offered Rate (LIBOR)).</w:t>
      </w:r>
    </w:p>
    <w:p w14:paraId="270DDC3F" w14:textId="495BE3B9" w:rsidR="00585E9C" w:rsidRDefault="00585E9C" w:rsidP="00585E9C">
      <w:pPr>
        <w:pStyle w:val="base-text-paragraph"/>
      </w:pPr>
      <w:r>
        <w:t xml:space="preserve">Globally there have </w:t>
      </w:r>
      <w:r w:rsidR="00D72D8E">
        <w:t xml:space="preserve">in recent years </w:t>
      </w:r>
      <w:r>
        <w:t xml:space="preserve">been many cases of market misconduct regarding the determination of financial benchmarks (particularly interest rate reference benchmarks such as LIBOR). As of June 2015, penalties paid by financial institutions globally had reached around AUD22 billion. </w:t>
      </w:r>
    </w:p>
    <w:p w14:paraId="59C73347" w14:textId="565421E5" w:rsidR="00585E9C" w:rsidRDefault="00585E9C" w:rsidP="00585E9C">
      <w:pPr>
        <w:pStyle w:val="base-text-paragraph"/>
      </w:pPr>
      <w:r>
        <w:t xml:space="preserve">In Australia, ASIC commenced formal court proceedings in 2016 against ANZ, NAB, and Westpac for alleged market manipulation and unconscionable conduct in relation to the BBSW. </w:t>
      </w:r>
      <w:r w:rsidR="00D72D8E">
        <w:t>This court case is still ongoing.</w:t>
      </w:r>
    </w:p>
    <w:p w14:paraId="4A071531" w14:textId="5D6FD27D" w:rsidR="00585E9C" w:rsidRDefault="00585E9C" w:rsidP="00585E9C">
      <w:pPr>
        <w:pStyle w:val="base-text-paragraph"/>
      </w:pPr>
      <w:r>
        <w:t>In 2013, in response to these issues</w:t>
      </w:r>
      <w:r w:rsidR="00D72D8E">
        <w:t xml:space="preserve">, IOSCO developed </w:t>
      </w:r>
      <w:r>
        <w:t xml:space="preserve">the </w:t>
      </w:r>
      <w:r w:rsidR="00D72D8E" w:rsidRPr="00375CD9">
        <w:rPr>
          <w:i/>
          <w:lang w:val="en-US" w:eastAsia="en-US"/>
        </w:rPr>
        <w:t>Principles for Financial Benchmarks</w:t>
      </w:r>
      <w:r w:rsidR="00D72D8E">
        <w:t xml:space="preserve"> (the </w:t>
      </w:r>
      <w:r>
        <w:t>IOSCO Principles</w:t>
      </w:r>
      <w:r w:rsidR="00D72D8E">
        <w:t>) which set out the desirable characteristics of a regulatory regime for financial benchmarks</w:t>
      </w:r>
      <w:r>
        <w:t xml:space="preserve">. A number of jurisdictions, including the UK, </w:t>
      </w:r>
      <w:r w:rsidR="00D72D8E">
        <w:t xml:space="preserve">the </w:t>
      </w:r>
      <w:r>
        <w:t xml:space="preserve">EU, Japan, Singapore and Canada, have since worked to align their regulatory regimes with the </w:t>
      </w:r>
      <w:r w:rsidR="00D72D8E">
        <w:t xml:space="preserve">IOSCO </w:t>
      </w:r>
      <w:r>
        <w:t xml:space="preserve">Principles. </w:t>
      </w:r>
    </w:p>
    <w:p w14:paraId="0CC4CFF2" w14:textId="7355B8D2" w:rsidR="00585E9C" w:rsidRDefault="00585E9C" w:rsidP="00585E9C">
      <w:pPr>
        <w:pStyle w:val="base-text-paragraph"/>
      </w:pPr>
      <w:r>
        <w:t xml:space="preserve">The </w:t>
      </w:r>
      <w:r w:rsidR="00D72D8E">
        <w:t>amendments made by the Bill</w:t>
      </w:r>
      <w:r>
        <w:t xml:space="preserve"> are based on recommendations made by the Council of Financial Regulators (CFR)</w:t>
      </w:r>
      <w:r w:rsidR="00D220F1">
        <w:rPr>
          <w:rStyle w:val="FootnoteReference"/>
        </w:rPr>
        <w:footnoteReference w:id="2"/>
      </w:r>
      <w:r>
        <w:t xml:space="preserve"> for reforming the regulation of financial benchmarks</w:t>
      </w:r>
      <w:r w:rsidR="00125DF1">
        <w:t xml:space="preserve"> in Australia</w:t>
      </w:r>
      <w:r>
        <w:t xml:space="preserve"> in line with the IOSCO Principles. The CFR's recommendations were formulated following </w:t>
      </w:r>
      <w:r w:rsidR="00D72D8E">
        <w:t xml:space="preserve">extensive </w:t>
      </w:r>
      <w:r>
        <w:t>consultation with stakeholders.</w:t>
      </w:r>
    </w:p>
    <w:p w14:paraId="64623E26" w14:textId="6BF4C789" w:rsidR="003828CC" w:rsidRDefault="00585E9C" w:rsidP="00AA6B18">
      <w:pPr>
        <w:pStyle w:val="base-text-paragraph"/>
      </w:pPr>
      <w:r w:rsidRPr="00585E9C">
        <w:t xml:space="preserve">Administration of financial benchmarks </w:t>
      </w:r>
      <w:r w:rsidR="00D72D8E">
        <w:t xml:space="preserve">at present </w:t>
      </w:r>
      <w:r w:rsidRPr="00585E9C">
        <w:t xml:space="preserve">does not require a licence and is not a regulated activity under </w:t>
      </w:r>
      <w:r w:rsidR="008851C1">
        <w:t xml:space="preserve">the </w:t>
      </w:r>
      <w:r w:rsidRPr="00585E9C">
        <w:t xml:space="preserve">current law. </w:t>
      </w:r>
      <w:r w:rsidR="005F1B6B">
        <w:t>Consistent with overseas regulatory developments, m</w:t>
      </w:r>
      <w:r w:rsidRPr="00585E9C">
        <w:t>anipulation of financial benchmarks</w:t>
      </w:r>
      <w:r w:rsidR="005F1B6B">
        <w:t xml:space="preserve"> will be made a specific offence. </w:t>
      </w:r>
    </w:p>
    <w:p w14:paraId="1F504C4B" w14:textId="0310389A" w:rsidR="00D72D8E" w:rsidRDefault="00D72D8E" w:rsidP="00AA6B18">
      <w:pPr>
        <w:pStyle w:val="base-text-paragraph"/>
      </w:pPr>
      <w:r>
        <w:t xml:space="preserve">The Government has therefore decided to implement a regulatory framework for financial benchmarks </w:t>
      </w:r>
      <w:r w:rsidR="008851C1">
        <w:t xml:space="preserve">in Australia </w:t>
      </w:r>
      <w:r>
        <w:t xml:space="preserve">that is consistent with the IOSCO Principles. The amendments </w:t>
      </w:r>
      <w:r w:rsidR="008851C1">
        <w:t>contained</w:t>
      </w:r>
      <w:r>
        <w:t xml:space="preserve"> in the Bill </w:t>
      </w:r>
      <w:r w:rsidR="000251B6">
        <w:t xml:space="preserve">are designed to </w:t>
      </w:r>
      <w:r>
        <w:t>achieve this objective.</w:t>
      </w:r>
    </w:p>
    <w:p w14:paraId="13A1CCFD" w14:textId="77777777" w:rsidR="003828CC" w:rsidRDefault="003828CC" w:rsidP="00AA6B18"/>
    <w:p w14:paraId="4A752E2E" w14:textId="77777777" w:rsidR="0045139D" w:rsidRDefault="0045139D" w:rsidP="00AA6B18">
      <w:pPr>
        <w:sectPr w:rsidR="0045139D" w:rsidSect="00AA6B18">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6B359E3B" w14:textId="4D4481C6" w:rsidR="00D220F1" w:rsidRPr="00F51A71" w:rsidRDefault="00D220F1" w:rsidP="00AA6B18">
      <w:pPr>
        <w:pStyle w:val="ChapterHeading"/>
        <w:tabs>
          <w:tab w:val="clear" w:pos="1134"/>
          <w:tab w:val="num" w:pos="360"/>
        </w:tabs>
      </w:pPr>
      <w:r w:rsidRPr="00F51A71">
        <w:br/>
      </w:r>
      <w:bookmarkStart w:id="3" w:name="_Toc485738667"/>
      <w:r w:rsidR="00100A3F">
        <w:t>Licensing framework</w:t>
      </w:r>
      <w:bookmarkEnd w:id="3"/>
    </w:p>
    <w:p w14:paraId="0304333A" w14:textId="77777777" w:rsidR="00D220F1" w:rsidRDefault="00D220F1" w:rsidP="00AA6B18">
      <w:pPr>
        <w:pStyle w:val="Heading2"/>
      </w:pPr>
      <w:r>
        <w:t>Outline of chapter</w:t>
      </w:r>
    </w:p>
    <w:p w14:paraId="532DD9DD" w14:textId="75961341" w:rsidR="00D220F1" w:rsidRDefault="00D220F1" w:rsidP="00AA6B18">
      <w:pPr>
        <w:pStyle w:val="base-text-paragraph"/>
      </w:pPr>
      <w:r w:rsidRPr="00D220F1">
        <w:t xml:space="preserve">A new licensing regime </w:t>
      </w:r>
      <w:r>
        <w:t>is</w:t>
      </w:r>
      <w:r w:rsidRPr="00D220F1">
        <w:t xml:space="preserve"> established requiring administrators of designated significant financial benchmarks to obtain a </w:t>
      </w:r>
      <w:r w:rsidR="00213ED7">
        <w:t>new</w:t>
      </w:r>
      <w:r w:rsidRPr="00D220F1">
        <w:t xml:space="preserve"> </w:t>
      </w:r>
      <w:r w:rsidR="0062044D">
        <w:t>‘</w:t>
      </w:r>
      <w:r w:rsidRPr="00D220F1">
        <w:t>benchmark administrat</w:t>
      </w:r>
      <w:r w:rsidR="007A63A5">
        <w:t>or</w:t>
      </w:r>
      <w:r w:rsidRPr="00D220F1">
        <w:t xml:space="preserve"> licence</w:t>
      </w:r>
      <w:r w:rsidR="0062044D">
        <w:t>’</w:t>
      </w:r>
      <w:r w:rsidRPr="00D220F1">
        <w:t xml:space="preserve"> from ASIC. </w:t>
      </w:r>
      <w:r>
        <w:t>ASIC is given the power</w:t>
      </w:r>
      <w:r w:rsidRPr="00D220F1">
        <w:t xml:space="preserve"> to designate significant financial benchmarks. </w:t>
      </w:r>
      <w:r>
        <w:t>Licensees are subject to a number of obligations. Failure to comply with these obligations can lead to licences being suspended or cancelled.</w:t>
      </w:r>
    </w:p>
    <w:p w14:paraId="0394BDC8" w14:textId="77777777" w:rsidR="00D220F1" w:rsidRDefault="00D220F1" w:rsidP="00AA6B18">
      <w:pPr>
        <w:pStyle w:val="Heading2"/>
      </w:pPr>
      <w:r>
        <w:t>Summary of new law</w:t>
      </w:r>
    </w:p>
    <w:p w14:paraId="1D96CC6F" w14:textId="59454CD9" w:rsidR="007A63A5" w:rsidRPr="007A63A5" w:rsidRDefault="007A63A5" w:rsidP="007A63A5">
      <w:pPr>
        <w:pStyle w:val="base-text-paragraph"/>
      </w:pPr>
      <w:r w:rsidRPr="007A63A5">
        <w:t>ASIC is given the power to designate si</w:t>
      </w:r>
      <w:r>
        <w:t xml:space="preserve">gnificant financial benchmarks, but only if it is satisfied that a number of specified criteria are satisfied. These include requirements that the designated benchmark </w:t>
      </w:r>
      <w:r w:rsidR="00214A21">
        <w:t>is</w:t>
      </w:r>
      <w:r>
        <w:t xml:space="preserve"> systemically important</w:t>
      </w:r>
      <w:r w:rsidR="00BC4CCA">
        <w:t xml:space="preserve"> in Australia</w:t>
      </w:r>
      <w:r>
        <w:t xml:space="preserve"> and that there would be a material impact on </w:t>
      </w:r>
      <w:r w:rsidR="00BC4CCA">
        <w:t xml:space="preserve">Australian </w:t>
      </w:r>
      <w:r>
        <w:t>retail or wholesale investors if there was a disruption to the operation or integrity of the benchmark.</w:t>
      </w:r>
    </w:p>
    <w:p w14:paraId="0EE395CE" w14:textId="5CDB29A2" w:rsidR="00D220F1" w:rsidRDefault="00D220F1" w:rsidP="00D220F1">
      <w:pPr>
        <w:pStyle w:val="base-text-paragraph"/>
      </w:pPr>
      <w:r w:rsidRPr="00D220F1">
        <w:t xml:space="preserve">A new licensing regime is established requiring administrators of designated significant financial benchmarks to obtain a </w:t>
      </w:r>
      <w:r w:rsidR="00213ED7">
        <w:t>new</w:t>
      </w:r>
      <w:r w:rsidRPr="00D220F1">
        <w:t xml:space="preserve"> 'benchmark administrat</w:t>
      </w:r>
      <w:r w:rsidR="007A63A5">
        <w:t>or</w:t>
      </w:r>
      <w:r w:rsidRPr="00D220F1">
        <w:t xml:space="preserve"> licence</w:t>
      </w:r>
      <w:r w:rsidR="00F63051">
        <w:t>’</w:t>
      </w:r>
      <w:r w:rsidRPr="00D220F1">
        <w:t xml:space="preserve"> from ASIC. </w:t>
      </w:r>
      <w:r w:rsidR="00166FF9">
        <w:t>ASIC may impose conditions in granting a licence. Licensees are required to comply with any conditions on the licence as well as a range of general obligations imposed in the legislation.</w:t>
      </w:r>
    </w:p>
    <w:p w14:paraId="7C416158" w14:textId="47DE7C0E" w:rsidR="00D220F1" w:rsidRPr="008F726E" w:rsidRDefault="00D220F1" w:rsidP="00D220F1">
      <w:pPr>
        <w:pStyle w:val="base-text-paragraph"/>
      </w:pPr>
      <w:r w:rsidRPr="00D220F1">
        <w:t>Failure to comply with the</w:t>
      </w:r>
      <w:r w:rsidR="00166FF9">
        <w:t xml:space="preserve"> licence conditions or the general</w:t>
      </w:r>
      <w:r w:rsidRPr="00D220F1">
        <w:t xml:space="preserve"> obligations </w:t>
      </w:r>
      <w:r w:rsidR="00166FF9">
        <w:t>may</w:t>
      </w:r>
      <w:r w:rsidRPr="00D220F1">
        <w:t xml:space="preserve"> lead to licences being suspended or cancelled.</w:t>
      </w:r>
      <w:r w:rsidR="00166FF9">
        <w:t xml:space="preserve"> ASIC must give the licensee a hearing before it suspends or cancels a licence.</w:t>
      </w:r>
    </w:p>
    <w:p w14:paraId="734055F1" w14:textId="77777777" w:rsidR="00D220F1" w:rsidRDefault="00D220F1" w:rsidP="00AA6B1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220F1" w:rsidRPr="004666B8" w14:paraId="66DDE85C" w14:textId="77777777" w:rsidTr="00AA6B18">
        <w:tc>
          <w:tcPr>
            <w:tcW w:w="3275" w:type="dxa"/>
          </w:tcPr>
          <w:p w14:paraId="062DEAD3" w14:textId="77777777" w:rsidR="00D220F1" w:rsidRPr="004666B8" w:rsidRDefault="00D220F1" w:rsidP="00AA6B18">
            <w:pPr>
              <w:pStyle w:val="tableheaderwithintable"/>
              <w:rPr>
                <w:lang w:val="en-US" w:eastAsia="en-US"/>
              </w:rPr>
            </w:pPr>
            <w:r w:rsidRPr="004666B8">
              <w:rPr>
                <w:lang w:val="en-US" w:eastAsia="en-US"/>
              </w:rPr>
              <w:t>New law</w:t>
            </w:r>
          </w:p>
        </w:tc>
        <w:tc>
          <w:tcPr>
            <w:tcW w:w="3276" w:type="dxa"/>
          </w:tcPr>
          <w:p w14:paraId="2A966643" w14:textId="77777777" w:rsidR="00D220F1" w:rsidRPr="004666B8" w:rsidRDefault="00D220F1" w:rsidP="00AA6B18">
            <w:pPr>
              <w:pStyle w:val="tableheaderwithintable"/>
              <w:rPr>
                <w:lang w:val="en-US" w:eastAsia="en-US"/>
              </w:rPr>
            </w:pPr>
            <w:r w:rsidRPr="004666B8">
              <w:rPr>
                <w:lang w:val="en-US" w:eastAsia="en-US"/>
              </w:rPr>
              <w:t>Current law</w:t>
            </w:r>
          </w:p>
        </w:tc>
      </w:tr>
      <w:tr w:rsidR="00D220F1" w:rsidRPr="004666B8" w14:paraId="5193DBEF" w14:textId="77777777" w:rsidTr="00AA6B18">
        <w:tc>
          <w:tcPr>
            <w:tcW w:w="3275" w:type="dxa"/>
          </w:tcPr>
          <w:p w14:paraId="4E3B3588" w14:textId="50818F47" w:rsidR="00166FF9" w:rsidRDefault="00166FF9" w:rsidP="00166FF9">
            <w:pPr>
              <w:pStyle w:val="tabletext"/>
            </w:pPr>
            <w:r w:rsidRPr="007A63A5">
              <w:t>ASIC is given the power to designate si</w:t>
            </w:r>
            <w:r>
              <w:t>gnificant financial benchmarks subject to a number of specified criteria.</w:t>
            </w:r>
          </w:p>
          <w:p w14:paraId="15FDC6DC" w14:textId="36FC1806" w:rsidR="00166FF9" w:rsidRDefault="00166FF9" w:rsidP="00166FF9">
            <w:pPr>
              <w:pStyle w:val="tabletext"/>
            </w:pPr>
            <w:r w:rsidRPr="00D220F1">
              <w:t xml:space="preserve">A new licensing regime is established requiring administrators of designated significant financial benchmarks to obtain a </w:t>
            </w:r>
            <w:r w:rsidR="00213ED7">
              <w:t>new</w:t>
            </w:r>
            <w:r w:rsidRPr="00D220F1">
              <w:t xml:space="preserve"> 'benchmark administrat</w:t>
            </w:r>
            <w:r>
              <w:t>or</w:t>
            </w:r>
            <w:r w:rsidRPr="00D220F1">
              <w:t xml:space="preserve"> licence</w:t>
            </w:r>
            <w:r w:rsidR="00CC2E7E">
              <w:t>’</w:t>
            </w:r>
            <w:r w:rsidRPr="00D220F1">
              <w:t xml:space="preserve"> from ASIC.</w:t>
            </w:r>
          </w:p>
          <w:p w14:paraId="6A281152" w14:textId="19F4620B" w:rsidR="00D220F1" w:rsidRPr="004666B8" w:rsidRDefault="00166FF9" w:rsidP="00166FF9">
            <w:pPr>
              <w:pStyle w:val="tabletext"/>
              <w:rPr>
                <w:lang w:val="en-US" w:eastAsia="en-US"/>
              </w:rPr>
            </w:pPr>
            <w:r>
              <w:t>ASIC may suspend or cancel benchmark administrator licences subject to holding a hearing with the licensee.</w:t>
            </w:r>
          </w:p>
        </w:tc>
        <w:tc>
          <w:tcPr>
            <w:tcW w:w="3276" w:type="dxa"/>
          </w:tcPr>
          <w:p w14:paraId="1E2D7951" w14:textId="735E05C0" w:rsidR="00D220F1" w:rsidRPr="004666B8" w:rsidRDefault="00214A21" w:rsidP="00214A21">
            <w:pPr>
              <w:pStyle w:val="tabletext"/>
              <w:rPr>
                <w:lang w:val="en-US" w:eastAsia="en-US"/>
              </w:rPr>
            </w:pPr>
            <w:r>
              <w:rPr>
                <w:lang w:val="en-US" w:eastAsia="en-US"/>
              </w:rPr>
              <w:t>Systemically important benchmarks are not subject to any specific regulation, and are covered by general requirements such as the market misconduct rules.</w:t>
            </w:r>
          </w:p>
        </w:tc>
      </w:tr>
    </w:tbl>
    <w:p w14:paraId="306952EA" w14:textId="77777777" w:rsidR="00D220F1" w:rsidRDefault="00D220F1" w:rsidP="00AA6B18">
      <w:pPr>
        <w:pStyle w:val="Heading2"/>
      </w:pPr>
      <w:r>
        <w:t>Detailed explanation of new law</w:t>
      </w:r>
    </w:p>
    <w:p w14:paraId="3FAA6D9C" w14:textId="56F93BF8" w:rsidR="0021700B" w:rsidRDefault="0021700B" w:rsidP="0021700B">
      <w:pPr>
        <w:pStyle w:val="Heading3"/>
      </w:pPr>
      <w:r>
        <w:t>Schedule 1 – Amendments</w:t>
      </w:r>
    </w:p>
    <w:p w14:paraId="3DF546F4" w14:textId="1BA60D84" w:rsidR="0021700B" w:rsidRDefault="0021700B" w:rsidP="0021700B">
      <w:pPr>
        <w:pStyle w:val="Heading4"/>
      </w:pPr>
      <w:r>
        <w:t>Part 1 – Main amendments</w:t>
      </w:r>
    </w:p>
    <w:p w14:paraId="6B9DB141" w14:textId="5BB99494" w:rsidR="0021700B" w:rsidRDefault="0021700B" w:rsidP="0021700B">
      <w:pPr>
        <w:pStyle w:val="base-text-paragraph"/>
      </w:pPr>
      <w:r>
        <w:t xml:space="preserve">Part 1 of Schedule 1 inserts a new Part 7.5B after Part 7.5A in the Corporations Act. </w:t>
      </w:r>
      <w:r w:rsidR="00114FF2">
        <w:t xml:space="preserve">Part 2 makes consequential amendments to existing provisions in the </w:t>
      </w:r>
      <w:r w:rsidR="00CB084C">
        <w:t xml:space="preserve">Corporations </w:t>
      </w:r>
      <w:r w:rsidR="00114FF2">
        <w:t xml:space="preserve">Act. Part 3 makes two minor consequential amendments to another Act affected by </w:t>
      </w:r>
      <w:r w:rsidR="00575299">
        <w:t>certain</w:t>
      </w:r>
      <w:r w:rsidR="00114FF2">
        <w:t xml:space="preserve"> amendments in this Bill. </w:t>
      </w:r>
      <w:r>
        <w:t xml:space="preserve">The new Part 7.5B carries the title ‘Regulation of Financial Benchmarks’ and contains the </w:t>
      </w:r>
      <w:r w:rsidR="00243319">
        <w:t xml:space="preserve">new </w:t>
      </w:r>
      <w:r>
        <w:t>licensing framework</w:t>
      </w:r>
      <w:r w:rsidR="00243319">
        <w:t xml:space="preserve"> for designated significant financial benchmarks as well as a power for ASIC to make two new kinds of rules prescribing detail</w:t>
      </w:r>
      <w:r w:rsidR="001F50D8">
        <w:t>ed requirements relating to the</w:t>
      </w:r>
      <w:r w:rsidR="00243319">
        <w:t xml:space="preserve"> operat</w:t>
      </w:r>
      <w:r w:rsidR="001F50D8">
        <w:t>ion of</w:t>
      </w:r>
      <w:r w:rsidR="00243319">
        <w:t xml:space="preserve"> financial benchmarks </w:t>
      </w:r>
      <w:r w:rsidR="001F50D8">
        <w:t>specified in a</w:t>
      </w:r>
      <w:r w:rsidR="00243319">
        <w:t xml:space="preserve"> licence</w:t>
      </w:r>
      <w:r w:rsidR="0053562D">
        <w:t>.</w:t>
      </w:r>
      <w:r w:rsidR="006B49CE">
        <w:t xml:space="preserve"> A number of offences are created relating to the manipulation of financial benchmarks.</w:t>
      </w:r>
    </w:p>
    <w:p w14:paraId="70864854" w14:textId="1A79EC67" w:rsidR="00243319" w:rsidRDefault="003314D9" w:rsidP="00243319">
      <w:pPr>
        <w:pStyle w:val="Heading5"/>
      </w:pPr>
      <w:r>
        <w:t xml:space="preserve">Division 1 - </w:t>
      </w:r>
      <w:r w:rsidR="00243319">
        <w:t>Preliminary</w:t>
      </w:r>
    </w:p>
    <w:p w14:paraId="1063CB2B" w14:textId="7ED3CC5E" w:rsidR="00FE0EBD" w:rsidRDefault="00FE0EBD" w:rsidP="0021700B">
      <w:pPr>
        <w:pStyle w:val="base-text-paragraph"/>
      </w:pPr>
      <w:r>
        <w:t>A simplified outline of new Part 7.5B is provided, summarising the key matters</w:t>
      </w:r>
      <w:r w:rsidR="00703FA4">
        <w:t xml:space="preserve"> in the Part</w:t>
      </w:r>
      <w:r>
        <w:t xml:space="preserve"> as follows:</w:t>
      </w:r>
    </w:p>
    <w:p w14:paraId="667F56DF" w14:textId="49E4D69A" w:rsidR="00FE0EBD" w:rsidRDefault="00FE0EBD" w:rsidP="00FE0EBD">
      <w:pPr>
        <w:pStyle w:val="dotpoint"/>
      </w:pPr>
      <w:r>
        <w:t>Administrators of significant financial benchmarks must be licensed, while other administrators can opt</w:t>
      </w:r>
      <w:r w:rsidR="00BC3A98">
        <w:t xml:space="preserve"> </w:t>
      </w:r>
      <w:r>
        <w:t>in to the licensing regime. All licensees are subject to a number of obligations.</w:t>
      </w:r>
    </w:p>
    <w:p w14:paraId="7824BA7E" w14:textId="662219C3" w:rsidR="00FE0EBD" w:rsidRDefault="00FE0EBD" w:rsidP="00FE0EBD">
      <w:pPr>
        <w:pStyle w:val="dotpoint"/>
      </w:pPr>
      <w:r>
        <w:t>ASIC may make financial benchmark rules applying to licensees and their benchmarks. ASIC may also make compelled financial benchmark rules deal</w:t>
      </w:r>
      <w:r w:rsidR="00703FA4">
        <w:t>ing</w:t>
      </w:r>
      <w:r>
        <w:t xml:space="preserve"> with certain critical situations such as the possible failure of a significant financial benchmark.</w:t>
      </w:r>
    </w:p>
    <w:p w14:paraId="3392BAAB" w14:textId="4821ADE5" w:rsidR="00703FA4" w:rsidRDefault="00703FA4" w:rsidP="00FE0EBD">
      <w:pPr>
        <w:pStyle w:val="dotpoint"/>
      </w:pPr>
      <w:r>
        <w:t>A number of new offences relating to the manipulation of financial benchmarks are defined.</w:t>
      </w:r>
    </w:p>
    <w:p w14:paraId="1599CB87" w14:textId="454345E0" w:rsidR="00703FA4" w:rsidRDefault="00703FA4" w:rsidP="00703FA4">
      <w:pPr>
        <w:pStyle w:val="base-text-paragraphnonumbers"/>
      </w:pPr>
      <w:r>
        <w:rPr>
          <w:rStyle w:val="Referencingstyle"/>
        </w:rPr>
        <w:t>[Schedule 1, item 1, section 908AA]</w:t>
      </w:r>
      <w:r>
        <w:t xml:space="preserve"> </w:t>
      </w:r>
    </w:p>
    <w:p w14:paraId="6A2E526F" w14:textId="7AAF79B5" w:rsidR="00243319" w:rsidRDefault="00243319" w:rsidP="0021700B">
      <w:pPr>
        <w:pStyle w:val="base-text-paragraph"/>
      </w:pPr>
      <w:r>
        <w:t xml:space="preserve">A definition of </w:t>
      </w:r>
      <w:r w:rsidRPr="00243319">
        <w:rPr>
          <w:b/>
          <w:i/>
        </w:rPr>
        <w:t>financial benchmark</w:t>
      </w:r>
      <w:r>
        <w:t xml:space="preserve"> is provided stating that </w:t>
      </w:r>
      <w:r w:rsidR="001571E1">
        <w:t>it can be a price, estimate, rate, index or value. It must also be available to users</w:t>
      </w:r>
      <w:r w:rsidR="00991818">
        <w:t xml:space="preserve"> and</w:t>
      </w:r>
      <w:r w:rsidR="001571E1">
        <w:t xml:space="preserve"> be calculated periodically </w:t>
      </w:r>
      <w:r w:rsidR="00872E9E">
        <w:t>from</w:t>
      </w:r>
      <w:r w:rsidR="001571E1">
        <w:t xml:space="preserve"> </w:t>
      </w:r>
      <w:r w:rsidR="00991818">
        <w:t>one</w:t>
      </w:r>
      <w:r w:rsidR="00872E9E">
        <w:t xml:space="preserve"> or more</w:t>
      </w:r>
      <w:r w:rsidR="00991818">
        <w:t xml:space="preserve"> of </w:t>
      </w:r>
      <w:r w:rsidR="00872E9E">
        <w:t>the following:</w:t>
      </w:r>
      <w:r w:rsidR="00991818">
        <w:t xml:space="preserve"> transactions, currencies, rates, indices, bank accepted bills (BABs), negotiable certificates of deposits (NCDs) and others. Benchmarks that are calculated </w:t>
      </w:r>
      <w:r w:rsidR="00872E9E">
        <w:t>from</w:t>
      </w:r>
      <w:r w:rsidR="00991818">
        <w:t xml:space="preserve"> other benchmarks are within the scope of this definition. A financial benchmark must</w:t>
      </w:r>
      <w:r w:rsidR="00BF0080">
        <w:t xml:space="preserve"> be used for certain purposes</w:t>
      </w:r>
      <w:r w:rsidR="00991818">
        <w:t xml:space="preserve"> which</w:t>
      </w:r>
      <w:r w:rsidR="00BF0080">
        <w:t xml:space="preserve"> may include the calculation of interest or other amounts payable for a financial product, the calculation of the price or value of a financial product, and the measurement of the performance of a financial product.</w:t>
      </w:r>
      <w:r w:rsidR="0030587F">
        <w:t xml:space="preserve"> This definition is aligned with that provided in the IOSCO Principles. </w:t>
      </w:r>
      <w:r w:rsidR="0030587F">
        <w:rPr>
          <w:rStyle w:val="Referencingstyle"/>
        </w:rPr>
        <w:t>[Schedule 1, item 1, section 908A</w:t>
      </w:r>
      <w:r w:rsidR="00E906AF">
        <w:rPr>
          <w:rStyle w:val="Referencingstyle"/>
        </w:rPr>
        <w:t>B</w:t>
      </w:r>
      <w:r w:rsidR="0030587F">
        <w:rPr>
          <w:rStyle w:val="Referencingstyle"/>
        </w:rPr>
        <w:t>]</w:t>
      </w:r>
      <w:r w:rsidR="0030587F">
        <w:t xml:space="preserve"> </w:t>
      </w:r>
    </w:p>
    <w:p w14:paraId="1D42015E" w14:textId="77777777" w:rsidR="00275702" w:rsidRDefault="00275702" w:rsidP="0021700B">
      <w:pPr>
        <w:pStyle w:val="base-text-paragraph"/>
      </w:pPr>
      <w:r>
        <w:t xml:space="preserve">ASIC may declare a financial benchmark to be a </w:t>
      </w:r>
      <w:r w:rsidRPr="00275702">
        <w:rPr>
          <w:b/>
          <w:i/>
        </w:rPr>
        <w:t>significant financial benchmark</w:t>
      </w:r>
      <w:r>
        <w:t xml:space="preserve"> if it is satisfied of the following matters:</w:t>
      </w:r>
    </w:p>
    <w:p w14:paraId="0F01FF47" w14:textId="3FC1C0D9" w:rsidR="00275702" w:rsidRDefault="00D31F08" w:rsidP="00275702">
      <w:pPr>
        <w:pStyle w:val="dotpoint"/>
      </w:pPr>
      <w:r>
        <w:t>t</w:t>
      </w:r>
      <w:r w:rsidR="00275702">
        <w:t>he benchmark is systemically important in Australia; or</w:t>
      </w:r>
    </w:p>
    <w:p w14:paraId="007ABA3D" w14:textId="52819AF6" w:rsidR="0030587F" w:rsidRDefault="00275702" w:rsidP="00275702">
      <w:pPr>
        <w:pStyle w:val="dotpoint"/>
      </w:pPr>
      <w:r>
        <w:t>a disruption to the availability or integrity of the benchmark would cause a material risk of financial contagion or systemic instability</w:t>
      </w:r>
      <w:r w:rsidR="00BC4CCA">
        <w:t xml:space="preserve"> in Australia</w:t>
      </w:r>
      <w:r>
        <w:t>; or</w:t>
      </w:r>
    </w:p>
    <w:p w14:paraId="20A0DFB1" w14:textId="7083D895" w:rsidR="00275702" w:rsidRDefault="00275702" w:rsidP="00275702">
      <w:pPr>
        <w:pStyle w:val="dotpoint"/>
      </w:pPr>
      <w:r>
        <w:t xml:space="preserve">a disruption of that kind would have a material impact on </w:t>
      </w:r>
      <w:r w:rsidR="00BC4CCA">
        <w:t xml:space="preserve">Australian </w:t>
      </w:r>
      <w:r>
        <w:t xml:space="preserve">retail or wholesale investors. </w:t>
      </w:r>
      <w:r>
        <w:rPr>
          <w:rStyle w:val="Referencingstyle"/>
        </w:rPr>
        <w:t>[Schedule 1, item 1, subsections 908A</w:t>
      </w:r>
      <w:r w:rsidR="00E906AF">
        <w:rPr>
          <w:rStyle w:val="Referencingstyle"/>
        </w:rPr>
        <w:t>C</w:t>
      </w:r>
      <w:r>
        <w:rPr>
          <w:rStyle w:val="Referencingstyle"/>
        </w:rPr>
        <w:t>(1) and (2)]</w:t>
      </w:r>
      <w:r>
        <w:t xml:space="preserve"> </w:t>
      </w:r>
    </w:p>
    <w:p w14:paraId="28CA575F" w14:textId="01D97503" w:rsidR="00561DCD" w:rsidRDefault="00561DCD" w:rsidP="00275702">
      <w:pPr>
        <w:pStyle w:val="base-text-paragraph"/>
      </w:pPr>
      <w:r>
        <w:t xml:space="preserve">The power to make such a declaration includes a power to vary or revoke it, as provided in subsection 33(3) of the </w:t>
      </w:r>
      <w:r w:rsidRPr="00561DCD">
        <w:rPr>
          <w:i/>
        </w:rPr>
        <w:t>Acts Interpretation Act 1901</w:t>
      </w:r>
      <w:r>
        <w:t xml:space="preserve"> (the Acts Interpretation Act).</w:t>
      </w:r>
      <w:r w:rsidR="00E906AF">
        <w:t xml:space="preserve"> </w:t>
      </w:r>
      <w:r w:rsidR="00E906AF">
        <w:rPr>
          <w:rStyle w:val="Referencingstyle"/>
        </w:rPr>
        <w:t>[Schedule 1, item 1,</w:t>
      </w:r>
      <w:r w:rsidR="006E1BE3">
        <w:rPr>
          <w:rStyle w:val="Referencingstyle"/>
        </w:rPr>
        <w:t xml:space="preserve"> </w:t>
      </w:r>
      <w:r w:rsidR="00E906AF">
        <w:rPr>
          <w:rStyle w:val="Referencingstyle"/>
        </w:rPr>
        <w:t>note 2 to subsection 908AC(2)]</w:t>
      </w:r>
      <w:r w:rsidR="00E906AF">
        <w:t xml:space="preserve"> </w:t>
      </w:r>
    </w:p>
    <w:p w14:paraId="714AA609" w14:textId="567EA381" w:rsidR="00DF1072" w:rsidRDefault="00DF1072" w:rsidP="00275702">
      <w:pPr>
        <w:pStyle w:val="base-text-paragraph"/>
      </w:pPr>
      <w:r>
        <w:t>ASIC may not make</w:t>
      </w:r>
      <w:r w:rsidR="00275702">
        <w:t xml:space="preserve"> such</w:t>
      </w:r>
      <w:r>
        <w:t xml:space="preserve"> a</w:t>
      </w:r>
      <w:r w:rsidR="00275702">
        <w:t xml:space="preserve"> declaration </w:t>
      </w:r>
      <w:r>
        <w:t>unless it has obtained the Minister’s consent</w:t>
      </w:r>
      <w:r w:rsidR="00BC3A98">
        <w:t xml:space="preserve"> in writing</w:t>
      </w:r>
      <w:r w:rsidR="00275702">
        <w:t>.</w:t>
      </w:r>
      <w:r>
        <w:t xml:space="preserve">  </w:t>
      </w:r>
      <w:r>
        <w:rPr>
          <w:rStyle w:val="Referencingstyle"/>
        </w:rPr>
        <w:t>[Schedule 1, item 1, subsections 908A</w:t>
      </w:r>
      <w:r w:rsidR="00E906AF">
        <w:rPr>
          <w:rStyle w:val="Referencingstyle"/>
        </w:rPr>
        <w:t>C</w:t>
      </w:r>
      <w:r>
        <w:rPr>
          <w:rStyle w:val="Referencingstyle"/>
        </w:rPr>
        <w:t>(3) and (4)]</w:t>
      </w:r>
      <w:r w:rsidR="00275702">
        <w:t xml:space="preserve"> </w:t>
      </w:r>
    </w:p>
    <w:p w14:paraId="4A0752D1" w14:textId="41EADE40" w:rsidR="00275702" w:rsidRDefault="00275702" w:rsidP="00275702">
      <w:pPr>
        <w:pStyle w:val="base-text-paragraph"/>
      </w:pPr>
      <w:r>
        <w:t>ASIC may, in an emergency, make a declaration without the consent of the Minister to protect the Australian economy</w:t>
      </w:r>
      <w:r w:rsidR="00561DCD">
        <w:t xml:space="preserve"> or the Australian financial system. However, if it does so, </w:t>
      </w:r>
      <w:r w:rsidR="00C35BE1">
        <w:t xml:space="preserve">ASIC must write to the Minister on the following day explaining the need for its action and amend or revoke the declaration if directed to do so by the Minister. This </w:t>
      </w:r>
      <w:r w:rsidR="007B5C59">
        <w:t>allow</w:t>
      </w:r>
      <w:r w:rsidR="00C35BE1">
        <w:t xml:space="preserve">s the Government </w:t>
      </w:r>
      <w:r w:rsidR="007B5C59">
        <w:t>to exercise</w:t>
      </w:r>
      <w:r w:rsidR="00C35BE1">
        <w:t xml:space="preserve"> ultimate oversight </w:t>
      </w:r>
      <w:r w:rsidR="00630499">
        <w:t xml:space="preserve">in case of any emergency declarations made by ASIC. </w:t>
      </w:r>
      <w:r w:rsidR="00630499">
        <w:rPr>
          <w:rStyle w:val="Referencingstyle"/>
        </w:rPr>
        <w:t>[Schedule 1, item 1, subsections 908A</w:t>
      </w:r>
      <w:r w:rsidR="00E906AF">
        <w:rPr>
          <w:rStyle w:val="Referencingstyle"/>
        </w:rPr>
        <w:t>C</w:t>
      </w:r>
      <w:r w:rsidR="00630499">
        <w:rPr>
          <w:rStyle w:val="Referencingstyle"/>
        </w:rPr>
        <w:t>(</w:t>
      </w:r>
      <w:r w:rsidR="00DF1072">
        <w:rPr>
          <w:rStyle w:val="Referencingstyle"/>
        </w:rPr>
        <w:t>5</w:t>
      </w:r>
      <w:r w:rsidR="00630499">
        <w:rPr>
          <w:rStyle w:val="Referencingstyle"/>
        </w:rPr>
        <w:t>), (</w:t>
      </w:r>
      <w:r w:rsidR="00DF1072">
        <w:rPr>
          <w:rStyle w:val="Referencingstyle"/>
        </w:rPr>
        <w:t>6</w:t>
      </w:r>
      <w:r w:rsidR="00630499">
        <w:rPr>
          <w:rStyle w:val="Referencingstyle"/>
        </w:rPr>
        <w:t>) and (</w:t>
      </w:r>
      <w:r w:rsidR="00DF1072">
        <w:rPr>
          <w:rStyle w:val="Referencingstyle"/>
        </w:rPr>
        <w:t>7</w:t>
      </w:r>
      <w:r w:rsidR="00630499">
        <w:rPr>
          <w:rStyle w:val="Referencingstyle"/>
        </w:rPr>
        <w:t>)]</w:t>
      </w:r>
      <w:r w:rsidR="00630499">
        <w:t xml:space="preserve"> </w:t>
      </w:r>
    </w:p>
    <w:p w14:paraId="66DD609B" w14:textId="65C4948F" w:rsidR="00630499" w:rsidRDefault="00630499" w:rsidP="00275702">
      <w:pPr>
        <w:pStyle w:val="base-text-paragraph"/>
      </w:pPr>
      <w:r>
        <w:t xml:space="preserve">To assist readers an explanation is included that neither a consent by the Minister to a declaration made by ASIC under subsection </w:t>
      </w:r>
      <w:r w:rsidRPr="00622245">
        <w:t>908A</w:t>
      </w:r>
      <w:r w:rsidR="00D57DA1" w:rsidRPr="00622245">
        <w:t>C</w:t>
      </w:r>
      <w:r w:rsidRPr="00622245">
        <w:t>(</w:t>
      </w:r>
      <w:r w:rsidR="00D57DA1" w:rsidRPr="00622245">
        <w:t>4</w:t>
      </w:r>
      <w:r w:rsidRPr="00622245">
        <w:t>)</w:t>
      </w:r>
      <w:r>
        <w:t xml:space="preserve"> nor a direction given by the Minister under paragraph </w:t>
      </w:r>
      <w:r w:rsidRPr="00622245">
        <w:t>908A</w:t>
      </w:r>
      <w:r w:rsidR="00D57DA1" w:rsidRPr="00622245">
        <w:t>C</w:t>
      </w:r>
      <w:r w:rsidRPr="00622245">
        <w:t>(</w:t>
      </w:r>
      <w:r w:rsidR="00D57DA1" w:rsidRPr="00622245">
        <w:t>7</w:t>
      </w:r>
      <w:r w:rsidRPr="00622245">
        <w:t>)</w:t>
      </w:r>
      <w:r>
        <w:t xml:space="preserve"> is a legislative instrument. This </w:t>
      </w:r>
      <w:r w:rsidR="00435574">
        <w:t>clarification</w:t>
      </w:r>
      <w:r>
        <w:t xml:space="preserve"> is merely declaratory of the law as such consents and directions are not legislative instruments within the meaning of subsection (8)(1) of the</w:t>
      </w:r>
      <w:r w:rsidR="00435574">
        <w:t xml:space="preserve"> </w:t>
      </w:r>
      <w:r w:rsidR="00435574" w:rsidRPr="00435574">
        <w:rPr>
          <w:i/>
        </w:rPr>
        <w:t>Legislation Act 2003</w:t>
      </w:r>
      <w:r w:rsidR="00435574">
        <w:t xml:space="preserve"> (the</w:t>
      </w:r>
      <w:r>
        <w:t xml:space="preserve"> Legislation Act</w:t>
      </w:r>
      <w:r w:rsidR="00435574">
        <w:t>)</w:t>
      </w:r>
      <w:r>
        <w:t xml:space="preserve">. </w:t>
      </w:r>
      <w:r>
        <w:rPr>
          <w:rStyle w:val="Referencingstyle"/>
        </w:rPr>
        <w:t>[Schedule 1, item 1, subsection 908A</w:t>
      </w:r>
      <w:r w:rsidR="00E906AF">
        <w:rPr>
          <w:rStyle w:val="Referencingstyle"/>
        </w:rPr>
        <w:t>C</w:t>
      </w:r>
      <w:r>
        <w:rPr>
          <w:rStyle w:val="Referencingstyle"/>
        </w:rPr>
        <w:t>(</w:t>
      </w:r>
      <w:r w:rsidR="00DF1072">
        <w:rPr>
          <w:rStyle w:val="Referencingstyle"/>
        </w:rPr>
        <w:t>8</w:t>
      </w:r>
      <w:r>
        <w:rPr>
          <w:rStyle w:val="Referencingstyle"/>
        </w:rPr>
        <w:t>)]</w:t>
      </w:r>
      <w:r>
        <w:t xml:space="preserve"> </w:t>
      </w:r>
    </w:p>
    <w:p w14:paraId="1B182000" w14:textId="55E213A1" w:rsidR="00A77F47" w:rsidRDefault="00A77F47" w:rsidP="00275702">
      <w:pPr>
        <w:pStyle w:val="base-text-paragraph"/>
      </w:pPr>
      <w:r>
        <w:t>ASIC is given the function of supervising financial benchmarks that are specified in benchmark administrator licences. If such a benchmark is generated or administered overseas, ASIC may</w:t>
      </w:r>
      <w:r w:rsidR="00435574">
        <w:t>,</w:t>
      </w:r>
      <w:r>
        <w:t xml:space="preserve"> to the extent it considers appropriate</w:t>
      </w:r>
      <w:r w:rsidR="00435574">
        <w:t>,</w:t>
      </w:r>
      <w:r>
        <w:t xml:space="preserve"> rely on </w:t>
      </w:r>
      <w:r w:rsidR="00B25142">
        <w:t>a</w:t>
      </w:r>
      <w:r>
        <w:t xml:space="preserve"> regulator </w:t>
      </w:r>
      <w:r w:rsidR="00B25142">
        <w:t>in a foreign country</w:t>
      </w:r>
      <w:r w:rsidR="00435574">
        <w:t xml:space="preserve"> </w:t>
      </w:r>
      <w:r>
        <w:t>in exercising its regulatory functions. However, ASIC may only do so if it is satisfied that the</w:t>
      </w:r>
      <w:r w:rsidR="003314D9">
        <w:t>re is an adequate level of supervision of the financial benchmark based on its assessment of the regulatory regime in the foreign jurisdiction</w:t>
      </w:r>
      <w:r w:rsidR="007B5C59">
        <w:t xml:space="preserve">. </w:t>
      </w:r>
      <w:r w:rsidR="00A9707A">
        <w:t>Alternatively</w:t>
      </w:r>
      <w:r w:rsidR="007B5C59">
        <w:t>, ASIC must be satisfied that there are</w:t>
      </w:r>
      <w:r w:rsidR="003314D9">
        <w:t xml:space="preserve"> adequate cooperation arrangements in place with the </w:t>
      </w:r>
      <w:r w:rsidR="00B25142">
        <w:t>foreign</w:t>
      </w:r>
      <w:r w:rsidR="003314D9">
        <w:t xml:space="preserve"> regulator</w:t>
      </w:r>
      <w:r w:rsidR="00A9707A">
        <w:t xml:space="preserve"> to ensure that the benchmark is adequately supervised</w:t>
      </w:r>
      <w:r w:rsidR="003314D9">
        <w:t>.</w:t>
      </w:r>
      <w:r w:rsidR="005F767B">
        <w:t xml:space="preserve"> A significant number of prominent benchmark operators are based overseas, and may be interested in entering the Australian market. The ability of ASIC to rely on the </w:t>
      </w:r>
      <w:r w:rsidR="00B25142">
        <w:t>foreign</w:t>
      </w:r>
      <w:r w:rsidR="005F767B">
        <w:t xml:space="preserve"> regulator in supervising such entities ensures that</w:t>
      </w:r>
      <w:r w:rsidR="003314D9">
        <w:t xml:space="preserve"> </w:t>
      </w:r>
      <w:r w:rsidR="005F767B">
        <w:t>there is no unnecessary duplication of regulatory requirements</w:t>
      </w:r>
      <w:r w:rsidR="0096543D">
        <w:t xml:space="preserve"> and burdens</w:t>
      </w:r>
      <w:r w:rsidR="00435574">
        <w:t>. However, such reliance by ASIC is</w:t>
      </w:r>
      <w:r w:rsidR="005F767B">
        <w:t xml:space="preserve"> subject to conditions that are intended to </w:t>
      </w:r>
      <w:r w:rsidR="0096543D">
        <w:t>guarantee</w:t>
      </w:r>
      <w:r w:rsidR="005F767B">
        <w:t xml:space="preserve"> that an adequate level of regulation and supervision is maintained. </w:t>
      </w:r>
      <w:r w:rsidR="003314D9">
        <w:rPr>
          <w:rStyle w:val="Referencingstyle"/>
        </w:rPr>
        <w:t>[Schedule 1, item 1, section 908A</w:t>
      </w:r>
      <w:r w:rsidR="00516181">
        <w:rPr>
          <w:rStyle w:val="Referencingstyle"/>
        </w:rPr>
        <w:t>D</w:t>
      </w:r>
      <w:r w:rsidR="003314D9">
        <w:rPr>
          <w:rStyle w:val="Referencingstyle"/>
        </w:rPr>
        <w:t>]</w:t>
      </w:r>
      <w:r w:rsidR="003314D9">
        <w:t xml:space="preserve"> </w:t>
      </w:r>
    </w:p>
    <w:p w14:paraId="26A12E95" w14:textId="1F157874" w:rsidR="00570E85" w:rsidRDefault="00570E85" w:rsidP="00275702">
      <w:pPr>
        <w:pStyle w:val="base-text-paragraph"/>
      </w:pPr>
      <w:r>
        <w:t xml:space="preserve">The requirements in new Part 7.5B apply both within and outside Australia, subject to certain restrictions imposed in subsection </w:t>
      </w:r>
      <w:r w:rsidRPr="00622245">
        <w:t>908BB(2)</w:t>
      </w:r>
      <w:r>
        <w:t xml:space="preserve"> and section </w:t>
      </w:r>
      <w:r w:rsidRPr="00622245">
        <w:t>908D</w:t>
      </w:r>
      <w:r w:rsidR="004D6B4D" w:rsidRPr="00622245">
        <w:t>E</w:t>
      </w:r>
      <w:r w:rsidR="00DC24A1">
        <w:t xml:space="preserve"> (</w:t>
      </w:r>
      <w:r w:rsidR="00DC24A1" w:rsidRPr="00622245">
        <w:t>paragraphs 2.1</w:t>
      </w:r>
      <w:r w:rsidR="009F4D57" w:rsidRPr="00622245">
        <w:t>8</w:t>
      </w:r>
      <w:r w:rsidR="00DC24A1">
        <w:t xml:space="preserve"> and </w:t>
      </w:r>
      <w:r w:rsidR="00DC24A1" w:rsidRPr="00622245">
        <w:t>4.1</w:t>
      </w:r>
      <w:r w:rsidR="004D6B4D" w:rsidRPr="00622245">
        <w:t>3</w:t>
      </w:r>
      <w:r w:rsidR="00DC24A1">
        <w:t xml:space="preserve"> </w:t>
      </w:r>
      <w:r w:rsidR="000A0AED">
        <w:t>provide</w:t>
      </w:r>
      <w:r w:rsidR="00DC24A1">
        <w:t xml:space="preserve"> details on those restrictions). </w:t>
      </w:r>
      <w:r w:rsidR="009377D7">
        <w:rPr>
          <w:rStyle w:val="Referencingstyle"/>
        </w:rPr>
        <w:t>[Schedule 1, item 1, section 908AE]</w:t>
      </w:r>
      <w:r w:rsidR="009377D7">
        <w:t xml:space="preserve">  </w:t>
      </w:r>
    </w:p>
    <w:p w14:paraId="526ED980" w14:textId="43B5B1FA" w:rsidR="003314D9" w:rsidRDefault="003314D9" w:rsidP="003314D9">
      <w:pPr>
        <w:pStyle w:val="Heading5"/>
      </w:pPr>
      <w:r>
        <w:t>Division 2 – Licensing of financial benchmarks</w:t>
      </w:r>
    </w:p>
    <w:p w14:paraId="0047207B" w14:textId="4B08841A" w:rsidR="003314D9" w:rsidRDefault="003314D9" w:rsidP="003314D9">
      <w:pPr>
        <w:pStyle w:val="Heading6"/>
      </w:pPr>
      <w:r>
        <w:t>Subdivision A – Requirement to be licensed</w:t>
      </w:r>
    </w:p>
    <w:p w14:paraId="57900479" w14:textId="1BE83251" w:rsidR="003314D9" w:rsidRDefault="002D7817" w:rsidP="003314D9">
      <w:pPr>
        <w:pStyle w:val="base-text-paragraph"/>
      </w:pPr>
      <w:r>
        <w:t>A</w:t>
      </w:r>
      <w:r w:rsidR="00B24366">
        <w:t xml:space="preserve">dministering a significant financial benchmark, or holding out to be doing so, requires a benchmark administrator licence covering that benchmark. </w:t>
      </w:r>
      <w:r w:rsidR="00B24366">
        <w:rPr>
          <w:rStyle w:val="Referencingstyle"/>
        </w:rPr>
        <w:t xml:space="preserve">[Schedule 1, item 1, </w:t>
      </w:r>
      <w:r w:rsidR="00AA098E">
        <w:rPr>
          <w:rStyle w:val="Referencingstyle"/>
        </w:rPr>
        <w:t>paragraphs</w:t>
      </w:r>
      <w:r w:rsidR="00B24366">
        <w:rPr>
          <w:rStyle w:val="Referencingstyle"/>
        </w:rPr>
        <w:t xml:space="preserve"> 908BA(1</w:t>
      </w:r>
      <w:r w:rsidR="00E20BB3">
        <w:rPr>
          <w:rStyle w:val="Referencingstyle"/>
        </w:rPr>
        <w:t>)</w:t>
      </w:r>
      <w:r w:rsidR="00AA098E">
        <w:rPr>
          <w:rStyle w:val="Referencingstyle"/>
        </w:rPr>
        <w:t>(a) and (b)</w:t>
      </w:r>
      <w:r w:rsidR="00B24366">
        <w:rPr>
          <w:rStyle w:val="Referencingstyle"/>
        </w:rPr>
        <w:t>]</w:t>
      </w:r>
      <w:r w:rsidR="00B24366">
        <w:t xml:space="preserve"> </w:t>
      </w:r>
    </w:p>
    <w:p w14:paraId="77FBA42D" w14:textId="1D905BDC" w:rsidR="00B602B3" w:rsidRDefault="00B24366" w:rsidP="0030174B">
      <w:pPr>
        <w:pStyle w:val="base-text-paragraph"/>
      </w:pPr>
      <w:r>
        <w:t>Breaching this requirement is an offence, punishable by a penalty of 500 penalty units, 5 years’ imprisonment or both</w:t>
      </w:r>
      <w:r w:rsidR="00AB77BC">
        <w:t xml:space="preserve">. This is a </w:t>
      </w:r>
      <w:r w:rsidR="00507136">
        <w:t xml:space="preserve">relatively </w:t>
      </w:r>
      <w:r w:rsidR="00AB77BC">
        <w:t xml:space="preserve">severe penalty, which is proportionate in view of the extensive damage and harm that may be caused by </w:t>
      </w:r>
      <w:r w:rsidR="00C3016F">
        <w:t>the unsupervised operation of an important financial benchmark</w:t>
      </w:r>
      <w:r w:rsidR="00AD156C">
        <w:t>.</w:t>
      </w:r>
      <w:r>
        <w:t xml:space="preserve"> </w:t>
      </w:r>
      <w:r>
        <w:rPr>
          <w:rStyle w:val="Referencingstyle"/>
        </w:rPr>
        <w:t xml:space="preserve">[Schedule 1, item 1, </w:t>
      </w:r>
      <w:r w:rsidR="00DA7B72">
        <w:rPr>
          <w:rStyle w:val="Referencingstyle"/>
        </w:rPr>
        <w:t>subsection 908BA(1)]</w:t>
      </w:r>
      <w:r>
        <w:t xml:space="preserve"> </w:t>
      </w:r>
    </w:p>
    <w:p w14:paraId="1BC5F17D" w14:textId="6952D215" w:rsidR="00B24366" w:rsidRDefault="00705D97" w:rsidP="0030174B">
      <w:pPr>
        <w:pStyle w:val="base-text-paragraph"/>
      </w:pPr>
      <w:r>
        <w:t xml:space="preserve"> Once ASIC declares a benchmark to be a significant financial benchmark the licensing requirement as well as the holding out prohibition apply after a period of </w:t>
      </w:r>
      <w:r w:rsidRPr="00913186">
        <w:t>90</w:t>
      </w:r>
      <w:r>
        <w:t xml:space="preserve"> days. This </w:t>
      </w:r>
      <w:r w:rsidR="006F775C">
        <w:t>is intended to</w:t>
      </w:r>
      <w:r>
        <w:t xml:space="preserve"> allow time for the operator of the benchmark to </w:t>
      </w:r>
      <w:r w:rsidR="006F775C">
        <w:t>apply for</w:t>
      </w:r>
      <w:r>
        <w:t xml:space="preserve"> a licence.</w:t>
      </w:r>
      <w:r w:rsidR="00B06D78">
        <w:t xml:space="preserve"> </w:t>
      </w:r>
      <w:r w:rsidR="00400FC4">
        <w:rPr>
          <w:rStyle w:val="Referencingstyle"/>
        </w:rPr>
        <w:t xml:space="preserve">[Schedule 1, item 1, </w:t>
      </w:r>
      <w:r w:rsidR="00AA098E">
        <w:rPr>
          <w:rStyle w:val="Referencingstyle"/>
        </w:rPr>
        <w:t xml:space="preserve">paragraph 908BA(1)(c) and </w:t>
      </w:r>
      <w:r w:rsidR="00400FC4">
        <w:rPr>
          <w:rStyle w:val="Referencingstyle"/>
        </w:rPr>
        <w:t>subsection 908BA(</w:t>
      </w:r>
      <w:r w:rsidR="00BC5700">
        <w:rPr>
          <w:rStyle w:val="Referencingstyle"/>
        </w:rPr>
        <w:t>2</w:t>
      </w:r>
      <w:r w:rsidR="00400FC4">
        <w:rPr>
          <w:rStyle w:val="Referencingstyle"/>
        </w:rPr>
        <w:t>)]</w:t>
      </w:r>
      <w:r w:rsidR="00400FC4">
        <w:t xml:space="preserve"> </w:t>
      </w:r>
    </w:p>
    <w:p w14:paraId="2D231EF2" w14:textId="22A0E9E7" w:rsidR="00400FC4" w:rsidRDefault="009D3D97" w:rsidP="0030174B">
      <w:pPr>
        <w:pStyle w:val="base-text-paragraph"/>
      </w:pPr>
      <w:r>
        <w:t>Prohibitions also apply to making a number of related assertions if they are not true, such as that a person holds a benchmark administrator licence, or that a particular benchmark is or is not a significant financial benchmark</w:t>
      </w:r>
      <w:r>
        <w:rPr>
          <w:rStyle w:val="Referencingstyle"/>
        </w:rPr>
        <w:t>.</w:t>
      </w:r>
      <w:r>
        <w:t xml:space="preserve"> A similar penalty applies to breaches of these prohibitions as to the offence of </w:t>
      </w:r>
      <w:r w:rsidR="005E4C14">
        <w:t>operating a significant financial benchmark without a licence. The reason is that the potential harm and damage that could be caused by this kind of misconduct is extensive</w:t>
      </w:r>
      <w:r w:rsidR="00BA0D57">
        <w:t xml:space="preserve"> and similar in both cases</w:t>
      </w:r>
      <w:r w:rsidR="005E4C14">
        <w:t>,</w:t>
      </w:r>
      <w:r w:rsidR="00507136">
        <w:t xml:space="preserve"> justifying the</w:t>
      </w:r>
      <w:r w:rsidR="005E4C14">
        <w:t xml:space="preserve"> significant penalty attached</w:t>
      </w:r>
      <w:r w:rsidR="00507136">
        <w:t xml:space="preserve"> to the offence</w:t>
      </w:r>
      <w:r w:rsidR="00304116">
        <w:t>.</w:t>
      </w:r>
      <w:r w:rsidR="009F4D57">
        <w:t xml:space="preserve"> Holding out in this manner in relation to a significant financial benchmark is an offence anywhere within or outside Australia. The same conduct in relation to a non-significant benchmark is an offence only within Australia, as</w:t>
      </w:r>
      <w:r w:rsidR="00D42E16">
        <w:t xml:space="preserve"> extending the offence to conduct outside Australia would not comply with</w:t>
      </w:r>
      <w:r w:rsidR="00304116">
        <w:t xml:space="preserve"> </w:t>
      </w:r>
      <w:r w:rsidR="0073709E">
        <w:t>Australia</w:t>
      </w:r>
      <w:r w:rsidR="00F91FBE">
        <w:t>n Government</w:t>
      </w:r>
      <w:r w:rsidR="0073709E">
        <w:t xml:space="preserve"> policy on extended geographical jurisdiction under domestic law</w:t>
      </w:r>
      <w:r w:rsidR="00B02F65">
        <w:t xml:space="preserve">. </w:t>
      </w:r>
      <w:r w:rsidR="00507136">
        <w:rPr>
          <w:rStyle w:val="Referencingstyle"/>
        </w:rPr>
        <w:t>[Schedule 1, item 1, section 908BB].</w:t>
      </w:r>
      <w:r w:rsidR="00507136">
        <w:t xml:space="preserve"> </w:t>
      </w:r>
    </w:p>
    <w:p w14:paraId="626B4214" w14:textId="0B41D1A1" w:rsidR="00507136" w:rsidRDefault="00507136" w:rsidP="00507136">
      <w:pPr>
        <w:pStyle w:val="Heading6"/>
      </w:pPr>
      <w:r>
        <w:t>Subdivision B – Granting licences</w:t>
      </w:r>
    </w:p>
    <w:p w14:paraId="03F5E43E" w14:textId="22A12721" w:rsidR="00507136" w:rsidRPr="005F767B" w:rsidRDefault="00846426" w:rsidP="005F767B">
      <w:pPr>
        <w:pStyle w:val="base-text-paragraph"/>
        <w:rPr>
          <w:rStyle w:val="Referencingstyle"/>
          <w:b w:val="0"/>
          <w:i w:val="0"/>
          <w:sz w:val="22"/>
        </w:rPr>
      </w:pPr>
      <w:r>
        <w:t xml:space="preserve">ASIC may grant a benchmark administrator licence if it is satisfied that an application has been made in accordance with the </w:t>
      </w:r>
      <w:r w:rsidR="00364097">
        <w:t xml:space="preserve">application </w:t>
      </w:r>
      <w:r>
        <w:t xml:space="preserve">requirements prescribed under section </w:t>
      </w:r>
      <w:r w:rsidRPr="00622245">
        <w:t>908</w:t>
      </w:r>
      <w:r w:rsidR="00952DE1" w:rsidRPr="00622245">
        <w:t>BD</w:t>
      </w:r>
      <w:r w:rsidRPr="00622245">
        <w:t xml:space="preserve">, that the licensee will comply with the applicable obligations and that no disqualified individual </w:t>
      </w:r>
      <w:r w:rsidR="00364097" w:rsidRPr="00622245">
        <w:t>appears to be</w:t>
      </w:r>
      <w:r w:rsidRPr="00622245">
        <w:t xml:space="preserve"> involved in the applicant. An individual may be a disqualified individual by being declared to be so by ASIC under the power provided in </w:t>
      </w:r>
      <w:r w:rsidR="00F96111" w:rsidRPr="00622245">
        <w:t>Division 2 of Part 7.4</w:t>
      </w:r>
      <w:r w:rsidRPr="00622245">
        <w:t xml:space="preserve"> of the Corporations Act, by being disqualified from managing corporations for </w:t>
      </w:r>
      <w:r w:rsidR="005F767B" w:rsidRPr="00622245">
        <w:t xml:space="preserve">the </w:t>
      </w:r>
      <w:r w:rsidRPr="00622245">
        <w:t>reasons set out in section 206B, or because they form part of the register</w:t>
      </w:r>
      <w:r w:rsidR="005F767B" w:rsidRPr="00622245">
        <w:t xml:space="preserve"> of persons who have been disqualified from managing corporations kept by ASIC under section 1274AA.</w:t>
      </w:r>
      <w:r w:rsidR="00DB2E2E" w:rsidRPr="00622245">
        <w:t xml:space="preserve"> ASIC may impose conditions when it grants a licence. Note 1 to this </w:t>
      </w:r>
      <w:r w:rsidR="00364097" w:rsidRPr="00622245">
        <w:t>sub</w:t>
      </w:r>
      <w:r w:rsidR="00DB2E2E" w:rsidRPr="00622245">
        <w:t>section points the reader to certain other matters that ASIC must have regard to when considering whether to grant a licence (see paragraphs 2.3</w:t>
      </w:r>
      <w:r w:rsidR="00985364" w:rsidRPr="00622245">
        <w:t>8</w:t>
      </w:r>
      <w:r w:rsidR="00DB2E2E" w:rsidRPr="00622245">
        <w:t xml:space="preserve"> and 2.</w:t>
      </w:r>
      <w:r w:rsidR="00985364" w:rsidRPr="00622245">
        <w:t>39</w:t>
      </w:r>
      <w:r w:rsidR="00DB2E2E" w:rsidRPr="00622245">
        <w:t xml:space="preserve"> f</w:t>
      </w:r>
      <w:r w:rsidR="00DB2E2E">
        <w:t>or details). Note 2 clarifies that a licence is required in the case of a significant financial benchmark, but can be granted for other benchmarks.</w:t>
      </w:r>
      <w:r w:rsidR="005F767B">
        <w:t xml:space="preserve"> </w:t>
      </w:r>
      <w:r w:rsidR="005F767B">
        <w:rPr>
          <w:rStyle w:val="Referencingstyle"/>
        </w:rPr>
        <w:t xml:space="preserve">[Schedule 1, item 1, subsection 908BC(1)] </w:t>
      </w:r>
    </w:p>
    <w:p w14:paraId="5F9FA49D" w14:textId="48EC79EF" w:rsidR="005F767B" w:rsidRDefault="005F767B" w:rsidP="005F767B">
      <w:pPr>
        <w:pStyle w:val="base-text-paragraph"/>
      </w:pPr>
      <w:r>
        <w:t xml:space="preserve">In the case of </w:t>
      </w:r>
      <w:r w:rsidR="00C107CF">
        <w:t>an overseas applicant ASIC must not grant a licence unless the applicant has registered as a foreign company as prescribed in Division 2 of Part 5B.2.</w:t>
      </w:r>
      <w:r w:rsidR="00E27488">
        <w:t xml:space="preserve"> </w:t>
      </w:r>
      <w:r w:rsidR="00DE07A3">
        <w:t>Requiring overseas applicants to have</w:t>
      </w:r>
      <w:r w:rsidR="00E27488">
        <w:t xml:space="preserve"> a local presence in this way is important</w:t>
      </w:r>
      <w:r w:rsidR="00DE07A3">
        <w:t>,</w:t>
      </w:r>
      <w:r w:rsidR="00E27488">
        <w:t xml:space="preserve"> for example in ensuring that service of documents can be </w:t>
      </w:r>
      <w:r w:rsidR="00AB7A14">
        <w:t xml:space="preserve">executed in Australia. </w:t>
      </w:r>
      <w:r w:rsidR="00AB7A14">
        <w:rPr>
          <w:rStyle w:val="Referencingstyle"/>
        </w:rPr>
        <w:t>[Schedule 1, item 1, subsection 908BC(2)]</w:t>
      </w:r>
      <w:r w:rsidR="00AB7A14">
        <w:t xml:space="preserve"> </w:t>
      </w:r>
    </w:p>
    <w:p w14:paraId="174DB342" w14:textId="1510A0FE" w:rsidR="00AB7A14" w:rsidRPr="00F96111" w:rsidRDefault="00AB7A14" w:rsidP="005F767B">
      <w:pPr>
        <w:pStyle w:val="base-text-paragraph"/>
      </w:pPr>
      <w:r w:rsidRPr="00F96111">
        <w:t xml:space="preserve">A licence may also not be granted before 42 days have passed since the application was submitted and no notice as set out in subsection 853D(2) has been given. </w:t>
      </w:r>
      <w:r w:rsidR="00381A2C" w:rsidRPr="00381A2C">
        <w:t>If ASIC wishes to declare a person as disqualified under subsection 853D(2), ASIC must commence the process to do so within 42 days of receiving the application, or at any other time within 42 days of receiving other information that may be relevant to deciding whether to make a declaration of disqualification.</w:t>
      </w:r>
      <w:r w:rsidRPr="00F96111">
        <w:t xml:space="preserve"> </w:t>
      </w:r>
      <w:r w:rsidRPr="00F96111">
        <w:rPr>
          <w:rStyle w:val="Referencingstyle"/>
        </w:rPr>
        <w:t>[Schedule 1, item 1, subsection 908BC(3)]</w:t>
      </w:r>
      <w:r w:rsidRPr="00F96111">
        <w:t xml:space="preserve"> </w:t>
      </w:r>
    </w:p>
    <w:p w14:paraId="0632C811" w14:textId="68F36A27" w:rsidR="00AB7A14" w:rsidRDefault="00AB7A14" w:rsidP="005F767B">
      <w:pPr>
        <w:pStyle w:val="base-text-paragraph"/>
      </w:pPr>
      <w:r>
        <w:t xml:space="preserve">ASIC must notify an applicant in writing about its decision to grant a licence or not, including about any conditions imposed if a licence is granted. </w:t>
      </w:r>
      <w:r>
        <w:rPr>
          <w:rStyle w:val="Referencingstyle"/>
        </w:rPr>
        <w:t>[Schedule 1, item 1, subsection 908BC(4)]</w:t>
      </w:r>
      <w:r>
        <w:t xml:space="preserve"> </w:t>
      </w:r>
    </w:p>
    <w:p w14:paraId="3C8F8523" w14:textId="5813AA2A" w:rsidR="00AB7A14" w:rsidRPr="00154027" w:rsidRDefault="00AB7A14" w:rsidP="005E7DA0">
      <w:pPr>
        <w:pStyle w:val="base-text-paragraph"/>
      </w:pPr>
      <w:r>
        <w:t>An application must be lodged by a body corporate for a benchmark administrator licence in the form prescribed or approved by ASIC</w:t>
      </w:r>
      <w:r w:rsidR="00A94FFD">
        <w:t>. ASIC may</w:t>
      </w:r>
      <w:r w:rsidR="00C75C5C">
        <w:t xml:space="preserve"> by written notice </w:t>
      </w:r>
      <w:r w:rsidR="00154027">
        <w:t>r</w:t>
      </w:r>
      <w:r w:rsidR="00A94FFD">
        <w:t>equest further information to be provided, and may reject the application or refuse to take any further action in relation to the application if the request is not complied with.</w:t>
      </w:r>
      <w:r w:rsidR="005E7DA0">
        <w:t xml:space="preserve"> </w:t>
      </w:r>
      <w:r w:rsidR="005E7DA0" w:rsidRPr="00154027">
        <w:t>It is noted that the section does not restrict applications to licences covering significant financial benchmarks. A person granted a licence for a financial benchmark that is not a significant financial benchmark will have to comply with all the relevant requirements and obligations.</w:t>
      </w:r>
      <w:r w:rsidR="00075B29">
        <w:t xml:space="preserve"> </w:t>
      </w:r>
      <w:r w:rsidR="00075B29">
        <w:rPr>
          <w:rStyle w:val="Referencingstyle"/>
        </w:rPr>
        <w:t>[Schedule 1, item 1, section 908BD]</w:t>
      </w:r>
      <w:r w:rsidR="005E7DA0" w:rsidRPr="00154027">
        <w:t xml:space="preserve"> </w:t>
      </w:r>
    </w:p>
    <w:p w14:paraId="521DB286" w14:textId="20F9A409" w:rsidR="005E7DA0" w:rsidRDefault="005E7DA0" w:rsidP="005E7DA0">
      <w:pPr>
        <w:pStyle w:val="base-text-paragraph"/>
      </w:pPr>
      <w:r>
        <w:t>A benchmark administrator licence may specify more than one financial benchmark. The legislation</w:t>
      </w:r>
      <w:r w:rsidR="00512179">
        <w:t xml:space="preserve"> applies as if each benchmark was covered under a separate licence, for example with regard to decisions to suspend or cancel a licence. </w:t>
      </w:r>
      <w:r w:rsidR="00512179">
        <w:rPr>
          <w:rStyle w:val="Referencingstyle"/>
        </w:rPr>
        <w:t>[Schedule 1, item 1, section 908BE]</w:t>
      </w:r>
      <w:r w:rsidR="00512179">
        <w:t xml:space="preserve"> </w:t>
      </w:r>
    </w:p>
    <w:p w14:paraId="4D9BCA39" w14:textId="67122335" w:rsidR="00512179" w:rsidRDefault="00512179" w:rsidP="005E7DA0">
      <w:pPr>
        <w:pStyle w:val="base-text-paragraph"/>
      </w:pPr>
      <w:r>
        <w:t>After ASIC grants a licence it must publish a notice setting out a number of prescribed details including the name of the licensee</w:t>
      </w:r>
      <w:r w:rsidR="000A0A56">
        <w:t xml:space="preserve"> and of the financial benchmark specified in the licence</w:t>
      </w:r>
      <w:r>
        <w:t xml:space="preserve">, when the licence was granted and any conditions imposed. </w:t>
      </w:r>
      <w:r>
        <w:rPr>
          <w:rStyle w:val="Referencingstyle"/>
        </w:rPr>
        <w:t>[Schedule 1, item 1, section 908BF]</w:t>
      </w:r>
      <w:r>
        <w:t xml:space="preserve"> </w:t>
      </w:r>
    </w:p>
    <w:p w14:paraId="02FE62DC" w14:textId="3E1A163B" w:rsidR="00512179" w:rsidRDefault="00512179" w:rsidP="00512179">
      <w:pPr>
        <w:pStyle w:val="Heading6"/>
      </w:pPr>
      <w:r>
        <w:t>Subdivision C – Conditions on licences</w:t>
      </w:r>
    </w:p>
    <w:p w14:paraId="4459A4F5" w14:textId="1CBB38D4" w:rsidR="00512179" w:rsidRPr="005A12F0" w:rsidRDefault="00BF3C66" w:rsidP="005A12F0">
      <w:pPr>
        <w:pStyle w:val="base-text-paragraph"/>
        <w:rPr>
          <w:rStyle w:val="Referencingstyle"/>
          <w:b w:val="0"/>
          <w:i w:val="0"/>
          <w:sz w:val="22"/>
        </w:rPr>
      </w:pPr>
      <w:r>
        <w:t xml:space="preserve">ASIC may at any time revoke or alter existing conditions on a licence, or impose additional conditions. In doing so it must give written notice to the licensee and publish a notice setting out the details of what it has done. ASIC must have regard to certain matters set out in section </w:t>
      </w:r>
      <w:r w:rsidRPr="00622245">
        <w:t>908BO</w:t>
      </w:r>
      <w:r>
        <w:t xml:space="preserve"> before </w:t>
      </w:r>
      <w:r w:rsidR="00505D5D">
        <w:t>imposing, varying or revoking conditions</w:t>
      </w:r>
      <w:r>
        <w:t xml:space="preserve">. </w:t>
      </w:r>
      <w:r>
        <w:rPr>
          <w:rStyle w:val="Referencingstyle"/>
        </w:rPr>
        <w:t xml:space="preserve">[Schedule 1, item 1, </w:t>
      </w:r>
      <w:r w:rsidR="005A12F0">
        <w:rPr>
          <w:rStyle w:val="Referencingstyle"/>
        </w:rPr>
        <w:t>sub</w:t>
      </w:r>
      <w:r>
        <w:rPr>
          <w:rStyle w:val="Referencingstyle"/>
        </w:rPr>
        <w:t>section 908BG</w:t>
      </w:r>
      <w:r w:rsidR="005A12F0">
        <w:rPr>
          <w:rStyle w:val="Referencingstyle"/>
        </w:rPr>
        <w:t>(1)</w:t>
      </w:r>
      <w:r>
        <w:rPr>
          <w:rStyle w:val="Referencingstyle"/>
        </w:rPr>
        <w:t>]</w:t>
      </w:r>
      <w:r w:rsidR="005A12F0">
        <w:rPr>
          <w:rStyle w:val="Referencingstyle"/>
        </w:rPr>
        <w:t xml:space="preserve"> </w:t>
      </w:r>
    </w:p>
    <w:p w14:paraId="266C2628" w14:textId="61F1D677" w:rsidR="00C12376" w:rsidRDefault="00C12376" w:rsidP="00C12376">
      <w:pPr>
        <w:pStyle w:val="base-text-paragraph"/>
      </w:pPr>
      <w:r>
        <w:t xml:space="preserve">ASIC may impose, revoke or vary conditions on its own initiative. However, ASIC may only do so if it considers it appropriate in view of the licensee’s obligations under the legislation as well as under any rules imposed by ASIC (see </w:t>
      </w:r>
      <w:r w:rsidRPr="00622245">
        <w:t>Chapter 3 o</w:t>
      </w:r>
      <w:r>
        <w:t>f this explanatory memorandum for details on ASIC’s rule-making powers). ASIC may also take action if it considers it justified by a change in the way a benchmark is being administered.</w:t>
      </w:r>
      <w:r w:rsidRPr="005A12F0">
        <w:rPr>
          <w:b/>
          <w:i/>
        </w:rPr>
        <w:t xml:space="preserve"> </w:t>
      </w:r>
      <w:r>
        <w:t xml:space="preserve">ASIC must in these circumstances give the licensee written notice of its proposed action and allow the licensee the opportunity to make a submission. This obligation does not apply when ASIC imposes conditions when a licence is first granted. </w:t>
      </w:r>
      <w:r>
        <w:rPr>
          <w:rStyle w:val="Referencingstyle"/>
        </w:rPr>
        <w:t>[Schedule 1, item 1, paragraph 908BG(2)(a) and subsection 908BG(3)]</w:t>
      </w:r>
      <w:r>
        <w:t xml:space="preserve"> </w:t>
      </w:r>
    </w:p>
    <w:p w14:paraId="52159F95" w14:textId="6D995527" w:rsidR="005A12F0" w:rsidRPr="005A12F0" w:rsidRDefault="005A12F0" w:rsidP="005A12F0">
      <w:pPr>
        <w:pStyle w:val="base-text-paragraph"/>
        <w:rPr>
          <w:rStyle w:val="Referencingstyle"/>
          <w:b w:val="0"/>
          <w:i w:val="0"/>
          <w:sz w:val="22"/>
        </w:rPr>
      </w:pPr>
      <w:r>
        <w:t>ASIC may</w:t>
      </w:r>
      <w:r w:rsidR="00B55FC1">
        <w:t xml:space="preserve"> </w:t>
      </w:r>
      <w:r>
        <w:t>impose, revoke or vary conditions on a licence at the request of the licensee</w:t>
      </w:r>
      <w:r w:rsidR="00B55FC1">
        <w:t xml:space="preserve"> as set out in an application in the form required by ASIC</w:t>
      </w:r>
      <w:r>
        <w:t>.</w:t>
      </w:r>
      <w:r w:rsidR="00B55FC1">
        <w:t xml:space="preserve"> A fee may be payable for lodging an application.</w:t>
      </w:r>
      <w:r>
        <w:rPr>
          <w:rStyle w:val="Referencingstyle"/>
        </w:rPr>
        <w:t xml:space="preserve"> [Schedule 1, item 1, paragraph 908BG(2)(b)] </w:t>
      </w:r>
    </w:p>
    <w:p w14:paraId="55760E5B" w14:textId="2F77CC47" w:rsidR="00134A51" w:rsidRDefault="00134A51" w:rsidP="00134A51">
      <w:pPr>
        <w:pStyle w:val="Heading6"/>
      </w:pPr>
      <w:r>
        <w:t>Subdivision D – When a licence can be varied, suspended or cancelled</w:t>
      </w:r>
    </w:p>
    <w:p w14:paraId="33FA96CC" w14:textId="23C342BD" w:rsidR="00134A51" w:rsidRDefault="00A93D2D" w:rsidP="005A12F0">
      <w:pPr>
        <w:pStyle w:val="base-text-paragraph"/>
      </w:pPr>
      <w:r>
        <w:t>A</w:t>
      </w:r>
      <w:r w:rsidR="006F3428">
        <w:t>SIC may vary a license if a</w:t>
      </w:r>
      <w:r>
        <w:t xml:space="preserve"> licensee lodge</w:t>
      </w:r>
      <w:r w:rsidR="006F3428">
        <w:t>s</w:t>
      </w:r>
      <w:r>
        <w:t xml:space="preserve"> an application </w:t>
      </w:r>
      <w:r w:rsidR="006F3428">
        <w:t>for the variation</w:t>
      </w:r>
      <w:r>
        <w:t xml:space="preserve"> because of a change in the licensee’s name </w:t>
      </w:r>
      <w:r w:rsidRPr="00041D86">
        <w:t>or a change in the financial benchmark specified in the licence</w:t>
      </w:r>
      <w:r>
        <w:t>.</w:t>
      </w:r>
      <w:r w:rsidR="006F3428">
        <w:t xml:space="preserve"> </w:t>
      </w:r>
      <w:r w:rsidR="007861D7">
        <w:t xml:space="preserve">ASIC may also vary an existing licence to add a further specified benchmark. </w:t>
      </w:r>
      <w:r w:rsidR="006F3428">
        <w:t xml:space="preserve">For a variation based on a change in the financial benchmark </w:t>
      </w:r>
      <w:r w:rsidR="007861D7">
        <w:t xml:space="preserve">or to add a further benchmark </w:t>
      </w:r>
      <w:r w:rsidR="006F3428">
        <w:t xml:space="preserve">ASIC must have regard to the matters set out in section </w:t>
      </w:r>
      <w:r w:rsidR="006F3428" w:rsidRPr="00622245">
        <w:t>908BO.</w:t>
      </w:r>
      <w:r w:rsidR="006F3428">
        <w:t xml:space="preserve"> A fee may be payable by the licensee for lodgement of the application. </w:t>
      </w:r>
      <w:r w:rsidR="006F3428">
        <w:rPr>
          <w:rStyle w:val="Referencingstyle"/>
        </w:rPr>
        <w:t>[Schedule 1, item 1, section 908BH]</w:t>
      </w:r>
      <w:r w:rsidR="006F3428">
        <w:t xml:space="preserve"> </w:t>
      </w:r>
    </w:p>
    <w:p w14:paraId="6A48E5C1" w14:textId="4DAD41DB" w:rsidR="006F3428" w:rsidRDefault="006F3428" w:rsidP="005A12F0">
      <w:pPr>
        <w:pStyle w:val="base-text-paragraph"/>
      </w:pPr>
      <w:r>
        <w:t xml:space="preserve">ASIC may by written notice suspend a licence for a stated period or cancel it if the licensee stops operating the benchmark specified in its licence, </w:t>
      </w:r>
      <w:r w:rsidRPr="00041D86">
        <w:t>becomes insolvent under Chapter 5</w:t>
      </w:r>
      <w:r w:rsidR="007079A1">
        <w:t xml:space="preserve"> of the Corporations Act</w:t>
      </w:r>
      <w:r w:rsidR="00041D86">
        <w:t xml:space="preserve"> or an equivalent foreign law,</w:t>
      </w:r>
      <w:r>
        <w:t xml:space="preserve"> or if the licensee asks ASIC to do so.</w:t>
      </w:r>
      <w:r w:rsidR="00EE7C19">
        <w:t xml:space="preserve"> Before doing so ASIC must first consider whether the licensee is or could become subject to any action under the compelled financial benchmark rules (see </w:t>
      </w:r>
      <w:r w:rsidR="00EE7C19" w:rsidRPr="00622245">
        <w:t>paragraph 3.9</w:t>
      </w:r>
      <w:r w:rsidR="00EE7C19">
        <w:t xml:space="preserve"> for an explanation of those rules). Because those rules only apply to benchmark administrator licensees that operate significant financial benchmarks</w:t>
      </w:r>
      <w:r w:rsidR="00622245">
        <w:t>,</w:t>
      </w:r>
      <w:r w:rsidR="00EE7C19">
        <w:t xml:space="preserve"> ASIC needs to first consider whether there are any implications for actual or possible requirements it has imposed or may impose under the rules before it cancels or suspends a licence.</w:t>
      </w:r>
      <w:r>
        <w:t xml:space="preserve"> </w:t>
      </w:r>
      <w:r>
        <w:rPr>
          <w:rStyle w:val="Referencingstyle"/>
        </w:rPr>
        <w:t>[Schedule 1, item 1, section 908BI]</w:t>
      </w:r>
      <w:r>
        <w:t xml:space="preserve"> </w:t>
      </w:r>
    </w:p>
    <w:p w14:paraId="1A15921B" w14:textId="5CACF910" w:rsidR="006F3428" w:rsidRPr="006B4321" w:rsidRDefault="006B4321" w:rsidP="005A12F0">
      <w:pPr>
        <w:pStyle w:val="base-text-paragraph"/>
        <w:rPr>
          <w:rStyle w:val="Referencingstyle"/>
          <w:b w:val="0"/>
          <w:i w:val="0"/>
          <w:sz w:val="22"/>
        </w:rPr>
      </w:pPr>
      <w:r>
        <w:t xml:space="preserve">If ASIC considers that a licensee has breached a condition on its licence or any of its obligations under the legislation or under the rules made by ASIC (see </w:t>
      </w:r>
      <w:r w:rsidRPr="00622245">
        <w:t>Chapter 3</w:t>
      </w:r>
      <w:r>
        <w:t xml:space="preserve"> for details on ASIC’s rule-making powers), ASIC may give a written notice to the licensee requiring it to explain at a hearing before a specified person why its licence should not be suspended or cancelled. </w:t>
      </w:r>
      <w:r w:rsidR="00E132C2">
        <w:t xml:space="preserve">The notice must state the grounds on which ASIC is proposing to act and a reasonable time and place for the hearing. A different time or place may be fixed by the person holding the hearing if the licensee consents. </w:t>
      </w:r>
      <w:r>
        <w:rPr>
          <w:rStyle w:val="Referencingstyle"/>
        </w:rPr>
        <w:t>[Schedule 1, item 1, subsections 908BJ(1)</w:t>
      </w:r>
      <w:r w:rsidR="00E132C2">
        <w:rPr>
          <w:rStyle w:val="Referencingstyle"/>
        </w:rPr>
        <w:t xml:space="preserve"> and (2)</w:t>
      </w:r>
      <w:r>
        <w:rPr>
          <w:rStyle w:val="Referencingstyle"/>
        </w:rPr>
        <w:t>]</w:t>
      </w:r>
    </w:p>
    <w:p w14:paraId="10178F0F" w14:textId="4E4128A9" w:rsidR="006B4321" w:rsidRDefault="00E132C2" w:rsidP="005A12F0">
      <w:pPr>
        <w:pStyle w:val="base-text-paragraph"/>
      </w:pPr>
      <w:r>
        <w:t xml:space="preserve">To assist readers an explanation is included that such a notice is not a legislative instrument. This does not constitute an actual exemption from the relevant provisions in the Legislation Act but is merely declaratory of the law as such notices are not legislative instruments within the meaning of subsection (8)(1) of the Legislation Act. </w:t>
      </w:r>
      <w:r>
        <w:rPr>
          <w:rStyle w:val="Referencingstyle"/>
        </w:rPr>
        <w:t>[Schedule 1, item 1, subsection 908BJ(</w:t>
      </w:r>
      <w:r w:rsidR="00783171">
        <w:rPr>
          <w:rStyle w:val="Referencingstyle"/>
        </w:rPr>
        <w:t>5</w:t>
      </w:r>
      <w:r>
        <w:rPr>
          <w:rStyle w:val="Referencingstyle"/>
        </w:rPr>
        <w:t>)]</w:t>
      </w:r>
      <w:r>
        <w:t xml:space="preserve"> </w:t>
      </w:r>
    </w:p>
    <w:p w14:paraId="7AC6FE3E" w14:textId="4CDEC11A" w:rsidR="00E132C2" w:rsidRDefault="00E132C2" w:rsidP="00E132C2">
      <w:pPr>
        <w:pStyle w:val="base-text-paragraph"/>
      </w:pPr>
      <w:r>
        <w:t xml:space="preserve">The person conducting the hearing must, after hearing the licensee’s explanation, give ASIC a report with a recommendation concerning the grounds on which ASIC is proposing to act. After considering the report ASIC must give a written notice to the licensee with its final decision, regardless </w:t>
      </w:r>
      <w:r w:rsidR="003712B3">
        <w:t xml:space="preserve">of </w:t>
      </w:r>
      <w:r>
        <w:t xml:space="preserve">whether it decides to take no further action, suspend the licence for a specified period or cancel it. </w:t>
      </w:r>
      <w:r>
        <w:rPr>
          <w:rStyle w:val="Referencingstyle"/>
        </w:rPr>
        <w:t>[</w:t>
      </w:r>
      <w:r w:rsidRPr="00E132C2">
        <w:rPr>
          <w:rStyle w:val="Referencingstyle"/>
        </w:rPr>
        <w:t>Schedule 1, item 1, subsections 908BJ(</w:t>
      </w:r>
      <w:r>
        <w:rPr>
          <w:rStyle w:val="Referencingstyle"/>
        </w:rPr>
        <w:t>3</w:t>
      </w:r>
      <w:r w:rsidRPr="00E132C2">
        <w:rPr>
          <w:rStyle w:val="Referencingstyle"/>
        </w:rPr>
        <w:t>) and (</w:t>
      </w:r>
      <w:r>
        <w:rPr>
          <w:rStyle w:val="Referencingstyle"/>
        </w:rPr>
        <w:t>4</w:t>
      </w:r>
      <w:r w:rsidRPr="00E132C2">
        <w:rPr>
          <w:rStyle w:val="Referencingstyle"/>
        </w:rPr>
        <w:t>)]</w:t>
      </w:r>
      <w:r>
        <w:t xml:space="preserve"> </w:t>
      </w:r>
    </w:p>
    <w:p w14:paraId="22F14778" w14:textId="48AFF20F" w:rsidR="00E132C2" w:rsidRDefault="00E132C2" w:rsidP="00E132C2">
      <w:pPr>
        <w:pStyle w:val="base-text-paragraph"/>
      </w:pPr>
      <w:r>
        <w:t xml:space="preserve">A person is taken not to hold a suspended licence unless ASIC in its written notice (whether provided under </w:t>
      </w:r>
      <w:r w:rsidR="00A112E3" w:rsidRPr="00622245">
        <w:t>section 908BI or paragraph 908BJ</w:t>
      </w:r>
      <w:r w:rsidRPr="00622245">
        <w:t>(4)(b))</w:t>
      </w:r>
      <w:r w:rsidR="00B17D6E">
        <w:t xml:space="preserve"> states that this does not apply for specified purposes. </w:t>
      </w:r>
      <w:r w:rsidR="00B17D6E">
        <w:rPr>
          <w:rStyle w:val="Referencingstyle"/>
        </w:rPr>
        <w:t>[Schedule 1, item 1, section 908BK]</w:t>
      </w:r>
      <w:r w:rsidR="00B17D6E">
        <w:t xml:space="preserve"> </w:t>
      </w:r>
    </w:p>
    <w:p w14:paraId="452C667E" w14:textId="57D23147" w:rsidR="00B17D6E" w:rsidRDefault="00B17D6E" w:rsidP="00E132C2">
      <w:pPr>
        <w:pStyle w:val="base-text-paragraph"/>
      </w:pPr>
      <w:r>
        <w:t xml:space="preserve">ASIC can at any time vary or revoke the suspension of a licence by written notice to the licensee. </w:t>
      </w:r>
      <w:r>
        <w:rPr>
          <w:rStyle w:val="Referencingstyle"/>
        </w:rPr>
        <w:t>[Schedule 1, item 1, section 908BL]</w:t>
      </w:r>
      <w:r>
        <w:t xml:space="preserve"> </w:t>
      </w:r>
    </w:p>
    <w:p w14:paraId="27A3F3F1" w14:textId="38189323" w:rsidR="00B17D6E" w:rsidRDefault="002A1EDD" w:rsidP="00E132C2">
      <w:pPr>
        <w:pStyle w:val="base-text-paragraph"/>
      </w:pPr>
      <w:r>
        <w:t xml:space="preserve">ASIC must publish a notice if it suspends or cancels a benchmark administrator licence, or varies or revokes the suspension of such a licence. </w:t>
      </w:r>
      <w:r>
        <w:rPr>
          <w:rStyle w:val="Referencingstyle"/>
        </w:rPr>
        <w:t>[Schedule 1, item 1, section 908BM]</w:t>
      </w:r>
      <w:r>
        <w:t xml:space="preserve"> </w:t>
      </w:r>
    </w:p>
    <w:p w14:paraId="28AAF70E" w14:textId="77777777" w:rsidR="002A1EDD" w:rsidRDefault="002A1EDD" w:rsidP="00E132C2">
      <w:pPr>
        <w:pStyle w:val="base-text-paragraph"/>
      </w:pPr>
      <w:r>
        <w:t>A benchmark administrator licence can only be varied, suspended or cancelled as set out in this Subdivision.</w:t>
      </w:r>
      <w:r w:rsidRPr="002A1EDD">
        <w:rPr>
          <w:rStyle w:val="Referencingstyle"/>
        </w:rPr>
        <w:t xml:space="preserve"> </w:t>
      </w:r>
      <w:r>
        <w:rPr>
          <w:rStyle w:val="Referencingstyle"/>
        </w:rPr>
        <w:t>[Schedule 1, item 1, section 908BN]</w:t>
      </w:r>
      <w:r>
        <w:t xml:space="preserve"> </w:t>
      </w:r>
    </w:p>
    <w:p w14:paraId="538F7E99" w14:textId="2416BA5F" w:rsidR="002A1EDD" w:rsidRDefault="00A8783F" w:rsidP="00A8783F">
      <w:pPr>
        <w:pStyle w:val="Heading6"/>
      </w:pPr>
      <w:r>
        <w:t xml:space="preserve">Subdivision E – Matters to </w:t>
      </w:r>
      <w:r w:rsidR="00595CE0">
        <w:t>which</w:t>
      </w:r>
      <w:r>
        <w:t xml:space="preserve"> ASIC</w:t>
      </w:r>
      <w:r w:rsidR="00595CE0">
        <w:t xml:space="preserve"> must have regard</w:t>
      </w:r>
    </w:p>
    <w:p w14:paraId="7C140DBB" w14:textId="450AD127" w:rsidR="00A8783F" w:rsidRDefault="003110F6" w:rsidP="00E132C2">
      <w:pPr>
        <w:pStyle w:val="base-text-paragraph"/>
      </w:pPr>
      <w:r>
        <w:t xml:space="preserve">ASIC must take a prescribed list of matters into consideration when it decides to grant a benchmark administrator licence, impose, vary or revoke conditions on such a licence, vary a licence because of a change in the financial benchmark specified in the licence, or suspend or cancel a licence. </w:t>
      </w:r>
      <w:r>
        <w:rPr>
          <w:rStyle w:val="Referencingstyle"/>
        </w:rPr>
        <w:t>[Schedule 1, item 1, subsection 908BO(1)]</w:t>
      </w:r>
      <w:r>
        <w:t xml:space="preserve"> </w:t>
      </w:r>
    </w:p>
    <w:p w14:paraId="1966E4B6" w14:textId="5924B866" w:rsidR="003110F6" w:rsidRDefault="00F021FE" w:rsidP="00E132C2">
      <w:pPr>
        <w:pStyle w:val="base-text-paragraph"/>
      </w:pPr>
      <w:r>
        <w:t xml:space="preserve">ASIC must mainly have regard to the way the benchmark is </w:t>
      </w:r>
      <w:r w:rsidR="00E83533">
        <w:t>administered</w:t>
      </w:r>
      <w:r>
        <w:t xml:space="preserve">, its nature, purpose </w:t>
      </w:r>
      <w:r w:rsidRPr="00E83533">
        <w:t xml:space="preserve">and </w:t>
      </w:r>
      <w:r w:rsidR="00E83533">
        <w:t xml:space="preserve">the manner in which it is </w:t>
      </w:r>
      <w:r w:rsidRPr="00E83533">
        <w:t>use</w:t>
      </w:r>
      <w:r w:rsidR="00E83533">
        <w:t>d</w:t>
      </w:r>
      <w:r>
        <w:t>, the persons who may be reporting information to the licensee for purposes of calculating the benchmark, and the technology used for the operation of the benchmark. In the case of a foreign applicant</w:t>
      </w:r>
      <w:r w:rsidR="009460AB">
        <w:t>,</w:t>
      </w:r>
      <w:r>
        <w:t xml:space="preserve"> ASIC must consider the regulatory framework in the jurisdiction in which the applicant is authorised to operate the benchmark, what criteria and obligations it is under to obtain and maintain its authorisation, the level of supervision to which it is subject, and</w:t>
      </w:r>
      <w:r w:rsidR="00264203">
        <w:t xml:space="preserve"> whether adequate cooperation arrangements exist with the supervisory authority of that jurisdiction. </w:t>
      </w:r>
      <w:r w:rsidR="00641C21">
        <w:t xml:space="preserve">ASIC must also consider whether it is in the public interest to take any action as set out in subsection (1), for example to impose conditions on a licence or suspend or cancel a licence. Finally, </w:t>
      </w:r>
      <w:r w:rsidR="00264203">
        <w:t xml:space="preserve">ASIC may consider </w:t>
      </w:r>
      <w:r w:rsidR="00641C21">
        <w:t xml:space="preserve">any </w:t>
      </w:r>
      <w:r w:rsidR="00264203">
        <w:t xml:space="preserve">other matter that it believes </w:t>
      </w:r>
      <w:r w:rsidR="00641C21">
        <w:t>is</w:t>
      </w:r>
      <w:r w:rsidR="00264203">
        <w:t xml:space="preserve"> important. </w:t>
      </w:r>
      <w:r w:rsidR="00264203">
        <w:rPr>
          <w:rStyle w:val="Referencingstyle"/>
        </w:rPr>
        <w:t>[Schedule 1, item 1, subsection</w:t>
      </w:r>
      <w:r w:rsidR="009A5F97">
        <w:rPr>
          <w:rStyle w:val="Referencingstyle"/>
        </w:rPr>
        <w:t>s</w:t>
      </w:r>
      <w:r w:rsidR="00264203">
        <w:rPr>
          <w:rStyle w:val="Referencingstyle"/>
        </w:rPr>
        <w:t xml:space="preserve"> 908BO(2)</w:t>
      </w:r>
      <w:r w:rsidR="009A5F97">
        <w:rPr>
          <w:rStyle w:val="Referencingstyle"/>
        </w:rPr>
        <w:t xml:space="preserve"> and (3)</w:t>
      </w:r>
      <w:r w:rsidR="00264203">
        <w:rPr>
          <w:rStyle w:val="Referencingstyle"/>
        </w:rPr>
        <w:t>]</w:t>
      </w:r>
      <w:r w:rsidR="00264203">
        <w:t xml:space="preserve"> </w:t>
      </w:r>
    </w:p>
    <w:p w14:paraId="15DAC311" w14:textId="6BC78FEB" w:rsidR="00264203" w:rsidRDefault="00264203" w:rsidP="00264203">
      <w:pPr>
        <w:pStyle w:val="Heading6"/>
      </w:pPr>
      <w:r>
        <w:t>Subdivision F –</w:t>
      </w:r>
      <w:r w:rsidR="00CD41DB">
        <w:t xml:space="preserve"> O</w:t>
      </w:r>
      <w:r>
        <w:t>ther obligations of licensees</w:t>
      </w:r>
    </w:p>
    <w:p w14:paraId="07E3E975" w14:textId="609F46AD" w:rsidR="00264203" w:rsidRDefault="00CD41DB" w:rsidP="00E132C2">
      <w:pPr>
        <w:pStyle w:val="base-text-paragraph"/>
      </w:pPr>
      <w:r>
        <w:t xml:space="preserve">A benchmark administrator licensee must comply with a number of general obligations. These include complying with the licence conditions, being registered as a foreign company under Division 2 of Part 5B.2 if the licensee is a foreign body corporate, and taking all reasonable steps to ensure that no disqualified individual is involved in the operation of the benchmark covered by the licence. A breach of these conditions may lead to suspension or cancellation of the licence under section </w:t>
      </w:r>
      <w:r w:rsidRPr="00622245">
        <w:t>908BJ.</w:t>
      </w:r>
      <w:r>
        <w:t xml:space="preserve"> </w:t>
      </w:r>
      <w:r>
        <w:rPr>
          <w:rStyle w:val="Referencingstyle"/>
        </w:rPr>
        <w:t>[Schedule 1, item 1, section 908BP]</w:t>
      </w:r>
      <w:r>
        <w:t xml:space="preserve"> </w:t>
      </w:r>
    </w:p>
    <w:p w14:paraId="72F20F12" w14:textId="49A19138" w:rsidR="00743A5A" w:rsidRPr="00743A5A" w:rsidRDefault="009F651D" w:rsidP="009F651D">
      <w:pPr>
        <w:pStyle w:val="base-text-paragraph"/>
        <w:rPr>
          <w:rStyle w:val="Referencingstyle"/>
          <w:b w:val="0"/>
          <w:i w:val="0"/>
          <w:sz w:val="22"/>
        </w:rPr>
      </w:pPr>
      <w:r>
        <w:t xml:space="preserve">A breach of a licensee’s </w:t>
      </w:r>
      <w:r w:rsidR="00486953">
        <w:t xml:space="preserve">general </w:t>
      </w:r>
      <w:r>
        <w:t>obligations</w:t>
      </w:r>
      <w:r w:rsidR="00486953">
        <w:t xml:space="preserve"> as set out </w:t>
      </w:r>
      <w:r w:rsidR="00486953" w:rsidRPr="00622245">
        <w:t>in section 908BP</w:t>
      </w:r>
      <w:r>
        <w:t xml:space="preserve"> under this legislation must be reported to ASIC</w:t>
      </w:r>
      <w:r w:rsidR="00F3624C">
        <w:t>, including any related information prescribed in regulations</w:t>
      </w:r>
      <w:r>
        <w:t>. ASIC may then consider whether further action is necessary, for example suspending or cancelling a licence.</w:t>
      </w:r>
      <w:r w:rsidR="00743A5A">
        <w:t xml:space="preserve"> </w:t>
      </w:r>
      <w:r>
        <w:t>Failure to report a breach is an offence</w:t>
      </w:r>
      <w:r w:rsidR="00743A5A">
        <w:t xml:space="preserve"> attracting a penalty of up to 100 penalty units. </w:t>
      </w:r>
      <w:r w:rsidR="00743A5A">
        <w:rPr>
          <w:rStyle w:val="Referencingstyle"/>
        </w:rPr>
        <w:t xml:space="preserve">[Schedule 1, item 1, </w:t>
      </w:r>
      <w:r w:rsidR="00595CE0">
        <w:rPr>
          <w:rStyle w:val="Referencingstyle"/>
        </w:rPr>
        <w:t>paragraph</w:t>
      </w:r>
      <w:r w:rsidR="00F3624C">
        <w:rPr>
          <w:rStyle w:val="Referencingstyle"/>
        </w:rPr>
        <w:t>s</w:t>
      </w:r>
      <w:r w:rsidR="00743A5A">
        <w:rPr>
          <w:rStyle w:val="Referencingstyle"/>
        </w:rPr>
        <w:t xml:space="preserve"> 908B</w:t>
      </w:r>
      <w:r w:rsidR="00595CE0">
        <w:rPr>
          <w:rStyle w:val="Referencingstyle"/>
        </w:rPr>
        <w:t>Q</w:t>
      </w:r>
      <w:r w:rsidR="00743A5A">
        <w:rPr>
          <w:rStyle w:val="Referencingstyle"/>
        </w:rPr>
        <w:t>(1)</w:t>
      </w:r>
      <w:r w:rsidR="00595CE0">
        <w:rPr>
          <w:rStyle w:val="Referencingstyle"/>
        </w:rPr>
        <w:t>(a)</w:t>
      </w:r>
      <w:r w:rsidR="00F3624C">
        <w:rPr>
          <w:rStyle w:val="Referencingstyle"/>
        </w:rPr>
        <w:t xml:space="preserve"> and (c)</w:t>
      </w:r>
      <w:r w:rsidR="00595CE0">
        <w:rPr>
          <w:rStyle w:val="Referencingstyle"/>
        </w:rPr>
        <w:t xml:space="preserve"> and subparagraphs 908BQ(1)(b)(</w:t>
      </w:r>
      <w:proofErr w:type="spellStart"/>
      <w:r w:rsidR="00595CE0">
        <w:rPr>
          <w:rStyle w:val="Referencingstyle"/>
        </w:rPr>
        <w:t>i</w:t>
      </w:r>
      <w:proofErr w:type="spellEnd"/>
      <w:r w:rsidR="00595CE0">
        <w:rPr>
          <w:rStyle w:val="Referencingstyle"/>
        </w:rPr>
        <w:t>) and (ii)</w:t>
      </w:r>
      <w:r w:rsidR="00743A5A">
        <w:rPr>
          <w:rStyle w:val="Referencingstyle"/>
        </w:rPr>
        <w:t xml:space="preserve">] </w:t>
      </w:r>
    </w:p>
    <w:p w14:paraId="04D0B385" w14:textId="21D1658E" w:rsidR="009F651D" w:rsidRDefault="00743A5A" w:rsidP="00743A5A">
      <w:pPr>
        <w:pStyle w:val="base-text-paragraph"/>
      </w:pPr>
      <w:r w:rsidRPr="00743A5A">
        <w:t xml:space="preserve">A </w:t>
      </w:r>
      <w:r>
        <w:t>benchmark administrator</w:t>
      </w:r>
      <w:r w:rsidRPr="00743A5A">
        <w:t xml:space="preserve"> licensee must notify ASIC of any changes to directors, secretaries or senior managers</w:t>
      </w:r>
      <w:r>
        <w:t>, including with respect to its holding company</w:t>
      </w:r>
      <w:r w:rsidRPr="00743A5A">
        <w:t xml:space="preserve">. The regulations may prescribe </w:t>
      </w:r>
      <w:r>
        <w:t>other information that must be provided in such a notification</w:t>
      </w:r>
      <w:r w:rsidRPr="00743A5A">
        <w:t>. Failure to notify ASIC</w:t>
      </w:r>
      <w:r w:rsidR="006330AD">
        <w:t xml:space="preserve"> and include any prescribed information</w:t>
      </w:r>
      <w:r w:rsidRPr="00743A5A">
        <w:t xml:space="preserve"> is an offence, and a </w:t>
      </w:r>
      <w:r>
        <w:t xml:space="preserve">maximum </w:t>
      </w:r>
      <w:r w:rsidRPr="00743A5A">
        <w:t xml:space="preserve">penalty of 100 penalty units applies. It is important that ASIC becomes aware of changes in </w:t>
      </w:r>
      <w:r>
        <w:t>the management of licensees</w:t>
      </w:r>
      <w:r w:rsidRPr="00743A5A">
        <w:t xml:space="preserve">, given its responsibility for enforcing the prohibition on involvement </w:t>
      </w:r>
      <w:r w:rsidR="009C4BC4">
        <w:t>by</w:t>
      </w:r>
      <w:r w:rsidRPr="00743A5A">
        <w:t xml:space="preserve"> disqualified individuals</w:t>
      </w:r>
      <w:r w:rsidR="009C4BC4">
        <w:t xml:space="preserve">. </w:t>
      </w:r>
      <w:r w:rsidR="009C4BC4">
        <w:rPr>
          <w:rStyle w:val="Referencingstyle"/>
        </w:rPr>
        <w:t xml:space="preserve">[Schedule 1, item 1, </w:t>
      </w:r>
      <w:r w:rsidR="00595CE0">
        <w:rPr>
          <w:rStyle w:val="Referencingstyle"/>
        </w:rPr>
        <w:t>paragraphs</w:t>
      </w:r>
      <w:r w:rsidR="009C4BC4">
        <w:rPr>
          <w:rStyle w:val="Referencingstyle"/>
        </w:rPr>
        <w:t xml:space="preserve"> 908B</w:t>
      </w:r>
      <w:r w:rsidR="00595CE0">
        <w:rPr>
          <w:rStyle w:val="Referencingstyle"/>
        </w:rPr>
        <w:t>Q</w:t>
      </w:r>
      <w:r w:rsidR="00313C13">
        <w:rPr>
          <w:rStyle w:val="Referencingstyle"/>
        </w:rPr>
        <w:t>(1)</w:t>
      </w:r>
      <w:r w:rsidR="009C4BC4">
        <w:rPr>
          <w:rStyle w:val="Referencingstyle"/>
        </w:rPr>
        <w:t>(</w:t>
      </w:r>
      <w:r w:rsidR="00595CE0">
        <w:rPr>
          <w:rStyle w:val="Referencingstyle"/>
        </w:rPr>
        <w:t>a</w:t>
      </w:r>
      <w:r w:rsidR="009C4BC4">
        <w:rPr>
          <w:rStyle w:val="Referencingstyle"/>
        </w:rPr>
        <w:t>)</w:t>
      </w:r>
      <w:r w:rsidR="00595CE0">
        <w:rPr>
          <w:rStyle w:val="Referencingstyle"/>
        </w:rPr>
        <w:t xml:space="preserve"> and (c)</w:t>
      </w:r>
      <w:r w:rsidR="00313C13">
        <w:rPr>
          <w:rStyle w:val="Referencingstyle"/>
        </w:rPr>
        <w:t>,</w:t>
      </w:r>
      <w:r w:rsidR="00595CE0">
        <w:rPr>
          <w:rStyle w:val="Referencingstyle"/>
        </w:rPr>
        <w:t xml:space="preserve"> subparagraphs 908BQ(1)(b)(iii) and (iv)</w:t>
      </w:r>
      <w:r w:rsidR="00313C13">
        <w:rPr>
          <w:rStyle w:val="Referencingstyle"/>
        </w:rPr>
        <w:t>, and subsection 908BQ(2)</w:t>
      </w:r>
      <w:r w:rsidR="009C4BC4">
        <w:rPr>
          <w:rStyle w:val="Referencingstyle"/>
        </w:rPr>
        <w:t>]</w:t>
      </w:r>
      <w:r w:rsidR="009C4BC4">
        <w:t xml:space="preserve"> </w:t>
      </w:r>
    </w:p>
    <w:p w14:paraId="0D9E0456" w14:textId="1478B682" w:rsidR="009C4BC4" w:rsidRDefault="00234550" w:rsidP="00234550">
      <w:pPr>
        <w:pStyle w:val="base-text-paragraph"/>
      </w:pPr>
      <w:r w:rsidRPr="00234550">
        <w:t xml:space="preserve">A </w:t>
      </w:r>
      <w:r>
        <w:t>benchmark administrator licensee</w:t>
      </w:r>
      <w:r w:rsidRPr="00234550">
        <w:t xml:space="preserve"> must give assistance to ASIC, APRA and the </w:t>
      </w:r>
      <w:r>
        <w:t>Reserve Bank of Australia</w:t>
      </w:r>
      <w:r w:rsidRPr="00234550">
        <w:t xml:space="preserve"> if any of these regulators make</w:t>
      </w:r>
      <w:r w:rsidR="006330AD">
        <w:t>s</w:t>
      </w:r>
      <w:r w:rsidRPr="00234550">
        <w:t xml:space="preserve"> a reasonable request to inspect the licensee’s books</w:t>
      </w:r>
      <w:r w:rsidR="001C30B9">
        <w:t xml:space="preserve"> or obtain other assistance relating to the performance of the regulator’s function</w:t>
      </w:r>
      <w:r w:rsidRPr="00234550">
        <w:t>. Failure to comply with this requirement is an offence</w:t>
      </w:r>
      <w:r>
        <w:t xml:space="preserve"> attracting</w:t>
      </w:r>
      <w:r w:rsidRPr="00234550">
        <w:t xml:space="preserve"> a penalty of </w:t>
      </w:r>
      <w:r>
        <w:t xml:space="preserve">up to </w:t>
      </w:r>
      <w:r w:rsidRPr="00234550">
        <w:t>100 penalty units.</w:t>
      </w:r>
      <w:r>
        <w:t xml:space="preserve"> </w:t>
      </w:r>
      <w:r>
        <w:rPr>
          <w:rStyle w:val="Referencingstyle"/>
        </w:rPr>
        <w:t>[Schedule 1, item 1, section 908B</w:t>
      </w:r>
      <w:r w:rsidR="00595CE0">
        <w:rPr>
          <w:rStyle w:val="Referencingstyle"/>
        </w:rPr>
        <w:t>R</w:t>
      </w:r>
      <w:r>
        <w:rPr>
          <w:rStyle w:val="Referencingstyle"/>
        </w:rPr>
        <w:t>]</w:t>
      </w:r>
      <w:r>
        <w:t xml:space="preserve"> </w:t>
      </w:r>
    </w:p>
    <w:p w14:paraId="67DB8D8D" w14:textId="01BDF14C" w:rsidR="00234550" w:rsidRDefault="00F576D4" w:rsidP="00F576D4">
      <w:pPr>
        <w:pStyle w:val="base-text-paragraph"/>
      </w:pPr>
      <w:r>
        <w:t>A financial benchmark licensee must comply with a reasonable request by</w:t>
      </w:r>
      <w:r w:rsidRPr="00F576D4">
        <w:t xml:space="preserve"> ASIC </w:t>
      </w:r>
      <w:r>
        <w:t>to</w:t>
      </w:r>
      <w:r w:rsidR="001C30B9">
        <w:t xml:space="preserve"> provide</w:t>
      </w:r>
      <w:r w:rsidRPr="00F576D4">
        <w:t xml:space="preserve"> access </w:t>
      </w:r>
      <w:r w:rsidR="004B675C">
        <w:t xml:space="preserve">to </w:t>
      </w:r>
      <w:r>
        <w:t>its facilities</w:t>
      </w:r>
      <w:r w:rsidR="004B675C">
        <w:t xml:space="preserve"> as they relate to the person’s capacity as a licensee</w:t>
      </w:r>
      <w:r w:rsidRPr="00F576D4">
        <w:t xml:space="preserve">. Failure to comply with this requirement is an offence, </w:t>
      </w:r>
      <w:r>
        <w:t>attracting</w:t>
      </w:r>
      <w:r w:rsidRPr="00F576D4">
        <w:t xml:space="preserve"> a penalty of </w:t>
      </w:r>
      <w:r>
        <w:t xml:space="preserve">up to </w:t>
      </w:r>
      <w:r w:rsidRPr="00F576D4">
        <w:t>100 penalty units</w:t>
      </w:r>
      <w:r>
        <w:t xml:space="preserve">. </w:t>
      </w:r>
      <w:r>
        <w:rPr>
          <w:rStyle w:val="Referencingstyle"/>
        </w:rPr>
        <w:t>[Schedule 1, item 1, section 908B</w:t>
      </w:r>
      <w:r w:rsidR="00595CE0">
        <w:rPr>
          <w:rStyle w:val="Referencingstyle"/>
        </w:rPr>
        <w:t>S</w:t>
      </w:r>
      <w:r>
        <w:rPr>
          <w:rStyle w:val="Referencingstyle"/>
        </w:rPr>
        <w:t>]</w:t>
      </w:r>
      <w:r>
        <w:t xml:space="preserve"> </w:t>
      </w:r>
    </w:p>
    <w:p w14:paraId="0FE91022" w14:textId="4B7A4F58" w:rsidR="00F576D4" w:rsidRDefault="00F576D4" w:rsidP="00F576D4">
      <w:pPr>
        <w:pStyle w:val="Heading6"/>
      </w:pPr>
      <w:r>
        <w:t>Subdivision G – Directions to licensees</w:t>
      </w:r>
    </w:p>
    <w:p w14:paraId="4204C159" w14:textId="4233F64E" w:rsidR="00F576D4" w:rsidRDefault="00135FAC" w:rsidP="00F576D4">
      <w:pPr>
        <w:pStyle w:val="base-text-paragraph"/>
      </w:pPr>
      <w:r>
        <w:t>ASIC</w:t>
      </w:r>
      <w:r w:rsidR="00F576D4" w:rsidRPr="00F576D4">
        <w:t xml:space="preserve"> may give a </w:t>
      </w:r>
      <w:r w:rsidR="00D0248F">
        <w:t>benchmark administrator</w:t>
      </w:r>
      <w:r w:rsidR="00F576D4" w:rsidRPr="00F576D4">
        <w:t xml:space="preserve"> licensee a written direction if </w:t>
      </w:r>
      <w:r>
        <w:t>it</w:t>
      </w:r>
      <w:r w:rsidR="00F576D4" w:rsidRPr="00F576D4">
        <w:t xml:space="preserve"> believes that the licensee is not complying with its obligations. The direction may specify certain things that </w:t>
      </w:r>
      <w:r>
        <w:t>ASIC</w:t>
      </w:r>
      <w:r w:rsidR="00F576D4" w:rsidRPr="00F576D4">
        <w:t xml:space="preserve"> believes will promote compliance by the licensee with those obligations. The licensee must comply with the direction, and if the licensee fails to do so, ASIC may apply to the Court for an order that the licensee comply with the direction. </w:t>
      </w:r>
      <w:r>
        <w:t>ASIC</w:t>
      </w:r>
      <w:r w:rsidR="00F576D4" w:rsidRPr="00F576D4">
        <w:t xml:space="preserve"> may vary or revoke a direction at any time by giving written notice to the licensee. To assist readers an explanation is included that </w:t>
      </w:r>
      <w:r w:rsidR="00F576D4">
        <w:t>such a direction given</w:t>
      </w:r>
      <w:r w:rsidR="00F576D4" w:rsidRPr="00F576D4">
        <w:t xml:space="preserve"> by </w:t>
      </w:r>
      <w:r>
        <w:t>ASIC</w:t>
      </w:r>
      <w:r w:rsidR="00F576D4" w:rsidRPr="00F576D4">
        <w:t xml:space="preserve"> is </w:t>
      </w:r>
      <w:r w:rsidR="00F576D4">
        <w:t xml:space="preserve">not </w:t>
      </w:r>
      <w:r w:rsidR="00F576D4" w:rsidRPr="00F576D4">
        <w:t>a legislative instrument. This does not constitute an actual exemption from the relevant provisions in the Legislation Act but is merely declaratory of the law as such directions are not legislative instruments within the meaning of subsection (8)(1) of the Legislation Act</w:t>
      </w:r>
      <w:r w:rsidR="00F576D4">
        <w:t xml:space="preserve">. </w:t>
      </w:r>
      <w:r w:rsidR="00F576D4">
        <w:rPr>
          <w:rStyle w:val="Referencingstyle"/>
        </w:rPr>
        <w:t xml:space="preserve">[Schedule 1, item 1, </w:t>
      </w:r>
      <w:r w:rsidR="00B71172">
        <w:rPr>
          <w:rStyle w:val="Referencingstyle"/>
        </w:rPr>
        <w:t>section 908B</w:t>
      </w:r>
      <w:r w:rsidR="00EC6730">
        <w:rPr>
          <w:rStyle w:val="Referencingstyle"/>
        </w:rPr>
        <w:t>T</w:t>
      </w:r>
      <w:r w:rsidR="00B71172">
        <w:rPr>
          <w:rStyle w:val="Referencingstyle"/>
        </w:rPr>
        <w:t>]</w:t>
      </w:r>
      <w:r w:rsidR="00F576D4">
        <w:t xml:space="preserve"> </w:t>
      </w:r>
    </w:p>
    <w:p w14:paraId="24CC2102" w14:textId="40AE0C0A" w:rsidR="00F576D4" w:rsidRDefault="00135FAC" w:rsidP="00FC09C3">
      <w:pPr>
        <w:pStyle w:val="base-text-paragraph"/>
      </w:pPr>
      <w:r>
        <w:t xml:space="preserve">As soon as practicable after giving a direction or a notice of variation or revocation, ASIC must give a copy to the Minister who may then within 30 days disallow all or part of the direction or notice. In deciding whether to disallow a direction or notice the Minister must consider certain matters, such as the licensee’s general obligations as set out in </w:t>
      </w:r>
      <w:r w:rsidRPr="002C4C6F">
        <w:t>section 908BP and the matters set out in section 908BO.</w:t>
      </w:r>
      <w:r>
        <w:t xml:space="preserve"> ASIC must the</w:t>
      </w:r>
      <w:r w:rsidR="00B30BF1">
        <w:t>n</w:t>
      </w:r>
      <w:r>
        <w:t xml:space="preserve"> notify the licensee of the disallowance, which takes effect as soon as the licensee receives ASIC’s notification. </w:t>
      </w:r>
      <w:r w:rsidR="00FC09C3" w:rsidRPr="00FC09C3">
        <w:t>To assist readers</w:t>
      </w:r>
      <w:r w:rsidR="00B30BF1">
        <w:t>,</w:t>
      </w:r>
      <w:r w:rsidR="00FC09C3" w:rsidRPr="00FC09C3">
        <w:t xml:space="preserve"> an ex</w:t>
      </w:r>
      <w:r w:rsidR="00FC09C3">
        <w:t xml:space="preserve">planation is included that </w:t>
      </w:r>
      <w:r>
        <w:t>a disallowance notice given by the Minister to ASIC</w:t>
      </w:r>
      <w:r w:rsidR="007B52DF">
        <w:t xml:space="preserve"> </w:t>
      </w:r>
      <w:r w:rsidR="00FC09C3">
        <w:t xml:space="preserve">under this provision is </w:t>
      </w:r>
      <w:r w:rsidR="007B52DF">
        <w:t xml:space="preserve">not </w:t>
      </w:r>
      <w:r w:rsidR="00FC09C3">
        <w:t>a</w:t>
      </w:r>
      <w:r w:rsidR="00FC09C3" w:rsidRPr="00FC09C3">
        <w:t xml:space="preserve"> legislative instrument. This does not constitute an actual exemption from the relevant provisions in the Legislation Act but is merely declaratory of the law as such </w:t>
      </w:r>
      <w:r w:rsidR="00FC09C3">
        <w:t>an advice or direction</w:t>
      </w:r>
      <w:r w:rsidR="00FC09C3" w:rsidRPr="00FC09C3">
        <w:t xml:space="preserve"> </w:t>
      </w:r>
      <w:r w:rsidR="00FC09C3">
        <w:t>is</w:t>
      </w:r>
      <w:r w:rsidR="00FC09C3" w:rsidRPr="00FC09C3">
        <w:t xml:space="preserve"> not</w:t>
      </w:r>
      <w:r w:rsidR="00FC09C3">
        <w:t xml:space="preserve"> a</w:t>
      </w:r>
      <w:r w:rsidR="00FC09C3" w:rsidRPr="00FC09C3">
        <w:t xml:space="preserve"> legislative instrument within the meaning of subsection (8)(1) of the Legislation Act.</w:t>
      </w:r>
      <w:r w:rsidR="00FC09C3">
        <w:t xml:space="preserve"> </w:t>
      </w:r>
      <w:r w:rsidR="00FC09C3">
        <w:rPr>
          <w:rStyle w:val="Referencingstyle"/>
        </w:rPr>
        <w:t>[Schedule 1, item 1, section 908B</w:t>
      </w:r>
      <w:r w:rsidR="00EC6730">
        <w:rPr>
          <w:rStyle w:val="Referencingstyle"/>
        </w:rPr>
        <w:t>U</w:t>
      </w:r>
      <w:r w:rsidR="000569E8">
        <w:rPr>
          <w:rStyle w:val="Referencingstyle"/>
        </w:rPr>
        <w:t>]</w:t>
      </w:r>
      <w:r w:rsidR="00FC09C3">
        <w:t xml:space="preserve"> </w:t>
      </w:r>
    </w:p>
    <w:p w14:paraId="217E9A5E" w14:textId="7B145ECC" w:rsidR="000569E8" w:rsidRDefault="000569E8" w:rsidP="000569E8">
      <w:pPr>
        <w:pStyle w:val="base-text-paragraph"/>
      </w:pPr>
      <w:r w:rsidRPr="000569E8">
        <w:t xml:space="preserve">ASIC may </w:t>
      </w:r>
      <w:r>
        <w:t xml:space="preserve">give </w:t>
      </w:r>
      <w:r w:rsidRPr="000569E8">
        <w:t xml:space="preserve">a </w:t>
      </w:r>
      <w:r>
        <w:t>benchmark administrator</w:t>
      </w:r>
      <w:r w:rsidRPr="000569E8">
        <w:t xml:space="preserve"> licensee</w:t>
      </w:r>
      <w:r>
        <w:t xml:space="preserve"> a written direction</w:t>
      </w:r>
      <w:r w:rsidRPr="000569E8">
        <w:t xml:space="preserve"> to give ASIC a report on specified matters. ASIC may give a copy of that report to the Minister. ASIC may also require the licensee to give ASIC an audit </w:t>
      </w:r>
      <w:r w:rsidR="003B6D8B">
        <w:t>statement on</w:t>
      </w:r>
      <w:r w:rsidRPr="000569E8">
        <w:t xml:space="preserve"> the report, and m</w:t>
      </w:r>
      <w:r>
        <w:t>ust</w:t>
      </w:r>
      <w:r w:rsidRPr="000569E8">
        <w:t xml:space="preserve"> nominate a particular person or body</w:t>
      </w:r>
      <w:r w:rsidR="00C27586">
        <w:t xml:space="preserve"> that is suitably qualified</w:t>
      </w:r>
      <w:r w:rsidRPr="000569E8">
        <w:t xml:space="preserve"> to prepare the </w:t>
      </w:r>
      <w:r w:rsidR="003B6D8B">
        <w:t>statement</w:t>
      </w:r>
      <w:r w:rsidRPr="000569E8">
        <w:t xml:space="preserve">. Failure to comply </w:t>
      </w:r>
      <w:r>
        <w:t>is</w:t>
      </w:r>
      <w:r w:rsidRPr="000569E8">
        <w:t xml:space="preserve"> an offence, with a penalty of 100 penalty units</w:t>
      </w:r>
      <w:r>
        <w:t xml:space="preserve">. </w:t>
      </w:r>
      <w:r w:rsidRPr="000569E8">
        <w:t xml:space="preserve">To assist readers an explanation is included that </w:t>
      </w:r>
      <w:r>
        <w:t>a</w:t>
      </w:r>
      <w:r w:rsidRPr="000569E8">
        <w:t xml:space="preserve"> direction given by ASIC under this provision is </w:t>
      </w:r>
      <w:r>
        <w:t xml:space="preserve">not </w:t>
      </w:r>
      <w:r w:rsidRPr="000569E8">
        <w:t>a legislative instrument. This does not constitute an actual exemption from the relevant provisions in the Legislation Act but is merely declaratory of the law as such a direction is not a legislative instrument within the meaning of subsection (8)(1) of the Legislation Act.</w:t>
      </w:r>
      <w:r>
        <w:t xml:space="preserve"> </w:t>
      </w:r>
      <w:r>
        <w:rPr>
          <w:rStyle w:val="Referencingstyle"/>
        </w:rPr>
        <w:t>[Schedule 1, item 1, section 908B</w:t>
      </w:r>
      <w:r w:rsidR="00EC6730">
        <w:rPr>
          <w:rStyle w:val="Referencingstyle"/>
        </w:rPr>
        <w:t>V</w:t>
      </w:r>
      <w:r>
        <w:rPr>
          <w:rStyle w:val="Referencingstyle"/>
        </w:rPr>
        <w:t>]</w:t>
      </w:r>
      <w:r>
        <w:t xml:space="preserve"> </w:t>
      </w:r>
    </w:p>
    <w:p w14:paraId="36D93AF0" w14:textId="2D378C11" w:rsidR="004C2ADA" w:rsidRDefault="004C2ADA" w:rsidP="004C2ADA">
      <w:pPr>
        <w:pStyle w:val="Heading6"/>
      </w:pPr>
      <w:r>
        <w:t>Subdivision H – other matters</w:t>
      </w:r>
    </w:p>
    <w:p w14:paraId="14977F88" w14:textId="6173FF97" w:rsidR="00FB1399" w:rsidRDefault="00FB1399" w:rsidP="00FB1399">
      <w:pPr>
        <w:pStyle w:val="base-text-paragraph"/>
      </w:pPr>
      <w:r>
        <w:t xml:space="preserve">ASIC may assess how well a </w:t>
      </w:r>
      <w:r w:rsidR="00C27586">
        <w:t>benchmark administrator</w:t>
      </w:r>
      <w:r>
        <w:t xml:space="preserve"> licensee is complying with its obligations</w:t>
      </w:r>
      <w:r w:rsidR="00C27586">
        <w:t xml:space="preserve">, including obligations under rules made by ASIC (see </w:t>
      </w:r>
      <w:r w:rsidR="00C27586" w:rsidRPr="002C4C6F">
        <w:t>Chapter 3</w:t>
      </w:r>
      <w:r w:rsidR="00C27586">
        <w:t xml:space="preserve"> </w:t>
      </w:r>
      <w:r w:rsidR="00B30BF1">
        <w:t xml:space="preserve">of this explanatory memorandum </w:t>
      </w:r>
      <w:r w:rsidR="00C27586">
        <w:t>for details of ASIC’s rule-making powers)</w:t>
      </w:r>
      <w:r>
        <w:t>. In doing so ASIC may take account of any information that it thinks is appropriate. ASIC must give a written report on the assessment to the licensee as soon as practicable after completing the assessment. ASIC may also give a copy to the Minister</w:t>
      </w:r>
      <w:r w:rsidR="000C5703">
        <w:t xml:space="preserve"> and any other person who appears to be materially affected by the assessment</w:t>
      </w:r>
      <w:r>
        <w:t xml:space="preserve">. If the assessment relates to a serious contravention of the law of the Commonwealth or a State or Territory, ASIC may also give a copy of the report, or the relevant part of the report to the Australian Federal Police, the Chief Executive Officer or staff of the Australian Crime Commissioner, the Commonwealth Director of Public Prosecutions or other persons or bodies prescribed by regulation. </w:t>
      </w:r>
      <w:r w:rsidRPr="00FB1399">
        <w:t xml:space="preserve">ASIC may </w:t>
      </w:r>
      <w:r w:rsidR="00211A29">
        <w:t xml:space="preserve">also </w:t>
      </w:r>
      <w:r w:rsidRPr="00FB1399">
        <w:t xml:space="preserve">publish a report, or part of the report. </w:t>
      </w:r>
      <w:r w:rsidR="00211A29">
        <w:rPr>
          <w:rStyle w:val="Referencingstyle"/>
        </w:rPr>
        <w:t>[Schedule 1, item 1, section 908B</w:t>
      </w:r>
      <w:r w:rsidR="00EC6730">
        <w:rPr>
          <w:rStyle w:val="Referencingstyle"/>
        </w:rPr>
        <w:t>W</w:t>
      </w:r>
      <w:r w:rsidR="00211A29">
        <w:rPr>
          <w:rStyle w:val="Referencingstyle"/>
        </w:rPr>
        <w:t>]</w:t>
      </w:r>
      <w:r>
        <w:t xml:space="preserve"> </w:t>
      </w:r>
    </w:p>
    <w:p w14:paraId="539EB4D9" w14:textId="11C16DD1" w:rsidR="00D220F1" w:rsidRPr="008F726E" w:rsidRDefault="00685BD4" w:rsidP="00AA6B18">
      <w:pPr>
        <w:pStyle w:val="base-text-paragraph"/>
      </w:pPr>
      <w:r>
        <w:t xml:space="preserve">A benchmark administrator licence may be varied, suspended or cancelled, or made subject to conditions as allowed by this Bill or later legislation. </w:t>
      </w:r>
      <w:r w:rsidR="00885966">
        <w:t>Clarification is provided that variation, suspension or cancellation of licences, or the imposition of conditions or additional conditions</w:t>
      </w:r>
      <w:r>
        <w:t xml:space="preserve">, </w:t>
      </w:r>
      <w:r w:rsidR="00885966">
        <w:t>do not give rise to compensation.</w:t>
      </w:r>
      <w:r w:rsidR="001420DB" w:rsidRPr="00C8630D">
        <w:t xml:space="preserve"> </w:t>
      </w:r>
      <w:r w:rsidR="001420DB" w:rsidRPr="00C8630D">
        <w:rPr>
          <w:rStyle w:val="Referencingstyle"/>
        </w:rPr>
        <w:t>[Schedule 1, item 1, section 908B</w:t>
      </w:r>
      <w:r w:rsidR="00EC6730">
        <w:rPr>
          <w:rStyle w:val="Referencingstyle"/>
        </w:rPr>
        <w:t>X</w:t>
      </w:r>
      <w:r w:rsidR="001420DB" w:rsidRPr="00C8630D">
        <w:rPr>
          <w:rStyle w:val="Referencingstyle"/>
        </w:rPr>
        <w:t>]</w:t>
      </w:r>
      <w:r w:rsidR="001420DB" w:rsidRPr="00266F84">
        <w:rPr>
          <w:highlight w:val="yellow"/>
        </w:rPr>
        <w:t xml:space="preserve"> </w:t>
      </w:r>
    </w:p>
    <w:p w14:paraId="0A8CBA82" w14:textId="77777777" w:rsidR="00D220F1" w:rsidRDefault="00D220F1" w:rsidP="00AA6B18">
      <w:pPr>
        <w:pStyle w:val="Heading2"/>
      </w:pPr>
      <w:r>
        <w:t>Consequential amendments</w:t>
      </w:r>
    </w:p>
    <w:p w14:paraId="53DBC040" w14:textId="064D7E91" w:rsidR="00D220F1" w:rsidRDefault="003404AD" w:rsidP="00AA6B18">
      <w:pPr>
        <w:pStyle w:val="base-text-paragraph"/>
      </w:pPr>
      <w:r>
        <w:t xml:space="preserve">A number of key definitions are inserted in section 761A of the Corporations Act. These include definitions of </w:t>
      </w:r>
      <w:r w:rsidRPr="007403F5">
        <w:rPr>
          <w:b/>
          <w:i/>
        </w:rPr>
        <w:t>benchmark administrator licence</w:t>
      </w:r>
      <w:r w:rsidR="007403F5">
        <w:rPr>
          <w:b/>
          <w:i/>
        </w:rPr>
        <w:t>, financial benchmark</w:t>
      </w:r>
      <w:r>
        <w:t xml:space="preserve"> and </w:t>
      </w:r>
      <w:r w:rsidRPr="007403F5">
        <w:rPr>
          <w:b/>
          <w:i/>
        </w:rPr>
        <w:t>significant financial benchmark</w:t>
      </w:r>
      <w:r w:rsidR="007403F5">
        <w:t xml:space="preserve"> which refer to the relevant sections in the Bill setting out what they designate. A </w:t>
      </w:r>
      <w:r w:rsidR="007403F5" w:rsidRPr="007403F5">
        <w:rPr>
          <w:b/>
          <w:i/>
        </w:rPr>
        <w:t>benchmark administrator licensee</w:t>
      </w:r>
      <w:r w:rsidR="007403F5">
        <w:t xml:space="preserve"> is defined as a person who holds a </w:t>
      </w:r>
      <w:r w:rsidR="007403F5" w:rsidRPr="007403F5">
        <w:rPr>
          <w:b/>
          <w:i/>
        </w:rPr>
        <w:t>benchmark administrator licence</w:t>
      </w:r>
      <w:r w:rsidR="007403F5">
        <w:t xml:space="preserve">. The definition of </w:t>
      </w:r>
      <w:r w:rsidR="007403F5" w:rsidRPr="007403F5">
        <w:rPr>
          <w:b/>
          <w:i/>
        </w:rPr>
        <w:t>financial benchmark data</w:t>
      </w:r>
      <w:r w:rsidR="007403F5">
        <w:t xml:space="preserve"> states that this term refers to information (including derived information) obtained to generate or administer a financial benchmark</w:t>
      </w:r>
      <w:r w:rsidR="007403F5" w:rsidRPr="009156A8">
        <w:t>.</w:t>
      </w:r>
      <w:r w:rsidR="007403F5">
        <w:t xml:space="preserve"> </w:t>
      </w:r>
      <w:r w:rsidR="007403F5">
        <w:rPr>
          <w:rStyle w:val="Referencingstyle"/>
        </w:rPr>
        <w:t>[Schedule 1, item</w:t>
      </w:r>
      <w:r w:rsidR="009156A8">
        <w:rPr>
          <w:rStyle w:val="Referencingstyle"/>
        </w:rPr>
        <w:t>s</w:t>
      </w:r>
      <w:r w:rsidR="007403F5">
        <w:rPr>
          <w:rStyle w:val="Referencingstyle"/>
        </w:rPr>
        <w:t xml:space="preserve"> 6</w:t>
      </w:r>
      <w:r w:rsidR="009156A8">
        <w:rPr>
          <w:rStyle w:val="Referencingstyle"/>
        </w:rPr>
        <w:t xml:space="preserve"> and </w:t>
      </w:r>
      <w:r w:rsidR="00266F84">
        <w:rPr>
          <w:rStyle w:val="Referencingstyle"/>
        </w:rPr>
        <w:t>8</w:t>
      </w:r>
      <w:r w:rsidR="007403F5">
        <w:rPr>
          <w:rStyle w:val="Referencingstyle"/>
        </w:rPr>
        <w:t>, section 761A]</w:t>
      </w:r>
      <w:r w:rsidR="007403F5">
        <w:t xml:space="preserve"> </w:t>
      </w:r>
    </w:p>
    <w:p w14:paraId="510EBCCF" w14:textId="737CF6FA" w:rsidR="009156A8" w:rsidRDefault="009156A8" w:rsidP="00AA6B18">
      <w:pPr>
        <w:pStyle w:val="base-text-paragraph"/>
      </w:pPr>
      <w:r>
        <w:t xml:space="preserve">A number of consequential changes are made to Division 2 of Part 7.4 allowing ASIC to declare a person who is involved in a benchmark administrator licensee to be a disqualified person. ASIC may only do so if it considers the person unfit to be so involved and giving rise to a risk that the licensee will breach its obligations. </w:t>
      </w:r>
      <w:r>
        <w:rPr>
          <w:rStyle w:val="Referencingstyle"/>
        </w:rPr>
        <w:t>[Schedule 1, items 9 and 10, section 853B and subsection 853C(1)]</w:t>
      </w:r>
      <w:r>
        <w:t xml:space="preserve"> </w:t>
      </w:r>
    </w:p>
    <w:p w14:paraId="60A9F731" w14:textId="48916784" w:rsidR="000C2944" w:rsidRDefault="005A3DD4" w:rsidP="00AA6B18">
      <w:pPr>
        <w:pStyle w:val="base-text-paragraph"/>
      </w:pPr>
      <w:r w:rsidRPr="005A3DD4">
        <w:t>Section 853D sets out the procedure that ASIC must follow before declaring that a person involved in a relevant licensee is disqualified. Subsections 853D(2)(a) and (b) are amended so that ASIC must also follow that procedure when seeking to declare that a person involved in a benchmark administrator licensee to be a disqualified person</w:t>
      </w:r>
      <w:r w:rsidR="000C2944">
        <w:t xml:space="preserve">. </w:t>
      </w:r>
      <w:r w:rsidR="000C2944">
        <w:rPr>
          <w:rStyle w:val="Referencingstyle"/>
        </w:rPr>
        <w:t>[Schedule 1, item 11</w:t>
      </w:r>
      <w:r w:rsidR="002D5A18">
        <w:rPr>
          <w:rStyle w:val="Referencingstyle"/>
        </w:rPr>
        <w:t>,</w:t>
      </w:r>
      <w:r w:rsidR="000C2944">
        <w:rPr>
          <w:rStyle w:val="Referencingstyle"/>
        </w:rPr>
        <w:t xml:space="preserve"> paragraphs 853D(2)(a) and (b)]</w:t>
      </w:r>
      <w:r w:rsidR="000C2944">
        <w:t xml:space="preserve"> </w:t>
      </w:r>
    </w:p>
    <w:p w14:paraId="2A7A30CF" w14:textId="0D3D11BE" w:rsidR="000C2944" w:rsidRDefault="002D5A18" w:rsidP="00AA6B18">
      <w:pPr>
        <w:pStyle w:val="base-text-paragraph"/>
      </w:pPr>
      <w:r>
        <w:t>A disqualified person mu</w:t>
      </w:r>
      <w:r w:rsidR="00EB72BC">
        <w:t>s</w:t>
      </w:r>
      <w:r>
        <w:t>t not become involved in a benchmark administrator licensee</w:t>
      </w:r>
      <w:r w:rsidR="000246BD">
        <w:t>. I</w:t>
      </w:r>
      <w:r>
        <w:t xml:space="preserve">f they are already involved, </w:t>
      </w:r>
      <w:r w:rsidR="000246BD">
        <w:t xml:space="preserve">the licensee must </w:t>
      </w:r>
      <w:r>
        <w:t xml:space="preserve">take all reasonable steps to ensure that they cease to be involved. </w:t>
      </w:r>
      <w:r>
        <w:rPr>
          <w:rStyle w:val="Referencingstyle"/>
        </w:rPr>
        <w:t>[Schedule 1, item 12, subsections 853F(1) and (2)]</w:t>
      </w:r>
      <w:r>
        <w:t xml:space="preserve"> </w:t>
      </w:r>
    </w:p>
    <w:p w14:paraId="7724BDF2" w14:textId="08B0C3C8" w:rsidR="002D5A18" w:rsidRDefault="002D5A18" w:rsidP="00AA6B18">
      <w:pPr>
        <w:pStyle w:val="base-text-paragraph"/>
      </w:pPr>
      <w:r>
        <w:t>If ASIC becomes aware that an individual involved in a benchmark administrator licensee is disqualified because they are disqualified from managing a corporati</w:t>
      </w:r>
      <w:r w:rsidR="00405722">
        <w:t>on under section 206B</w:t>
      </w:r>
      <w:r>
        <w:t xml:space="preserve"> or are included on the </w:t>
      </w:r>
      <w:r w:rsidR="000B7D93">
        <w:t>r</w:t>
      </w:r>
      <w:r>
        <w:t xml:space="preserve">egister </w:t>
      </w:r>
      <w:r w:rsidR="00405722">
        <w:t xml:space="preserve">of disqualified company directors and other officers that ASIC must keep under section 1274AA, then ASIC must notify the individual, the licensee and the Minister as soon as practicable. </w:t>
      </w:r>
      <w:r w:rsidR="00405722">
        <w:rPr>
          <w:rStyle w:val="Referencingstyle"/>
        </w:rPr>
        <w:t>[Schedule 1, item 13, section 853G]</w:t>
      </w:r>
      <w:r w:rsidR="00405722">
        <w:t xml:space="preserve"> </w:t>
      </w:r>
    </w:p>
    <w:p w14:paraId="4426F3C8" w14:textId="291BA1BA" w:rsidR="007403F5" w:rsidRDefault="000B7249" w:rsidP="00AA6B18">
      <w:pPr>
        <w:pStyle w:val="base-text-paragraph"/>
      </w:pPr>
      <w:r>
        <w:t xml:space="preserve">A decision by ASIC to declare a significant financial benchmark, including a decision to vary or revoke such a </w:t>
      </w:r>
      <w:r w:rsidR="00747CF5">
        <w:t>declaration, is made exempt from appeals to the Administrative Appeals Tribunal</w:t>
      </w:r>
      <w:r w:rsidR="0094304D">
        <w:t xml:space="preserve"> (AAT)</w:t>
      </w:r>
      <w:r w:rsidR="00747CF5">
        <w:t xml:space="preserve">. The same exemption is applied to a consent by the Minister to ASIC making such a declaration, and to a direction by the Minister to ASIC to revoke or amend a declaration. These exemptions are appropriate because the decisions to which they relate are based on considerations that have a direct impact on the stability and efficient functioning of the </w:t>
      </w:r>
      <w:r w:rsidR="007075EA">
        <w:t xml:space="preserve">Australian </w:t>
      </w:r>
      <w:r w:rsidR="00747CF5">
        <w:t>financial system</w:t>
      </w:r>
      <w:r w:rsidR="006748F3">
        <w:t xml:space="preserve">. Appeals by persons affected by these decisions are unlikely to take account of these </w:t>
      </w:r>
      <w:r w:rsidR="006A60CA">
        <w:t>public interest</w:t>
      </w:r>
      <w:r w:rsidR="007075EA">
        <w:t xml:space="preserve"> </w:t>
      </w:r>
      <w:r w:rsidR="006748F3">
        <w:t xml:space="preserve">considerations, and allowing appeals to be made </w:t>
      </w:r>
      <w:r w:rsidR="007075EA">
        <w:t>would</w:t>
      </w:r>
      <w:r w:rsidR="006748F3">
        <w:t xml:space="preserve"> undermine</w:t>
      </w:r>
      <w:r w:rsidR="007075EA">
        <w:t xml:space="preserve"> the implementation of the Government’s policy and</w:t>
      </w:r>
      <w:r w:rsidR="006748F3">
        <w:t xml:space="preserve"> the intended functioning of the regulatory framework established in the Bill. </w:t>
      </w:r>
      <w:r w:rsidR="006748F3">
        <w:rPr>
          <w:rStyle w:val="Referencingstyle"/>
        </w:rPr>
        <w:t xml:space="preserve">[Schedule 1, item </w:t>
      </w:r>
      <w:r w:rsidR="0009012C">
        <w:rPr>
          <w:rStyle w:val="Referencingstyle"/>
        </w:rPr>
        <w:t>2</w:t>
      </w:r>
      <w:r w:rsidR="00EC6730">
        <w:rPr>
          <w:rStyle w:val="Referencingstyle"/>
        </w:rPr>
        <w:t>2</w:t>
      </w:r>
      <w:r w:rsidR="006748F3">
        <w:rPr>
          <w:rStyle w:val="Referencingstyle"/>
        </w:rPr>
        <w:t xml:space="preserve"> , paragraphs 1317C(</w:t>
      </w:r>
      <w:proofErr w:type="spellStart"/>
      <w:r w:rsidR="006748F3">
        <w:rPr>
          <w:rStyle w:val="Referencingstyle"/>
        </w:rPr>
        <w:t>gdf</w:t>
      </w:r>
      <w:proofErr w:type="spellEnd"/>
      <w:r w:rsidR="006748F3">
        <w:rPr>
          <w:rStyle w:val="Referencingstyle"/>
        </w:rPr>
        <w:t>) and (</w:t>
      </w:r>
      <w:proofErr w:type="spellStart"/>
      <w:r w:rsidR="006748F3">
        <w:rPr>
          <w:rStyle w:val="Referencingstyle"/>
        </w:rPr>
        <w:t>gdg</w:t>
      </w:r>
      <w:proofErr w:type="spellEnd"/>
      <w:r w:rsidR="006748F3">
        <w:rPr>
          <w:rStyle w:val="Referencingstyle"/>
        </w:rPr>
        <w:t>)]</w:t>
      </w:r>
      <w:r w:rsidR="006748F3">
        <w:t xml:space="preserve"> </w:t>
      </w:r>
    </w:p>
    <w:p w14:paraId="644BDBC2" w14:textId="543404A9" w:rsidR="006748F3" w:rsidRPr="006E5559" w:rsidRDefault="008548D3" w:rsidP="00AA6B18">
      <w:pPr>
        <w:pStyle w:val="base-text-paragraph"/>
      </w:pPr>
      <w:r w:rsidRPr="006E5559">
        <w:t xml:space="preserve">A decision by the Minister to give ASIC a disallowance notice under </w:t>
      </w:r>
      <w:r w:rsidRPr="002C4C6F">
        <w:t>section 908B</w:t>
      </w:r>
      <w:r w:rsidR="00AE4A03" w:rsidRPr="002C4C6F">
        <w:t>U</w:t>
      </w:r>
      <w:r w:rsidRPr="002C4C6F">
        <w:t xml:space="preserve"> </w:t>
      </w:r>
      <w:r w:rsidR="00CB73DB" w:rsidRPr="002C4C6F">
        <w:t xml:space="preserve">(see paragraph 2.46 above) </w:t>
      </w:r>
      <w:r w:rsidRPr="002C4C6F">
        <w:t>in relation to a compliance direction given to a licensee under section 908B</w:t>
      </w:r>
      <w:r w:rsidR="00AE4A03" w:rsidRPr="002C4C6F">
        <w:t>T</w:t>
      </w:r>
      <w:r w:rsidRPr="002C4C6F">
        <w:t xml:space="preserve"> </w:t>
      </w:r>
      <w:r w:rsidR="00CB73DB" w:rsidRPr="002C4C6F">
        <w:t>(see paragraph 2.45 abov</w:t>
      </w:r>
      <w:r w:rsidR="00CB73DB">
        <w:t xml:space="preserve">e) </w:t>
      </w:r>
      <w:r w:rsidRPr="006E5559">
        <w:t>is made exempt from appeals to the A</w:t>
      </w:r>
      <w:r w:rsidR="0094304D" w:rsidRPr="006E5559">
        <w:t>AT</w:t>
      </w:r>
      <w:r w:rsidRPr="006E5559">
        <w:t xml:space="preserve">. </w:t>
      </w:r>
      <w:r w:rsidR="0094304D" w:rsidRPr="006E5559">
        <w:t>This exemption is sensible because ASIC’s original decision is</w:t>
      </w:r>
      <w:r w:rsidR="00E81037">
        <w:t xml:space="preserve"> </w:t>
      </w:r>
      <w:r w:rsidR="0094304D" w:rsidRPr="006E5559">
        <w:t>subject to merits review by the AAT.</w:t>
      </w:r>
      <w:r w:rsidR="00E81037">
        <w:t xml:space="preserve"> Thus, if a licensee is dissatisfied with the original direction, and remains dissatisfied</w:t>
      </w:r>
      <w:r w:rsidR="0094304D" w:rsidRPr="006E5559">
        <w:t xml:space="preserve"> </w:t>
      </w:r>
      <w:r w:rsidR="00E81037">
        <w:t xml:space="preserve">after the Minister takes (or fails to take) action, they may then appeal to the AAT and obtain a merits review as to whether the direction should stand or not. </w:t>
      </w:r>
      <w:r w:rsidR="00E81037">
        <w:rPr>
          <w:rStyle w:val="Referencingstyle"/>
        </w:rPr>
        <w:t>[Schedule 1, item 2</w:t>
      </w:r>
      <w:r w:rsidR="00EC6730">
        <w:rPr>
          <w:rStyle w:val="Referencingstyle"/>
        </w:rPr>
        <w:t>2</w:t>
      </w:r>
      <w:r w:rsidR="00E81037">
        <w:rPr>
          <w:rStyle w:val="Referencingstyle"/>
        </w:rPr>
        <w:t xml:space="preserve"> , paragraph 1317C(</w:t>
      </w:r>
      <w:proofErr w:type="spellStart"/>
      <w:r w:rsidR="00E81037">
        <w:rPr>
          <w:rStyle w:val="Referencingstyle"/>
        </w:rPr>
        <w:t>gdh</w:t>
      </w:r>
      <w:proofErr w:type="spellEnd"/>
      <w:r w:rsidR="00E81037">
        <w:rPr>
          <w:rStyle w:val="Referencingstyle"/>
        </w:rPr>
        <w:t>)]</w:t>
      </w:r>
    </w:p>
    <w:p w14:paraId="306B4BD7" w14:textId="77777777" w:rsidR="00D220F1" w:rsidRDefault="00D220F1" w:rsidP="00AA6B18">
      <w:pPr>
        <w:pStyle w:val="Heading2"/>
      </w:pPr>
      <w:r>
        <w:t>Application and transitional provisions</w:t>
      </w:r>
    </w:p>
    <w:p w14:paraId="1F4942DC" w14:textId="0FDEE6C9" w:rsidR="00D220F1" w:rsidRDefault="002156AD" w:rsidP="00AA6B18">
      <w:pPr>
        <w:pStyle w:val="base-text-paragraph"/>
      </w:pPr>
      <w:r>
        <w:t>There are no application or transitional provisions</w:t>
      </w:r>
      <w:r w:rsidR="00F13607">
        <w:t xml:space="preserve"> for th</w:t>
      </w:r>
      <w:r w:rsidR="00E844E5">
        <w:t>e</w:t>
      </w:r>
      <w:r w:rsidR="00F13607">
        <w:t>s</w:t>
      </w:r>
      <w:r w:rsidR="00E844E5">
        <w:t>e</w:t>
      </w:r>
      <w:r w:rsidR="00F13607">
        <w:t xml:space="preserve"> Division</w:t>
      </w:r>
      <w:r w:rsidR="00E844E5">
        <w:t>s</w:t>
      </w:r>
      <w:r w:rsidR="008A4969">
        <w:t>.</w:t>
      </w:r>
    </w:p>
    <w:p w14:paraId="5896BDE6" w14:textId="77777777" w:rsidR="00D220F1" w:rsidRDefault="00D220F1" w:rsidP="00AA6B18">
      <w:pPr>
        <w:pStyle w:val="Hiddentext"/>
      </w:pPr>
      <w:r>
        <w:t>Do not remove section break.</w:t>
      </w:r>
    </w:p>
    <w:p w14:paraId="2A000170" w14:textId="77777777" w:rsidR="00D220F1" w:rsidRDefault="00D220F1" w:rsidP="00AA6B18">
      <w:pPr>
        <w:sectPr w:rsidR="00D220F1" w:rsidSect="00AA6B18">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6BECA877" w14:textId="33795B8A" w:rsidR="004F3BAA" w:rsidRPr="00F51A71" w:rsidRDefault="004F3BAA" w:rsidP="00CE142B">
      <w:pPr>
        <w:pStyle w:val="ChapterHeading"/>
        <w:tabs>
          <w:tab w:val="clear" w:pos="1134"/>
          <w:tab w:val="num" w:pos="360"/>
        </w:tabs>
      </w:pPr>
      <w:r w:rsidRPr="00F51A71">
        <w:br/>
      </w:r>
      <w:bookmarkStart w:id="4" w:name="_Toc485738668"/>
      <w:r>
        <w:t>ASIC rule making powers</w:t>
      </w:r>
      <w:bookmarkEnd w:id="4"/>
    </w:p>
    <w:p w14:paraId="7107D257" w14:textId="77777777" w:rsidR="004F3BAA" w:rsidRDefault="004F3BAA" w:rsidP="00CE142B">
      <w:pPr>
        <w:pStyle w:val="Heading2"/>
      </w:pPr>
      <w:r>
        <w:t>Outline of chapter</w:t>
      </w:r>
    </w:p>
    <w:p w14:paraId="541D5036" w14:textId="3DD1C40B" w:rsidR="004F3BAA" w:rsidRDefault="00CA358D" w:rsidP="00CE142B">
      <w:pPr>
        <w:pStyle w:val="base-text-paragraph"/>
      </w:pPr>
      <w:r>
        <w:t xml:space="preserve">ASIC is given the power to make rules </w:t>
      </w:r>
      <w:r w:rsidR="005A471A">
        <w:t xml:space="preserve">setting out in detail </w:t>
      </w:r>
      <w:r w:rsidR="00ED6589">
        <w:t>the requirements that apply to the</w:t>
      </w:r>
      <w:r w:rsidR="005A471A">
        <w:t xml:space="preserve"> financial benchmarks that are subject to the licensing regime.</w:t>
      </w:r>
    </w:p>
    <w:p w14:paraId="7BCDF6CC" w14:textId="77777777" w:rsidR="004F3BAA" w:rsidRDefault="004F3BAA" w:rsidP="00CE142B">
      <w:pPr>
        <w:pStyle w:val="Heading2"/>
      </w:pPr>
      <w:r>
        <w:t>Summary of new law</w:t>
      </w:r>
    </w:p>
    <w:p w14:paraId="2781F243" w14:textId="34E2C11D" w:rsidR="004F3BAA" w:rsidRDefault="005A471A" w:rsidP="00CE142B">
      <w:pPr>
        <w:pStyle w:val="base-text-paragraph"/>
      </w:pPr>
      <w:r>
        <w:t xml:space="preserve">ASIC may make </w:t>
      </w:r>
      <w:r w:rsidR="00885966" w:rsidRPr="00885966">
        <w:rPr>
          <w:b/>
          <w:i/>
        </w:rPr>
        <w:t>financial b</w:t>
      </w:r>
      <w:r w:rsidR="00243A4E" w:rsidRPr="00885966">
        <w:rPr>
          <w:b/>
          <w:i/>
        </w:rPr>
        <w:t>enchmark rules</w:t>
      </w:r>
      <w:r w:rsidR="00243A4E">
        <w:t xml:space="preserve"> setting out in detail </w:t>
      </w:r>
      <w:r w:rsidR="0035446D">
        <w:t>the requirements that apply to the</w:t>
      </w:r>
      <w:r w:rsidR="00243A4E">
        <w:t xml:space="preserve"> financial benchmarks that are subject to the licensing regime. ASIC may also make </w:t>
      </w:r>
      <w:r w:rsidR="00243A4E" w:rsidRPr="00885966">
        <w:rPr>
          <w:b/>
          <w:i/>
        </w:rPr>
        <w:t>comp</w:t>
      </w:r>
      <w:r w:rsidR="00885966" w:rsidRPr="00885966">
        <w:rPr>
          <w:b/>
          <w:i/>
        </w:rPr>
        <w:t>elled financial</w:t>
      </w:r>
      <w:r w:rsidR="00243A4E" w:rsidRPr="00885966">
        <w:rPr>
          <w:b/>
          <w:i/>
        </w:rPr>
        <w:t xml:space="preserve"> benchmark rules</w:t>
      </w:r>
      <w:r w:rsidR="00243A4E">
        <w:t xml:space="preserve"> that can require an entity to provide information to a </w:t>
      </w:r>
      <w:r w:rsidR="003660EF">
        <w:t xml:space="preserve">significant </w:t>
      </w:r>
      <w:r w:rsidR="00243A4E">
        <w:t>benchmark administrator licensee</w:t>
      </w:r>
      <w:r w:rsidR="00911A75">
        <w:t xml:space="preserve"> or ASIC</w:t>
      </w:r>
      <w:r w:rsidR="00243A4E">
        <w:t xml:space="preserve">, or require a benchmark administrator licensee to continue operating a </w:t>
      </w:r>
      <w:r w:rsidR="003660EF">
        <w:t xml:space="preserve">significant </w:t>
      </w:r>
      <w:r w:rsidR="00243A4E">
        <w:t>financial benchmark specified in its licence.</w:t>
      </w:r>
    </w:p>
    <w:p w14:paraId="19AC75B0" w14:textId="5E9BEA2E" w:rsidR="00243A4E" w:rsidRDefault="0078512A" w:rsidP="00CE142B">
      <w:pPr>
        <w:pStyle w:val="base-text-paragraph"/>
      </w:pPr>
      <w:r>
        <w:t>Obligations are imposed on ASIC in making the rules, including an obligation to have regard to certain matters and to consult</w:t>
      </w:r>
      <w:r w:rsidR="002B59D0">
        <w:t xml:space="preserve"> publicly</w:t>
      </w:r>
      <w:r>
        <w:t>.</w:t>
      </w:r>
    </w:p>
    <w:p w14:paraId="135605C1" w14:textId="42F29EF2" w:rsidR="0078512A" w:rsidRPr="008F726E" w:rsidRDefault="0078512A" w:rsidP="00CE142B">
      <w:pPr>
        <w:pStyle w:val="base-text-paragraph"/>
      </w:pPr>
      <w:r>
        <w:t>A compliance and enforcement regime is established, including offences, civil penalties and alternatives to civil penalties such as enforceable undertakings and infringement notices.</w:t>
      </w:r>
    </w:p>
    <w:p w14:paraId="3F37BB72" w14:textId="77777777" w:rsidR="004F3BAA" w:rsidRDefault="004F3BAA" w:rsidP="00CE14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4F3BAA" w:rsidRPr="004666B8" w14:paraId="0ABBDFD0" w14:textId="77777777" w:rsidTr="00CE142B">
        <w:tc>
          <w:tcPr>
            <w:tcW w:w="3275" w:type="dxa"/>
          </w:tcPr>
          <w:p w14:paraId="581EECB7" w14:textId="77777777" w:rsidR="004F3BAA" w:rsidRPr="004666B8" w:rsidRDefault="004F3BAA" w:rsidP="00CE142B">
            <w:pPr>
              <w:pStyle w:val="tableheaderwithintable"/>
              <w:rPr>
                <w:lang w:val="en-US" w:eastAsia="en-US"/>
              </w:rPr>
            </w:pPr>
            <w:r w:rsidRPr="004666B8">
              <w:rPr>
                <w:lang w:val="en-US" w:eastAsia="en-US"/>
              </w:rPr>
              <w:t>New law</w:t>
            </w:r>
          </w:p>
        </w:tc>
        <w:tc>
          <w:tcPr>
            <w:tcW w:w="3276" w:type="dxa"/>
          </w:tcPr>
          <w:p w14:paraId="356BFC54" w14:textId="77777777" w:rsidR="004F3BAA" w:rsidRPr="004666B8" w:rsidRDefault="004F3BAA" w:rsidP="00CE142B">
            <w:pPr>
              <w:pStyle w:val="tableheaderwithintable"/>
              <w:rPr>
                <w:lang w:val="en-US" w:eastAsia="en-US"/>
              </w:rPr>
            </w:pPr>
            <w:r w:rsidRPr="004666B8">
              <w:rPr>
                <w:lang w:val="en-US" w:eastAsia="en-US"/>
              </w:rPr>
              <w:t>Current law</w:t>
            </w:r>
          </w:p>
        </w:tc>
      </w:tr>
      <w:tr w:rsidR="004F3BAA" w:rsidRPr="004666B8" w14:paraId="436DE420" w14:textId="77777777" w:rsidTr="00CE142B">
        <w:tc>
          <w:tcPr>
            <w:tcW w:w="3275" w:type="dxa"/>
          </w:tcPr>
          <w:p w14:paraId="4673917C" w14:textId="2C1C01E5" w:rsidR="00C13FFA" w:rsidRPr="00C13FFA" w:rsidRDefault="00C13FFA" w:rsidP="00C13FFA">
            <w:pPr>
              <w:pStyle w:val="tabletext"/>
              <w:rPr>
                <w:lang w:val="en-US" w:eastAsia="en-US"/>
              </w:rPr>
            </w:pPr>
            <w:r w:rsidRPr="00C13FFA">
              <w:rPr>
                <w:lang w:val="en-US" w:eastAsia="en-US"/>
              </w:rPr>
              <w:t xml:space="preserve">ASIC may make </w:t>
            </w:r>
            <w:r w:rsidR="00885966">
              <w:rPr>
                <w:lang w:val="en-US" w:eastAsia="en-US"/>
              </w:rPr>
              <w:t xml:space="preserve">financial </w:t>
            </w:r>
            <w:r w:rsidRPr="00885966">
              <w:rPr>
                <w:lang w:val="en-US" w:eastAsia="en-US"/>
              </w:rPr>
              <w:t xml:space="preserve">benchmark </w:t>
            </w:r>
            <w:r w:rsidR="003B28A0">
              <w:rPr>
                <w:lang w:val="en-US" w:eastAsia="en-US"/>
              </w:rPr>
              <w:t xml:space="preserve">rules </w:t>
            </w:r>
            <w:r w:rsidRPr="00C13FFA">
              <w:rPr>
                <w:lang w:val="en-US" w:eastAsia="en-US"/>
              </w:rPr>
              <w:t xml:space="preserve">setting out in detail </w:t>
            </w:r>
            <w:r w:rsidR="003B28A0">
              <w:rPr>
                <w:lang w:val="en-US" w:eastAsia="en-US"/>
              </w:rPr>
              <w:t>the requirements that apply to the</w:t>
            </w:r>
            <w:r w:rsidRPr="00C13FFA">
              <w:rPr>
                <w:lang w:val="en-US" w:eastAsia="en-US"/>
              </w:rPr>
              <w:t xml:space="preserve"> financial benchmarks that are subject to the licensing regime. ASIC may also make </w:t>
            </w:r>
            <w:r w:rsidRPr="00885966">
              <w:rPr>
                <w:lang w:val="en-US" w:eastAsia="en-US"/>
              </w:rPr>
              <w:t>comp</w:t>
            </w:r>
            <w:r w:rsidR="00885966" w:rsidRPr="00885966">
              <w:rPr>
                <w:lang w:val="en-US" w:eastAsia="en-US"/>
              </w:rPr>
              <w:t>elled financial</w:t>
            </w:r>
            <w:r w:rsidRPr="00885966">
              <w:rPr>
                <w:lang w:val="en-US" w:eastAsia="en-US"/>
              </w:rPr>
              <w:t xml:space="preserve"> benchmark rules</w:t>
            </w:r>
            <w:r w:rsidRPr="00C13FFA">
              <w:rPr>
                <w:lang w:val="en-US" w:eastAsia="en-US"/>
              </w:rPr>
              <w:t xml:space="preserve"> that can require an entity to provide information to a </w:t>
            </w:r>
            <w:r w:rsidR="003660EF">
              <w:rPr>
                <w:lang w:val="en-US" w:eastAsia="en-US"/>
              </w:rPr>
              <w:t xml:space="preserve">significant </w:t>
            </w:r>
            <w:r w:rsidRPr="00C13FFA">
              <w:rPr>
                <w:lang w:val="en-US" w:eastAsia="en-US"/>
              </w:rPr>
              <w:t>benchmark administrator licensee</w:t>
            </w:r>
            <w:r w:rsidR="00911A75">
              <w:rPr>
                <w:lang w:val="en-US" w:eastAsia="en-US"/>
              </w:rPr>
              <w:t xml:space="preserve"> or ASIC</w:t>
            </w:r>
            <w:r w:rsidRPr="00C13FFA">
              <w:rPr>
                <w:lang w:val="en-US" w:eastAsia="en-US"/>
              </w:rPr>
              <w:t xml:space="preserve">, or require a benchmark administrator licensee to continue operating a </w:t>
            </w:r>
            <w:r w:rsidR="003660EF">
              <w:rPr>
                <w:lang w:val="en-US" w:eastAsia="en-US"/>
              </w:rPr>
              <w:t xml:space="preserve">significant </w:t>
            </w:r>
            <w:r w:rsidRPr="00C13FFA">
              <w:rPr>
                <w:lang w:val="en-US" w:eastAsia="en-US"/>
              </w:rPr>
              <w:t xml:space="preserve">financial benchmark specified in its </w:t>
            </w:r>
            <w:proofErr w:type="spellStart"/>
            <w:r w:rsidRPr="00C13FFA">
              <w:rPr>
                <w:lang w:val="en-US" w:eastAsia="en-US"/>
              </w:rPr>
              <w:t>licence</w:t>
            </w:r>
            <w:proofErr w:type="spellEnd"/>
            <w:r w:rsidRPr="00C13FFA">
              <w:rPr>
                <w:lang w:val="en-US" w:eastAsia="en-US"/>
              </w:rPr>
              <w:t>.</w:t>
            </w:r>
          </w:p>
          <w:p w14:paraId="5AA116CA" w14:textId="4F81CD26" w:rsidR="00C13FFA" w:rsidRPr="00C13FFA" w:rsidRDefault="00C13FFA" w:rsidP="00C13FFA">
            <w:pPr>
              <w:pStyle w:val="tabletext"/>
              <w:rPr>
                <w:lang w:val="en-US" w:eastAsia="en-US"/>
              </w:rPr>
            </w:pPr>
            <w:r w:rsidRPr="00C13FFA">
              <w:rPr>
                <w:lang w:val="en-US" w:eastAsia="en-US"/>
              </w:rPr>
              <w:t>Obligations are imposed on ASIC in making the rules, including an obligation to have regard to certain matters and to consult.</w:t>
            </w:r>
          </w:p>
          <w:p w14:paraId="6485D200" w14:textId="74E77F67" w:rsidR="004F3BAA" w:rsidRPr="004666B8" w:rsidRDefault="00C13FFA" w:rsidP="00A0686D">
            <w:pPr>
              <w:pStyle w:val="tabletext"/>
              <w:rPr>
                <w:lang w:val="en-US" w:eastAsia="en-US"/>
              </w:rPr>
            </w:pPr>
            <w:r w:rsidRPr="00C13FFA">
              <w:rPr>
                <w:lang w:val="en-US" w:eastAsia="en-US"/>
              </w:rPr>
              <w:t>A compliance and enforcement regime is established, including offences, civil penalties and alternatives to civil pen</w:t>
            </w:r>
            <w:r>
              <w:rPr>
                <w:lang w:val="en-US" w:eastAsia="en-US"/>
              </w:rPr>
              <w:t>alties</w:t>
            </w:r>
            <w:r w:rsidRPr="00C13FFA">
              <w:rPr>
                <w:lang w:val="en-US" w:eastAsia="en-US"/>
              </w:rPr>
              <w:t>.</w:t>
            </w:r>
          </w:p>
        </w:tc>
        <w:tc>
          <w:tcPr>
            <w:tcW w:w="3276" w:type="dxa"/>
          </w:tcPr>
          <w:p w14:paraId="7CD646FA" w14:textId="7E43B21C" w:rsidR="004F3BAA" w:rsidRPr="004666B8" w:rsidRDefault="00C13FFA" w:rsidP="00CE142B">
            <w:pPr>
              <w:pStyle w:val="tabletext"/>
              <w:rPr>
                <w:lang w:val="en-US" w:eastAsia="en-US"/>
              </w:rPr>
            </w:pPr>
            <w:r>
              <w:rPr>
                <w:lang w:val="en-US" w:eastAsia="en-US"/>
              </w:rPr>
              <w:t>No current law.</w:t>
            </w:r>
          </w:p>
        </w:tc>
      </w:tr>
    </w:tbl>
    <w:p w14:paraId="69D56A7A" w14:textId="77777777" w:rsidR="004F3BAA" w:rsidRDefault="004F3BAA" w:rsidP="00CE142B">
      <w:pPr>
        <w:pStyle w:val="Heading2"/>
      </w:pPr>
      <w:r>
        <w:t>Detailed explanation of new law</w:t>
      </w:r>
    </w:p>
    <w:p w14:paraId="7C4FF037" w14:textId="77777777" w:rsidR="000C1D87" w:rsidRDefault="000C1D87" w:rsidP="000C1D87">
      <w:pPr>
        <w:pStyle w:val="Heading3"/>
      </w:pPr>
      <w:r>
        <w:t>Schedule 1 – Amendments</w:t>
      </w:r>
    </w:p>
    <w:p w14:paraId="21BF5635" w14:textId="77777777" w:rsidR="000C1D87" w:rsidRDefault="000C1D87" w:rsidP="000C1D87">
      <w:pPr>
        <w:pStyle w:val="Heading4"/>
      </w:pPr>
      <w:r>
        <w:t>Part 1 – Main amendments</w:t>
      </w:r>
    </w:p>
    <w:p w14:paraId="6D5EFF11" w14:textId="5FD8AA92" w:rsidR="00051EAB" w:rsidRDefault="00051EAB" w:rsidP="00051EAB">
      <w:pPr>
        <w:pStyle w:val="Heading5"/>
      </w:pPr>
      <w:r>
        <w:t xml:space="preserve">Division 3 – </w:t>
      </w:r>
      <w:r w:rsidR="00885966">
        <w:t>Financial b</w:t>
      </w:r>
      <w:r>
        <w:t>enchmark rules and comp</w:t>
      </w:r>
      <w:r w:rsidR="00885966">
        <w:t>elled financial</w:t>
      </w:r>
      <w:r>
        <w:t xml:space="preserve"> benchmark rules</w:t>
      </w:r>
    </w:p>
    <w:p w14:paraId="706C28C8" w14:textId="412548E2" w:rsidR="00051EAB" w:rsidRDefault="00051EAB" w:rsidP="00051EAB">
      <w:pPr>
        <w:pStyle w:val="Heading6"/>
      </w:pPr>
      <w:r>
        <w:t xml:space="preserve">Subdivision A – Power to make </w:t>
      </w:r>
      <w:r w:rsidR="00885966">
        <w:t xml:space="preserve">financial </w:t>
      </w:r>
      <w:r>
        <w:t>benchmark rules</w:t>
      </w:r>
    </w:p>
    <w:p w14:paraId="0065795F" w14:textId="4DAA1EC4" w:rsidR="00051EAB" w:rsidRDefault="00411032" w:rsidP="00051EAB">
      <w:pPr>
        <w:pStyle w:val="base-text-paragraph"/>
      </w:pPr>
      <w:r>
        <w:t xml:space="preserve">ASIC may make </w:t>
      </w:r>
      <w:r w:rsidR="00064227" w:rsidRPr="00064227">
        <w:rPr>
          <w:b/>
          <w:i/>
        </w:rPr>
        <w:t>financial b</w:t>
      </w:r>
      <w:r w:rsidRPr="00064227">
        <w:rPr>
          <w:b/>
          <w:i/>
        </w:rPr>
        <w:t>enchmark rules</w:t>
      </w:r>
      <w:r w:rsidR="007665E5">
        <w:t xml:space="preserve"> as permitted by the Bill. Such rules are legislative instruments and are therefore subject to parliamentary disallowance. </w:t>
      </w:r>
      <w:r w:rsidR="007665E5">
        <w:rPr>
          <w:rStyle w:val="Referencingstyle"/>
        </w:rPr>
        <w:t>[Sched</w:t>
      </w:r>
      <w:r w:rsidR="00366315">
        <w:rPr>
          <w:rStyle w:val="Referencingstyle"/>
        </w:rPr>
        <w:t>u</w:t>
      </w:r>
      <w:r w:rsidR="007665E5">
        <w:rPr>
          <w:rStyle w:val="Referencingstyle"/>
        </w:rPr>
        <w:t>le 1, item 1, section 908CA]</w:t>
      </w:r>
      <w:r w:rsidR="007665E5">
        <w:t xml:space="preserve"> </w:t>
      </w:r>
    </w:p>
    <w:p w14:paraId="4FF47071" w14:textId="0BA849A6" w:rsidR="007665E5" w:rsidRDefault="00C15FA2" w:rsidP="00051EAB">
      <w:pPr>
        <w:pStyle w:val="base-text-paragraph"/>
      </w:pPr>
      <w:r>
        <w:t>The main matters that the rules may deal with include the following:</w:t>
      </w:r>
    </w:p>
    <w:p w14:paraId="2282B6B7" w14:textId="1E4E385C" w:rsidR="00C15FA2" w:rsidRDefault="00A0686D" w:rsidP="00C15FA2">
      <w:pPr>
        <w:pStyle w:val="dotpoint"/>
      </w:pPr>
      <w:r>
        <w:t>t</w:t>
      </w:r>
      <w:r w:rsidR="00C15FA2">
        <w:t>he responsibilities of benchmark administrator licensees, and their governance, management and resources;</w:t>
      </w:r>
    </w:p>
    <w:p w14:paraId="27368049" w14:textId="5C08D903" w:rsidR="00C15FA2" w:rsidRDefault="00A0686D" w:rsidP="00C15FA2">
      <w:pPr>
        <w:pStyle w:val="dotpoint"/>
      </w:pPr>
      <w:r>
        <w:t>t</w:t>
      </w:r>
      <w:r w:rsidR="00C15FA2">
        <w:t>he generation</w:t>
      </w:r>
      <w:r w:rsidR="00C04A7A">
        <w:t xml:space="preserve"> and administration of financial benchmarks;</w:t>
      </w:r>
    </w:p>
    <w:p w14:paraId="6C621143" w14:textId="1613EB35" w:rsidR="007F179C" w:rsidRDefault="00A0686D" w:rsidP="00C15FA2">
      <w:pPr>
        <w:pStyle w:val="dotpoint"/>
      </w:pPr>
      <w:r>
        <w:t>t</w:t>
      </w:r>
      <w:r w:rsidR="007F179C">
        <w:t xml:space="preserve">he manner in which licensees provide their services, and the conditions </w:t>
      </w:r>
      <w:r w:rsidR="007F179C" w:rsidRPr="00064227">
        <w:t>(including fees)</w:t>
      </w:r>
      <w:r w:rsidR="007F179C">
        <w:t xml:space="preserve"> on which they provide access to their benchmarks</w:t>
      </w:r>
      <w:r w:rsidR="00895884">
        <w:t>, which may include requirements to provide open and non-discriminatory access</w:t>
      </w:r>
      <w:r w:rsidR="00064227">
        <w:t>, including with regard to price</w:t>
      </w:r>
      <w:r w:rsidR="007F179C">
        <w:t>;</w:t>
      </w:r>
    </w:p>
    <w:p w14:paraId="64C2C572" w14:textId="338D7267" w:rsidR="007F179C" w:rsidRDefault="00A0686D" w:rsidP="00C15FA2">
      <w:pPr>
        <w:pStyle w:val="dotpoint"/>
      </w:pPr>
      <w:r>
        <w:t>b</w:t>
      </w:r>
      <w:r w:rsidR="00895884">
        <w:t>usiness continuity planning</w:t>
      </w:r>
      <w:r w:rsidR="006B2EED">
        <w:t xml:space="preserve"> for financial benchmarks</w:t>
      </w:r>
      <w:r w:rsidR="00895884">
        <w:t xml:space="preserve">, including the possible transition of </w:t>
      </w:r>
      <w:r w:rsidR="006B2EED">
        <w:t xml:space="preserve">such </w:t>
      </w:r>
      <w:r w:rsidR="00895884">
        <w:t>benchmarks to new licensees;</w:t>
      </w:r>
    </w:p>
    <w:p w14:paraId="4DD11304" w14:textId="139C5B36" w:rsidR="00895884" w:rsidRDefault="00A0686D" w:rsidP="00C15FA2">
      <w:pPr>
        <w:pStyle w:val="dotpoint"/>
      </w:pPr>
      <w:r>
        <w:t>t</w:t>
      </w:r>
      <w:r w:rsidR="00895884">
        <w:t>he disclosure of the conditions (including fees) applying to the licensee’s services;</w:t>
      </w:r>
    </w:p>
    <w:p w14:paraId="2B11F55E" w14:textId="1CEAC1C9" w:rsidR="00895884" w:rsidRDefault="00A0686D" w:rsidP="00C15FA2">
      <w:pPr>
        <w:pStyle w:val="dotpoint"/>
      </w:pPr>
      <w:r>
        <w:t>t</w:t>
      </w:r>
      <w:r w:rsidR="00895884">
        <w:t>he handling and use of information held by the licensee;</w:t>
      </w:r>
    </w:p>
    <w:p w14:paraId="5EC49D11" w14:textId="5D9D68CD" w:rsidR="00412C12" w:rsidRDefault="00412C12" w:rsidP="00C15FA2">
      <w:pPr>
        <w:pStyle w:val="dotpoint"/>
      </w:pPr>
      <w:r>
        <w:t>the responsibilities of entities that directly or indirectly provide data or information to licensed benchmark administrators for use in the generation or administration of their benchmarks;</w:t>
      </w:r>
    </w:p>
    <w:p w14:paraId="54173080" w14:textId="44AEDD19" w:rsidR="00895884" w:rsidRDefault="00A0686D" w:rsidP="00C15FA2">
      <w:pPr>
        <w:pStyle w:val="dotpoint"/>
      </w:pPr>
      <w:r>
        <w:t>r</w:t>
      </w:r>
      <w:r w:rsidR="00895884">
        <w:t>eporting to ASIC and other regulators; and</w:t>
      </w:r>
    </w:p>
    <w:p w14:paraId="4B90AD48" w14:textId="0783F511" w:rsidR="00895884" w:rsidRDefault="00A0686D" w:rsidP="00C15FA2">
      <w:pPr>
        <w:pStyle w:val="dotpoint"/>
      </w:pPr>
      <w:r>
        <w:t>a</w:t>
      </w:r>
      <w:r w:rsidR="00895884">
        <w:t xml:space="preserve">ny matters prescribed by regulations. </w:t>
      </w:r>
      <w:r w:rsidR="00AD5670">
        <w:rPr>
          <w:rStyle w:val="Referencingstyle"/>
        </w:rPr>
        <w:t>[Schedule 1, item 1, section 908CB]</w:t>
      </w:r>
      <w:r w:rsidR="00AD5670">
        <w:t xml:space="preserve"> </w:t>
      </w:r>
    </w:p>
    <w:p w14:paraId="3B62B5C5" w14:textId="0EF52DEA" w:rsidR="004F3BAA" w:rsidRPr="002C4C6F" w:rsidRDefault="006D2B3A" w:rsidP="00CE142B">
      <w:pPr>
        <w:pStyle w:val="base-text-paragraph"/>
      </w:pPr>
      <w:r>
        <w:t xml:space="preserve">The rules may also address matters that </w:t>
      </w:r>
      <w:r w:rsidR="006B2EED">
        <w:t xml:space="preserve">are </w:t>
      </w:r>
      <w:r>
        <w:t xml:space="preserve">incidental or related to the matters set out in section </w:t>
      </w:r>
      <w:r w:rsidRPr="002C4C6F">
        <w:t>980CB, including the following:</w:t>
      </w:r>
    </w:p>
    <w:p w14:paraId="026B4C10" w14:textId="3761F39E" w:rsidR="006D2B3A" w:rsidRDefault="00A0686D" w:rsidP="006D2B3A">
      <w:pPr>
        <w:pStyle w:val="dotpoint"/>
      </w:pPr>
      <w:r w:rsidRPr="002C4C6F">
        <w:t>t</w:t>
      </w:r>
      <w:r w:rsidR="006D2B3A" w:rsidRPr="002C4C6F">
        <w:t>he persons who are required to comply with the rules, subject to any exemptions provided by regulations made under section 908CP</w:t>
      </w:r>
      <w:r w:rsidR="006D2B3A">
        <w:t>;</w:t>
      </w:r>
    </w:p>
    <w:p w14:paraId="37D534BF" w14:textId="660F3569" w:rsidR="006D2B3A" w:rsidRDefault="00A0686D" w:rsidP="006D2B3A">
      <w:pPr>
        <w:pStyle w:val="dotpoint"/>
      </w:pPr>
      <w:r>
        <w:t>t</w:t>
      </w:r>
      <w:r w:rsidR="006D2B3A">
        <w:t>he manner and form in which such persons must comply;</w:t>
      </w:r>
    </w:p>
    <w:p w14:paraId="2978A434" w14:textId="7AE932FB" w:rsidR="006D2B3A" w:rsidRDefault="00A0686D" w:rsidP="006D2B3A">
      <w:pPr>
        <w:pStyle w:val="dotpoint"/>
      </w:pPr>
      <w:r>
        <w:t>t</w:t>
      </w:r>
      <w:r w:rsidR="006D2B3A">
        <w:t>he circumstances in which relief may be provided from the rules;</w:t>
      </w:r>
    </w:p>
    <w:p w14:paraId="497F257A" w14:textId="1278DA48" w:rsidR="006D2B3A" w:rsidRDefault="00A0686D" w:rsidP="006D2B3A">
      <w:pPr>
        <w:pStyle w:val="dotpoint"/>
      </w:pPr>
      <w:r>
        <w:t>r</w:t>
      </w:r>
      <w:r w:rsidR="006D2B3A">
        <w:t>ecord-keeping requirements; and</w:t>
      </w:r>
    </w:p>
    <w:p w14:paraId="52A9C20E" w14:textId="2142671D" w:rsidR="006D2B3A" w:rsidRDefault="00A0686D" w:rsidP="006D2B3A">
      <w:pPr>
        <w:pStyle w:val="dotpoint"/>
      </w:pPr>
      <w:r>
        <w:t>a</w:t>
      </w:r>
      <w:r w:rsidR="006D2B3A">
        <w:t xml:space="preserve">ny other matters prescribed in the Corporations Act. </w:t>
      </w:r>
      <w:r w:rsidR="006D2B3A">
        <w:rPr>
          <w:rStyle w:val="Referencingstyle"/>
        </w:rPr>
        <w:t>[Schedule 1, item 1, section 908CC]</w:t>
      </w:r>
      <w:r w:rsidR="006D2B3A">
        <w:t xml:space="preserve"> </w:t>
      </w:r>
    </w:p>
    <w:p w14:paraId="02DBE1C6" w14:textId="34EB7FA4" w:rsidR="006D2B3A" w:rsidRDefault="007D00E5" w:rsidP="007D00E5">
      <w:pPr>
        <w:pStyle w:val="Heading6"/>
      </w:pPr>
      <w:r>
        <w:t xml:space="preserve">Subdivision B – Power to make </w:t>
      </w:r>
      <w:r w:rsidR="007F79C5">
        <w:t>compelled financial</w:t>
      </w:r>
      <w:r>
        <w:t xml:space="preserve"> benchmark rules</w:t>
      </w:r>
    </w:p>
    <w:p w14:paraId="05E3E1DE" w14:textId="10104B5B" w:rsidR="007D00E5" w:rsidRDefault="00814AEE" w:rsidP="00CE142B">
      <w:pPr>
        <w:pStyle w:val="base-text-paragraph"/>
      </w:pPr>
      <w:r>
        <w:t xml:space="preserve">ASIC is allowed to make </w:t>
      </w:r>
      <w:r w:rsidR="007F79C5">
        <w:rPr>
          <w:b/>
          <w:i/>
        </w:rPr>
        <w:t>compelled financial</w:t>
      </w:r>
      <w:r w:rsidRPr="002F7DC1">
        <w:rPr>
          <w:b/>
          <w:i/>
        </w:rPr>
        <w:t xml:space="preserve"> benchmark rules</w:t>
      </w:r>
      <w:r>
        <w:t xml:space="preserve"> as set out in the Bill</w:t>
      </w:r>
      <w:r w:rsidR="00233C45">
        <w:t xml:space="preserve"> </w:t>
      </w:r>
      <w:r w:rsidR="00233C45">
        <w:rPr>
          <w:rStyle w:val="Referencingstyle"/>
        </w:rPr>
        <w:t>[Schedule 1, item 1, section 908CD].</w:t>
      </w:r>
      <w:r>
        <w:t xml:space="preserve"> </w:t>
      </w:r>
      <w:r w:rsidR="002F7DC1" w:rsidRPr="002F7DC1">
        <w:t>Ordinarily, entities participating in the markets underlying a financial benchmark would be expected to voluntarily contribute to the benchmark setting process</w:t>
      </w:r>
      <w:r w:rsidR="008A6F6D">
        <w:t>, for example</w:t>
      </w:r>
      <w:r w:rsidR="002F7DC1" w:rsidRPr="002F7DC1">
        <w:t xml:space="preserve"> by quoting prices on a trading venue</w:t>
      </w:r>
      <w:r w:rsidR="008A6F6D">
        <w:t>, trading in certain products on a trading venue,</w:t>
      </w:r>
      <w:r w:rsidR="002F7DC1" w:rsidRPr="002F7DC1">
        <w:t xml:space="preserve"> </w:t>
      </w:r>
      <w:r w:rsidR="008A6F6D">
        <w:t>and/</w:t>
      </w:r>
      <w:r w:rsidR="002F7DC1" w:rsidRPr="002F7DC1">
        <w:t xml:space="preserve">or submitting prices to the </w:t>
      </w:r>
      <w:r w:rsidR="002F7DC1">
        <w:t>b</w:t>
      </w:r>
      <w:r w:rsidR="002F7DC1" w:rsidRPr="002F7DC1">
        <w:t xml:space="preserve">enchmark </w:t>
      </w:r>
      <w:r w:rsidR="002F7DC1">
        <w:t>a</w:t>
      </w:r>
      <w:r w:rsidR="002F7DC1" w:rsidRPr="002F7DC1">
        <w:t xml:space="preserve">dministrator. </w:t>
      </w:r>
      <w:r w:rsidR="002F7DC1">
        <w:t xml:space="preserve">Benchmark administrators would in the ordinary course of business be expected to continue operating their benchmarks. </w:t>
      </w:r>
      <w:r w:rsidR="002F7DC1" w:rsidRPr="002F7DC1">
        <w:t xml:space="preserve">However, in rare and exceptional cases, a benchmark could cease to be published due to benchmark participants or the </w:t>
      </w:r>
      <w:r w:rsidR="002F7DC1">
        <w:t>a</w:t>
      </w:r>
      <w:r w:rsidR="002F7DC1" w:rsidRPr="002F7DC1">
        <w:t xml:space="preserve">dministrator being unwilling to perform their responsibilities. In these circumstances, to prevent the disruption that would result from the sudden cessation of the benchmark, it may be necessary for ASIC to compel participants to submit </w:t>
      </w:r>
      <w:r w:rsidR="008A6F6D">
        <w:t>data or information</w:t>
      </w:r>
      <w:r w:rsidR="002F7DC1" w:rsidRPr="002F7DC1">
        <w:t xml:space="preserve"> to the </w:t>
      </w:r>
      <w:r w:rsidR="002F7DC1">
        <w:t>a</w:t>
      </w:r>
      <w:r w:rsidR="002F7DC1" w:rsidRPr="002F7DC1">
        <w:t xml:space="preserve">dministrator, or to compel the </w:t>
      </w:r>
      <w:r w:rsidR="002F7DC1">
        <w:t>a</w:t>
      </w:r>
      <w:r w:rsidR="002F7DC1" w:rsidRPr="002F7DC1">
        <w:t xml:space="preserve">dministrator to continue to </w:t>
      </w:r>
      <w:r w:rsidR="00B07CFA">
        <w:t xml:space="preserve">generate and </w:t>
      </w:r>
      <w:r w:rsidR="002F7DC1" w:rsidRPr="002F7DC1">
        <w:t>administer the benchmark. This compulsion power would need to be implemented quickly, since the disruption resulting from the cessation of a benchmark such as BBSW would occur as soon as the benchmark is not published on its usual daily schedule.</w:t>
      </w:r>
      <w:r w:rsidR="002F7DC1">
        <w:t xml:space="preserve"> The </w:t>
      </w:r>
      <w:r w:rsidR="00B07CFA">
        <w:t>compelled financial</w:t>
      </w:r>
      <w:r w:rsidR="002F7DC1">
        <w:t xml:space="preserve"> benchmark rules permitted in the Bill are intended to address these </w:t>
      </w:r>
      <w:r w:rsidR="006B2EED">
        <w:t xml:space="preserve">rare and </w:t>
      </w:r>
      <w:r w:rsidR="002F7DC1">
        <w:t>exceptional circumstances.</w:t>
      </w:r>
    </w:p>
    <w:p w14:paraId="21B47EBB" w14:textId="0EB61A78" w:rsidR="00814AEE" w:rsidRDefault="00814AEE" w:rsidP="00CE142B">
      <w:pPr>
        <w:pStyle w:val="base-text-paragraph"/>
      </w:pPr>
      <w:r>
        <w:t xml:space="preserve">The permitted </w:t>
      </w:r>
      <w:r w:rsidR="00A32584">
        <w:t xml:space="preserve">ASIC </w:t>
      </w:r>
      <w:r>
        <w:t xml:space="preserve">powers and matters </w:t>
      </w:r>
      <w:r w:rsidR="006B2EED">
        <w:t>that may be dealt with in</w:t>
      </w:r>
      <w:r>
        <w:t xml:space="preserve"> the</w:t>
      </w:r>
      <w:r w:rsidR="00810C11">
        <w:t xml:space="preserve"> compelled financial benchmark</w:t>
      </w:r>
      <w:r>
        <w:t xml:space="preserve"> rules are:</w:t>
      </w:r>
    </w:p>
    <w:p w14:paraId="21BDBF0C" w14:textId="42128887" w:rsidR="000C6633" w:rsidRDefault="00167BF0" w:rsidP="00814AEE">
      <w:pPr>
        <w:pStyle w:val="dotpoint"/>
      </w:pPr>
      <w:r>
        <w:t>a</w:t>
      </w:r>
      <w:r w:rsidR="00A32584">
        <w:t xml:space="preserve"> power for ASIC to </w:t>
      </w:r>
      <w:r w:rsidR="00BC2366">
        <w:t xml:space="preserve">give a written notice </w:t>
      </w:r>
      <w:r w:rsidR="00A32584">
        <w:t>requir</w:t>
      </w:r>
      <w:r w:rsidR="00BC2366">
        <w:t>ing</w:t>
      </w:r>
      <w:r w:rsidR="00A32584">
        <w:t xml:space="preserve"> an entity </w:t>
      </w:r>
      <w:r w:rsidR="000C6633">
        <w:t>referred to in paragraph 90</w:t>
      </w:r>
      <w:r w:rsidR="00F612CB">
        <w:t>8</w:t>
      </w:r>
      <w:r w:rsidR="000C6633">
        <w:t xml:space="preserve">CB(h) </w:t>
      </w:r>
      <w:r w:rsidR="00A32584">
        <w:t xml:space="preserve">to </w:t>
      </w:r>
      <w:r w:rsidR="000C6633">
        <w:t xml:space="preserve">continue </w:t>
      </w:r>
      <w:r w:rsidR="00A32584">
        <w:t>provid</w:t>
      </w:r>
      <w:r w:rsidR="000C6633">
        <w:t>ing</w:t>
      </w:r>
      <w:r w:rsidR="00A32584">
        <w:t xml:space="preserve"> information to a benchmark administrator licensee relating to the </w:t>
      </w:r>
      <w:r w:rsidR="00BC2366">
        <w:t xml:space="preserve">generation and </w:t>
      </w:r>
      <w:r w:rsidR="00A32584">
        <w:t xml:space="preserve">operation of a </w:t>
      </w:r>
      <w:r w:rsidR="00CB0515">
        <w:t xml:space="preserve">significant </w:t>
      </w:r>
      <w:r w:rsidR="00A32584">
        <w:t>financial benchmark</w:t>
      </w:r>
      <w:r w:rsidR="00E04155">
        <w:t>. Such information could include transaction data, quotes or opinions and views, including those based on expert judgement</w:t>
      </w:r>
      <w:r w:rsidR="000C6633">
        <w:t>. The notice may also require the entity to provide that information to ASIC</w:t>
      </w:r>
      <w:r w:rsidR="00A32584">
        <w:t>;</w:t>
      </w:r>
    </w:p>
    <w:p w14:paraId="764731F2" w14:textId="0D4711F7" w:rsidR="00A32584" w:rsidRDefault="00167BF0" w:rsidP="00814AEE">
      <w:pPr>
        <w:pStyle w:val="dotpoint"/>
      </w:pPr>
      <w:r>
        <w:t>a</w:t>
      </w:r>
      <w:r w:rsidR="00A32584">
        <w:t xml:space="preserve"> power for ASIC to compel</w:t>
      </w:r>
      <w:r w:rsidR="00BC2366">
        <w:t xml:space="preserve"> by written notice</w:t>
      </w:r>
      <w:r w:rsidR="00A32584">
        <w:t xml:space="preserve"> a benchmark administrator licensee to continue operating a </w:t>
      </w:r>
      <w:r w:rsidR="00CB0515">
        <w:t xml:space="preserve">significant </w:t>
      </w:r>
      <w:r w:rsidR="00A32584">
        <w:t xml:space="preserve">financial benchmark specified in its licence, or </w:t>
      </w:r>
      <w:r w:rsidR="004C2314">
        <w:t>to</w:t>
      </w:r>
      <w:r w:rsidR="00A32584">
        <w:t xml:space="preserve"> operat</w:t>
      </w:r>
      <w:r w:rsidR="004C2314">
        <w:t>e the</w:t>
      </w:r>
      <w:r w:rsidR="00A32584">
        <w:t xml:space="preserve"> benchmark in in a particular way; and</w:t>
      </w:r>
    </w:p>
    <w:p w14:paraId="3323AD77" w14:textId="0BEE4671" w:rsidR="00E04155" w:rsidRDefault="00A32584" w:rsidP="00814AEE">
      <w:pPr>
        <w:pStyle w:val="dotpoint"/>
      </w:pPr>
      <w:r>
        <w:t xml:space="preserve">incidental powers and matters, including those prescribed in regulations. </w:t>
      </w:r>
    </w:p>
    <w:p w14:paraId="2F829890" w14:textId="0543FFE2" w:rsidR="00A32584" w:rsidRDefault="00E04155" w:rsidP="00E04155">
      <w:pPr>
        <w:pStyle w:val="base-text-paragraphnonumbers"/>
      </w:pPr>
      <w:r>
        <w:t>ASIC may only impose a requirement as permitted under the powers set out above if it reasonably believes it to be in the public interest to do so.</w:t>
      </w:r>
      <w:r w:rsidR="00CB1C05">
        <w:t xml:space="preserve"> </w:t>
      </w:r>
      <w:r w:rsidR="0003246C">
        <w:t xml:space="preserve">It is noted that any notice given by ASIC as permitted above is not a legislative instrument </w:t>
      </w:r>
      <w:r w:rsidR="002D7897">
        <w:t xml:space="preserve">because the decision to give the notice will be reviewable under the </w:t>
      </w:r>
      <w:r w:rsidR="002D7897" w:rsidRPr="002D7897">
        <w:rPr>
          <w:i/>
        </w:rPr>
        <w:t>Administrative Decisions (Judicial Review) Act 1977</w:t>
      </w:r>
      <w:r w:rsidR="002D7897">
        <w:t xml:space="preserve"> </w:t>
      </w:r>
      <w:r w:rsidR="00C05B32">
        <w:t>(see</w:t>
      </w:r>
      <w:r w:rsidR="002D7897">
        <w:t xml:space="preserve"> paragraph (a) in table item 19 in </w:t>
      </w:r>
      <w:r w:rsidR="00C05B32">
        <w:t>sub</w:t>
      </w:r>
      <w:r w:rsidR="002D7897">
        <w:t xml:space="preserve">section 6(1) of the </w:t>
      </w:r>
      <w:r w:rsidR="002D7897">
        <w:rPr>
          <w:i/>
        </w:rPr>
        <w:t>Legislation (Exemptions and Other Matters) Regulation 2015</w:t>
      </w:r>
      <w:r w:rsidR="00C05B32">
        <w:t>)</w:t>
      </w:r>
      <w:r w:rsidR="002D7897">
        <w:rPr>
          <w:i/>
        </w:rPr>
        <w:t>.</w:t>
      </w:r>
      <w:r w:rsidR="002D7897">
        <w:t xml:space="preserve"> </w:t>
      </w:r>
      <w:r w:rsidR="00CB1C05">
        <w:rPr>
          <w:rStyle w:val="Referencingstyle"/>
        </w:rPr>
        <w:t>[Schedule 1, item 1, section 908CE]</w:t>
      </w:r>
      <w:r w:rsidR="00CB1C05">
        <w:t xml:space="preserve"> </w:t>
      </w:r>
    </w:p>
    <w:p w14:paraId="0B7721B2" w14:textId="56335B5A" w:rsidR="00814AEE" w:rsidRDefault="00CB1C05" w:rsidP="00CB1C05">
      <w:pPr>
        <w:pStyle w:val="Heading6"/>
      </w:pPr>
      <w:r>
        <w:t>Subdivision C – Compliance with each set of rules</w:t>
      </w:r>
    </w:p>
    <w:p w14:paraId="618C15F6" w14:textId="72270119" w:rsidR="00CB1C05" w:rsidRDefault="00513E22" w:rsidP="00CE142B">
      <w:pPr>
        <w:pStyle w:val="base-text-paragraph"/>
      </w:pPr>
      <w:r>
        <w:t xml:space="preserve">Any entity, whether it is a benchmark administrator licensee or not, that is subject to the </w:t>
      </w:r>
      <w:r w:rsidR="008F2845">
        <w:t xml:space="preserve">financial </w:t>
      </w:r>
      <w:r>
        <w:t xml:space="preserve">benchmark rules or the </w:t>
      </w:r>
      <w:r w:rsidR="008F2845">
        <w:t>compelled financial</w:t>
      </w:r>
      <w:r>
        <w:t xml:space="preserve"> benchmark rules must comply with them. A civil penalty applies to breaches of this provision</w:t>
      </w:r>
      <w:r w:rsidR="00DA236D">
        <w:t xml:space="preserve">. The primary objective of the civil penalty is to act as a deterrent, which is achieved by imposing a high maximum amount for the penalty, being </w:t>
      </w:r>
      <w:r w:rsidR="00E556A6">
        <w:t xml:space="preserve">5,500 penalty units or </w:t>
      </w:r>
      <w:r w:rsidR="00DA236D">
        <w:t>approximately $1 million dollars</w:t>
      </w:r>
      <w:r>
        <w:t xml:space="preserve"> (for details see </w:t>
      </w:r>
      <w:r w:rsidR="006B2EED">
        <w:t>paragraph</w:t>
      </w:r>
      <w:r w:rsidR="00DA236D">
        <w:t xml:space="preserve">s </w:t>
      </w:r>
      <w:r w:rsidR="00DA236D" w:rsidRPr="00655F3B">
        <w:t>3.</w:t>
      </w:r>
      <w:r w:rsidR="009D139C" w:rsidRPr="00655F3B">
        <w:t>22</w:t>
      </w:r>
      <w:r w:rsidR="00DA236D" w:rsidRPr="00655F3B">
        <w:t xml:space="preserve"> and</w:t>
      </w:r>
      <w:r w:rsidR="006B2EED" w:rsidRPr="00655F3B">
        <w:t xml:space="preserve"> 3.</w:t>
      </w:r>
      <w:r w:rsidR="009D139C" w:rsidRPr="00655F3B">
        <w:t>38</w:t>
      </w:r>
      <w:r w:rsidR="006B2EED" w:rsidRPr="00655F3B">
        <w:t xml:space="preserve"> below</w:t>
      </w:r>
      <w:r w:rsidRPr="00655F3B">
        <w:t>).</w:t>
      </w:r>
      <w:r w:rsidR="009D139C" w:rsidRPr="00655F3B">
        <w:t xml:space="preserve"> While this is a </w:t>
      </w:r>
      <w:r w:rsidR="00E556A6" w:rsidRPr="00655F3B">
        <w:t>substantial penalty</w:t>
      </w:r>
      <w:r w:rsidR="009D139C" w:rsidRPr="00655F3B">
        <w:t>, it is justified in view of the potentially grave impact of misconduct in this area (see paragraph 3.22</w:t>
      </w:r>
      <w:r w:rsidR="009D139C">
        <w:t xml:space="preserve"> below for more comment</w:t>
      </w:r>
      <w:r w:rsidR="00CF3DB8">
        <w:t>s</w:t>
      </w:r>
      <w:r w:rsidR="009D139C">
        <w:t xml:space="preserve"> in relation to the penalty</w:t>
      </w:r>
      <w:r w:rsidR="00CF3DB8">
        <w:t xml:space="preserve"> amount</w:t>
      </w:r>
      <w:r w:rsidR="009D139C">
        <w:t>).</w:t>
      </w:r>
      <w:r>
        <w:t xml:space="preserve"> </w:t>
      </w:r>
      <w:r>
        <w:rPr>
          <w:rStyle w:val="Referencingstyle"/>
        </w:rPr>
        <w:t>[Schedule 1, item 1, subsection 908CF(1)]</w:t>
      </w:r>
      <w:r>
        <w:t xml:space="preserve"> </w:t>
      </w:r>
    </w:p>
    <w:p w14:paraId="1A0BDCD9" w14:textId="41AF7A6D" w:rsidR="00513E22" w:rsidRDefault="00E45A18" w:rsidP="00CE142B">
      <w:pPr>
        <w:pStyle w:val="base-text-paragraph"/>
      </w:pPr>
      <w:r>
        <w:t xml:space="preserve">In case of an inconsistency the </w:t>
      </w:r>
      <w:r w:rsidR="008F2845">
        <w:t>compelled financial</w:t>
      </w:r>
      <w:r>
        <w:t xml:space="preserve"> benchmark rules prevail over the </w:t>
      </w:r>
      <w:r w:rsidR="008F2845">
        <w:t xml:space="preserve">financial </w:t>
      </w:r>
      <w:r>
        <w:t xml:space="preserve">benchmark rules. Other rules made under Chapter 7 of the Corporations Act prevail over the </w:t>
      </w:r>
      <w:r w:rsidR="008F2845">
        <w:t xml:space="preserve">financial </w:t>
      </w:r>
      <w:r>
        <w:t xml:space="preserve">benchmark rules and the </w:t>
      </w:r>
      <w:r w:rsidR="008F2845">
        <w:t>compelled financial</w:t>
      </w:r>
      <w:r>
        <w:t xml:space="preserve"> benchmark rules in the case of an inconsistency. These rules include the market integrity rules, the derivative transaction rules, the derivative trade repository rules and the client money reporting rules.</w:t>
      </w:r>
      <w:r w:rsidR="001C2F6E">
        <w:t xml:space="preserve"> </w:t>
      </w:r>
      <w:r w:rsidR="001C2F6E">
        <w:rPr>
          <w:rStyle w:val="Referencingstyle"/>
        </w:rPr>
        <w:t>[Schedule 1, item 1, subsections 908CF(2) and (3)]</w:t>
      </w:r>
      <w:r w:rsidR="001C2F6E">
        <w:t xml:space="preserve"> </w:t>
      </w:r>
    </w:p>
    <w:p w14:paraId="4DEB4EDF" w14:textId="77EE27C4" w:rsidR="001B0342" w:rsidRPr="001B0342" w:rsidRDefault="001B0342" w:rsidP="008F2845">
      <w:pPr>
        <w:pStyle w:val="base-text-paragraph"/>
      </w:pPr>
      <w:r w:rsidRPr="001B0342">
        <w:t xml:space="preserve">The regulations may allow for alternatives to civil penalty proceedings for a person who is alleged to have breached the </w:t>
      </w:r>
      <w:r w:rsidR="008F2845">
        <w:t xml:space="preserve">financial </w:t>
      </w:r>
      <w:r>
        <w:t xml:space="preserve">benchmark or the </w:t>
      </w:r>
      <w:r w:rsidR="008F2845">
        <w:t>compelled financial</w:t>
      </w:r>
      <w:r>
        <w:t xml:space="preserve"> benchmark</w:t>
      </w:r>
      <w:r w:rsidRPr="001B0342">
        <w:t xml:space="preserve"> rules. The potential alternatives that may be provided for are limited to: processes for paying a penalty to the Commonwealth (limited to one-fifth the penalty amount specified in the rules</w:t>
      </w:r>
      <w:r w:rsidR="006B2EED">
        <w:t>)</w:t>
      </w:r>
      <w:r w:rsidRPr="001B0342">
        <w:t xml:space="preserve">; undertaking or instituting remedial measures (including education programs); </w:t>
      </w:r>
      <w:r w:rsidR="008F2845">
        <w:t xml:space="preserve">or </w:t>
      </w:r>
      <w:r w:rsidRPr="001B0342">
        <w:t>accepting sanctions other than the payment of a penalty to the Commonwealth</w:t>
      </w:r>
      <w:r w:rsidR="00D96333">
        <w:t xml:space="preserve">. </w:t>
      </w:r>
      <w:r w:rsidR="008F2845">
        <w:t xml:space="preserve">The penalty payable under regulations made for this purpose in relation to the rules is capped at one-fifth of the maximum penalty payable under the rules (being </w:t>
      </w:r>
      <w:r w:rsidR="008F2845" w:rsidRPr="008F2845">
        <w:t xml:space="preserve">5,550 penalty units, which is </w:t>
      </w:r>
      <w:r w:rsidR="00756CCC">
        <w:t>approximately</w:t>
      </w:r>
      <w:r w:rsidR="008F2845" w:rsidRPr="008F2845">
        <w:t xml:space="preserve"> $1 million</w:t>
      </w:r>
      <w:r w:rsidR="008F2845">
        <w:t>).</w:t>
      </w:r>
      <w:r w:rsidR="003F2E34">
        <w:t xml:space="preserve"> It is noted that a</w:t>
      </w:r>
      <w:r w:rsidR="003F2E34" w:rsidRPr="003F2E34">
        <w:t xml:space="preserve"> person </w:t>
      </w:r>
      <w:r w:rsidR="003F2E34">
        <w:t xml:space="preserve">would </w:t>
      </w:r>
      <w:r w:rsidR="003F2E34" w:rsidRPr="003F2E34">
        <w:t>remain free to reject the proposed alternative and deal with the matter in civil proceedings before a court.</w:t>
      </w:r>
      <w:r w:rsidRPr="001B0342">
        <w:t xml:space="preserve"> </w:t>
      </w:r>
      <w:r w:rsidR="000821D5">
        <w:rPr>
          <w:rStyle w:val="Referencingstyle"/>
        </w:rPr>
        <w:t>[Schedule 1, item 1, section 908CG]</w:t>
      </w:r>
      <w:r w:rsidR="000821D5">
        <w:t xml:space="preserve"> </w:t>
      </w:r>
    </w:p>
    <w:p w14:paraId="50F204B9" w14:textId="5C410AA9" w:rsidR="001C2F6E" w:rsidRDefault="00450183" w:rsidP="009D139C">
      <w:pPr>
        <w:pStyle w:val="base-text-paragraph"/>
        <w:numPr>
          <w:ilvl w:val="1"/>
          <w:numId w:val="33"/>
        </w:numPr>
      </w:pPr>
      <w:r>
        <w:t xml:space="preserve">Breaches of the </w:t>
      </w:r>
      <w:r w:rsidR="00AE394C">
        <w:t xml:space="preserve">financial </w:t>
      </w:r>
      <w:r w:rsidRPr="00450183">
        <w:t xml:space="preserve">benchmark or the </w:t>
      </w:r>
      <w:r w:rsidR="00AE394C">
        <w:t>compelled financial</w:t>
      </w:r>
      <w:r w:rsidRPr="00450183">
        <w:t xml:space="preserve"> benchmark rules</w:t>
      </w:r>
      <w:r>
        <w:t xml:space="preserve"> are also subject to the infringement notice regime in Part 5 of the</w:t>
      </w:r>
      <w:r w:rsidR="000C78DA">
        <w:t xml:space="preserve"> </w:t>
      </w:r>
      <w:r w:rsidR="000C78DA" w:rsidRPr="009D139C">
        <w:rPr>
          <w:i/>
          <w:lang w:val="en-US" w:eastAsia="en-US"/>
        </w:rPr>
        <w:t>Regulatory Powers (Standard Provisions) Act 2014</w:t>
      </w:r>
      <w:r>
        <w:t xml:space="preserve"> </w:t>
      </w:r>
      <w:r w:rsidR="000C78DA">
        <w:t xml:space="preserve">(the </w:t>
      </w:r>
      <w:r>
        <w:t>Regulatory Powers Act</w:t>
      </w:r>
      <w:r w:rsidR="000C78DA">
        <w:t>)</w:t>
      </w:r>
      <w:r>
        <w:t xml:space="preserve">. </w:t>
      </w:r>
      <w:r w:rsidR="00B66266">
        <w:t>Because the rules may prescribe detailed operational matters, minor breaches may be expected to occur</w:t>
      </w:r>
      <w:r w:rsidR="008B2A7A">
        <w:t xml:space="preserve"> with some frequency</w:t>
      </w:r>
      <w:r w:rsidR="00B66266">
        <w:t xml:space="preserve">. </w:t>
      </w:r>
      <w:r w:rsidR="007469B7" w:rsidRPr="00AE394C">
        <w:t>For this reason</w:t>
      </w:r>
      <w:r w:rsidR="00AE394C">
        <w:t xml:space="preserve"> the Regulatory Powers Act sets out</w:t>
      </w:r>
      <w:r w:rsidR="007469B7" w:rsidRPr="00AE394C">
        <w:t xml:space="preserve"> a maximum penalty of 60 penalty units</w:t>
      </w:r>
      <w:r w:rsidR="00AE394C">
        <w:t xml:space="preserve"> that can be imposed in an infringement notice</w:t>
      </w:r>
      <w:r w:rsidR="007469B7">
        <w:t xml:space="preserve">, which is the amount set out in </w:t>
      </w:r>
      <w:r w:rsidR="00705D97">
        <w:rPr>
          <w:i/>
        </w:rPr>
        <w:t xml:space="preserve">A </w:t>
      </w:r>
      <w:r w:rsidR="00705D97" w:rsidRPr="007469B7">
        <w:rPr>
          <w:i/>
        </w:rPr>
        <w:t>Guide to Framing Commonwealth Offences, Infringement Notices and Enforcement Power</w:t>
      </w:r>
      <w:r w:rsidR="00705D97" w:rsidRPr="007469B7">
        <w:t>s</w:t>
      </w:r>
      <w:r w:rsidR="00705D97">
        <w:t>, issued by the Attorney General’s Department</w:t>
      </w:r>
      <w:r w:rsidR="007469B7">
        <w:t xml:space="preserve"> </w:t>
      </w:r>
      <w:r w:rsidR="00705D97">
        <w:t>(the</w:t>
      </w:r>
      <w:r w:rsidR="007469B7">
        <w:t xml:space="preserve"> Guide</w:t>
      </w:r>
      <w:r w:rsidR="00705D97">
        <w:t>)</w:t>
      </w:r>
      <w:r w:rsidR="007469B7">
        <w:t xml:space="preserve">. </w:t>
      </w:r>
      <w:r w:rsidR="00B66266">
        <w:t>Infringement notices are an efficient way of dealing with minor breaches, as they avoid the significant delays and cost</w:t>
      </w:r>
      <w:r w:rsidR="000C78DA">
        <w:t xml:space="preserve">s associated with court action. </w:t>
      </w:r>
      <w:r w:rsidR="000C78DA">
        <w:rPr>
          <w:rStyle w:val="Referencingstyle"/>
        </w:rPr>
        <w:t xml:space="preserve">[Schedule 1, item 1, </w:t>
      </w:r>
      <w:r w:rsidR="00932D93">
        <w:rPr>
          <w:rStyle w:val="Referencingstyle"/>
        </w:rPr>
        <w:t>sub</w:t>
      </w:r>
      <w:r w:rsidR="000C78DA">
        <w:rPr>
          <w:rStyle w:val="Referencingstyle"/>
        </w:rPr>
        <w:t>section</w:t>
      </w:r>
      <w:r w:rsidR="00932D93">
        <w:rPr>
          <w:rStyle w:val="Referencingstyle"/>
        </w:rPr>
        <w:t xml:space="preserve"> </w:t>
      </w:r>
      <w:r w:rsidR="000C78DA">
        <w:rPr>
          <w:rStyle w:val="Referencingstyle"/>
        </w:rPr>
        <w:t>908CH</w:t>
      </w:r>
      <w:r w:rsidR="00932D93">
        <w:rPr>
          <w:rStyle w:val="Referencingstyle"/>
        </w:rPr>
        <w:t>(1)</w:t>
      </w:r>
      <w:r w:rsidR="000C78DA">
        <w:rPr>
          <w:rStyle w:val="Referencingstyle"/>
        </w:rPr>
        <w:t>]</w:t>
      </w:r>
      <w:r w:rsidR="000C78DA">
        <w:t xml:space="preserve"> </w:t>
      </w:r>
    </w:p>
    <w:p w14:paraId="0B6A10C4" w14:textId="34571EE2" w:rsidR="000C78DA" w:rsidRDefault="000C78DA" w:rsidP="00CE142B">
      <w:pPr>
        <w:pStyle w:val="base-text-paragraph"/>
      </w:pPr>
      <w:r>
        <w:t>Part 5 of the Regulatory Powers Act sets out a standard framework under which infringement notices can be issued. Th</w:t>
      </w:r>
      <w:r w:rsidR="00756CCC">
        <w:t>is includes</w:t>
      </w:r>
      <w:r>
        <w:t xml:space="preserve"> important matters such as when an infringement notice may be issued and by whom, what matters must be set out in an infringement notice, how an extension of time for payment may be requested, how and under what circumstances an infringement notice may be withdrawn, and the effect and consequences if a person pays the amount stated in the notice.</w:t>
      </w:r>
      <w:r w:rsidR="006A3E9C">
        <w:t xml:space="preserve"> In order for the framework to operate as intended the Bill sets out who in ASIC can act as an </w:t>
      </w:r>
      <w:r w:rsidR="006A3E9C" w:rsidRPr="006A3E9C">
        <w:rPr>
          <w:b/>
          <w:i/>
        </w:rPr>
        <w:t>infringement officer</w:t>
      </w:r>
      <w:r w:rsidR="006A3E9C">
        <w:t xml:space="preserve"> as defined in the Regulatory Powers Act (any ASIC officer with a position equivalent to that of a member of the Senior Executive Service in the Commonwealth public service) and as a </w:t>
      </w:r>
      <w:r w:rsidR="006A3E9C" w:rsidRPr="006A3E9C">
        <w:rPr>
          <w:b/>
          <w:i/>
        </w:rPr>
        <w:t>chief executive</w:t>
      </w:r>
      <w:r w:rsidR="006A3E9C">
        <w:t xml:space="preserve"> (any member of the ASIC Commission</w:t>
      </w:r>
      <w:r w:rsidR="00932D93">
        <w:t xml:space="preserve">, ASIC’s governing body). </w:t>
      </w:r>
      <w:r w:rsidR="00932D93">
        <w:rPr>
          <w:rStyle w:val="Referencingstyle"/>
        </w:rPr>
        <w:t>[Schedule 1, item 1, subsections 908CH(2) and (3)]</w:t>
      </w:r>
      <w:r w:rsidR="00932D93">
        <w:t xml:space="preserve"> </w:t>
      </w:r>
    </w:p>
    <w:p w14:paraId="09E2AD0E" w14:textId="1C77662D" w:rsidR="00932D93" w:rsidRDefault="004E3AC8" w:rsidP="004E3AC8">
      <w:pPr>
        <w:pStyle w:val="base-text-paragraph"/>
      </w:pPr>
      <w:r w:rsidRPr="004E3AC8">
        <w:t xml:space="preserve">Breaches of the </w:t>
      </w:r>
      <w:r w:rsidR="00AE394C">
        <w:t xml:space="preserve">financial </w:t>
      </w:r>
      <w:r w:rsidRPr="004E3AC8">
        <w:t xml:space="preserve">benchmark or the </w:t>
      </w:r>
      <w:r w:rsidR="00AE394C">
        <w:t>compelled financial</w:t>
      </w:r>
      <w:r w:rsidRPr="004E3AC8">
        <w:t xml:space="preserve"> benchmark rules</w:t>
      </w:r>
      <w:r>
        <w:t xml:space="preserve"> may also be addressed through enforceable undertakings, based on the general framework set out under Part 6 of the Regulatory Powers Act. This Part allows an </w:t>
      </w:r>
      <w:r w:rsidRPr="004E3AC8">
        <w:rPr>
          <w:b/>
          <w:i/>
        </w:rPr>
        <w:t>authorised person</w:t>
      </w:r>
      <w:r>
        <w:t xml:space="preserve"> in ASIC to accept a written undertaking to comply with a particular provision by taking or refraining from taking specified action. If an enforceable </w:t>
      </w:r>
      <w:r w:rsidR="008B2A7A">
        <w:t xml:space="preserve">undertaking </w:t>
      </w:r>
      <w:r>
        <w:t>is breached the authorised person may</w:t>
      </w:r>
      <w:r w:rsidR="006C1A77">
        <w:t xml:space="preserve"> apply to a </w:t>
      </w:r>
      <w:r w:rsidR="006C1A77" w:rsidRPr="006C1A77">
        <w:rPr>
          <w:b/>
          <w:i/>
        </w:rPr>
        <w:t>relevant court</w:t>
      </w:r>
      <w:r w:rsidR="006C1A77">
        <w:t xml:space="preserve"> for orders to comply with the undertaking, to pay an amount to the Commonwealth equivalent to any financial benefit that the person has obtained through the breach, to compensate any other person for damages suffered because of the breach, or for any other order the court considers appropriate. </w:t>
      </w:r>
      <w:r w:rsidR="006C1A77">
        <w:rPr>
          <w:rStyle w:val="Referencingstyle"/>
        </w:rPr>
        <w:t>[Schedule 1, item 1, subsection 908CI(1)]</w:t>
      </w:r>
      <w:r w:rsidR="006C1A77">
        <w:t xml:space="preserve"> </w:t>
      </w:r>
    </w:p>
    <w:p w14:paraId="2BD0F579" w14:textId="5FC01A2D" w:rsidR="006C1A77" w:rsidRDefault="006C1A77" w:rsidP="006C1A77">
      <w:pPr>
        <w:pStyle w:val="base-text-paragraph"/>
      </w:pPr>
      <w:r>
        <w:t>A</w:t>
      </w:r>
      <w:r w:rsidRPr="006C1A77">
        <w:t>ny ASIC officer with a position equivalent to that of a member of the Senior Executive Service in the Commonwealth public service</w:t>
      </w:r>
      <w:r>
        <w:t xml:space="preserve"> is permitted to act as an authorised officer, and the relevant courts may include the Federal Court, the Federal Circuit Court or any State or Territory court with the necessary jurisdiction. </w:t>
      </w:r>
      <w:r>
        <w:rPr>
          <w:rStyle w:val="Referencingstyle"/>
        </w:rPr>
        <w:t>[Schedule 1, item 1, subsections 908CI(2) and (3)]</w:t>
      </w:r>
      <w:r>
        <w:t xml:space="preserve"> </w:t>
      </w:r>
    </w:p>
    <w:p w14:paraId="351E9149" w14:textId="2DBF6E85" w:rsidR="00AE394C" w:rsidRDefault="00AE394C" w:rsidP="006C1A77">
      <w:pPr>
        <w:pStyle w:val="base-text-paragraph"/>
      </w:pPr>
      <w:r w:rsidRPr="00AE394C">
        <w:t xml:space="preserve">Protection from civil or criminal action is given to a person who is </w:t>
      </w:r>
      <w:r>
        <w:t>required</w:t>
      </w:r>
      <w:r w:rsidRPr="00AE394C">
        <w:t xml:space="preserve"> under ASIC's </w:t>
      </w:r>
      <w:r>
        <w:t>compelled financial benchmark</w:t>
      </w:r>
      <w:r w:rsidRPr="00AE394C">
        <w:t xml:space="preserve"> rules to provide </w:t>
      </w:r>
      <w:r>
        <w:t>financial benchmark data or other</w:t>
      </w:r>
      <w:r w:rsidRPr="00AE394C">
        <w:t xml:space="preserve"> information</w:t>
      </w:r>
      <w:r>
        <w:t>,</w:t>
      </w:r>
      <w:r w:rsidRPr="00AE394C">
        <w:t xml:space="preserve"> or </w:t>
      </w:r>
      <w:r>
        <w:t xml:space="preserve">to </w:t>
      </w:r>
      <w:r w:rsidRPr="00AE394C">
        <w:t xml:space="preserve">provide access to </w:t>
      </w:r>
      <w:r>
        <w:t>such</w:t>
      </w:r>
      <w:r w:rsidRPr="00AE394C">
        <w:t xml:space="preserve"> information. </w:t>
      </w:r>
      <w:r w:rsidRPr="00AE394C">
        <w:rPr>
          <w:rStyle w:val="Referencingstyle"/>
        </w:rPr>
        <w:t>[Schedule 1, item 1, section 908</w:t>
      </w:r>
      <w:r>
        <w:rPr>
          <w:rStyle w:val="Referencingstyle"/>
        </w:rPr>
        <w:t>CJ</w:t>
      </w:r>
      <w:r w:rsidRPr="00AE394C">
        <w:rPr>
          <w:rStyle w:val="Referencingstyle"/>
        </w:rPr>
        <w:t>]</w:t>
      </w:r>
      <w:r w:rsidRPr="00AE394C">
        <w:t xml:space="preserve"> </w:t>
      </w:r>
    </w:p>
    <w:p w14:paraId="40F091BC" w14:textId="34C57589" w:rsidR="006C1A77" w:rsidRDefault="006C1A77" w:rsidP="006C1A77">
      <w:pPr>
        <w:pStyle w:val="Heading6"/>
      </w:pPr>
      <w:r>
        <w:t>Subdivision D – Matters relating to the making of each set of rules</w:t>
      </w:r>
    </w:p>
    <w:p w14:paraId="61EF4F63" w14:textId="7A1615F9" w:rsidR="006C1A77" w:rsidRDefault="00D767C5" w:rsidP="00D767C5">
      <w:pPr>
        <w:pStyle w:val="base-text-paragraph"/>
      </w:pPr>
      <w:r>
        <w:t xml:space="preserve">Before making a </w:t>
      </w:r>
      <w:r w:rsidR="00317DF9">
        <w:t xml:space="preserve">financial </w:t>
      </w:r>
      <w:r w:rsidR="00317DF9" w:rsidRPr="007D3B6F">
        <w:t>benchmark</w:t>
      </w:r>
      <w:r w:rsidR="00317DF9">
        <w:t xml:space="preserve"> </w:t>
      </w:r>
      <w:r w:rsidR="00317DF9" w:rsidRPr="007D3B6F">
        <w:t>or comp</w:t>
      </w:r>
      <w:r w:rsidR="00317DF9">
        <w:t>elled financial</w:t>
      </w:r>
      <w:r w:rsidR="00317DF9" w:rsidRPr="007D3B6F">
        <w:t xml:space="preserve"> benchmark rule</w:t>
      </w:r>
      <w:r w:rsidR="00167BF0">
        <w:t>,</w:t>
      </w:r>
      <w:r>
        <w:t xml:space="preserve"> ASIC must consider a number of matters. These include the IOSCO Principles, as amended from time to time</w:t>
      </w:r>
      <w:r w:rsidR="00FD4B49">
        <w:t xml:space="preserve"> (see </w:t>
      </w:r>
      <w:r w:rsidR="00FD4B49" w:rsidRPr="00655F3B">
        <w:t>paragraph 5.3 for further explanation of the power to incorporate by reference)</w:t>
      </w:r>
      <w:r w:rsidRPr="00655F3B">
        <w:t xml:space="preserve">, the likely effect of the rule on the Australian financial system, the regulatory burden imposed by the rule, and any other relevant matter. Information is provided in a note assisting the reader to locate the IOSCO Principles. Another note provides an example of other relevant matters </w:t>
      </w:r>
      <w:r w:rsidR="005652B1" w:rsidRPr="00655F3B">
        <w:t>including</w:t>
      </w:r>
      <w:r w:rsidRPr="00655F3B">
        <w:t xml:space="preserve"> matters raised during consultation as required under section 908C</w:t>
      </w:r>
      <w:r w:rsidR="005652B1" w:rsidRPr="00655F3B">
        <w:t>L</w:t>
      </w:r>
      <w:r w:rsidRPr="00655F3B">
        <w:t>.</w:t>
      </w:r>
      <w:r>
        <w:t xml:space="preserve"> </w:t>
      </w:r>
      <w:r>
        <w:rPr>
          <w:rStyle w:val="Referencingstyle"/>
        </w:rPr>
        <w:t>[Schedule 1, item 1, section 908C</w:t>
      </w:r>
      <w:r w:rsidR="005652B1">
        <w:rPr>
          <w:rStyle w:val="Referencingstyle"/>
        </w:rPr>
        <w:t>K</w:t>
      </w:r>
      <w:r>
        <w:rPr>
          <w:rStyle w:val="Referencingstyle"/>
        </w:rPr>
        <w:t>]</w:t>
      </w:r>
      <w:r>
        <w:t xml:space="preserve"> </w:t>
      </w:r>
    </w:p>
    <w:p w14:paraId="0D592388" w14:textId="0CC7A83F" w:rsidR="003C3757" w:rsidRDefault="00A55EFF" w:rsidP="003C3757">
      <w:pPr>
        <w:pStyle w:val="base-text-paragraph"/>
        <w:rPr>
          <w:sz w:val="24"/>
        </w:rPr>
      </w:pPr>
      <w:r>
        <w:t>ASIC must conduct public consultation on any proposed rule. Regulations may prescribe other persons or bodies that ASIC must consult. Consultation may be held by exposing the proposed rule on ASIC’s website, with an invitation to the public to comment. A failure to consult does not invalidate a rule.</w:t>
      </w:r>
      <w:r w:rsidR="008F0AE4">
        <w:t xml:space="preserve"> </w:t>
      </w:r>
      <w:r w:rsidR="003C3757">
        <w:t xml:space="preserve">While the Government fully expects ASIC to consult on every proposed rule, this provision </w:t>
      </w:r>
      <w:r w:rsidR="003C3757" w:rsidRPr="008A6F6D">
        <w:t>is designed to promote certainty among regulated entities by ensuring that a</w:t>
      </w:r>
      <w:r w:rsidR="008B2A7A" w:rsidRPr="008A6F6D">
        <w:t>n alleged</w:t>
      </w:r>
      <w:r w:rsidR="003C3757" w:rsidRPr="008A6F6D">
        <w:t xml:space="preserve"> technical failure to comply with the consultation requirements does not affect the validity of the rule. It also provides ASIC with the flexibility to use targeted consultation with affected stakeholders in appropriate situations</w:t>
      </w:r>
      <w:r w:rsidR="003C3757">
        <w:rPr>
          <w:sz w:val="24"/>
        </w:rPr>
        <w:t>.</w:t>
      </w:r>
      <w:r w:rsidR="00621C69">
        <w:rPr>
          <w:sz w:val="24"/>
        </w:rPr>
        <w:t xml:space="preserve"> </w:t>
      </w:r>
      <w:r w:rsidR="00621C69" w:rsidRPr="00C61C0B">
        <w:t xml:space="preserve">Furthermore, there are additional safeguards to ensure that ASIC undertakes proper consultation, including that the </w:t>
      </w:r>
      <w:r w:rsidR="00C61C0B">
        <w:t xml:space="preserve">financial </w:t>
      </w:r>
      <w:r w:rsidR="00C61C0B" w:rsidRPr="007D3B6F">
        <w:t>benchmark</w:t>
      </w:r>
      <w:r w:rsidR="00C61C0B">
        <w:t xml:space="preserve"> </w:t>
      </w:r>
      <w:r w:rsidR="00C61C0B" w:rsidRPr="007D3B6F">
        <w:t>or the comp</w:t>
      </w:r>
      <w:r w:rsidR="00C61C0B">
        <w:t>elled financial</w:t>
      </w:r>
      <w:r w:rsidR="00C61C0B" w:rsidRPr="007D3B6F">
        <w:t xml:space="preserve"> benchmark rules</w:t>
      </w:r>
      <w:r w:rsidR="00621C69" w:rsidRPr="00C61C0B">
        <w:t xml:space="preserve"> are disallowable by the Parliament. ASIC is also regularly called to appear before Parliamentary Committees to explain its actions</w:t>
      </w:r>
      <w:r w:rsidR="00621C69" w:rsidRPr="00621C69">
        <w:rPr>
          <w:sz w:val="24"/>
        </w:rPr>
        <w:t>.</w:t>
      </w:r>
      <w:r w:rsidR="003C3757">
        <w:rPr>
          <w:sz w:val="24"/>
        </w:rPr>
        <w:t xml:space="preserve"> </w:t>
      </w:r>
      <w:r w:rsidR="003C3757">
        <w:rPr>
          <w:rStyle w:val="Referencingstyle"/>
        </w:rPr>
        <w:t>[Schedule 1, item 1, section 908C</w:t>
      </w:r>
      <w:r w:rsidR="0070510D">
        <w:rPr>
          <w:rStyle w:val="Referencingstyle"/>
        </w:rPr>
        <w:t>L</w:t>
      </w:r>
      <w:r w:rsidR="003C3757">
        <w:rPr>
          <w:rStyle w:val="Referencingstyle"/>
        </w:rPr>
        <w:t>]</w:t>
      </w:r>
      <w:r w:rsidR="003C3757">
        <w:rPr>
          <w:sz w:val="24"/>
        </w:rPr>
        <w:t xml:space="preserve"> </w:t>
      </w:r>
    </w:p>
    <w:p w14:paraId="258AD700" w14:textId="5F0AF46E" w:rsidR="00D767C5" w:rsidRDefault="00BE0D46" w:rsidP="00BE0D46">
      <w:pPr>
        <w:pStyle w:val="base-text-paragraph"/>
      </w:pPr>
      <w:r>
        <w:t xml:space="preserve">The Minister must provide consent before ASIC makes a rule. </w:t>
      </w:r>
      <w:r w:rsidR="0070510D">
        <w:t xml:space="preserve">Such consent provided by the Minister is not a legislative instrument because it is an ‘approval’ and as such falls within the exemption in table items 4 and 5 in regulation 6 of the </w:t>
      </w:r>
      <w:r w:rsidR="0070510D" w:rsidRPr="0070510D">
        <w:rPr>
          <w:i/>
        </w:rPr>
        <w:t>Legislation (Exemptions and Other Matters) Regulation 2015</w:t>
      </w:r>
      <w:r w:rsidR="0070510D">
        <w:t>.</w:t>
      </w:r>
      <w:r>
        <w:t xml:space="preserve"> </w:t>
      </w:r>
      <w:r>
        <w:rPr>
          <w:rStyle w:val="Referencingstyle"/>
        </w:rPr>
        <w:t>[Schedule 1, item 1, section</w:t>
      </w:r>
      <w:r w:rsidR="008B2A7A">
        <w:rPr>
          <w:rStyle w:val="Referencingstyle"/>
        </w:rPr>
        <w:t xml:space="preserve"> </w:t>
      </w:r>
      <w:r>
        <w:rPr>
          <w:rStyle w:val="Referencingstyle"/>
        </w:rPr>
        <w:t>908C</w:t>
      </w:r>
      <w:r w:rsidR="0070510D">
        <w:rPr>
          <w:rStyle w:val="Referencingstyle"/>
        </w:rPr>
        <w:t>M</w:t>
      </w:r>
      <w:r>
        <w:rPr>
          <w:rStyle w:val="Referencingstyle"/>
        </w:rPr>
        <w:t>]</w:t>
      </w:r>
      <w:r>
        <w:t xml:space="preserve"> </w:t>
      </w:r>
    </w:p>
    <w:p w14:paraId="2F7498CA" w14:textId="18769D41" w:rsidR="00BE0D46" w:rsidRDefault="00BE0D46" w:rsidP="00BE0D46">
      <w:pPr>
        <w:pStyle w:val="base-text-paragraph"/>
      </w:pPr>
      <w:r>
        <w:t xml:space="preserve">ASIC may in emergency situations make a rule without obtaining the consent of the Minister. ASIC </w:t>
      </w:r>
      <w:r w:rsidR="00FD4B49">
        <w:t>may only make a rule without the consent of the Minister when it is</w:t>
      </w:r>
      <w:r>
        <w:t xml:space="preserve"> of the opinion that it is necessary or in the public interest to do so in order to protect the Australian economy or financial system, or the security or confidentiality of the information held by one or more financial benchmark administrators. ASIC must then write to the Minister on the following day explaining the need for the rule and, if directed to do so in writing by the Minister, amend or revoke the rule. </w:t>
      </w:r>
      <w:r w:rsidRPr="00BE0D46">
        <w:t xml:space="preserve">To assist readers an explanation is included that </w:t>
      </w:r>
      <w:r>
        <w:t>such a direction given</w:t>
      </w:r>
      <w:r w:rsidRPr="00BE0D46">
        <w:t xml:space="preserve"> by the Minister under this provision is not a legislative instrument. This does not constitute an actual exemption from the relevant provisions in the Legislation Act but is merely declaratory of the law as such</w:t>
      </w:r>
      <w:r>
        <w:t xml:space="preserve"> a direction</w:t>
      </w:r>
      <w:r w:rsidRPr="00BE0D46">
        <w:t xml:space="preserve"> is not a legislative instrument within the meaning of subsection (8)(1) of the Legislation Act.</w:t>
      </w:r>
      <w:r>
        <w:t xml:space="preserve"> </w:t>
      </w:r>
      <w:r>
        <w:rPr>
          <w:rStyle w:val="Referencingstyle"/>
        </w:rPr>
        <w:t>[Schedule 1, item 1, section 908C</w:t>
      </w:r>
      <w:r w:rsidR="0070510D">
        <w:rPr>
          <w:rStyle w:val="Referencingstyle"/>
        </w:rPr>
        <w:t>N</w:t>
      </w:r>
      <w:r>
        <w:rPr>
          <w:rStyle w:val="Referencingstyle"/>
        </w:rPr>
        <w:t>]</w:t>
      </w:r>
      <w:r>
        <w:t xml:space="preserve"> </w:t>
      </w:r>
    </w:p>
    <w:p w14:paraId="3DAEBF9C" w14:textId="12ABCA68" w:rsidR="00BE0D46" w:rsidRDefault="007D3B6F" w:rsidP="007D3B6F">
      <w:pPr>
        <w:pStyle w:val="base-text-paragraph"/>
      </w:pPr>
      <w:r>
        <w:t>T</w:t>
      </w:r>
      <w:r w:rsidRPr="007D3B6F">
        <w:t xml:space="preserve">he </w:t>
      </w:r>
      <w:r w:rsidR="00C61C0B">
        <w:t xml:space="preserve">financial </w:t>
      </w:r>
      <w:r w:rsidRPr="007D3B6F">
        <w:t>benchmark</w:t>
      </w:r>
      <w:r w:rsidR="00C61C0B">
        <w:t xml:space="preserve"> </w:t>
      </w:r>
      <w:r w:rsidRPr="007D3B6F">
        <w:t>or the comp</w:t>
      </w:r>
      <w:r w:rsidR="00C61C0B">
        <w:t>elled financial</w:t>
      </w:r>
      <w:r w:rsidRPr="007D3B6F">
        <w:t xml:space="preserve"> benchmark rules</w:t>
      </w:r>
      <w:r>
        <w:t xml:space="preserve"> may impose penalties up to an amount equivalent to 5,550 penalty units, which is roughly $1 million. This is a substantial penalty which is, however, justified by the potentially significant impact that misconduct of a serious nature may have, given the widespread use of financial benchmarks in the financial system. </w:t>
      </w:r>
      <w:r w:rsidR="008B2A7A">
        <w:t xml:space="preserve">It is noted that fines imposed in overseas jurisdictions for manipulation of benchmarks such as LIBOR have been far larger. </w:t>
      </w:r>
      <w:r>
        <w:t xml:space="preserve">This amount is similar to that imposed by other important rules such as the market integrity rules and the client money rules. </w:t>
      </w:r>
      <w:r>
        <w:rPr>
          <w:rStyle w:val="Referencingstyle"/>
        </w:rPr>
        <w:t>[Schedule 1, item 1, section 908C</w:t>
      </w:r>
      <w:r w:rsidR="0070510D">
        <w:rPr>
          <w:rStyle w:val="Referencingstyle"/>
        </w:rPr>
        <w:t>O</w:t>
      </w:r>
      <w:r>
        <w:rPr>
          <w:rStyle w:val="Referencingstyle"/>
        </w:rPr>
        <w:t>]</w:t>
      </w:r>
      <w:r>
        <w:t xml:space="preserve"> </w:t>
      </w:r>
    </w:p>
    <w:p w14:paraId="70F5D4BF" w14:textId="52562613" w:rsidR="0003619D" w:rsidRDefault="0003619D" w:rsidP="0003619D">
      <w:pPr>
        <w:pStyle w:val="base-text-paragraph"/>
      </w:pPr>
      <w:r>
        <w:t>Regulations may limit t</w:t>
      </w:r>
      <w:r w:rsidRPr="0003619D">
        <w:t xml:space="preserve">he </w:t>
      </w:r>
      <w:r>
        <w:t>matters dealt with</w:t>
      </w:r>
      <w:r w:rsidR="008B2A7A">
        <w:t xml:space="preserve"> in</w:t>
      </w:r>
      <w:r>
        <w:t xml:space="preserve"> the </w:t>
      </w:r>
      <w:r w:rsidR="00013FE0">
        <w:t xml:space="preserve">financial </w:t>
      </w:r>
      <w:r w:rsidRPr="0003619D">
        <w:t xml:space="preserve">benchmark or the </w:t>
      </w:r>
      <w:r w:rsidR="001C6F57">
        <w:t>compelled financial</w:t>
      </w:r>
      <w:r w:rsidRPr="0003619D">
        <w:t xml:space="preserve"> benchmark rules</w:t>
      </w:r>
      <w:r>
        <w:t>, the classes of persons captured by the rules, or the extent to which the rules may impose requirements on designated classes of persons.</w:t>
      </w:r>
      <w:r w:rsidR="00C21807">
        <w:t xml:space="preserve"> For example, regulations could limit the application of the rules in relation to public sector entities or index benchmarks, if doing so would harmonise the Australian regime with key overseas benchmarks regulatory regimes.</w:t>
      </w:r>
      <w:r>
        <w:t xml:space="preserve"> </w:t>
      </w:r>
      <w:r>
        <w:rPr>
          <w:rStyle w:val="Referencingstyle"/>
        </w:rPr>
        <w:t>[Schedule 1, item 1, section 908CP]</w:t>
      </w:r>
      <w:r>
        <w:t xml:space="preserve"> </w:t>
      </w:r>
    </w:p>
    <w:p w14:paraId="3A146F75" w14:textId="29934246" w:rsidR="0003619D" w:rsidRPr="008F726E" w:rsidRDefault="0003619D" w:rsidP="0003619D">
      <w:pPr>
        <w:pStyle w:val="base-text-paragraph"/>
      </w:pPr>
      <w:r>
        <w:t xml:space="preserve">ASIC may </w:t>
      </w:r>
      <w:r w:rsidR="001C6F57">
        <w:t>vary</w:t>
      </w:r>
      <w:r>
        <w:t xml:space="preserve"> or revoke a rule but only subject to the same conditions applying when it makes a rule, as set out in the </w:t>
      </w:r>
      <w:r w:rsidRPr="0003619D">
        <w:rPr>
          <w:i/>
        </w:rPr>
        <w:t>Acts Interpretation Act 1901</w:t>
      </w:r>
      <w:r>
        <w:t>. However, these conditions (such as the requirement to consult and for ministerial consent) do not apply if ASIC revokes or amends a rule pursuant to a direction given by the Minister under section 908C</w:t>
      </w:r>
      <w:r w:rsidR="001C6F57">
        <w:t>N</w:t>
      </w:r>
      <w:r>
        <w:t xml:space="preserve"> after ASIC makes an emergency rule. </w:t>
      </w:r>
      <w:r>
        <w:rPr>
          <w:rStyle w:val="Referencingstyle"/>
        </w:rPr>
        <w:t>[Schedule 1, item 1, section 908CQ]</w:t>
      </w:r>
      <w:r>
        <w:t xml:space="preserve"> </w:t>
      </w:r>
    </w:p>
    <w:p w14:paraId="54E40C2D" w14:textId="77777777" w:rsidR="004F3BAA" w:rsidRDefault="004F3BAA" w:rsidP="00CE142B">
      <w:pPr>
        <w:pStyle w:val="Heading2"/>
      </w:pPr>
      <w:r>
        <w:t>Consequential amendments</w:t>
      </w:r>
    </w:p>
    <w:p w14:paraId="4BB3EA5F" w14:textId="4B9AECFE" w:rsidR="004F3BAA" w:rsidRDefault="00346524" w:rsidP="00346524">
      <w:pPr>
        <w:pStyle w:val="base-text-paragraph"/>
      </w:pPr>
      <w:r>
        <w:t>New section 1317HC</w:t>
      </w:r>
      <w:r w:rsidR="008B2A7A">
        <w:t xml:space="preserve"> (see paragraph </w:t>
      </w:r>
      <w:r w:rsidR="008B2A7A" w:rsidRPr="00655F3B">
        <w:t>3.</w:t>
      </w:r>
      <w:r w:rsidR="0014340C" w:rsidRPr="00655F3B">
        <w:t>39</w:t>
      </w:r>
      <w:r w:rsidR="008B2A7A">
        <w:t xml:space="preserve"> for a</w:t>
      </w:r>
      <w:r w:rsidR="003B5313">
        <w:t>n</w:t>
      </w:r>
      <w:r w:rsidR="008B2A7A">
        <w:t xml:space="preserve"> explanation of this new section)</w:t>
      </w:r>
      <w:r>
        <w:t xml:space="preserve"> is added to the definition of </w:t>
      </w:r>
      <w:r w:rsidRPr="00746761">
        <w:rPr>
          <w:b/>
          <w:i/>
        </w:rPr>
        <w:t>civil penalty order</w:t>
      </w:r>
      <w:r>
        <w:t xml:space="preserve"> in the Corporations Act. </w:t>
      </w:r>
      <w:r w:rsidR="00746761">
        <w:rPr>
          <w:rStyle w:val="Referencingstyle"/>
        </w:rPr>
        <w:t>[Schedule 1, item 2, section 9 (paragraph (c) of the definition of civil penalty order)]</w:t>
      </w:r>
      <w:r>
        <w:t xml:space="preserve"> </w:t>
      </w:r>
    </w:p>
    <w:p w14:paraId="789093A3" w14:textId="16590512" w:rsidR="00746761" w:rsidRDefault="00746761" w:rsidP="00346524">
      <w:pPr>
        <w:pStyle w:val="base-text-paragraph"/>
      </w:pPr>
      <w:r>
        <w:t xml:space="preserve">A definition of the </w:t>
      </w:r>
      <w:r w:rsidRPr="00746761">
        <w:rPr>
          <w:b/>
          <w:i/>
        </w:rPr>
        <w:t>Regulatory Powers Act</w:t>
      </w:r>
      <w:r>
        <w:t xml:space="preserve"> being the </w:t>
      </w:r>
      <w:r w:rsidRPr="00746761">
        <w:rPr>
          <w:i/>
        </w:rPr>
        <w:t>Regulatory Powers (Standard Provisions) Act 2014</w:t>
      </w:r>
      <w:r>
        <w:t xml:space="preserve"> is inserted in the </w:t>
      </w:r>
      <w:r w:rsidR="001B3093">
        <w:t xml:space="preserve">main definitions section in the </w:t>
      </w:r>
      <w:r>
        <w:t xml:space="preserve">Corporations Act. </w:t>
      </w:r>
      <w:r>
        <w:rPr>
          <w:rStyle w:val="Referencingstyle"/>
        </w:rPr>
        <w:t>[Schedule 1, item 3, section 9]</w:t>
      </w:r>
      <w:r>
        <w:t xml:space="preserve"> </w:t>
      </w:r>
    </w:p>
    <w:p w14:paraId="00102AA2" w14:textId="2EC93FD2" w:rsidR="00746761" w:rsidRDefault="00746761" w:rsidP="00346524">
      <w:pPr>
        <w:pStyle w:val="base-text-paragraph"/>
      </w:pPr>
      <w:r>
        <w:t>A company or related body corporate may not indemnify a person for a liability incurred as an officer or auditor of the company through a compensation order issued by a court under new section 1317HC</w:t>
      </w:r>
      <w:r w:rsidR="00C85F11">
        <w:t>.</w:t>
      </w:r>
      <w:r>
        <w:t xml:space="preserve"> </w:t>
      </w:r>
      <w:r>
        <w:rPr>
          <w:rStyle w:val="Referencingstyle"/>
        </w:rPr>
        <w:t>[Schedule 1, item 4, paragraph 199A(2)(b)]</w:t>
      </w:r>
      <w:r>
        <w:t xml:space="preserve"> </w:t>
      </w:r>
    </w:p>
    <w:p w14:paraId="3D9EE6B3" w14:textId="0E926CAF" w:rsidR="00746761" w:rsidRDefault="000B7EAF" w:rsidP="00346524">
      <w:pPr>
        <w:pStyle w:val="base-text-paragraph"/>
      </w:pPr>
      <w:r>
        <w:t>A company or related body corporate may not indemnify a person for legal costs incurred in defending an action for a liability incurred as an officer or auditor of the company if the costs are incurred in defending proceedings brought by ASIC or a liquidator. Clarification is provided in a note that this includes proceedings by ASIC for a</w:t>
      </w:r>
      <w:r w:rsidR="000D11F9">
        <w:t xml:space="preserve"> compensation</w:t>
      </w:r>
      <w:r>
        <w:t xml:space="preserve"> order under new section </w:t>
      </w:r>
      <w:r w:rsidRPr="00655F3B">
        <w:t>1317HC</w:t>
      </w:r>
      <w:r>
        <w:t xml:space="preserve">. </w:t>
      </w:r>
      <w:r>
        <w:rPr>
          <w:rStyle w:val="Referencingstyle"/>
        </w:rPr>
        <w:t>[Schedule 1, item 5, subsection 199A(3)(note 1)]</w:t>
      </w:r>
      <w:r>
        <w:t xml:space="preserve"> </w:t>
      </w:r>
    </w:p>
    <w:p w14:paraId="4A6CFE6C" w14:textId="348C23A4" w:rsidR="000B7EAF" w:rsidRDefault="000B7EAF" w:rsidP="000B7EAF">
      <w:pPr>
        <w:pStyle w:val="base-text-paragraph"/>
      </w:pPr>
      <w:r>
        <w:t xml:space="preserve">Definitions of </w:t>
      </w:r>
      <w:r w:rsidR="00642F08">
        <w:rPr>
          <w:b/>
          <w:i/>
        </w:rPr>
        <w:t>financial b</w:t>
      </w:r>
      <w:r w:rsidRPr="00D07407">
        <w:rPr>
          <w:b/>
          <w:i/>
        </w:rPr>
        <w:t>enchmark rules</w:t>
      </w:r>
      <w:r w:rsidRPr="000B7EAF">
        <w:t xml:space="preserve"> </w:t>
      </w:r>
      <w:r>
        <w:t>and</w:t>
      </w:r>
      <w:r w:rsidRPr="000B7EAF">
        <w:t xml:space="preserve"> </w:t>
      </w:r>
      <w:r w:rsidR="00642F08">
        <w:rPr>
          <w:b/>
          <w:i/>
        </w:rPr>
        <w:t>compelled financial</w:t>
      </w:r>
      <w:r w:rsidRPr="00D07407">
        <w:rPr>
          <w:b/>
          <w:i/>
        </w:rPr>
        <w:t xml:space="preserve"> benchmark rules</w:t>
      </w:r>
      <w:r>
        <w:t xml:space="preserve"> </w:t>
      </w:r>
      <w:r w:rsidR="00D07407">
        <w:t>are</w:t>
      </w:r>
      <w:r>
        <w:t xml:space="preserve"> inserted in Chapter 7 of the Corpora</w:t>
      </w:r>
      <w:r w:rsidR="00D07407">
        <w:t xml:space="preserve">tions Act by reference to </w:t>
      </w:r>
      <w:r w:rsidR="00D07407" w:rsidRPr="00655F3B">
        <w:t>sections 908CA and 908CD.</w:t>
      </w:r>
      <w:r w:rsidR="00D07407">
        <w:t xml:space="preserve"> </w:t>
      </w:r>
      <w:r w:rsidR="00D07407">
        <w:rPr>
          <w:rStyle w:val="Referencingstyle"/>
        </w:rPr>
        <w:t>[Schedule 1, item 6, section 761A]</w:t>
      </w:r>
      <w:r w:rsidR="00D07407">
        <w:t xml:space="preserve"> </w:t>
      </w:r>
    </w:p>
    <w:p w14:paraId="26FFB041" w14:textId="4E0D4B21" w:rsidR="00D07407" w:rsidRDefault="0051454D" w:rsidP="0051454D">
      <w:pPr>
        <w:pStyle w:val="base-text-paragraph"/>
      </w:pPr>
      <w:r>
        <w:t xml:space="preserve">A person giving information to ASIC concerning a possible breach of the </w:t>
      </w:r>
      <w:r w:rsidR="00317DF9">
        <w:t xml:space="preserve">financial </w:t>
      </w:r>
      <w:r w:rsidR="00317DF9" w:rsidRPr="007D3B6F">
        <w:t>benchmark</w:t>
      </w:r>
      <w:r w:rsidR="00317DF9">
        <w:t xml:space="preserve"> </w:t>
      </w:r>
      <w:r w:rsidR="00317DF9" w:rsidRPr="007D3B6F">
        <w:t>or the comp</w:t>
      </w:r>
      <w:r w:rsidR="00317DF9">
        <w:t>elled financial</w:t>
      </w:r>
      <w:r w:rsidR="00317DF9" w:rsidRPr="007D3B6F">
        <w:t xml:space="preserve"> benchmark rules</w:t>
      </w:r>
      <w:r>
        <w:t xml:space="preserve"> is given qualified privilege</w:t>
      </w:r>
      <w:r w:rsidR="001B3093">
        <w:t xml:space="preserve"> (which provides immunity from being sued for defamation)</w:t>
      </w:r>
      <w:r>
        <w:t xml:space="preserve">. </w:t>
      </w:r>
      <w:r>
        <w:rPr>
          <w:rStyle w:val="Referencingstyle"/>
        </w:rPr>
        <w:t xml:space="preserve">[Schedule 1, item </w:t>
      </w:r>
      <w:r w:rsidR="00111C5C">
        <w:rPr>
          <w:rStyle w:val="Referencingstyle"/>
        </w:rPr>
        <w:t>15</w:t>
      </w:r>
      <w:r>
        <w:rPr>
          <w:rStyle w:val="Referencingstyle"/>
        </w:rPr>
        <w:t>, paragraph 1100A(1)(b)]</w:t>
      </w:r>
      <w:r>
        <w:t xml:space="preserve"> </w:t>
      </w:r>
    </w:p>
    <w:p w14:paraId="4E8EF59E" w14:textId="63F375A5" w:rsidR="0051454D" w:rsidRDefault="00A70E22" w:rsidP="00720003">
      <w:pPr>
        <w:pStyle w:val="base-text-paragraph"/>
      </w:pPr>
      <w:r>
        <w:t xml:space="preserve">The Court may make such orders as it sees fit if it considers that a person has </w:t>
      </w:r>
      <w:r w:rsidR="00720003">
        <w:t xml:space="preserve">been wronged by another person breaching the </w:t>
      </w:r>
      <w:r w:rsidR="00317DF9">
        <w:t xml:space="preserve">financial </w:t>
      </w:r>
      <w:r w:rsidR="00317DF9" w:rsidRPr="007D3B6F">
        <w:t>benchmark</w:t>
      </w:r>
      <w:r w:rsidR="00317DF9">
        <w:t xml:space="preserve"> </w:t>
      </w:r>
      <w:r w:rsidR="00317DF9" w:rsidRPr="007D3B6F">
        <w:t>or the comp</w:t>
      </w:r>
      <w:r w:rsidR="00317DF9">
        <w:t>elled financial</w:t>
      </w:r>
      <w:r w:rsidR="00317DF9" w:rsidRPr="007D3B6F">
        <w:t xml:space="preserve"> benchmark rules</w:t>
      </w:r>
      <w:r w:rsidR="00720003">
        <w:t xml:space="preserve">. </w:t>
      </w:r>
      <w:r w:rsidR="00720003">
        <w:rPr>
          <w:rStyle w:val="Referencingstyle"/>
        </w:rPr>
        <w:t xml:space="preserve">[Schedule 1, item </w:t>
      </w:r>
      <w:r w:rsidR="00111C5C">
        <w:rPr>
          <w:rStyle w:val="Referencingstyle"/>
        </w:rPr>
        <w:t>16</w:t>
      </w:r>
      <w:r w:rsidR="00720003">
        <w:rPr>
          <w:rStyle w:val="Referencingstyle"/>
        </w:rPr>
        <w:t>, paragraph 1101B(1)(d)]</w:t>
      </w:r>
      <w:r w:rsidR="00720003">
        <w:t xml:space="preserve"> </w:t>
      </w:r>
    </w:p>
    <w:p w14:paraId="5E320F41" w14:textId="388D50AF" w:rsidR="00720003" w:rsidRDefault="00857DEC" w:rsidP="00857DEC">
      <w:pPr>
        <w:pStyle w:val="base-text-paragraph"/>
      </w:pPr>
      <w:r>
        <w:t xml:space="preserve">Without limiting the Court’s ability to make other orders, examples are given of the kind of orders the Court could make under subsection 1101B(1) for a breach of the </w:t>
      </w:r>
      <w:r w:rsidR="00EA32A3">
        <w:t xml:space="preserve">financial </w:t>
      </w:r>
      <w:r w:rsidR="00EA32A3" w:rsidRPr="007D3B6F">
        <w:t>benchmark</w:t>
      </w:r>
      <w:r w:rsidR="00EA32A3">
        <w:t xml:space="preserve"> </w:t>
      </w:r>
      <w:r w:rsidR="00EA32A3" w:rsidRPr="007D3B6F">
        <w:t>or the comp</w:t>
      </w:r>
      <w:r w:rsidR="00EA32A3">
        <w:t>elled financial</w:t>
      </w:r>
      <w:r w:rsidR="00EA32A3" w:rsidRPr="007D3B6F">
        <w:t xml:space="preserve"> benchmark rules</w:t>
      </w:r>
      <w:r>
        <w:t xml:space="preserve">. These include orders giving directions about complying with a provision of these rules, requiring the disclosure of specified information or requiring a person to publish an advertisement in accordance with the order. </w:t>
      </w:r>
      <w:r>
        <w:rPr>
          <w:rStyle w:val="Referencingstyle"/>
        </w:rPr>
        <w:t>[Schedule 1, items</w:t>
      </w:r>
      <w:r w:rsidR="00371146">
        <w:rPr>
          <w:rStyle w:val="Referencingstyle"/>
        </w:rPr>
        <w:t xml:space="preserve"> </w:t>
      </w:r>
      <w:r w:rsidR="00111C5C">
        <w:rPr>
          <w:rStyle w:val="Referencingstyle"/>
        </w:rPr>
        <w:t>17</w:t>
      </w:r>
      <w:r w:rsidR="00371146">
        <w:rPr>
          <w:rStyle w:val="Referencingstyle"/>
        </w:rPr>
        <w:t>, 1</w:t>
      </w:r>
      <w:r w:rsidR="00111C5C">
        <w:rPr>
          <w:rStyle w:val="Referencingstyle"/>
        </w:rPr>
        <w:t>8</w:t>
      </w:r>
      <w:r w:rsidR="00371146">
        <w:rPr>
          <w:rStyle w:val="Referencingstyle"/>
        </w:rPr>
        <w:t xml:space="preserve"> and 1</w:t>
      </w:r>
      <w:r w:rsidR="00111C5C">
        <w:rPr>
          <w:rStyle w:val="Referencingstyle"/>
        </w:rPr>
        <w:t>9</w:t>
      </w:r>
      <w:r w:rsidR="00371146">
        <w:rPr>
          <w:rStyle w:val="Referencingstyle"/>
        </w:rPr>
        <w:t>, paragraph 1101B(4)(b) and subparagraphs 1101B(4)(c)(</w:t>
      </w:r>
      <w:proofErr w:type="spellStart"/>
      <w:r w:rsidR="00371146">
        <w:rPr>
          <w:rStyle w:val="Referencingstyle"/>
        </w:rPr>
        <w:t>i</w:t>
      </w:r>
      <w:proofErr w:type="spellEnd"/>
      <w:r w:rsidR="00371146">
        <w:rPr>
          <w:rStyle w:val="Referencingstyle"/>
        </w:rPr>
        <w:t>) and 1101B(4)(d)(</w:t>
      </w:r>
      <w:proofErr w:type="spellStart"/>
      <w:r w:rsidR="00371146">
        <w:rPr>
          <w:rStyle w:val="Referencingstyle"/>
        </w:rPr>
        <w:t>i</w:t>
      </w:r>
      <w:proofErr w:type="spellEnd"/>
      <w:r w:rsidR="00371146">
        <w:rPr>
          <w:rStyle w:val="Referencingstyle"/>
        </w:rPr>
        <w:t>)]</w:t>
      </w:r>
      <w:r>
        <w:t xml:space="preserve"> </w:t>
      </w:r>
    </w:p>
    <w:p w14:paraId="2F14FF86" w14:textId="7C6E47F4" w:rsidR="003822A4" w:rsidRDefault="00371146" w:rsidP="00371146">
      <w:pPr>
        <w:pStyle w:val="base-text-paragraph"/>
      </w:pPr>
      <w:r w:rsidRPr="00371146">
        <w:t xml:space="preserve">A decision by ASIC to </w:t>
      </w:r>
      <w:r>
        <w:t>make</w:t>
      </w:r>
      <w:r w:rsidR="003822A4">
        <w:t>, vary or revoke</w:t>
      </w:r>
      <w:r>
        <w:t xml:space="preserve"> </w:t>
      </w:r>
      <w:r w:rsidR="00557D5A">
        <w:t xml:space="preserve">financial </w:t>
      </w:r>
      <w:r w:rsidRPr="00371146">
        <w:t xml:space="preserve">benchmark or </w:t>
      </w:r>
      <w:r w:rsidR="00557D5A">
        <w:t>compelled financial</w:t>
      </w:r>
      <w:r w:rsidRPr="00371146">
        <w:t xml:space="preserve"> benchmark rules,</w:t>
      </w:r>
      <w:r>
        <w:t xml:space="preserve"> as well as a decision by the Minister to consent to their making,</w:t>
      </w:r>
      <w:r w:rsidRPr="00371146">
        <w:t xml:space="preserve"> is made exempt from appeals to the A</w:t>
      </w:r>
      <w:r w:rsidR="00BC745A">
        <w:t>AT</w:t>
      </w:r>
      <w:r w:rsidRPr="00371146">
        <w:t xml:space="preserve">. </w:t>
      </w:r>
      <w:r>
        <w:t>These exemptions are justified because the</w:t>
      </w:r>
      <w:r w:rsidR="00137CEF">
        <w:t>se</w:t>
      </w:r>
      <w:r>
        <w:t xml:space="preserve"> decisions </w:t>
      </w:r>
      <w:r w:rsidR="00137CEF">
        <w:t>are</w:t>
      </w:r>
      <w:r w:rsidR="00611558">
        <w:t xml:space="preserve"> financial decisions with a significant public interest element (as set out in the publication </w:t>
      </w:r>
      <w:r w:rsidR="00611558" w:rsidRPr="00611558">
        <w:rPr>
          <w:i/>
        </w:rPr>
        <w:t>What decisions should be subject to merits review?</w:t>
      </w:r>
      <w:r w:rsidR="00611558">
        <w:t xml:space="preserve"> released by the Administrative Review Council (ARC)</w:t>
      </w:r>
      <w:r w:rsidR="001C41AC">
        <w:t>)</w:t>
      </w:r>
      <w:r w:rsidR="00B41898">
        <w:t xml:space="preserve"> and are fundamental to the implementation of the policy decided by the Government</w:t>
      </w:r>
      <w:r w:rsidR="003822A4">
        <w:t xml:space="preserve">. </w:t>
      </w:r>
      <w:r w:rsidR="003822A4">
        <w:rPr>
          <w:rStyle w:val="Referencingstyle"/>
        </w:rPr>
        <w:t xml:space="preserve">[Schedule 1, item </w:t>
      </w:r>
      <w:r w:rsidR="00557D5A">
        <w:rPr>
          <w:rStyle w:val="Referencingstyle"/>
        </w:rPr>
        <w:t>2</w:t>
      </w:r>
      <w:r w:rsidR="000D1C7F">
        <w:rPr>
          <w:rStyle w:val="Referencingstyle"/>
        </w:rPr>
        <w:t>2</w:t>
      </w:r>
      <w:r w:rsidR="003822A4">
        <w:rPr>
          <w:rStyle w:val="Referencingstyle"/>
        </w:rPr>
        <w:t>, paragraph 1317C(</w:t>
      </w:r>
      <w:proofErr w:type="spellStart"/>
      <w:r w:rsidR="003822A4">
        <w:rPr>
          <w:rStyle w:val="Referencingstyle"/>
        </w:rPr>
        <w:t>gd</w:t>
      </w:r>
      <w:r w:rsidR="003120D0">
        <w:rPr>
          <w:rStyle w:val="Referencingstyle"/>
        </w:rPr>
        <w:t>i</w:t>
      </w:r>
      <w:proofErr w:type="spellEnd"/>
      <w:r w:rsidR="003822A4">
        <w:rPr>
          <w:rStyle w:val="Referencingstyle"/>
        </w:rPr>
        <w:t>) and subparagraph 1317C(</w:t>
      </w:r>
      <w:proofErr w:type="spellStart"/>
      <w:r w:rsidR="003822A4">
        <w:rPr>
          <w:rStyle w:val="Referencingstyle"/>
        </w:rPr>
        <w:t>gd</w:t>
      </w:r>
      <w:r w:rsidR="00B47495">
        <w:rPr>
          <w:rStyle w:val="Referencingstyle"/>
        </w:rPr>
        <w:t>k</w:t>
      </w:r>
      <w:proofErr w:type="spellEnd"/>
      <w:r w:rsidR="003822A4">
        <w:rPr>
          <w:rStyle w:val="Referencingstyle"/>
        </w:rPr>
        <w:t>)(</w:t>
      </w:r>
      <w:proofErr w:type="spellStart"/>
      <w:r w:rsidR="003822A4">
        <w:rPr>
          <w:rStyle w:val="Referencingstyle"/>
        </w:rPr>
        <w:t>i</w:t>
      </w:r>
      <w:proofErr w:type="spellEnd"/>
      <w:r w:rsidR="003822A4">
        <w:rPr>
          <w:rStyle w:val="Referencingstyle"/>
        </w:rPr>
        <w:t>)]</w:t>
      </w:r>
      <w:r w:rsidR="003822A4">
        <w:t xml:space="preserve"> </w:t>
      </w:r>
    </w:p>
    <w:p w14:paraId="7DD12BCD" w14:textId="6397AA4D" w:rsidR="00371146" w:rsidRDefault="00371146" w:rsidP="00371146">
      <w:pPr>
        <w:pStyle w:val="base-text-paragraph"/>
      </w:pPr>
      <w:r w:rsidRPr="00371146">
        <w:t>A decision by the Minister to direct ASIC to revoke or amend a rule made in an emergency situation as set out in section 908CM is provided with a similar exemption.</w:t>
      </w:r>
      <w:r w:rsidR="005056BA">
        <w:t xml:space="preserve"> These decisions will be made on the basis of whether the rule is in the public interest or whether it is necessary to protect the Australian economy, the Australian financial system, or the security or confidentiality of information held by licensed benchmark administrators. Giv</w:t>
      </w:r>
      <w:r w:rsidR="00536D56">
        <w:t>en the strong public interest element in such a decision by the Minister it is consistent with the guidance provided by ARC to provide a carve-out from AAT review</w:t>
      </w:r>
      <w:r w:rsidR="007A66B9">
        <w:t xml:space="preserve">. </w:t>
      </w:r>
      <w:r w:rsidR="007A66B9">
        <w:rPr>
          <w:rStyle w:val="Referencingstyle"/>
        </w:rPr>
        <w:t xml:space="preserve">[Schedule 1, item </w:t>
      </w:r>
      <w:r w:rsidR="0003642F">
        <w:rPr>
          <w:rStyle w:val="Referencingstyle"/>
        </w:rPr>
        <w:t>2</w:t>
      </w:r>
      <w:r w:rsidR="000D1C7F">
        <w:rPr>
          <w:rStyle w:val="Referencingstyle"/>
        </w:rPr>
        <w:t>2</w:t>
      </w:r>
      <w:r w:rsidR="007A66B9">
        <w:rPr>
          <w:rStyle w:val="Referencingstyle"/>
        </w:rPr>
        <w:t>, subparagraph 1317C(</w:t>
      </w:r>
      <w:proofErr w:type="spellStart"/>
      <w:r w:rsidR="007A66B9">
        <w:rPr>
          <w:rStyle w:val="Referencingstyle"/>
        </w:rPr>
        <w:t>gd</w:t>
      </w:r>
      <w:r w:rsidR="00B47495">
        <w:rPr>
          <w:rStyle w:val="Referencingstyle"/>
        </w:rPr>
        <w:t>k</w:t>
      </w:r>
      <w:proofErr w:type="spellEnd"/>
      <w:r w:rsidR="007A66B9">
        <w:rPr>
          <w:rStyle w:val="Referencingstyle"/>
        </w:rPr>
        <w:t>)(ii)]</w:t>
      </w:r>
      <w:r w:rsidR="007A66B9">
        <w:t xml:space="preserve"> </w:t>
      </w:r>
    </w:p>
    <w:p w14:paraId="08772EEE" w14:textId="32C7952C" w:rsidR="0003642F" w:rsidRPr="0003642F" w:rsidRDefault="0003642F" w:rsidP="0003642F">
      <w:pPr>
        <w:pStyle w:val="base-text-paragraph"/>
      </w:pPr>
      <w:r w:rsidRPr="0003642F">
        <w:t>A decision by ASIC to propose or agree to an alternative to a civil penalty proceeding is excluded from AAT review. Such a decision is preliminary in nature and does not in itself have a conclusive effect on the person alleged to have committed a contravention</w:t>
      </w:r>
      <w:r w:rsidR="00611558">
        <w:t>, as set out in the ARC publication referred to above</w:t>
      </w:r>
      <w:r w:rsidRPr="0003642F">
        <w:t xml:space="preserve">. The person remains free to reject the proposed alternative (if any) and deal with the matter in civil proceedings before a court. In addition to being preliminary, these decisions have a law enforcement nature. They are based on a judgment by ASIC regarding the most appropriate enforcement approach in response to an alleged breach of the law. Making such decisions subject to AAT review could jeopardise the effective investigation of alleged breaches and the subsequent enforcement of the law. </w:t>
      </w:r>
      <w:r w:rsidRPr="0003642F">
        <w:rPr>
          <w:rStyle w:val="Referencingstyle"/>
        </w:rPr>
        <w:t>[Schedule 1, item 2</w:t>
      </w:r>
      <w:r w:rsidR="000D1C7F">
        <w:rPr>
          <w:rStyle w:val="Referencingstyle"/>
        </w:rPr>
        <w:t>2</w:t>
      </w:r>
      <w:r w:rsidRPr="0003642F">
        <w:rPr>
          <w:rStyle w:val="Referencingstyle"/>
        </w:rPr>
        <w:t>, paragraph 1317C(</w:t>
      </w:r>
      <w:proofErr w:type="spellStart"/>
      <w:r w:rsidRPr="0003642F">
        <w:rPr>
          <w:rStyle w:val="Referencingstyle"/>
        </w:rPr>
        <w:t>gdj</w:t>
      </w:r>
      <w:proofErr w:type="spellEnd"/>
      <w:r w:rsidRPr="0003642F">
        <w:rPr>
          <w:rStyle w:val="Referencingstyle"/>
        </w:rPr>
        <w:t>)]</w:t>
      </w:r>
      <w:r w:rsidRPr="0003642F">
        <w:t xml:space="preserve"> </w:t>
      </w:r>
    </w:p>
    <w:p w14:paraId="125278B4" w14:textId="77179EB7" w:rsidR="007A66B9" w:rsidRDefault="0003642F" w:rsidP="0003642F">
      <w:pPr>
        <w:pStyle w:val="base-text-paragraph"/>
      </w:pPr>
      <w:r w:rsidRPr="00BC745A">
        <w:t xml:space="preserve"> </w:t>
      </w:r>
      <w:r w:rsidR="00DD7099" w:rsidRPr="00BC745A">
        <w:t>A decision by ASIC to apply its compulsion powers</w:t>
      </w:r>
      <w:r w:rsidR="00DD7099">
        <w:t xml:space="preserve"> under the </w:t>
      </w:r>
      <w:r w:rsidR="00BC745A">
        <w:t>compelled financial</w:t>
      </w:r>
      <w:r w:rsidR="00DD7099" w:rsidRPr="00371146">
        <w:t xml:space="preserve"> benchmark rules</w:t>
      </w:r>
      <w:r w:rsidR="00DD7099">
        <w:t xml:space="preserve"> is made exempt from appeals to the A</w:t>
      </w:r>
      <w:r w:rsidR="00BC745A">
        <w:t>AT</w:t>
      </w:r>
      <w:r w:rsidR="00DD7099">
        <w:t xml:space="preserve">. </w:t>
      </w:r>
      <w:r w:rsidR="0098473C">
        <w:t xml:space="preserve">A decision to impose compulsion may need to be made very quickly and would need to be effective immediately to avoid disruption to financial contracts and markets. In the event that key participants in the benchmark were no longer willing to participate in the benchmark setting process, ASIC may only have very short notice ahead of the benchmark ceasing to be published. The actual length of notice would depend on each benchmark. </w:t>
      </w:r>
      <w:r w:rsidR="009C0506">
        <w:t>For</w:t>
      </w:r>
      <w:r w:rsidR="0098473C">
        <w:t xml:space="preserve"> example </w:t>
      </w:r>
      <w:r w:rsidR="009C0506">
        <w:t>under the current</w:t>
      </w:r>
      <w:r w:rsidR="0098473C">
        <w:t xml:space="preserve"> BBSW</w:t>
      </w:r>
      <w:r w:rsidR="009C0506">
        <w:t xml:space="preserve"> conventions</w:t>
      </w:r>
      <w:r w:rsidR="0098473C">
        <w:t xml:space="preserve">, </w:t>
      </w:r>
      <w:r w:rsidR="009C0506">
        <w:t xml:space="preserve">reliance on the </w:t>
      </w:r>
      <w:proofErr w:type="spellStart"/>
      <w:r w:rsidR="009C0506">
        <w:t>fallback</w:t>
      </w:r>
      <w:proofErr w:type="spellEnd"/>
      <w:r w:rsidR="009C0506">
        <w:t xml:space="preserve"> calculation methodology will not extend beyond </w:t>
      </w:r>
      <w:r w:rsidR="0098473C">
        <w:t xml:space="preserve">2 days. In this scenario, ASIC would need to assess the case for imposing compulsion, and take action to impose compulsion within the 2 days, to prevent the disruption that would occur if the benchmark was not published on its usual daily schedule. Providing the right to appeal ASIC's decision to compel submission would significantly raise the risk that the benchmark will cease to be published and trigger the </w:t>
      </w:r>
      <w:r w:rsidR="00760C21">
        <w:t>disruption to financial contracts and markets discussed</w:t>
      </w:r>
      <w:r w:rsidR="0098473C">
        <w:t xml:space="preserve"> above. Disruption would occur even if there was only a short and temporary interruption in the publication of a benchmark, since investor confidence in the benchmark would be seriously eroded. It is therefore considered to be in the public interest for ASIC to have the ability to take prompt action to ensure the benchmark will be published without interruption. This public interest consideration provides justification for removing review rights for ASIC's decision to impose compulsion</w:t>
      </w:r>
      <w:r w:rsidR="00D70764">
        <w:t>, as set out in the ARC guidance referred to above</w:t>
      </w:r>
      <w:r w:rsidR="0098473C">
        <w:t xml:space="preserve">. </w:t>
      </w:r>
      <w:r w:rsidR="0098473C">
        <w:rPr>
          <w:rStyle w:val="Referencingstyle"/>
        </w:rPr>
        <w:t xml:space="preserve">[Schedule 1, item </w:t>
      </w:r>
      <w:r w:rsidR="007931C6">
        <w:rPr>
          <w:rStyle w:val="Referencingstyle"/>
        </w:rPr>
        <w:t>2</w:t>
      </w:r>
      <w:r w:rsidR="000D1C7F">
        <w:rPr>
          <w:rStyle w:val="Referencingstyle"/>
        </w:rPr>
        <w:t>2</w:t>
      </w:r>
      <w:r w:rsidR="0098473C">
        <w:rPr>
          <w:rStyle w:val="Referencingstyle"/>
        </w:rPr>
        <w:t>, subparagraph 1317C(</w:t>
      </w:r>
      <w:proofErr w:type="spellStart"/>
      <w:r w:rsidR="0098473C">
        <w:rPr>
          <w:rStyle w:val="Referencingstyle"/>
        </w:rPr>
        <w:t>gd</w:t>
      </w:r>
      <w:r>
        <w:rPr>
          <w:rStyle w:val="Referencingstyle"/>
        </w:rPr>
        <w:t>l</w:t>
      </w:r>
      <w:proofErr w:type="spellEnd"/>
      <w:r w:rsidR="0098473C">
        <w:rPr>
          <w:rStyle w:val="Referencingstyle"/>
        </w:rPr>
        <w:t>)]</w:t>
      </w:r>
      <w:r w:rsidR="0098473C">
        <w:t xml:space="preserve"> </w:t>
      </w:r>
    </w:p>
    <w:p w14:paraId="079A531E" w14:textId="356A0954" w:rsidR="0098473C" w:rsidRDefault="003238CC" w:rsidP="003238CC">
      <w:pPr>
        <w:pStyle w:val="base-text-paragraph"/>
      </w:pPr>
      <w:r>
        <w:t xml:space="preserve">Compliance with the </w:t>
      </w:r>
      <w:r w:rsidR="007931C6">
        <w:t xml:space="preserve">financial </w:t>
      </w:r>
      <w:r w:rsidRPr="003238CC">
        <w:t xml:space="preserve">benchmark or </w:t>
      </w:r>
      <w:r w:rsidR="007931C6">
        <w:t>compelled financial</w:t>
      </w:r>
      <w:r w:rsidRPr="003238CC">
        <w:t xml:space="preserve"> benchmark rules</w:t>
      </w:r>
      <w:r>
        <w:t xml:space="preserve"> is made a civil penalty provision by inserting a reference to subsection </w:t>
      </w:r>
      <w:r w:rsidRPr="00655F3B">
        <w:t>908CF(1)</w:t>
      </w:r>
      <w:r>
        <w:t xml:space="preserve"> in the table in the Corporations Act setting out the list of these provisions. A Court can make a declaration of contravention if it is satisfied that a breach of these rules has occurred</w:t>
      </w:r>
      <w:r w:rsidR="00760C21">
        <w:t>, which may then lead to penalties and compensation orders being imposed</w:t>
      </w:r>
      <w:r>
        <w:t xml:space="preserve">. </w:t>
      </w:r>
      <w:r>
        <w:rPr>
          <w:rStyle w:val="Referencingstyle"/>
        </w:rPr>
        <w:t xml:space="preserve">[Schedule 1, item </w:t>
      </w:r>
      <w:r w:rsidR="007931C6">
        <w:rPr>
          <w:rStyle w:val="Referencingstyle"/>
        </w:rPr>
        <w:t>2</w:t>
      </w:r>
      <w:r w:rsidR="000D1C7F">
        <w:rPr>
          <w:rStyle w:val="Referencingstyle"/>
        </w:rPr>
        <w:t>3</w:t>
      </w:r>
      <w:r>
        <w:rPr>
          <w:rStyle w:val="Referencingstyle"/>
        </w:rPr>
        <w:t>, Subsection 1317E(1)</w:t>
      </w:r>
      <w:r w:rsidR="00760C21">
        <w:rPr>
          <w:rStyle w:val="Referencingstyle"/>
        </w:rPr>
        <w:t>,</w:t>
      </w:r>
      <w:r>
        <w:rPr>
          <w:rStyle w:val="Referencingstyle"/>
        </w:rPr>
        <w:t xml:space="preserve"> table item 17A]</w:t>
      </w:r>
      <w:r>
        <w:t xml:space="preserve"> </w:t>
      </w:r>
    </w:p>
    <w:p w14:paraId="72F600C6" w14:textId="3FF4A03A" w:rsidR="003238CC" w:rsidRDefault="003238CC" w:rsidP="00FD4961">
      <w:pPr>
        <w:pStyle w:val="base-text-paragraph"/>
      </w:pPr>
      <w:r>
        <w:t xml:space="preserve">A Court may make a declaration of contravention if it is satisfied that a breach of </w:t>
      </w:r>
      <w:r w:rsidRPr="003238CC">
        <w:t xml:space="preserve">the </w:t>
      </w:r>
      <w:r w:rsidR="007931C6">
        <w:t xml:space="preserve">financial </w:t>
      </w:r>
      <w:r w:rsidRPr="003238CC">
        <w:t xml:space="preserve">benchmark or </w:t>
      </w:r>
      <w:r w:rsidR="007931C6">
        <w:t>compelled financial</w:t>
      </w:r>
      <w:r w:rsidRPr="003238CC">
        <w:t xml:space="preserve"> benchmark rules</w:t>
      </w:r>
      <w:r>
        <w:t xml:space="preserve"> has occurred. A penalty payable to the Commonwealth may then be imposed up to the amount</w:t>
      </w:r>
      <w:r w:rsidR="00FD4961">
        <w:t xml:space="preserve"> specified in the rules. The maximum amount the </w:t>
      </w:r>
      <w:r w:rsidR="00C1366C">
        <w:t>rules</w:t>
      </w:r>
      <w:r w:rsidR="00FD4961">
        <w:t xml:space="preserve"> can specify (as set out in section </w:t>
      </w:r>
      <w:r w:rsidR="00FD4961" w:rsidRPr="00655F3B">
        <w:t>908C</w:t>
      </w:r>
      <w:r w:rsidR="007931C6" w:rsidRPr="00655F3B">
        <w:t>O</w:t>
      </w:r>
      <w:r w:rsidR="00FD4961" w:rsidRPr="00655F3B">
        <w:t>)</w:t>
      </w:r>
      <w:r w:rsidR="00FD4961">
        <w:t xml:space="preserve"> is 5,550 penalty units (approximately $1 million). </w:t>
      </w:r>
      <w:r w:rsidR="00FD4961">
        <w:rPr>
          <w:rStyle w:val="Referencingstyle"/>
        </w:rPr>
        <w:t xml:space="preserve">[Schedule 1, item </w:t>
      </w:r>
      <w:r w:rsidR="007931C6">
        <w:rPr>
          <w:rStyle w:val="Referencingstyle"/>
        </w:rPr>
        <w:t>2</w:t>
      </w:r>
      <w:r w:rsidR="000D1C7F">
        <w:rPr>
          <w:rStyle w:val="Referencingstyle"/>
        </w:rPr>
        <w:t>5</w:t>
      </w:r>
      <w:r w:rsidR="00FD4961">
        <w:rPr>
          <w:rStyle w:val="Referencingstyle"/>
        </w:rPr>
        <w:t xml:space="preserve">, </w:t>
      </w:r>
      <w:r w:rsidR="00C1366C">
        <w:rPr>
          <w:rStyle w:val="Referencingstyle"/>
        </w:rPr>
        <w:t>subsections 1317G(1DC) and (1DD)]</w:t>
      </w:r>
      <w:r w:rsidR="00FD4961">
        <w:t xml:space="preserve"> </w:t>
      </w:r>
    </w:p>
    <w:p w14:paraId="07997A59" w14:textId="71ABE9FC" w:rsidR="00FD4961" w:rsidRDefault="00482530" w:rsidP="00482530">
      <w:pPr>
        <w:pStyle w:val="base-text-paragraph"/>
      </w:pPr>
      <w:r>
        <w:t xml:space="preserve">A Court may order a person to compensate another person for damages suffered due to a breach of </w:t>
      </w:r>
      <w:r w:rsidRPr="00482530">
        <w:t xml:space="preserve">the </w:t>
      </w:r>
      <w:r w:rsidR="007931C6">
        <w:t xml:space="preserve">financial </w:t>
      </w:r>
      <w:r w:rsidRPr="00482530">
        <w:t>benchmark</w:t>
      </w:r>
      <w:r w:rsidR="00192FD1">
        <w:t xml:space="preserve"> rules</w:t>
      </w:r>
      <w:r w:rsidRPr="00482530">
        <w:t xml:space="preserve"> or </w:t>
      </w:r>
      <w:r w:rsidR="007931C6">
        <w:t>compelled financial</w:t>
      </w:r>
      <w:r w:rsidRPr="00482530">
        <w:t xml:space="preserve"> benchmark rules</w:t>
      </w:r>
      <w:r>
        <w:t xml:space="preserve"> committed by the first person.</w:t>
      </w:r>
      <w:r w:rsidR="00E02BC4">
        <w:t xml:space="preserve"> In determining the amount of the damages profits made by the person as a result of the contravention and (in the case of a registered scheme) any diminution in the value of the scheme’s property must be included. </w:t>
      </w:r>
      <w:r w:rsidR="00E02BC4">
        <w:rPr>
          <w:rStyle w:val="Referencingstyle"/>
        </w:rPr>
        <w:t xml:space="preserve">[Schedule 1, item </w:t>
      </w:r>
      <w:r w:rsidR="007931C6">
        <w:rPr>
          <w:rStyle w:val="Referencingstyle"/>
        </w:rPr>
        <w:t>2</w:t>
      </w:r>
      <w:r w:rsidR="000D1C7F">
        <w:rPr>
          <w:rStyle w:val="Referencingstyle"/>
        </w:rPr>
        <w:t>6</w:t>
      </w:r>
      <w:r w:rsidR="00E02BC4">
        <w:rPr>
          <w:rStyle w:val="Referencingstyle"/>
        </w:rPr>
        <w:t>, section 1317HC]</w:t>
      </w:r>
      <w:r w:rsidR="00E02BC4">
        <w:t xml:space="preserve"> </w:t>
      </w:r>
    </w:p>
    <w:p w14:paraId="40F62A16" w14:textId="532F7B28" w:rsidR="00E02BC4" w:rsidRDefault="00AA38BF" w:rsidP="00AA38BF">
      <w:pPr>
        <w:pStyle w:val="base-text-paragraph"/>
      </w:pPr>
      <w:r>
        <w:t xml:space="preserve">A court may </w:t>
      </w:r>
      <w:r w:rsidR="00C232D5">
        <w:t xml:space="preserve">provide whole or partial </w:t>
      </w:r>
      <w:r>
        <w:t>relie</w:t>
      </w:r>
      <w:r w:rsidR="00C232D5">
        <w:t>f to</w:t>
      </w:r>
      <w:r>
        <w:t xml:space="preserve"> a person who has breached a </w:t>
      </w:r>
      <w:r w:rsidR="007931C6">
        <w:t xml:space="preserve">financial </w:t>
      </w:r>
      <w:r w:rsidRPr="00AA38BF">
        <w:t xml:space="preserve">benchmark or </w:t>
      </w:r>
      <w:r w:rsidR="007931C6">
        <w:t>compelled financial</w:t>
      </w:r>
      <w:r w:rsidRPr="00AA38BF">
        <w:t xml:space="preserve"> benchmark rule</w:t>
      </w:r>
      <w:r w:rsidR="00C232D5">
        <w:t xml:space="preserve"> if it considers that the person has acted honestly and ought to be excused for the contravention having regard to all the circumstances of the case. </w:t>
      </w:r>
      <w:r w:rsidR="00C232D5">
        <w:rPr>
          <w:rStyle w:val="Referencingstyle"/>
        </w:rPr>
        <w:t xml:space="preserve">Schedule 1, item </w:t>
      </w:r>
      <w:r w:rsidR="007931C6">
        <w:rPr>
          <w:rStyle w:val="Referencingstyle"/>
        </w:rPr>
        <w:t>2</w:t>
      </w:r>
      <w:r w:rsidR="000D1C7F">
        <w:rPr>
          <w:rStyle w:val="Referencingstyle"/>
        </w:rPr>
        <w:t>7</w:t>
      </w:r>
      <w:r w:rsidR="00C232D5">
        <w:rPr>
          <w:rStyle w:val="Referencingstyle"/>
        </w:rPr>
        <w:t>, subsection 1317S(1)]</w:t>
      </w:r>
      <w:r w:rsidR="00C232D5">
        <w:t xml:space="preserve"> </w:t>
      </w:r>
    </w:p>
    <w:p w14:paraId="508BC77A" w14:textId="5F948532" w:rsidR="00C232D5" w:rsidRDefault="00C232D5" w:rsidP="00C232D5">
      <w:pPr>
        <w:pStyle w:val="base-text-paragraph"/>
      </w:pPr>
      <w:r>
        <w:t xml:space="preserve">If the Court is satisfied that a person has breached </w:t>
      </w:r>
      <w:r w:rsidRPr="00C232D5">
        <w:t xml:space="preserve">a </w:t>
      </w:r>
      <w:r w:rsidR="007931C6">
        <w:t xml:space="preserve">financial </w:t>
      </w:r>
      <w:r w:rsidRPr="00C232D5">
        <w:t xml:space="preserve">benchmark or </w:t>
      </w:r>
      <w:r w:rsidR="007931C6">
        <w:t>compelled financial</w:t>
      </w:r>
      <w:r w:rsidRPr="00C232D5">
        <w:t xml:space="preserve"> benchmark rule</w:t>
      </w:r>
      <w:r>
        <w:t xml:space="preserve"> it may order the person to disclose information as specified in the order to the public or to particular persons. The Court may also require the person to publish at their own expense an advertisement in accordance with conditions set out in the order. </w:t>
      </w:r>
      <w:r>
        <w:rPr>
          <w:rStyle w:val="Referencingstyle"/>
        </w:rPr>
        <w:t xml:space="preserve">[Schedule 1, item </w:t>
      </w:r>
      <w:r w:rsidR="00721E3E">
        <w:rPr>
          <w:rStyle w:val="Referencingstyle"/>
        </w:rPr>
        <w:t>2</w:t>
      </w:r>
      <w:r w:rsidR="000D1C7F">
        <w:rPr>
          <w:rStyle w:val="Referencingstyle"/>
        </w:rPr>
        <w:t>8</w:t>
      </w:r>
      <w:r>
        <w:rPr>
          <w:rStyle w:val="Referencingstyle"/>
        </w:rPr>
        <w:t>, section 1324B]</w:t>
      </w:r>
      <w:r>
        <w:t xml:space="preserve"> </w:t>
      </w:r>
    </w:p>
    <w:p w14:paraId="406A8E7B" w14:textId="4AB9E53D" w:rsidR="00C232D5" w:rsidRDefault="00D8611E" w:rsidP="00D8611E">
      <w:pPr>
        <w:pStyle w:val="base-text-paragraph"/>
      </w:pPr>
      <w:r>
        <w:t xml:space="preserve">The Court may also make </w:t>
      </w:r>
      <w:r w:rsidR="00760C21">
        <w:t xml:space="preserve">certain </w:t>
      </w:r>
      <w:r>
        <w:t xml:space="preserve">other orders against a person breaching </w:t>
      </w:r>
      <w:r w:rsidRPr="00D8611E">
        <w:t xml:space="preserve">a </w:t>
      </w:r>
      <w:r w:rsidR="009836B1">
        <w:t xml:space="preserve">financial </w:t>
      </w:r>
      <w:r w:rsidR="009836B1" w:rsidRPr="00450183">
        <w:t xml:space="preserve">benchmark or </w:t>
      </w:r>
      <w:r w:rsidR="009836B1">
        <w:t>compelled financial</w:t>
      </w:r>
      <w:r w:rsidR="009836B1" w:rsidRPr="00450183">
        <w:t xml:space="preserve"> benchmark rule</w:t>
      </w:r>
      <w:r w:rsidR="009836B1" w:rsidRPr="00D8611E" w:rsidDel="009836B1">
        <w:t xml:space="preserve"> </w:t>
      </w:r>
      <w:r>
        <w:t xml:space="preserve">if it considers that the order will provide whole or partial compensation to the person suffering loss or damage because of the breach, or prevent or reduce such loss or damage. A person suffering such loss or damage may also apply to the Court and the Court may then make such orders as it considers fit against the person committing the breach (or against a person involved in the breach) for compensating the first person suffering the consequences of the breach. ASIC may make such an application on behalf of one or more persons suffering loss or damage because of a breach. The person or persons on whose behalf ASIC makes the application must first provide their consent in writing. </w:t>
      </w:r>
      <w:r>
        <w:rPr>
          <w:rStyle w:val="Referencingstyle"/>
        </w:rPr>
        <w:t xml:space="preserve">[Schedule 1, item </w:t>
      </w:r>
      <w:r w:rsidR="006F76A8">
        <w:rPr>
          <w:rStyle w:val="Referencingstyle"/>
        </w:rPr>
        <w:t>2</w:t>
      </w:r>
      <w:r w:rsidR="000D1C7F">
        <w:rPr>
          <w:rStyle w:val="Referencingstyle"/>
        </w:rPr>
        <w:t>9</w:t>
      </w:r>
      <w:r>
        <w:rPr>
          <w:rStyle w:val="Referencingstyle"/>
        </w:rPr>
        <w:t xml:space="preserve">, </w:t>
      </w:r>
      <w:r w:rsidR="00760C21">
        <w:rPr>
          <w:rStyle w:val="Referencingstyle"/>
        </w:rPr>
        <w:t>sub</w:t>
      </w:r>
      <w:r>
        <w:rPr>
          <w:rStyle w:val="Referencingstyle"/>
        </w:rPr>
        <w:t>section</w:t>
      </w:r>
      <w:r w:rsidR="00760C21">
        <w:rPr>
          <w:rStyle w:val="Referencingstyle"/>
        </w:rPr>
        <w:t>s</w:t>
      </w:r>
      <w:r>
        <w:rPr>
          <w:rStyle w:val="Referencingstyle"/>
        </w:rPr>
        <w:t xml:space="preserve"> 1325</w:t>
      </w:r>
      <w:r w:rsidR="00760C21">
        <w:rPr>
          <w:rStyle w:val="Referencingstyle"/>
        </w:rPr>
        <w:t>(1), (2) and (3)</w:t>
      </w:r>
      <w:r>
        <w:rPr>
          <w:rStyle w:val="Referencingstyle"/>
        </w:rPr>
        <w:t>]</w:t>
      </w:r>
      <w:r>
        <w:t xml:space="preserve"> </w:t>
      </w:r>
    </w:p>
    <w:p w14:paraId="4E9712FA" w14:textId="4D47313B" w:rsidR="00C21DE0" w:rsidRPr="008F726E" w:rsidRDefault="00C21DE0" w:rsidP="00D8611E">
      <w:pPr>
        <w:pStyle w:val="base-text-paragraph"/>
      </w:pPr>
      <w:r>
        <w:t xml:space="preserve">The changes explained in the last two paragraphs above to sections 1324B and 1325 will have an impact on two items in Schedule 5 of the </w:t>
      </w:r>
      <w:r w:rsidRPr="00C21DE0">
        <w:rPr>
          <w:i/>
        </w:rPr>
        <w:t>Treasury Laws Amendment (2016 Measures No. 1) Act 2017</w:t>
      </w:r>
      <w:r>
        <w:t xml:space="preserve"> which has </w:t>
      </w:r>
      <w:r w:rsidR="00C135C1">
        <w:t>received Royal Assent</w:t>
      </w:r>
      <w:r>
        <w:t xml:space="preserve"> but will </w:t>
      </w:r>
      <w:r w:rsidR="002C388D">
        <w:t xml:space="preserve">likely </w:t>
      </w:r>
      <w:r>
        <w:t>only come into effect after this Bill</w:t>
      </w:r>
      <w:r w:rsidR="000D11F9">
        <w:t xml:space="preserve"> commences</w:t>
      </w:r>
      <w:r>
        <w:t xml:space="preserve">. Two small consequential amendments are therefore made to items 27 and 28 in Schedule 5 of the </w:t>
      </w:r>
      <w:r w:rsidRPr="00C21DE0">
        <w:rPr>
          <w:i/>
        </w:rPr>
        <w:t>Treasury Laws Amendment (2016 Measures No. 1) Act 2017</w:t>
      </w:r>
      <w:r>
        <w:t xml:space="preserve"> to ensure that </w:t>
      </w:r>
      <w:r w:rsidR="00627F07">
        <w:t>they</w:t>
      </w:r>
      <w:r>
        <w:t xml:space="preserve"> continue to operate as</w:t>
      </w:r>
      <w:r w:rsidR="00BA5F80">
        <w:t xml:space="preserve"> originally</w:t>
      </w:r>
      <w:r>
        <w:t xml:space="preserve"> intended once </w:t>
      </w:r>
      <w:r w:rsidR="00627F07">
        <w:t>the Act</w:t>
      </w:r>
      <w:r>
        <w:t xml:space="preserve"> comes into effect. </w:t>
      </w:r>
      <w:r>
        <w:rPr>
          <w:rStyle w:val="Referencingstyle"/>
        </w:rPr>
        <w:t>[Schedule 1, item 31, section 1324B and subsections 1325(1), (2) and (3)]</w:t>
      </w:r>
      <w:r>
        <w:t xml:space="preserve"> </w:t>
      </w:r>
    </w:p>
    <w:p w14:paraId="5033180D" w14:textId="77777777" w:rsidR="004F3BAA" w:rsidRDefault="004F3BAA" w:rsidP="00CE142B">
      <w:pPr>
        <w:pStyle w:val="Heading2"/>
      </w:pPr>
      <w:r>
        <w:t>Application and transitional provisions</w:t>
      </w:r>
    </w:p>
    <w:p w14:paraId="532E86E2" w14:textId="664AFAA2" w:rsidR="004F3BAA" w:rsidRPr="008F726E" w:rsidRDefault="006022F2" w:rsidP="006022F2">
      <w:pPr>
        <w:pStyle w:val="base-text-paragraph"/>
      </w:pPr>
      <w:r>
        <w:t xml:space="preserve">The obligation to comply with </w:t>
      </w:r>
      <w:r w:rsidR="00262B2E">
        <w:t xml:space="preserve">the financial </w:t>
      </w:r>
      <w:r w:rsidRPr="006022F2">
        <w:t xml:space="preserve">benchmark or </w:t>
      </w:r>
      <w:r w:rsidR="00262B2E">
        <w:t>compelled financial</w:t>
      </w:r>
      <w:r w:rsidRPr="006022F2">
        <w:t xml:space="preserve"> benchmark rule</w:t>
      </w:r>
      <w:r>
        <w:t>s (regardless of when they are made by ASIC) applies from 1 January 2018</w:t>
      </w:r>
      <w:r w:rsidR="00262B2E">
        <w:t xml:space="preserve"> or any later day being the day after which the Bill receives the Royal Assent</w:t>
      </w:r>
      <w:r>
        <w:t xml:space="preserve">. </w:t>
      </w:r>
      <w:r>
        <w:rPr>
          <w:rStyle w:val="Referencingstyle"/>
        </w:rPr>
        <w:t xml:space="preserve">[Schedule 1, item </w:t>
      </w:r>
      <w:r w:rsidR="000D1C7F">
        <w:rPr>
          <w:rStyle w:val="Referencingstyle"/>
        </w:rPr>
        <w:t>30</w:t>
      </w:r>
      <w:r>
        <w:rPr>
          <w:rStyle w:val="Referencingstyle"/>
        </w:rPr>
        <w:t>, subsection</w:t>
      </w:r>
      <w:r w:rsidR="007A57DD">
        <w:rPr>
          <w:rStyle w:val="Referencingstyle"/>
        </w:rPr>
        <w:t>s 1639 and</w:t>
      </w:r>
      <w:r>
        <w:rPr>
          <w:rStyle w:val="Referencingstyle"/>
        </w:rPr>
        <w:t xml:space="preserve"> </w:t>
      </w:r>
      <w:r w:rsidRPr="000D1C7F">
        <w:rPr>
          <w:rStyle w:val="Referencingstyle"/>
        </w:rPr>
        <w:t>16</w:t>
      </w:r>
      <w:r w:rsidR="000D1C7F" w:rsidRPr="000D1C7F">
        <w:rPr>
          <w:rStyle w:val="Referencingstyle"/>
        </w:rPr>
        <w:t>40</w:t>
      </w:r>
      <w:r>
        <w:rPr>
          <w:rStyle w:val="Referencingstyle"/>
        </w:rPr>
        <w:t>]</w:t>
      </w:r>
      <w:r>
        <w:t xml:space="preserve"> </w:t>
      </w:r>
    </w:p>
    <w:p w14:paraId="3AF975FA" w14:textId="77777777" w:rsidR="004F3BAA" w:rsidRDefault="004F3BAA" w:rsidP="00CE142B">
      <w:pPr>
        <w:pStyle w:val="Hiddentext"/>
      </w:pPr>
      <w:r>
        <w:t>Do not remove section break.</w:t>
      </w:r>
    </w:p>
    <w:p w14:paraId="0F2FC48D" w14:textId="77777777" w:rsidR="004F3BAA" w:rsidRDefault="004F3BAA" w:rsidP="00CE142B">
      <w:pPr>
        <w:sectPr w:rsidR="004F3BAA" w:rsidSect="00CE142B">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pPr>
    </w:p>
    <w:p w14:paraId="017C4C79" w14:textId="77C2BECB" w:rsidR="00732487" w:rsidRPr="00F51A71" w:rsidRDefault="00732487" w:rsidP="00732487">
      <w:pPr>
        <w:pStyle w:val="ChapterHeading"/>
        <w:numPr>
          <w:ilvl w:val="0"/>
          <w:numId w:val="32"/>
        </w:numPr>
        <w:tabs>
          <w:tab w:val="clear" w:pos="1134"/>
          <w:tab w:val="num" w:pos="360"/>
        </w:tabs>
      </w:pPr>
      <w:r w:rsidRPr="00F51A71">
        <w:br/>
      </w:r>
      <w:bookmarkStart w:id="5" w:name="_Toc485738669"/>
      <w:r>
        <w:t>Offences and civil penalties</w:t>
      </w:r>
      <w:bookmarkEnd w:id="5"/>
    </w:p>
    <w:p w14:paraId="188E685F" w14:textId="77777777" w:rsidR="00732487" w:rsidRDefault="00732487" w:rsidP="004A17C0">
      <w:pPr>
        <w:pStyle w:val="Heading2"/>
      </w:pPr>
      <w:r>
        <w:t>Outline of chapter</w:t>
      </w:r>
    </w:p>
    <w:p w14:paraId="2A46B0A6" w14:textId="47E04A83" w:rsidR="00732487" w:rsidRDefault="009F44F5" w:rsidP="00732487">
      <w:pPr>
        <w:pStyle w:val="base-text-paragraph"/>
        <w:numPr>
          <w:ilvl w:val="1"/>
          <w:numId w:val="32"/>
        </w:numPr>
      </w:pPr>
      <w:r>
        <w:t>O</w:t>
      </w:r>
      <w:r w:rsidR="009A363F">
        <w:t>ffence</w:t>
      </w:r>
      <w:r>
        <w:t>s relating to</w:t>
      </w:r>
      <w:r w:rsidR="009A363F">
        <w:t xml:space="preserve"> </w:t>
      </w:r>
      <w:r w:rsidR="00AF2897">
        <w:t xml:space="preserve">the </w:t>
      </w:r>
      <w:r w:rsidR="009A363F">
        <w:t>manipulati</w:t>
      </w:r>
      <w:r>
        <w:t>on of</w:t>
      </w:r>
      <w:r w:rsidR="009A363F">
        <w:t xml:space="preserve"> financial benchmark</w:t>
      </w:r>
      <w:r w:rsidR="00AF2897">
        <w:t>s</w:t>
      </w:r>
      <w:r w:rsidR="009A363F">
        <w:t xml:space="preserve"> </w:t>
      </w:r>
      <w:r>
        <w:t>are</w:t>
      </w:r>
      <w:r w:rsidR="009A363F">
        <w:t xml:space="preserve"> created</w:t>
      </w:r>
      <w:r>
        <w:t>,</w:t>
      </w:r>
      <w:r w:rsidR="009A363F">
        <w:t xml:space="preserve"> including an appropriate penalty regime.</w:t>
      </w:r>
    </w:p>
    <w:p w14:paraId="46D545DA" w14:textId="77777777" w:rsidR="00732487" w:rsidRDefault="00732487" w:rsidP="004A17C0">
      <w:pPr>
        <w:pStyle w:val="Heading2"/>
      </w:pPr>
      <w:r>
        <w:t>Summary of new law</w:t>
      </w:r>
    </w:p>
    <w:p w14:paraId="7EE58446" w14:textId="46B17A31" w:rsidR="00732487" w:rsidRDefault="00C71ACF" w:rsidP="00732487">
      <w:pPr>
        <w:pStyle w:val="base-text-paragraph"/>
        <w:numPr>
          <w:ilvl w:val="1"/>
          <w:numId w:val="32"/>
        </w:numPr>
      </w:pPr>
      <w:r>
        <w:t>Offences for manipulating financial benchmark</w:t>
      </w:r>
      <w:r w:rsidR="00AF2897">
        <w:t>s</w:t>
      </w:r>
      <w:r>
        <w:t xml:space="preserve"> in a number of specified ways are created. Conduct resulting in these offences includes doing or not doing an act</w:t>
      </w:r>
      <w:r w:rsidR="00167BF0">
        <w:t xml:space="preserve"> or acts</w:t>
      </w:r>
      <w:r>
        <w:t xml:space="preserve"> resulting </w:t>
      </w:r>
      <w:r w:rsidR="00136372">
        <w:t xml:space="preserve">in a </w:t>
      </w:r>
      <w:r w:rsidR="00CA2C58">
        <w:t>financial benchmark</w:t>
      </w:r>
      <w:r w:rsidR="008815E9">
        <w:t xml:space="preserve"> being administered at an artificial level</w:t>
      </w:r>
      <w:r w:rsidR="00136372">
        <w:t xml:space="preserve">; making a false or misleading statement or disseminating false or misleading information </w:t>
      </w:r>
      <w:r w:rsidR="00CA2C58">
        <w:t>that could affect a financial benchmark</w:t>
      </w:r>
      <w:r w:rsidR="00136372">
        <w:t xml:space="preserve">; and </w:t>
      </w:r>
      <w:r w:rsidR="00CA2C58">
        <w:t>engaging in</w:t>
      </w:r>
      <w:r w:rsidR="00136372">
        <w:t xml:space="preserve"> dishonest</w:t>
      </w:r>
      <w:r w:rsidR="00CA2C58">
        <w:t xml:space="preserve"> conduct that could affect</w:t>
      </w:r>
      <w:r w:rsidR="00136372">
        <w:t xml:space="preserve"> a financial benchmark.</w:t>
      </w:r>
    </w:p>
    <w:p w14:paraId="2C20A447" w14:textId="1703B649" w:rsidR="00AD5727" w:rsidRDefault="00AD5727" w:rsidP="00732487">
      <w:pPr>
        <w:pStyle w:val="base-text-paragraph"/>
        <w:numPr>
          <w:ilvl w:val="1"/>
          <w:numId w:val="32"/>
        </w:numPr>
      </w:pPr>
      <w:r>
        <w:t>Extended geographical scope Category B (a</w:t>
      </w:r>
      <w:r w:rsidR="00302CFE">
        <w:t>s set out in section 15.2 of the Criminal Code) is applied to each offence under this Division. Applying an extended geographical scope for these offences is critical because</w:t>
      </w:r>
      <w:r w:rsidR="00D97E19">
        <w:t xml:space="preserve"> of the potential for financial benchmarks to be manipulated</w:t>
      </w:r>
      <w:r w:rsidR="00302CFE">
        <w:t xml:space="preserve"> across borders.</w:t>
      </w:r>
    </w:p>
    <w:p w14:paraId="0F90E26A" w14:textId="01849338" w:rsidR="00136372" w:rsidRPr="008F726E" w:rsidRDefault="00136372" w:rsidP="00732487">
      <w:pPr>
        <w:pStyle w:val="base-text-paragraph"/>
        <w:numPr>
          <w:ilvl w:val="1"/>
          <w:numId w:val="32"/>
        </w:numPr>
      </w:pPr>
      <w:r>
        <w:t>Penalties are imposed for these offences that are based on the penalties applying to the existing market manipulation and related offences. Category B of the extended geographical jurisdiction provisions in section 15.2 of the Criminal Code</w:t>
      </w:r>
      <w:r w:rsidR="005E6510">
        <w:t xml:space="preserve"> </w:t>
      </w:r>
      <w:r w:rsidR="008E31C2">
        <w:t>is applied to the civil penalty provisions attached to contraventions of the financial benchmark manipulation provisions.</w:t>
      </w:r>
    </w:p>
    <w:p w14:paraId="46106797" w14:textId="77777777" w:rsidR="00732487" w:rsidRDefault="00732487" w:rsidP="004A17C0">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32487" w:rsidRPr="004666B8" w14:paraId="0220727D" w14:textId="77777777" w:rsidTr="004A17C0">
        <w:tc>
          <w:tcPr>
            <w:tcW w:w="3275" w:type="dxa"/>
          </w:tcPr>
          <w:p w14:paraId="7E62F6ED" w14:textId="77777777" w:rsidR="00732487" w:rsidRPr="004666B8" w:rsidRDefault="00732487" w:rsidP="004A17C0">
            <w:pPr>
              <w:pStyle w:val="tableheaderwithintable"/>
              <w:rPr>
                <w:lang w:val="en-US" w:eastAsia="en-US"/>
              </w:rPr>
            </w:pPr>
            <w:r w:rsidRPr="004666B8">
              <w:rPr>
                <w:lang w:val="en-US" w:eastAsia="en-US"/>
              </w:rPr>
              <w:t>New law</w:t>
            </w:r>
          </w:p>
        </w:tc>
        <w:tc>
          <w:tcPr>
            <w:tcW w:w="3276" w:type="dxa"/>
          </w:tcPr>
          <w:p w14:paraId="35A7D198" w14:textId="77777777" w:rsidR="00732487" w:rsidRPr="004666B8" w:rsidRDefault="00732487" w:rsidP="004A17C0">
            <w:pPr>
              <w:pStyle w:val="tableheaderwithintable"/>
              <w:rPr>
                <w:lang w:val="en-US" w:eastAsia="en-US"/>
              </w:rPr>
            </w:pPr>
            <w:r w:rsidRPr="004666B8">
              <w:rPr>
                <w:lang w:val="en-US" w:eastAsia="en-US"/>
              </w:rPr>
              <w:t>Current law</w:t>
            </w:r>
          </w:p>
        </w:tc>
      </w:tr>
      <w:tr w:rsidR="00732487" w:rsidRPr="004666B8" w14:paraId="5C758647" w14:textId="77777777" w:rsidTr="004A17C0">
        <w:tc>
          <w:tcPr>
            <w:tcW w:w="3275" w:type="dxa"/>
          </w:tcPr>
          <w:p w14:paraId="3356C7FC" w14:textId="676FEF5E" w:rsidR="00616711" w:rsidRDefault="00616711" w:rsidP="004A17C0">
            <w:pPr>
              <w:pStyle w:val="tabletext"/>
              <w:rPr>
                <w:lang w:val="en-US" w:eastAsia="en-US"/>
              </w:rPr>
            </w:pPr>
            <w:r>
              <w:rPr>
                <w:lang w:val="en-US" w:eastAsia="en-US"/>
              </w:rPr>
              <w:t>Offences are created for manipulating financial benchmark</w:t>
            </w:r>
            <w:r w:rsidR="002E5B93">
              <w:rPr>
                <w:lang w:val="en-US" w:eastAsia="en-US"/>
              </w:rPr>
              <w:t>s</w:t>
            </w:r>
            <w:r>
              <w:rPr>
                <w:lang w:val="en-US" w:eastAsia="en-US"/>
              </w:rPr>
              <w:t xml:space="preserve"> in a number of specified ways.</w:t>
            </w:r>
          </w:p>
          <w:p w14:paraId="31D4D6B7" w14:textId="6D7B8AD2" w:rsidR="00732487" w:rsidRPr="004666B8" w:rsidRDefault="00616711" w:rsidP="004A17C0">
            <w:pPr>
              <w:pStyle w:val="tabletext"/>
              <w:rPr>
                <w:lang w:val="en-US" w:eastAsia="en-US"/>
              </w:rPr>
            </w:pPr>
            <w:r>
              <w:rPr>
                <w:lang w:val="en-US" w:eastAsia="en-US"/>
              </w:rPr>
              <w:t>Penalties based on those applying to the current market manipulation offence</w:t>
            </w:r>
            <w:r w:rsidR="006B1F17">
              <w:rPr>
                <w:lang w:val="en-US" w:eastAsia="en-US"/>
              </w:rPr>
              <w:t>s</w:t>
            </w:r>
            <w:r>
              <w:rPr>
                <w:lang w:val="en-US" w:eastAsia="en-US"/>
              </w:rPr>
              <w:t xml:space="preserve"> are imposed. The international jurisdictional scope of the offence</w:t>
            </w:r>
            <w:r w:rsidR="006B1F17">
              <w:rPr>
                <w:lang w:val="en-US" w:eastAsia="en-US"/>
              </w:rPr>
              <w:t>s</w:t>
            </w:r>
            <w:r>
              <w:rPr>
                <w:lang w:val="en-US" w:eastAsia="en-US"/>
              </w:rPr>
              <w:t xml:space="preserve"> and related civil penalty provisions is defined by reference to Category B of the extended geographical jurisdiction provisions in the Criminal Code.</w:t>
            </w:r>
          </w:p>
        </w:tc>
        <w:tc>
          <w:tcPr>
            <w:tcW w:w="3276" w:type="dxa"/>
          </w:tcPr>
          <w:p w14:paraId="4D3DF1E4" w14:textId="0C773EAA" w:rsidR="00732487" w:rsidRPr="004666B8" w:rsidRDefault="008E31C2" w:rsidP="008E31C2">
            <w:pPr>
              <w:pStyle w:val="tabletext"/>
              <w:rPr>
                <w:lang w:val="en-US" w:eastAsia="en-US"/>
              </w:rPr>
            </w:pPr>
            <w:r>
              <w:rPr>
                <w:lang w:val="en-US" w:eastAsia="en-US"/>
              </w:rPr>
              <w:t>Manipulation of financial benchmarks is currently prosecuted under the general market manipulation and related provisions in Division 2 of Part 7.10 of the Corporations Act.</w:t>
            </w:r>
            <w:r w:rsidR="00616711">
              <w:rPr>
                <w:lang w:val="en-US" w:eastAsia="en-US"/>
              </w:rPr>
              <w:t xml:space="preserve"> </w:t>
            </w:r>
          </w:p>
        </w:tc>
      </w:tr>
    </w:tbl>
    <w:p w14:paraId="23AD3274" w14:textId="77777777" w:rsidR="00732487" w:rsidRDefault="00732487" w:rsidP="004A17C0">
      <w:pPr>
        <w:pStyle w:val="Heading2"/>
      </w:pPr>
      <w:r>
        <w:t>Detailed explanation of new law</w:t>
      </w:r>
    </w:p>
    <w:p w14:paraId="59F22A00" w14:textId="77777777" w:rsidR="001C26FC" w:rsidRDefault="001C26FC" w:rsidP="001C26FC">
      <w:pPr>
        <w:pStyle w:val="Heading3"/>
      </w:pPr>
      <w:r>
        <w:t>Schedule 1 – Amendments</w:t>
      </w:r>
    </w:p>
    <w:p w14:paraId="3A42202F" w14:textId="77777777" w:rsidR="001C26FC" w:rsidRDefault="001C26FC" w:rsidP="001C26FC">
      <w:pPr>
        <w:pStyle w:val="Heading4"/>
      </w:pPr>
      <w:r>
        <w:t>Part 1 – Main amendments</w:t>
      </w:r>
    </w:p>
    <w:p w14:paraId="15D99148" w14:textId="4F59EE2E" w:rsidR="001C26FC" w:rsidRDefault="001C26FC" w:rsidP="001C26FC">
      <w:pPr>
        <w:pStyle w:val="Heading5"/>
      </w:pPr>
      <w:r>
        <w:t>Division 4 – Offences and civil penalties relating to manipulation of financial benchmarks</w:t>
      </w:r>
    </w:p>
    <w:p w14:paraId="46754BC1" w14:textId="47D9D6F0" w:rsidR="00732487" w:rsidRDefault="00616711" w:rsidP="00732487">
      <w:pPr>
        <w:pStyle w:val="base-text-paragraph"/>
        <w:numPr>
          <w:ilvl w:val="1"/>
          <w:numId w:val="32"/>
        </w:numPr>
      </w:pPr>
      <w:r>
        <w:t>Doing or not doing something</w:t>
      </w:r>
      <w:r w:rsidR="00C63BF8">
        <w:t xml:space="preserve"> </w:t>
      </w:r>
      <w:r>
        <w:t xml:space="preserve">is made an offence if it </w:t>
      </w:r>
      <w:r w:rsidR="003C7025">
        <w:t>has</w:t>
      </w:r>
      <w:r w:rsidR="00FE3EE5">
        <w:t xml:space="preserve"> or is likely to </w:t>
      </w:r>
      <w:r w:rsidR="003C7025">
        <w:t>have the effect of</w:t>
      </w:r>
      <w:r w:rsidR="00FE3EE5">
        <w:t xml:space="preserve"> a financial benchmark</w:t>
      </w:r>
      <w:r w:rsidR="00C63BF8">
        <w:t xml:space="preserve"> being </w:t>
      </w:r>
      <w:r w:rsidR="003C7025">
        <w:t>generated</w:t>
      </w:r>
      <w:r w:rsidR="00C63BF8">
        <w:t xml:space="preserve"> at an artificial level</w:t>
      </w:r>
      <w:r w:rsidR="00FE3EE5">
        <w:t xml:space="preserve">. </w:t>
      </w:r>
      <w:r w:rsidR="00BC4B04">
        <w:t>Just as market misconduct provisions apply to all financial products, and consistent with overseas developments, t</w:t>
      </w:r>
      <w:r w:rsidR="00FE3EE5">
        <w:t xml:space="preserve">he offence </w:t>
      </w:r>
      <w:r w:rsidR="00BC4B04">
        <w:t>applies to all financial benchmarks</w:t>
      </w:r>
      <w:r w:rsidR="00FE3EE5">
        <w:t xml:space="preserve">. </w:t>
      </w:r>
      <w:r w:rsidR="00C63BF8">
        <w:t xml:space="preserve">Under the geographical scope provision applied to this offence in </w:t>
      </w:r>
      <w:r w:rsidR="00C63BF8" w:rsidRPr="00655F3B">
        <w:t>section 908D</w:t>
      </w:r>
      <w:r w:rsidR="006B48E3" w:rsidRPr="00655F3B">
        <w:t>E</w:t>
      </w:r>
      <w:r w:rsidR="00C63BF8" w:rsidRPr="00655F3B">
        <w:t xml:space="preserve"> (see paragraph 4.1</w:t>
      </w:r>
      <w:r w:rsidR="006B48E3" w:rsidRPr="00655F3B">
        <w:t>3</w:t>
      </w:r>
      <w:r w:rsidR="00C63BF8">
        <w:t xml:space="preserve"> below), this limb of the offence will apply to Australian citizens, residents and bodies corporate incorporated in Australia</w:t>
      </w:r>
      <w:r w:rsidR="00D85D4E">
        <w:t xml:space="preserve"> regardless of where the conduct giving rise to the offence occurs</w:t>
      </w:r>
      <w:r w:rsidR="00C63BF8">
        <w:t>.</w:t>
      </w:r>
      <w:r w:rsidR="00B17AF2">
        <w:t xml:space="preserve"> It will also apply to other entities if the conduct giving rise to the offence takes place wholly or at least partly in Australia.</w:t>
      </w:r>
      <w:r w:rsidR="00C63BF8">
        <w:t xml:space="preserve"> </w:t>
      </w:r>
      <w:r w:rsidR="00FE3EE5">
        <w:rPr>
          <w:rStyle w:val="Referencingstyle"/>
        </w:rPr>
        <w:t xml:space="preserve">[Schedule 1, item 1, </w:t>
      </w:r>
      <w:r w:rsidR="000012DF">
        <w:rPr>
          <w:rStyle w:val="Referencingstyle"/>
        </w:rPr>
        <w:t>sub</w:t>
      </w:r>
      <w:r w:rsidR="00FE3EE5">
        <w:rPr>
          <w:rStyle w:val="Referencingstyle"/>
        </w:rPr>
        <w:t>section</w:t>
      </w:r>
      <w:r w:rsidR="000012DF">
        <w:rPr>
          <w:rStyle w:val="Referencingstyle"/>
        </w:rPr>
        <w:t>s</w:t>
      </w:r>
      <w:r w:rsidR="00FE3EE5">
        <w:rPr>
          <w:rStyle w:val="Referencingstyle"/>
        </w:rPr>
        <w:t xml:space="preserve"> 908D</w:t>
      </w:r>
      <w:r w:rsidR="008039FB">
        <w:rPr>
          <w:rStyle w:val="Referencingstyle"/>
        </w:rPr>
        <w:t>A</w:t>
      </w:r>
      <w:r w:rsidR="00C63BF8">
        <w:rPr>
          <w:rStyle w:val="Referencingstyle"/>
        </w:rPr>
        <w:t>(1)</w:t>
      </w:r>
      <w:r w:rsidR="009B4181">
        <w:rPr>
          <w:rStyle w:val="Referencingstyle"/>
        </w:rPr>
        <w:t xml:space="preserve"> and (3)</w:t>
      </w:r>
      <w:r w:rsidR="00FE3EE5">
        <w:rPr>
          <w:rStyle w:val="Referencingstyle"/>
        </w:rPr>
        <w:t>]</w:t>
      </w:r>
      <w:r w:rsidR="00FE3EE5">
        <w:t xml:space="preserve"> </w:t>
      </w:r>
    </w:p>
    <w:p w14:paraId="0DFD35FA" w14:textId="58D7B38C" w:rsidR="00C63BF8" w:rsidRDefault="00247E56" w:rsidP="00732487">
      <w:pPr>
        <w:pStyle w:val="base-text-paragraph"/>
        <w:numPr>
          <w:ilvl w:val="1"/>
          <w:numId w:val="32"/>
        </w:numPr>
      </w:pPr>
      <w:r>
        <w:t xml:space="preserve">A separate limb of the offence is created which will apply to foreign nationals and bodies, as set out in the geographical scope provision in </w:t>
      </w:r>
      <w:r w:rsidRPr="00655F3B">
        <w:t>section 908D</w:t>
      </w:r>
      <w:r w:rsidR="006B48E3" w:rsidRPr="00655F3B">
        <w:t>E</w:t>
      </w:r>
      <w:r>
        <w:t>. In the case of these entities</w:t>
      </w:r>
      <w:r w:rsidR="00D85D4E">
        <w:t xml:space="preserve"> the offence will apply if </w:t>
      </w:r>
      <w:r>
        <w:t>the act or omission</w:t>
      </w:r>
      <w:r w:rsidR="00D85D4E">
        <w:t xml:space="preserve"> occurs in relation to a significant financial benchmark or, if the affected benchmark is not a significant one, </w:t>
      </w:r>
      <w:r>
        <w:t xml:space="preserve">an Australian entity </w:t>
      </w:r>
      <w:r w:rsidR="00AB11CC">
        <w:t xml:space="preserve">(a defined term including both individuals and bodies corporate) </w:t>
      </w:r>
      <w:r>
        <w:t>suffer</w:t>
      </w:r>
      <w:r w:rsidR="00D85D4E">
        <w:t>s</w:t>
      </w:r>
      <w:r>
        <w:t xml:space="preserve"> some financial or other disadvantage as a consequence.</w:t>
      </w:r>
      <w:r w:rsidR="009B4181">
        <w:t xml:space="preserve"> </w:t>
      </w:r>
      <w:r w:rsidR="009B4181">
        <w:rPr>
          <w:rStyle w:val="Referencingstyle"/>
        </w:rPr>
        <w:t xml:space="preserve">[Schedule 1, item 1, </w:t>
      </w:r>
      <w:r w:rsidR="000012DF">
        <w:rPr>
          <w:rStyle w:val="Referencingstyle"/>
        </w:rPr>
        <w:t>sub</w:t>
      </w:r>
      <w:r w:rsidR="009B4181">
        <w:rPr>
          <w:rStyle w:val="Referencingstyle"/>
        </w:rPr>
        <w:t>section</w:t>
      </w:r>
      <w:r w:rsidR="000012DF">
        <w:rPr>
          <w:rStyle w:val="Referencingstyle"/>
        </w:rPr>
        <w:t>s</w:t>
      </w:r>
      <w:r w:rsidR="009B4181">
        <w:rPr>
          <w:rStyle w:val="Referencingstyle"/>
        </w:rPr>
        <w:t xml:space="preserve"> 908D</w:t>
      </w:r>
      <w:r w:rsidR="008039FB">
        <w:rPr>
          <w:rStyle w:val="Referencingstyle"/>
        </w:rPr>
        <w:t>A</w:t>
      </w:r>
      <w:r w:rsidR="009B4181">
        <w:rPr>
          <w:rStyle w:val="Referencingstyle"/>
        </w:rPr>
        <w:t>(2</w:t>
      </w:r>
      <w:r w:rsidR="00AB11CC">
        <w:rPr>
          <w:rStyle w:val="Referencingstyle"/>
        </w:rPr>
        <w:t>) and (3</w:t>
      </w:r>
      <w:r w:rsidR="009B4181">
        <w:rPr>
          <w:rStyle w:val="Referencingstyle"/>
        </w:rPr>
        <w:t>]</w:t>
      </w:r>
      <w:r w:rsidR="009B4181">
        <w:t xml:space="preserve"> </w:t>
      </w:r>
    </w:p>
    <w:p w14:paraId="707B24AE" w14:textId="25E07214" w:rsidR="000012DF" w:rsidRDefault="000012DF" w:rsidP="00732487">
      <w:pPr>
        <w:pStyle w:val="base-text-paragraph"/>
        <w:numPr>
          <w:ilvl w:val="1"/>
          <w:numId w:val="32"/>
        </w:numPr>
      </w:pPr>
      <w:r>
        <w:t xml:space="preserve">An offence is committed by breaching either of the two limbs of the offence. The applicable penalty is determined </w:t>
      </w:r>
      <w:r w:rsidRPr="00655F3B">
        <w:t>in section 908D</w:t>
      </w:r>
      <w:r w:rsidR="006B48E3" w:rsidRPr="00655F3B">
        <w:t>D</w:t>
      </w:r>
      <w:r w:rsidRPr="00655F3B">
        <w:t>, with an extended geographical scope as defined in section 908D</w:t>
      </w:r>
      <w:r w:rsidR="006B48E3" w:rsidRPr="00655F3B">
        <w:t>E</w:t>
      </w:r>
      <w:r w:rsidRPr="00655F3B">
        <w:t>. Breaches also attract a civil penalty (see paragraphs 4.</w:t>
      </w:r>
      <w:r w:rsidR="0014340C" w:rsidRPr="00655F3B">
        <w:t>20</w:t>
      </w:r>
      <w:r w:rsidRPr="00655F3B">
        <w:t xml:space="preserve"> and following below), which have a similar extended geographical scope as explained in paragraph 4.</w:t>
      </w:r>
      <w:r w:rsidR="00A1272D">
        <w:t>14</w:t>
      </w:r>
      <w:r>
        <w:t xml:space="preserve"> below. </w:t>
      </w:r>
      <w:r>
        <w:rPr>
          <w:rStyle w:val="Referencingstyle"/>
        </w:rPr>
        <w:t>[Schedule 1, item 1, subsection 908D</w:t>
      </w:r>
      <w:r w:rsidR="008039FB">
        <w:rPr>
          <w:rStyle w:val="Referencingstyle"/>
        </w:rPr>
        <w:t>A</w:t>
      </w:r>
      <w:r>
        <w:rPr>
          <w:rStyle w:val="Referencingstyle"/>
        </w:rPr>
        <w:t>(3)</w:t>
      </w:r>
      <w:r w:rsidR="0081636E">
        <w:rPr>
          <w:rStyle w:val="Referencingstyle"/>
        </w:rPr>
        <w:t xml:space="preserve"> and note</w:t>
      </w:r>
      <w:r>
        <w:rPr>
          <w:rStyle w:val="Referencingstyle"/>
        </w:rPr>
        <w:t>]</w:t>
      </w:r>
      <w:r>
        <w:t xml:space="preserve"> </w:t>
      </w:r>
    </w:p>
    <w:p w14:paraId="555A7C0A" w14:textId="3DE2D98F" w:rsidR="00FE3EE5" w:rsidRPr="00761D70" w:rsidRDefault="00FE3EE5" w:rsidP="00732487">
      <w:pPr>
        <w:pStyle w:val="base-text-paragraph"/>
        <w:numPr>
          <w:ilvl w:val="1"/>
          <w:numId w:val="32"/>
        </w:numPr>
        <w:rPr>
          <w:rStyle w:val="Referencingstyle"/>
          <w:b w:val="0"/>
          <w:i w:val="0"/>
          <w:sz w:val="22"/>
        </w:rPr>
      </w:pPr>
      <w:r>
        <w:t>A person commits an offence if they knowingly or recklessly make a statement or disseminate false or misleading information</w:t>
      </w:r>
      <w:r w:rsidR="00070BFE">
        <w:t xml:space="preserve"> that could be used for the calculation of a financial benchmark</w:t>
      </w:r>
      <w:r>
        <w:t xml:space="preserve">. </w:t>
      </w:r>
      <w:r w:rsidR="00070BFE">
        <w:t xml:space="preserve">This offence provision is structured in the same way as the offence in </w:t>
      </w:r>
      <w:r w:rsidR="00070BFE" w:rsidRPr="00655F3B">
        <w:t>section 908D</w:t>
      </w:r>
      <w:r w:rsidR="00721790" w:rsidRPr="00655F3B">
        <w:t>A</w:t>
      </w:r>
      <w:r w:rsidR="00070BFE" w:rsidRPr="00655F3B">
        <w:t>, with</w:t>
      </w:r>
      <w:r w:rsidR="00077526" w:rsidRPr="00655F3B">
        <w:t xml:space="preserve"> a</w:t>
      </w:r>
      <w:r w:rsidR="00070BFE" w:rsidRPr="00655F3B">
        <w:t xml:space="preserve"> separate limb applying to Australian citizens, residents and bodies corporate incorporated in Australia</w:t>
      </w:r>
      <w:r w:rsidR="00B17AF2" w:rsidRPr="00655F3B">
        <w:t xml:space="preserve"> as well as </w:t>
      </w:r>
      <w:r w:rsidR="00077526" w:rsidRPr="00655F3B">
        <w:t>conduct by any person occurring wholly or at least partly in Australia</w:t>
      </w:r>
      <w:r w:rsidR="0086267A" w:rsidRPr="00655F3B">
        <w:t>.</w:t>
      </w:r>
      <w:r w:rsidR="00077526" w:rsidRPr="00655F3B">
        <w:t xml:space="preserve"> </w:t>
      </w:r>
      <w:r w:rsidR="0086267A" w:rsidRPr="00655F3B">
        <w:t>A</w:t>
      </w:r>
      <w:r w:rsidR="00077526" w:rsidRPr="00655F3B">
        <w:t xml:space="preserve"> second limb will apply to</w:t>
      </w:r>
      <w:r w:rsidR="00070BFE" w:rsidRPr="00655F3B">
        <w:t xml:space="preserve"> foreign nationals and bodies</w:t>
      </w:r>
      <w:r w:rsidR="00077526" w:rsidRPr="00655F3B">
        <w:t xml:space="preserve"> provided</w:t>
      </w:r>
      <w:r w:rsidR="0086267A" w:rsidRPr="00655F3B">
        <w:t xml:space="preserve"> their conduct relates to a</w:t>
      </w:r>
      <w:r w:rsidR="00077526" w:rsidRPr="00655F3B">
        <w:t xml:space="preserve"> benchmark </w:t>
      </w:r>
      <w:r w:rsidR="0086267A" w:rsidRPr="00655F3B">
        <w:t xml:space="preserve">which </w:t>
      </w:r>
      <w:r w:rsidR="00077526" w:rsidRPr="00655F3B">
        <w:t>is a significant financial benchmark or, if that is not the case, an Australian entity suffers some financial or other disadvantage</w:t>
      </w:r>
      <w:r w:rsidR="00070BFE" w:rsidRPr="00655F3B">
        <w:t>. The same penalty provision in section 908D</w:t>
      </w:r>
      <w:r w:rsidR="00721790" w:rsidRPr="00655F3B">
        <w:t>D</w:t>
      </w:r>
      <w:r w:rsidR="00070BFE" w:rsidRPr="00655F3B">
        <w:t xml:space="preserve"> applies to this offence, as well as the extended geographical scope as set out in section 908D</w:t>
      </w:r>
      <w:r w:rsidR="00721790" w:rsidRPr="00655F3B">
        <w:t>E</w:t>
      </w:r>
      <w:r w:rsidR="00070BFE" w:rsidRPr="00655F3B">
        <w:t>.</w:t>
      </w:r>
      <w:r w:rsidR="00070BFE">
        <w:t xml:space="preserve"> A breach of this provision will also attract a civil penalty.</w:t>
      </w:r>
      <w:r>
        <w:t xml:space="preserve"> </w:t>
      </w:r>
      <w:r>
        <w:rPr>
          <w:rStyle w:val="Referencingstyle"/>
        </w:rPr>
        <w:t>[Schedule 1, item 1, section 908D</w:t>
      </w:r>
      <w:r w:rsidR="008039FB">
        <w:rPr>
          <w:rStyle w:val="Referencingstyle"/>
        </w:rPr>
        <w:t>B</w:t>
      </w:r>
      <w:r>
        <w:rPr>
          <w:rStyle w:val="Referencingstyle"/>
        </w:rPr>
        <w:t>]</w:t>
      </w:r>
      <w:r w:rsidR="00761D70">
        <w:rPr>
          <w:rStyle w:val="Referencingstyle"/>
        </w:rPr>
        <w:t xml:space="preserve"> </w:t>
      </w:r>
    </w:p>
    <w:p w14:paraId="756AB040" w14:textId="13AC9A3E" w:rsidR="00CF1D4A" w:rsidRDefault="00706884" w:rsidP="00732487">
      <w:pPr>
        <w:pStyle w:val="base-text-paragraph"/>
        <w:numPr>
          <w:ilvl w:val="1"/>
          <w:numId w:val="32"/>
        </w:numPr>
      </w:pPr>
      <w:r>
        <w:t>Similarly, a</w:t>
      </w:r>
      <w:r w:rsidR="00CF1D4A">
        <w:t xml:space="preserve"> person commits an offence if they engage in dishonest conduct in relation to the generation or administration of a financial benchmark. ‘Dishonest’ is defined </w:t>
      </w:r>
      <w:r>
        <w:t>to</w:t>
      </w:r>
      <w:r w:rsidR="00CF1D4A">
        <w:t xml:space="preserve"> mean dishonest according to the standards of ordinary people</w:t>
      </w:r>
      <w:r w:rsidR="00EC2BC8">
        <w:t xml:space="preserve"> and the person must be aware that the conduct is dishonest by this standard</w:t>
      </w:r>
      <w:r w:rsidR="00CF1D4A">
        <w:t xml:space="preserve">. </w:t>
      </w:r>
      <w:r w:rsidR="00EC2BC8">
        <w:t>This offence is again structured in the same way as the previous two offences.</w:t>
      </w:r>
      <w:r w:rsidR="00CF1D4A">
        <w:t xml:space="preserve"> </w:t>
      </w:r>
      <w:r w:rsidR="00CF1D4A">
        <w:rPr>
          <w:rStyle w:val="Referencingstyle"/>
        </w:rPr>
        <w:t>[Schedule 1, item 1, section 908D</w:t>
      </w:r>
      <w:r w:rsidR="008039FB">
        <w:rPr>
          <w:rStyle w:val="Referencingstyle"/>
        </w:rPr>
        <w:t>C</w:t>
      </w:r>
      <w:r w:rsidR="00CF1D4A">
        <w:rPr>
          <w:rStyle w:val="Referencingstyle"/>
        </w:rPr>
        <w:t>]</w:t>
      </w:r>
      <w:r w:rsidR="00CF1D4A">
        <w:t xml:space="preserve"> </w:t>
      </w:r>
    </w:p>
    <w:p w14:paraId="4E1EC6BE" w14:textId="6ADC5ABE" w:rsidR="00792F46" w:rsidRDefault="00792F46" w:rsidP="00732487">
      <w:pPr>
        <w:pStyle w:val="base-text-paragraph"/>
        <w:numPr>
          <w:ilvl w:val="1"/>
          <w:numId w:val="32"/>
        </w:numPr>
      </w:pPr>
      <w:r>
        <w:t>Penalties for all of these offences are defined as follows:</w:t>
      </w:r>
    </w:p>
    <w:p w14:paraId="75B2E3DC" w14:textId="5FA5E668" w:rsidR="00792F46" w:rsidRDefault="00792F46" w:rsidP="00792F46">
      <w:pPr>
        <w:pStyle w:val="dotpoint"/>
      </w:pPr>
      <w:r>
        <w:t xml:space="preserve">For an individual, imprisonment of up to 10 years and/or a fine being the greater of 4,500 penalty units or three times the total value of the benefits that can reasonably be shown to have been derived from the commission of the offence </w:t>
      </w:r>
      <w:r>
        <w:rPr>
          <w:rStyle w:val="Referencingstyle"/>
        </w:rPr>
        <w:t>[Schedule 1, item 1, subsection 908D</w:t>
      </w:r>
      <w:r w:rsidR="008039FB">
        <w:rPr>
          <w:rStyle w:val="Referencingstyle"/>
        </w:rPr>
        <w:t>D</w:t>
      </w:r>
      <w:r>
        <w:rPr>
          <w:rStyle w:val="Referencingstyle"/>
        </w:rPr>
        <w:t>(1)];</w:t>
      </w:r>
      <w:r>
        <w:t xml:space="preserve"> and</w:t>
      </w:r>
    </w:p>
    <w:p w14:paraId="17021C84" w14:textId="7A851239" w:rsidR="00792F46" w:rsidRDefault="00792F46" w:rsidP="00792F46">
      <w:pPr>
        <w:pStyle w:val="dotpoint"/>
      </w:pPr>
      <w:r>
        <w:t xml:space="preserve">For a body corporate, a fine being the greatest of 45,000 penalty units, three times the total value of the benefits that can reasonably be shown to have been derived from the commission of the offence, or 10% of the body corporate’s annual turnover during the 12 month period ending at the time the offence was committed </w:t>
      </w:r>
      <w:r>
        <w:rPr>
          <w:rStyle w:val="Referencingstyle"/>
        </w:rPr>
        <w:t>[Schedule 1, item 1, subsection 908D</w:t>
      </w:r>
      <w:r w:rsidR="008039FB">
        <w:rPr>
          <w:rStyle w:val="Referencingstyle"/>
        </w:rPr>
        <w:t>D</w:t>
      </w:r>
      <w:r>
        <w:rPr>
          <w:rStyle w:val="Referencingstyle"/>
        </w:rPr>
        <w:t>(2)</w:t>
      </w:r>
      <w:r w:rsidR="00896D45">
        <w:rPr>
          <w:rStyle w:val="Referencingstyle"/>
        </w:rPr>
        <w:t>]</w:t>
      </w:r>
      <w:r>
        <w:rPr>
          <w:rStyle w:val="Referencingstyle"/>
        </w:rPr>
        <w:t>.</w:t>
      </w:r>
      <w:r>
        <w:t xml:space="preserve"> </w:t>
      </w:r>
    </w:p>
    <w:p w14:paraId="557B495F" w14:textId="1375DB06" w:rsidR="00B07428" w:rsidRDefault="00B07428" w:rsidP="00302CFE">
      <w:pPr>
        <w:pStyle w:val="base-text-paragraph"/>
      </w:pPr>
      <w:r>
        <w:t xml:space="preserve">The maximum amounts specified both for the offence and for the civil penalty (see paragraph </w:t>
      </w:r>
      <w:r w:rsidRPr="00655F3B">
        <w:t>4.22</w:t>
      </w:r>
      <w:r>
        <w:t xml:space="preserve"> below for more details on the civil penalty) are relatively high. However, these amounts are justified in view of the </w:t>
      </w:r>
      <w:r w:rsidR="004B3EC2">
        <w:t>seriously</w:t>
      </w:r>
      <w:r>
        <w:t xml:space="preserve"> damaging impact of misconduct of the kind specified in the offence, and the significant profits that may be achieved as a result. </w:t>
      </w:r>
      <w:r w:rsidR="00721790">
        <w:t xml:space="preserve">A high maximum penalty amount is accordingly required to achieve the desired </w:t>
      </w:r>
      <w:r w:rsidR="00542A23">
        <w:t xml:space="preserve">punitive or </w:t>
      </w:r>
      <w:r w:rsidR="00721790">
        <w:t>deterrent effect</w:t>
      </w:r>
      <w:r w:rsidR="00542A23">
        <w:t>s</w:t>
      </w:r>
      <w:r w:rsidR="00721790">
        <w:t xml:space="preserve">. </w:t>
      </w:r>
      <w:r>
        <w:t>The penalty specified for the offence is modelled on the existing market manipulation and other similar offences and penalties in Part 7.10 of the Corporations Act. The civil penalty amount is the same as applies to the existing civil penalties in Part 9.4B of the Act</w:t>
      </w:r>
      <w:r w:rsidR="00F12244">
        <w:t>.</w:t>
      </w:r>
    </w:p>
    <w:p w14:paraId="21359951" w14:textId="77777777" w:rsidR="00302CFE" w:rsidRPr="008F726E" w:rsidRDefault="00302CFE" w:rsidP="00302CFE">
      <w:pPr>
        <w:pStyle w:val="base-text-paragraph"/>
      </w:pPr>
      <w:r>
        <w:t>Applying an extended geographical scope to these offences is critically important given the ease with which financial transactions resulting in the manipulation of a benchmark can be conducted across borders in today’s global financial markets. Failure to provide a wide geographical scope for these offences would represent a serious gap that would be highly likely to prevent the effective enforcement of the financial benchmark regulatory regime by Australian regulators.</w:t>
      </w:r>
    </w:p>
    <w:p w14:paraId="04B5D4DD" w14:textId="094B0139" w:rsidR="0060384C" w:rsidRDefault="00302CFE" w:rsidP="00302CFE">
      <w:pPr>
        <w:pStyle w:val="base-text-paragraph"/>
      </w:pPr>
      <w:r>
        <w:t xml:space="preserve"> </w:t>
      </w:r>
      <w:r w:rsidR="0060384C">
        <w:t xml:space="preserve">Extended geographical jurisdiction – </w:t>
      </w:r>
      <w:r w:rsidR="00354F87">
        <w:t>c</w:t>
      </w:r>
      <w:r w:rsidR="0060384C">
        <w:t xml:space="preserve">ategory B as set out in section 15.2 </w:t>
      </w:r>
      <w:r w:rsidR="00DE2A8E">
        <w:t xml:space="preserve">of the Criminal Code </w:t>
      </w:r>
      <w:r w:rsidR="0060384C">
        <w:t>is applied to each offence under this Division</w:t>
      </w:r>
      <w:r w:rsidR="009676F2">
        <w:t xml:space="preserve"> (see Table 16.1 below for a summary table explaining this provision)</w:t>
      </w:r>
      <w:r w:rsidR="0060384C">
        <w:t>.</w:t>
      </w:r>
      <w:r w:rsidR="00DE2A8E">
        <w:t xml:space="preserve"> Under this category the offences apply to Australian citizens</w:t>
      </w:r>
      <w:r w:rsidR="00091F69">
        <w:t>, residents and</w:t>
      </w:r>
      <w:r w:rsidR="00DE2A8E">
        <w:t xml:space="preserve"> bodies corporate</w:t>
      </w:r>
      <w:r w:rsidR="00091F69">
        <w:t xml:space="preserve"> incorporated in Australia</w:t>
      </w:r>
      <w:r w:rsidR="00747403">
        <w:t xml:space="preserve"> regardless</w:t>
      </w:r>
      <w:r w:rsidR="00D50F0C">
        <w:t xml:space="preserve"> of</w:t>
      </w:r>
      <w:r w:rsidR="00747403">
        <w:t xml:space="preserve"> where</w:t>
      </w:r>
      <w:r w:rsidR="00DE2A8E">
        <w:t xml:space="preserve"> the conduct giving rise to the offence </w:t>
      </w:r>
      <w:r w:rsidR="00747403">
        <w:t xml:space="preserve">occurs. </w:t>
      </w:r>
      <w:r w:rsidR="00DE2A8E">
        <w:t>The offences apply to foreign nationals and bodies corporate if the conduct giving rise to the offences occurs</w:t>
      </w:r>
      <w:r w:rsidR="00747403">
        <w:t xml:space="preserve"> at least partly</w:t>
      </w:r>
      <w:r w:rsidR="00DE2A8E">
        <w:t xml:space="preserve"> in Australia. They also apply if the conduct occurs abroad, provided that</w:t>
      </w:r>
      <w:r w:rsidR="00A7795D">
        <w:t xml:space="preserve"> the affected benchmark is a significant financial benchmark. If that is not the case, there must be</w:t>
      </w:r>
      <w:r w:rsidR="00DE2A8E">
        <w:t xml:space="preserve"> a result of the conduct </w:t>
      </w:r>
      <w:r w:rsidR="00A7795D">
        <w:t xml:space="preserve">that </w:t>
      </w:r>
      <w:r w:rsidR="00DE2A8E">
        <w:t>occurs in Australia</w:t>
      </w:r>
      <w:r w:rsidR="00A7795D">
        <w:t xml:space="preserve"> </w:t>
      </w:r>
      <w:r w:rsidR="00D50F0C">
        <w:t>by virtue of</w:t>
      </w:r>
      <w:r w:rsidR="00A7795D">
        <w:t xml:space="preserve"> an Australian entity suffering financial or other disadvantage</w:t>
      </w:r>
      <w:r w:rsidR="00DE2A8E">
        <w:t xml:space="preserve">. However, under these circumstances there is a defence available if there is no </w:t>
      </w:r>
      <w:r w:rsidR="00747403">
        <w:t>corresponding</w:t>
      </w:r>
      <w:r w:rsidR="00DE2A8E">
        <w:t xml:space="preserve"> offence in the domestic law of the jurisdiction where the conduct occurs</w:t>
      </w:r>
      <w:r w:rsidR="00747403">
        <w:t xml:space="preserve">. </w:t>
      </w:r>
      <w:r w:rsidR="00747403">
        <w:rPr>
          <w:rStyle w:val="Referencingstyle"/>
        </w:rPr>
        <w:t>[Schedule 1, item 1, subsection 908D</w:t>
      </w:r>
      <w:r w:rsidR="008039FB">
        <w:rPr>
          <w:rStyle w:val="Referencingstyle"/>
        </w:rPr>
        <w:t>E</w:t>
      </w:r>
      <w:r w:rsidR="00747403">
        <w:rPr>
          <w:rStyle w:val="Referencingstyle"/>
        </w:rPr>
        <w:t>(1)]</w:t>
      </w:r>
      <w:r w:rsidR="00747403">
        <w:t xml:space="preserve"> </w:t>
      </w:r>
    </w:p>
    <w:p w14:paraId="7EDA51FB" w14:textId="412F820B" w:rsidR="00747403" w:rsidRDefault="00747403" w:rsidP="00DE2A8E">
      <w:pPr>
        <w:pStyle w:val="base-text-paragraph"/>
      </w:pPr>
      <w:r>
        <w:t xml:space="preserve">The same extended geographical jurisdiction is applied to the civil penalty provisions created </w:t>
      </w:r>
      <w:r w:rsidRPr="00655F3B">
        <w:t xml:space="preserve">under section 1317E in relation to the offences in this Division (see </w:t>
      </w:r>
      <w:r w:rsidR="00EC2BC8" w:rsidRPr="00655F3B">
        <w:t>paragraph 4.</w:t>
      </w:r>
      <w:r w:rsidR="00796475" w:rsidRPr="00655F3B">
        <w:t>20</w:t>
      </w:r>
      <w:r w:rsidR="00EC2BC8" w:rsidRPr="00655F3B">
        <w:t xml:space="preserve"> a</w:t>
      </w:r>
      <w:r w:rsidR="00EC2BC8">
        <w:t>nd following</w:t>
      </w:r>
      <w:r>
        <w:t xml:space="preserve"> below</w:t>
      </w:r>
      <w:r w:rsidR="009676F2">
        <w:t>, as well as Table 16.1</w:t>
      </w:r>
      <w:r>
        <w:t xml:space="preserve">). </w:t>
      </w:r>
      <w:r w:rsidR="00354F87">
        <w:t>It is also made clear that the Attorney-General’s consent must be obtained before proceedings can be commenced against a foreign person or body corporate for conduct occurring wholly outside Australia. This provision is based on section 16.1 of the Criminal Code. Similarly, provisions explaining in further detail when an act is taken to have occurred in Australia are based on section 16.2 of the Criminal Code.</w:t>
      </w:r>
      <w:r w:rsidR="00C03E7C">
        <w:t xml:space="preserve"> Sections 16.1 and 16.2 of the Criminal Code also apply to the offence</w:t>
      </w:r>
      <w:r w:rsidR="00141143">
        <w:t>s</w:t>
      </w:r>
      <w:r w:rsidR="00C03E7C">
        <w:t xml:space="preserve"> in </w:t>
      </w:r>
      <w:r w:rsidR="00141143">
        <w:t>this Division</w:t>
      </w:r>
      <w:r w:rsidR="00C03E7C">
        <w:t>, by virtue of the application of the extended geographical jurisdiction – category B.</w:t>
      </w:r>
      <w:r w:rsidR="00354F87">
        <w:t xml:space="preserve"> </w:t>
      </w:r>
      <w:r w:rsidR="00354F87">
        <w:rPr>
          <w:rStyle w:val="Referencingstyle"/>
        </w:rPr>
        <w:t>[Schedule 1, item 1, subsections 908D</w:t>
      </w:r>
      <w:r w:rsidR="008039FB">
        <w:rPr>
          <w:rStyle w:val="Referencingstyle"/>
        </w:rPr>
        <w:t>E</w:t>
      </w:r>
      <w:r w:rsidR="00354F87">
        <w:rPr>
          <w:rStyle w:val="Referencingstyle"/>
        </w:rPr>
        <w:t>(2) to (8)]</w:t>
      </w:r>
      <w:r w:rsidR="00354F87">
        <w:t xml:space="preserve"> </w:t>
      </w:r>
    </w:p>
    <w:p w14:paraId="5D98DBE9" w14:textId="77777777" w:rsidR="00941C05" w:rsidRDefault="00941C05" w:rsidP="00941C05">
      <w:pPr>
        <w:pStyle w:val="base-text-paragraphnonumbers"/>
      </w:pPr>
    </w:p>
    <w:p w14:paraId="2BD41734" w14:textId="03EEC189" w:rsidR="009C0B14" w:rsidRDefault="009C0B14" w:rsidP="00941C05">
      <w:pPr>
        <w:pStyle w:val="base-text-paragraphnonumbers"/>
      </w:pPr>
    </w:p>
    <w:p w14:paraId="610033B5" w14:textId="75791894" w:rsidR="00941C05" w:rsidRDefault="00941C05" w:rsidP="00941C05">
      <w:pPr>
        <w:pStyle w:val="TableHeadingoutsidetable"/>
        <w:tabs>
          <w:tab w:val="clear" w:pos="360"/>
        </w:tabs>
      </w:pPr>
      <w:r>
        <w:t xml:space="preserve"> </w:t>
      </w:r>
      <w:r w:rsidRPr="00941C05">
        <w:t>Geographical jurisdictional reach – Category B</w:t>
      </w:r>
    </w:p>
    <w:tbl>
      <w:tblPr>
        <w:tblStyle w:val="TableGrid10"/>
        <w:tblW w:w="8082" w:type="dxa"/>
        <w:tblInd w:w="534" w:type="dxa"/>
        <w:tblLayout w:type="fixed"/>
        <w:tblLook w:val="04A0" w:firstRow="1" w:lastRow="0" w:firstColumn="1" w:lastColumn="0" w:noHBand="0" w:noVBand="1"/>
      </w:tblPr>
      <w:tblGrid>
        <w:gridCol w:w="1336"/>
        <w:gridCol w:w="907"/>
        <w:gridCol w:w="907"/>
        <w:gridCol w:w="709"/>
        <w:gridCol w:w="850"/>
        <w:gridCol w:w="907"/>
        <w:gridCol w:w="907"/>
        <w:gridCol w:w="709"/>
        <w:gridCol w:w="850"/>
      </w:tblGrid>
      <w:tr w:rsidR="00E70CE7" w:rsidRPr="00941C05" w14:paraId="65E97D4C" w14:textId="77777777" w:rsidTr="00BD62F4">
        <w:trPr>
          <w:trHeight w:val="711"/>
        </w:trPr>
        <w:tc>
          <w:tcPr>
            <w:tcW w:w="1336" w:type="dxa"/>
          </w:tcPr>
          <w:p w14:paraId="775FD5C3" w14:textId="77777777" w:rsidR="00E70CE7" w:rsidRPr="00941C05" w:rsidRDefault="00E70CE7" w:rsidP="00BD62F4">
            <w:pPr>
              <w:rPr>
                <w:sz w:val="18"/>
                <w:szCs w:val="18"/>
              </w:rPr>
            </w:pPr>
          </w:p>
        </w:tc>
        <w:tc>
          <w:tcPr>
            <w:tcW w:w="3373" w:type="dxa"/>
            <w:gridSpan w:val="4"/>
          </w:tcPr>
          <w:p w14:paraId="31CCC480" w14:textId="220B6939" w:rsidR="00E70CE7" w:rsidRPr="00E70CE7" w:rsidRDefault="00E70CE7" w:rsidP="00941C05">
            <w:pPr>
              <w:spacing w:before="0" w:after="0"/>
            </w:pPr>
            <w:r w:rsidRPr="00E70CE7">
              <w:t>Significant benchmarks</w:t>
            </w:r>
          </w:p>
        </w:tc>
        <w:tc>
          <w:tcPr>
            <w:tcW w:w="3373" w:type="dxa"/>
            <w:gridSpan w:val="4"/>
          </w:tcPr>
          <w:p w14:paraId="3DB1B7EB" w14:textId="14F65FC9" w:rsidR="00E70CE7" w:rsidRPr="00E70CE7" w:rsidRDefault="00E70CE7" w:rsidP="00941C05">
            <w:pPr>
              <w:spacing w:before="0" w:after="0"/>
            </w:pPr>
            <w:r w:rsidRPr="00E70CE7">
              <w:t>Non-significant benchmarks</w:t>
            </w:r>
          </w:p>
        </w:tc>
      </w:tr>
      <w:tr w:rsidR="00941C05" w:rsidRPr="00941C05" w14:paraId="3AAADED7" w14:textId="77777777" w:rsidTr="00941C05">
        <w:trPr>
          <w:trHeight w:val="469"/>
        </w:trPr>
        <w:tc>
          <w:tcPr>
            <w:tcW w:w="1336" w:type="dxa"/>
          </w:tcPr>
          <w:p w14:paraId="4978BF06" w14:textId="77777777" w:rsidR="00941C05" w:rsidRPr="00941C05" w:rsidRDefault="00941C05" w:rsidP="00941C05">
            <w:pPr>
              <w:spacing w:before="0" w:after="0"/>
              <w:rPr>
                <w:sz w:val="18"/>
                <w:szCs w:val="18"/>
              </w:rPr>
            </w:pPr>
            <w:r w:rsidRPr="00941C05">
              <w:rPr>
                <w:sz w:val="18"/>
                <w:szCs w:val="18"/>
              </w:rPr>
              <w:t>Entity/Location</w:t>
            </w:r>
          </w:p>
        </w:tc>
        <w:tc>
          <w:tcPr>
            <w:tcW w:w="907" w:type="dxa"/>
          </w:tcPr>
          <w:p w14:paraId="38453108" w14:textId="77777777" w:rsidR="00941C05" w:rsidRPr="00941C05" w:rsidRDefault="00941C05" w:rsidP="00941C05">
            <w:pPr>
              <w:spacing w:before="0" w:after="0"/>
              <w:rPr>
                <w:sz w:val="18"/>
                <w:szCs w:val="18"/>
              </w:rPr>
            </w:pPr>
            <w:r w:rsidRPr="00941C05">
              <w:rPr>
                <w:sz w:val="18"/>
                <w:szCs w:val="18"/>
              </w:rPr>
              <w:t>In Australia</w:t>
            </w:r>
          </w:p>
        </w:tc>
        <w:tc>
          <w:tcPr>
            <w:tcW w:w="907" w:type="dxa"/>
          </w:tcPr>
          <w:p w14:paraId="5176D04E" w14:textId="77777777" w:rsidR="00941C05" w:rsidRPr="00941C05" w:rsidRDefault="00941C05" w:rsidP="00941C05">
            <w:pPr>
              <w:spacing w:before="0" w:after="0"/>
              <w:rPr>
                <w:sz w:val="18"/>
                <w:szCs w:val="18"/>
              </w:rPr>
            </w:pPr>
            <w:r w:rsidRPr="00941C05">
              <w:rPr>
                <w:sz w:val="18"/>
                <w:szCs w:val="18"/>
              </w:rPr>
              <w:t>Outside Australia</w:t>
            </w:r>
          </w:p>
        </w:tc>
        <w:tc>
          <w:tcPr>
            <w:tcW w:w="709" w:type="dxa"/>
          </w:tcPr>
          <w:p w14:paraId="5622165A" w14:textId="77777777" w:rsidR="00941C05" w:rsidRPr="00941C05" w:rsidRDefault="00941C05" w:rsidP="00941C05">
            <w:pPr>
              <w:spacing w:before="0" w:after="0"/>
              <w:rPr>
                <w:sz w:val="18"/>
                <w:szCs w:val="18"/>
              </w:rPr>
            </w:pPr>
            <w:r w:rsidRPr="00941C05">
              <w:rPr>
                <w:sz w:val="18"/>
                <w:szCs w:val="18"/>
              </w:rPr>
              <w:t>Result</w:t>
            </w:r>
          </w:p>
        </w:tc>
        <w:tc>
          <w:tcPr>
            <w:tcW w:w="850" w:type="dxa"/>
          </w:tcPr>
          <w:p w14:paraId="74C0689D" w14:textId="77777777" w:rsidR="00941C05" w:rsidRPr="00941C05" w:rsidRDefault="00941C05" w:rsidP="00941C05">
            <w:pPr>
              <w:spacing w:before="0" w:after="0"/>
              <w:rPr>
                <w:sz w:val="18"/>
                <w:szCs w:val="18"/>
              </w:rPr>
            </w:pPr>
            <w:r w:rsidRPr="00941C05">
              <w:rPr>
                <w:sz w:val="18"/>
                <w:szCs w:val="18"/>
              </w:rPr>
              <w:t>Defence</w:t>
            </w:r>
          </w:p>
        </w:tc>
        <w:tc>
          <w:tcPr>
            <w:tcW w:w="907" w:type="dxa"/>
          </w:tcPr>
          <w:p w14:paraId="147A3AC9" w14:textId="77777777" w:rsidR="00941C05" w:rsidRPr="00941C05" w:rsidRDefault="00941C05" w:rsidP="00941C05">
            <w:pPr>
              <w:spacing w:before="0" w:after="0"/>
              <w:rPr>
                <w:sz w:val="18"/>
                <w:szCs w:val="18"/>
              </w:rPr>
            </w:pPr>
            <w:r w:rsidRPr="00941C05">
              <w:rPr>
                <w:sz w:val="18"/>
                <w:szCs w:val="18"/>
              </w:rPr>
              <w:t>In Australia</w:t>
            </w:r>
          </w:p>
        </w:tc>
        <w:tc>
          <w:tcPr>
            <w:tcW w:w="907" w:type="dxa"/>
          </w:tcPr>
          <w:p w14:paraId="302DEC24" w14:textId="77777777" w:rsidR="00941C05" w:rsidRPr="00941C05" w:rsidRDefault="00941C05" w:rsidP="00941C05">
            <w:pPr>
              <w:spacing w:before="0" w:after="0"/>
              <w:rPr>
                <w:sz w:val="18"/>
                <w:szCs w:val="18"/>
              </w:rPr>
            </w:pPr>
            <w:r w:rsidRPr="00941C05">
              <w:rPr>
                <w:sz w:val="18"/>
                <w:szCs w:val="18"/>
              </w:rPr>
              <w:t>Outside Australia</w:t>
            </w:r>
          </w:p>
        </w:tc>
        <w:tc>
          <w:tcPr>
            <w:tcW w:w="709" w:type="dxa"/>
          </w:tcPr>
          <w:p w14:paraId="6CC8E09D" w14:textId="77777777" w:rsidR="00941C05" w:rsidRPr="00941C05" w:rsidRDefault="00941C05" w:rsidP="00941C05">
            <w:pPr>
              <w:spacing w:before="0" w:after="0"/>
              <w:rPr>
                <w:sz w:val="18"/>
                <w:szCs w:val="18"/>
              </w:rPr>
            </w:pPr>
            <w:r w:rsidRPr="00941C05">
              <w:rPr>
                <w:sz w:val="18"/>
                <w:szCs w:val="18"/>
              </w:rPr>
              <w:t>Result</w:t>
            </w:r>
          </w:p>
        </w:tc>
        <w:tc>
          <w:tcPr>
            <w:tcW w:w="850" w:type="dxa"/>
          </w:tcPr>
          <w:p w14:paraId="715DE86F" w14:textId="77777777" w:rsidR="00941C05" w:rsidRPr="00941C05" w:rsidRDefault="00941C05" w:rsidP="00941C05">
            <w:pPr>
              <w:spacing w:before="0" w:after="0"/>
              <w:rPr>
                <w:sz w:val="18"/>
                <w:szCs w:val="18"/>
              </w:rPr>
            </w:pPr>
            <w:r w:rsidRPr="00941C05">
              <w:rPr>
                <w:sz w:val="18"/>
                <w:szCs w:val="18"/>
              </w:rPr>
              <w:t>Defence</w:t>
            </w:r>
          </w:p>
        </w:tc>
      </w:tr>
      <w:tr w:rsidR="00941C05" w:rsidRPr="00941C05" w14:paraId="2629F0E2" w14:textId="77777777" w:rsidTr="00941C05">
        <w:trPr>
          <w:trHeight w:val="469"/>
        </w:trPr>
        <w:tc>
          <w:tcPr>
            <w:tcW w:w="1336" w:type="dxa"/>
          </w:tcPr>
          <w:p w14:paraId="4833A2F7" w14:textId="77777777" w:rsidR="00941C05" w:rsidRPr="00941C05" w:rsidRDefault="00941C05" w:rsidP="00941C05">
            <w:pPr>
              <w:spacing w:before="0" w:after="0"/>
              <w:rPr>
                <w:sz w:val="18"/>
                <w:szCs w:val="18"/>
              </w:rPr>
            </w:pPr>
            <w:r w:rsidRPr="00941C05">
              <w:rPr>
                <w:sz w:val="18"/>
                <w:szCs w:val="18"/>
              </w:rPr>
              <w:t>Australian person/body</w:t>
            </w:r>
          </w:p>
        </w:tc>
        <w:tc>
          <w:tcPr>
            <w:tcW w:w="907" w:type="dxa"/>
            <w:shd w:val="clear" w:color="auto" w:fill="92D050"/>
          </w:tcPr>
          <w:p w14:paraId="7FFFB4CB"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92D050"/>
          </w:tcPr>
          <w:p w14:paraId="0FC7D280" w14:textId="77777777" w:rsidR="00941C05" w:rsidRPr="00941C05" w:rsidRDefault="00941C05" w:rsidP="00941C05">
            <w:pPr>
              <w:spacing w:before="0" w:after="0"/>
              <w:rPr>
                <w:sz w:val="18"/>
                <w:szCs w:val="18"/>
              </w:rPr>
            </w:pPr>
            <w:r w:rsidRPr="00941C05">
              <w:rPr>
                <w:sz w:val="18"/>
                <w:szCs w:val="18"/>
              </w:rPr>
              <w:t>Y</w:t>
            </w:r>
          </w:p>
        </w:tc>
        <w:tc>
          <w:tcPr>
            <w:tcW w:w="709" w:type="dxa"/>
            <w:shd w:val="clear" w:color="auto" w:fill="auto"/>
          </w:tcPr>
          <w:p w14:paraId="7FE32AA0" w14:textId="77777777" w:rsidR="00941C05" w:rsidRPr="00941C05" w:rsidRDefault="00941C05" w:rsidP="00941C05">
            <w:pPr>
              <w:spacing w:before="0" w:after="0"/>
              <w:rPr>
                <w:sz w:val="18"/>
                <w:szCs w:val="18"/>
              </w:rPr>
            </w:pPr>
            <w:r w:rsidRPr="00941C05">
              <w:rPr>
                <w:sz w:val="18"/>
                <w:szCs w:val="18"/>
              </w:rPr>
              <w:t>NA</w:t>
            </w:r>
          </w:p>
        </w:tc>
        <w:tc>
          <w:tcPr>
            <w:tcW w:w="850" w:type="dxa"/>
            <w:shd w:val="clear" w:color="auto" w:fill="auto"/>
          </w:tcPr>
          <w:p w14:paraId="48E729D2" w14:textId="77777777" w:rsidR="00941C05" w:rsidRPr="00941C05" w:rsidRDefault="00941C05" w:rsidP="00941C05">
            <w:pPr>
              <w:spacing w:before="0" w:after="0"/>
              <w:rPr>
                <w:sz w:val="18"/>
                <w:szCs w:val="18"/>
              </w:rPr>
            </w:pPr>
            <w:r w:rsidRPr="00941C05">
              <w:rPr>
                <w:sz w:val="18"/>
                <w:szCs w:val="18"/>
              </w:rPr>
              <w:t>NA</w:t>
            </w:r>
          </w:p>
        </w:tc>
        <w:tc>
          <w:tcPr>
            <w:tcW w:w="907" w:type="dxa"/>
            <w:shd w:val="clear" w:color="auto" w:fill="92D050"/>
          </w:tcPr>
          <w:p w14:paraId="673C3421"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92D050"/>
          </w:tcPr>
          <w:p w14:paraId="0BA8C3D6" w14:textId="77777777" w:rsidR="00941C05" w:rsidRPr="00941C05" w:rsidRDefault="00941C05" w:rsidP="00941C05">
            <w:pPr>
              <w:spacing w:before="0" w:after="0"/>
              <w:rPr>
                <w:sz w:val="18"/>
                <w:szCs w:val="18"/>
              </w:rPr>
            </w:pPr>
            <w:r w:rsidRPr="00941C05">
              <w:rPr>
                <w:sz w:val="18"/>
                <w:szCs w:val="18"/>
              </w:rPr>
              <w:t>Y</w:t>
            </w:r>
          </w:p>
        </w:tc>
        <w:tc>
          <w:tcPr>
            <w:tcW w:w="709" w:type="dxa"/>
            <w:shd w:val="clear" w:color="auto" w:fill="auto"/>
          </w:tcPr>
          <w:p w14:paraId="646DA728" w14:textId="77777777" w:rsidR="00941C05" w:rsidRPr="00941C05" w:rsidRDefault="00941C05" w:rsidP="00941C05">
            <w:pPr>
              <w:spacing w:before="0" w:after="0"/>
              <w:rPr>
                <w:sz w:val="18"/>
                <w:szCs w:val="18"/>
              </w:rPr>
            </w:pPr>
            <w:r w:rsidRPr="00941C05">
              <w:rPr>
                <w:sz w:val="18"/>
                <w:szCs w:val="18"/>
              </w:rPr>
              <w:t>NA</w:t>
            </w:r>
          </w:p>
        </w:tc>
        <w:tc>
          <w:tcPr>
            <w:tcW w:w="850" w:type="dxa"/>
            <w:shd w:val="clear" w:color="auto" w:fill="auto"/>
          </w:tcPr>
          <w:p w14:paraId="5DB28F22" w14:textId="77777777" w:rsidR="00941C05" w:rsidRPr="00941C05" w:rsidRDefault="00941C05" w:rsidP="00941C05">
            <w:pPr>
              <w:spacing w:before="0" w:after="0"/>
              <w:rPr>
                <w:sz w:val="18"/>
                <w:szCs w:val="18"/>
              </w:rPr>
            </w:pPr>
            <w:r w:rsidRPr="00941C05">
              <w:rPr>
                <w:sz w:val="18"/>
                <w:szCs w:val="18"/>
              </w:rPr>
              <w:t>NA</w:t>
            </w:r>
          </w:p>
        </w:tc>
      </w:tr>
      <w:tr w:rsidR="00941C05" w:rsidRPr="00941C05" w14:paraId="47C20BE4" w14:textId="77777777" w:rsidTr="00941C05">
        <w:trPr>
          <w:trHeight w:val="457"/>
        </w:trPr>
        <w:tc>
          <w:tcPr>
            <w:tcW w:w="1336" w:type="dxa"/>
          </w:tcPr>
          <w:p w14:paraId="320AC64D" w14:textId="77777777" w:rsidR="00941C05" w:rsidRPr="00941C05" w:rsidRDefault="00941C05" w:rsidP="00941C05">
            <w:pPr>
              <w:spacing w:before="0" w:after="0"/>
              <w:rPr>
                <w:sz w:val="18"/>
                <w:szCs w:val="18"/>
              </w:rPr>
            </w:pPr>
            <w:r w:rsidRPr="00941C05">
              <w:rPr>
                <w:sz w:val="18"/>
                <w:szCs w:val="18"/>
              </w:rPr>
              <w:t>Australian resident</w:t>
            </w:r>
          </w:p>
        </w:tc>
        <w:tc>
          <w:tcPr>
            <w:tcW w:w="907" w:type="dxa"/>
            <w:shd w:val="clear" w:color="auto" w:fill="92D050"/>
          </w:tcPr>
          <w:p w14:paraId="6266344A"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92D050"/>
          </w:tcPr>
          <w:p w14:paraId="05F0DD31" w14:textId="77777777" w:rsidR="00941C05" w:rsidRPr="00941C05" w:rsidRDefault="00941C05" w:rsidP="00941C05">
            <w:pPr>
              <w:spacing w:before="0" w:after="0"/>
              <w:rPr>
                <w:sz w:val="18"/>
                <w:szCs w:val="18"/>
              </w:rPr>
            </w:pPr>
            <w:r w:rsidRPr="00941C05">
              <w:rPr>
                <w:sz w:val="18"/>
                <w:szCs w:val="18"/>
              </w:rPr>
              <w:t>Y</w:t>
            </w:r>
          </w:p>
        </w:tc>
        <w:tc>
          <w:tcPr>
            <w:tcW w:w="709" w:type="dxa"/>
            <w:shd w:val="clear" w:color="auto" w:fill="auto"/>
          </w:tcPr>
          <w:p w14:paraId="04626045" w14:textId="77777777" w:rsidR="00941C05" w:rsidRPr="00941C05" w:rsidRDefault="00941C05" w:rsidP="00941C05">
            <w:pPr>
              <w:spacing w:before="0" w:after="0"/>
              <w:rPr>
                <w:sz w:val="18"/>
                <w:szCs w:val="18"/>
              </w:rPr>
            </w:pPr>
            <w:r w:rsidRPr="00941C05">
              <w:rPr>
                <w:sz w:val="18"/>
                <w:szCs w:val="18"/>
              </w:rPr>
              <w:t>NA</w:t>
            </w:r>
          </w:p>
        </w:tc>
        <w:tc>
          <w:tcPr>
            <w:tcW w:w="850" w:type="dxa"/>
            <w:shd w:val="clear" w:color="auto" w:fill="auto"/>
          </w:tcPr>
          <w:p w14:paraId="4D13E4C6" w14:textId="77777777" w:rsidR="00941C05" w:rsidRPr="00941C05" w:rsidRDefault="00941C05" w:rsidP="00941C05">
            <w:pPr>
              <w:spacing w:before="0" w:after="0"/>
              <w:rPr>
                <w:sz w:val="18"/>
                <w:szCs w:val="18"/>
              </w:rPr>
            </w:pPr>
            <w:r w:rsidRPr="00941C05">
              <w:rPr>
                <w:sz w:val="18"/>
                <w:szCs w:val="18"/>
              </w:rPr>
              <w:t>NA</w:t>
            </w:r>
          </w:p>
        </w:tc>
        <w:tc>
          <w:tcPr>
            <w:tcW w:w="907" w:type="dxa"/>
            <w:shd w:val="clear" w:color="auto" w:fill="92D050"/>
          </w:tcPr>
          <w:p w14:paraId="0F3C5221"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92D050"/>
          </w:tcPr>
          <w:p w14:paraId="1827796F" w14:textId="77777777" w:rsidR="00941C05" w:rsidRPr="00941C05" w:rsidRDefault="00941C05" w:rsidP="00941C05">
            <w:pPr>
              <w:spacing w:before="0" w:after="0"/>
              <w:rPr>
                <w:sz w:val="18"/>
                <w:szCs w:val="18"/>
              </w:rPr>
            </w:pPr>
            <w:r w:rsidRPr="00941C05">
              <w:rPr>
                <w:sz w:val="18"/>
                <w:szCs w:val="18"/>
              </w:rPr>
              <w:t>Y</w:t>
            </w:r>
          </w:p>
        </w:tc>
        <w:tc>
          <w:tcPr>
            <w:tcW w:w="709" w:type="dxa"/>
            <w:shd w:val="clear" w:color="auto" w:fill="auto"/>
          </w:tcPr>
          <w:p w14:paraId="3D6A48B4" w14:textId="77777777" w:rsidR="00941C05" w:rsidRPr="00941C05" w:rsidRDefault="00941C05" w:rsidP="00941C05">
            <w:pPr>
              <w:spacing w:before="0" w:after="0"/>
              <w:rPr>
                <w:sz w:val="18"/>
                <w:szCs w:val="18"/>
              </w:rPr>
            </w:pPr>
            <w:r w:rsidRPr="00941C05">
              <w:rPr>
                <w:sz w:val="18"/>
                <w:szCs w:val="18"/>
              </w:rPr>
              <w:t>NA</w:t>
            </w:r>
          </w:p>
        </w:tc>
        <w:tc>
          <w:tcPr>
            <w:tcW w:w="850" w:type="dxa"/>
            <w:shd w:val="clear" w:color="auto" w:fill="auto"/>
          </w:tcPr>
          <w:p w14:paraId="3173EFC4" w14:textId="77777777" w:rsidR="00941C05" w:rsidRPr="00941C05" w:rsidRDefault="00941C05" w:rsidP="00941C05">
            <w:pPr>
              <w:spacing w:before="0" w:after="0"/>
              <w:rPr>
                <w:sz w:val="18"/>
                <w:szCs w:val="18"/>
              </w:rPr>
            </w:pPr>
            <w:r w:rsidRPr="00941C05">
              <w:rPr>
                <w:sz w:val="18"/>
                <w:szCs w:val="18"/>
              </w:rPr>
              <w:t>NA</w:t>
            </w:r>
          </w:p>
        </w:tc>
      </w:tr>
      <w:tr w:rsidR="00941C05" w:rsidRPr="00941C05" w14:paraId="7CD9A741" w14:textId="77777777" w:rsidTr="00941C05">
        <w:trPr>
          <w:trHeight w:val="483"/>
        </w:trPr>
        <w:tc>
          <w:tcPr>
            <w:tcW w:w="1336" w:type="dxa"/>
          </w:tcPr>
          <w:p w14:paraId="7A4F13EC" w14:textId="77777777" w:rsidR="00941C05" w:rsidRPr="00941C05" w:rsidRDefault="00941C05" w:rsidP="00941C05">
            <w:pPr>
              <w:spacing w:before="0" w:after="0"/>
              <w:rPr>
                <w:sz w:val="18"/>
                <w:szCs w:val="18"/>
              </w:rPr>
            </w:pPr>
            <w:r w:rsidRPr="00941C05">
              <w:rPr>
                <w:sz w:val="18"/>
                <w:szCs w:val="18"/>
              </w:rPr>
              <w:t>Foreign person/body</w:t>
            </w:r>
          </w:p>
        </w:tc>
        <w:tc>
          <w:tcPr>
            <w:tcW w:w="907" w:type="dxa"/>
            <w:shd w:val="clear" w:color="auto" w:fill="92D050"/>
          </w:tcPr>
          <w:p w14:paraId="46BC4CBB"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92D050"/>
          </w:tcPr>
          <w:p w14:paraId="40D86F7C" w14:textId="77777777" w:rsidR="00941C05" w:rsidRPr="00941C05" w:rsidRDefault="00941C05" w:rsidP="00941C05">
            <w:pPr>
              <w:spacing w:before="0" w:after="0"/>
              <w:rPr>
                <w:color w:val="92D050"/>
                <w:sz w:val="18"/>
                <w:szCs w:val="18"/>
                <w:highlight w:val="green"/>
              </w:rPr>
            </w:pPr>
            <w:r w:rsidRPr="00941C05">
              <w:rPr>
                <w:sz w:val="18"/>
                <w:szCs w:val="18"/>
              </w:rPr>
              <w:t>Y</w:t>
            </w:r>
          </w:p>
        </w:tc>
        <w:tc>
          <w:tcPr>
            <w:tcW w:w="709" w:type="dxa"/>
            <w:shd w:val="clear" w:color="auto" w:fill="auto"/>
          </w:tcPr>
          <w:p w14:paraId="4A39C1D0" w14:textId="77777777" w:rsidR="00941C05" w:rsidRPr="00941C05" w:rsidRDefault="00941C05" w:rsidP="00941C05">
            <w:pPr>
              <w:spacing w:before="0" w:after="0"/>
              <w:rPr>
                <w:sz w:val="18"/>
                <w:szCs w:val="18"/>
              </w:rPr>
            </w:pPr>
            <w:r w:rsidRPr="00941C05">
              <w:rPr>
                <w:sz w:val="18"/>
                <w:szCs w:val="18"/>
              </w:rPr>
              <w:t>NA</w:t>
            </w:r>
          </w:p>
        </w:tc>
        <w:tc>
          <w:tcPr>
            <w:tcW w:w="850" w:type="dxa"/>
            <w:shd w:val="clear" w:color="auto" w:fill="auto"/>
          </w:tcPr>
          <w:p w14:paraId="24CD1345" w14:textId="77777777" w:rsidR="00941C05" w:rsidRPr="00941C05" w:rsidRDefault="00941C05" w:rsidP="00941C05">
            <w:pPr>
              <w:spacing w:before="0" w:after="0"/>
              <w:rPr>
                <w:sz w:val="18"/>
                <w:szCs w:val="18"/>
              </w:rPr>
            </w:pPr>
            <w:r w:rsidRPr="00941C05">
              <w:rPr>
                <w:sz w:val="18"/>
                <w:szCs w:val="18"/>
              </w:rPr>
              <w:t>A</w:t>
            </w:r>
          </w:p>
        </w:tc>
        <w:tc>
          <w:tcPr>
            <w:tcW w:w="907" w:type="dxa"/>
            <w:shd w:val="clear" w:color="auto" w:fill="92D050"/>
          </w:tcPr>
          <w:p w14:paraId="6A68F536" w14:textId="77777777" w:rsidR="00941C05" w:rsidRPr="00941C05" w:rsidRDefault="00941C05" w:rsidP="00941C05">
            <w:pPr>
              <w:spacing w:before="0" w:after="0"/>
              <w:rPr>
                <w:sz w:val="18"/>
                <w:szCs w:val="18"/>
              </w:rPr>
            </w:pPr>
            <w:r w:rsidRPr="00941C05">
              <w:rPr>
                <w:sz w:val="18"/>
                <w:szCs w:val="18"/>
              </w:rPr>
              <w:t>Y</w:t>
            </w:r>
          </w:p>
        </w:tc>
        <w:tc>
          <w:tcPr>
            <w:tcW w:w="907" w:type="dxa"/>
            <w:shd w:val="clear" w:color="auto" w:fill="FFFF00"/>
          </w:tcPr>
          <w:p w14:paraId="57940CD4" w14:textId="77777777" w:rsidR="00941C05" w:rsidRPr="00941C05" w:rsidRDefault="00941C05" w:rsidP="00941C05">
            <w:pPr>
              <w:spacing w:before="0" w:after="0"/>
              <w:rPr>
                <w:sz w:val="18"/>
                <w:szCs w:val="18"/>
              </w:rPr>
            </w:pPr>
            <w:r w:rsidRPr="00941C05">
              <w:rPr>
                <w:sz w:val="18"/>
                <w:szCs w:val="18"/>
              </w:rPr>
              <w:t>C</w:t>
            </w:r>
          </w:p>
        </w:tc>
        <w:tc>
          <w:tcPr>
            <w:tcW w:w="709" w:type="dxa"/>
            <w:shd w:val="clear" w:color="auto" w:fill="auto"/>
          </w:tcPr>
          <w:p w14:paraId="65BD16A7" w14:textId="77777777" w:rsidR="00941C05" w:rsidRPr="00941C05" w:rsidRDefault="00941C05" w:rsidP="00941C05">
            <w:pPr>
              <w:spacing w:before="0" w:after="0"/>
              <w:rPr>
                <w:sz w:val="18"/>
                <w:szCs w:val="18"/>
              </w:rPr>
            </w:pPr>
            <w:r w:rsidRPr="00941C05">
              <w:rPr>
                <w:sz w:val="18"/>
                <w:szCs w:val="18"/>
              </w:rPr>
              <w:t>A</w:t>
            </w:r>
          </w:p>
        </w:tc>
        <w:tc>
          <w:tcPr>
            <w:tcW w:w="850" w:type="dxa"/>
            <w:shd w:val="clear" w:color="auto" w:fill="auto"/>
          </w:tcPr>
          <w:p w14:paraId="221AE541" w14:textId="77777777" w:rsidR="00941C05" w:rsidRPr="00941C05" w:rsidRDefault="00941C05" w:rsidP="00941C05">
            <w:pPr>
              <w:spacing w:before="0" w:after="0"/>
              <w:rPr>
                <w:sz w:val="18"/>
                <w:szCs w:val="18"/>
              </w:rPr>
            </w:pPr>
            <w:r w:rsidRPr="00941C05">
              <w:rPr>
                <w:sz w:val="18"/>
                <w:szCs w:val="18"/>
              </w:rPr>
              <w:t>A</w:t>
            </w:r>
          </w:p>
        </w:tc>
      </w:tr>
    </w:tbl>
    <w:p w14:paraId="7E1D8C59" w14:textId="0CAC0A3F" w:rsidR="00941C05" w:rsidRPr="00AC72D5" w:rsidRDefault="00E70CE7" w:rsidP="00A80BC7">
      <w:pPr>
        <w:pStyle w:val="base-text-paragraphnonumbers"/>
        <w:spacing w:before="60" w:after="0"/>
        <w:rPr>
          <w:sz w:val="18"/>
          <w:szCs w:val="18"/>
        </w:rPr>
      </w:pPr>
      <w:r w:rsidRPr="00AC72D5">
        <w:rPr>
          <w:sz w:val="18"/>
          <w:szCs w:val="18"/>
        </w:rPr>
        <w:t>Y = Within reach</w:t>
      </w:r>
    </w:p>
    <w:p w14:paraId="016EA491" w14:textId="51414088" w:rsidR="00E70CE7" w:rsidRPr="00AC72D5" w:rsidRDefault="00E70CE7" w:rsidP="00A80BC7">
      <w:pPr>
        <w:pStyle w:val="base-text-paragraphnonumbers"/>
        <w:spacing w:before="0" w:after="0"/>
        <w:ind w:left="1531" w:hanging="397"/>
        <w:rPr>
          <w:sz w:val="18"/>
          <w:szCs w:val="18"/>
        </w:rPr>
      </w:pPr>
      <w:r w:rsidRPr="00AC72D5">
        <w:rPr>
          <w:sz w:val="18"/>
          <w:szCs w:val="18"/>
        </w:rPr>
        <w:t>C = Conditionally within reach (depending on result and defence elements)</w:t>
      </w:r>
    </w:p>
    <w:p w14:paraId="79807CD0" w14:textId="733BA6EA" w:rsidR="00E70CE7" w:rsidRPr="00AC72D5" w:rsidRDefault="00E70CE7" w:rsidP="00A80BC7">
      <w:pPr>
        <w:pStyle w:val="base-text-paragraphnonumbers"/>
        <w:spacing w:before="0" w:after="0"/>
        <w:ind w:left="1928" w:hanging="794"/>
        <w:rPr>
          <w:sz w:val="18"/>
          <w:szCs w:val="18"/>
        </w:rPr>
      </w:pPr>
      <w:r w:rsidRPr="00AC72D5">
        <w:rPr>
          <w:sz w:val="18"/>
          <w:szCs w:val="18"/>
        </w:rPr>
        <w:t>Result = Australian entity suffers financial or other disadvantage. Only applies where conduct occurs wholly outside Australia.</w:t>
      </w:r>
    </w:p>
    <w:p w14:paraId="3D2FF0F4" w14:textId="31BFB999" w:rsidR="00E70CE7" w:rsidRPr="00AC72D5" w:rsidRDefault="00E70CE7" w:rsidP="00A80BC7">
      <w:pPr>
        <w:pStyle w:val="base-text-paragraphnonumbers"/>
        <w:spacing w:before="0" w:after="0"/>
        <w:ind w:left="2098" w:hanging="964"/>
        <w:rPr>
          <w:sz w:val="18"/>
          <w:szCs w:val="18"/>
        </w:rPr>
      </w:pPr>
      <w:r w:rsidRPr="00AC72D5">
        <w:rPr>
          <w:sz w:val="18"/>
          <w:szCs w:val="18"/>
        </w:rPr>
        <w:t>Defence = Defence if no corresponding offence in the local jurisdiction. Only applies where conduct occurs wholly outside Australia.</w:t>
      </w:r>
    </w:p>
    <w:p w14:paraId="0706FA5F" w14:textId="3675CC89" w:rsidR="00E70CE7" w:rsidRPr="00AC72D5" w:rsidRDefault="00E70CE7" w:rsidP="00A80BC7">
      <w:pPr>
        <w:pStyle w:val="base-text-paragraphnonumbers"/>
        <w:spacing w:before="0" w:after="0"/>
        <w:ind w:left="2098" w:hanging="964"/>
        <w:rPr>
          <w:sz w:val="18"/>
          <w:szCs w:val="18"/>
        </w:rPr>
      </w:pPr>
      <w:r w:rsidRPr="00AC72D5">
        <w:rPr>
          <w:sz w:val="18"/>
          <w:szCs w:val="18"/>
        </w:rPr>
        <w:t>A = Applicable</w:t>
      </w:r>
    </w:p>
    <w:p w14:paraId="608A5899" w14:textId="4641389E" w:rsidR="00E70CE7" w:rsidRPr="00AC72D5" w:rsidRDefault="00E70CE7" w:rsidP="00A80BC7">
      <w:pPr>
        <w:pStyle w:val="base-text-paragraphnonumbers"/>
        <w:spacing w:before="0" w:after="0"/>
        <w:ind w:left="2098" w:hanging="964"/>
        <w:rPr>
          <w:sz w:val="18"/>
          <w:szCs w:val="18"/>
        </w:rPr>
      </w:pPr>
      <w:r w:rsidRPr="00AC72D5">
        <w:rPr>
          <w:sz w:val="18"/>
          <w:szCs w:val="18"/>
        </w:rPr>
        <w:t>NA = Not applicable</w:t>
      </w:r>
    </w:p>
    <w:p w14:paraId="1CE80D1F" w14:textId="77777777" w:rsidR="00732487" w:rsidRDefault="00732487" w:rsidP="004A17C0">
      <w:pPr>
        <w:pStyle w:val="Heading2"/>
      </w:pPr>
      <w:r>
        <w:t>Consequential amendments</w:t>
      </w:r>
    </w:p>
    <w:p w14:paraId="481662EB" w14:textId="18C07762" w:rsidR="009B4181" w:rsidRDefault="009B4181" w:rsidP="009B4181">
      <w:pPr>
        <w:pStyle w:val="base-text-paragraph"/>
      </w:pPr>
      <w:r>
        <w:t xml:space="preserve">A definition of </w:t>
      </w:r>
      <w:r w:rsidRPr="002F2BCD">
        <w:rPr>
          <w:b/>
          <w:i/>
        </w:rPr>
        <w:t>Australian entity</w:t>
      </w:r>
      <w:r>
        <w:t xml:space="preserve"> is inserted in the main definitions section in Chapter 7 of the Corporations Act. The definition states that the term includes Australian citizens, residents (as defined in the Criminal Code) and </w:t>
      </w:r>
      <w:r w:rsidR="007A2644">
        <w:t>bodies</w:t>
      </w:r>
      <w:r>
        <w:t xml:space="preserve"> corporate incorporated in Australia. </w:t>
      </w:r>
      <w:r>
        <w:rPr>
          <w:rStyle w:val="Referencingstyle"/>
        </w:rPr>
        <w:t>[Schedule 1, item 6, section 761A]</w:t>
      </w:r>
      <w:r>
        <w:t xml:space="preserve"> </w:t>
      </w:r>
    </w:p>
    <w:p w14:paraId="5F650D9E" w14:textId="21601AE0" w:rsidR="00FF0037" w:rsidRDefault="00FF0037" w:rsidP="009B4181">
      <w:pPr>
        <w:pStyle w:val="base-text-paragraph"/>
      </w:pPr>
      <w:r>
        <w:t xml:space="preserve">A note to the definition of </w:t>
      </w:r>
      <w:r w:rsidRPr="00FF0037">
        <w:rPr>
          <w:b/>
          <w:i/>
        </w:rPr>
        <w:t>financial product</w:t>
      </w:r>
      <w:r>
        <w:t xml:space="preserve"> in section 761A is amended to take account of the new inclusions in this term created by this Bill, for example through section </w:t>
      </w:r>
      <w:r w:rsidR="008039FB">
        <w:t>1040B</w:t>
      </w:r>
      <w:r>
        <w:t xml:space="preserve"> with respect to BABs and NCDs</w:t>
      </w:r>
      <w:r w:rsidR="008039FB">
        <w:t xml:space="preserve"> (see </w:t>
      </w:r>
      <w:r w:rsidR="008039FB" w:rsidRPr="00655F3B">
        <w:t>paragraph 4.17</w:t>
      </w:r>
      <w:r w:rsidR="008039FB">
        <w:t xml:space="preserve"> below)</w:t>
      </w:r>
      <w:r>
        <w:t>.</w:t>
      </w:r>
      <w:r w:rsidR="000106B1">
        <w:t xml:space="preserve"> </w:t>
      </w:r>
      <w:r w:rsidR="000106B1">
        <w:rPr>
          <w:rStyle w:val="Referencingstyle"/>
        </w:rPr>
        <w:t>[Schedule 1, item 7, section 761A, Note to the definition of ‘financial product’]</w:t>
      </w:r>
    </w:p>
    <w:p w14:paraId="121CD7A6" w14:textId="2B4677FC" w:rsidR="000106B1" w:rsidRDefault="000106B1" w:rsidP="009B4181">
      <w:pPr>
        <w:pStyle w:val="base-text-paragraph"/>
      </w:pPr>
      <w:r>
        <w:t xml:space="preserve">A new section 1040B is inserted in Part 7.10 which makes BABs and NCDs financial products for purposes of that Part. This has the effect of applying the important offences in that Part, including those relating to market manipulation and artificially maintaining a trading price, to conduct relating to these two products. This section is inserted in order to remove any ambiguity </w:t>
      </w:r>
      <w:r w:rsidR="00FE5625">
        <w:t xml:space="preserve">as to </w:t>
      </w:r>
      <w:r>
        <w:t>whether conduct relating to BABs and NCDs is captured under Part</w:t>
      </w:r>
      <w:r w:rsidR="00FE5625">
        <w:t xml:space="preserve"> 7.10</w:t>
      </w:r>
      <w:r>
        <w:t xml:space="preserve">. </w:t>
      </w:r>
      <w:r w:rsidR="00FE5625">
        <w:rPr>
          <w:rStyle w:val="Referencingstyle"/>
        </w:rPr>
        <w:t>[Schedule 1, item 14, section 1040B]</w:t>
      </w:r>
      <w:r>
        <w:t xml:space="preserve"> </w:t>
      </w:r>
    </w:p>
    <w:p w14:paraId="0D4C2838" w14:textId="16FECB4F" w:rsidR="00732487" w:rsidRDefault="006F1E08" w:rsidP="009B4181">
      <w:pPr>
        <w:pStyle w:val="base-text-paragraph"/>
      </w:pPr>
      <w:r>
        <w:t>Section 1312 of the Corporations Act allows a penalty of five times the maximum amount of the penalty applying to an offence</w:t>
      </w:r>
      <w:r w:rsidR="00AC72D5">
        <w:t xml:space="preserve"> committed by an individual</w:t>
      </w:r>
      <w:r>
        <w:t xml:space="preserve"> to be imposed on a body corporate committing the offence, and exempts specified provisions from this rule. The offences related to the manipulation of financial benchmarks in this Division are specified as exempt from this rule, because the penalties applying to them as set out in </w:t>
      </w:r>
      <w:r w:rsidRPr="00655F3B">
        <w:t>section 908D</w:t>
      </w:r>
      <w:r w:rsidR="009C0B14" w:rsidRPr="00655F3B">
        <w:t>D</w:t>
      </w:r>
      <w:r>
        <w:t xml:space="preserve"> already make provision for higher penalties for bodies corporate. </w:t>
      </w:r>
      <w:r>
        <w:rPr>
          <w:rStyle w:val="Referencingstyle"/>
        </w:rPr>
        <w:t>[Schedule 1, item 2</w:t>
      </w:r>
      <w:r w:rsidR="004C1C0F">
        <w:rPr>
          <w:rStyle w:val="Referencingstyle"/>
        </w:rPr>
        <w:t>0</w:t>
      </w:r>
      <w:r>
        <w:rPr>
          <w:rStyle w:val="Referencingstyle"/>
        </w:rPr>
        <w:t>,  paragraph 1312(2)(aa)]</w:t>
      </w:r>
      <w:r>
        <w:t xml:space="preserve"> </w:t>
      </w:r>
    </w:p>
    <w:p w14:paraId="35820858" w14:textId="3319281D" w:rsidR="00994B8C" w:rsidRDefault="00994B8C" w:rsidP="009B4181">
      <w:pPr>
        <w:pStyle w:val="base-text-paragraph"/>
      </w:pPr>
      <w:r>
        <w:t xml:space="preserve">An amendment is made to the note in subsection 1312(2) drawing the reader’s attention to the fact that not all penalty amounts are set out in Schedule 3 to the Corporations Act. The penalty amounts for the three offences added to section 1312 (see previous paragraph) are, for instance, set out in section </w:t>
      </w:r>
      <w:r w:rsidRPr="00655F3B">
        <w:t>908DD</w:t>
      </w:r>
      <w:r>
        <w:t xml:space="preserve"> and not in Schedule 3. </w:t>
      </w:r>
      <w:r>
        <w:rPr>
          <w:rStyle w:val="Referencingstyle"/>
        </w:rPr>
        <w:t>[Schedule 1, item 21, subsection 1312(2) (note)]</w:t>
      </w:r>
      <w:r>
        <w:t xml:space="preserve"> </w:t>
      </w:r>
    </w:p>
    <w:p w14:paraId="5BE0280E" w14:textId="44C27BEE" w:rsidR="006F1E08" w:rsidRPr="00F31131" w:rsidRDefault="006E76EC" w:rsidP="00F31131">
      <w:pPr>
        <w:pStyle w:val="base-text-paragraph"/>
        <w:rPr>
          <w:rStyle w:val="Referencingstyle"/>
          <w:b w:val="0"/>
          <w:i w:val="0"/>
          <w:sz w:val="22"/>
        </w:rPr>
      </w:pPr>
      <w:r>
        <w:t xml:space="preserve">The provisions relating to the manipulation of financial benchmarks in this Division are </w:t>
      </w:r>
      <w:r w:rsidR="0092008E">
        <w:t>made civil penalty provision</w:t>
      </w:r>
      <w:r>
        <w:t>s</w:t>
      </w:r>
      <w:r w:rsidR="0092008E">
        <w:t xml:space="preserve"> by inserting a reference to subsection</w:t>
      </w:r>
      <w:r>
        <w:t>s</w:t>
      </w:r>
      <w:r w:rsidR="0092008E">
        <w:t xml:space="preserve"> </w:t>
      </w:r>
      <w:r w:rsidR="0092008E" w:rsidRPr="00655F3B">
        <w:t>908</w:t>
      </w:r>
      <w:r w:rsidRPr="00655F3B">
        <w:t>D</w:t>
      </w:r>
      <w:r w:rsidR="009C0B14" w:rsidRPr="00655F3B">
        <w:t>A</w:t>
      </w:r>
      <w:r w:rsidR="0092008E" w:rsidRPr="00655F3B">
        <w:t>(1)</w:t>
      </w:r>
      <w:r w:rsidR="00BD3B2B" w:rsidRPr="00655F3B">
        <w:t>or</w:t>
      </w:r>
      <w:r w:rsidRPr="00655F3B">
        <w:t xml:space="preserve"> (2), subsections 908D</w:t>
      </w:r>
      <w:r w:rsidR="009C0B14" w:rsidRPr="00655F3B">
        <w:t>B</w:t>
      </w:r>
      <w:r w:rsidRPr="00655F3B">
        <w:t xml:space="preserve">(1) </w:t>
      </w:r>
      <w:r w:rsidR="00BD3B2B" w:rsidRPr="00655F3B">
        <w:t>or</w:t>
      </w:r>
      <w:r w:rsidRPr="00655F3B">
        <w:t xml:space="preserve"> (2), and subsections 908D</w:t>
      </w:r>
      <w:r w:rsidR="009C0B14" w:rsidRPr="00655F3B">
        <w:t>C</w:t>
      </w:r>
      <w:r w:rsidRPr="00655F3B">
        <w:t xml:space="preserve">(1) </w:t>
      </w:r>
      <w:r w:rsidR="00BD3B2B" w:rsidRPr="00655F3B">
        <w:t>or</w:t>
      </w:r>
      <w:r w:rsidRPr="00655F3B">
        <w:t xml:space="preserve"> (2)</w:t>
      </w:r>
      <w:r w:rsidR="0092008E">
        <w:t xml:space="preserve"> in the table in the Corporations Act setting out the list of these provisions. A Court can make a declaration of contravention if it is satisfied that a breach of these </w:t>
      </w:r>
      <w:r>
        <w:t>provisions</w:t>
      </w:r>
      <w:r w:rsidR="0092008E">
        <w:t xml:space="preserve"> has occurred</w:t>
      </w:r>
      <w:r w:rsidR="00DC47D6">
        <w:t>, which then allows penalties and orders for compensation to be imposed</w:t>
      </w:r>
      <w:r w:rsidR="0092008E">
        <w:t xml:space="preserve">. </w:t>
      </w:r>
      <w:r w:rsidR="0092008E">
        <w:rPr>
          <w:rStyle w:val="Referencingstyle"/>
        </w:rPr>
        <w:t xml:space="preserve">[Schedule 1, item </w:t>
      </w:r>
      <w:r w:rsidR="00BD3B2B">
        <w:rPr>
          <w:rStyle w:val="Referencingstyle"/>
        </w:rPr>
        <w:t>2</w:t>
      </w:r>
      <w:r w:rsidR="00097686">
        <w:rPr>
          <w:rStyle w:val="Referencingstyle"/>
        </w:rPr>
        <w:t>3</w:t>
      </w:r>
      <w:r w:rsidR="0092008E">
        <w:rPr>
          <w:rStyle w:val="Referencingstyle"/>
        </w:rPr>
        <w:t>, Subsection 1317E(1)(after table item 17), table item 17</w:t>
      </w:r>
      <w:r>
        <w:rPr>
          <w:rStyle w:val="Referencingstyle"/>
        </w:rPr>
        <w:t>B</w:t>
      </w:r>
      <w:r w:rsidR="0092008E">
        <w:rPr>
          <w:rStyle w:val="Referencingstyle"/>
        </w:rPr>
        <w:t>]</w:t>
      </w:r>
      <w:r w:rsidR="00F31131">
        <w:rPr>
          <w:rStyle w:val="Referencingstyle"/>
        </w:rPr>
        <w:t xml:space="preserve"> </w:t>
      </w:r>
    </w:p>
    <w:p w14:paraId="088865AC" w14:textId="3217A47F" w:rsidR="00F31131" w:rsidRDefault="00F31131" w:rsidP="00F31131">
      <w:pPr>
        <w:pStyle w:val="base-text-paragraph"/>
      </w:pPr>
      <w:r w:rsidRPr="00F31131">
        <w:t xml:space="preserve">A note is inserted directing the reader’s attention to section </w:t>
      </w:r>
      <w:r w:rsidRPr="00655F3B">
        <w:t>908D</w:t>
      </w:r>
      <w:r w:rsidR="009C0B14" w:rsidRPr="00655F3B">
        <w:t>E</w:t>
      </w:r>
      <w:r w:rsidRPr="00655F3B">
        <w:t xml:space="preserve"> because it contains matters that may be relevant for making declarations of contravention for the new civil penalty provisions</w:t>
      </w:r>
      <w:r w:rsidR="007923BE" w:rsidRPr="00655F3B">
        <w:t xml:space="preserve"> in table item 17B. Section 908D</w:t>
      </w:r>
      <w:r w:rsidR="009C0B14" w:rsidRPr="00655F3B">
        <w:t>E</w:t>
      </w:r>
      <w:r w:rsidR="007923BE" w:rsidRPr="00655F3B">
        <w:t xml:space="preserve"> clarifies the extended geographic jurisdiction of these provisions which may be important in determining whether a declaration of contravention can be made in certain circumstances</w:t>
      </w:r>
      <w:r w:rsidR="00DC47D6" w:rsidRPr="00655F3B">
        <w:t xml:space="preserve"> (see paragraph 4.1</w:t>
      </w:r>
      <w:r w:rsidR="009C0B14" w:rsidRPr="00655F3B">
        <w:t>4</w:t>
      </w:r>
      <w:r w:rsidR="00DC47D6">
        <w:t xml:space="preserve"> above for a detailed explanation)</w:t>
      </w:r>
      <w:r w:rsidR="007923BE">
        <w:t xml:space="preserve">. </w:t>
      </w:r>
      <w:r w:rsidR="007923BE">
        <w:rPr>
          <w:rStyle w:val="Referencingstyle"/>
        </w:rPr>
        <w:t xml:space="preserve">[Schedule 1, item </w:t>
      </w:r>
      <w:r w:rsidR="005F508A">
        <w:rPr>
          <w:rStyle w:val="Referencingstyle"/>
        </w:rPr>
        <w:t>2</w:t>
      </w:r>
      <w:r w:rsidR="00097686">
        <w:rPr>
          <w:rStyle w:val="Referencingstyle"/>
        </w:rPr>
        <w:t>4</w:t>
      </w:r>
      <w:r w:rsidR="007923BE">
        <w:rPr>
          <w:rStyle w:val="Referencingstyle"/>
        </w:rPr>
        <w:t>, Note 3 at the end of subsection 1317E(1)]</w:t>
      </w:r>
      <w:r w:rsidR="007923BE">
        <w:t xml:space="preserve"> </w:t>
      </w:r>
    </w:p>
    <w:p w14:paraId="36608076" w14:textId="3A57363A" w:rsidR="006764F2" w:rsidRDefault="006764F2" w:rsidP="006764F2">
      <w:pPr>
        <w:pStyle w:val="base-text-paragraph"/>
      </w:pPr>
      <w:r>
        <w:t xml:space="preserve">A Court may make a declaration of contravention if it is satisfied that a breach of one of the offences in Division 4 of new Part 7.5B has occurred. A penalty payable to the Commonwealth may then be imposed up to the amount of $200,000 for an individual and $1 million for a body corporate. </w:t>
      </w:r>
      <w:r>
        <w:rPr>
          <w:rStyle w:val="Referencingstyle"/>
        </w:rPr>
        <w:t>[Schedule 1, item 2</w:t>
      </w:r>
      <w:r w:rsidR="00097686">
        <w:rPr>
          <w:rStyle w:val="Referencingstyle"/>
        </w:rPr>
        <w:t>5</w:t>
      </w:r>
      <w:r>
        <w:rPr>
          <w:rStyle w:val="Referencingstyle"/>
        </w:rPr>
        <w:t>, subsections 1317G(1DE) and (1DF)}</w:t>
      </w:r>
    </w:p>
    <w:p w14:paraId="3DAFAA89" w14:textId="77777777" w:rsidR="00732487" w:rsidRDefault="00732487" w:rsidP="004A17C0">
      <w:pPr>
        <w:pStyle w:val="Heading2"/>
      </w:pPr>
      <w:r>
        <w:t>Application and transitional provisions</w:t>
      </w:r>
    </w:p>
    <w:p w14:paraId="172E1A78" w14:textId="43E11FBD" w:rsidR="00732487" w:rsidRPr="00834B56" w:rsidRDefault="00834B56" w:rsidP="00732487">
      <w:pPr>
        <w:pStyle w:val="base-text-paragraph"/>
        <w:numPr>
          <w:ilvl w:val="1"/>
          <w:numId w:val="32"/>
        </w:numPr>
      </w:pPr>
      <w:r w:rsidRPr="00834B56">
        <w:t xml:space="preserve">All the offences in Division 4 of new Part 7.5B apply from the </w:t>
      </w:r>
      <w:r w:rsidR="00056BDE">
        <w:t>start</w:t>
      </w:r>
      <w:r w:rsidRPr="00834B56">
        <w:t xml:space="preserve"> day of the Bill (which will be</w:t>
      </w:r>
      <w:r w:rsidR="00A71742">
        <w:t xml:space="preserve"> the later of 1 January 2018 and</w:t>
      </w:r>
      <w:r w:rsidRPr="00834B56">
        <w:t xml:space="preserve"> the day after which the Bill receives the </w:t>
      </w:r>
      <w:r w:rsidR="00212F26">
        <w:t>R</w:t>
      </w:r>
      <w:r w:rsidRPr="00834B56">
        <w:t xml:space="preserve">oyal </w:t>
      </w:r>
      <w:r w:rsidR="00212F26">
        <w:t>A</w:t>
      </w:r>
      <w:r w:rsidRPr="00834B56">
        <w:t>ssent).</w:t>
      </w:r>
      <w:r w:rsidR="00735A9A">
        <w:t xml:space="preserve"> </w:t>
      </w:r>
      <w:r w:rsidR="00735A9A">
        <w:rPr>
          <w:rStyle w:val="Referencingstyle"/>
        </w:rPr>
        <w:t xml:space="preserve">[Schedule 1, item </w:t>
      </w:r>
      <w:r w:rsidR="00097686">
        <w:rPr>
          <w:rStyle w:val="Referencingstyle"/>
        </w:rPr>
        <w:t>30</w:t>
      </w:r>
      <w:r w:rsidR="00735A9A">
        <w:rPr>
          <w:rStyle w:val="Referencingstyle"/>
        </w:rPr>
        <w:t>, section</w:t>
      </w:r>
      <w:r w:rsidR="00097686">
        <w:rPr>
          <w:rStyle w:val="Referencingstyle"/>
        </w:rPr>
        <w:t>s</w:t>
      </w:r>
      <w:r w:rsidR="00735A9A">
        <w:rPr>
          <w:rStyle w:val="Referencingstyle"/>
        </w:rPr>
        <w:t xml:space="preserve"> 16</w:t>
      </w:r>
      <w:r w:rsidR="00097686">
        <w:rPr>
          <w:rStyle w:val="Referencingstyle"/>
        </w:rPr>
        <w:t>39 and 1641</w:t>
      </w:r>
      <w:r w:rsidR="00735A9A">
        <w:rPr>
          <w:rStyle w:val="Referencingstyle"/>
        </w:rPr>
        <w:t>]</w:t>
      </w:r>
      <w:r w:rsidR="00735A9A">
        <w:t xml:space="preserve"> </w:t>
      </w:r>
    </w:p>
    <w:p w14:paraId="5EBA391F" w14:textId="77777777" w:rsidR="00732487" w:rsidRDefault="00732487" w:rsidP="004A17C0">
      <w:pPr>
        <w:pStyle w:val="Hiddentext"/>
      </w:pPr>
      <w:r>
        <w:t>Do not remove section break.</w:t>
      </w:r>
    </w:p>
    <w:p w14:paraId="292E37B3" w14:textId="77777777" w:rsidR="00732487" w:rsidRDefault="00732487" w:rsidP="004A17C0">
      <w:pPr>
        <w:sectPr w:rsidR="00732487" w:rsidSect="004A17C0">
          <w:headerReference w:type="even" r:id="rId45"/>
          <w:headerReference w:type="default" r:id="rId46"/>
          <w:footerReference w:type="even" r:id="rId47"/>
          <w:footerReference w:type="default" r:id="rId48"/>
          <w:footerReference w:type="first" r:id="rId49"/>
          <w:type w:val="oddPage"/>
          <w:pgSz w:w="11906" w:h="16838" w:code="9"/>
          <w:pgMar w:top="2466" w:right="2098" w:bottom="2466" w:left="2098" w:header="1559" w:footer="1899" w:gutter="0"/>
          <w:cols w:space="708"/>
          <w:titlePg/>
          <w:docGrid w:linePitch="360"/>
        </w:sectPr>
      </w:pPr>
    </w:p>
    <w:p w14:paraId="7726F3AF" w14:textId="456F97D4" w:rsidR="006E76EC" w:rsidRPr="00F51A71" w:rsidRDefault="006E76EC" w:rsidP="006E76EC">
      <w:pPr>
        <w:pStyle w:val="ChapterHeading"/>
        <w:numPr>
          <w:ilvl w:val="0"/>
          <w:numId w:val="32"/>
        </w:numPr>
        <w:tabs>
          <w:tab w:val="clear" w:pos="1134"/>
          <w:tab w:val="num" w:pos="360"/>
        </w:tabs>
      </w:pPr>
      <w:r w:rsidRPr="00F51A71">
        <w:br/>
      </w:r>
      <w:bookmarkStart w:id="6" w:name="_Toc485738670"/>
      <w:r w:rsidR="006205F7">
        <w:t>Other provisions</w:t>
      </w:r>
      <w:bookmarkEnd w:id="6"/>
    </w:p>
    <w:p w14:paraId="2C5F8007" w14:textId="77777777" w:rsidR="006E76EC" w:rsidRDefault="006E76EC" w:rsidP="007546E1">
      <w:pPr>
        <w:pStyle w:val="Heading2"/>
      </w:pPr>
      <w:r>
        <w:t>Outline of chapter</w:t>
      </w:r>
    </w:p>
    <w:p w14:paraId="66BF6555" w14:textId="10E74701" w:rsidR="006E76EC" w:rsidRDefault="006205F7" w:rsidP="006E76EC">
      <w:pPr>
        <w:pStyle w:val="base-text-paragraph"/>
        <w:numPr>
          <w:ilvl w:val="1"/>
          <w:numId w:val="32"/>
        </w:numPr>
      </w:pPr>
      <w:r>
        <w:t xml:space="preserve">A small number of miscellaneous provisions </w:t>
      </w:r>
      <w:r w:rsidR="00971E92">
        <w:t xml:space="preserve">that support the new financial benchmarks licensing regime </w:t>
      </w:r>
      <w:r>
        <w:t>are included in this Division.</w:t>
      </w:r>
    </w:p>
    <w:p w14:paraId="2C8068AD" w14:textId="77777777" w:rsidR="006E76EC" w:rsidRDefault="006E76EC" w:rsidP="007546E1">
      <w:pPr>
        <w:pStyle w:val="Heading2"/>
      </w:pPr>
      <w:r>
        <w:t>Summary of new law</w:t>
      </w:r>
    </w:p>
    <w:p w14:paraId="553C8B8A" w14:textId="0EDC9AA1" w:rsidR="006E76EC" w:rsidRPr="008F726E" w:rsidRDefault="006205F7" w:rsidP="006E76EC">
      <w:pPr>
        <w:pStyle w:val="base-text-paragraph"/>
        <w:numPr>
          <w:ilvl w:val="1"/>
          <w:numId w:val="32"/>
        </w:numPr>
      </w:pPr>
      <w:r>
        <w:t xml:space="preserve">A small number of miscellaneous provisions are </w:t>
      </w:r>
      <w:r w:rsidR="00075994">
        <w:t>grouped together within this Division</w:t>
      </w:r>
      <w:r>
        <w:t>, including a provision allowing references to be made to instruments as in force from time to time</w:t>
      </w:r>
      <w:r w:rsidR="00114F1E">
        <w:t xml:space="preserve"> and</w:t>
      </w:r>
      <w:r>
        <w:t xml:space="preserve"> a provision giving ASIC </w:t>
      </w:r>
      <w:r w:rsidR="00EC4E44">
        <w:t xml:space="preserve">and the regulations </w:t>
      </w:r>
      <w:r>
        <w:t>exemption powers in relation to the provisions in the Bill.</w:t>
      </w:r>
    </w:p>
    <w:p w14:paraId="0EC20D0B" w14:textId="77777777" w:rsidR="006E76EC" w:rsidRDefault="006E76EC" w:rsidP="007546E1">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E76EC" w:rsidRPr="004666B8" w14:paraId="2BCA46E4" w14:textId="77777777" w:rsidTr="007546E1">
        <w:tc>
          <w:tcPr>
            <w:tcW w:w="3275" w:type="dxa"/>
          </w:tcPr>
          <w:p w14:paraId="457B25A7" w14:textId="77777777" w:rsidR="006E76EC" w:rsidRPr="004666B8" w:rsidRDefault="006E76EC" w:rsidP="007546E1">
            <w:pPr>
              <w:pStyle w:val="tableheaderwithintable"/>
              <w:rPr>
                <w:lang w:val="en-US" w:eastAsia="en-US"/>
              </w:rPr>
            </w:pPr>
            <w:r w:rsidRPr="004666B8">
              <w:rPr>
                <w:lang w:val="en-US" w:eastAsia="en-US"/>
              </w:rPr>
              <w:t>New law</w:t>
            </w:r>
          </w:p>
        </w:tc>
        <w:tc>
          <w:tcPr>
            <w:tcW w:w="3276" w:type="dxa"/>
          </w:tcPr>
          <w:p w14:paraId="20605C86" w14:textId="77777777" w:rsidR="006E76EC" w:rsidRPr="004666B8" w:rsidRDefault="006E76EC" w:rsidP="007546E1">
            <w:pPr>
              <w:pStyle w:val="tableheaderwithintable"/>
              <w:rPr>
                <w:lang w:val="en-US" w:eastAsia="en-US"/>
              </w:rPr>
            </w:pPr>
            <w:r w:rsidRPr="004666B8">
              <w:rPr>
                <w:lang w:val="en-US" w:eastAsia="en-US"/>
              </w:rPr>
              <w:t>Current law</w:t>
            </w:r>
          </w:p>
        </w:tc>
      </w:tr>
      <w:tr w:rsidR="006E76EC" w:rsidRPr="004666B8" w14:paraId="3F5DD313" w14:textId="77777777" w:rsidTr="007546E1">
        <w:tc>
          <w:tcPr>
            <w:tcW w:w="3275" w:type="dxa"/>
          </w:tcPr>
          <w:p w14:paraId="6186396C" w14:textId="11FBD29B" w:rsidR="006205F7" w:rsidRDefault="006205F7" w:rsidP="006205F7">
            <w:pPr>
              <w:pStyle w:val="tabletext"/>
              <w:rPr>
                <w:lang w:val="en-US" w:eastAsia="en-US"/>
              </w:rPr>
            </w:pPr>
            <w:r>
              <w:rPr>
                <w:lang w:val="en-US" w:eastAsia="en-US"/>
              </w:rPr>
              <w:t>R</w:t>
            </w:r>
            <w:r w:rsidRPr="006205F7">
              <w:rPr>
                <w:lang w:val="en-US" w:eastAsia="en-US"/>
              </w:rPr>
              <w:t xml:space="preserve">eferences </w:t>
            </w:r>
            <w:r>
              <w:rPr>
                <w:lang w:val="en-US" w:eastAsia="en-US"/>
              </w:rPr>
              <w:t>may</w:t>
            </w:r>
            <w:r w:rsidRPr="006205F7">
              <w:rPr>
                <w:lang w:val="en-US" w:eastAsia="en-US"/>
              </w:rPr>
              <w:t xml:space="preserve"> be made</w:t>
            </w:r>
            <w:r>
              <w:rPr>
                <w:lang w:val="en-US" w:eastAsia="en-US"/>
              </w:rPr>
              <w:t xml:space="preserve"> in </w:t>
            </w:r>
            <w:r w:rsidR="00300200">
              <w:rPr>
                <w:lang w:val="en-US" w:eastAsia="en-US"/>
              </w:rPr>
              <w:t xml:space="preserve">certain ASIC declarations, the </w:t>
            </w:r>
            <w:r>
              <w:rPr>
                <w:lang w:val="en-US" w:eastAsia="en-US"/>
              </w:rPr>
              <w:t>regulations and ASIC rules</w:t>
            </w:r>
            <w:r w:rsidRPr="006205F7">
              <w:rPr>
                <w:lang w:val="en-US" w:eastAsia="en-US"/>
              </w:rPr>
              <w:t xml:space="preserve"> to instruments as in force from time to time</w:t>
            </w:r>
            <w:r>
              <w:rPr>
                <w:lang w:val="en-US" w:eastAsia="en-US"/>
              </w:rPr>
              <w:t>.</w:t>
            </w:r>
          </w:p>
          <w:p w14:paraId="679C2DF3" w14:textId="4024BB66" w:rsidR="006205F7" w:rsidRDefault="006205F7" w:rsidP="006205F7">
            <w:pPr>
              <w:pStyle w:val="tabletext"/>
              <w:rPr>
                <w:lang w:val="en-US" w:eastAsia="en-US"/>
              </w:rPr>
            </w:pPr>
            <w:r w:rsidRPr="006205F7">
              <w:rPr>
                <w:lang w:val="en-US" w:eastAsia="en-US"/>
              </w:rPr>
              <w:t>ASIC</w:t>
            </w:r>
            <w:r w:rsidR="00EC4E44">
              <w:rPr>
                <w:lang w:val="en-US" w:eastAsia="en-US"/>
              </w:rPr>
              <w:t xml:space="preserve"> and the regulations are</w:t>
            </w:r>
            <w:r>
              <w:rPr>
                <w:lang w:val="en-US" w:eastAsia="en-US"/>
              </w:rPr>
              <w:t xml:space="preserve"> given</w:t>
            </w:r>
            <w:r w:rsidRPr="006205F7">
              <w:rPr>
                <w:lang w:val="en-US" w:eastAsia="en-US"/>
              </w:rPr>
              <w:t xml:space="preserve"> exemption powers in relation to the provisions in the Bill</w:t>
            </w:r>
            <w:r>
              <w:rPr>
                <w:lang w:val="en-US" w:eastAsia="en-US"/>
              </w:rPr>
              <w:t>.</w:t>
            </w:r>
          </w:p>
          <w:p w14:paraId="0A0E53E0" w14:textId="28E96583" w:rsidR="006E76EC" w:rsidRPr="004666B8" w:rsidRDefault="006E76EC" w:rsidP="006205F7">
            <w:pPr>
              <w:pStyle w:val="tabletext"/>
              <w:rPr>
                <w:lang w:val="en-US" w:eastAsia="en-US"/>
              </w:rPr>
            </w:pPr>
          </w:p>
        </w:tc>
        <w:tc>
          <w:tcPr>
            <w:tcW w:w="3276" w:type="dxa"/>
          </w:tcPr>
          <w:p w14:paraId="62B470F2" w14:textId="0822CE1B" w:rsidR="006E76EC" w:rsidRPr="004666B8" w:rsidRDefault="006205F7" w:rsidP="007546E1">
            <w:pPr>
              <w:pStyle w:val="tabletext"/>
              <w:rPr>
                <w:lang w:val="en-US" w:eastAsia="en-US"/>
              </w:rPr>
            </w:pPr>
            <w:r>
              <w:rPr>
                <w:lang w:val="en-US" w:eastAsia="en-US"/>
              </w:rPr>
              <w:t>No current law.</w:t>
            </w:r>
          </w:p>
        </w:tc>
      </w:tr>
    </w:tbl>
    <w:p w14:paraId="0D774D9B" w14:textId="77777777" w:rsidR="006E76EC" w:rsidRDefault="006E76EC" w:rsidP="007546E1">
      <w:pPr>
        <w:pStyle w:val="Heading2"/>
      </w:pPr>
      <w:r>
        <w:t>Detailed explanation of new law</w:t>
      </w:r>
    </w:p>
    <w:p w14:paraId="3809BFD2" w14:textId="77777777" w:rsidR="001C26FC" w:rsidRDefault="001C26FC" w:rsidP="001C26FC">
      <w:pPr>
        <w:pStyle w:val="Heading3"/>
      </w:pPr>
      <w:r>
        <w:t>Schedule 1 – Amendments</w:t>
      </w:r>
    </w:p>
    <w:p w14:paraId="6910B5BA" w14:textId="77777777" w:rsidR="001C26FC" w:rsidRDefault="001C26FC" w:rsidP="001C26FC">
      <w:pPr>
        <w:pStyle w:val="Heading4"/>
      </w:pPr>
      <w:r>
        <w:t>Part 1 – Main amendments</w:t>
      </w:r>
    </w:p>
    <w:p w14:paraId="411883A0" w14:textId="0D001EE1" w:rsidR="001C26FC" w:rsidRDefault="001C26FC" w:rsidP="001C26FC">
      <w:pPr>
        <w:pStyle w:val="Heading5"/>
      </w:pPr>
      <w:r>
        <w:t>Division 5 – other provisions</w:t>
      </w:r>
    </w:p>
    <w:p w14:paraId="34E8F4A6" w14:textId="6DE87D20" w:rsidR="006E76EC" w:rsidRDefault="007D5FDE" w:rsidP="006E76EC">
      <w:pPr>
        <w:pStyle w:val="base-text-paragraph"/>
        <w:numPr>
          <w:ilvl w:val="1"/>
          <w:numId w:val="32"/>
        </w:numPr>
      </w:pPr>
      <w:r>
        <w:t>Legislative instruments made by ASIC declaring a significant financial benchmark, r</w:t>
      </w:r>
      <w:r w:rsidR="006205F7">
        <w:t xml:space="preserve">egulations made under a provision in the Bill and ASIC rules made under Division 3 of the Bill may refer to instruments as in force from time to time. This provision is </w:t>
      </w:r>
      <w:r w:rsidR="00F560CE">
        <w:t>justifi</w:t>
      </w:r>
      <w:r w:rsidR="006205F7">
        <w:t xml:space="preserve">ed because </w:t>
      </w:r>
      <w:r w:rsidR="00971E92">
        <w:t xml:space="preserve">some of </w:t>
      </w:r>
      <w:r w:rsidR="006205F7">
        <w:t>the</w:t>
      </w:r>
      <w:r>
        <w:t xml:space="preserve">se declarations, </w:t>
      </w:r>
      <w:r w:rsidR="006205F7">
        <w:t xml:space="preserve">regulations and the ASIC rules are likely to refer to </w:t>
      </w:r>
      <w:r>
        <w:t xml:space="preserve">relevant </w:t>
      </w:r>
      <w:r w:rsidR="006205F7">
        <w:t>international standards</w:t>
      </w:r>
      <w:r w:rsidR="00971E92">
        <w:t xml:space="preserve">, in particular the IOSCO Principles, </w:t>
      </w:r>
      <w:r w:rsidR="00E529D5">
        <w:t>as</w:t>
      </w:r>
      <w:r w:rsidR="00971E92">
        <w:t xml:space="preserve"> the regulatory framework established in this Bill is based</w:t>
      </w:r>
      <w:r w:rsidR="00352A0A">
        <w:t xml:space="preserve"> on this instrument</w:t>
      </w:r>
      <w:r>
        <w:t>. It is likely that these instruments will be updated from time to time</w:t>
      </w:r>
      <w:r w:rsidR="00352A0A">
        <w:t>, with the participation of Australian authorities</w:t>
      </w:r>
      <w:r w:rsidR="00CC2CEC">
        <w:t xml:space="preserve">. </w:t>
      </w:r>
      <w:r w:rsidR="00834752">
        <w:t xml:space="preserve">Given that </w:t>
      </w:r>
      <w:r w:rsidR="00493319">
        <w:t xml:space="preserve">it is </w:t>
      </w:r>
      <w:r w:rsidR="00834752">
        <w:t>Australia</w:t>
      </w:r>
      <w:r w:rsidR="00493319">
        <w:t xml:space="preserve">n Government policy for </w:t>
      </w:r>
      <w:r w:rsidR="00834752">
        <w:t>our regulatory framework to remain consistent with the IOSCO Principles, t</w:t>
      </w:r>
      <w:r>
        <w:t xml:space="preserve">his provision will allow the </w:t>
      </w:r>
      <w:r w:rsidR="00075994">
        <w:t xml:space="preserve">updated </w:t>
      </w:r>
      <w:r>
        <w:t xml:space="preserve">instrument to continue to apply without the need to amend the reference to them in the </w:t>
      </w:r>
      <w:r w:rsidR="00CC2CEC">
        <w:t xml:space="preserve">ASIC declarations, </w:t>
      </w:r>
      <w:r>
        <w:t>regulations or ASIC rules.</w:t>
      </w:r>
      <w:r w:rsidR="007E0F2A">
        <w:t xml:space="preserve"> </w:t>
      </w:r>
      <w:r w:rsidR="00F12244">
        <w:t>Interested stakeholders</w:t>
      </w:r>
      <w:r w:rsidR="00834752">
        <w:t xml:space="preserve"> who wish to review any changes</w:t>
      </w:r>
      <w:r w:rsidR="00F12244">
        <w:t xml:space="preserve"> will have convenient access to t</w:t>
      </w:r>
      <w:r w:rsidR="007E0F2A">
        <w:t xml:space="preserve">he IOSCO Principles </w:t>
      </w:r>
      <w:r w:rsidR="00F12244">
        <w:t xml:space="preserve">as they </w:t>
      </w:r>
      <w:r w:rsidR="007E0F2A">
        <w:t>are set out in a publicly available document which can be accessed on the internet.</w:t>
      </w:r>
      <w:r w:rsidR="007E0F2A">
        <w:rPr>
          <w:rStyle w:val="FootnoteReference"/>
        </w:rPr>
        <w:footnoteReference w:id="3"/>
      </w:r>
      <w:r w:rsidR="007E0F2A">
        <w:t xml:space="preserve"> Any other international standards that may be incorporated by reference in future will be accessible in </w:t>
      </w:r>
      <w:r w:rsidR="00F12244">
        <w:t>a similar</w:t>
      </w:r>
      <w:r w:rsidR="007E0F2A">
        <w:t xml:space="preserve"> way. </w:t>
      </w:r>
      <w:r>
        <w:t xml:space="preserve"> </w:t>
      </w:r>
      <w:r>
        <w:rPr>
          <w:rStyle w:val="Referencingstyle"/>
        </w:rPr>
        <w:t>[Schedule 1, item 1, section 908EA]</w:t>
      </w:r>
      <w:r>
        <w:t xml:space="preserve"> </w:t>
      </w:r>
    </w:p>
    <w:p w14:paraId="06AC5540" w14:textId="2930723C" w:rsidR="00CC2CEC" w:rsidRDefault="00E01F0D" w:rsidP="006E76EC">
      <w:pPr>
        <w:pStyle w:val="base-text-paragraph"/>
        <w:numPr>
          <w:ilvl w:val="1"/>
          <w:numId w:val="32"/>
        </w:numPr>
      </w:pPr>
      <w:r>
        <w:t xml:space="preserve">ASIC </w:t>
      </w:r>
      <w:r w:rsidR="00EC4E44">
        <w:t xml:space="preserve">or the regulations </w:t>
      </w:r>
      <w:r>
        <w:t xml:space="preserve">may exempt persons or benchmarks from the provisions in this Bill, including from the regulations and the ASIC rules made under Division 3. Conditions may be imposed on an exemption given. An </w:t>
      </w:r>
      <w:r w:rsidR="00EC4E44">
        <w:t xml:space="preserve">ASIC </w:t>
      </w:r>
      <w:r>
        <w:t xml:space="preserve">exemption must be a legislative instrument if it affects a class of persons or a class of benchmarks. This allows Parliament to review the exemption and disallow it if necessary. Otherwise an </w:t>
      </w:r>
      <w:r w:rsidR="00EC4E44">
        <w:t xml:space="preserve">ASIC </w:t>
      </w:r>
      <w:r>
        <w:t>exemption must be in writing and must be published on ASIC’s website.</w:t>
      </w:r>
      <w:r w:rsidR="00EC4E44">
        <w:t xml:space="preserve"> The regulations prevail over an ASIC exemption in case of an inconsistency.</w:t>
      </w:r>
      <w:r>
        <w:t xml:space="preserve"> </w:t>
      </w:r>
      <w:r>
        <w:rPr>
          <w:rStyle w:val="Referencingstyle"/>
        </w:rPr>
        <w:t>[Schedule 1, item 1, section 908EB]</w:t>
      </w:r>
      <w:r>
        <w:t xml:space="preserve"> </w:t>
      </w:r>
    </w:p>
    <w:p w14:paraId="67FE46C4" w14:textId="77777777" w:rsidR="006E76EC" w:rsidRDefault="006E76EC" w:rsidP="007546E1">
      <w:pPr>
        <w:pStyle w:val="Heading2"/>
      </w:pPr>
      <w:r>
        <w:t>Consequential amendments</w:t>
      </w:r>
    </w:p>
    <w:p w14:paraId="20EDAB77" w14:textId="2352117B" w:rsidR="006E76EC" w:rsidRPr="008F726E" w:rsidRDefault="001353BE" w:rsidP="006E76EC">
      <w:pPr>
        <w:pStyle w:val="base-text-paragraph"/>
        <w:numPr>
          <w:ilvl w:val="1"/>
          <w:numId w:val="32"/>
        </w:numPr>
      </w:pPr>
      <w:r>
        <w:t>There are no consequential amendments for this Division</w:t>
      </w:r>
      <w:r w:rsidR="00E735F6">
        <w:t>.</w:t>
      </w:r>
    </w:p>
    <w:p w14:paraId="58D7BB09" w14:textId="77777777" w:rsidR="006E76EC" w:rsidRDefault="006E76EC" w:rsidP="007546E1">
      <w:pPr>
        <w:pStyle w:val="Heading2"/>
      </w:pPr>
      <w:r>
        <w:t>Application and transitional provisions</w:t>
      </w:r>
    </w:p>
    <w:p w14:paraId="672F3B0F" w14:textId="25ACC45E" w:rsidR="006E76EC" w:rsidRPr="008F726E" w:rsidRDefault="001353BE" w:rsidP="006E76EC">
      <w:pPr>
        <w:pStyle w:val="base-text-paragraph"/>
        <w:numPr>
          <w:ilvl w:val="1"/>
          <w:numId w:val="32"/>
        </w:numPr>
      </w:pPr>
      <w:r>
        <w:t>There are no application and transitional provisions for this Division</w:t>
      </w:r>
      <w:r w:rsidR="00E735F6">
        <w:t>.</w:t>
      </w:r>
    </w:p>
    <w:p w14:paraId="19F992C8" w14:textId="77777777" w:rsidR="006E76EC" w:rsidRDefault="006E76EC" w:rsidP="007546E1">
      <w:pPr>
        <w:pStyle w:val="Hiddentext"/>
      </w:pPr>
      <w:r>
        <w:t>Do not remove section break.</w:t>
      </w:r>
    </w:p>
    <w:p w14:paraId="1680BE74" w14:textId="77777777" w:rsidR="006E76EC" w:rsidRDefault="006E76EC" w:rsidP="007546E1">
      <w:pPr>
        <w:sectPr w:rsidR="006E76EC" w:rsidSect="007546E1">
          <w:headerReference w:type="even" r:id="rId50"/>
          <w:headerReference w:type="default" r:id="rId51"/>
          <w:footerReference w:type="even" r:id="rId52"/>
          <w:footerReference w:type="default" r:id="rId53"/>
          <w:footerReference w:type="first" r:id="rId54"/>
          <w:type w:val="oddPage"/>
          <w:pgSz w:w="11906" w:h="16838" w:code="9"/>
          <w:pgMar w:top="2466" w:right="2098" w:bottom="2466" w:left="2098" w:header="1559" w:footer="1899" w:gutter="0"/>
          <w:cols w:space="708"/>
          <w:titlePg/>
          <w:docGrid w:linePitch="360"/>
        </w:sectPr>
      </w:pPr>
    </w:p>
    <w:p w14:paraId="3C6F1F0B" w14:textId="77777777" w:rsidR="007C0FBF" w:rsidRPr="007439D0" w:rsidRDefault="007C0FBF" w:rsidP="00AA6B18"/>
    <w:p w14:paraId="536EC056" w14:textId="77777777" w:rsidR="007C0FBF" w:rsidRPr="00433FD9" w:rsidRDefault="007C0FBF" w:rsidP="00AA6B18"/>
    <w:p w14:paraId="273E81D2" w14:textId="77777777" w:rsidR="004B4380" w:rsidRPr="00A03E30" w:rsidRDefault="004B4380" w:rsidP="002576C7"/>
    <w:p w14:paraId="24072517" w14:textId="77777777" w:rsidR="00D85BEA" w:rsidRPr="00200C32" w:rsidRDefault="00D85BEA" w:rsidP="00005CFC"/>
    <w:sectPr w:rsidR="00D85BEA" w:rsidRPr="00200C32" w:rsidSect="00821379">
      <w:headerReference w:type="even" r:id="rId55"/>
      <w:headerReference w:type="default" r:id="rId56"/>
      <w:footerReference w:type="even" r:id="rId57"/>
      <w:footerReference w:type="default" r:id="rId58"/>
      <w:footerReference w:type="first" r:id="rId5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4592" w14:textId="77777777" w:rsidR="00A80BC7" w:rsidRDefault="00A80BC7">
      <w:r>
        <w:separator/>
      </w:r>
    </w:p>
  </w:endnote>
  <w:endnote w:type="continuationSeparator" w:id="0">
    <w:p w14:paraId="5A7FE1A5" w14:textId="77777777" w:rsidR="00A80BC7" w:rsidRDefault="00A80BC7">
      <w:r>
        <w:continuationSeparator/>
      </w:r>
    </w:p>
  </w:endnote>
  <w:endnote w:type="continuationNotice" w:id="1">
    <w:p w14:paraId="64F0BA41" w14:textId="77777777" w:rsidR="00A80BC7" w:rsidRDefault="00A80B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E215" w14:textId="77777777" w:rsidR="00A80BC7" w:rsidRDefault="00A80BC7" w:rsidP="00AA6B1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ECB5" w14:textId="77777777" w:rsidR="00A80BC7" w:rsidRDefault="00A80BC7" w:rsidP="00AA6B1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0CC00" w14:textId="77777777" w:rsidR="00A80BC7" w:rsidRDefault="00A80BC7" w:rsidP="00AA6B18">
    <w:pPr>
      <w:pStyle w:val="rightfooter"/>
    </w:pPr>
    <w:r>
      <w:fldChar w:fldCharType="begin"/>
    </w:r>
    <w:r>
      <w:instrText xml:space="preserve"> PAGE  \* Arabic  \* MERGEFORMAT </w:instrText>
    </w:r>
    <w:r>
      <w:fldChar w:fldCharType="separate"/>
    </w:r>
    <w:r w:rsidR="00CF0C2D">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B81CA" w14:textId="77777777" w:rsidR="00A80BC7" w:rsidRDefault="00A80BC7" w:rsidP="00AA6B18">
    <w:pPr>
      <w:pStyle w:val="leftfooter"/>
    </w:pPr>
    <w:r>
      <w:fldChar w:fldCharType="begin"/>
    </w:r>
    <w:r>
      <w:instrText xml:space="preserve"> PAGE   \* MERGEFORMAT </w:instrText>
    </w:r>
    <w:r>
      <w:fldChar w:fldCharType="separate"/>
    </w:r>
    <w:r w:rsidR="00CF0C2D">
      <w:rPr>
        <w:noProof/>
      </w:rPr>
      <w:t>16</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CCB5B" w14:textId="77777777" w:rsidR="00A80BC7" w:rsidRDefault="00A80BC7" w:rsidP="00AA6B18">
    <w:pPr>
      <w:pStyle w:val="rightfooter"/>
    </w:pPr>
    <w:r>
      <w:fldChar w:fldCharType="begin"/>
    </w:r>
    <w:r>
      <w:instrText xml:space="preserve"> PAGE   \* MERGEFORMAT </w:instrText>
    </w:r>
    <w:r>
      <w:fldChar w:fldCharType="separate"/>
    </w:r>
    <w:r w:rsidR="00CF0C2D">
      <w:rPr>
        <w:noProof/>
      </w:rPr>
      <w:t>15</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47C0C" w14:textId="77777777" w:rsidR="00A80BC7" w:rsidRDefault="00A80BC7" w:rsidP="00AA6B18">
    <w:pPr>
      <w:pStyle w:val="rightfooter"/>
    </w:pPr>
    <w:r>
      <w:fldChar w:fldCharType="begin"/>
    </w:r>
    <w:r>
      <w:instrText xml:space="preserve"> PAGE  \* Arabic  \* MERGEFORMAT </w:instrText>
    </w:r>
    <w:r>
      <w:fldChar w:fldCharType="separate"/>
    </w:r>
    <w:r w:rsidR="00CF0C2D">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6DD5" w14:textId="77777777" w:rsidR="00A80BC7" w:rsidRDefault="00A80BC7" w:rsidP="00CE142B">
    <w:pPr>
      <w:pStyle w:val="leftfooter"/>
    </w:pPr>
    <w:r>
      <w:fldChar w:fldCharType="begin"/>
    </w:r>
    <w:r>
      <w:instrText xml:space="preserve"> PAGE   \* MERGEFORMAT </w:instrText>
    </w:r>
    <w:r>
      <w:fldChar w:fldCharType="separate"/>
    </w:r>
    <w:r w:rsidR="00CF0C2D">
      <w:rPr>
        <w:noProof/>
      </w:rPr>
      <w:t>28</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51B9" w14:textId="77777777" w:rsidR="00A80BC7" w:rsidRDefault="00A80BC7" w:rsidP="00CE142B">
    <w:pPr>
      <w:pStyle w:val="rightfooter"/>
    </w:pPr>
    <w:r>
      <w:fldChar w:fldCharType="begin"/>
    </w:r>
    <w:r>
      <w:instrText xml:space="preserve"> PAGE   \* MERGEFORMAT </w:instrText>
    </w:r>
    <w:r>
      <w:fldChar w:fldCharType="separate"/>
    </w:r>
    <w:r w:rsidR="00CF0C2D">
      <w:rPr>
        <w:noProof/>
      </w:rPr>
      <w:t>27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924F1" w14:textId="77777777" w:rsidR="00A80BC7" w:rsidRDefault="00A80BC7" w:rsidP="00CE142B">
    <w:pPr>
      <w:pStyle w:val="rightfooter"/>
    </w:pPr>
    <w:r>
      <w:fldChar w:fldCharType="begin"/>
    </w:r>
    <w:r>
      <w:instrText xml:space="preserve"> PAGE  \* Arabic  \* MERGEFORMAT </w:instrText>
    </w:r>
    <w:r>
      <w:fldChar w:fldCharType="separate"/>
    </w:r>
    <w:r w:rsidR="00CF0C2D">
      <w:rPr>
        <w:noProof/>
      </w:rPr>
      <w:t>17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3E79" w14:textId="77777777" w:rsidR="00A80BC7" w:rsidRDefault="00A80BC7" w:rsidP="004A17C0">
    <w:pPr>
      <w:pStyle w:val="leftfooter"/>
    </w:pPr>
    <w:r>
      <w:fldChar w:fldCharType="begin"/>
    </w:r>
    <w:r>
      <w:instrText xml:space="preserve"> PAGE   \* MERGEFORMAT </w:instrText>
    </w:r>
    <w:r>
      <w:fldChar w:fldCharType="separate"/>
    </w:r>
    <w:r w:rsidR="00CF0C2D">
      <w:rPr>
        <w:noProof/>
      </w:rPr>
      <w:t>34</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FBD37" w14:textId="77777777" w:rsidR="00A80BC7" w:rsidRDefault="00A80BC7" w:rsidP="004A17C0">
    <w:pPr>
      <w:pStyle w:val="rightfooter"/>
    </w:pPr>
    <w:r>
      <w:fldChar w:fldCharType="begin"/>
    </w:r>
    <w:r>
      <w:instrText xml:space="preserve"> PAGE   \* MERGEFORMAT </w:instrText>
    </w:r>
    <w:r>
      <w:fldChar w:fldCharType="separate"/>
    </w:r>
    <w:r w:rsidR="00CF0C2D">
      <w:rPr>
        <w:noProof/>
      </w:rPr>
      <w:t>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FDC10" w14:textId="77777777" w:rsidR="00A80BC7" w:rsidRDefault="00A80BC7" w:rsidP="00AA6B1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4C59" w14:textId="77777777" w:rsidR="00A80BC7" w:rsidRDefault="00A80BC7" w:rsidP="004A17C0">
    <w:pPr>
      <w:pStyle w:val="rightfooter"/>
    </w:pPr>
    <w:r>
      <w:fldChar w:fldCharType="begin"/>
    </w:r>
    <w:r>
      <w:instrText xml:space="preserve"> PAGE  \* Arabic  \* MERGEFORMAT </w:instrText>
    </w:r>
    <w:r>
      <w:fldChar w:fldCharType="separate"/>
    </w:r>
    <w:r w:rsidR="00CF0C2D">
      <w:rPr>
        <w:noProof/>
      </w:rPr>
      <w:t>29</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88D1A" w14:textId="77777777" w:rsidR="00A80BC7" w:rsidRDefault="00A80BC7" w:rsidP="007546E1">
    <w:pPr>
      <w:pStyle w:val="leftfooter"/>
    </w:pPr>
    <w:r>
      <w:fldChar w:fldCharType="begin"/>
    </w:r>
    <w:r>
      <w:instrText xml:space="preserve"> PAGE   \* MERGEFORMAT </w:instrText>
    </w:r>
    <w:r>
      <w:fldChar w:fldCharType="separate"/>
    </w:r>
    <w:r w:rsidR="00CF0C2D">
      <w:rPr>
        <w:noProof/>
      </w:rPr>
      <w:t>36</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6A8" w14:textId="77777777" w:rsidR="00A80BC7" w:rsidRDefault="00A80BC7" w:rsidP="007546E1">
    <w:pPr>
      <w:pStyle w:val="rightfooter"/>
    </w:pPr>
    <w:r>
      <w:fldChar w:fldCharType="begin"/>
    </w:r>
    <w:r>
      <w:instrText xml:space="preserve"> PAGE   \* MERGEFORMAT </w:instrText>
    </w:r>
    <w:r>
      <w:fldChar w:fldCharType="separate"/>
    </w:r>
    <w:r>
      <w:rPr>
        <w:noProof/>
      </w:rPr>
      <w:t>43</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1C0D" w14:textId="77777777" w:rsidR="00A80BC7" w:rsidRDefault="00A80BC7" w:rsidP="007546E1">
    <w:pPr>
      <w:pStyle w:val="rightfooter"/>
    </w:pPr>
    <w:r>
      <w:fldChar w:fldCharType="begin"/>
    </w:r>
    <w:r>
      <w:instrText xml:space="preserve"> PAGE  \* Arabic  \* MERGEFORMAT </w:instrText>
    </w:r>
    <w:r>
      <w:fldChar w:fldCharType="separate"/>
    </w:r>
    <w:r w:rsidR="00CF0C2D">
      <w:rPr>
        <w:noProof/>
      </w:rPr>
      <w:t>35</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8670" w14:textId="77777777" w:rsidR="00A80BC7" w:rsidRDefault="00A80BC7"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F855" w14:textId="77777777" w:rsidR="00A80BC7" w:rsidRDefault="00A80BC7"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D8C4" w14:textId="77777777" w:rsidR="00A80BC7" w:rsidRDefault="00A80BC7" w:rsidP="005A76CC">
    <w:pPr>
      <w:pStyle w:val="rightfooter"/>
    </w:pPr>
    <w:r>
      <w:fldChar w:fldCharType="begin"/>
    </w:r>
    <w:r>
      <w:instrText xml:space="preserve"> PAGE  \* Arabic  \* MERGEFORMAT </w:instrText>
    </w:r>
    <w:r>
      <w:fldChar w:fldCharType="separate"/>
    </w:r>
    <w:r w:rsidR="00CF0C2D">
      <w:rPr>
        <w:noProof/>
      </w:rPr>
      <w:t>37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8434" w14:textId="77777777" w:rsidR="00A80BC7" w:rsidRDefault="00A80BC7" w:rsidP="00AA6B1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595D" w14:textId="77777777" w:rsidR="00A80BC7" w:rsidRDefault="00A80BC7" w:rsidP="00AA6B1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F4A34" w14:textId="77777777" w:rsidR="00A80BC7" w:rsidRPr="00B2068E" w:rsidRDefault="00A80BC7" w:rsidP="00AA6B1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96AEC" w14:textId="77777777" w:rsidR="00A80BC7" w:rsidRDefault="00A80BC7" w:rsidP="00AA6B1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773C0" w14:textId="77777777" w:rsidR="00A80BC7" w:rsidRDefault="00A80BC7" w:rsidP="00AA6B1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FEEC" w14:textId="77777777" w:rsidR="00A80BC7" w:rsidRDefault="00A80BC7" w:rsidP="00AA6B18">
    <w:pPr>
      <w:pStyle w:val="rightfooter"/>
    </w:pPr>
    <w:r>
      <w:fldChar w:fldCharType="begin"/>
    </w:r>
    <w:r>
      <w:instrText xml:space="preserve"> PAGE  \* Arabic  \* MERGEFORMAT </w:instrText>
    </w:r>
    <w:r>
      <w:fldChar w:fldCharType="separate"/>
    </w:r>
    <w:r w:rsidR="00CF0C2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FC25" w14:textId="77777777" w:rsidR="00A80BC7" w:rsidRDefault="00A80BC7" w:rsidP="00AA6B18">
    <w:pPr>
      <w:pStyle w:val="leftfooter"/>
    </w:pPr>
    <w:r>
      <w:fldChar w:fldCharType="begin"/>
    </w:r>
    <w:r>
      <w:instrText xml:space="preserve"> PAGE   \* MERGEFORMAT </w:instrText>
    </w:r>
    <w:r>
      <w:fldChar w:fldCharType="separate"/>
    </w:r>
    <w:r w:rsidR="00CF0C2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C9961" w14:textId="77777777" w:rsidR="00A80BC7" w:rsidRDefault="00A80BC7">
      <w:r>
        <w:separator/>
      </w:r>
    </w:p>
  </w:footnote>
  <w:footnote w:type="continuationSeparator" w:id="0">
    <w:p w14:paraId="2C540A1A" w14:textId="77777777" w:rsidR="00A80BC7" w:rsidRDefault="00A80BC7">
      <w:r>
        <w:continuationSeparator/>
      </w:r>
    </w:p>
  </w:footnote>
  <w:footnote w:type="continuationNotice" w:id="1">
    <w:p w14:paraId="3BA5C20A" w14:textId="77777777" w:rsidR="00A80BC7" w:rsidRDefault="00A80BC7">
      <w:pPr>
        <w:spacing w:before="0" w:after="0"/>
      </w:pPr>
    </w:p>
  </w:footnote>
  <w:footnote w:id="2">
    <w:p w14:paraId="5C28DFD5" w14:textId="0E6571BF" w:rsidR="00A80BC7" w:rsidRDefault="00A80BC7">
      <w:pPr>
        <w:pStyle w:val="FootnoteText"/>
      </w:pPr>
      <w:r>
        <w:rPr>
          <w:rStyle w:val="FootnoteReference"/>
        </w:rPr>
        <w:footnoteRef/>
      </w:r>
      <w:r>
        <w:t xml:space="preserve"> The members of CFR are Treasury, the Reserve Bank of Australia, ASIC and the Australian Prudential Regulation Authority (APRA).</w:t>
      </w:r>
    </w:p>
  </w:footnote>
  <w:footnote w:id="3">
    <w:p w14:paraId="73A377FD" w14:textId="77777777" w:rsidR="00A80BC7" w:rsidRDefault="00A80BC7" w:rsidP="007E0F2A">
      <w:pPr>
        <w:pStyle w:val="FootnoteText"/>
      </w:pPr>
      <w:r>
        <w:rPr>
          <w:rStyle w:val="FootnoteReference"/>
        </w:rPr>
        <w:footnoteRef/>
      </w:r>
      <w:r>
        <w:t xml:space="preserve"> </w:t>
      </w:r>
      <w:r w:rsidRPr="007E0F2A">
        <w:rPr>
          <w:sz w:val="22"/>
        </w:rPr>
        <w:t xml:space="preserve">Available at the following link: </w:t>
      </w:r>
      <w:hyperlink r:id="rId1" w:history="1">
        <w:r w:rsidRPr="007E0F2A">
          <w:rPr>
            <w:color w:val="000000"/>
            <w:sz w:val="22"/>
          </w:rPr>
          <w:t>https://www.iosco.org/library/pubdocs/pdf/IOSCOPD415.pdf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83A35" w14:textId="77777777" w:rsidR="00A80BC7" w:rsidRDefault="00A80BC7" w:rsidP="00AA6B18">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94658" w14:textId="77777777" w:rsidR="00A80BC7" w:rsidRDefault="00A80BC7" w:rsidP="00AA6B18">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FA35" w14:textId="13815EBF" w:rsidR="00A80BC7" w:rsidRDefault="00A80BC7" w:rsidP="00AA6B18">
    <w:pPr>
      <w:pStyle w:val="leftheader"/>
    </w:pPr>
    <w:r>
      <w:t>Corporations Amendment (Financial Benchmarks) Bill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7AA1" w14:textId="4676FD56" w:rsidR="00A80BC7" w:rsidRDefault="00A80BC7" w:rsidP="00AA6B18">
    <w:pPr>
      <w:pStyle w:val="rightheader"/>
    </w:pPr>
    <w:r>
      <w:t>Chapter 2: Licensing framework</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408B3" w14:textId="2A44F253" w:rsidR="00A80BC7" w:rsidRDefault="00A80BC7" w:rsidP="00CE142B">
    <w:pPr>
      <w:pStyle w:val="leftheader"/>
    </w:pPr>
    <w:r>
      <w:t>Corporations Amendment (Financial Benchmarks) Bill 2017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8886A" w14:textId="7DCE4B3B" w:rsidR="00A80BC7" w:rsidRDefault="00A80BC7" w:rsidP="00CE142B">
    <w:pPr>
      <w:pStyle w:val="rightheader"/>
    </w:pPr>
    <w:r>
      <w:t>Chapter 3: ASIC Rule Making Powers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B94E8" w14:textId="69F0B14B" w:rsidR="00A80BC7" w:rsidRDefault="00A80BC7" w:rsidP="004A17C0">
    <w:pPr>
      <w:pStyle w:val="leftheader"/>
    </w:pPr>
    <w:r>
      <w:t>Corporations Amendment (Financial Benchmarks) Bill 2017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599EB" w14:textId="30FB284F" w:rsidR="00A80BC7" w:rsidRDefault="00A80BC7" w:rsidP="004A17C0">
    <w:pPr>
      <w:pStyle w:val="rightheader"/>
    </w:pPr>
    <w:r>
      <w:t>Chapter 4: Offences and Civil Penalties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19AB" w14:textId="3CFC2EEE" w:rsidR="00A80BC7" w:rsidRDefault="00A80BC7" w:rsidP="007546E1">
    <w:pPr>
      <w:pStyle w:val="leftheader"/>
    </w:pPr>
    <w:r>
      <w:t>Corporations Amendment (Financial Benchmarks) Bill 2017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20C5" w14:textId="77777777" w:rsidR="00A80BC7" w:rsidRDefault="00A80BC7" w:rsidP="007546E1">
    <w:pPr>
      <w:pStyle w:val="rightheader"/>
    </w:pPr>
    <w:r>
      <w:fldChar w:fldCharType="begin"/>
    </w:r>
    <w:r>
      <w:instrText xml:space="preserve"> macrobutton nomacro [Click here and enter the name of the Chapter </w:instrTex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9BD79" w14:textId="77777777" w:rsidR="00A80BC7" w:rsidRDefault="00A80BC7" w:rsidP="005A76C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4ECF" w14:textId="77777777" w:rsidR="00A80BC7" w:rsidRDefault="00A80BC7" w:rsidP="00AA6B18">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19DBC" w14:textId="77777777" w:rsidR="00A80BC7" w:rsidRDefault="00A80BC7" w:rsidP="005A76C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9BAC" w14:textId="77777777" w:rsidR="00A80BC7" w:rsidRDefault="00CF0C2D">
    <w:pPr>
      <w:pStyle w:val="Header"/>
    </w:pPr>
    <w:r>
      <w:rPr>
        <w:noProof/>
      </w:rPr>
      <w:pict w14:anchorId="358A8E3A">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8F878" w14:textId="77777777" w:rsidR="00A80BC7" w:rsidRDefault="00A80BC7" w:rsidP="00AA6B18">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885CF" w14:textId="77777777" w:rsidR="00A80BC7" w:rsidRDefault="00A80BC7" w:rsidP="00AA6B18">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94E4D" w14:textId="77777777" w:rsidR="00A80BC7" w:rsidRDefault="00A80B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58EC3" w14:textId="77777777" w:rsidR="00A80BC7" w:rsidRDefault="00A80BC7" w:rsidP="00AA6B18">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0E18F" w14:textId="77777777" w:rsidR="00A80BC7" w:rsidRDefault="00A80BC7" w:rsidP="00AA6B18">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C5E6" w14:textId="77ABD6E3" w:rsidR="00A80BC7" w:rsidRDefault="00A80BC7" w:rsidP="00AA6B18">
    <w:pPr>
      <w:pStyle w:val="leftheader"/>
    </w:pPr>
    <w:r>
      <w:t>Corporations Amendment (Financial Benchmarks)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num>
  <w:num w:numId="32">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80"/>
    <w:rsid w:val="000012DF"/>
    <w:rsid w:val="00005CFC"/>
    <w:rsid w:val="000106B1"/>
    <w:rsid w:val="00012F66"/>
    <w:rsid w:val="00013FE0"/>
    <w:rsid w:val="00020232"/>
    <w:rsid w:val="000246BD"/>
    <w:rsid w:val="000251B6"/>
    <w:rsid w:val="0003246C"/>
    <w:rsid w:val="000327A2"/>
    <w:rsid w:val="0003305A"/>
    <w:rsid w:val="00034BE8"/>
    <w:rsid w:val="0003619D"/>
    <w:rsid w:val="0003642F"/>
    <w:rsid w:val="00040D07"/>
    <w:rsid w:val="00041D86"/>
    <w:rsid w:val="000431C2"/>
    <w:rsid w:val="00044E26"/>
    <w:rsid w:val="00050170"/>
    <w:rsid w:val="00051EAB"/>
    <w:rsid w:val="0005600E"/>
    <w:rsid w:val="000569E8"/>
    <w:rsid w:val="00056BDE"/>
    <w:rsid w:val="00060758"/>
    <w:rsid w:val="00064227"/>
    <w:rsid w:val="00067E1D"/>
    <w:rsid w:val="000705A5"/>
    <w:rsid w:val="00070BFE"/>
    <w:rsid w:val="000725C0"/>
    <w:rsid w:val="000737C4"/>
    <w:rsid w:val="00075250"/>
    <w:rsid w:val="00075994"/>
    <w:rsid w:val="00075B29"/>
    <w:rsid w:val="00076543"/>
    <w:rsid w:val="00076E86"/>
    <w:rsid w:val="00077526"/>
    <w:rsid w:val="000821D5"/>
    <w:rsid w:val="000835C7"/>
    <w:rsid w:val="00085C5D"/>
    <w:rsid w:val="0009012C"/>
    <w:rsid w:val="0009055D"/>
    <w:rsid w:val="00091F69"/>
    <w:rsid w:val="000960B7"/>
    <w:rsid w:val="000961BC"/>
    <w:rsid w:val="00096228"/>
    <w:rsid w:val="00097686"/>
    <w:rsid w:val="000A0A56"/>
    <w:rsid w:val="000A0AED"/>
    <w:rsid w:val="000A0AFD"/>
    <w:rsid w:val="000A2094"/>
    <w:rsid w:val="000A341E"/>
    <w:rsid w:val="000A51CC"/>
    <w:rsid w:val="000A5B26"/>
    <w:rsid w:val="000A5BFE"/>
    <w:rsid w:val="000A6DBE"/>
    <w:rsid w:val="000B7249"/>
    <w:rsid w:val="000B7D93"/>
    <w:rsid w:val="000B7EAF"/>
    <w:rsid w:val="000B7FBA"/>
    <w:rsid w:val="000C06D9"/>
    <w:rsid w:val="000C1D87"/>
    <w:rsid w:val="000C2944"/>
    <w:rsid w:val="000C3645"/>
    <w:rsid w:val="000C5703"/>
    <w:rsid w:val="000C6633"/>
    <w:rsid w:val="000C78DA"/>
    <w:rsid w:val="000D11F9"/>
    <w:rsid w:val="000D1C7F"/>
    <w:rsid w:val="000D54A6"/>
    <w:rsid w:val="000E089D"/>
    <w:rsid w:val="000E2872"/>
    <w:rsid w:val="000E49EE"/>
    <w:rsid w:val="000E5B9A"/>
    <w:rsid w:val="000E5E07"/>
    <w:rsid w:val="000E6D02"/>
    <w:rsid w:val="00100A3F"/>
    <w:rsid w:val="0010684B"/>
    <w:rsid w:val="001114E6"/>
    <w:rsid w:val="00111C5C"/>
    <w:rsid w:val="00113E19"/>
    <w:rsid w:val="00114F1E"/>
    <w:rsid w:val="00114FF2"/>
    <w:rsid w:val="00121EB0"/>
    <w:rsid w:val="00123D96"/>
    <w:rsid w:val="0012405D"/>
    <w:rsid w:val="00124E15"/>
    <w:rsid w:val="00125DF1"/>
    <w:rsid w:val="00131E0C"/>
    <w:rsid w:val="00134A51"/>
    <w:rsid w:val="001353BE"/>
    <w:rsid w:val="00135FAC"/>
    <w:rsid w:val="00136372"/>
    <w:rsid w:val="00137CEF"/>
    <w:rsid w:val="00141143"/>
    <w:rsid w:val="0014197C"/>
    <w:rsid w:val="001420DB"/>
    <w:rsid w:val="0014340C"/>
    <w:rsid w:val="00147843"/>
    <w:rsid w:val="00154027"/>
    <w:rsid w:val="001571E1"/>
    <w:rsid w:val="00166FF9"/>
    <w:rsid w:val="00167BF0"/>
    <w:rsid w:val="00174A29"/>
    <w:rsid w:val="001757E2"/>
    <w:rsid w:val="001806B4"/>
    <w:rsid w:val="001850BA"/>
    <w:rsid w:val="00192FD1"/>
    <w:rsid w:val="001A032E"/>
    <w:rsid w:val="001A6C39"/>
    <w:rsid w:val="001A7A18"/>
    <w:rsid w:val="001B0342"/>
    <w:rsid w:val="001B3093"/>
    <w:rsid w:val="001C26FC"/>
    <w:rsid w:val="001C2F6E"/>
    <w:rsid w:val="001C30B9"/>
    <w:rsid w:val="001C41AC"/>
    <w:rsid w:val="001C6F57"/>
    <w:rsid w:val="001D3940"/>
    <w:rsid w:val="001D5436"/>
    <w:rsid w:val="001E6545"/>
    <w:rsid w:val="001F50D8"/>
    <w:rsid w:val="00200C32"/>
    <w:rsid w:val="00200E96"/>
    <w:rsid w:val="00201B36"/>
    <w:rsid w:val="00211A29"/>
    <w:rsid w:val="00212F26"/>
    <w:rsid w:val="00213ED7"/>
    <w:rsid w:val="00214A21"/>
    <w:rsid w:val="002156AD"/>
    <w:rsid w:val="0021700B"/>
    <w:rsid w:val="00220D6C"/>
    <w:rsid w:val="00222D57"/>
    <w:rsid w:val="00231CBA"/>
    <w:rsid w:val="00233C45"/>
    <w:rsid w:val="00234550"/>
    <w:rsid w:val="00236A1C"/>
    <w:rsid w:val="00243319"/>
    <w:rsid w:val="00243A4E"/>
    <w:rsid w:val="00247E56"/>
    <w:rsid w:val="00250154"/>
    <w:rsid w:val="00252D53"/>
    <w:rsid w:val="00253E01"/>
    <w:rsid w:val="002576C7"/>
    <w:rsid w:val="00261D14"/>
    <w:rsid w:val="00262B2E"/>
    <w:rsid w:val="00264203"/>
    <w:rsid w:val="00265354"/>
    <w:rsid w:val="00266048"/>
    <w:rsid w:val="00266F84"/>
    <w:rsid w:val="00272FD3"/>
    <w:rsid w:val="002748EB"/>
    <w:rsid w:val="00274DB1"/>
    <w:rsid w:val="00275702"/>
    <w:rsid w:val="002857E2"/>
    <w:rsid w:val="002873F2"/>
    <w:rsid w:val="002A1EDD"/>
    <w:rsid w:val="002A4F1C"/>
    <w:rsid w:val="002A64A2"/>
    <w:rsid w:val="002B0FF0"/>
    <w:rsid w:val="002B59D0"/>
    <w:rsid w:val="002C388D"/>
    <w:rsid w:val="002C43E8"/>
    <w:rsid w:val="002C4C6F"/>
    <w:rsid w:val="002D2436"/>
    <w:rsid w:val="002D5A18"/>
    <w:rsid w:val="002D6555"/>
    <w:rsid w:val="002D7817"/>
    <w:rsid w:val="002D7897"/>
    <w:rsid w:val="002E0EAB"/>
    <w:rsid w:val="002E3A4D"/>
    <w:rsid w:val="002E5B93"/>
    <w:rsid w:val="002E5FD3"/>
    <w:rsid w:val="002F2244"/>
    <w:rsid w:val="002F2BCD"/>
    <w:rsid w:val="002F3991"/>
    <w:rsid w:val="002F75B0"/>
    <w:rsid w:val="002F7DC1"/>
    <w:rsid w:val="00300200"/>
    <w:rsid w:val="0030174B"/>
    <w:rsid w:val="0030256C"/>
    <w:rsid w:val="00302CFE"/>
    <w:rsid w:val="00304116"/>
    <w:rsid w:val="0030587F"/>
    <w:rsid w:val="00310E1A"/>
    <w:rsid w:val="003110F6"/>
    <w:rsid w:val="003120D0"/>
    <w:rsid w:val="00313C13"/>
    <w:rsid w:val="00317DF9"/>
    <w:rsid w:val="00320374"/>
    <w:rsid w:val="003238CC"/>
    <w:rsid w:val="00325B3D"/>
    <w:rsid w:val="00325BF0"/>
    <w:rsid w:val="00326CCF"/>
    <w:rsid w:val="00327A30"/>
    <w:rsid w:val="003314D9"/>
    <w:rsid w:val="00332DDB"/>
    <w:rsid w:val="003404AD"/>
    <w:rsid w:val="0034070B"/>
    <w:rsid w:val="003432F8"/>
    <w:rsid w:val="003458BD"/>
    <w:rsid w:val="00345CCB"/>
    <w:rsid w:val="00346524"/>
    <w:rsid w:val="00346BEB"/>
    <w:rsid w:val="003501C2"/>
    <w:rsid w:val="003505E3"/>
    <w:rsid w:val="0035094C"/>
    <w:rsid w:val="00352A0A"/>
    <w:rsid w:val="0035446D"/>
    <w:rsid w:val="00354F87"/>
    <w:rsid w:val="00364097"/>
    <w:rsid w:val="003660EF"/>
    <w:rsid w:val="00366315"/>
    <w:rsid w:val="0036787F"/>
    <w:rsid w:val="00370AE1"/>
    <w:rsid w:val="00370CF4"/>
    <w:rsid w:val="00371146"/>
    <w:rsid w:val="003712B3"/>
    <w:rsid w:val="003719A4"/>
    <w:rsid w:val="00375147"/>
    <w:rsid w:val="00375CD9"/>
    <w:rsid w:val="00376FAF"/>
    <w:rsid w:val="00377CD4"/>
    <w:rsid w:val="00381A2C"/>
    <w:rsid w:val="003822A4"/>
    <w:rsid w:val="003828CC"/>
    <w:rsid w:val="00386A6F"/>
    <w:rsid w:val="00387BAB"/>
    <w:rsid w:val="00390E94"/>
    <w:rsid w:val="0039400F"/>
    <w:rsid w:val="003A311E"/>
    <w:rsid w:val="003A5A84"/>
    <w:rsid w:val="003A5D7E"/>
    <w:rsid w:val="003B28A0"/>
    <w:rsid w:val="003B2C77"/>
    <w:rsid w:val="003B5313"/>
    <w:rsid w:val="003B550D"/>
    <w:rsid w:val="003B6D8B"/>
    <w:rsid w:val="003B7BEE"/>
    <w:rsid w:val="003C1301"/>
    <w:rsid w:val="003C3757"/>
    <w:rsid w:val="003C5BA3"/>
    <w:rsid w:val="003C7025"/>
    <w:rsid w:val="003D6FD9"/>
    <w:rsid w:val="003D7008"/>
    <w:rsid w:val="003D734D"/>
    <w:rsid w:val="003D7F02"/>
    <w:rsid w:val="003E0794"/>
    <w:rsid w:val="003E5EE9"/>
    <w:rsid w:val="003E68F7"/>
    <w:rsid w:val="003F096C"/>
    <w:rsid w:val="003F1C57"/>
    <w:rsid w:val="003F2E34"/>
    <w:rsid w:val="003F4BD0"/>
    <w:rsid w:val="00400FC4"/>
    <w:rsid w:val="00405722"/>
    <w:rsid w:val="00411032"/>
    <w:rsid w:val="00411C02"/>
    <w:rsid w:val="00412C12"/>
    <w:rsid w:val="00422DD5"/>
    <w:rsid w:val="004305F2"/>
    <w:rsid w:val="0043366C"/>
    <w:rsid w:val="00433B1D"/>
    <w:rsid w:val="00433FD9"/>
    <w:rsid w:val="00435574"/>
    <w:rsid w:val="00436054"/>
    <w:rsid w:val="00440905"/>
    <w:rsid w:val="004416FE"/>
    <w:rsid w:val="00441D38"/>
    <w:rsid w:val="00442FB9"/>
    <w:rsid w:val="0044391B"/>
    <w:rsid w:val="00450183"/>
    <w:rsid w:val="00450635"/>
    <w:rsid w:val="0045139D"/>
    <w:rsid w:val="00451BB3"/>
    <w:rsid w:val="00457BC3"/>
    <w:rsid w:val="00460019"/>
    <w:rsid w:val="00465A34"/>
    <w:rsid w:val="00470181"/>
    <w:rsid w:val="004710EB"/>
    <w:rsid w:val="00475D9F"/>
    <w:rsid w:val="00477DE2"/>
    <w:rsid w:val="00480C91"/>
    <w:rsid w:val="00482530"/>
    <w:rsid w:val="004836D2"/>
    <w:rsid w:val="00483A94"/>
    <w:rsid w:val="00483B1F"/>
    <w:rsid w:val="00486953"/>
    <w:rsid w:val="00493319"/>
    <w:rsid w:val="00495B40"/>
    <w:rsid w:val="004A17C0"/>
    <w:rsid w:val="004B3EC2"/>
    <w:rsid w:val="004B4380"/>
    <w:rsid w:val="004B675C"/>
    <w:rsid w:val="004B6BBE"/>
    <w:rsid w:val="004B755A"/>
    <w:rsid w:val="004C1468"/>
    <w:rsid w:val="004C1C0F"/>
    <w:rsid w:val="004C2314"/>
    <w:rsid w:val="004C2ADA"/>
    <w:rsid w:val="004D6B4D"/>
    <w:rsid w:val="004D6B85"/>
    <w:rsid w:val="004E161F"/>
    <w:rsid w:val="004E19C8"/>
    <w:rsid w:val="004E3AC8"/>
    <w:rsid w:val="004E6082"/>
    <w:rsid w:val="004F1B29"/>
    <w:rsid w:val="004F3BAA"/>
    <w:rsid w:val="00502551"/>
    <w:rsid w:val="00504D4A"/>
    <w:rsid w:val="005052B0"/>
    <w:rsid w:val="005056BA"/>
    <w:rsid w:val="00505D5D"/>
    <w:rsid w:val="0050652E"/>
    <w:rsid w:val="00507136"/>
    <w:rsid w:val="00512179"/>
    <w:rsid w:val="00513E22"/>
    <w:rsid w:val="0051454D"/>
    <w:rsid w:val="00515E69"/>
    <w:rsid w:val="00516181"/>
    <w:rsid w:val="005177DF"/>
    <w:rsid w:val="005178DE"/>
    <w:rsid w:val="00517B68"/>
    <w:rsid w:val="00523617"/>
    <w:rsid w:val="005255EA"/>
    <w:rsid w:val="0053562D"/>
    <w:rsid w:val="005360E0"/>
    <w:rsid w:val="00536D56"/>
    <w:rsid w:val="00537C0C"/>
    <w:rsid w:val="005408E6"/>
    <w:rsid w:val="0054284D"/>
    <w:rsid w:val="00542A23"/>
    <w:rsid w:val="0055254F"/>
    <w:rsid w:val="00555D38"/>
    <w:rsid w:val="00557D5A"/>
    <w:rsid w:val="00560C14"/>
    <w:rsid w:val="00561DCD"/>
    <w:rsid w:val="005652B1"/>
    <w:rsid w:val="00570E85"/>
    <w:rsid w:val="00575299"/>
    <w:rsid w:val="00575BC9"/>
    <w:rsid w:val="00580C19"/>
    <w:rsid w:val="00585AFF"/>
    <w:rsid w:val="00585E9C"/>
    <w:rsid w:val="00595CE0"/>
    <w:rsid w:val="005A12F0"/>
    <w:rsid w:val="005A3DD4"/>
    <w:rsid w:val="005A471A"/>
    <w:rsid w:val="005A5348"/>
    <w:rsid w:val="005A5BB3"/>
    <w:rsid w:val="005A76CC"/>
    <w:rsid w:val="005B22C7"/>
    <w:rsid w:val="005B546F"/>
    <w:rsid w:val="005C0475"/>
    <w:rsid w:val="005C2B1A"/>
    <w:rsid w:val="005C523C"/>
    <w:rsid w:val="005C6FB4"/>
    <w:rsid w:val="005D0F90"/>
    <w:rsid w:val="005D1EAF"/>
    <w:rsid w:val="005E4C14"/>
    <w:rsid w:val="005E6510"/>
    <w:rsid w:val="005E741D"/>
    <w:rsid w:val="005E77E1"/>
    <w:rsid w:val="005E7DA0"/>
    <w:rsid w:val="005F1B6B"/>
    <w:rsid w:val="005F3ED2"/>
    <w:rsid w:val="005F508A"/>
    <w:rsid w:val="005F5690"/>
    <w:rsid w:val="005F767B"/>
    <w:rsid w:val="0060211C"/>
    <w:rsid w:val="006022F2"/>
    <w:rsid w:val="0060384C"/>
    <w:rsid w:val="006071CA"/>
    <w:rsid w:val="006071E9"/>
    <w:rsid w:val="00611558"/>
    <w:rsid w:val="00616711"/>
    <w:rsid w:val="0062044D"/>
    <w:rsid w:val="006205F7"/>
    <w:rsid w:val="00621923"/>
    <w:rsid w:val="00621C69"/>
    <w:rsid w:val="00622245"/>
    <w:rsid w:val="00627F07"/>
    <w:rsid w:val="00630499"/>
    <w:rsid w:val="006317B5"/>
    <w:rsid w:val="006330AD"/>
    <w:rsid w:val="00636CDE"/>
    <w:rsid w:val="00637F8A"/>
    <w:rsid w:val="006412C3"/>
    <w:rsid w:val="00641C21"/>
    <w:rsid w:val="00642F08"/>
    <w:rsid w:val="00644AD3"/>
    <w:rsid w:val="00652F54"/>
    <w:rsid w:val="00653DA2"/>
    <w:rsid w:val="00653EA2"/>
    <w:rsid w:val="00655F3B"/>
    <w:rsid w:val="00663A4C"/>
    <w:rsid w:val="006655F9"/>
    <w:rsid w:val="006712FD"/>
    <w:rsid w:val="006718E5"/>
    <w:rsid w:val="006734A9"/>
    <w:rsid w:val="006748F3"/>
    <w:rsid w:val="006764F2"/>
    <w:rsid w:val="00676AC8"/>
    <w:rsid w:val="0068513E"/>
    <w:rsid w:val="006857AE"/>
    <w:rsid w:val="00685BD4"/>
    <w:rsid w:val="006916A8"/>
    <w:rsid w:val="006A3E9C"/>
    <w:rsid w:val="006A42F5"/>
    <w:rsid w:val="006A4718"/>
    <w:rsid w:val="006A60CA"/>
    <w:rsid w:val="006B1404"/>
    <w:rsid w:val="006B1F17"/>
    <w:rsid w:val="006B2EED"/>
    <w:rsid w:val="006B4321"/>
    <w:rsid w:val="006B48E3"/>
    <w:rsid w:val="006B49CE"/>
    <w:rsid w:val="006C1A77"/>
    <w:rsid w:val="006C218D"/>
    <w:rsid w:val="006C3CEB"/>
    <w:rsid w:val="006C7761"/>
    <w:rsid w:val="006D2B3A"/>
    <w:rsid w:val="006D36E7"/>
    <w:rsid w:val="006D4184"/>
    <w:rsid w:val="006D4CA4"/>
    <w:rsid w:val="006D737B"/>
    <w:rsid w:val="006E01A2"/>
    <w:rsid w:val="006E08FB"/>
    <w:rsid w:val="006E1BE3"/>
    <w:rsid w:val="006E5559"/>
    <w:rsid w:val="006E60FD"/>
    <w:rsid w:val="006E6B85"/>
    <w:rsid w:val="006E76EC"/>
    <w:rsid w:val="006E77FD"/>
    <w:rsid w:val="006F1E08"/>
    <w:rsid w:val="006F3428"/>
    <w:rsid w:val="006F76A8"/>
    <w:rsid w:val="006F775C"/>
    <w:rsid w:val="006F7AFB"/>
    <w:rsid w:val="007001D0"/>
    <w:rsid w:val="00703C25"/>
    <w:rsid w:val="00703FA4"/>
    <w:rsid w:val="0070510D"/>
    <w:rsid w:val="00705D97"/>
    <w:rsid w:val="00706884"/>
    <w:rsid w:val="007075EA"/>
    <w:rsid w:val="007079A1"/>
    <w:rsid w:val="00707D39"/>
    <w:rsid w:val="00710171"/>
    <w:rsid w:val="007155B4"/>
    <w:rsid w:val="00717B4E"/>
    <w:rsid w:val="00720003"/>
    <w:rsid w:val="00721790"/>
    <w:rsid w:val="00721E3E"/>
    <w:rsid w:val="00725B4F"/>
    <w:rsid w:val="00730424"/>
    <w:rsid w:val="00732487"/>
    <w:rsid w:val="007329C5"/>
    <w:rsid w:val="00735A9A"/>
    <w:rsid w:val="00736240"/>
    <w:rsid w:val="0073709E"/>
    <w:rsid w:val="007372FF"/>
    <w:rsid w:val="007403F5"/>
    <w:rsid w:val="007439D0"/>
    <w:rsid w:val="00743A5A"/>
    <w:rsid w:val="007454F8"/>
    <w:rsid w:val="00746761"/>
    <w:rsid w:val="007469B7"/>
    <w:rsid w:val="00747403"/>
    <w:rsid w:val="00747CF5"/>
    <w:rsid w:val="00753239"/>
    <w:rsid w:val="007546E1"/>
    <w:rsid w:val="00756CCC"/>
    <w:rsid w:val="00757BD1"/>
    <w:rsid w:val="00760C21"/>
    <w:rsid w:val="00761398"/>
    <w:rsid w:val="00761D70"/>
    <w:rsid w:val="00762AAE"/>
    <w:rsid w:val="00762D28"/>
    <w:rsid w:val="007652BC"/>
    <w:rsid w:val="007665E5"/>
    <w:rsid w:val="00766B32"/>
    <w:rsid w:val="00766D17"/>
    <w:rsid w:val="00774214"/>
    <w:rsid w:val="00780996"/>
    <w:rsid w:val="00783171"/>
    <w:rsid w:val="0078512A"/>
    <w:rsid w:val="007861D7"/>
    <w:rsid w:val="007871CD"/>
    <w:rsid w:val="00790795"/>
    <w:rsid w:val="007923BE"/>
    <w:rsid w:val="00792B3E"/>
    <w:rsid w:val="00792ECD"/>
    <w:rsid w:val="00792F46"/>
    <w:rsid w:val="007931C6"/>
    <w:rsid w:val="00793F75"/>
    <w:rsid w:val="00796475"/>
    <w:rsid w:val="007966EF"/>
    <w:rsid w:val="007A1BCB"/>
    <w:rsid w:val="007A2644"/>
    <w:rsid w:val="007A4C99"/>
    <w:rsid w:val="007A57DD"/>
    <w:rsid w:val="007A63A5"/>
    <w:rsid w:val="007A66B9"/>
    <w:rsid w:val="007B11C9"/>
    <w:rsid w:val="007B188B"/>
    <w:rsid w:val="007B23EE"/>
    <w:rsid w:val="007B52DF"/>
    <w:rsid w:val="007B5C59"/>
    <w:rsid w:val="007C0FBF"/>
    <w:rsid w:val="007D00E5"/>
    <w:rsid w:val="007D1821"/>
    <w:rsid w:val="007D3B6F"/>
    <w:rsid w:val="007D5FDE"/>
    <w:rsid w:val="007E0F2A"/>
    <w:rsid w:val="007E1FAD"/>
    <w:rsid w:val="007E25E0"/>
    <w:rsid w:val="007E3C31"/>
    <w:rsid w:val="007E5701"/>
    <w:rsid w:val="007F179C"/>
    <w:rsid w:val="007F5B1F"/>
    <w:rsid w:val="007F7122"/>
    <w:rsid w:val="007F79C5"/>
    <w:rsid w:val="008039FB"/>
    <w:rsid w:val="00810C11"/>
    <w:rsid w:val="00813210"/>
    <w:rsid w:val="008147F1"/>
    <w:rsid w:val="00814AEE"/>
    <w:rsid w:val="0081636E"/>
    <w:rsid w:val="008212B5"/>
    <w:rsid w:val="00821379"/>
    <w:rsid w:val="0082286A"/>
    <w:rsid w:val="00827930"/>
    <w:rsid w:val="00827FCD"/>
    <w:rsid w:val="00830A28"/>
    <w:rsid w:val="00832743"/>
    <w:rsid w:val="00834752"/>
    <w:rsid w:val="00834B56"/>
    <w:rsid w:val="00835001"/>
    <w:rsid w:val="0084301F"/>
    <w:rsid w:val="0084331C"/>
    <w:rsid w:val="00844687"/>
    <w:rsid w:val="00846426"/>
    <w:rsid w:val="008548D3"/>
    <w:rsid w:val="00855D57"/>
    <w:rsid w:val="00857DEC"/>
    <w:rsid w:val="0086267A"/>
    <w:rsid w:val="008630D1"/>
    <w:rsid w:val="00867F0F"/>
    <w:rsid w:val="00872E9E"/>
    <w:rsid w:val="008752F1"/>
    <w:rsid w:val="008815E9"/>
    <w:rsid w:val="008851C1"/>
    <w:rsid w:val="00885966"/>
    <w:rsid w:val="00885BE8"/>
    <w:rsid w:val="00890245"/>
    <w:rsid w:val="008923A4"/>
    <w:rsid w:val="00895884"/>
    <w:rsid w:val="00896D45"/>
    <w:rsid w:val="008A4969"/>
    <w:rsid w:val="008A6F6D"/>
    <w:rsid w:val="008B0747"/>
    <w:rsid w:val="008B095D"/>
    <w:rsid w:val="008B2A7A"/>
    <w:rsid w:val="008B31CE"/>
    <w:rsid w:val="008B39C7"/>
    <w:rsid w:val="008B56B5"/>
    <w:rsid w:val="008B7D03"/>
    <w:rsid w:val="008C359D"/>
    <w:rsid w:val="008C51F4"/>
    <w:rsid w:val="008C68A9"/>
    <w:rsid w:val="008D0AE4"/>
    <w:rsid w:val="008D1639"/>
    <w:rsid w:val="008D1A7D"/>
    <w:rsid w:val="008D36D9"/>
    <w:rsid w:val="008D3F07"/>
    <w:rsid w:val="008D4C40"/>
    <w:rsid w:val="008D75E9"/>
    <w:rsid w:val="008E12B9"/>
    <w:rsid w:val="008E31C2"/>
    <w:rsid w:val="008F0AE4"/>
    <w:rsid w:val="008F1A67"/>
    <w:rsid w:val="008F2845"/>
    <w:rsid w:val="008F726E"/>
    <w:rsid w:val="00901ED2"/>
    <w:rsid w:val="00911A75"/>
    <w:rsid w:val="009125BB"/>
    <w:rsid w:val="00913186"/>
    <w:rsid w:val="009156A8"/>
    <w:rsid w:val="00915FA5"/>
    <w:rsid w:val="00917DED"/>
    <w:rsid w:val="0092008E"/>
    <w:rsid w:val="00922787"/>
    <w:rsid w:val="009238DB"/>
    <w:rsid w:val="00925CFF"/>
    <w:rsid w:val="00926E36"/>
    <w:rsid w:val="00932D93"/>
    <w:rsid w:val="00935C6B"/>
    <w:rsid w:val="009377D7"/>
    <w:rsid w:val="00937B71"/>
    <w:rsid w:val="00940BFD"/>
    <w:rsid w:val="00941B5C"/>
    <w:rsid w:val="00941C05"/>
    <w:rsid w:val="0094304D"/>
    <w:rsid w:val="009460AB"/>
    <w:rsid w:val="0095290C"/>
    <w:rsid w:val="00952DE1"/>
    <w:rsid w:val="009530DE"/>
    <w:rsid w:val="00953F17"/>
    <w:rsid w:val="009615B2"/>
    <w:rsid w:val="0096411E"/>
    <w:rsid w:val="0096543D"/>
    <w:rsid w:val="009676F2"/>
    <w:rsid w:val="00970561"/>
    <w:rsid w:val="00971E92"/>
    <w:rsid w:val="00973550"/>
    <w:rsid w:val="009759C8"/>
    <w:rsid w:val="009836B1"/>
    <w:rsid w:val="0098473C"/>
    <w:rsid w:val="00985364"/>
    <w:rsid w:val="00991818"/>
    <w:rsid w:val="00994B8C"/>
    <w:rsid w:val="009973BE"/>
    <w:rsid w:val="009977B4"/>
    <w:rsid w:val="00997812"/>
    <w:rsid w:val="009A2B11"/>
    <w:rsid w:val="009A363F"/>
    <w:rsid w:val="009A4908"/>
    <w:rsid w:val="009A5F97"/>
    <w:rsid w:val="009B0AB7"/>
    <w:rsid w:val="009B23D5"/>
    <w:rsid w:val="009B2AD6"/>
    <w:rsid w:val="009B3657"/>
    <w:rsid w:val="009B4181"/>
    <w:rsid w:val="009B78B3"/>
    <w:rsid w:val="009C0506"/>
    <w:rsid w:val="009C0B14"/>
    <w:rsid w:val="009C380E"/>
    <w:rsid w:val="009C4BC4"/>
    <w:rsid w:val="009D139C"/>
    <w:rsid w:val="009D3D97"/>
    <w:rsid w:val="009E5ACA"/>
    <w:rsid w:val="009E6C76"/>
    <w:rsid w:val="009F44F5"/>
    <w:rsid w:val="009F4D57"/>
    <w:rsid w:val="009F651D"/>
    <w:rsid w:val="00A01492"/>
    <w:rsid w:val="00A03E30"/>
    <w:rsid w:val="00A04A9F"/>
    <w:rsid w:val="00A0686D"/>
    <w:rsid w:val="00A07DDF"/>
    <w:rsid w:val="00A1128B"/>
    <w:rsid w:val="00A112E3"/>
    <w:rsid w:val="00A1272D"/>
    <w:rsid w:val="00A22C72"/>
    <w:rsid w:val="00A27B13"/>
    <w:rsid w:val="00A27B94"/>
    <w:rsid w:val="00A30108"/>
    <w:rsid w:val="00A30D0E"/>
    <w:rsid w:val="00A32143"/>
    <w:rsid w:val="00A32584"/>
    <w:rsid w:val="00A332EA"/>
    <w:rsid w:val="00A37F77"/>
    <w:rsid w:val="00A44E9C"/>
    <w:rsid w:val="00A516CB"/>
    <w:rsid w:val="00A51DC2"/>
    <w:rsid w:val="00A53EB2"/>
    <w:rsid w:val="00A54CD3"/>
    <w:rsid w:val="00A55EFF"/>
    <w:rsid w:val="00A575AE"/>
    <w:rsid w:val="00A61078"/>
    <w:rsid w:val="00A65D09"/>
    <w:rsid w:val="00A70E22"/>
    <w:rsid w:val="00A71742"/>
    <w:rsid w:val="00A722B0"/>
    <w:rsid w:val="00A7795D"/>
    <w:rsid w:val="00A77F47"/>
    <w:rsid w:val="00A80BC7"/>
    <w:rsid w:val="00A834B8"/>
    <w:rsid w:val="00A84C18"/>
    <w:rsid w:val="00A86F1A"/>
    <w:rsid w:val="00A8783F"/>
    <w:rsid w:val="00A87B4A"/>
    <w:rsid w:val="00A9159F"/>
    <w:rsid w:val="00A9275F"/>
    <w:rsid w:val="00A93921"/>
    <w:rsid w:val="00A93D2D"/>
    <w:rsid w:val="00A94FFD"/>
    <w:rsid w:val="00A96322"/>
    <w:rsid w:val="00A9707A"/>
    <w:rsid w:val="00AA098E"/>
    <w:rsid w:val="00AA20C9"/>
    <w:rsid w:val="00AA2141"/>
    <w:rsid w:val="00AA38BF"/>
    <w:rsid w:val="00AA50D8"/>
    <w:rsid w:val="00AA5524"/>
    <w:rsid w:val="00AA6B18"/>
    <w:rsid w:val="00AB11CC"/>
    <w:rsid w:val="00AB77BC"/>
    <w:rsid w:val="00AB7A14"/>
    <w:rsid w:val="00AC5B46"/>
    <w:rsid w:val="00AC72D5"/>
    <w:rsid w:val="00AD156C"/>
    <w:rsid w:val="00AD1AAD"/>
    <w:rsid w:val="00AD497C"/>
    <w:rsid w:val="00AD4ABE"/>
    <w:rsid w:val="00AD5670"/>
    <w:rsid w:val="00AD5727"/>
    <w:rsid w:val="00AD687A"/>
    <w:rsid w:val="00AD6DC4"/>
    <w:rsid w:val="00AD6E17"/>
    <w:rsid w:val="00AE23F9"/>
    <w:rsid w:val="00AE394C"/>
    <w:rsid w:val="00AE4A03"/>
    <w:rsid w:val="00AE626A"/>
    <w:rsid w:val="00AF0028"/>
    <w:rsid w:val="00AF0A9F"/>
    <w:rsid w:val="00AF0EB2"/>
    <w:rsid w:val="00AF2897"/>
    <w:rsid w:val="00AF3340"/>
    <w:rsid w:val="00AF4A24"/>
    <w:rsid w:val="00B00C37"/>
    <w:rsid w:val="00B00E14"/>
    <w:rsid w:val="00B02F65"/>
    <w:rsid w:val="00B06D78"/>
    <w:rsid w:val="00B07428"/>
    <w:rsid w:val="00B07898"/>
    <w:rsid w:val="00B07CFA"/>
    <w:rsid w:val="00B17AF2"/>
    <w:rsid w:val="00B17D6E"/>
    <w:rsid w:val="00B206C1"/>
    <w:rsid w:val="00B24366"/>
    <w:rsid w:val="00B25142"/>
    <w:rsid w:val="00B30BF1"/>
    <w:rsid w:val="00B31641"/>
    <w:rsid w:val="00B321BE"/>
    <w:rsid w:val="00B3403E"/>
    <w:rsid w:val="00B348D3"/>
    <w:rsid w:val="00B36F03"/>
    <w:rsid w:val="00B41898"/>
    <w:rsid w:val="00B47495"/>
    <w:rsid w:val="00B55FC1"/>
    <w:rsid w:val="00B602B3"/>
    <w:rsid w:val="00B6273D"/>
    <w:rsid w:val="00B64794"/>
    <w:rsid w:val="00B654ED"/>
    <w:rsid w:val="00B66266"/>
    <w:rsid w:val="00B67600"/>
    <w:rsid w:val="00B71172"/>
    <w:rsid w:val="00B725B1"/>
    <w:rsid w:val="00B7388C"/>
    <w:rsid w:val="00B7408F"/>
    <w:rsid w:val="00B75DB6"/>
    <w:rsid w:val="00B87E1D"/>
    <w:rsid w:val="00B93631"/>
    <w:rsid w:val="00B94871"/>
    <w:rsid w:val="00B94FB4"/>
    <w:rsid w:val="00B95B7A"/>
    <w:rsid w:val="00BA0D57"/>
    <w:rsid w:val="00BA2235"/>
    <w:rsid w:val="00BA2903"/>
    <w:rsid w:val="00BA5F80"/>
    <w:rsid w:val="00BA728F"/>
    <w:rsid w:val="00BB4949"/>
    <w:rsid w:val="00BB5C3C"/>
    <w:rsid w:val="00BC2366"/>
    <w:rsid w:val="00BC33C9"/>
    <w:rsid w:val="00BC3A98"/>
    <w:rsid w:val="00BC3DB1"/>
    <w:rsid w:val="00BC4B04"/>
    <w:rsid w:val="00BC4CCA"/>
    <w:rsid w:val="00BC5700"/>
    <w:rsid w:val="00BC745A"/>
    <w:rsid w:val="00BC7F7A"/>
    <w:rsid w:val="00BD3B2B"/>
    <w:rsid w:val="00BD4513"/>
    <w:rsid w:val="00BD62F4"/>
    <w:rsid w:val="00BE0D46"/>
    <w:rsid w:val="00BE681A"/>
    <w:rsid w:val="00BF0080"/>
    <w:rsid w:val="00BF1C59"/>
    <w:rsid w:val="00BF3C66"/>
    <w:rsid w:val="00C03AF3"/>
    <w:rsid w:val="00C03E7C"/>
    <w:rsid w:val="00C04A7A"/>
    <w:rsid w:val="00C05595"/>
    <w:rsid w:val="00C05B32"/>
    <w:rsid w:val="00C107CF"/>
    <w:rsid w:val="00C12376"/>
    <w:rsid w:val="00C135C1"/>
    <w:rsid w:val="00C1366C"/>
    <w:rsid w:val="00C13FFA"/>
    <w:rsid w:val="00C15FA2"/>
    <w:rsid w:val="00C1738A"/>
    <w:rsid w:val="00C21807"/>
    <w:rsid w:val="00C21DE0"/>
    <w:rsid w:val="00C232D5"/>
    <w:rsid w:val="00C26CB0"/>
    <w:rsid w:val="00C27414"/>
    <w:rsid w:val="00C27586"/>
    <w:rsid w:val="00C3016F"/>
    <w:rsid w:val="00C32240"/>
    <w:rsid w:val="00C35BE1"/>
    <w:rsid w:val="00C44C27"/>
    <w:rsid w:val="00C44D85"/>
    <w:rsid w:val="00C47A08"/>
    <w:rsid w:val="00C55D39"/>
    <w:rsid w:val="00C61C0B"/>
    <w:rsid w:val="00C62ECE"/>
    <w:rsid w:val="00C63BF8"/>
    <w:rsid w:val="00C643DF"/>
    <w:rsid w:val="00C65FBD"/>
    <w:rsid w:val="00C71ACF"/>
    <w:rsid w:val="00C744BC"/>
    <w:rsid w:val="00C759FF"/>
    <w:rsid w:val="00C75C5C"/>
    <w:rsid w:val="00C75F73"/>
    <w:rsid w:val="00C84801"/>
    <w:rsid w:val="00C85F11"/>
    <w:rsid w:val="00C8630D"/>
    <w:rsid w:val="00C8648B"/>
    <w:rsid w:val="00C90DDB"/>
    <w:rsid w:val="00C947E7"/>
    <w:rsid w:val="00C978EF"/>
    <w:rsid w:val="00CA2C58"/>
    <w:rsid w:val="00CA358D"/>
    <w:rsid w:val="00CA4703"/>
    <w:rsid w:val="00CA4897"/>
    <w:rsid w:val="00CA5F63"/>
    <w:rsid w:val="00CA7CDA"/>
    <w:rsid w:val="00CB007F"/>
    <w:rsid w:val="00CB0515"/>
    <w:rsid w:val="00CB084C"/>
    <w:rsid w:val="00CB1C05"/>
    <w:rsid w:val="00CB6473"/>
    <w:rsid w:val="00CB73DB"/>
    <w:rsid w:val="00CC09C5"/>
    <w:rsid w:val="00CC2CEC"/>
    <w:rsid w:val="00CC2E7E"/>
    <w:rsid w:val="00CC5A10"/>
    <w:rsid w:val="00CD1FA8"/>
    <w:rsid w:val="00CD41DB"/>
    <w:rsid w:val="00CE142B"/>
    <w:rsid w:val="00CE1CB4"/>
    <w:rsid w:val="00CE4136"/>
    <w:rsid w:val="00CE5590"/>
    <w:rsid w:val="00CF0C2D"/>
    <w:rsid w:val="00CF1D4A"/>
    <w:rsid w:val="00CF3913"/>
    <w:rsid w:val="00CF3DB8"/>
    <w:rsid w:val="00CF5226"/>
    <w:rsid w:val="00CF5EE9"/>
    <w:rsid w:val="00CF670E"/>
    <w:rsid w:val="00D01826"/>
    <w:rsid w:val="00D01E95"/>
    <w:rsid w:val="00D0248F"/>
    <w:rsid w:val="00D07407"/>
    <w:rsid w:val="00D103DC"/>
    <w:rsid w:val="00D11D73"/>
    <w:rsid w:val="00D15430"/>
    <w:rsid w:val="00D17DF5"/>
    <w:rsid w:val="00D21624"/>
    <w:rsid w:val="00D220F1"/>
    <w:rsid w:val="00D22699"/>
    <w:rsid w:val="00D2660E"/>
    <w:rsid w:val="00D31F08"/>
    <w:rsid w:val="00D3425D"/>
    <w:rsid w:val="00D35982"/>
    <w:rsid w:val="00D363E1"/>
    <w:rsid w:val="00D372B4"/>
    <w:rsid w:val="00D4029F"/>
    <w:rsid w:val="00D42E16"/>
    <w:rsid w:val="00D50F0C"/>
    <w:rsid w:val="00D522E9"/>
    <w:rsid w:val="00D57DA1"/>
    <w:rsid w:val="00D66F0C"/>
    <w:rsid w:val="00D67ADC"/>
    <w:rsid w:val="00D70764"/>
    <w:rsid w:val="00D72D8E"/>
    <w:rsid w:val="00D75FB3"/>
    <w:rsid w:val="00D767C5"/>
    <w:rsid w:val="00D85B38"/>
    <w:rsid w:val="00D85BEA"/>
    <w:rsid w:val="00D85D4E"/>
    <w:rsid w:val="00D8611E"/>
    <w:rsid w:val="00D90D9C"/>
    <w:rsid w:val="00D91BCB"/>
    <w:rsid w:val="00D93657"/>
    <w:rsid w:val="00D96329"/>
    <w:rsid w:val="00D96333"/>
    <w:rsid w:val="00D963F2"/>
    <w:rsid w:val="00D97E19"/>
    <w:rsid w:val="00DA236D"/>
    <w:rsid w:val="00DA72C6"/>
    <w:rsid w:val="00DA7B72"/>
    <w:rsid w:val="00DB05C0"/>
    <w:rsid w:val="00DB1F26"/>
    <w:rsid w:val="00DB2E2E"/>
    <w:rsid w:val="00DB36FF"/>
    <w:rsid w:val="00DB4106"/>
    <w:rsid w:val="00DB5F48"/>
    <w:rsid w:val="00DC24A1"/>
    <w:rsid w:val="00DC3DDF"/>
    <w:rsid w:val="00DC47D6"/>
    <w:rsid w:val="00DD2EC4"/>
    <w:rsid w:val="00DD6306"/>
    <w:rsid w:val="00DD7099"/>
    <w:rsid w:val="00DE07A3"/>
    <w:rsid w:val="00DE2A8E"/>
    <w:rsid w:val="00DE2E40"/>
    <w:rsid w:val="00DF1072"/>
    <w:rsid w:val="00DF19C5"/>
    <w:rsid w:val="00E01A29"/>
    <w:rsid w:val="00E01F0D"/>
    <w:rsid w:val="00E02BC4"/>
    <w:rsid w:val="00E04155"/>
    <w:rsid w:val="00E110EE"/>
    <w:rsid w:val="00E132C2"/>
    <w:rsid w:val="00E2061C"/>
    <w:rsid w:val="00E20BB3"/>
    <w:rsid w:val="00E27488"/>
    <w:rsid w:val="00E31B34"/>
    <w:rsid w:val="00E3303E"/>
    <w:rsid w:val="00E33716"/>
    <w:rsid w:val="00E36CF2"/>
    <w:rsid w:val="00E45A18"/>
    <w:rsid w:val="00E47CED"/>
    <w:rsid w:val="00E47DF5"/>
    <w:rsid w:val="00E509B6"/>
    <w:rsid w:val="00E529D5"/>
    <w:rsid w:val="00E54185"/>
    <w:rsid w:val="00E541BE"/>
    <w:rsid w:val="00E556A6"/>
    <w:rsid w:val="00E62E8C"/>
    <w:rsid w:val="00E70CE7"/>
    <w:rsid w:val="00E72027"/>
    <w:rsid w:val="00E735F6"/>
    <w:rsid w:val="00E7365D"/>
    <w:rsid w:val="00E74BDE"/>
    <w:rsid w:val="00E80C57"/>
    <w:rsid w:val="00E81037"/>
    <w:rsid w:val="00E83533"/>
    <w:rsid w:val="00E844E5"/>
    <w:rsid w:val="00E85785"/>
    <w:rsid w:val="00E87729"/>
    <w:rsid w:val="00E906AF"/>
    <w:rsid w:val="00E91A7C"/>
    <w:rsid w:val="00EA07E5"/>
    <w:rsid w:val="00EA156D"/>
    <w:rsid w:val="00EA32A3"/>
    <w:rsid w:val="00EB72BC"/>
    <w:rsid w:val="00EC0AC8"/>
    <w:rsid w:val="00EC2BC8"/>
    <w:rsid w:val="00EC4143"/>
    <w:rsid w:val="00EC4E44"/>
    <w:rsid w:val="00EC6730"/>
    <w:rsid w:val="00ED50A3"/>
    <w:rsid w:val="00ED6589"/>
    <w:rsid w:val="00EE7884"/>
    <w:rsid w:val="00EE7C19"/>
    <w:rsid w:val="00EF521D"/>
    <w:rsid w:val="00EF789C"/>
    <w:rsid w:val="00EF7901"/>
    <w:rsid w:val="00F021FE"/>
    <w:rsid w:val="00F053A1"/>
    <w:rsid w:val="00F05754"/>
    <w:rsid w:val="00F12244"/>
    <w:rsid w:val="00F13607"/>
    <w:rsid w:val="00F14312"/>
    <w:rsid w:val="00F1601D"/>
    <w:rsid w:val="00F168D3"/>
    <w:rsid w:val="00F31131"/>
    <w:rsid w:val="00F35C92"/>
    <w:rsid w:val="00F3624C"/>
    <w:rsid w:val="00F437A0"/>
    <w:rsid w:val="00F51A71"/>
    <w:rsid w:val="00F54822"/>
    <w:rsid w:val="00F560CE"/>
    <w:rsid w:val="00F5658E"/>
    <w:rsid w:val="00F576D4"/>
    <w:rsid w:val="00F605D2"/>
    <w:rsid w:val="00F612CB"/>
    <w:rsid w:val="00F63051"/>
    <w:rsid w:val="00F65E1D"/>
    <w:rsid w:val="00F85391"/>
    <w:rsid w:val="00F853D1"/>
    <w:rsid w:val="00F85935"/>
    <w:rsid w:val="00F86732"/>
    <w:rsid w:val="00F87253"/>
    <w:rsid w:val="00F87F97"/>
    <w:rsid w:val="00F918CE"/>
    <w:rsid w:val="00F91FBE"/>
    <w:rsid w:val="00F92EA1"/>
    <w:rsid w:val="00F92FE2"/>
    <w:rsid w:val="00F95B90"/>
    <w:rsid w:val="00F96111"/>
    <w:rsid w:val="00FA129E"/>
    <w:rsid w:val="00FA1AA1"/>
    <w:rsid w:val="00FA3792"/>
    <w:rsid w:val="00FA3F50"/>
    <w:rsid w:val="00FA4F8E"/>
    <w:rsid w:val="00FA7231"/>
    <w:rsid w:val="00FB1399"/>
    <w:rsid w:val="00FB4634"/>
    <w:rsid w:val="00FB53AE"/>
    <w:rsid w:val="00FC09C3"/>
    <w:rsid w:val="00FC1516"/>
    <w:rsid w:val="00FC604E"/>
    <w:rsid w:val="00FD4961"/>
    <w:rsid w:val="00FD4B49"/>
    <w:rsid w:val="00FD4B5C"/>
    <w:rsid w:val="00FE0EBD"/>
    <w:rsid w:val="00FE2ED4"/>
    <w:rsid w:val="00FE3EE5"/>
    <w:rsid w:val="00FE3FB5"/>
    <w:rsid w:val="00FE4340"/>
    <w:rsid w:val="00FE5625"/>
    <w:rsid w:val="00FF0037"/>
    <w:rsid w:val="00FF0747"/>
    <w:rsid w:val="00FF3916"/>
    <w:rsid w:val="00FF6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F9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D72D8E"/>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2D8E"/>
    <w:rPr>
      <w:rFonts w:ascii="Tahoma" w:hAnsi="Tahoma" w:cs="Tahoma"/>
      <w:sz w:val="16"/>
      <w:szCs w:val="16"/>
    </w:rPr>
  </w:style>
  <w:style w:type="character" w:styleId="FootnoteReference">
    <w:name w:val="footnote reference"/>
    <w:basedOn w:val="DefaultParagraphFont"/>
    <w:rsid w:val="00D220F1"/>
    <w:rPr>
      <w:vertAlign w:val="superscript"/>
    </w:rPr>
  </w:style>
  <w:style w:type="character" w:customStyle="1" w:styleId="FootnoteTextChar">
    <w:name w:val="Footnote Text Char"/>
    <w:basedOn w:val="DefaultParagraphFont"/>
    <w:link w:val="FootnoteText"/>
    <w:rsid w:val="00B07428"/>
  </w:style>
  <w:style w:type="table" w:customStyle="1" w:styleId="TableGrid10">
    <w:name w:val="Table Grid1"/>
    <w:basedOn w:val="TableNormal"/>
    <w:next w:val="TableGrid"/>
    <w:uiPriority w:val="59"/>
    <w:rsid w:val="00941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81A2C"/>
    <w:rPr>
      <w:sz w:val="16"/>
      <w:szCs w:val="16"/>
    </w:rPr>
  </w:style>
  <w:style w:type="paragraph" w:styleId="CommentText">
    <w:name w:val="annotation text"/>
    <w:basedOn w:val="Normal"/>
    <w:link w:val="CommentTextChar"/>
    <w:rsid w:val="00381A2C"/>
    <w:rPr>
      <w:sz w:val="20"/>
    </w:rPr>
  </w:style>
  <w:style w:type="character" w:customStyle="1" w:styleId="CommentTextChar">
    <w:name w:val="Comment Text Char"/>
    <w:basedOn w:val="DefaultParagraphFont"/>
    <w:link w:val="CommentText"/>
    <w:rsid w:val="00381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D72D8E"/>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2D8E"/>
    <w:rPr>
      <w:rFonts w:ascii="Tahoma" w:hAnsi="Tahoma" w:cs="Tahoma"/>
      <w:sz w:val="16"/>
      <w:szCs w:val="16"/>
    </w:rPr>
  </w:style>
  <w:style w:type="character" w:styleId="FootnoteReference">
    <w:name w:val="footnote reference"/>
    <w:basedOn w:val="DefaultParagraphFont"/>
    <w:rsid w:val="00D220F1"/>
    <w:rPr>
      <w:vertAlign w:val="superscript"/>
    </w:rPr>
  </w:style>
  <w:style w:type="character" w:customStyle="1" w:styleId="FootnoteTextChar">
    <w:name w:val="Footnote Text Char"/>
    <w:basedOn w:val="DefaultParagraphFont"/>
    <w:link w:val="FootnoteText"/>
    <w:rsid w:val="00B07428"/>
  </w:style>
  <w:style w:type="table" w:customStyle="1" w:styleId="TableGrid10">
    <w:name w:val="Table Grid1"/>
    <w:basedOn w:val="TableNormal"/>
    <w:next w:val="TableGrid"/>
    <w:uiPriority w:val="59"/>
    <w:rsid w:val="00941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81A2C"/>
    <w:rPr>
      <w:sz w:val="16"/>
      <w:szCs w:val="16"/>
    </w:rPr>
  </w:style>
  <w:style w:type="paragraph" w:styleId="CommentText">
    <w:name w:val="annotation text"/>
    <w:basedOn w:val="Normal"/>
    <w:link w:val="CommentTextChar"/>
    <w:rsid w:val="00381A2C"/>
    <w:rPr>
      <w:sz w:val="20"/>
    </w:rPr>
  </w:style>
  <w:style w:type="character" w:customStyle="1" w:styleId="CommentTextChar">
    <w:name w:val="Comment Text Char"/>
    <w:basedOn w:val="DefaultParagraphFont"/>
    <w:link w:val="CommentText"/>
    <w:rsid w:val="0038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042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17.xml"/><Relationship Id="rId55" Type="http://schemas.openxmlformats.org/officeDocument/2006/relationships/header" Target="header1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4.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footer" Target="footer2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header" Target="header20.xml"/><Relationship Id="rId8" Type="http://schemas.openxmlformats.org/officeDocument/2006/relationships/styles" Target="style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6.xml"/><Relationship Id="rId59" Type="http://schemas.openxmlformats.org/officeDocument/2006/relationships/footer" Target="footer26.xml"/></Relationships>
</file>

<file path=word/_rels/footnotes.xml.rels><?xml version="1.0" encoding="UTF-8" standalone="yes"?>
<Relationships xmlns="http://schemas.openxmlformats.org/package/2006/relationships"><Relationship Id="rId1" Type="http://schemas.openxmlformats.org/officeDocument/2006/relationships/hyperlink" Target="https://www.iosco.org/library/pubdocs/pdf/IOSCOPD4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3408" ma:contentTypeDescription="" ma:contentTypeScope="" ma:versionID="410c864f7b386bd72b35f8345a55336a">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Nature_x0020_of_x0020_documents xmlns="507a8a59-704d-43cf-b103-02b0cd527a9d">
      <Value>Explanatory memorandum/statement</Value>
    </Nature_x0020_of_x0020_documents>
    <IconOverlay xmlns="http://schemas.microsoft.com/sharepoint/v4" xsi:nil="true"/>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TaxCatchAll xmlns="9f7bc583-7cbe-45b9-a2bd-8bbb6543b37e">
      <Value>24</Value>
    </TaxCatchAll>
    <Status xmlns="507a8a59-704d-43cf-b103-02b0cd527a9d">Current</Status>
    <Parliamentary_x0020_session xmlns="507a8a59-704d-43cf-b103-02b0cd527a9d">45th</Parliamentary_x0020_session>
    <_dlc_DocId xmlns="9f7bc583-7cbe-45b9-a2bd-8bbb6543b37e">2017RG-216-1897</_dlc_DocId>
    <_dlc_DocIdUrl xmlns="9f7bc583-7cbe-45b9-a2bd-8bbb6543b37e">
      <Url>http://tweb/sites/rg/ldp/_layouts/15/DocIdRedir.aspx?ID=2017RG-216-1897</Url>
      <Description>2017RG-216-1897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DDB7-B288-4ECC-ABED-A5CD24EAB578}">
  <ds:schemaRefs>
    <ds:schemaRef ds:uri="http://schemas.microsoft.com/sharepoint/events"/>
  </ds:schemaRefs>
</ds:datastoreItem>
</file>

<file path=customXml/itemProps2.xml><?xml version="1.0" encoding="utf-8"?>
<ds:datastoreItem xmlns:ds="http://schemas.openxmlformats.org/officeDocument/2006/customXml" ds:itemID="{B3DD4E75-D0BB-4880-AE87-5403D6AACE71}">
  <ds:schemaRefs>
    <ds:schemaRef ds:uri="office.server.policy"/>
  </ds:schemaRefs>
</ds:datastoreItem>
</file>

<file path=customXml/itemProps3.xml><?xml version="1.0" encoding="utf-8"?>
<ds:datastoreItem xmlns:ds="http://schemas.openxmlformats.org/officeDocument/2006/customXml" ds:itemID="{5032ACB1-E60B-4D18-B65D-A03AA0F3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BE80E-09E3-4010-A016-FA68C1F1F191}">
  <ds:schemaRefs>
    <ds:schemaRef ds:uri="http://purl.org/dc/elements/1.1/"/>
    <ds:schemaRef ds:uri="http://schemas.microsoft.com/sharepoint/v3"/>
    <ds:schemaRef ds:uri="507a8a59-704d-43cf-b103-02b0cd527a9d"/>
    <ds:schemaRef ds:uri="9f7bc583-7cbe-45b9-a2bd-8bbb6543b37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microsoft.com/sharepoint/v4"/>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1A7588E-02FC-472C-9797-38D665DA6798}">
  <ds:schemaRefs>
    <ds:schemaRef ds:uri="http://schemas.microsoft.com/sharepoint/v3/contenttype/forms"/>
  </ds:schemaRefs>
</ds:datastoreItem>
</file>

<file path=customXml/itemProps6.xml><?xml version="1.0" encoding="utf-8"?>
<ds:datastoreItem xmlns:ds="http://schemas.openxmlformats.org/officeDocument/2006/customXml" ds:itemID="{8C03F079-0CB3-439F-857F-91007AC1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27</TotalTime>
  <Pages>41</Pages>
  <Words>12425</Words>
  <Characters>65691</Characters>
  <Application>Microsoft Office Word</Application>
  <DocSecurity>0</DocSecurity>
  <Lines>1387</Lines>
  <Paragraphs>341</Paragraphs>
  <ScaleCrop>false</ScaleCrop>
  <HeadingPairs>
    <vt:vector size="2" baseType="variant">
      <vt:variant>
        <vt:lpstr>Title</vt:lpstr>
      </vt:variant>
      <vt:variant>
        <vt:i4>1</vt:i4>
      </vt:variant>
    </vt:vector>
  </HeadingPairs>
  <TitlesOfParts>
    <vt:vector size="1" baseType="lpstr">
      <vt:lpstr> Exposure Draft Explanatory Materials</vt:lpstr>
    </vt:vector>
  </TitlesOfParts>
  <Company>The Treasury</Company>
  <LinksUpToDate>false</LinksUpToDate>
  <CharactersWithSpaces>77943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(Financial Benchmarks) Bill 2017 -  Exposure Draft Explanatory Materials</dc:title>
  <dc:creator>The Treasury</dc:creator>
  <cp:lastModifiedBy>Hill, Christine</cp:lastModifiedBy>
  <cp:revision>20</cp:revision>
  <cp:lastPrinted>2017-06-16T05:26:00Z</cp:lastPrinted>
  <dcterms:created xsi:type="dcterms:W3CDTF">2017-06-20T06:03:00Z</dcterms:created>
  <dcterms:modified xsi:type="dcterms:W3CDTF">2017-06-22T05:44:00Z</dcterms:modified>
</cp:coreProperties>
</file>