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B395E" w14:textId="57871FCC" w:rsidR="000A64F8" w:rsidRPr="004C74DB" w:rsidRDefault="000A64F8" w:rsidP="00EB1100">
      <w:pPr>
        <w:spacing w:line="360" w:lineRule="auto"/>
        <w:jc w:val="center"/>
        <w:rPr>
          <w:rFonts w:cstheme="minorHAnsi"/>
          <w:b/>
          <w:sz w:val="24"/>
          <w:szCs w:val="24"/>
        </w:rPr>
      </w:pPr>
      <w:bookmarkStart w:id="0" w:name="_GoBack"/>
      <w:bookmarkEnd w:id="0"/>
      <w:r w:rsidRPr="004C74DB">
        <w:rPr>
          <w:rFonts w:cstheme="minorHAnsi"/>
          <w:b/>
          <w:sz w:val="24"/>
          <w:szCs w:val="24"/>
        </w:rPr>
        <w:t xml:space="preserve">SeLFIES </w:t>
      </w:r>
      <w:r w:rsidR="001D08B3" w:rsidRPr="004C74DB">
        <w:rPr>
          <w:rFonts w:cstheme="minorHAnsi"/>
          <w:b/>
          <w:sz w:val="24"/>
          <w:szCs w:val="24"/>
        </w:rPr>
        <w:t>C</w:t>
      </w:r>
      <w:r w:rsidRPr="004C74DB">
        <w:rPr>
          <w:rFonts w:cstheme="minorHAnsi"/>
          <w:b/>
          <w:sz w:val="24"/>
          <w:szCs w:val="24"/>
        </w:rPr>
        <w:t xml:space="preserve">an Improve </w:t>
      </w:r>
      <w:r w:rsidR="001B5099" w:rsidRPr="004C74DB">
        <w:rPr>
          <w:rFonts w:cstheme="minorHAnsi"/>
          <w:b/>
          <w:sz w:val="24"/>
          <w:szCs w:val="24"/>
        </w:rPr>
        <w:t>Australia</w:t>
      </w:r>
      <w:r w:rsidRPr="004C74DB">
        <w:rPr>
          <w:rFonts w:cstheme="minorHAnsi"/>
          <w:b/>
          <w:sz w:val="24"/>
          <w:szCs w:val="24"/>
        </w:rPr>
        <w:t>’s Retirement Security</w:t>
      </w:r>
    </w:p>
    <w:p w14:paraId="360488AA" w14:textId="623AE00F" w:rsidR="00665CC8" w:rsidRPr="004C74DB" w:rsidRDefault="000A64F8" w:rsidP="00EB1100">
      <w:pPr>
        <w:spacing w:line="360" w:lineRule="auto"/>
        <w:jc w:val="center"/>
        <w:rPr>
          <w:rFonts w:cstheme="minorHAnsi"/>
          <w:sz w:val="24"/>
          <w:szCs w:val="24"/>
        </w:rPr>
        <w:sectPr w:rsidR="00665CC8" w:rsidRPr="004C74DB" w:rsidSect="00665CC8">
          <w:endnotePr>
            <w:numFmt w:val="chicago"/>
          </w:endnotePr>
          <w:type w:val="continuous"/>
          <w:pgSz w:w="12240" w:h="15840"/>
          <w:pgMar w:top="1440" w:right="1440" w:bottom="1440" w:left="1440" w:header="720" w:footer="720" w:gutter="0"/>
          <w:cols w:space="720"/>
          <w:docGrid w:linePitch="360"/>
        </w:sectPr>
      </w:pPr>
      <w:r w:rsidRPr="004C74DB">
        <w:rPr>
          <w:rFonts w:cstheme="minorHAnsi"/>
          <w:sz w:val="24"/>
          <w:szCs w:val="24"/>
        </w:rPr>
        <w:t>By Robert C. Merton</w:t>
      </w:r>
      <w:r w:rsidR="001D08B3" w:rsidRPr="004C74DB">
        <w:rPr>
          <w:rFonts w:cstheme="minorHAnsi"/>
          <w:sz w:val="24"/>
          <w:szCs w:val="24"/>
        </w:rPr>
        <w:t>, Ph.D.,</w:t>
      </w:r>
      <w:r w:rsidRPr="004C74DB">
        <w:rPr>
          <w:rFonts w:cstheme="minorHAnsi"/>
          <w:sz w:val="24"/>
          <w:szCs w:val="24"/>
        </w:rPr>
        <w:t xml:space="preserve"> Nobel </w:t>
      </w:r>
      <w:r w:rsidR="00535E15" w:rsidRPr="004C74DB">
        <w:rPr>
          <w:rFonts w:cstheme="minorHAnsi"/>
          <w:sz w:val="24"/>
          <w:szCs w:val="24"/>
        </w:rPr>
        <w:t>Laureate</w:t>
      </w:r>
      <w:r w:rsidRPr="004C74DB">
        <w:rPr>
          <w:rFonts w:cstheme="minorHAnsi"/>
          <w:sz w:val="24"/>
          <w:szCs w:val="24"/>
        </w:rPr>
        <w:t xml:space="preserve"> in Economics and  Arun S. Muralidhar</w:t>
      </w:r>
      <w:r w:rsidR="006C1032" w:rsidRPr="004C74DB">
        <w:rPr>
          <w:rFonts w:cstheme="minorHAnsi"/>
          <w:sz w:val="24"/>
          <w:szCs w:val="24"/>
        </w:rPr>
        <w:t>, Ph.D.</w:t>
      </w:r>
      <w:r w:rsidR="00665CC8" w:rsidRPr="004C74DB">
        <w:rPr>
          <w:rStyle w:val="EndnoteReference"/>
          <w:rFonts w:cstheme="minorHAnsi"/>
          <w:sz w:val="24"/>
          <w:szCs w:val="24"/>
        </w:rPr>
        <w:endnoteReference w:customMarkFollows="1" w:id="1"/>
        <w:sym w:font="Symbol" w:char="F02A"/>
      </w:r>
    </w:p>
    <w:p w14:paraId="24CEC42D" w14:textId="7873E6E9" w:rsidR="001B5099" w:rsidRDefault="001B5099" w:rsidP="004C74DB">
      <w:pPr>
        <w:spacing w:line="360" w:lineRule="auto"/>
        <w:jc w:val="both"/>
        <w:rPr>
          <w:rFonts w:cstheme="minorHAnsi"/>
          <w:sz w:val="24"/>
          <w:szCs w:val="24"/>
        </w:rPr>
      </w:pPr>
    </w:p>
    <w:p w14:paraId="116E6212" w14:textId="1A8A0BBA" w:rsidR="004C74DB" w:rsidRPr="004C74DB" w:rsidRDefault="004C74DB" w:rsidP="004C74DB">
      <w:pPr>
        <w:spacing w:line="360" w:lineRule="auto"/>
        <w:jc w:val="both"/>
        <w:rPr>
          <w:rFonts w:cstheme="minorHAnsi"/>
          <w:b/>
          <w:sz w:val="24"/>
          <w:szCs w:val="24"/>
        </w:rPr>
      </w:pPr>
      <w:r w:rsidRPr="004C74DB">
        <w:rPr>
          <w:rFonts w:cstheme="minorHAnsi"/>
          <w:b/>
          <w:sz w:val="24"/>
          <w:szCs w:val="24"/>
        </w:rPr>
        <w:t>Executive Summary</w:t>
      </w:r>
    </w:p>
    <w:p w14:paraId="7616B165" w14:textId="77777777" w:rsidR="004C74DB" w:rsidRDefault="004C74DB" w:rsidP="004C74DB">
      <w:pPr>
        <w:pStyle w:val="Default"/>
        <w:spacing w:line="360" w:lineRule="auto"/>
        <w:jc w:val="both"/>
        <w:rPr>
          <w:rFonts w:asciiTheme="minorHAnsi" w:hAnsiTheme="minorHAnsi" w:cstheme="minorHAnsi"/>
        </w:rPr>
      </w:pPr>
    </w:p>
    <w:p w14:paraId="6195B873" w14:textId="6158CBAF" w:rsidR="004C74DB" w:rsidRPr="004C74DB" w:rsidRDefault="001B5099" w:rsidP="004C74DB">
      <w:pPr>
        <w:spacing w:line="360" w:lineRule="auto"/>
        <w:jc w:val="both"/>
        <w:rPr>
          <w:rFonts w:cstheme="minorHAnsi"/>
          <w:sz w:val="24"/>
          <w:szCs w:val="24"/>
        </w:rPr>
      </w:pPr>
      <w:r w:rsidRPr="004C74DB">
        <w:rPr>
          <w:rFonts w:cstheme="minorHAnsi"/>
          <w:sz w:val="24"/>
          <w:szCs w:val="24"/>
        </w:rPr>
        <w:t>T</w:t>
      </w:r>
      <w:r w:rsidR="000426DB" w:rsidRPr="004C74DB">
        <w:rPr>
          <w:rFonts w:cstheme="minorHAnsi"/>
          <w:sz w:val="24"/>
          <w:szCs w:val="24"/>
        </w:rPr>
        <w:t xml:space="preserve">he </w:t>
      </w:r>
      <w:r w:rsidRPr="004C74DB">
        <w:rPr>
          <w:rFonts w:cstheme="minorHAnsi"/>
          <w:sz w:val="24"/>
          <w:szCs w:val="24"/>
        </w:rPr>
        <w:t>Australian Treasury has</w:t>
      </w:r>
      <w:r w:rsidR="000426DB" w:rsidRPr="004C74DB">
        <w:rPr>
          <w:rFonts w:cstheme="minorHAnsi"/>
          <w:sz w:val="24"/>
          <w:szCs w:val="24"/>
        </w:rPr>
        <w:t xml:space="preserve"> issued a report</w:t>
      </w:r>
      <w:r w:rsidRPr="004C74DB">
        <w:rPr>
          <w:rFonts w:cstheme="minorHAnsi"/>
          <w:sz w:val="24"/>
          <w:szCs w:val="24"/>
        </w:rPr>
        <w:t xml:space="preserve"> seeking comment on ways to improve retirement income security in Australia (“</w:t>
      </w:r>
      <w:r w:rsidRPr="004C74DB">
        <w:rPr>
          <w:rFonts w:cstheme="minorHAnsi"/>
          <w:bCs/>
          <w:sz w:val="24"/>
          <w:szCs w:val="24"/>
        </w:rPr>
        <w:t>Retirement Income Covenant Position Paper</w:t>
      </w:r>
      <w:r w:rsidRPr="004C74DB">
        <w:rPr>
          <w:rFonts w:cstheme="minorHAnsi"/>
          <w:b/>
          <w:bCs/>
          <w:sz w:val="24"/>
          <w:szCs w:val="24"/>
        </w:rPr>
        <w:t xml:space="preserve">: </w:t>
      </w:r>
      <w:r w:rsidRPr="004C74DB">
        <w:rPr>
          <w:rFonts w:cstheme="minorHAnsi"/>
          <w:sz w:val="24"/>
          <w:szCs w:val="24"/>
        </w:rPr>
        <w:t>Stage one of the Retirement Income Framework,” May 2018)</w:t>
      </w:r>
      <w:r w:rsidR="00665CC8" w:rsidRPr="004C74DB">
        <w:rPr>
          <w:rFonts w:cstheme="minorHAnsi"/>
          <w:sz w:val="24"/>
          <w:szCs w:val="24"/>
        </w:rPr>
        <w:t xml:space="preserve">. </w:t>
      </w:r>
      <w:r w:rsidR="00EB1100">
        <w:rPr>
          <w:rFonts w:cstheme="minorHAnsi"/>
          <w:sz w:val="24"/>
          <w:szCs w:val="24"/>
        </w:rPr>
        <w:t>We recommend</w:t>
      </w:r>
      <w:r w:rsidR="004C74DB" w:rsidRPr="004C74DB">
        <w:rPr>
          <w:rFonts w:cstheme="minorHAnsi"/>
          <w:sz w:val="24"/>
          <w:szCs w:val="24"/>
        </w:rPr>
        <w:t xml:space="preserve"> a simple innovation by the Australian Treasury that can achieve the three principles of an effective Comprehensive Income Product for Retirement (CIPR). </w:t>
      </w:r>
      <w:r w:rsidR="004C74DB">
        <w:rPr>
          <w:rFonts w:cstheme="minorHAnsi"/>
          <w:sz w:val="24"/>
          <w:szCs w:val="24"/>
        </w:rPr>
        <w:t>Australia’s Treasury</w:t>
      </w:r>
      <w:r w:rsidR="004C74DB" w:rsidRPr="004C74DB">
        <w:rPr>
          <w:rFonts w:cstheme="minorHAnsi"/>
          <w:sz w:val="24"/>
          <w:szCs w:val="24"/>
        </w:rPr>
        <w:t xml:space="preserve"> could issue a new, low-cost, liquid and safe ultra-long bond instrument we call SeLFIES (Standard-of-Living indexed, Forward-starting, Income-only Securities). SeLFIES start paying investors upon retirement and pay real coupons only, i</w:t>
      </w:r>
      <w:r w:rsidR="004C74DB" w:rsidRPr="004C74DB">
        <w:rPr>
          <w:rFonts w:eastAsia="Times New Roman" w:cstheme="minorHAnsi"/>
          <w:sz w:val="24"/>
          <w:szCs w:val="24"/>
        </w:rPr>
        <w:t>ndexed to aggregate per capita consumption—</w:t>
      </w:r>
      <w:r w:rsidR="004C74DB" w:rsidRPr="004C74DB">
        <w:rPr>
          <w:rFonts w:cstheme="minorHAnsi"/>
          <w:sz w:val="24"/>
          <w:szCs w:val="24"/>
        </w:rPr>
        <w:t>for a period equal to the average life expectancy at retirement</w:t>
      </w:r>
      <w:r w:rsidR="004C74DB">
        <w:rPr>
          <w:rFonts w:cstheme="minorHAnsi"/>
          <w:sz w:val="24"/>
          <w:szCs w:val="24"/>
        </w:rPr>
        <w:t>.</w:t>
      </w:r>
      <w:r w:rsidR="004C74DB" w:rsidRPr="004C74DB">
        <w:rPr>
          <w:rFonts w:cstheme="minorHAnsi"/>
          <w:sz w:val="24"/>
          <w:szCs w:val="24"/>
        </w:rPr>
        <w:t xml:space="preserve"> </w:t>
      </w:r>
      <w:r w:rsidR="00EB1100">
        <w:rPr>
          <w:rFonts w:cstheme="minorHAnsi"/>
          <w:sz w:val="24"/>
          <w:szCs w:val="24"/>
        </w:rPr>
        <w:t>It is easily shown that SeLFIES ensure constant income (in terms of standard-of-living), access of capital and longevity risk-management. These bonds are a good deal for the Treasury too.</w:t>
      </w:r>
    </w:p>
    <w:p w14:paraId="460E70B8" w14:textId="5D09F1FF" w:rsidR="004C74DB" w:rsidRDefault="004C74DB" w:rsidP="004C74DB">
      <w:pPr>
        <w:pStyle w:val="Default"/>
        <w:spacing w:line="360" w:lineRule="auto"/>
        <w:jc w:val="both"/>
        <w:rPr>
          <w:rFonts w:asciiTheme="minorHAnsi" w:hAnsiTheme="minorHAnsi" w:cstheme="minorHAnsi"/>
        </w:rPr>
      </w:pPr>
    </w:p>
    <w:p w14:paraId="33D88C41" w14:textId="7AF964D6" w:rsidR="004C74DB" w:rsidRDefault="004C74DB" w:rsidP="004C74DB">
      <w:pPr>
        <w:pStyle w:val="Default"/>
        <w:spacing w:line="360" w:lineRule="auto"/>
        <w:jc w:val="both"/>
        <w:rPr>
          <w:rFonts w:asciiTheme="minorHAnsi" w:hAnsiTheme="minorHAnsi" w:cstheme="minorHAnsi"/>
        </w:rPr>
      </w:pPr>
    </w:p>
    <w:p w14:paraId="75727ADD" w14:textId="77777777" w:rsidR="00EB1100" w:rsidRDefault="00EB1100">
      <w:pPr>
        <w:spacing w:after="200" w:line="276" w:lineRule="auto"/>
        <w:rPr>
          <w:rFonts w:cstheme="minorHAnsi"/>
          <w:b/>
          <w:sz w:val="24"/>
          <w:szCs w:val="24"/>
        </w:rPr>
      </w:pPr>
      <w:r>
        <w:rPr>
          <w:rFonts w:cstheme="minorHAnsi"/>
          <w:b/>
          <w:sz w:val="24"/>
          <w:szCs w:val="24"/>
        </w:rPr>
        <w:br w:type="page"/>
      </w:r>
    </w:p>
    <w:p w14:paraId="71558248" w14:textId="39CC80B5" w:rsidR="004C74DB" w:rsidRPr="004C74DB" w:rsidRDefault="004C74DB" w:rsidP="004C74DB">
      <w:pPr>
        <w:autoSpaceDE w:val="0"/>
        <w:autoSpaceDN w:val="0"/>
        <w:adjustRightInd w:val="0"/>
        <w:spacing w:line="360" w:lineRule="auto"/>
        <w:jc w:val="both"/>
        <w:rPr>
          <w:rFonts w:cstheme="minorHAnsi"/>
          <w:b/>
          <w:sz w:val="24"/>
          <w:szCs w:val="24"/>
        </w:rPr>
      </w:pPr>
      <w:r w:rsidRPr="004C74DB">
        <w:rPr>
          <w:rFonts w:cstheme="minorHAnsi"/>
          <w:b/>
          <w:sz w:val="24"/>
          <w:szCs w:val="24"/>
        </w:rPr>
        <w:lastRenderedPageBreak/>
        <w:t>Background on Australian Treasury Report on Retirement Income Covenant</w:t>
      </w:r>
    </w:p>
    <w:p w14:paraId="4C9E55FC" w14:textId="77777777" w:rsidR="004C74DB" w:rsidRDefault="004C74DB" w:rsidP="004C74DB">
      <w:pPr>
        <w:pStyle w:val="Default"/>
        <w:spacing w:line="360" w:lineRule="auto"/>
        <w:jc w:val="both"/>
        <w:rPr>
          <w:rFonts w:asciiTheme="minorHAnsi" w:hAnsiTheme="minorHAnsi" w:cstheme="minorHAnsi"/>
        </w:rPr>
      </w:pPr>
    </w:p>
    <w:p w14:paraId="610A6178" w14:textId="770994C0" w:rsidR="00535E15" w:rsidRPr="004C74DB" w:rsidRDefault="001B5099" w:rsidP="004C74DB">
      <w:pPr>
        <w:pStyle w:val="Default"/>
        <w:spacing w:line="360" w:lineRule="auto"/>
        <w:jc w:val="both"/>
        <w:rPr>
          <w:rFonts w:asciiTheme="minorHAnsi" w:hAnsiTheme="minorHAnsi" w:cstheme="minorHAnsi"/>
        </w:rPr>
      </w:pPr>
      <w:r w:rsidRPr="004C74DB">
        <w:rPr>
          <w:rFonts w:asciiTheme="minorHAnsi" w:hAnsiTheme="minorHAnsi" w:cstheme="minorHAnsi"/>
        </w:rPr>
        <w:t>T</w:t>
      </w:r>
      <w:r w:rsidR="00665CC8" w:rsidRPr="004C74DB">
        <w:rPr>
          <w:rFonts w:asciiTheme="minorHAnsi" w:hAnsiTheme="minorHAnsi" w:cstheme="minorHAnsi"/>
        </w:rPr>
        <w:t xml:space="preserve">he </w:t>
      </w:r>
      <w:r w:rsidR="00EB1100">
        <w:rPr>
          <w:rFonts w:asciiTheme="minorHAnsi" w:hAnsiTheme="minorHAnsi" w:cstheme="minorHAnsi"/>
        </w:rPr>
        <w:t xml:space="preserve">Treasury </w:t>
      </w:r>
      <w:r w:rsidR="00665CC8" w:rsidRPr="004C74DB">
        <w:rPr>
          <w:rFonts w:asciiTheme="minorHAnsi" w:hAnsiTheme="minorHAnsi" w:cstheme="minorHAnsi"/>
        </w:rPr>
        <w:t>report</w:t>
      </w:r>
      <w:r w:rsidR="000426DB" w:rsidRPr="004C74DB">
        <w:rPr>
          <w:rFonts w:asciiTheme="minorHAnsi" w:hAnsiTheme="minorHAnsi" w:cstheme="minorHAnsi"/>
        </w:rPr>
        <w:t xml:space="preserve"> notes, “</w:t>
      </w:r>
      <w:r w:rsidRPr="004C74DB">
        <w:rPr>
          <w:rFonts w:asciiTheme="minorHAnsi" w:hAnsiTheme="minorHAnsi" w:cstheme="minorHAnsi"/>
        </w:rPr>
        <w:t xml:space="preserve">The retirement phase of the superannuation system is currently under-developed and needs to be better aligned with the overall objective of the superannuation system of providing income in retirement to substitute or supplement the Age Pension. The Government is addressing this through the development of a retirement income framework. The framework is intended to: </w:t>
      </w:r>
    </w:p>
    <w:p w14:paraId="6109F5E8" w14:textId="20D3DE50" w:rsidR="001B5099" w:rsidRPr="004C74DB" w:rsidRDefault="001B5099" w:rsidP="004C74DB">
      <w:pPr>
        <w:pStyle w:val="Default"/>
        <w:spacing w:line="360" w:lineRule="auto"/>
        <w:ind w:firstLine="720"/>
        <w:jc w:val="both"/>
        <w:rPr>
          <w:rFonts w:asciiTheme="minorHAnsi" w:hAnsiTheme="minorHAnsi" w:cstheme="minorHAnsi"/>
        </w:rPr>
      </w:pPr>
      <w:r w:rsidRPr="004C74DB">
        <w:rPr>
          <w:rFonts w:asciiTheme="minorHAnsi" w:hAnsiTheme="minorHAnsi" w:cstheme="minorHAnsi"/>
        </w:rPr>
        <w:t>• enable individuals to increase their standard of living in retirement through increased availability and take-up of products that more efficiently manage longevity risk, and in doing so increase the efficiency of the superannuation system and better align the system with its objective; an</w:t>
      </w:r>
      <w:r w:rsidR="00535E15" w:rsidRPr="004C74DB">
        <w:rPr>
          <w:rFonts w:asciiTheme="minorHAnsi" w:hAnsiTheme="minorHAnsi" w:cstheme="minorHAnsi"/>
        </w:rPr>
        <w:t>d</w:t>
      </w:r>
    </w:p>
    <w:p w14:paraId="42C9B4AB" w14:textId="413414FF" w:rsidR="001D08B3" w:rsidRPr="004C74DB" w:rsidRDefault="001B5099" w:rsidP="004C74DB">
      <w:pPr>
        <w:pStyle w:val="Default"/>
        <w:spacing w:after="181" w:line="360" w:lineRule="auto"/>
        <w:ind w:firstLine="720"/>
        <w:jc w:val="both"/>
        <w:rPr>
          <w:rFonts w:asciiTheme="minorHAnsi" w:hAnsiTheme="minorHAnsi" w:cstheme="minorHAnsi"/>
        </w:rPr>
      </w:pPr>
      <w:r w:rsidRPr="004C74DB">
        <w:rPr>
          <w:rFonts w:asciiTheme="minorHAnsi" w:hAnsiTheme="minorHAnsi" w:cstheme="minorHAnsi"/>
        </w:rPr>
        <w:t>• enable trustees to provide individuals with an easier transition into retirement by offering retirement income products that balance competing objectives of high income, flexibility and risk management.</w:t>
      </w:r>
      <w:r w:rsidR="000426DB" w:rsidRPr="004C74DB">
        <w:rPr>
          <w:rFonts w:asciiTheme="minorHAnsi" w:hAnsiTheme="minorHAnsi" w:cstheme="minorHAnsi"/>
        </w:rPr>
        <w:t xml:space="preserve">” </w:t>
      </w:r>
    </w:p>
    <w:p w14:paraId="4F24DA70" w14:textId="77777777" w:rsidR="001D08B3" w:rsidRPr="004C74DB" w:rsidRDefault="001D08B3" w:rsidP="004C74DB">
      <w:pPr>
        <w:autoSpaceDE w:val="0"/>
        <w:autoSpaceDN w:val="0"/>
        <w:adjustRightInd w:val="0"/>
        <w:spacing w:line="360" w:lineRule="auto"/>
        <w:jc w:val="both"/>
        <w:rPr>
          <w:rFonts w:cstheme="minorHAnsi"/>
          <w:sz w:val="24"/>
          <w:szCs w:val="24"/>
        </w:rPr>
      </w:pPr>
    </w:p>
    <w:p w14:paraId="53DCDE1E" w14:textId="2529E1BC" w:rsidR="000426DB" w:rsidRPr="004C74DB" w:rsidRDefault="000426DB" w:rsidP="004C74DB">
      <w:pPr>
        <w:pStyle w:val="Default"/>
        <w:spacing w:line="360" w:lineRule="auto"/>
        <w:jc w:val="both"/>
        <w:rPr>
          <w:rFonts w:asciiTheme="minorHAnsi" w:hAnsiTheme="minorHAnsi" w:cstheme="minorHAnsi"/>
        </w:rPr>
      </w:pPr>
      <w:r w:rsidRPr="004C74DB">
        <w:rPr>
          <w:rFonts w:asciiTheme="minorHAnsi" w:hAnsiTheme="minorHAnsi" w:cstheme="minorHAnsi"/>
          <w:iCs/>
        </w:rPr>
        <w:t xml:space="preserve">The </w:t>
      </w:r>
      <w:r w:rsidR="001B5099" w:rsidRPr="004C74DB">
        <w:rPr>
          <w:rFonts w:asciiTheme="minorHAnsi" w:hAnsiTheme="minorHAnsi" w:cstheme="minorHAnsi"/>
          <w:iCs/>
        </w:rPr>
        <w:t>Australian Treasury</w:t>
      </w:r>
      <w:r w:rsidRPr="004C74DB">
        <w:rPr>
          <w:rFonts w:asciiTheme="minorHAnsi" w:hAnsiTheme="minorHAnsi" w:cstheme="minorHAnsi"/>
          <w:iCs/>
        </w:rPr>
        <w:t xml:space="preserve"> can have an immediate impact on the retirement challenge, create a liquid in-plan retirement income option, and raise funding for infrastructure by issuing a new type of long-term bond, </w:t>
      </w:r>
      <w:r w:rsidR="001D08B3" w:rsidRPr="004C74DB">
        <w:rPr>
          <w:rFonts w:asciiTheme="minorHAnsi" w:hAnsiTheme="minorHAnsi" w:cstheme="minorHAnsi"/>
          <w:iCs/>
        </w:rPr>
        <w:t>one</w:t>
      </w:r>
      <w:r w:rsidRPr="004C74DB">
        <w:rPr>
          <w:rFonts w:asciiTheme="minorHAnsi" w:hAnsiTheme="minorHAnsi" w:cstheme="minorHAnsi"/>
          <w:iCs/>
        </w:rPr>
        <w:t xml:space="preserve"> we call SeLFIES</w:t>
      </w:r>
      <w:r w:rsidR="001D08B3" w:rsidRPr="004C74DB">
        <w:rPr>
          <w:rFonts w:asciiTheme="minorHAnsi" w:hAnsiTheme="minorHAnsi" w:cstheme="minorHAnsi"/>
          <w:iCs/>
        </w:rPr>
        <w:t>—</w:t>
      </w:r>
      <w:r w:rsidRPr="004C74DB">
        <w:rPr>
          <w:rFonts w:asciiTheme="minorHAnsi" w:hAnsiTheme="minorHAnsi" w:cstheme="minorHAnsi"/>
          <w:iCs/>
        </w:rPr>
        <w:t>Standard of Living indexed, Forward-starting, Income-only Securities.</w:t>
      </w:r>
      <w:r w:rsidR="00C45481">
        <w:rPr>
          <w:rStyle w:val="FootnoteReference"/>
          <w:rFonts w:asciiTheme="minorHAnsi" w:hAnsiTheme="minorHAnsi"/>
          <w:iCs/>
        </w:rPr>
        <w:footnoteReference w:id="1"/>
      </w:r>
      <w:r w:rsidRPr="004C74DB">
        <w:rPr>
          <w:rFonts w:asciiTheme="minorHAnsi" w:hAnsiTheme="minorHAnsi" w:cstheme="minorHAnsi"/>
          <w:iCs/>
        </w:rPr>
        <w:t xml:space="preserve"> SeLFIES address many of the challenges raised in the Treasury </w:t>
      </w:r>
      <w:r w:rsidR="001B5099" w:rsidRPr="004C74DB">
        <w:rPr>
          <w:rFonts w:asciiTheme="minorHAnsi" w:hAnsiTheme="minorHAnsi" w:cstheme="minorHAnsi"/>
          <w:iCs/>
        </w:rPr>
        <w:t>report</w:t>
      </w:r>
      <w:r w:rsidRPr="004C74DB">
        <w:rPr>
          <w:rFonts w:asciiTheme="minorHAnsi" w:hAnsiTheme="minorHAnsi" w:cstheme="minorHAnsi"/>
          <w:iCs/>
        </w:rPr>
        <w:t xml:space="preserve"> and are also advantageous to the </w:t>
      </w:r>
      <w:r w:rsidR="001B5099" w:rsidRPr="004C74DB">
        <w:rPr>
          <w:rFonts w:asciiTheme="minorHAnsi" w:hAnsiTheme="minorHAnsi" w:cstheme="minorHAnsi"/>
          <w:iCs/>
        </w:rPr>
        <w:t>Australian</w:t>
      </w:r>
      <w:r w:rsidRPr="004C74DB">
        <w:rPr>
          <w:rFonts w:asciiTheme="minorHAnsi" w:hAnsiTheme="minorHAnsi" w:cstheme="minorHAnsi"/>
          <w:iCs/>
        </w:rPr>
        <w:t xml:space="preserve"> Treasury.</w:t>
      </w:r>
      <w:r w:rsidR="001B5099" w:rsidRPr="004C74DB">
        <w:rPr>
          <w:rFonts w:asciiTheme="minorHAnsi" w:hAnsiTheme="minorHAnsi" w:cstheme="minorHAnsi"/>
          <w:iCs/>
        </w:rPr>
        <w:t xml:space="preserve"> SeLFIES address the following key Convenant Principles: Retirement Income Strategy; Engagement; and Comprehensive Income Product for Retirement (CIPR)</w:t>
      </w:r>
      <w:r w:rsidR="00535E15" w:rsidRPr="004C74DB">
        <w:rPr>
          <w:rFonts w:asciiTheme="minorHAnsi" w:hAnsiTheme="minorHAnsi" w:cstheme="minorHAnsi"/>
          <w:iCs/>
        </w:rPr>
        <w:t xml:space="preserve"> and Offering a Flagship CIPR</w:t>
      </w:r>
      <w:r w:rsidR="001B5099" w:rsidRPr="004C74DB">
        <w:rPr>
          <w:rFonts w:asciiTheme="minorHAnsi" w:hAnsiTheme="minorHAnsi" w:cstheme="minorHAnsi"/>
          <w:iCs/>
        </w:rPr>
        <w:t>. As noted in the report, “</w:t>
      </w:r>
      <w:r w:rsidR="001B5099" w:rsidRPr="004C74DB">
        <w:rPr>
          <w:rFonts w:asciiTheme="minorHAnsi" w:hAnsiTheme="minorHAnsi" w:cstheme="minorHAnsi"/>
          <w:bCs/>
        </w:rPr>
        <w:t>A CIPR is a retirement income product which is designed to provide: efficient, broadly constant income, in expectation;</w:t>
      </w:r>
      <w:r w:rsidR="00535E15" w:rsidRPr="004C74DB">
        <w:rPr>
          <w:rFonts w:asciiTheme="minorHAnsi" w:hAnsiTheme="minorHAnsi" w:cstheme="minorHAnsi"/>
          <w:bCs/>
        </w:rPr>
        <w:t xml:space="preserve"> </w:t>
      </w:r>
      <w:r w:rsidR="001B5099" w:rsidRPr="004C74DB">
        <w:rPr>
          <w:rFonts w:asciiTheme="minorHAnsi" w:hAnsiTheme="minorHAnsi" w:cstheme="minorHAnsi"/>
          <w:bCs/>
        </w:rPr>
        <w:t>longevity risk management (income for life); and some access to capital.”</w:t>
      </w:r>
    </w:p>
    <w:p w14:paraId="22BA1424" w14:textId="791612CA" w:rsidR="00535E15" w:rsidRPr="004C74DB" w:rsidRDefault="00535E15" w:rsidP="004C74DB">
      <w:pPr>
        <w:autoSpaceDE w:val="0"/>
        <w:autoSpaceDN w:val="0"/>
        <w:adjustRightInd w:val="0"/>
        <w:spacing w:line="360" w:lineRule="auto"/>
        <w:jc w:val="both"/>
        <w:rPr>
          <w:rFonts w:cstheme="minorHAnsi"/>
          <w:b/>
          <w:iCs/>
          <w:sz w:val="24"/>
          <w:szCs w:val="24"/>
        </w:rPr>
      </w:pPr>
      <w:r w:rsidRPr="004C74DB">
        <w:rPr>
          <w:rFonts w:cstheme="minorHAnsi"/>
          <w:b/>
          <w:iCs/>
          <w:sz w:val="24"/>
          <w:szCs w:val="24"/>
        </w:rPr>
        <w:lastRenderedPageBreak/>
        <w:t>The Challenges for the Australian Superannuation Industry – Financial Illiteracy and Absence of Effective CIPR</w:t>
      </w:r>
    </w:p>
    <w:p w14:paraId="5F4CDCA8" w14:textId="77777777" w:rsidR="00535E15" w:rsidRPr="004C74DB" w:rsidRDefault="00535E15" w:rsidP="004C74DB">
      <w:pPr>
        <w:autoSpaceDE w:val="0"/>
        <w:autoSpaceDN w:val="0"/>
        <w:adjustRightInd w:val="0"/>
        <w:spacing w:line="360" w:lineRule="auto"/>
        <w:jc w:val="both"/>
        <w:rPr>
          <w:rFonts w:cstheme="minorHAnsi"/>
          <w:b/>
          <w:iCs/>
          <w:sz w:val="24"/>
          <w:szCs w:val="24"/>
        </w:rPr>
      </w:pPr>
    </w:p>
    <w:p w14:paraId="68B1D03B" w14:textId="1407D56A" w:rsidR="00921F4C" w:rsidRPr="004C74DB" w:rsidRDefault="000426DB" w:rsidP="004C74DB">
      <w:pPr>
        <w:shd w:val="clear" w:color="auto" w:fill="FFFFFF"/>
        <w:spacing w:line="360" w:lineRule="auto"/>
        <w:jc w:val="both"/>
        <w:rPr>
          <w:rFonts w:cstheme="minorHAnsi"/>
          <w:sz w:val="24"/>
          <w:szCs w:val="24"/>
        </w:rPr>
      </w:pPr>
      <w:r w:rsidRPr="004C74DB">
        <w:rPr>
          <w:rFonts w:cstheme="minorHAnsi"/>
          <w:sz w:val="24"/>
          <w:szCs w:val="24"/>
        </w:rPr>
        <w:t>Individuals seek a guaranteed, real income, ideally from retirement through death</w:t>
      </w:r>
      <w:r w:rsidR="001D08B3" w:rsidRPr="004C74DB">
        <w:rPr>
          <w:rFonts w:cstheme="minorHAnsi"/>
          <w:sz w:val="24"/>
          <w:szCs w:val="24"/>
        </w:rPr>
        <w:t>,</w:t>
      </w:r>
      <w:r w:rsidRPr="004C74DB">
        <w:rPr>
          <w:rFonts w:cstheme="minorHAnsi"/>
          <w:sz w:val="24"/>
          <w:szCs w:val="24"/>
        </w:rPr>
        <w:t xml:space="preserve"> and </w:t>
      </w:r>
      <w:r w:rsidR="00043AEA" w:rsidRPr="004C74DB">
        <w:rPr>
          <w:rFonts w:cstheme="minorHAnsi"/>
          <w:sz w:val="24"/>
          <w:szCs w:val="24"/>
        </w:rPr>
        <w:t xml:space="preserve">to </w:t>
      </w:r>
      <w:r w:rsidRPr="004C74DB">
        <w:rPr>
          <w:rFonts w:cstheme="minorHAnsi"/>
          <w:sz w:val="24"/>
          <w:szCs w:val="24"/>
        </w:rPr>
        <w:t xml:space="preserve">lead a lifestyle comparable to pre-retirement. </w:t>
      </w:r>
      <w:r w:rsidR="00921F4C" w:rsidRPr="004C74DB">
        <w:rPr>
          <w:rFonts w:cstheme="minorHAnsi"/>
          <w:sz w:val="24"/>
          <w:szCs w:val="24"/>
        </w:rPr>
        <w:t>Chart 1 visualizes the retirement saving goal –  a 25-year-old Australian woman desires basic/comfortable A$</w:t>
      </w:r>
      <w:r w:rsidR="00CC433B" w:rsidRPr="004C74DB">
        <w:rPr>
          <w:rFonts w:cstheme="minorHAnsi"/>
          <w:sz w:val="24"/>
          <w:szCs w:val="24"/>
        </w:rPr>
        <w:t>45</w:t>
      </w:r>
      <w:r w:rsidR="00921F4C" w:rsidRPr="004C74DB">
        <w:rPr>
          <w:rFonts w:cstheme="minorHAnsi"/>
          <w:sz w:val="24"/>
          <w:szCs w:val="24"/>
        </w:rPr>
        <w:t>,000/year guaranteed super income</w:t>
      </w:r>
      <w:r w:rsidR="00921F4C" w:rsidRPr="004C74DB">
        <w:rPr>
          <w:rStyle w:val="FootnoteReference"/>
          <w:rFonts w:cstheme="minorHAnsi"/>
          <w:sz w:val="24"/>
          <w:szCs w:val="24"/>
        </w:rPr>
        <w:footnoteReference w:id="2"/>
      </w:r>
      <w:r w:rsidR="00921F4C" w:rsidRPr="004C74DB">
        <w:rPr>
          <w:rFonts w:cstheme="minorHAnsi"/>
          <w:sz w:val="24"/>
          <w:szCs w:val="24"/>
        </w:rPr>
        <w:t>, starting at age 65, for 22 years (assuming a life expectancy of 22 years in retirement based on the most recent life expectancy data – men are closer to 20 years</w:t>
      </w:r>
      <w:r w:rsidR="00921F4C" w:rsidRPr="004C74DB">
        <w:rPr>
          <w:rStyle w:val="FootnoteReference"/>
          <w:rFonts w:cstheme="minorHAnsi"/>
          <w:sz w:val="24"/>
          <w:szCs w:val="24"/>
        </w:rPr>
        <w:footnoteReference w:id="3"/>
      </w:r>
      <w:r w:rsidR="00921F4C" w:rsidRPr="004C74DB">
        <w:rPr>
          <w:rFonts w:cstheme="minorHAnsi"/>
          <w:sz w:val="24"/>
          <w:szCs w:val="24"/>
        </w:rPr>
        <w:t>). This guaranteed income (or goal) secures the retiree’s pre-retirement standard</w:t>
      </w:r>
      <w:r w:rsidR="001C336F">
        <w:rPr>
          <w:rFonts w:cstheme="minorHAnsi"/>
          <w:sz w:val="24"/>
          <w:szCs w:val="24"/>
        </w:rPr>
        <w:t>-</w:t>
      </w:r>
      <w:r w:rsidR="00921F4C" w:rsidRPr="004C74DB">
        <w:rPr>
          <w:rFonts w:cstheme="minorHAnsi"/>
          <w:sz w:val="24"/>
          <w:szCs w:val="24"/>
        </w:rPr>
        <w:t>of</w:t>
      </w:r>
      <w:r w:rsidR="001C336F">
        <w:rPr>
          <w:rFonts w:cstheme="minorHAnsi"/>
          <w:sz w:val="24"/>
          <w:szCs w:val="24"/>
        </w:rPr>
        <w:t>-</w:t>
      </w:r>
      <w:r w:rsidR="00921F4C" w:rsidRPr="004C74DB">
        <w:rPr>
          <w:rFonts w:cstheme="minorHAnsi"/>
          <w:sz w:val="24"/>
          <w:szCs w:val="24"/>
        </w:rPr>
        <w:t xml:space="preserve">living in retirement. This retirement income flow goal pattern is very different from the flow patterns for other goals such as a house purchase, or travel experience. </w:t>
      </w:r>
    </w:p>
    <w:p w14:paraId="088E5223" w14:textId="77777777" w:rsidR="00921F4C" w:rsidRPr="004C74DB" w:rsidRDefault="00921F4C" w:rsidP="004C74DB">
      <w:pPr>
        <w:shd w:val="clear" w:color="auto" w:fill="FFFFFF"/>
        <w:spacing w:line="360" w:lineRule="auto"/>
        <w:jc w:val="both"/>
        <w:rPr>
          <w:rFonts w:cstheme="minorHAnsi"/>
          <w:sz w:val="24"/>
          <w:szCs w:val="24"/>
        </w:rPr>
      </w:pPr>
    </w:p>
    <w:p w14:paraId="56F1AF01" w14:textId="65E494EC" w:rsidR="00921F4C" w:rsidRPr="004C74DB" w:rsidRDefault="00CC433B" w:rsidP="004C74DB">
      <w:pPr>
        <w:shd w:val="clear" w:color="auto" w:fill="FFFFFF"/>
        <w:spacing w:line="360" w:lineRule="auto"/>
        <w:jc w:val="both"/>
        <w:rPr>
          <w:rFonts w:cstheme="minorHAnsi"/>
          <w:sz w:val="24"/>
          <w:szCs w:val="24"/>
        </w:rPr>
      </w:pPr>
      <w:r w:rsidRPr="004C74DB">
        <w:rPr>
          <w:rFonts w:cstheme="minorHAnsi"/>
          <w:noProof/>
          <w:sz w:val="24"/>
          <w:szCs w:val="24"/>
          <w:lang w:val="en-AU" w:eastAsia="en-AU"/>
        </w:rPr>
        <w:drawing>
          <wp:inline distT="0" distB="0" distL="0" distR="0" wp14:anchorId="0D3215E0" wp14:editId="557DFAAE">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47947BE-914E-4A6B-9BAB-69F74F540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D38C3D" w14:textId="41CCB4B9" w:rsidR="00921F4C" w:rsidRPr="004C74DB" w:rsidRDefault="00921F4C" w:rsidP="004C74DB">
      <w:pPr>
        <w:shd w:val="clear" w:color="auto" w:fill="FFFFFF"/>
        <w:spacing w:line="360" w:lineRule="auto"/>
        <w:jc w:val="both"/>
        <w:rPr>
          <w:rFonts w:cstheme="minorHAnsi"/>
          <w:b/>
          <w:sz w:val="24"/>
          <w:szCs w:val="24"/>
        </w:rPr>
      </w:pPr>
      <w:r w:rsidRPr="004C74DB">
        <w:rPr>
          <w:rFonts w:cstheme="minorHAnsi"/>
          <w:b/>
          <w:sz w:val="24"/>
          <w:szCs w:val="24"/>
        </w:rPr>
        <w:t>Chart 1: Potential Retirement Cash Flows Desired by a 25-Year-Old Australian Citizen</w:t>
      </w:r>
    </w:p>
    <w:p w14:paraId="53FBBFB0" w14:textId="77777777" w:rsidR="00921F4C" w:rsidRPr="004C74DB" w:rsidRDefault="00921F4C" w:rsidP="004C74DB">
      <w:pPr>
        <w:autoSpaceDE w:val="0"/>
        <w:autoSpaceDN w:val="0"/>
        <w:adjustRightInd w:val="0"/>
        <w:spacing w:line="360" w:lineRule="auto"/>
        <w:jc w:val="both"/>
        <w:rPr>
          <w:rFonts w:cstheme="minorHAnsi"/>
          <w:sz w:val="24"/>
          <w:szCs w:val="24"/>
        </w:rPr>
      </w:pPr>
    </w:p>
    <w:p w14:paraId="1802562D" w14:textId="77777777" w:rsidR="00921F4C" w:rsidRPr="004C74DB" w:rsidRDefault="00921F4C" w:rsidP="004C74DB">
      <w:pPr>
        <w:autoSpaceDE w:val="0"/>
        <w:autoSpaceDN w:val="0"/>
        <w:adjustRightInd w:val="0"/>
        <w:spacing w:line="360" w:lineRule="auto"/>
        <w:jc w:val="both"/>
        <w:rPr>
          <w:rFonts w:cstheme="minorHAnsi"/>
          <w:sz w:val="24"/>
          <w:szCs w:val="24"/>
        </w:rPr>
      </w:pPr>
    </w:p>
    <w:p w14:paraId="12307980" w14:textId="77777777" w:rsidR="00921F4C" w:rsidRPr="004C74DB" w:rsidRDefault="00921F4C" w:rsidP="004C74DB">
      <w:pPr>
        <w:autoSpaceDE w:val="0"/>
        <w:autoSpaceDN w:val="0"/>
        <w:adjustRightInd w:val="0"/>
        <w:spacing w:line="360" w:lineRule="auto"/>
        <w:jc w:val="both"/>
        <w:rPr>
          <w:rFonts w:cstheme="minorHAnsi"/>
          <w:sz w:val="24"/>
          <w:szCs w:val="24"/>
        </w:rPr>
      </w:pPr>
    </w:p>
    <w:p w14:paraId="1BBB9C99" w14:textId="2CB0B585" w:rsidR="00535E15" w:rsidRPr="004C74DB" w:rsidRDefault="00535E15" w:rsidP="004C74DB">
      <w:pPr>
        <w:autoSpaceDE w:val="0"/>
        <w:autoSpaceDN w:val="0"/>
        <w:adjustRightInd w:val="0"/>
        <w:spacing w:line="360" w:lineRule="auto"/>
        <w:jc w:val="both"/>
        <w:rPr>
          <w:rFonts w:cstheme="minorHAnsi"/>
          <w:iCs/>
          <w:sz w:val="24"/>
          <w:szCs w:val="24"/>
        </w:rPr>
      </w:pPr>
      <w:r w:rsidRPr="004C74DB">
        <w:rPr>
          <w:rFonts w:cstheme="minorHAnsi"/>
          <w:sz w:val="24"/>
          <w:szCs w:val="24"/>
        </w:rPr>
        <w:t>A major challenge to achieving this goal is</w:t>
      </w:r>
      <w:r w:rsidRPr="004C74DB">
        <w:rPr>
          <w:rFonts w:cstheme="minorHAnsi"/>
          <w:iCs/>
          <w:sz w:val="24"/>
          <w:szCs w:val="24"/>
        </w:rPr>
        <w:t xml:space="preserve"> the individual’s lack of financial knowledge to determine how much to save, what assets to invest in, and how best to decumulate. Few adults can answer basic questions about compound interest, effect of inflation, or the benefit of diversification. They are overwhelmed by the information provided in their portfolio reports (often on level of wealth accumulated and on rates of return on various investment choices), and the absence of a robust and uniform method to calculate income replacement rates. </w:t>
      </w:r>
    </w:p>
    <w:p w14:paraId="4D61AC11" w14:textId="77777777" w:rsidR="00535E15" w:rsidRPr="004C74DB" w:rsidRDefault="00535E15" w:rsidP="004C74DB">
      <w:pPr>
        <w:autoSpaceDE w:val="0"/>
        <w:autoSpaceDN w:val="0"/>
        <w:adjustRightInd w:val="0"/>
        <w:spacing w:line="360" w:lineRule="auto"/>
        <w:jc w:val="both"/>
        <w:rPr>
          <w:rFonts w:cstheme="minorHAnsi"/>
          <w:iCs/>
          <w:sz w:val="24"/>
          <w:szCs w:val="24"/>
        </w:rPr>
      </w:pPr>
    </w:p>
    <w:p w14:paraId="1AC34E03" w14:textId="0B93005A" w:rsidR="000426DB" w:rsidRPr="004C74DB" w:rsidRDefault="00535E15" w:rsidP="004C74DB">
      <w:pPr>
        <w:autoSpaceDE w:val="0"/>
        <w:autoSpaceDN w:val="0"/>
        <w:adjustRightInd w:val="0"/>
        <w:spacing w:line="360" w:lineRule="auto"/>
        <w:jc w:val="both"/>
        <w:rPr>
          <w:rFonts w:cstheme="minorHAnsi"/>
          <w:iCs/>
          <w:sz w:val="24"/>
          <w:szCs w:val="24"/>
        </w:rPr>
      </w:pPr>
      <w:r w:rsidRPr="004C74DB">
        <w:rPr>
          <w:rFonts w:cstheme="minorHAnsi"/>
          <w:iCs/>
          <w:sz w:val="24"/>
          <w:szCs w:val="24"/>
        </w:rPr>
        <w:t>Furthermore, with the exception of deferred annuities (from insurance companies), no other asset offers this specific cash flow profile. Deferred annuities are however complex, illiquid, inflexible in providing survivor benefits, and often costly and not common place in Australia.</w:t>
      </w:r>
      <w:r w:rsidR="00DE0F77" w:rsidRPr="004C74DB">
        <w:rPr>
          <w:rFonts w:cstheme="minorHAnsi"/>
          <w:iCs/>
          <w:sz w:val="24"/>
          <w:szCs w:val="24"/>
        </w:rPr>
        <w:t xml:space="preserve"> I</w:t>
      </w:r>
      <w:r w:rsidR="00DE0F77" w:rsidRPr="004C74DB">
        <w:rPr>
          <w:rFonts w:cstheme="minorHAnsi"/>
          <w:sz w:val="24"/>
          <w:szCs w:val="24"/>
        </w:rPr>
        <w:t>nvesting in existing assets is risky relative to the retirement objective, because these assets fail to provide a simple or low-cost cash-flow hedge against desired retirement income.</w:t>
      </w:r>
      <w:r w:rsidR="001C336F">
        <w:rPr>
          <w:rStyle w:val="FootnoteReference"/>
          <w:sz w:val="24"/>
          <w:szCs w:val="24"/>
        </w:rPr>
        <w:footnoteReference w:id="4"/>
      </w:r>
      <w:r w:rsidR="00DE0F77" w:rsidRPr="004C74DB">
        <w:rPr>
          <w:rFonts w:cstheme="minorHAnsi"/>
          <w:sz w:val="24"/>
          <w:szCs w:val="24"/>
        </w:rPr>
        <w:t xml:space="preserve"> Even a portfolio of traditional, “safe” government securities, unless heavily financially engineered—at some cost—would be risky because of the cash flow, and potential maturity, mismatch between traditional bonds and the desired retirement income stream.  </w:t>
      </w:r>
      <w:r w:rsidRPr="004C74DB">
        <w:rPr>
          <w:rFonts w:cstheme="minorHAnsi"/>
          <w:iCs/>
          <w:sz w:val="24"/>
          <w:szCs w:val="24"/>
        </w:rPr>
        <w:t>Other saving (bank deposits) that provide wealth protection have low yields and very volatile income patterns - unsuitable for retirees.  The absence of either effective income-hedging instruments for institutions or simple methods to allow financially unsophisticated individuals to achieve their goals is a major challenge for Australia.</w:t>
      </w:r>
    </w:p>
    <w:p w14:paraId="6E21A4C9" w14:textId="79C7F91F" w:rsidR="00535E15" w:rsidRPr="004C74DB" w:rsidRDefault="00535E15" w:rsidP="004C74DB">
      <w:pPr>
        <w:autoSpaceDE w:val="0"/>
        <w:autoSpaceDN w:val="0"/>
        <w:adjustRightInd w:val="0"/>
        <w:spacing w:line="360" w:lineRule="auto"/>
        <w:jc w:val="both"/>
        <w:rPr>
          <w:rFonts w:cstheme="minorHAnsi"/>
          <w:iCs/>
          <w:sz w:val="24"/>
          <w:szCs w:val="24"/>
        </w:rPr>
      </w:pPr>
    </w:p>
    <w:p w14:paraId="179AD072" w14:textId="02C6CD6F" w:rsidR="00DE0F77" w:rsidRPr="004C74DB" w:rsidRDefault="00DE0F77" w:rsidP="004C74DB">
      <w:pPr>
        <w:shd w:val="clear" w:color="auto" w:fill="FFFFFF"/>
        <w:spacing w:line="360" w:lineRule="auto"/>
        <w:jc w:val="both"/>
        <w:rPr>
          <w:rFonts w:eastAsia="Times New Roman" w:cstheme="minorHAnsi"/>
          <w:color w:val="222222"/>
          <w:sz w:val="24"/>
          <w:szCs w:val="24"/>
        </w:rPr>
      </w:pPr>
      <w:bookmarkStart w:id="1" w:name="_Hlk514698076"/>
      <w:r w:rsidRPr="004C74DB">
        <w:rPr>
          <w:rFonts w:cstheme="minorHAnsi"/>
          <w:sz w:val="24"/>
          <w:szCs w:val="24"/>
        </w:rPr>
        <w:t>Currently, Australian Treasury Bonds (TBs) are of the traditional payout form of interest-only coupons and principal repayment at maturity. Individuals who buy A$</w:t>
      </w:r>
      <w:r w:rsidR="00CC433B" w:rsidRPr="004C74DB">
        <w:rPr>
          <w:rFonts w:cstheme="minorHAnsi"/>
          <w:color w:val="000000"/>
          <w:sz w:val="24"/>
          <w:szCs w:val="24"/>
          <w:shd w:val="clear" w:color="auto" w:fill="FFFFFF"/>
        </w:rPr>
        <w:t>45,0</w:t>
      </w:r>
      <w:r w:rsidRPr="004C74DB">
        <w:rPr>
          <w:rFonts w:cstheme="minorHAnsi"/>
          <w:color w:val="000000"/>
          <w:sz w:val="24"/>
          <w:szCs w:val="24"/>
          <w:shd w:val="clear" w:color="auto" w:fill="FFFFFF"/>
        </w:rPr>
        <w:t>00 face value of</w:t>
      </w:r>
      <w:r w:rsidRPr="004C74DB">
        <w:rPr>
          <w:rFonts w:cstheme="minorHAnsi"/>
          <w:sz w:val="24"/>
          <w:szCs w:val="24"/>
        </w:rPr>
        <w:t xml:space="preserve"> the </w:t>
      </w:r>
      <w:r w:rsidR="00CC433B" w:rsidRPr="004C74DB">
        <w:rPr>
          <w:rFonts w:cstheme="minorHAnsi"/>
          <w:sz w:val="24"/>
          <w:szCs w:val="24"/>
        </w:rPr>
        <w:t>30</w:t>
      </w:r>
      <w:r w:rsidRPr="004C74DB">
        <w:rPr>
          <w:rFonts w:cstheme="minorHAnsi"/>
          <w:sz w:val="24"/>
          <w:szCs w:val="24"/>
        </w:rPr>
        <w:t xml:space="preserve">-year TB today receive semi-annual coupon payments (e.g., </w:t>
      </w:r>
      <w:r w:rsidR="00CC433B" w:rsidRPr="004C74DB">
        <w:rPr>
          <w:rFonts w:cstheme="minorHAnsi"/>
          <w:sz w:val="24"/>
          <w:szCs w:val="24"/>
        </w:rPr>
        <w:t>3</w:t>
      </w:r>
      <w:r w:rsidRPr="004C74DB">
        <w:rPr>
          <w:rFonts w:cstheme="minorHAnsi"/>
          <w:sz w:val="24"/>
          <w:szCs w:val="24"/>
        </w:rPr>
        <w:t>% of principal annually, A$</w:t>
      </w:r>
      <w:r w:rsidR="00CC433B" w:rsidRPr="004C74DB">
        <w:rPr>
          <w:rFonts w:cstheme="minorHAnsi"/>
          <w:sz w:val="24"/>
          <w:szCs w:val="24"/>
        </w:rPr>
        <w:t>1,35</w:t>
      </w:r>
      <w:r w:rsidR="00CC433B" w:rsidRPr="004C74DB">
        <w:rPr>
          <w:rFonts w:cstheme="minorHAnsi"/>
          <w:color w:val="000000"/>
          <w:sz w:val="24"/>
          <w:szCs w:val="24"/>
          <w:shd w:val="clear" w:color="auto" w:fill="FFFFFF"/>
        </w:rPr>
        <w:t>0</w:t>
      </w:r>
      <w:r w:rsidRPr="004C74DB">
        <w:rPr>
          <w:rFonts w:cstheme="minorHAnsi"/>
          <w:sz w:val="24"/>
          <w:szCs w:val="24"/>
        </w:rPr>
        <w:t>) starting immediately, with the principal amount (A$</w:t>
      </w:r>
      <w:r w:rsidR="00CC433B" w:rsidRPr="004C74DB">
        <w:rPr>
          <w:rFonts w:cstheme="minorHAnsi"/>
          <w:color w:val="000000"/>
          <w:sz w:val="24"/>
          <w:szCs w:val="24"/>
          <w:shd w:val="clear" w:color="auto" w:fill="FFFFFF"/>
        </w:rPr>
        <w:t>45,000</w:t>
      </w:r>
      <w:r w:rsidRPr="004C74DB">
        <w:rPr>
          <w:rFonts w:cstheme="minorHAnsi"/>
          <w:color w:val="000000"/>
          <w:sz w:val="24"/>
          <w:szCs w:val="24"/>
          <w:shd w:val="clear" w:color="auto" w:fill="FFFFFF"/>
        </w:rPr>
        <w:t xml:space="preserve">) </w:t>
      </w:r>
      <w:r w:rsidRPr="004C74DB">
        <w:rPr>
          <w:rFonts w:cstheme="minorHAnsi"/>
          <w:sz w:val="24"/>
          <w:szCs w:val="24"/>
        </w:rPr>
        <w:t xml:space="preserve">repaid along with the last coupon in year </w:t>
      </w:r>
      <w:r w:rsidR="00CC433B" w:rsidRPr="004C74DB">
        <w:rPr>
          <w:rFonts w:cstheme="minorHAnsi"/>
          <w:sz w:val="24"/>
          <w:szCs w:val="24"/>
        </w:rPr>
        <w:t>30</w:t>
      </w:r>
      <w:r w:rsidRPr="004C74DB">
        <w:rPr>
          <w:rFonts w:cstheme="minorHAnsi"/>
          <w:sz w:val="24"/>
          <w:szCs w:val="24"/>
        </w:rPr>
        <w:t xml:space="preserve"> (see Chart 2). </w:t>
      </w:r>
      <w:r w:rsidR="00CC433B" w:rsidRPr="004C74DB">
        <w:rPr>
          <w:rFonts w:cstheme="minorHAnsi"/>
          <w:sz w:val="24"/>
          <w:szCs w:val="24"/>
        </w:rPr>
        <w:t>The Australian government also offers Inflation-linked TBs (or TIBs).</w:t>
      </w:r>
      <w:r w:rsidRPr="004C74DB">
        <w:rPr>
          <w:rFonts w:cstheme="minorHAnsi"/>
          <w:sz w:val="24"/>
          <w:szCs w:val="24"/>
        </w:rPr>
        <w:t xml:space="preserve"> These bonds, which may appear to be safe instruments from a wealth-protection perspective, are actually very risky for income received when compared to the desired payout goal plotted in Chart 1. Individuals receive coupons before they need them (while they work and have income), and thus, must reinvest them at future uncertain interest rates.  The principal is repaid in lumpsum </w:t>
      </w:r>
      <w:r w:rsidR="00CC433B" w:rsidRPr="004C74DB">
        <w:rPr>
          <w:rFonts w:cstheme="minorHAnsi"/>
          <w:sz w:val="24"/>
          <w:szCs w:val="24"/>
        </w:rPr>
        <w:t>10 years before</w:t>
      </w:r>
      <w:r w:rsidRPr="004C74DB">
        <w:rPr>
          <w:rFonts w:cstheme="minorHAnsi"/>
          <w:sz w:val="24"/>
          <w:szCs w:val="24"/>
        </w:rPr>
        <w:t xml:space="preserve"> these 25-year-olds retire, leading to cash flow mismatches and re-investment risk.</w:t>
      </w:r>
      <w:r w:rsidR="00CC433B" w:rsidRPr="004C74DB">
        <w:rPr>
          <w:rFonts w:cstheme="minorHAnsi"/>
          <w:sz w:val="24"/>
          <w:szCs w:val="24"/>
        </w:rPr>
        <w:t xml:space="preserve"> </w:t>
      </w:r>
      <w:r w:rsidR="00CC433B" w:rsidRPr="004C74DB">
        <w:rPr>
          <w:rFonts w:cstheme="minorHAnsi"/>
          <w:color w:val="000000"/>
          <w:sz w:val="24"/>
          <w:szCs w:val="24"/>
          <w:shd w:val="clear" w:color="auto" w:fill="FFFFFF"/>
        </w:rPr>
        <w:t>Even complex financial engineering cannot address this challenge and are likely to be risky and costly.</w:t>
      </w:r>
      <w:r w:rsidRPr="004C74DB">
        <w:rPr>
          <w:rFonts w:cstheme="minorHAnsi"/>
          <w:sz w:val="24"/>
          <w:szCs w:val="24"/>
        </w:rPr>
        <w:t xml:space="preserve"> </w:t>
      </w:r>
      <w:r w:rsidRPr="004C74DB">
        <w:rPr>
          <w:rFonts w:cstheme="minorHAnsi"/>
          <w:color w:val="000000"/>
          <w:sz w:val="24"/>
          <w:szCs w:val="24"/>
          <w:shd w:val="clear" w:color="auto" w:fill="FFFFFF"/>
        </w:rPr>
        <w:t>Even if these payments were adjusted for inflation, they would not be sufficient—for savings invested long before retirement, standard-of-living risk is really significant. The amount needed to maintain one’s evolving life style while working, is likely to increase over this long horizon, potentially leaving retirees with inadequate savings to cover that higher life style.</w:t>
      </w:r>
      <w:r w:rsidRPr="004C74DB">
        <w:rPr>
          <w:rFonts w:cstheme="minorHAnsi"/>
          <w:b/>
          <w:color w:val="000000"/>
          <w:sz w:val="24"/>
          <w:szCs w:val="24"/>
          <w:shd w:val="clear" w:color="auto" w:fill="FFFFFF"/>
        </w:rPr>
        <w:t xml:space="preserve">  </w:t>
      </w:r>
    </w:p>
    <w:bookmarkEnd w:id="1"/>
    <w:p w14:paraId="293B5BF7" w14:textId="77777777" w:rsidR="00DE0F77" w:rsidRPr="004C74DB" w:rsidRDefault="00DE0F77" w:rsidP="004C74DB">
      <w:pPr>
        <w:shd w:val="clear" w:color="auto" w:fill="FFFFFF"/>
        <w:spacing w:line="360" w:lineRule="auto"/>
        <w:jc w:val="both"/>
        <w:rPr>
          <w:rFonts w:eastAsia="Times New Roman" w:cstheme="minorHAnsi"/>
          <w:color w:val="222222"/>
          <w:sz w:val="24"/>
          <w:szCs w:val="24"/>
        </w:rPr>
      </w:pPr>
    </w:p>
    <w:p w14:paraId="6543CF32" w14:textId="752D9F16" w:rsidR="00DE0F77" w:rsidRPr="004C74DB" w:rsidRDefault="00CC433B" w:rsidP="004C74DB">
      <w:pPr>
        <w:shd w:val="clear" w:color="auto" w:fill="FFFFFF"/>
        <w:spacing w:line="360" w:lineRule="auto"/>
        <w:jc w:val="both"/>
        <w:rPr>
          <w:rFonts w:eastAsia="Times New Roman" w:cstheme="minorHAnsi"/>
          <w:color w:val="222222"/>
          <w:sz w:val="24"/>
          <w:szCs w:val="24"/>
        </w:rPr>
      </w:pPr>
      <w:r w:rsidRPr="004C74DB">
        <w:rPr>
          <w:rFonts w:cstheme="minorHAnsi"/>
          <w:noProof/>
          <w:sz w:val="24"/>
          <w:szCs w:val="24"/>
          <w:lang w:val="en-AU" w:eastAsia="en-AU"/>
        </w:rPr>
        <w:drawing>
          <wp:inline distT="0" distB="0" distL="0" distR="0" wp14:anchorId="723CF557" wp14:editId="279D0F9B">
            <wp:extent cx="4572000" cy="27432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427A2EF-DC2D-4FE1-86FC-554D8C00D1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70A167" w14:textId="039D22B1" w:rsidR="00DE0F77" w:rsidRPr="004C74DB" w:rsidRDefault="00DE0F77" w:rsidP="004C74DB">
      <w:pPr>
        <w:shd w:val="clear" w:color="auto" w:fill="FFFFFF"/>
        <w:spacing w:line="360" w:lineRule="auto"/>
        <w:jc w:val="both"/>
        <w:rPr>
          <w:rFonts w:eastAsia="Times New Roman" w:cstheme="minorHAnsi"/>
          <w:b/>
          <w:color w:val="222222"/>
          <w:sz w:val="24"/>
          <w:szCs w:val="24"/>
        </w:rPr>
      </w:pPr>
      <w:r w:rsidRPr="004C74DB">
        <w:rPr>
          <w:rFonts w:eastAsia="Times New Roman" w:cstheme="minorHAnsi"/>
          <w:b/>
          <w:color w:val="222222"/>
          <w:sz w:val="24"/>
          <w:szCs w:val="24"/>
        </w:rPr>
        <w:t xml:space="preserve">Chart 2: Cashflows from a Traditional Nominal </w:t>
      </w:r>
      <w:r w:rsidR="00CC433B" w:rsidRPr="004C74DB">
        <w:rPr>
          <w:rFonts w:eastAsia="Times New Roman" w:cstheme="minorHAnsi"/>
          <w:b/>
          <w:color w:val="222222"/>
          <w:sz w:val="24"/>
          <w:szCs w:val="24"/>
        </w:rPr>
        <w:t>30</w:t>
      </w:r>
      <w:r w:rsidRPr="004C74DB">
        <w:rPr>
          <w:rFonts w:eastAsia="Times New Roman" w:cstheme="minorHAnsi"/>
          <w:b/>
          <w:color w:val="222222"/>
          <w:sz w:val="24"/>
          <w:szCs w:val="24"/>
        </w:rPr>
        <w:t xml:space="preserve"> Year </w:t>
      </w:r>
      <w:r w:rsidR="00CC433B" w:rsidRPr="004C74DB">
        <w:rPr>
          <w:rFonts w:eastAsia="Times New Roman" w:cstheme="minorHAnsi"/>
          <w:b/>
          <w:color w:val="222222"/>
          <w:sz w:val="24"/>
          <w:szCs w:val="24"/>
        </w:rPr>
        <w:t>TB</w:t>
      </w:r>
      <w:r w:rsidRPr="004C74DB">
        <w:rPr>
          <w:rFonts w:eastAsia="Times New Roman" w:cstheme="minorHAnsi"/>
          <w:b/>
          <w:color w:val="222222"/>
          <w:sz w:val="24"/>
          <w:szCs w:val="24"/>
        </w:rPr>
        <w:t xml:space="preserve"> (with a </w:t>
      </w:r>
      <w:r w:rsidR="00CC433B" w:rsidRPr="004C74DB">
        <w:rPr>
          <w:rFonts w:eastAsia="Times New Roman" w:cstheme="minorHAnsi"/>
          <w:b/>
          <w:color w:val="222222"/>
          <w:sz w:val="24"/>
          <w:szCs w:val="24"/>
        </w:rPr>
        <w:t>3</w:t>
      </w:r>
      <w:r w:rsidRPr="004C74DB">
        <w:rPr>
          <w:rFonts w:eastAsia="Times New Roman" w:cstheme="minorHAnsi"/>
          <w:b/>
          <w:color w:val="222222"/>
          <w:sz w:val="24"/>
          <w:szCs w:val="24"/>
        </w:rPr>
        <w:t>% Annual Coupon)</w:t>
      </w:r>
    </w:p>
    <w:p w14:paraId="07AD1F6A" w14:textId="77777777" w:rsidR="00DE0F77" w:rsidRPr="004C74DB" w:rsidRDefault="00DE0F77" w:rsidP="004C74DB">
      <w:pPr>
        <w:autoSpaceDE w:val="0"/>
        <w:autoSpaceDN w:val="0"/>
        <w:adjustRightInd w:val="0"/>
        <w:spacing w:line="360" w:lineRule="auto"/>
        <w:jc w:val="both"/>
        <w:rPr>
          <w:rFonts w:cstheme="minorHAnsi"/>
          <w:iCs/>
          <w:sz w:val="24"/>
          <w:szCs w:val="24"/>
        </w:rPr>
      </w:pPr>
    </w:p>
    <w:p w14:paraId="55E2FA43" w14:textId="77777777" w:rsidR="00535E15" w:rsidRPr="004C74DB" w:rsidRDefault="00535E15" w:rsidP="004C74DB">
      <w:pPr>
        <w:autoSpaceDE w:val="0"/>
        <w:autoSpaceDN w:val="0"/>
        <w:adjustRightInd w:val="0"/>
        <w:spacing w:line="360" w:lineRule="auto"/>
        <w:jc w:val="both"/>
        <w:rPr>
          <w:rFonts w:cstheme="minorHAnsi"/>
          <w:b/>
          <w:iCs/>
          <w:sz w:val="24"/>
          <w:szCs w:val="24"/>
        </w:rPr>
      </w:pPr>
      <w:r w:rsidRPr="004C74DB">
        <w:rPr>
          <w:rFonts w:cstheme="minorHAnsi"/>
          <w:b/>
          <w:iCs/>
          <w:sz w:val="24"/>
          <w:szCs w:val="24"/>
        </w:rPr>
        <w:t>SeLFIES as a Financial Instrument that Helps Australia Create CIPRs</w:t>
      </w:r>
    </w:p>
    <w:p w14:paraId="2AC71BFF" w14:textId="28976C83" w:rsidR="00665CC8" w:rsidRPr="004C74DB" w:rsidRDefault="000426DB" w:rsidP="004C74DB">
      <w:pPr>
        <w:spacing w:line="360" w:lineRule="auto"/>
        <w:jc w:val="both"/>
        <w:rPr>
          <w:rFonts w:cstheme="minorHAnsi"/>
          <w:sz w:val="24"/>
          <w:szCs w:val="24"/>
        </w:rPr>
      </w:pPr>
      <w:r w:rsidRPr="004C74DB">
        <w:rPr>
          <w:rFonts w:cstheme="minorHAnsi"/>
          <w:iCs/>
          <w:sz w:val="24"/>
          <w:szCs w:val="24"/>
        </w:rPr>
        <w:t xml:space="preserve">SeLFIES address many of these issues. </w:t>
      </w:r>
      <w:r w:rsidRPr="004C74DB">
        <w:rPr>
          <w:rFonts w:cstheme="minorHAnsi"/>
          <w:sz w:val="24"/>
          <w:szCs w:val="24"/>
        </w:rPr>
        <w:t>Governments could issue a new</w:t>
      </w:r>
      <w:r w:rsidR="001D08B3" w:rsidRPr="004C74DB">
        <w:rPr>
          <w:rFonts w:cstheme="minorHAnsi"/>
          <w:sz w:val="24"/>
          <w:szCs w:val="24"/>
        </w:rPr>
        <w:t>,</w:t>
      </w:r>
      <w:r w:rsidRPr="004C74DB">
        <w:rPr>
          <w:rFonts w:cstheme="minorHAnsi"/>
          <w:sz w:val="24"/>
          <w:szCs w:val="24"/>
        </w:rPr>
        <w:t xml:space="preserve"> low-cost, liquid and safe ultra-long bond instrument. SeLFIES start paying investors upon retirement and pay real coupons</w:t>
      </w:r>
      <w:r w:rsidR="001D08B3" w:rsidRPr="004C74DB">
        <w:rPr>
          <w:rFonts w:cstheme="minorHAnsi"/>
          <w:sz w:val="24"/>
          <w:szCs w:val="24"/>
        </w:rPr>
        <w:t xml:space="preserve"> </w:t>
      </w:r>
      <w:r w:rsidRPr="004C74DB">
        <w:rPr>
          <w:rFonts w:cstheme="minorHAnsi"/>
          <w:sz w:val="24"/>
          <w:szCs w:val="24"/>
        </w:rPr>
        <w:t>only</w:t>
      </w:r>
      <w:r w:rsidR="001D08B3" w:rsidRPr="004C74DB">
        <w:rPr>
          <w:rFonts w:cstheme="minorHAnsi"/>
          <w:sz w:val="24"/>
          <w:szCs w:val="24"/>
        </w:rPr>
        <w:t>—</w:t>
      </w:r>
      <w:r w:rsidRPr="004C74DB">
        <w:rPr>
          <w:rFonts w:eastAsia="Times New Roman" w:cstheme="minorHAnsi"/>
          <w:sz w:val="24"/>
          <w:szCs w:val="24"/>
        </w:rPr>
        <w:t>say</w:t>
      </w:r>
      <w:r w:rsidR="001D08B3" w:rsidRPr="004C74DB">
        <w:rPr>
          <w:rFonts w:eastAsia="Times New Roman" w:cstheme="minorHAnsi"/>
          <w:sz w:val="24"/>
          <w:szCs w:val="24"/>
        </w:rPr>
        <w:t>,</w:t>
      </w:r>
      <w:r w:rsidRPr="004C74DB">
        <w:rPr>
          <w:rFonts w:eastAsia="Times New Roman" w:cstheme="minorHAnsi"/>
          <w:sz w:val="24"/>
          <w:szCs w:val="24"/>
        </w:rPr>
        <w:t xml:space="preserve"> $5</w:t>
      </w:r>
      <w:r w:rsidR="001D08B3" w:rsidRPr="004C74DB">
        <w:rPr>
          <w:rFonts w:eastAsia="Times New Roman" w:cstheme="minorHAnsi"/>
          <w:sz w:val="24"/>
          <w:szCs w:val="24"/>
        </w:rPr>
        <w:t>—</w:t>
      </w:r>
      <w:r w:rsidRPr="004C74DB">
        <w:rPr>
          <w:rFonts w:eastAsia="Times New Roman" w:cstheme="minorHAnsi"/>
          <w:sz w:val="24"/>
          <w:szCs w:val="24"/>
        </w:rPr>
        <w:t>indexed to aggregate per capita consumption</w:t>
      </w:r>
      <w:r w:rsidR="001D08B3" w:rsidRPr="004C74DB">
        <w:rPr>
          <w:rFonts w:eastAsia="Times New Roman" w:cstheme="minorHAnsi"/>
          <w:sz w:val="24"/>
          <w:szCs w:val="24"/>
        </w:rPr>
        <w:t>—</w:t>
      </w:r>
      <w:r w:rsidRPr="004C74DB">
        <w:rPr>
          <w:rFonts w:cstheme="minorHAnsi"/>
          <w:sz w:val="24"/>
          <w:szCs w:val="24"/>
        </w:rPr>
        <w:t>for a period equal to the average life expectancy at retirement</w:t>
      </w:r>
      <w:r w:rsidR="001D08B3" w:rsidRPr="004C74DB">
        <w:rPr>
          <w:rFonts w:cstheme="minorHAnsi"/>
          <w:sz w:val="24"/>
          <w:szCs w:val="24"/>
        </w:rPr>
        <w:t xml:space="preserve">, </w:t>
      </w:r>
      <w:r w:rsidRPr="004C74DB">
        <w:rPr>
          <w:rFonts w:cstheme="minorHAnsi"/>
          <w:sz w:val="24"/>
          <w:szCs w:val="24"/>
        </w:rPr>
        <w:t xml:space="preserve">e.g., </w:t>
      </w:r>
      <w:r w:rsidR="00665CC8" w:rsidRPr="004C74DB">
        <w:rPr>
          <w:rFonts w:cstheme="minorHAnsi"/>
          <w:sz w:val="24"/>
          <w:szCs w:val="24"/>
        </w:rPr>
        <w:t xml:space="preserve">another </w:t>
      </w:r>
      <w:r w:rsidRPr="004C74DB">
        <w:rPr>
          <w:rFonts w:cstheme="minorHAnsi"/>
          <w:sz w:val="24"/>
          <w:szCs w:val="24"/>
        </w:rPr>
        <w:t>2</w:t>
      </w:r>
      <w:r w:rsidR="009040BE" w:rsidRPr="004C74DB">
        <w:rPr>
          <w:rFonts w:cstheme="minorHAnsi"/>
          <w:sz w:val="24"/>
          <w:szCs w:val="24"/>
        </w:rPr>
        <w:t>2</w:t>
      </w:r>
      <w:r w:rsidR="001D08B3" w:rsidRPr="004C74DB">
        <w:rPr>
          <w:rFonts w:cstheme="minorHAnsi"/>
          <w:sz w:val="24"/>
          <w:szCs w:val="24"/>
        </w:rPr>
        <w:t xml:space="preserve"> </w:t>
      </w:r>
      <w:r w:rsidRPr="004C74DB">
        <w:rPr>
          <w:rFonts w:cstheme="minorHAnsi"/>
          <w:sz w:val="24"/>
          <w:szCs w:val="24"/>
        </w:rPr>
        <w:t xml:space="preserve">years. </w:t>
      </w:r>
      <w:r w:rsidRPr="004C74DB">
        <w:rPr>
          <w:rFonts w:eastAsia="Times New Roman" w:cstheme="minorHAnsi"/>
          <w:sz w:val="24"/>
          <w:szCs w:val="24"/>
        </w:rPr>
        <w:t>I</w:t>
      </w:r>
      <w:r w:rsidRPr="004C74DB">
        <w:rPr>
          <w:rFonts w:cstheme="minorHAnsi"/>
          <w:sz w:val="24"/>
          <w:szCs w:val="24"/>
        </w:rPr>
        <w:t xml:space="preserve">nstead of current bonds that index solely to inflation, </w:t>
      </w:r>
      <w:r w:rsidRPr="004C74DB">
        <w:rPr>
          <w:rFonts w:eastAsia="Times New Roman" w:cstheme="minorHAnsi"/>
          <w:sz w:val="24"/>
          <w:szCs w:val="24"/>
        </w:rPr>
        <w:t>SeLFIES</w:t>
      </w:r>
      <w:r w:rsidRPr="004C74DB">
        <w:rPr>
          <w:rFonts w:cstheme="minorHAnsi"/>
          <w:sz w:val="24"/>
          <w:szCs w:val="24"/>
        </w:rPr>
        <w:t xml:space="preserve"> cover both the risk of inflation and standard-of-living improvements. </w:t>
      </w:r>
    </w:p>
    <w:p w14:paraId="3389C879" w14:textId="77777777" w:rsidR="00665CC8" w:rsidRPr="004C74DB" w:rsidRDefault="00665CC8" w:rsidP="004C74DB">
      <w:pPr>
        <w:spacing w:line="360" w:lineRule="auto"/>
        <w:jc w:val="both"/>
        <w:rPr>
          <w:rFonts w:cstheme="minorHAnsi"/>
          <w:sz w:val="24"/>
          <w:szCs w:val="24"/>
        </w:rPr>
      </w:pPr>
    </w:p>
    <w:p w14:paraId="47DCA4B2" w14:textId="4ADFDF96" w:rsidR="00665CC8" w:rsidRPr="004C74DB" w:rsidRDefault="000426DB" w:rsidP="004C74DB">
      <w:pPr>
        <w:spacing w:line="360" w:lineRule="auto"/>
        <w:jc w:val="both"/>
        <w:rPr>
          <w:rFonts w:cstheme="minorHAnsi"/>
          <w:sz w:val="24"/>
          <w:szCs w:val="24"/>
        </w:rPr>
      </w:pPr>
      <w:r w:rsidRPr="004C74DB">
        <w:rPr>
          <w:rFonts w:cstheme="minorHAnsi"/>
          <w:sz w:val="24"/>
          <w:szCs w:val="24"/>
        </w:rPr>
        <w:t xml:space="preserve">SeLFIES are designed to pay people </w:t>
      </w:r>
      <w:r w:rsidRPr="004C74DB">
        <w:rPr>
          <w:rFonts w:cstheme="minorHAnsi"/>
          <w:i/>
          <w:sz w:val="24"/>
          <w:szCs w:val="24"/>
        </w:rPr>
        <w:t>when</w:t>
      </w:r>
      <w:r w:rsidRPr="004C74DB">
        <w:rPr>
          <w:rFonts w:cstheme="minorHAnsi"/>
          <w:sz w:val="24"/>
          <w:szCs w:val="24"/>
        </w:rPr>
        <w:t xml:space="preserve"> they need it and </w:t>
      </w:r>
      <w:r w:rsidRPr="004C74DB">
        <w:rPr>
          <w:rFonts w:cstheme="minorHAnsi"/>
          <w:i/>
          <w:sz w:val="24"/>
          <w:szCs w:val="24"/>
        </w:rPr>
        <w:t>how</w:t>
      </w:r>
      <w:r w:rsidRPr="004C74DB">
        <w:rPr>
          <w:rFonts w:cstheme="minorHAnsi"/>
          <w:sz w:val="24"/>
          <w:szCs w:val="24"/>
        </w:rPr>
        <w:t xml:space="preserve"> they need it, and greatly simplify retirement investing.</w:t>
      </w:r>
      <w:r w:rsidRPr="004C74DB">
        <w:rPr>
          <w:rFonts w:eastAsia="Times New Roman" w:cstheme="minorHAnsi"/>
          <w:sz w:val="24"/>
          <w:szCs w:val="24"/>
        </w:rPr>
        <w:t xml:space="preserve"> A </w:t>
      </w:r>
      <w:r w:rsidR="00043AEA" w:rsidRPr="004C74DB">
        <w:rPr>
          <w:rFonts w:cstheme="minorHAnsi"/>
          <w:sz w:val="24"/>
          <w:szCs w:val="24"/>
        </w:rPr>
        <w:t>55-year-old</w:t>
      </w:r>
      <w:r w:rsidRPr="004C74DB">
        <w:rPr>
          <w:rFonts w:cstheme="minorHAnsi"/>
          <w:sz w:val="24"/>
          <w:szCs w:val="24"/>
        </w:rPr>
        <w:t xml:space="preserve"> today would buy the 202</w:t>
      </w:r>
      <w:r w:rsidR="009040BE" w:rsidRPr="004C74DB">
        <w:rPr>
          <w:rFonts w:cstheme="minorHAnsi"/>
          <w:sz w:val="24"/>
          <w:szCs w:val="24"/>
        </w:rPr>
        <w:t>8</w:t>
      </w:r>
      <w:r w:rsidRPr="004C74DB">
        <w:rPr>
          <w:rFonts w:cstheme="minorHAnsi"/>
          <w:sz w:val="24"/>
          <w:szCs w:val="24"/>
        </w:rPr>
        <w:t xml:space="preserve"> bond, which would start paying coupons when </w:t>
      </w:r>
      <w:r w:rsidR="001D08B3" w:rsidRPr="004C74DB">
        <w:rPr>
          <w:rFonts w:cstheme="minorHAnsi"/>
          <w:sz w:val="24"/>
          <w:szCs w:val="24"/>
        </w:rPr>
        <w:t>he</w:t>
      </w:r>
      <w:r w:rsidRPr="004C74DB">
        <w:rPr>
          <w:rFonts w:cstheme="minorHAnsi"/>
          <w:sz w:val="24"/>
          <w:szCs w:val="24"/>
        </w:rPr>
        <w:t xml:space="preserve"> turn</w:t>
      </w:r>
      <w:r w:rsidR="001D08B3" w:rsidRPr="004C74DB">
        <w:rPr>
          <w:rFonts w:cstheme="minorHAnsi"/>
          <w:sz w:val="24"/>
          <w:szCs w:val="24"/>
        </w:rPr>
        <w:t>s</w:t>
      </w:r>
      <w:r w:rsidRPr="004C74DB">
        <w:rPr>
          <w:rFonts w:cstheme="minorHAnsi"/>
          <w:sz w:val="24"/>
          <w:szCs w:val="24"/>
        </w:rPr>
        <w:t xml:space="preserve"> 65</w:t>
      </w:r>
      <w:r w:rsidR="00665CC8" w:rsidRPr="004C74DB">
        <w:rPr>
          <w:rFonts w:cstheme="minorHAnsi"/>
          <w:sz w:val="24"/>
          <w:szCs w:val="24"/>
        </w:rPr>
        <w:t>,</w:t>
      </w:r>
      <w:r w:rsidRPr="004C74DB">
        <w:rPr>
          <w:rFonts w:cstheme="minorHAnsi"/>
          <w:sz w:val="24"/>
          <w:szCs w:val="24"/>
        </w:rPr>
        <w:t xml:space="preserve"> in 202</w:t>
      </w:r>
      <w:r w:rsidR="009040BE" w:rsidRPr="004C74DB">
        <w:rPr>
          <w:rFonts w:cstheme="minorHAnsi"/>
          <w:sz w:val="24"/>
          <w:szCs w:val="24"/>
        </w:rPr>
        <w:t>8</w:t>
      </w:r>
      <w:r w:rsidR="00665CC8" w:rsidRPr="004C74DB">
        <w:rPr>
          <w:rFonts w:cstheme="minorHAnsi"/>
          <w:sz w:val="24"/>
          <w:szCs w:val="24"/>
        </w:rPr>
        <w:t>,</w:t>
      </w:r>
      <w:r w:rsidRPr="004C74DB">
        <w:rPr>
          <w:rFonts w:cstheme="minorHAnsi"/>
          <w:sz w:val="24"/>
          <w:szCs w:val="24"/>
        </w:rPr>
        <w:t xml:space="preserve"> and keep paying for 2</w:t>
      </w:r>
      <w:r w:rsidR="009040BE" w:rsidRPr="004C74DB">
        <w:rPr>
          <w:rFonts w:cstheme="minorHAnsi"/>
          <w:sz w:val="24"/>
          <w:szCs w:val="24"/>
        </w:rPr>
        <w:t>2</w:t>
      </w:r>
      <w:r w:rsidRPr="004C74DB">
        <w:rPr>
          <w:rFonts w:cstheme="minorHAnsi"/>
          <w:sz w:val="24"/>
          <w:szCs w:val="24"/>
        </w:rPr>
        <w:t xml:space="preserve"> years, through 20</w:t>
      </w:r>
      <w:r w:rsidR="009040BE" w:rsidRPr="004C74DB">
        <w:rPr>
          <w:rFonts w:cstheme="minorHAnsi"/>
          <w:sz w:val="24"/>
          <w:szCs w:val="24"/>
        </w:rPr>
        <w:t>50</w:t>
      </w:r>
      <w:r w:rsidRPr="004C74DB">
        <w:rPr>
          <w:rFonts w:cstheme="minorHAnsi"/>
          <w:sz w:val="24"/>
          <w:szCs w:val="24"/>
        </w:rPr>
        <w:t xml:space="preserve">. </w:t>
      </w:r>
    </w:p>
    <w:p w14:paraId="76A7193A" w14:textId="77777777" w:rsidR="00665CC8" w:rsidRPr="004C74DB" w:rsidRDefault="00665CC8" w:rsidP="004C74DB">
      <w:pPr>
        <w:spacing w:line="360" w:lineRule="auto"/>
        <w:jc w:val="both"/>
        <w:rPr>
          <w:rFonts w:cstheme="minorHAnsi"/>
          <w:sz w:val="24"/>
          <w:szCs w:val="24"/>
        </w:rPr>
      </w:pPr>
    </w:p>
    <w:p w14:paraId="037FBABD" w14:textId="75E14AF6" w:rsidR="00665CC8" w:rsidRPr="004C74DB" w:rsidRDefault="001D08B3" w:rsidP="004C74DB">
      <w:pPr>
        <w:spacing w:line="360" w:lineRule="auto"/>
        <w:jc w:val="both"/>
        <w:rPr>
          <w:rFonts w:cstheme="minorHAnsi"/>
          <w:sz w:val="24"/>
          <w:szCs w:val="24"/>
        </w:rPr>
      </w:pPr>
      <w:r w:rsidRPr="004C74DB">
        <w:rPr>
          <w:rFonts w:cstheme="minorHAnsi"/>
          <w:sz w:val="24"/>
          <w:szCs w:val="24"/>
        </w:rPr>
        <w:t>In this way, e</w:t>
      </w:r>
      <w:r w:rsidR="000426DB" w:rsidRPr="004C74DB">
        <w:rPr>
          <w:rFonts w:cstheme="minorHAnsi"/>
          <w:sz w:val="24"/>
          <w:szCs w:val="24"/>
        </w:rPr>
        <w:t xml:space="preserve">ven the most financially illiterate individual can be self-reliant with respect to retirement planning. For example, if investors want to guarantee </w:t>
      </w:r>
      <w:r w:rsidR="009040BE" w:rsidRPr="004C74DB">
        <w:rPr>
          <w:rFonts w:cstheme="minorHAnsi"/>
          <w:sz w:val="24"/>
          <w:szCs w:val="24"/>
        </w:rPr>
        <w:t>A</w:t>
      </w:r>
      <w:r w:rsidR="000426DB" w:rsidRPr="004C74DB">
        <w:rPr>
          <w:rFonts w:cstheme="minorHAnsi"/>
          <w:sz w:val="24"/>
          <w:szCs w:val="24"/>
        </w:rPr>
        <w:t>$</w:t>
      </w:r>
      <w:r w:rsidR="009040BE" w:rsidRPr="004C74DB">
        <w:rPr>
          <w:rFonts w:cstheme="minorHAnsi"/>
          <w:sz w:val="24"/>
          <w:szCs w:val="24"/>
        </w:rPr>
        <w:t>4</w:t>
      </w:r>
      <w:r w:rsidR="000426DB" w:rsidRPr="004C74DB">
        <w:rPr>
          <w:rFonts w:cstheme="minorHAnsi"/>
          <w:sz w:val="24"/>
          <w:szCs w:val="24"/>
        </w:rPr>
        <w:t>5,000 annually, risk-free for 2</w:t>
      </w:r>
      <w:r w:rsidR="009040BE" w:rsidRPr="004C74DB">
        <w:rPr>
          <w:rFonts w:cstheme="minorHAnsi"/>
          <w:sz w:val="24"/>
          <w:szCs w:val="24"/>
        </w:rPr>
        <w:t>2</w:t>
      </w:r>
      <w:r w:rsidR="000426DB" w:rsidRPr="004C74DB">
        <w:rPr>
          <w:rFonts w:cstheme="minorHAnsi"/>
          <w:sz w:val="24"/>
          <w:szCs w:val="24"/>
        </w:rPr>
        <w:t xml:space="preserve"> years in retirement to maintain their current standard</w:t>
      </w:r>
      <w:r w:rsidR="001C336F">
        <w:rPr>
          <w:rFonts w:cstheme="minorHAnsi"/>
          <w:sz w:val="24"/>
          <w:szCs w:val="24"/>
        </w:rPr>
        <w:t>-</w:t>
      </w:r>
      <w:r w:rsidR="000426DB" w:rsidRPr="004C74DB">
        <w:rPr>
          <w:rFonts w:cstheme="minorHAnsi"/>
          <w:sz w:val="24"/>
          <w:szCs w:val="24"/>
        </w:rPr>
        <w:t>of</w:t>
      </w:r>
      <w:r w:rsidR="001C336F">
        <w:rPr>
          <w:rFonts w:cstheme="minorHAnsi"/>
          <w:sz w:val="24"/>
          <w:szCs w:val="24"/>
        </w:rPr>
        <w:t>-</w:t>
      </w:r>
      <w:r w:rsidR="000426DB" w:rsidRPr="004C74DB">
        <w:rPr>
          <w:rFonts w:cstheme="minorHAnsi"/>
          <w:sz w:val="24"/>
          <w:szCs w:val="24"/>
        </w:rPr>
        <w:t xml:space="preserve">living, they would need to buy </w:t>
      </w:r>
      <w:r w:rsidR="009040BE" w:rsidRPr="004C74DB">
        <w:rPr>
          <w:rFonts w:cstheme="minorHAnsi"/>
          <w:sz w:val="24"/>
          <w:szCs w:val="24"/>
        </w:rPr>
        <w:t>9</w:t>
      </w:r>
      <w:r w:rsidR="000426DB" w:rsidRPr="004C74DB">
        <w:rPr>
          <w:rFonts w:cstheme="minorHAnsi"/>
          <w:sz w:val="24"/>
          <w:szCs w:val="24"/>
        </w:rPr>
        <w:t>,000 SeLFIES</w:t>
      </w:r>
      <w:r w:rsidRPr="004C74DB">
        <w:rPr>
          <w:rFonts w:cstheme="minorHAnsi"/>
          <w:sz w:val="24"/>
          <w:szCs w:val="24"/>
        </w:rPr>
        <w:t xml:space="preserve">—i.e., </w:t>
      </w:r>
      <w:r w:rsidR="000426DB" w:rsidRPr="004C74DB">
        <w:rPr>
          <w:rFonts w:cstheme="minorHAnsi"/>
          <w:sz w:val="24"/>
          <w:szCs w:val="24"/>
        </w:rPr>
        <w:t>$</w:t>
      </w:r>
      <w:r w:rsidR="009040BE" w:rsidRPr="004C74DB">
        <w:rPr>
          <w:rFonts w:cstheme="minorHAnsi"/>
          <w:sz w:val="24"/>
          <w:szCs w:val="24"/>
        </w:rPr>
        <w:t>4</w:t>
      </w:r>
      <w:r w:rsidR="000426DB" w:rsidRPr="004C74DB">
        <w:rPr>
          <w:rFonts w:cstheme="minorHAnsi"/>
          <w:sz w:val="24"/>
          <w:szCs w:val="24"/>
        </w:rPr>
        <w:t>5,000 divided by $5</w:t>
      </w:r>
      <w:r w:rsidRPr="004C74DB">
        <w:rPr>
          <w:rFonts w:cstheme="minorHAnsi"/>
          <w:sz w:val="24"/>
          <w:szCs w:val="24"/>
        </w:rPr>
        <w:t>—</w:t>
      </w:r>
      <w:r w:rsidR="000426DB" w:rsidRPr="004C74DB">
        <w:rPr>
          <w:rFonts w:cstheme="minorHAnsi"/>
          <w:sz w:val="24"/>
          <w:szCs w:val="24"/>
        </w:rPr>
        <w:t>over their working life. The complex decisions of how much to save, how to invest, and how to draw</w:t>
      </w:r>
      <w:r w:rsidRPr="004C74DB">
        <w:rPr>
          <w:rFonts w:cstheme="minorHAnsi"/>
          <w:sz w:val="24"/>
          <w:szCs w:val="24"/>
        </w:rPr>
        <w:t xml:space="preserve"> </w:t>
      </w:r>
      <w:r w:rsidR="000426DB" w:rsidRPr="004C74DB">
        <w:rPr>
          <w:rFonts w:cstheme="minorHAnsi"/>
          <w:sz w:val="24"/>
          <w:szCs w:val="24"/>
        </w:rPr>
        <w:t xml:space="preserve">down are simply folded into an easy calculation of how many bonds to buy. </w:t>
      </w:r>
      <w:r w:rsidR="009040BE" w:rsidRPr="001C336F">
        <w:rPr>
          <w:rFonts w:cstheme="minorHAnsi"/>
          <w:sz w:val="24"/>
          <w:szCs w:val="24"/>
          <w:u w:val="single"/>
        </w:rPr>
        <w:t>This achieves the first principle of an effective CIPR: broadly constant income</w:t>
      </w:r>
      <w:r w:rsidR="009040BE" w:rsidRPr="004C74DB">
        <w:rPr>
          <w:rFonts w:cstheme="minorHAnsi"/>
          <w:sz w:val="24"/>
          <w:szCs w:val="24"/>
        </w:rPr>
        <w:t>.</w:t>
      </w:r>
    </w:p>
    <w:p w14:paraId="562B9117" w14:textId="77777777" w:rsidR="00665CC8" w:rsidRPr="004C74DB" w:rsidRDefault="00665CC8" w:rsidP="004C74DB">
      <w:pPr>
        <w:spacing w:line="360" w:lineRule="auto"/>
        <w:jc w:val="both"/>
        <w:rPr>
          <w:rFonts w:cstheme="minorHAnsi"/>
          <w:sz w:val="24"/>
          <w:szCs w:val="24"/>
        </w:rPr>
      </w:pPr>
    </w:p>
    <w:p w14:paraId="471462E8" w14:textId="5CB56CD5" w:rsidR="009040BE" w:rsidRPr="004C74DB" w:rsidRDefault="00665CC8" w:rsidP="004C74DB">
      <w:pPr>
        <w:spacing w:line="360" w:lineRule="auto"/>
        <w:jc w:val="both"/>
        <w:rPr>
          <w:rFonts w:cstheme="minorHAnsi"/>
          <w:sz w:val="24"/>
          <w:szCs w:val="24"/>
        </w:rPr>
      </w:pPr>
      <w:r w:rsidRPr="004C74DB">
        <w:rPr>
          <w:rFonts w:cstheme="minorHAnsi"/>
          <w:sz w:val="24"/>
          <w:szCs w:val="24"/>
        </w:rPr>
        <w:t>Besides</w:t>
      </w:r>
      <w:r w:rsidR="000426DB" w:rsidRPr="004C74DB">
        <w:rPr>
          <w:rFonts w:cstheme="minorHAnsi"/>
          <w:sz w:val="24"/>
          <w:szCs w:val="24"/>
        </w:rPr>
        <w:t xml:space="preserve"> being simple, liquid, easily traded at very low cost and with low credit risk, SeLFIES can be bequeathed to heirs. </w:t>
      </w:r>
      <w:r w:rsidR="009040BE" w:rsidRPr="004C74DB">
        <w:rPr>
          <w:rFonts w:cstheme="minorHAnsi"/>
          <w:sz w:val="24"/>
          <w:szCs w:val="24"/>
        </w:rPr>
        <w:t>SeLFIES would qualify as a CIPR as they offer total clarity on retirement income that will be earned and hence super statements will be much clearer as they can tell citizens how much retirement income is guaranteed and how many additional bonds need to be purchased to achieve the target goal. Further, since these are liquid TBs/TIBs, individuals have access to capital and can easily change their target retirement income level or even target retirement date with minimal effort.</w:t>
      </w:r>
      <w:r w:rsidR="004C74DB" w:rsidRPr="004C74DB">
        <w:rPr>
          <w:rFonts w:cstheme="minorHAnsi"/>
          <w:sz w:val="24"/>
          <w:szCs w:val="24"/>
        </w:rPr>
        <w:t xml:space="preserve"> </w:t>
      </w:r>
      <w:r w:rsidR="004C74DB" w:rsidRPr="001C336F">
        <w:rPr>
          <w:rFonts w:cstheme="minorHAnsi"/>
          <w:sz w:val="24"/>
          <w:szCs w:val="24"/>
          <w:u w:val="single"/>
        </w:rPr>
        <w:t>This ensures that SeLFIES achieve the third principle of an effective CIPR: access to capital.</w:t>
      </w:r>
    </w:p>
    <w:p w14:paraId="7F50B75F" w14:textId="77777777" w:rsidR="009040BE" w:rsidRPr="004C74DB" w:rsidRDefault="009040BE" w:rsidP="004C74DB">
      <w:pPr>
        <w:spacing w:line="360" w:lineRule="auto"/>
        <w:jc w:val="both"/>
        <w:rPr>
          <w:rFonts w:cstheme="minorHAnsi"/>
          <w:sz w:val="24"/>
          <w:szCs w:val="24"/>
        </w:rPr>
      </w:pPr>
    </w:p>
    <w:p w14:paraId="606A148B" w14:textId="741CFF1F" w:rsidR="000426DB" w:rsidRPr="001C336F" w:rsidRDefault="000426DB" w:rsidP="004C74DB">
      <w:pPr>
        <w:spacing w:line="360" w:lineRule="auto"/>
        <w:jc w:val="both"/>
        <w:rPr>
          <w:rFonts w:cstheme="minorHAnsi"/>
          <w:sz w:val="24"/>
          <w:szCs w:val="24"/>
        </w:rPr>
      </w:pPr>
      <w:r w:rsidRPr="004C74DB">
        <w:rPr>
          <w:rFonts w:cstheme="minorHAnsi"/>
          <w:sz w:val="24"/>
          <w:szCs w:val="24"/>
        </w:rPr>
        <w:t>SeLFIES do not address all issues</w:t>
      </w:r>
      <w:r w:rsidR="001D08B3" w:rsidRPr="004C74DB">
        <w:rPr>
          <w:rFonts w:cstheme="minorHAnsi"/>
          <w:sz w:val="24"/>
          <w:szCs w:val="24"/>
        </w:rPr>
        <w:t>, including</w:t>
      </w:r>
      <w:r w:rsidRPr="004C74DB">
        <w:rPr>
          <w:rFonts w:cstheme="minorHAnsi"/>
          <w:sz w:val="24"/>
          <w:szCs w:val="24"/>
        </w:rPr>
        <w:t xml:space="preserve"> longevity</w:t>
      </w:r>
      <w:r w:rsidR="001D08B3" w:rsidRPr="004C74DB">
        <w:rPr>
          <w:rFonts w:cstheme="minorHAnsi"/>
          <w:sz w:val="24"/>
          <w:szCs w:val="24"/>
        </w:rPr>
        <w:t>,</w:t>
      </w:r>
      <w:r w:rsidRPr="004C74DB">
        <w:rPr>
          <w:rFonts w:cstheme="minorHAnsi"/>
          <w:sz w:val="24"/>
          <w:szCs w:val="24"/>
        </w:rPr>
        <w:t xml:space="preserve"> but go a long way to</w:t>
      </w:r>
      <w:r w:rsidR="00665CC8" w:rsidRPr="004C74DB">
        <w:rPr>
          <w:rFonts w:cstheme="minorHAnsi"/>
          <w:sz w:val="24"/>
          <w:szCs w:val="24"/>
        </w:rPr>
        <w:t>ward</w:t>
      </w:r>
      <w:r w:rsidRPr="004C74DB">
        <w:rPr>
          <w:rFonts w:cstheme="minorHAnsi"/>
          <w:sz w:val="24"/>
          <w:szCs w:val="24"/>
        </w:rPr>
        <w:t xml:space="preserve"> improving retirement</w:t>
      </w:r>
      <w:r w:rsidR="009040BE" w:rsidRPr="004C74DB">
        <w:rPr>
          <w:rFonts w:cstheme="minorHAnsi"/>
          <w:sz w:val="24"/>
          <w:szCs w:val="24"/>
        </w:rPr>
        <w:t xml:space="preserve"> income</w:t>
      </w:r>
      <w:r w:rsidRPr="004C74DB">
        <w:rPr>
          <w:rFonts w:cstheme="minorHAnsi"/>
          <w:sz w:val="24"/>
          <w:szCs w:val="24"/>
        </w:rPr>
        <w:t xml:space="preserve"> security. </w:t>
      </w:r>
      <w:r w:rsidR="009040BE" w:rsidRPr="004C74DB">
        <w:rPr>
          <w:rFonts w:cstheme="minorHAnsi"/>
          <w:sz w:val="24"/>
          <w:szCs w:val="24"/>
        </w:rPr>
        <w:t xml:space="preserve">There is another innovation that would create bonds to hedge longevity risk - which we call LIVE Bonds (Longevity-Indexed Variable Expiration bonds) – but for the interest of brevity we do not discuss it here (and happy to discuss it in more length if there is interest). SeLFIES, by covering the average life expectancy, ensure that poorer individuals who, on average, tend to have lower than average life expectancy are covered for longevity risk. </w:t>
      </w:r>
      <w:r w:rsidR="004C74DB" w:rsidRPr="004C74DB">
        <w:rPr>
          <w:rFonts w:cstheme="minorHAnsi"/>
          <w:sz w:val="24"/>
          <w:szCs w:val="24"/>
        </w:rPr>
        <w:t xml:space="preserve"> In effect, the shorter-lived poorer segments of society are not subsi</w:t>
      </w:r>
      <w:r w:rsidR="00B05F92">
        <w:rPr>
          <w:rFonts w:cstheme="minorHAnsi"/>
          <w:sz w:val="24"/>
          <w:szCs w:val="24"/>
        </w:rPr>
        <w:t>di</w:t>
      </w:r>
      <w:r w:rsidR="004C74DB" w:rsidRPr="004C74DB">
        <w:rPr>
          <w:rFonts w:cstheme="minorHAnsi"/>
          <w:sz w:val="24"/>
          <w:szCs w:val="24"/>
        </w:rPr>
        <w:t xml:space="preserve">zing the richer, longer lived segments of society. </w:t>
      </w:r>
      <w:r w:rsidR="009040BE" w:rsidRPr="004C74DB">
        <w:rPr>
          <w:rFonts w:cstheme="minorHAnsi"/>
          <w:sz w:val="24"/>
          <w:szCs w:val="24"/>
        </w:rPr>
        <w:t>The richer, longer lived participants can purchase deferred annuities today – which are going to be cheaper and easily created by vendors because SeLFIES improve their asset-liability management</w:t>
      </w:r>
      <w:r w:rsidR="001C336F">
        <w:rPr>
          <w:rFonts w:cstheme="minorHAnsi"/>
          <w:sz w:val="24"/>
          <w:szCs w:val="24"/>
        </w:rPr>
        <w:t xml:space="preserve"> and thereby potentially improve the willingness of vendors/insurance companies to offer these deferred annuities</w:t>
      </w:r>
      <w:r w:rsidR="009040BE" w:rsidRPr="004C74DB">
        <w:rPr>
          <w:rFonts w:cstheme="minorHAnsi"/>
          <w:sz w:val="24"/>
          <w:szCs w:val="24"/>
        </w:rPr>
        <w:t>.</w:t>
      </w:r>
      <w:r w:rsidR="004C74DB" w:rsidRPr="004C74DB">
        <w:rPr>
          <w:rFonts w:cstheme="minorHAnsi"/>
          <w:sz w:val="24"/>
          <w:szCs w:val="24"/>
        </w:rPr>
        <w:t xml:space="preserve"> </w:t>
      </w:r>
      <w:r w:rsidR="004C74DB" w:rsidRPr="001C336F">
        <w:rPr>
          <w:rFonts w:cstheme="minorHAnsi"/>
          <w:sz w:val="24"/>
          <w:szCs w:val="24"/>
          <w:u w:val="single"/>
        </w:rPr>
        <w:t>This ensures that SeLFIES can go a long way to achieving the second principle of CIPRs – longevity risk management.</w:t>
      </w:r>
      <w:r w:rsidR="001C336F">
        <w:rPr>
          <w:rFonts w:cstheme="minorHAnsi"/>
          <w:sz w:val="24"/>
          <w:szCs w:val="24"/>
        </w:rPr>
        <w:t xml:space="preserve"> </w:t>
      </w:r>
    </w:p>
    <w:p w14:paraId="60A2F5A1" w14:textId="7EA3E241" w:rsidR="000426DB" w:rsidRDefault="000426DB" w:rsidP="004C74DB">
      <w:pPr>
        <w:spacing w:line="360" w:lineRule="auto"/>
        <w:jc w:val="both"/>
        <w:rPr>
          <w:rFonts w:cstheme="minorHAnsi"/>
          <w:sz w:val="24"/>
          <w:szCs w:val="24"/>
        </w:rPr>
      </w:pPr>
    </w:p>
    <w:p w14:paraId="5E33F0F6" w14:textId="6F45AFDF" w:rsidR="00F36B93" w:rsidRPr="007A6817" w:rsidRDefault="00F36B93" w:rsidP="00F36B93">
      <w:pPr>
        <w:spacing w:line="360" w:lineRule="auto"/>
        <w:jc w:val="both"/>
        <w:rPr>
          <w:rFonts w:cstheme="minorHAnsi"/>
          <w:sz w:val="24"/>
          <w:szCs w:val="24"/>
        </w:rPr>
      </w:pPr>
      <w:r w:rsidRPr="007A6817">
        <w:rPr>
          <w:rFonts w:cstheme="minorHAnsi"/>
          <w:sz w:val="24"/>
          <w:szCs w:val="24"/>
        </w:rPr>
        <w:t xml:space="preserve">Moreover, innovative </w:t>
      </w:r>
      <w:r>
        <w:rPr>
          <w:rFonts w:cstheme="minorHAnsi"/>
          <w:sz w:val="24"/>
          <w:szCs w:val="24"/>
        </w:rPr>
        <w:t>Australian</w:t>
      </w:r>
      <w:r w:rsidRPr="007A6817">
        <w:rPr>
          <w:rFonts w:cstheme="minorHAnsi"/>
          <w:sz w:val="24"/>
          <w:szCs w:val="24"/>
        </w:rPr>
        <w:t xml:space="preserve"> insurance companies and </w:t>
      </w:r>
      <w:r>
        <w:rPr>
          <w:rFonts w:cstheme="minorHAnsi"/>
          <w:sz w:val="24"/>
          <w:szCs w:val="24"/>
        </w:rPr>
        <w:t>super</w:t>
      </w:r>
      <w:r w:rsidRPr="007A6817">
        <w:rPr>
          <w:rFonts w:cstheme="minorHAnsi"/>
          <w:sz w:val="24"/>
          <w:szCs w:val="24"/>
        </w:rPr>
        <w:t>funds could also purchase such bonds to better</w:t>
      </w:r>
      <w:r>
        <w:rPr>
          <w:rFonts w:cstheme="minorHAnsi"/>
          <w:sz w:val="24"/>
          <w:szCs w:val="24"/>
        </w:rPr>
        <w:t xml:space="preserve"> hedge</w:t>
      </w:r>
      <w:r w:rsidRPr="007A6817">
        <w:rPr>
          <w:rFonts w:cstheme="minorHAnsi"/>
          <w:sz w:val="24"/>
          <w:szCs w:val="24"/>
        </w:rPr>
        <w:t xml:space="preserve"> their retail retirement income products – thereby mass-marketing this cash flow profile.</w:t>
      </w:r>
    </w:p>
    <w:p w14:paraId="702BDFC1" w14:textId="77777777" w:rsidR="00F36B93" w:rsidRDefault="00F36B93" w:rsidP="004C74DB">
      <w:pPr>
        <w:spacing w:line="360" w:lineRule="auto"/>
        <w:jc w:val="both"/>
        <w:rPr>
          <w:rFonts w:cstheme="minorHAnsi"/>
          <w:sz w:val="24"/>
          <w:szCs w:val="24"/>
        </w:rPr>
      </w:pPr>
    </w:p>
    <w:p w14:paraId="3C0997E2" w14:textId="4ABDFF13" w:rsidR="00EB1100" w:rsidRPr="00EB1100" w:rsidRDefault="00EB1100" w:rsidP="004C74DB">
      <w:pPr>
        <w:spacing w:line="360" w:lineRule="auto"/>
        <w:jc w:val="both"/>
        <w:rPr>
          <w:rFonts w:cstheme="minorHAnsi"/>
          <w:b/>
          <w:sz w:val="24"/>
          <w:szCs w:val="24"/>
        </w:rPr>
      </w:pPr>
      <w:r w:rsidRPr="00EB1100">
        <w:rPr>
          <w:rFonts w:cstheme="minorHAnsi"/>
          <w:b/>
          <w:sz w:val="24"/>
          <w:szCs w:val="24"/>
        </w:rPr>
        <w:t>Using SeLFIES to Create Flagship CIPRs</w:t>
      </w:r>
    </w:p>
    <w:p w14:paraId="4A61A437" w14:textId="79E20D6E" w:rsidR="00EB1100" w:rsidRDefault="00EB1100" w:rsidP="004C74DB">
      <w:pPr>
        <w:spacing w:line="360" w:lineRule="auto"/>
        <w:jc w:val="both"/>
        <w:rPr>
          <w:rFonts w:cstheme="minorHAnsi"/>
          <w:sz w:val="24"/>
          <w:szCs w:val="24"/>
        </w:rPr>
      </w:pPr>
      <w:r>
        <w:rPr>
          <w:rFonts w:cstheme="minorHAnsi"/>
          <w:sz w:val="24"/>
          <w:szCs w:val="24"/>
        </w:rPr>
        <w:t>In separate research, we have shown how SeLFIES can be combined with other risky assets to create products that can ensure guaranteed retirement income (i.e., the amount invested in SeLFIES) and attempt to raise returns/lower contributions.</w:t>
      </w:r>
      <w:r>
        <w:rPr>
          <w:rStyle w:val="FootnoteReference"/>
          <w:sz w:val="24"/>
          <w:szCs w:val="24"/>
        </w:rPr>
        <w:footnoteReference w:id="5"/>
      </w:r>
      <w:r w:rsidR="001C336F">
        <w:rPr>
          <w:rStyle w:val="FootnoteReference"/>
          <w:sz w:val="24"/>
          <w:szCs w:val="24"/>
        </w:rPr>
        <w:footnoteReference w:id="6"/>
      </w:r>
      <w:r>
        <w:rPr>
          <w:rFonts w:cstheme="minorHAnsi"/>
          <w:sz w:val="24"/>
          <w:szCs w:val="24"/>
        </w:rPr>
        <w:t xml:space="preserve"> Innovative investment operations can be used to dynamically hedge and target a retirement income that a participant might have. Further, safe harbor can be provided to those Flagship CIPRs that achieve the client’s target retirement income, thereby ensuring that safe harbor is based on outcome as opposed to investment process.</w:t>
      </w:r>
      <w:r w:rsidR="003101F8">
        <w:rPr>
          <w:rStyle w:val="FootnoteReference"/>
          <w:sz w:val="24"/>
          <w:szCs w:val="24"/>
        </w:rPr>
        <w:footnoteReference w:id="7"/>
      </w:r>
    </w:p>
    <w:p w14:paraId="787FD9CA" w14:textId="5BD30F0B" w:rsidR="00EB1100" w:rsidRDefault="00EB1100" w:rsidP="004C74DB">
      <w:pPr>
        <w:spacing w:line="360" w:lineRule="auto"/>
        <w:jc w:val="both"/>
        <w:rPr>
          <w:rFonts w:cstheme="minorHAnsi"/>
          <w:sz w:val="24"/>
          <w:szCs w:val="24"/>
        </w:rPr>
      </w:pPr>
    </w:p>
    <w:p w14:paraId="4AF51228" w14:textId="5E291D39" w:rsidR="00EB1100" w:rsidRPr="00EB1100" w:rsidRDefault="00EB1100" w:rsidP="004C74DB">
      <w:pPr>
        <w:spacing w:line="360" w:lineRule="auto"/>
        <w:jc w:val="both"/>
        <w:rPr>
          <w:rFonts w:cstheme="minorHAnsi"/>
          <w:b/>
          <w:sz w:val="24"/>
          <w:szCs w:val="24"/>
        </w:rPr>
      </w:pPr>
      <w:r w:rsidRPr="00EB1100">
        <w:rPr>
          <w:rFonts w:cstheme="minorHAnsi"/>
          <w:b/>
          <w:sz w:val="24"/>
          <w:szCs w:val="24"/>
        </w:rPr>
        <w:t>Summary</w:t>
      </w:r>
    </w:p>
    <w:p w14:paraId="66B61939" w14:textId="14D4408F" w:rsidR="000426DB" w:rsidRPr="004C74DB" w:rsidRDefault="00665CC8" w:rsidP="004C74DB">
      <w:pPr>
        <w:spacing w:line="360" w:lineRule="auto"/>
        <w:jc w:val="both"/>
        <w:rPr>
          <w:rFonts w:cstheme="minorHAnsi"/>
          <w:sz w:val="24"/>
          <w:szCs w:val="24"/>
        </w:rPr>
      </w:pPr>
      <w:r w:rsidRPr="004C74DB">
        <w:rPr>
          <w:rFonts w:cstheme="minorHAnsi"/>
          <w:sz w:val="24"/>
          <w:szCs w:val="24"/>
        </w:rPr>
        <w:t>These securities</w:t>
      </w:r>
      <w:r w:rsidR="000426DB" w:rsidRPr="004C74DB">
        <w:rPr>
          <w:rFonts w:cstheme="minorHAnsi"/>
          <w:sz w:val="24"/>
          <w:szCs w:val="24"/>
        </w:rPr>
        <w:t xml:space="preserve"> are a good deal for governments, too. In fact, governments are the biggest beneficiaries. SeLFIES not only improve retirement outcomes for all defined contribution </w:t>
      </w:r>
      <w:r w:rsidR="001D08B3" w:rsidRPr="004C74DB">
        <w:rPr>
          <w:rFonts w:cstheme="minorHAnsi"/>
          <w:sz w:val="24"/>
          <w:szCs w:val="24"/>
        </w:rPr>
        <w:t xml:space="preserve">(DC) </w:t>
      </w:r>
      <w:r w:rsidR="000426DB" w:rsidRPr="004C74DB">
        <w:rPr>
          <w:rFonts w:cstheme="minorHAnsi"/>
          <w:sz w:val="24"/>
          <w:szCs w:val="24"/>
        </w:rPr>
        <w:t xml:space="preserve">plans, but also have spill-over benefits for </w:t>
      </w:r>
      <w:r w:rsidR="009040BE" w:rsidRPr="004C74DB">
        <w:rPr>
          <w:rFonts w:cstheme="minorHAnsi"/>
          <w:sz w:val="24"/>
          <w:szCs w:val="24"/>
        </w:rPr>
        <w:t>governments</w:t>
      </w:r>
      <w:r w:rsidR="000426DB" w:rsidRPr="004C74DB">
        <w:rPr>
          <w:rFonts w:cstheme="minorHAnsi"/>
          <w:sz w:val="24"/>
          <w:szCs w:val="24"/>
        </w:rPr>
        <w:t>. First,</w:t>
      </w:r>
      <w:r w:rsidR="006535AA" w:rsidRPr="004C74DB">
        <w:rPr>
          <w:rFonts w:cstheme="minorHAnsi"/>
          <w:sz w:val="24"/>
          <w:szCs w:val="24"/>
        </w:rPr>
        <w:t xml:space="preserve"> cash flows from SeLFIES reflect synergistic cash flows for infrastructure spending: namely, large cash flows upfront for capital expenditure, followed by delayed, inflation-indexed revenues, once projects are online. </w:t>
      </w:r>
      <w:r w:rsidR="000426DB" w:rsidRPr="004C74DB">
        <w:rPr>
          <w:rFonts w:cstheme="minorHAnsi"/>
          <w:sz w:val="24"/>
          <w:szCs w:val="24"/>
        </w:rPr>
        <w:t xml:space="preserve">Second, </w:t>
      </w:r>
      <w:r w:rsidR="006535AA" w:rsidRPr="004C74DB">
        <w:rPr>
          <w:rFonts w:cstheme="minorHAnsi"/>
          <w:sz w:val="24"/>
          <w:szCs w:val="24"/>
        </w:rPr>
        <w:t>SeLFIES give governments a natural hedge of revenues against the bonds, through value-added taxes (VATs).</w:t>
      </w:r>
      <w:r w:rsidR="004C74DB" w:rsidRPr="004C74DB">
        <w:rPr>
          <w:rFonts w:cstheme="minorHAnsi"/>
          <w:sz w:val="24"/>
          <w:szCs w:val="24"/>
        </w:rPr>
        <w:t xml:space="preserve"> Australia has </w:t>
      </w:r>
      <w:r w:rsidR="004C74DB" w:rsidRPr="004C74DB">
        <w:rPr>
          <w:rFonts w:cstheme="minorHAnsi"/>
          <w:color w:val="222222"/>
          <w:sz w:val="24"/>
          <w:szCs w:val="24"/>
          <w:shd w:val="clear" w:color="auto" w:fill="FFFFFF"/>
        </w:rPr>
        <w:t xml:space="preserve">a goods and services tax (GST), which is a </w:t>
      </w:r>
      <w:r w:rsidR="004C74DB" w:rsidRPr="003101F8">
        <w:rPr>
          <w:rFonts w:cstheme="minorHAnsi"/>
          <w:bCs/>
          <w:color w:val="222222"/>
          <w:sz w:val="24"/>
          <w:szCs w:val="24"/>
          <w:shd w:val="clear" w:color="auto" w:fill="FFFFFF"/>
        </w:rPr>
        <w:t>value added tax</w:t>
      </w:r>
      <w:r w:rsidR="004C74DB" w:rsidRPr="004C74DB">
        <w:rPr>
          <w:rFonts w:cstheme="minorHAnsi"/>
          <w:color w:val="222222"/>
          <w:sz w:val="24"/>
          <w:szCs w:val="24"/>
          <w:shd w:val="clear" w:color="auto" w:fill="FFFFFF"/>
        </w:rPr>
        <w:t> of 10% on most goods and services sales, with some exemptions (such as for certain food, healthcare and housing items) and concessions (including qualifying long term accommodation which is taxed at an effective rate of 5.5%).</w:t>
      </w:r>
      <w:r w:rsidR="004C74DB" w:rsidRPr="004C74DB">
        <w:rPr>
          <w:rStyle w:val="FootnoteReference"/>
          <w:rFonts w:cstheme="minorHAnsi"/>
          <w:color w:val="222222"/>
          <w:sz w:val="24"/>
          <w:szCs w:val="24"/>
          <w:shd w:val="clear" w:color="auto" w:fill="FFFFFF"/>
        </w:rPr>
        <w:footnoteReference w:id="8"/>
      </w:r>
    </w:p>
    <w:p w14:paraId="5CAEF033" w14:textId="43739CC9" w:rsidR="000426DB" w:rsidRPr="004C74DB" w:rsidRDefault="000426DB" w:rsidP="004C74DB">
      <w:pPr>
        <w:pStyle w:val="Heading1"/>
        <w:spacing w:line="360" w:lineRule="auto"/>
        <w:jc w:val="both"/>
        <w:rPr>
          <w:rFonts w:asciiTheme="minorHAnsi" w:hAnsiTheme="minorHAnsi" w:cstheme="minorHAnsi"/>
          <w:b w:val="0"/>
          <w:sz w:val="24"/>
          <w:szCs w:val="24"/>
        </w:rPr>
      </w:pPr>
      <w:r w:rsidRPr="004C74DB">
        <w:rPr>
          <w:rFonts w:asciiTheme="minorHAnsi" w:hAnsiTheme="minorHAnsi" w:cstheme="minorHAnsi"/>
          <w:b w:val="0"/>
          <w:sz w:val="24"/>
          <w:szCs w:val="24"/>
        </w:rPr>
        <w:t xml:space="preserve">The looming retirement crisis needs to be addressed by timely innovation, because the longer </w:t>
      </w:r>
      <w:r w:rsidR="00665CC8" w:rsidRPr="004C74DB">
        <w:rPr>
          <w:rFonts w:asciiTheme="minorHAnsi" w:hAnsiTheme="minorHAnsi" w:cstheme="minorHAnsi"/>
          <w:b w:val="0"/>
          <w:sz w:val="24"/>
          <w:szCs w:val="24"/>
        </w:rPr>
        <w:t xml:space="preserve">that </w:t>
      </w:r>
      <w:r w:rsidRPr="004C74DB">
        <w:rPr>
          <w:rFonts w:asciiTheme="minorHAnsi" w:hAnsiTheme="minorHAnsi" w:cstheme="minorHAnsi"/>
          <w:b w:val="0"/>
          <w:sz w:val="24"/>
          <w:szCs w:val="24"/>
        </w:rPr>
        <w:t>governments wait, the higher the cost to</w:t>
      </w:r>
      <w:r w:rsidR="00043AEA" w:rsidRPr="004C74DB">
        <w:rPr>
          <w:rFonts w:asciiTheme="minorHAnsi" w:hAnsiTheme="minorHAnsi" w:cstheme="minorHAnsi"/>
          <w:b w:val="0"/>
          <w:sz w:val="24"/>
          <w:szCs w:val="24"/>
        </w:rPr>
        <w:t xml:space="preserve"> the taxpayer. SeLFIES improve retirement security, fund</w:t>
      </w:r>
      <w:r w:rsidRPr="004C74DB">
        <w:rPr>
          <w:rFonts w:asciiTheme="minorHAnsi" w:hAnsiTheme="minorHAnsi" w:cstheme="minorHAnsi"/>
          <w:b w:val="0"/>
          <w:sz w:val="24"/>
          <w:szCs w:val="24"/>
        </w:rPr>
        <w:t xml:space="preserve"> infrastructure </w:t>
      </w:r>
      <w:r w:rsidR="00043AEA" w:rsidRPr="004C74DB">
        <w:rPr>
          <w:rFonts w:asciiTheme="minorHAnsi" w:hAnsiTheme="minorHAnsi" w:cstheme="minorHAnsi"/>
          <w:b w:val="0"/>
          <w:sz w:val="24"/>
          <w:szCs w:val="24"/>
        </w:rPr>
        <w:t xml:space="preserve">and </w:t>
      </w:r>
      <w:r w:rsidRPr="004C74DB">
        <w:rPr>
          <w:rFonts w:asciiTheme="minorHAnsi" w:hAnsiTheme="minorHAnsi" w:cstheme="minorHAnsi"/>
          <w:b w:val="0"/>
          <w:sz w:val="24"/>
          <w:szCs w:val="24"/>
        </w:rPr>
        <w:t>can be created immediatel</w:t>
      </w:r>
      <w:r w:rsidR="00043AEA" w:rsidRPr="004C74DB">
        <w:rPr>
          <w:rFonts w:asciiTheme="minorHAnsi" w:hAnsiTheme="minorHAnsi" w:cstheme="minorHAnsi"/>
          <w:b w:val="0"/>
          <w:sz w:val="24"/>
          <w:szCs w:val="24"/>
        </w:rPr>
        <w:t>y</w:t>
      </w:r>
      <w:r w:rsidR="00665CC8" w:rsidRPr="004C74DB">
        <w:rPr>
          <w:rFonts w:asciiTheme="minorHAnsi" w:hAnsiTheme="minorHAnsi" w:cstheme="minorHAnsi"/>
          <w:b w:val="0"/>
          <w:sz w:val="24"/>
          <w:szCs w:val="24"/>
        </w:rPr>
        <w:t>,</w:t>
      </w:r>
      <w:r w:rsidR="00043AEA" w:rsidRPr="004C74DB">
        <w:rPr>
          <w:rFonts w:asciiTheme="minorHAnsi" w:hAnsiTheme="minorHAnsi" w:cstheme="minorHAnsi"/>
          <w:b w:val="0"/>
          <w:sz w:val="24"/>
          <w:szCs w:val="24"/>
        </w:rPr>
        <w:t xml:space="preserve"> at low cost</w:t>
      </w:r>
      <w:r w:rsidRPr="004C74DB">
        <w:rPr>
          <w:rFonts w:asciiTheme="minorHAnsi" w:hAnsiTheme="minorHAnsi" w:cstheme="minorHAnsi"/>
          <w:b w:val="0"/>
          <w:sz w:val="24"/>
          <w:szCs w:val="24"/>
        </w:rPr>
        <w:t>!</w:t>
      </w:r>
      <w:r w:rsidR="009040BE" w:rsidRPr="004C74DB">
        <w:rPr>
          <w:rFonts w:asciiTheme="minorHAnsi" w:hAnsiTheme="minorHAnsi" w:cstheme="minorHAnsi"/>
          <w:b w:val="0"/>
          <w:sz w:val="24"/>
          <w:szCs w:val="24"/>
        </w:rPr>
        <w:t xml:space="preserve"> They also allow the Australian government to </w:t>
      </w:r>
      <w:r w:rsidR="004C74DB" w:rsidRPr="004C74DB">
        <w:rPr>
          <w:rFonts w:asciiTheme="minorHAnsi" w:hAnsiTheme="minorHAnsi" w:cstheme="minorHAnsi"/>
          <w:b w:val="0"/>
          <w:sz w:val="24"/>
          <w:szCs w:val="24"/>
        </w:rPr>
        <w:t xml:space="preserve">ensure that superannuation trustees can </w:t>
      </w:r>
      <w:r w:rsidR="009040BE" w:rsidRPr="004C74DB">
        <w:rPr>
          <w:rFonts w:asciiTheme="minorHAnsi" w:hAnsiTheme="minorHAnsi" w:cstheme="minorHAnsi"/>
          <w:b w:val="0"/>
          <w:sz w:val="24"/>
          <w:szCs w:val="24"/>
        </w:rPr>
        <w:t>achieve their retirement income convenant</w:t>
      </w:r>
      <w:r w:rsidR="004C74DB" w:rsidRPr="004C74DB">
        <w:rPr>
          <w:rFonts w:asciiTheme="minorHAnsi" w:hAnsiTheme="minorHAnsi" w:cstheme="minorHAnsi"/>
          <w:b w:val="0"/>
          <w:sz w:val="24"/>
          <w:szCs w:val="24"/>
        </w:rPr>
        <w:t xml:space="preserve"> and all the goals of an effective </w:t>
      </w:r>
      <w:r w:rsidR="003101F8">
        <w:rPr>
          <w:rFonts w:asciiTheme="minorHAnsi" w:hAnsiTheme="minorHAnsi" w:cstheme="minorHAnsi"/>
          <w:b w:val="0"/>
          <w:sz w:val="24"/>
          <w:szCs w:val="24"/>
        </w:rPr>
        <w:t xml:space="preserve">and Flagship </w:t>
      </w:r>
      <w:r w:rsidR="004C74DB" w:rsidRPr="004C74DB">
        <w:rPr>
          <w:rFonts w:asciiTheme="minorHAnsi" w:hAnsiTheme="minorHAnsi" w:cstheme="minorHAnsi"/>
          <w:b w:val="0"/>
          <w:sz w:val="24"/>
          <w:szCs w:val="24"/>
        </w:rPr>
        <w:t>CIPR</w:t>
      </w:r>
      <w:r w:rsidR="009040BE" w:rsidRPr="004C74DB">
        <w:rPr>
          <w:rFonts w:asciiTheme="minorHAnsi" w:hAnsiTheme="minorHAnsi" w:cstheme="minorHAnsi"/>
          <w:b w:val="0"/>
          <w:sz w:val="24"/>
          <w:szCs w:val="24"/>
        </w:rPr>
        <w:t>.</w:t>
      </w:r>
    </w:p>
    <w:p w14:paraId="3E41C525" w14:textId="77777777" w:rsidR="003E78F3" w:rsidRPr="001D08B3" w:rsidRDefault="003E78F3" w:rsidP="001D08B3"/>
    <w:sectPr w:rsidR="003E78F3" w:rsidRPr="001D08B3" w:rsidSect="00665C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0C664" w14:textId="77777777" w:rsidR="001065A6" w:rsidRDefault="001065A6" w:rsidP="000A64F8">
      <w:r>
        <w:separator/>
      </w:r>
    </w:p>
  </w:endnote>
  <w:endnote w:type="continuationSeparator" w:id="0">
    <w:p w14:paraId="12E0064C" w14:textId="77777777" w:rsidR="001065A6" w:rsidRDefault="001065A6" w:rsidP="000A64F8">
      <w:r>
        <w:continuationSeparator/>
      </w:r>
    </w:p>
  </w:endnote>
  <w:endnote w:id="1">
    <w:p w14:paraId="7AA8A6BA" w14:textId="52AC6FF0" w:rsidR="00665CC8" w:rsidRDefault="00665CC8" w:rsidP="004C74DB">
      <w:pPr>
        <w:pStyle w:val="EndnoteText"/>
        <w:rPr>
          <w:sz w:val="18"/>
          <w:szCs w:val="18"/>
        </w:rPr>
      </w:pPr>
      <w:r w:rsidRPr="00665CC8">
        <w:rPr>
          <w:rStyle w:val="EndnoteReference"/>
        </w:rPr>
        <w:sym w:font="Symbol" w:char="F02A"/>
      </w:r>
      <w:r w:rsidRPr="0072282A">
        <w:rPr>
          <w:rStyle w:val="bioname"/>
          <w:sz w:val="18"/>
          <w:szCs w:val="18"/>
        </w:rPr>
        <w:t>Robert C. Merton,</w:t>
      </w:r>
      <w:r w:rsidRPr="0072282A">
        <w:rPr>
          <w:sz w:val="18"/>
          <w:szCs w:val="18"/>
        </w:rPr>
        <w:t xml:space="preserve"> </w:t>
      </w:r>
      <w:r>
        <w:rPr>
          <w:sz w:val="18"/>
          <w:szCs w:val="18"/>
        </w:rPr>
        <w:t xml:space="preserve">Ph.D., </w:t>
      </w:r>
      <w:r w:rsidRPr="0072282A">
        <w:rPr>
          <w:sz w:val="18"/>
          <w:szCs w:val="18"/>
        </w:rPr>
        <w:t>recipient of the 1997 Alfred Nobel Memorial Prize in Economic Sciences, is the School of Management Distinguished Professor of Finance at the MIT Sloan School of Management. He is also Resident Scientist at Dimensional Fund Advisors, a global asset management firm</w:t>
      </w:r>
      <w:r>
        <w:rPr>
          <w:sz w:val="18"/>
          <w:szCs w:val="18"/>
        </w:rPr>
        <w:t xml:space="preserve"> headquartered in Texas</w:t>
      </w:r>
      <w:r w:rsidRPr="0072282A">
        <w:rPr>
          <w:sz w:val="18"/>
          <w:szCs w:val="18"/>
        </w:rPr>
        <w:t>, and University Professor Emeritus at Harvard University. Arun Muralidhar, Ph</w:t>
      </w:r>
      <w:r>
        <w:rPr>
          <w:sz w:val="18"/>
          <w:szCs w:val="18"/>
        </w:rPr>
        <w:t>.</w:t>
      </w:r>
      <w:r w:rsidRPr="0072282A">
        <w:rPr>
          <w:sz w:val="18"/>
          <w:szCs w:val="18"/>
        </w:rPr>
        <w:t>D</w:t>
      </w:r>
      <w:r>
        <w:rPr>
          <w:sz w:val="18"/>
          <w:szCs w:val="18"/>
        </w:rPr>
        <w:t>.</w:t>
      </w:r>
      <w:r w:rsidRPr="0072282A">
        <w:rPr>
          <w:sz w:val="18"/>
          <w:szCs w:val="18"/>
        </w:rPr>
        <w:t>, is adjunct professor of finance at George Washington University, Academic Scholar Advisor at the Center for Retirement Initiatives at Georgetown University, as well as founder of M</w:t>
      </w:r>
      <w:r w:rsidRPr="0072282A">
        <w:rPr>
          <w:sz w:val="18"/>
          <w:szCs w:val="18"/>
          <w:vertAlign w:val="superscript"/>
        </w:rPr>
        <w:t>cube</w:t>
      </w:r>
      <w:r w:rsidRPr="0072282A">
        <w:rPr>
          <w:sz w:val="18"/>
          <w:szCs w:val="18"/>
        </w:rPr>
        <w:t xml:space="preserve"> Investment Technologies and AlphaEngine Global Investment Solutions. He has served as a consultant to Overture Financial (consultant to California’s Secure Choice Board)</w:t>
      </w:r>
      <w:r>
        <w:rPr>
          <w:sz w:val="18"/>
          <w:szCs w:val="18"/>
        </w:rPr>
        <w:t xml:space="preserve"> and has authored a new manuscript, “Fifty States of Grey: An Innovative Solution to the DC Retirement Crisis.” These are the personal views of the authors and do not reflect the views of any of the organizations or universities with which they are associated.</w:t>
      </w:r>
    </w:p>
    <w:p w14:paraId="67219733" w14:textId="77777777" w:rsidR="006C1032" w:rsidRDefault="006C1032" w:rsidP="004C74DB">
      <w:pPr>
        <w:pStyle w:val="EndnoteText"/>
        <w:rPr>
          <w:sz w:val="18"/>
          <w:szCs w:val="18"/>
        </w:rPr>
      </w:pPr>
    </w:p>
    <w:p w14:paraId="0EB26163" w14:textId="77777777" w:rsidR="006C1032" w:rsidRDefault="006C1032" w:rsidP="004C74DB">
      <w:pPr>
        <w:pStyle w:val="EndnoteText"/>
        <w:rPr>
          <w:sz w:val="18"/>
          <w:szCs w:val="18"/>
        </w:rPr>
      </w:pPr>
    </w:p>
    <w:p w14:paraId="6C4ECEFB" w14:textId="51DE1AEC" w:rsidR="006C1032" w:rsidRPr="0072282A" w:rsidRDefault="006C1032" w:rsidP="004C74DB">
      <w:pPr>
        <w:pStyle w:val="EndnoteText"/>
        <w:rPr>
          <w:sz w:val="18"/>
          <w:szCs w:val="18"/>
        </w:rPr>
      </w:pPr>
      <w:r w:rsidRPr="006C1032">
        <w:rPr>
          <w:rFonts w:ascii="Calibri" w:eastAsia="Times New Roman" w:hAnsi="Calibri" w:cs="Times New Roman"/>
          <w:i/>
          <w:color w:val="000000"/>
          <w:sz w:val="22"/>
          <w:szCs w:val="24"/>
        </w:rPr>
        <w:t>This feature is to provide general information only, does not constitute legal or tax advice, and cannot be used or substituted for legal or tax advice. Any opinions of the author do not necessarily reflect the stance of Strategic Insight or its affiliates.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cher Book">
    <w:altName w:val="Archer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7DC51" w14:textId="77777777" w:rsidR="001065A6" w:rsidRDefault="001065A6" w:rsidP="000A64F8">
      <w:r>
        <w:separator/>
      </w:r>
    </w:p>
  </w:footnote>
  <w:footnote w:type="continuationSeparator" w:id="0">
    <w:p w14:paraId="44EF6C67" w14:textId="77777777" w:rsidR="001065A6" w:rsidRDefault="001065A6" w:rsidP="000A64F8">
      <w:r>
        <w:continuationSeparator/>
      </w:r>
    </w:p>
  </w:footnote>
  <w:footnote w:id="1">
    <w:p w14:paraId="52C5A623" w14:textId="2471FAC9" w:rsidR="00C45481" w:rsidRDefault="00C45481">
      <w:pPr>
        <w:pStyle w:val="FootnoteText"/>
      </w:pPr>
      <w:r>
        <w:rPr>
          <w:rStyle w:val="FootnoteReference"/>
        </w:rPr>
        <w:footnoteRef/>
      </w:r>
      <w:r>
        <w:t xml:space="preserve"> For the background on these instruments, see the following articles/papers: </w:t>
      </w:r>
      <w:hyperlink r:id="rId1" w:history="1">
        <w:r w:rsidRPr="00D02886">
          <w:rPr>
            <w:rStyle w:val="Hyperlink"/>
          </w:rPr>
          <w:t>https://www.ipe.com/analysis/analysis/research-an-inventive-retirement-solution/10013503.article</w:t>
        </w:r>
      </w:hyperlink>
      <w:r>
        <w:t xml:space="preserve">; </w:t>
      </w:r>
      <w:hyperlink r:id="rId2" w:history="1">
        <w:r w:rsidR="001C336F" w:rsidRPr="00D02886">
          <w:rPr>
            <w:rStyle w:val="Hyperlink"/>
          </w:rPr>
          <w:t>https://papers.ssrn.com/sol3/papers.cfm?abstract_id=2880002</w:t>
        </w:r>
      </w:hyperlink>
      <w:r w:rsidR="001C336F">
        <w:t xml:space="preserve">; </w:t>
      </w:r>
      <w:hyperlink r:id="rId3" w:history="1">
        <w:r w:rsidR="001C336F" w:rsidRPr="00D02886">
          <w:rPr>
            <w:rStyle w:val="Hyperlink"/>
          </w:rPr>
          <w:t>https://www.ipe.com/reports/special-reports/ipe-at-20/ipe-at-20-time-for-retirement-selfies/10018263.article</w:t>
        </w:r>
      </w:hyperlink>
      <w:r w:rsidR="001C336F">
        <w:t xml:space="preserve">; </w:t>
      </w:r>
      <w:hyperlink r:id="rId4" w:history="1">
        <w:r w:rsidR="001C336F" w:rsidRPr="00D02886">
          <w:rPr>
            <w:rStyle w:val="Hyperlink"/>
          </w:rPr>
          <w:t>https://www.plansponsor.com/selfies-can-improve-nations-retirement-security/</w:t>
        </w:r>
      </w:hyperlink>
      <w:r w:rsidR="001C336F">
        <w:t xml:space="preserve">; </w:t>
      </w:r>
    </w:p>
  </w:footnote>
  <w:footnote w:id="2">
    <w:p w14:paraId="35CA0AD4" w14:textId="7F215B06" w:rsidR="00921F4C" w:rsidRDefault="00921F4C">
      <w:pPr>
        <w:pStyle w:val="FootnoteText"/>
      </w:pPr>
      <w:r>
        <w:rPr>
          <w:rStyle w:val="FootnoteReference"/>
        </w:rPr>
        <w:footnoteRef/>
      </w:r>
      <w:r>
        <w:t xml:space="preserve"> </w:t>
      </w:r>
      <w:r w:rsidRPr="00921F4C">
        <w:t>https://www.superguide.com.au/boost-your-superannuation/comfortable-retirement-how-much-super-need#2</w:t>
      </w:r>
    </w:p>
  </w:footnote>
  <w:footnote w:id="3">
    <w:p w14:paraId="76F5D69B" w14:textId="15BC6EA7" w:rsidR="00921F4C" w:rsidRDefault="00921F4C">
      <w:pPr>
        <w:pStyle w:val="FootnoteText"/>
      </w:pPr>
      <w:r>
        <w:rPr>
          <w:rStyle w:val="FootnoteReference"/>
        </w:rPr>
        <w:footnoteRef/>
      </w:r>
      <w:r>
        <w:t xml:space="preserve"> </w:t>
      </w:r>
      <w:r w:rsidRPr="00921F4C">
        <w:t>https://www.superguide.com.au/boost-your-superannuation/latest-data-find-out-how-long-you-can-expect-to-live</w:t>
      </w:r>
    </w:p>
  </w:footnote>
  <w:footnote w:id="4">
    <w:p w14:paraId="2181430E" w14:textId="4E832772" w:rsidR="001C336F" w:rsidRDefault="001C336F">
      <w:pPr>
        <w:pStyle w:val="FootnoteText"/>
      </w:pPr>
      <w:r>
        <w:rPr>
          <w:rStyle w:val="FootnoteReference"/>
        </w:rPr>
        <w:footnoteRef/>
      </w:r>
      <w:r>
        <w:t xml:space="preserve"> This is shown most clearly in the following paper: </w:t>
      </w:r>
      <w:hyperlink r:id="rId5" w:history="1">
        <w:r w:rsidRPr="00D02886">
          <w:rPr>
            <w:rStyle w:val="Hyperlink"/>
          </w:rPr>
          <w:t>https://papers.ssrn.com/sol3/papers.cfm?abstract_id=3148747</w:t>
        </w:r>
      </w:hyperlink>
      <w:r>
        <w:t xml:space="preserve">. </w:t>
      </w:r>
    </w:p>
  </w:footnote>
  <w:footnote w:id="5">
    <w:p w14:paraId="4E7FB85E" w14:textId="09074A03" w:rsidR="00EB1100" w:rsidRDefault="00EB1100">
      <w:pPr>
        <w:pStyle w:val="FootnoteText"/>
      </w:pPr>
      <w:r>
        <w:rPr>
          <w:rStyle w:val="FootnoteReference"/>
        </w:rPr>
        <w:footnoteRef/>
      </w:r>
      <w:r>
        <w:t xml:space="preserve"> </w:t>
      </w:r>
      <w:hyperlink r:id="rId6" w:history="1">
        <w:r w:rsidRPr="00D02886">
          <w:rPr>
            <w:rStyle w:val="Hyperlink"/>
          </w:rPr>
          <w:t>https://papers.ssrn.com/sol3/papers.cfm?abstract_id=3148747</w:t>
        </w:r>
      </w:hyperlink>
    </w:p>
    <w:p w14:paraId="3CDCF540" w14:textId="27AB7E39" w:rsidR="00EB1100" w:rsidRDefault="00EB1100">
      <w:pPr>
        <w:pStyle w:val="FootnoteText"/>
      </w:pPr>
      <w:r w:rsidRPr="00EB1100">
        <w:t>http://www.prweb.com/releases/2018/05/prweb15464562.htm</w:t>
      </w:r>
    </w:p>
  </w:footnote>
  <w:footnote w:id="6">
    <w:p w14:paraId="620CFA8F" w14:textId="4C0CD97B" w:rsidR="001C336F" w:rsidRPr="001C336F" w:rsidRDefault="001C336F">
      <w:pPr>
        <w:pStyle w:val="FootnoteText"/>
      </w:pPr>
      <w:r w:rsidRPr="001C336F">
        <w:rPr>
          <w:rStyle w:val="FootnoteReference"/>
        </w:rPr>
        <w:footnoteRef/>
      </w:r>
      <w:r w:rsidRPr="001C336F">
        <w:t xml:space="preserve"> See also Merton, R.C.</w:t>
      </w:r>
      <w:r w:rsidRPr="001C336F">
        <w:rPr>
          <w:rFonts w:cs="Archer Book"/>
          <w:color w:val="000000"/>
        </w:rPr>
        <w:t xml:space="preserve"> 2012. Funding Retirement: Next Generation Design. JASSA </w:t>
      </w:r>
      <w:r w:rsidRPr="001C336F">
        <w:rPr>
          <w:rFonts w:cs="Archer Book"/>
          <w:i/>
          <w:iCs/>
          <w:color w:val="000000"/>
        </w:rPr>
        <w:t xml:space="preserve">Finsia Journal of Applied Finance </w:t>
      </w:r>
      <w:r w:rsidRPr="001C336F">
        <w:rPr>
          <w:rFonts w:cs="Archer Book"/>
          <w:color w:val="000000"/>
        </w:rPr>
        <w:t>vol. 2012, no. 4 (winter): 6–11.</w:t>
      </w:r>
    </w:p>
  </w:footnote>
  <w:footnote w:id="7">
    <w:p w14:paraId="702A3097" w14:textId="7A10FB4B" w:rsidR="003101F8" w:rsidRPr="003101F8" w:rsidRDefault="003101F8">
      <w:pPr>
        <w:pStyle w:val="FootnoteText"/>
      </w:pPr>
      <w:r>
        <w:rPr>
          <w:rStyle w:val="FootnoteReference"/>
        </w:rPr>
        <w:footnoteRef/>
      </w:r>
      <w:r>
        <w:t xml:space="preserve"> This is discussed in more detail in Muralidhar, A. 2018. Fifty States of Gray: An Innovative Solution to the Looming DC Retirement Crisis. </w:t>
      </w:r>
      <w:r>
        <w:rPr>
          <w:i/>
        </w:rPr>
        <w:t xml:space="preserve">Investments and Wealth Institute, </w:t>
      </w:r>
      <w:r>
        <w:t>Denver, CO.</w:t>
      </w:r>
    </w:p>
  </w:footnote>
  <w:footnote w:id="8">
    <w:p w14:paraId="5997BD4A" w14:textId="27E47A8F" w:rsidR="004C74DB" w:rsidRDefault="004C74DB">
      <w:pPr>
        <w:pStyle w:val="FootnoteText"/>
      </w:pPr>
      <w:r>
        <w:rPr>
          <w:rStyle w:val="FootnoteReference"/>
        </w:rPr>
        <w:footnoteRef/>
      </w:r>
      <w:r>
        <w:t xml:space="preserve"> </w:t>
      </w:r>
      <w:r w:rsidRPr="004C74DB">
        <w:t>https://en.wikipedia.org/wiki/Goods_and_services_tax_(Australia)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DB"/>
    <w:rsid w:val="000272DD"/>
    <w:rsid w:val="000426DB"/>
    <w:rsid w:val="00043AEA"/>
    <w:rsid w:val="00073ACC"/>
    <w:rsid w:val="000A64F8"/>
    <w:rsid w:val="001065A6"/>
    <w:rsid w:val="001B5099"/>
    <w:rsid w:val="001C336F"/>
    <w:rsid w:val="001D08B3"/>
    <w:rsid w:val="00202A26"/>
    <w:rsid w:val="00250961"/>
    <w:rsid w:val="003101F8"/>
    <w:rsid w:val="003E78F3"/>
    <w:rsid w:val="004720CD"/>
    <w:rsid w:val="004A0DA0"/>
    <w:rsid w:val="004C74DB"/>
    <w:rsid w:val="00535E15"/>
    <w:rsid w:val="00614FFC"/>
    <w:rsid w:val="006535AA"/>
    <w:rsid w:val="00665CC8"/>
    <w:rsid w:val="00675FEB"/>
    <w:rsid w:val="006C1032"/>
    <w:rsid w:val="007C4053"/>
    <w:rsid w:val="009040BE"/>
    <w:rsid w:val="00921F4C"/>
    <w:rsid w:val="009976A7"/>
    <w:rsid w:val="00A04FD2"/>
    <w:rsid w:val="00A853C6"/>
    <w:rsid w:val="00AD5AB5"/>
    <w:rsid w:val="00AE252C"/>
    <w:rsid w:val="00AF0D21"/>
    <w:rsid w:val="00B05F92"/>
    <w:rsid w:val="00C45481"/>
    <w:rsid w:val="00C65321"/>
    <w:rsid w:val="00CC433B"/>
    <w:rsid w:val="00CE40DD"/>
    <w:rsid w:val="00D44699"/>
    <w:rsid w:val="00D66AE5"/>
    <w:rsid w:val="00DE0F77"/>
    <w:rsid w:val="00E31E45"/>
    <w:rsid w:val="00EB1100"/>
    <w:rsid w:val="00F3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DB"/>
    <w:pPr>
      <w:spacing w:after="0" w:line="240" w:lineRule="auto"/>
    </w:pPr>
  </w:style>
  <w:style w:type="paragraph" w:styleId="Heading1">
    <w:name w:val="heading 1"/>
    <w:basedOn w:val="Normal"/>
    <w:link w:val="Heading1Char"/>
    <w:uiPriority w:val="9"/>
    <w:qFormat/>
    <w:rsid w:val="000426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D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rsid w:val="000A64F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A64F8"/>
    <w:rPr>
      <w:rFonts w:ascii="Calibri" w:eastAsia="Calibri" w:hAnsi="Calibri" w:cs="Times New Roman"/>
      <w:sz w:val="20"/>
      <w:szCs w:val="20"/>
    </w:rPr>
  </w:style>
  <w:style w:type="character" w:styleId="FootnoteReference">
    <w:name w:val="footnote reference"/>
    <w:basedOn w:val="DefaultParagraphFont"/>
    <w:rsid w:val="000A64F8"/>
    <w:rPr>
      <w:rFonts w:cs="Times New Roman"/>
      <w:vertAlign w:val="superscript"/>
    </w:rPr>
  </w:style>
  <w:style w:type="character" w:customStyle="1" w:styleId="bioname">
    <w:name w:val="bioname"/>
    <w:basedOn w:val="DefaultParagraphFont"/>
    <w:rsid w:val="000A64F8"/>
  </w:style>
  <w:style w:type="character" w:styleId="Hyperlink">
    <w:name w:val="Hyperlink"/>
    <w:basedOn w:val="DefaultParagraphFont"/>
    <w:uiPriority w:val="99"/>
    <w:unhideWhenUsed/>
    <w:rsid w:val="007C4053"/>
    <w:rPr>
      <w:color w:val="0000FF" w:themeColor="hyperlink"/>
      <w:u w:val="single"/>
    </w:rPr>
  </w:style>
  <w:style w:type="character" w:customStyle="1" w:styleId="st">
    <w:name w:val="st"/>
    <w:basedOn w:val="DefaultParagraphFont"/>
    <w:rsid w:val="001D08B3"/>
  </w:style>
  <w:style w:type="character" w:styleId="CommentReference">
    <w:name w:val="annotation reference"/>
    <w:basedOn w:val="DefaultParagraphFont"/>
    <w:uiPriority w:val="99"/>
    <w:semiHidden/>
    <w:unhideWhenUsed/>
    <w:rsid w:val="001D08B3"/>
    <w:rPr>
      <w:sz w:val="16"/>
      <w:szCs w:val="16"/>
    </w:rPr>
  </w:style>
  <w:style w:type="paragraph" w:styleId="CommentText">
    <w:name w:val="annotation text"/>
    <w:basedOn w:val="Normal"/>
    <w:link w:val="CommentTextChar"/>
    <w:uiPriority w:val="99"/>
    <w:semiHidden/>
    <w:unhideWhenUsed/>
    <w:rsid w:val="001D08B3"/>
    <w:rPr>
      <w:sz w:val="20"/>
      <w:szCs w:val="20"/>
    </w:rPr>
  </w:style>
  <w:style w:type="character" w:customStyle="1" w:styleId="CommentTextChar">
    <w:name w:val="Comment Text Char"/>
    <w:basedOn w:val="DefaultParagraphFont"/>
    <w:link w:val="CommentText"/>
    <w:uiPriority w:val="99"/>
    <w:semiHidden/>
    <w:rsid w:val="001D08B3"/>
    <w:rPr>
      <w:sz w:val="20"/>
      <w:szCs w:val="20"/>
    </w:rPr>
  </w:style>
  <w:style w:type="paragraph" w:styleId="CommentSubject">
    <w:name w:val="annotation subject"/>
    <w:basedOn w:val="CommentText"/>
    <w:next w:val="CommentText"/>
    <w:link w:val="CommentSubjectChar"/>
    <w:uiPriority w:val="99"/>
    <w:semiHidden/>
    <w:unhideWhenUsed/>
    <w:rsid w:val="001D08B3"/>
    <w:rPr>
      <w:b/>
      <w:bCs/>
    </w:rPr>
  </w:style>
  <w:style w:type="character" w:customStyle="1" w:styleId="CommentSubjectChar">
    <w:name w:val="Comment Subject Char"/>
    <w:basedOn w:val="CommentTextChar"/>
    <w:link w:val="CommentSubject"/>
    <w:uiPriority w:val="99"/>
    <w:semiHidden/>
    <w:rsid w:val="001D08B3"/>
    <w:rPr>
      <w:b/>
      <w:bCs/>
      <w:sz w:val="20"/>
      <w:szCs w:val="20"/>
    </w:rPr>
  </w:style>
  <w:style w:type="paragraph" w:styleId="BalloonText">
    <w:name w:val="Balloon Text"/>
    <w:basedOn w:val="Normal"/>
    <w:link w:val="BalloonTextChar"/>
    <w:uiPriority w:val="99"/>
    <w:semiHidden/>
    <w:unhideWhenUsed/>
    <w:rsid w:val="001D08B3"/>
    <w:rPr>
      <w:rFonts w:ascii="Tahoma" w:hAnsi="Tahoma" w:cs="Tahoma"/>
      <w:sz w:val="16"/>
      <w:szCs w:val="16"/>
    </w:rPr>
  </w:style>
  <w:style w:type="character" w:customStyle="1" w:styleId="BalloonTextChar">
    <w:name w:val="Balloon Text Char"/>
    <w:basedOn w:val="DefaultParagraphFont"/>
    <w:link w:val="BalloonText"/>
    <w:uiPriority w:val="99"/>
    <w:semiHidden/>
    <w:rsid w:val="001D08B3"/>
    <w:rPr>
      <w:rFonts w:ascii="Tahoma" w:hAnsi="Tahoma" w:cs="Tahoma"/>
      <w:sz w:val="16"/>
      <w:szCs w:val="16"/>
    </w:rPr>
  </w:style>
  <w:style w:type="paragraph" w:styleId="EndnoteText">
    <w:name w:val="endnote text"/>
    <w:basedOn w:val="Normal"/>
    <w:link w:val="EndnoteTextChar"/>
    <w:uiPriority w:val="99"/>
    <w:semiHidden/>
    <w:unhideWhenUsed/>
    <w:rsid w:val="00665CC8"/>
    <w:rPr>
      <w:sz w:val="20"/>
      <w:szCs w:val="20"/>
    </w:rPr>
  </w:style>
  <w:style w:type="character" w:customStyle="1" w:styleId="EndnoteTextChar">
    <w:name w:val="Endnote Text Char"/>
    <w:basedOn w:val="DefaultParagraphFont"/>
    <w:link w:val="EndnoteText"/>
    <w:uiPriority w:val="99"/>
    <w:semiHidden/>
    <w:rsid w:val="00665CC8"/>
    <w:rPr>
      <w:sz w:val="20"/>
      <w:szCs w:val="20"/>
    </w:rPr>
  </w:style>
  <w:style w:type="character" w:styleId="EndnoteReference">
    <w:name w:val="endnote reference"/>
    <w:basedOn w:val="DefaultParagraphFont"/>
    <w:uiPriority w:val="99"/>
    <w:semiHidden/>
    <w:unhideWhenUsed/>
    <w:rsid w:val="00665CC8"/>
    <w:rPr>
      <w:vertAlign w:val="superscript"/>
    </w:rPr>
  </w:style>
  <w:style w:type="paragraph" w:customStyle="1" w:styleId="Default">
    <w:name w:val="Default"/>
    <w:rsid w:val="001B5099"/>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EB110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DB"/>
    <w:pPr>
      <w:spacing w:after="0" w:line="240" w:lineRule="auto"/>
    </w:pPr>
  </w:style>
  <w:style w:type="paragraph" w:styleId="Heading1">
    <w:name w:val="heading 1"/>
    <w:basedOn w:val="Normal"/>
    <w:link w:val="Heading1Char"/>
    <w:uiPriority w:val="9"/>
    <w:qFormat/>
    <w:rsid w:val="000426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D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rsid w:val="000A64F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A64F8"/>
    <w:rPr>
      <w:rFonts w:ascii="Calibri" w:eastAsia="Calibri" w:hAnsi="Calibri" w:cs="Times New Roman"/>
      <w:sz w:val="20"/>
      <w:szCs w:val="20"/>
    </w:rPr>
  </w:style>
  <w:style w:type="character" w:styleId="FootnoteReference">
    <w:name w:val="footnote reference"/>
    <w:basedOn w:val="DefaultParagraphFont"/>
    <w:rsid w:val="000A64F8"/>
    <w:rPr>
      <w:rFonts w:cs="Times New Roman"/>
      <w:vertAlign w:val="superscript"/>
    </w:rPr>
  </w:style>
  <w:style w:type="character" w:customStyle="1" w:styleId="bioname">
    <w:name w:val="bioname"/>
    <w:basedOn w:val="DefaultParagraphFont"/>
    <w:rsid w:val="000A64F8"/>
  </w:style>
  <w:style w:type="character" w:styleId="Hyperlink">
    <w:name w:val="Hyperlink"/>
    <w:basedOn w:val="DefaultParagraphFont"/>
    <w:uiPriority w:val="99"/>
    <w:unhideWhenUsed/>
    <w:rsid w:val="007C4053"/>
    <w:rPr>
      <w:color w:val="0000FF" w:themeColor="hyperlink"/>
      <w:u w:val="single"/>
    </w:rPr>
  </w:style>
  <w:style w:type="character" w:customStyle="1" w:styleId="st">
    <w:name w:val="st"/>
    <w:basedOn w:val="DefaultParagraphFont"/>
    <w:rsid w:val="001D08B3"/>
  </w:style>
  <w:style w:type="character" w:styleId="CommentReference">
    <w:name w:val="annotation reference"/>
    <w:basedOn w:val="DefaultParagraphFont"/>
    <w:uiPriority w:val="99"/>
    <w:semiHidden/>
    <w:unhideWhenUsed/>
    <w:rsid w:val="001D08B3"/>
    <w:rPr>
      <w:sz w:val="16"/>
      <w:szCs w:val="16"/>
    </w:rPr>
  </w:style>
  <w:style w:type="paragraph" w:styleId="CommentText">
    <w:name w:val="annotation text"/>
    <w:basedOn w:val="Normal"/>
    <w:link w:val="CommentTextChar"/>
    <w:uiPriority w:val="99"/>
    <w:semiHidden/>
    <w:unhideWhenUsed/>
    <w:rsid w:val="001D08B3"/>
    <w:rPr>
      <w:sz w:val="20"/>
      <w:szCs w:val="20"/>
    </w:rPr>
  </w:style>
  <w:style w:type="character" w:customStyle="1" w:styleId="CommentTextChar">
    <w:name w:val="Comment Text Char"/>
    <w:basedOn w:val="DefaultParagraphFont"/>
    <w:link w:val="CommentText"/>
    <w:uiPriority w:val="99"/>
    <w:semiHidden/>
    <w:rsid w:val="001D08B3"/>
    <w:rPr>
      <w:sz w:val="20"/>
      <w:szCs w:val="20"/>
    </w:rPr>
  </w:style>
  <w:style w:type="paragraph" w:styleId="CommentSubject">
    <w:name w:val="annotation subject"/>
    <w:basedOn w:val="CommentText"/>
    <w:next w:val="CommentText"/>
    <w:link w:val="CommentSubjectChar"/>
    <w:uiPriority w:val="99"/>
    <w:semiHidden/>
    <w:unhideWhenUsed/>
    <w:rsid w:val="001D08B3"/>
    <w:rPr>
      <w:b/>
      <w:bCs/>
    </w:rPr>
  </w:style>
  <w:style w:type="character" w:customStyle="1" w:styleId="CommentSubjectChar">
    <w:name w:val="Comment Subject Char"/>
    <w:basedOn w:val="CommentTextChar"/>
    <w:link w:val="CommentSubject"/>
    <w:uiPriority w:val="99"/>
    <w:semiHidden/>
    <w:rsid w:val="001D08B3"/>
    <w:rPr>
      <w:b/>
      <w:bCs/>
      <w:sz w:val="20"/>
      <w:szCs w:val="20"/>
    </w:rPr>
  </w:style>
  <w:style w:type="paragraph" w:styleId="BalloonText">
    <w:name w:val="Balloon Text"/>
    <w:basedOn w:val="Normal"/>
    <w:link w:val="BalloonTextChar"/>
    <w:uiPriority w:val="99"/>
    <w:semiHidden/>
    <w:unhideWhenUsed/>
    <w:rsid w:val="001D08B3"/>
    <w:rPr>
      <w:rFonts w:ascii="Tahoma" w:hAnsi="Tahoma" w:cs="Tahoma"/>
      <w:sz w:val="16"/>
      <w:szCs w:val="16"/>
    </w:rPr>
  </w:style>
  <w:style w:type="character" w:customStyle="1" w:styleId="BalloonTextChar">
    <w:name w:val="Balloon Text Char"/>
    <w:basedOn w:val="DefaultParagraphFont"/>
    <w:link w:val="BalloonText"/>
    <w:uiPriority w:val="99"/>
    <w:semiHidden/>
    <w:rsid w:val="001D08B3"/>
    <w:rPr>
      <w:rFonts w:ascii="Tahoma" w:hAnsi="Tahoma" w:cs="Tahoma"/>
      <w:sz w:val="16"/>
      <w:szCs w:val="16"/>
    </w:rPr>
  </w:style>
  <w:style w:type="paragraph" w:styleId="EndnoteText">
    <w:name w:val="endnote text"/>
    <w:basedOn w:val="Normal"/>
    <w:link w:val="EndnoteTextChar"/>
    <w:uiPriority w:val="99"/>
    <w:semiHidden/>
    <w:unhideWhenUsed/>
    <w:rsid w:val="00665CC8"/>
    <w:rPr>
      <w:sz w:val="20"/>
      <w:szCs w:val="20"/>
    </w:rPr>
  </w:style>
  <w:style w:type="character" w:customStyle="1" w:styleId="EndnoteTextChar">
    <w:name w:val="Endnote Text Char"/>
    <w:basedOn w:val="DefaultParagraphFont"/>
    <w:link w:val="EndnoteText"/>
    <w:uiPriority w:val="99"/>
    <w:semiHidden/>
    <w:rsid w:val="00665CC8"/>
    <w:rPr>
      <w:sz w:val="20"/>
      <w:szCs w:val="20"/>
    </w:rPr>
  </w:style>
  <w:style w:type="character" w:styleId="EndnoteReference">
    <w:name w:val="endnote reference"/>
    <w:basedOn w:val="DefaultParagraphFont"/>
    <w:uiPriority w:val="99"/>
    <w:semiHidden/>
    <w:unhideWhenUsed/>
    <w:rsid w:val="00665CC8"/>
    <w:rPr>
      <w:vertAlign w:val="superscript"/>
    </w:rPr>
  </w:style>
  <w:style w:type="paragraph" w:customStyle="1" w:styleId="Default">
    <w:name w:val="Default"/>
    <w:rsid w:val="001B5099"/>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EB11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www.ipe.com/reports/special-reports/ipe-at-20/ipe-at-20-time-for-retirement-selfies/10018263.article" TargetMode="External"/><Relationship Id="rId2" Type="http://schemas.openxmlformats.org/officeDocument/2006/relationships/hyperlink" Target="https://papers.ssrn.com/sol3/papers.cfm?abstract_id=2880002" TargetMode="External"/><Relationship Id="rId1" Type="http://schemas.openxmlformats.org/officeDocument/2006/relationships/hyperlink" Target="https://www.ipe.com/analysis/analysis/research-an-inventive-retirement-solution/10013503.article" TargetMode="External"/><Relationship Id="rId6" Type="http://schemas.openxmlformats.org/officeDocument/2006/relationships/hyperlink" Target="https://papers.ssrn.com/sol3/papers.cfm?abstract_id=3148747" TargetMode="External"/><Relationship Id="rId5" Type="http://schemas.openxmlformats.org/officeDocument/2006/relationships/hyperlink" Target="https://papers.ssrn.com/sol3/papers.cfm?abstract_id=3148747" TargetMode="External"/><Relationship Id="rId4" Type="http://schemas.openxmlformats.org/officeDocument/2006/relationships/hyperlink" Target="https://www.plansponsor.com/selfies-can-improve-nations-retirement-security/"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https://d.docs.live.net/4ae5fadace20dcfa/Relative%20Asset%20Pricing%20Model%20Book/The%20Case%20for%20FSBs/SeLFIES/Australia/Chart%20for%20Australia%20SeLFIES%20article.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https://d.docs.live.net/4ae5fadace20dcfa/Relative%20Asset%20Pricing%20Model%20Book/The%20Case%20for%20FSBs/SeLFIES/Australia/Chart%20for%20Australia%20SeLFIES%20artic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'[Chart for Australia SeLFIES article.xlsx]Retirement Goal'!$C$16:$C$41</c:f>
              <c:numCache>
                <c:formatCode>m/d/yyyy</c:formatCode>
                <c:ptCount val="26"/>
                <c:pt idx="0">
                  <c:v>43240</c:v>
                </c:pt>
                <c:pt idx="1">
                  <c:v>57711</c:v>
                </c:pt>
                <c:pt idx="2">
                  <c:v>58076</c:v>
                </c:pt>
                <c:pt idx="3">
                  <c:v>58441</c:v>
                </c:pt>
                <c:pt idx="4">
                  <c:v>58807</c:v>
                </c:pt>
                <c:pt idx="5">
                  <c:v>59172</c:v>
                </c:pt>
                <c:pt idx="6">
                  <c:v>59537</c:v>
                </c:pt>
                <c:pt idx="7">
                  <c:v>59902</c:v>
                </c:pt>
                <c:pt idx="8">
                  <c:v>60268</c:v>
                </c:pt>
                <c:pt idx="9">
                  <c:v>60633</c:v>
                </c:pt>
                <c:pt idx="10">
                  <c:v>60998</c:v>
                </c:pt>
                <c:pt idx="11">
                  <c:v>61363</c:v>
                </c:pt>
                <c:pt idx="12">
                  <c:v>61729</c:v>
                </c:pt>
                <c:pt idx="13">
                  <c:v>62094</c:v>
                </c:pt>
                <c:pt idx="14">
                  <c:v>62459</c:v>
                </c:pt>
                <c:pt idx="15">
                  <c:v>62824</c:v>
                </c:pt>
                <c:pt idx="16">
                  <c:v>63190</c:v>
                </c:pt>
                <c:pt idx="17">
                  <c:v>63555</c:v>
                </c:pt>
                <c:pt idx="18">
                  <c:v>63920</c:v>
                </c:pt>
                <c:pt idx="19">
                  <c:v>64285</c:v>
                </c:pt>
                <c:pt idx="20">
                  <c:v>64651</c:v>
                </c:pt>
                <c:pt idx="21">
                  <c:v>65016</c:v>
                </c:pt>
                <c:pt idx="22">
                  <c:v>65381</c:v>
                </c:pt>
                <c:pt idx="23">
                  <c:v>65746</c:v>
                </c:pt>
                <c:pt idx="24">
                  <c:v>66112</c:v>
                </c:pt>
                <c:pt idx="25">
                  <c:v>66477</c:v>
                </c:pt>
              </c:numCache>
            </c:numRef>
          </c:cat>
          <c:val>
            <c:numRef>
              <c:f>'[Chart for Australia SeLFIES article.xlsx]Retirement Goal'!$D$16:$D$41</c:f>
              <c:numCache>
                <c:formatCode>_(* #,##0_);_(* \(#,##0\);_(* "-"??_);_(@_)</c:formatCode>
                <c:ptCount val="26"/>
                <c:pt idx="0" formatCode="#,##0">
                  <c:v>0</c:v>
                </c:pt>
                <c:pt idx="1">
                  <c:v>45000</c:v>
                </c:pt>
                <c:pt idx="2">
                  <c:v>45000</c:v>
                </c:pt>
                <c:pt idx="3">
                  <c:v>45000</c:v>
                </c:pt>
                <c:pt idx="4">
                  <c:v>45000</c:v>
                </c:pt>
                <c:pt idx="5">
                  <c:v>45000</c:v>
                </c:pt>
                <c:pt idx="6">
                  <c:v>45000</c:v>
                </c:pt>
                <c:pt idx="7">
                  <c:v>45000</c:v>
                </c:pt>
                <c:pt idx="8">
                  <c:v>45000</c:v>
                </c:pt>
                <c:pt idx="9">
                  <c:v>45000</c:v>
                </c:pt>
                <c:pt idx="10">
                  <c:v>45000</c:v>
                </c:pt>
                <c:pt idx="11">
                  <c:v>45000</c:v>
                </c:pt>
                <c:pt idx="12">
                  <c:v>45000</c:v>
                </c:pt>
                <c:pt idx="13">
                  <c:v>45000</c:v>
                </c:pt>
                <c:pt idx="14">
                  <c:v>45000</c:v>
                </c:pt>
                <c:pt idx="15">
                  <c:v>45000</c:v>
                </c:pt>
                <c:pt idx="16">
                  <c:v>45000</c:v>
                </c:pt>
                <c:pt idx="17">
                  <c:v>45000</c:v>
                </c:pt>
                <c:pt idx="18">
                  <c:v>45000</c:v>
                </c:pt>
                <c:pt idx="19">
                  <c:v>45000</c:v>
                </c:pt>
                <c:pt idx="20">
                  <c:v>45000</c:v>
                </c:pt>
                <c:pt idx="21">
                  <c:v>45000</c:v>
                </c:pt>
                <c:pt idx="22">
                  <c:v>45000</c:v>
                </c:pt>
                <c:pt idx="23">
                  <c:v>0</c:v>
                </c:pt>
                <c:pt idx="24">
                  <c:v>0</c:v>
                </c:pt>
                <c:pt idx="25">
                  <c:v>0</c:v>
                </c:pt>
              </c:numCache>
            </c:numRef>
          </c:val>
          <c:extLst xmlns:c16r2="http://schemas.microsoft.com/office/drawing/2015/06/chart">
            <c:ext xmlns:c16="http://schemas.microsoft.com/office/drawing/2014/chart" uri="{C3380CC4-5D6E-409C-BE32-E72D297353CC}">
              <c16:uniqueId val="{00000000-EE9A-49A8-A7C9-5FAF31740BB9}"/>
            </c:ext>
          </c:extLst>
        </c:ser>
        <c:dLbls>
          <c:showLegendKey val="0"/>
          <c:showVal val="0"/>
          <c:showCatName val="0"/>
          <c:showSerName val="0"/>
          <c:showPercent val="0"/>
          <c:showBubbleSize val="0"/>
        </c:dLbls>
        <c:gapWidth val="219"/>
        <c:overlap val="-27"/>
        <c:axId val="197680128"/>
        <c:axId val="235187584"/>
      </c:barChart>
      <c:dateAx>
        <c:axId val="19768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187584"/>
        <c:crosses val="autoZero"/>
        <c:auto val="1"/>
        <c:lblOffset val="100"/>
        <c:baseTimeUnit val="years"/>
      </c:dateAx>
      <c:valAx>
        <c:axId val="235187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Yen Real</a:t>
                </a:r>
                <a:r>
                  <a:rPr lang="en-US" baseline="0"/>
                  <a:t> Cash Flows</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80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'[Chart for Australia SeLFIES article.xlsx]TB 15 Year'!$C$17:$C$56</c:f>
              <c:numCache>
                <c:formatCode>m/d/yyyy</c:formatCode>
                <c:ptCount val="40"/>
                <c:pt idx="0">
                  <c:v>43101</c:v>
                </c:pt>
                <c:pt idx="1">
                  <c:v>43466</c:v>
                </c:pt>
                <c:pt idx="2">
                  <c:v>43831</c:v>
                </c:pt>
                <c:pt idx="3">
                  <c:v>44197</c:v>
                </c:pt>
                <c:pt idx="4">
                  <c:v>44562</c:v>
                </c:pt>
                <c:pt idx="5">
                  <c:v>44927</c:v>
                </c:pt>
                <c:pt idx="6">
                  <c:v>45292</c:v>
                </c:pt>
                <c:pt idx="7">
                  <c:v>45658</c:v>
                </c:pt>
                <c:pt idx="8">
                  <c:v>46023</c:v>
                </c:pt>
                <c:pt idx="9">
                  <c:v>46388</c:v>
                </c:pt>
                <c:pt idx="10">
                  <c:v>46753</c:v>
                </c:pt>
                <c:pt idx="11">
                  <c:v>47119</c:v>
                </c:pt>
                <c:pt idx="12">
                  <c:v>47484</c:v>
                </c:pt>
                <c:pt idx="13">
                  <c:v>47849</c:v>
                </c:pt>
                <c:pt idx="14">
                  <c:v>48214</c:v>
                </c:pt>
                <c:pt idx="15">
                  <c:v>48580</c:v>
                </c:pt>
                <c:pt idx="16">
                  <c:v>48945</c:v>
                </c:pt>
                <c:pt idx="17">
                  <c:v>49310</c:v>
                </c:pt>
                <c:pt idx="18">
                  <c:v>49675</c:v>
                </c:pt>
                <c:pt idx="19">
                  <c:v>50041</c:v>
                </c:pt>
                <c:pt idx="20">
                  <c:v>50406</c:v>
                </c:pt>
                <c:pt idx="21">
                  <c:v>50771</c:v>
                </c:pt>
                <c:pt idx="22">
                  <c:v>51136</c:v>
                </c:pt>
                <c:pt idx="23">
                  <c:v>51502</c:v>
                </c:pt>
                <c:pt idx="24">
                  <c:v>51867</c:v>
                </c:pt>
                <c:pt idx="25">
                  <c:v>52232</c:v>
                </c:pt>
                <c:pt idx="26">
                  <c:v>52597</c:v>
                </c:pt>
                <c:pt idx="27">
                  <c:v>52963</c:v>
                </c:pt>
                <c:pt idx="28">
                  <c:v>53328</c:v>
                </c:pt>
                <c:pt idx="29">
                  <c:v>53693</c:v>
                </c:pt>
                <c:pt idx="30">
                  <c:v>54058</c:v>
                </c:pt>
                <c:pt idx="31">
                  <c:v>54424</c:v>
                </c:pt>
                <c:pt idx="32">
                  <c:v>54789</c:v>
                </c:pt>
                <c:pt idx="33">
                  <c:v>55154</c:v>
                </c:pt>
                <c:pt idx="34">
                  <c:v>55519</c:v>
                </c:pt>
                <c:pt idx="35">
                  <c:v>55885</c:v>
                </c:pt>
                <c:pt idx="36">
                  <c:v>56250</c:v>
                </c:pt>
                <c:pt idx="37">
                  <c:v>56615</c:v>
                </c:pt>
                <c:pt idx="38">
                  <c:v>56980</c:v>
                </c:pt>
                <c:pt idx="39">
                  <c:v>57346</c:v>
                </c:pt>
              </c:numCache>
            </c:numRef>
          </c:cat>
          <c:val>
            <c:numRef>
              <c:f>'[Chart for Australia SeLFIES article.xlsx]TB 15 Year'!$D$17:$D$57</c:f>
              <c:numCache>
                <c:formatCode>_(* #,##0_);_(* \(#,##0\);_(* "-"??_);_(@_)</c:formatCode>
                <c:ptCount val="41"/>
                <c:pt idx="0">
                  <c:v>1350</c:v>
                </c:pt>
                <c:pt idx="1">
                  <c:v>1350</c:v>
                </c:pt>
                <c:pt idx="2">
                  <c:v>1350</c:v>
                </c:pt>
                <c:pt idx="3">
                  <c:v>1350</c:v>
                </c:pt>
                <c:pt idx="4">
                  <c:v>1350</c:v>
                </c:pt>
                <c:pt idx="5">
                  <c:v>1350</c:v>
                </c:pt>
                <c:pt idx="6">
                  <c:v>1350</c:v>
                </c:pt>
                <c:pt idx="7">
                  <c:v>1350</c:v>
                </c:pt>
                <c:pt idx="8">
                  <c:v>1350</c:v>
                </c:pt>
                <c:pt idx="9">
                  <c:v>1350</c:v>
                </c:pt>
                <c:pt idx="10">
                  <c:v>1350</c:v>
                </c:pt>
                <c:pt idx="11">
                  <c:v>1350</c:v>
                </c:pt>
                <c:pt idx="12">
                  <c:v>1350</c:v>
                </c:pt>
                <c:pt idx="13">
                  <c:v>1350</c:v>
                </c:pt>
                <c:pt idx="14">
                  <c:v>1350</c:v>
                </c:pt>
                <c:pt idx="15">
                  <c:v>1350</c:v>
                </c:pt>
                <c:pt idx="16">
                  <c:v>1350</c:v>
                </c:pt>
                <c:pt idx="17">
                  <c:v>1350</c:v>
                </c:pt>
                <c:pt idx="18">
                  <c:v>1350</c:v>
                </c:pt>
                <c:pt idx="19">
                  <c:v>1350</c:v>
                </c:pt>
                <c:pt idx="20">
                  <c:v>1350</c:v>
                </c:pt>
                <c:pt idx="21">
                  <c:v>1350</c:v>
                </c:pt>
                <c:pt idx="22">
                  <c:v>1350</c:v>
                </c:pt>
                <c:pt idx="23">
                  <c:v>1350</c:v>
                </c:pt>
                <c:pt idx="24">
                  <c:v>1350</c:v>
                </c:pt>
                <c:pt idx="25">
                  <c:v>1350</c:v>
                </c:pt>
                <c:pt idx="26">
                  <c:v>1350</c:v>
                </c:pt>
                <c:pt idx="27">
                  <c:v>1350</c:v>
                </c:pt>
                <c:pt idx="28">
                  <c:v>1350</c:v>
                </c:pt>
                <c:pt idx="29">
                  <c:v>46350</c:v>
                </c:pt>
                <c:pt idx="30">
                  <c:v>0</c:v>
                </c:pt>
                <c:pt idx="31">
                  <c:v>0</c:v>
                </c:pt>
                <c:pt idx="32">
                  <c:v>0</c:v>
                </c:pt>
                <c:pt idx="33">
                  <c:v>0</c:v>
                </c:pt>
                <c:pt idx="34">
                  <c:v>0</c:v>
                </c:pt>
                <c:pt idx="35">
                  <c:v>0</c:v>
                </c:pt>
                <c:pt idx="36">
                  <c:v>0</c:v>
                </c:pt>
                <c:pt idx="37">
                  <c:v>0</c:v>
                </c:pt>
                <c:pt idx="38">
                  <c:v>0</c:v>
                </c:pt>
                <c:pt idx="39">
                  <c:v>0</c:v>
                </c:pt>
                <c:pt idx="40">
                  <c:v>0</c:v>
                </c:pt>
              </c:numCache>
            </c:numRef>
          </c:val>
          <c:extLst xmlns:c16r2="http://schemas.microsoft.com/office/drawing/2015/06/chart">
            <c:ext xmlns:c16="http://schemas.microsoft.com/office/drawing/2014/chart" uri="{C3380CC4-5D6E-409C-BE32-E72D297353CC}">
              <c16:uniqueId val="{00000000-FB16-4DD1-8462-A7A008638FD3}"/>
            </c:ext>
          </c:extLst>
        </c:ser>
        <c:dLbls>
          <c:showLegendKey val="0"/>
          <c:showVal val="0"/>
          <c:showCatName val="0"/>
          <c:showSerName val="0"/>
          <c:showPercent val="0"/>
          <c:showBubbleSize val="0"/>
        </c:dLbls>
        <c:gapWidth val="219"/>
        <c:overlap val="-27"/>
        <c:axId val="90718592"/>
        <c:axId val="90720512"/>
      </c:barChart>
      <c:dateAx>
        <c:axId val="90718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20512"/>
        <c:crosses val="autoZero"/>
        <c:auto val="1"/>
        <c:lblOffset val="100"/>
        <c:baseTimeUnit val="years"/>
      </c:dateAx>
      <c:valAx>
        <c:axId val="9072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Yen 40</a:t>
                </a:r>
                <a:r>
                  <a:rPr lang="en-US" baseline="0"/>
                  <a:t> Year JGB Cash Flows</a:t>
                </a:r>
                <a:endParaRPr lang="en-US"/>
              </a:p>
            </c:rich>
          </c:tx>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18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2018FG-583247893-79</_dlc_DocId>
    <_dlc_DocIdUrl xmlns="0f563589-9cf9-4143-b1eb-fb0534803d38">
      <Url>http://tweb/sites/fg/ripd/ciprs/_layouts/15/DocIdRedir.aspx?ID=2018FG-583247893-79</Url>
      <Description>2018FG-583247893-79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3467-58AF-4F78-B6C6-89310C4C9F46}">
  <ds:schemaRefs>
    <ds:schemaRef ds:uri="office.server.policy"/>
  </ds:schemaRefs>
</ds:datastoreItem>
</file>

<file path=customXml/itemProps2.xml><?xml version="1.0" encoding="utf-8"?>
<ds:datastoreItem xmlns:ds="http://schemas.openxmlformats.org/officeDocument/2006/customXml" ds:itemID="{A7EA99DA-DD8D-4736-92F9-4BCB7772E92F}">
  <ds:schemaRefs>
    <ds:schemaRef ds:uri="http://schemas.microsoft.com/sharepoint/events"/>
  </ds:schemaRefs>
</ds:datastoreItem>
</file>

<file path=customXml/itemProps3.xml><?xml version="1.0" encoding="utf-8"?>
<ds:datastoreItem xmlns:ds="http://schemas.openxmlformats.org/officeDocument/2006/customXml" ds:itemID="{BF31E0F6-5004-4F82-89E9-FEC3E1FB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A6553-1EAD-4861-AB43-AA49E1F67AE7}">
  <ds:schemaRefs>
    <ds:schemaRef ds:uri="http://www.w3.org/XML/1998/namespace"/>
    <ds:schemaRef ds:uri="http://schemas.microsoft.com/sharepoint/v3"/>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e544e5cc-ab70-42e1-849e-1a0f8bb1f4ef"/>
    <ds:schemaRef ds:uri="http://schemas.microsoft.com/office/2006/metadata/properties"/>
    <ds:schemaRef ds:uri="http://purl.org/dc/terms/"/>
    <ds:schemaRef ds:uri="0f563589-9cf9-4143-b1eb-fb0534803d38"/>
  </ds:schemaRefs>
</ds:datastoreItem>
</file>

<file path=customXml/itemProps5.xml><?xml version="1.0" encoding="utf-8"?>
<ds:datastoreItem xmlns:ds="http://schemas.openxmlformats.org/officeDocument/2006/customXml" ds:itemID="{266D852B-9439-4D61-AD18-C4BCC0A9D347}">
  <ds:schemaRefs>
    <ds:schemaRef ds:uri="http://schemas.microsoft.com/sharepoint/v3/contenttype/forms"/>
  </ds:schemaRefs>
</ds:datastoreItem>
</file>

<file path=customXml/itemProps6.xml><?xml version="1.0" encoding="utf-8"?>
<ds:datastoreItem xmlns:ds="http://schemas.openxmlformats.org/officeDocument/2006/customXml" ds:itemID="{7073D8EF-F1E9-4DC9-9EDC-A340A4BC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1826</Words>
  <Characters>10429</Characters>
  <Application>Microsoft Office Word</Application>
  <DocSecurity>0</DocSecurity>
  <Lines>172</Lines>
  <Paragraphs>28</Paragraphs>
  <ScaleCrop>false</ScaleCrop>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Merton and Dr Muralidhar - Retirement Income Covenant Position Paper</dc:title>
  <dc:creator/>
  <cp:lastModifiedBy/>
  <cp:revision>1</cp:revision>
  <dcterms:created xsi:type="dcterms:W3CDTF">2018-07-31T00:34:00Z</dcterms:created>
  <dcterms:modified xsi:type="dcterms:W3CDTF">2018-07-31T00:34:00Z</dcterms:modified>
  <dc:language>English</dc:language>
</cp:coreProperties>
</file>