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59C881" w14:textId="479BFA5E" w:rsidR="00480E77" w:rsidRDefault="00875541" w:rsidP="000C4EB7">
      <w:bookmarkStart w:id="0" w:name="_GoBack"/>
      <w:bookmarkEnd w:id="0"/>
      <w:r>
        <w:rPr>
          <w:noProof/>
          <w:lang w:eastAsia="en-AU"/>
        </w:rPr>
        <w:drawing>
          <wp:anchor distT="0" distB="0" distL="114300" distR="114300" simplePos="0" relativeHeight="251658240" behindDoc="1" locked="0" layoutInCell="1" allowOverlap="1" wp14:anchorId="5452B649" wp14:editId="3325A90F">
            <wp:simplePos x="0" y="0"/>
            <wp:positionH relativeFrom="column">
              <wp:posOffset>-1917243</wp:posOffset>
            </wp:positionH>
            <wp:positionV relativeFrom="paragraph">
              <wp:posOffset>-1587271</wp:posOffset>
            </wp:positionV>
            <wp:extent cx="8595360" cy="107454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tock_000017294611Large.jpg"/>
                    <pic:cNvPicPr/>
                  </pic:nvPicPr>
                  <pic:blipFill>
                    <a:blip r:embed="rId14">
                      <a:extLst>
                        <a:ext uri="{28A0092B-C50C-407E-A947-70E740481C1C}">
                          <a14:useLocalDpi xmlns:a14="http://schemas.microsoft.com/office/drawing/2010/main" val="0"/>
                        </a:ext>
                      </a:extLst>
                    </a:blip>
                    <a:stretch>
                      <a:fillRect/>
                    </a:stretch>
                  </pic:blipFill>
                  <pic:spPr>
                    <a:xfrm>
                      <a:off x="0" y="0"/>
                      <a:ext cx="8596296" cy="10746640"/>
                    </a:xfrm>
                    <a:prstGeom prst="rect">
                      <a:avLst/>
                    </a:prstGeom>
                  </pic:spPr>
                </pic:pic>
              </a:graphicData>
            </a:graphic>
            <wp14:sizeRelH relativeFrom="page">
              <wp14:pctWidth>0</wp14:pctWidth>
            </wp14:sizeRelH>
            <wp14:sizeRelV relativeFrom="page">
              <wp14:pctHeight>0</wp14:pctHeight>
            </wp14:sizeRelV>
          </wp:anchor>
        </w:drawing>
      </w:r>
      <w:r w:rsidR="00480E77">
        <w:rPr>
          <w:noProof/>
          <w:lang w:eastAsia="en-AU"/>
        </w:rPr>
        <w:drawing>
          <wp:anchor distT="0" distB="0" distL="114300" distR="114300" simplePos="0" relativeHeight="251662336" behindDoc="0" locked="0" layoutInCell="1" allowOverlap="1" wp14:anchorId="4BFBD808" wp14:editId="181C2FB0">
            <wp:simplePos x="0" y="0"/>
            <wp:positionH relativeFrom="column">
              <wp:posOffset>5090160</wp:posOffset>
            </wp:positionH>
            <wp:positionV relativeFrom="paragraph">
              <wp:posOffset>100660</wp:posOffset>
            </wp:positionV>
            <wp:extent cx="942975" cy="942975"/>
            <wp:effectExtent l="0" t="0" r="0" b="0"/>
            <wp:wrapNone/>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pic:spPr>
                </pic:pic>
              </a:graphicData>
            </a:graphic>
          </wp:anchor>
        </w:drawing>
      </w:r>
    </w:p>
    <w:sdt>
      <w:sdtPr>
        <w:id w:val="449307514"/>
        <w:docPartObj>
          <w:docPartGallery w:val="Cover Pages"/>
          <w:docPartUnique/>
        </w:docPartObj>
      </w:sdtPr>
      <w:sdtEndPr/>
      <w:sdtContent>
        <w:p w14:paraId="0080E616" w14:textId="4C49021B" w:rsidR="00087D8C" w:rsidRDefault="00087D8C" w:rsidP="000C4EB7"/>
        <w:p w14:paraId="6C078706" w14:textId="350237D8" w:rsidR="00087D8C" w:rsidRDefault="00087D8C" w:rsidP="000C4EB7"/>
        <w:p w14:paraId="77D3D163" w14:textId="1869C1A3" w:rsidR="00087D8C" w:rsidRDefault="00087D8C" w:rsidP="000C4EB7"/>
        <w:p w14:paraId="1414B10A" w14:textId="4CC0801D" w:rsidR="007E6463" w:rsidRDefault="007E6463" w:rsidP="000C4EB7"/>
        <w:p w14:paraId="78D879A9" w14:textId="3EF0EAD5" w:rsidR="00FF134E" w:rsidRPr="00FF134E" w:rsidRDefault="00FF134E" w:rsidP="000C4EB7">
          <w:pPr>
            <w:pStyle w:val="Tit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rPr>
              <w:color w:val="0060AF"/>
              <w:sz w:val="40"/>
              <w:szCs w:val="40"/>
            </w:rPr>
          </w:pPr>
        </w:p>
        <w:p w14:paraId="23C04EF8" w14:textId="170629BE" w:rsidR="0059667B" w:rsidRDefault="0059667B" w:rsidP="000C4EB7">
          <w:pPr>
            <w:pStyle w:val="Tit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rPr>
              <w:color w:val="0060AF"/>
              <w:sz w:val="56"/>
            </w:rPr>
          </w:pPr>
        </w:p>
        <w:p w14:paraId="23A23C43" w14:textId="07FD7A1A" w:rsidR="0059667B" w:rsidRDefault="0059667B" w:rsidP="000C4EB7">
          <w:pPr>
            <w:pStyle w:val="Tit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rPr>
              <w:color w:val="0060AF"/>
              <w:sz w:val="56"/>
            </w:rPr>
          </w:pPr>
        </w:p>
        <w:p w14:paraId="21EEAAB6" w14:textId="7C038AA8" w:rsidR="007E6463" w:rsidRDefault="007E6463" w:rsidP="000C4EB7">
          <w:pPr>
            <w:pStyle w:val="Tit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rPr>
              <w:color w:val="0060AF"/>
              <w:sz w:val="40"/>
              <w:szCs w:val="40"/>
            </w:rPr>
          </w:pPr>
        </w:p>
        <w:p w14:paraId="5C17CFD2" w14:textId="2EEB45B8" w:rsidR="00087D8C" w:rsidRDefault="00480E77" w:rsidP="000C4EB7">
          <w:pPr>
            <w:jc w:val="right"/>
            <w:rPr>
              <w:rFonts w:ascii="Arial" w:hAnsi="Arial" w:cs="Arial"/>
              <w:b/>
            </w:rPr>
          </w:pPr>
          <w:r>
            <w:rPr>
              <w:noProof/>
              <w:lang w:eastAsia="en-AU"/>
            </w:rPr>
            <mc:AlternateContent>
              <mc:Choice Requires="wps">
                <w:drawing>
                  <wp:anchor distT="0" distB="0" distL="114300" distR="114300" simplePos="0" relativeHeight="251660288" behindDoc="0" locked="0" layoutInCell="1" allowOverlap="1" wp14:anchorId="28002BF3" wp14:editId="4FF7E96C">
                    <wp:simplePos x="0" y="0"/>
                    <wp:positionH relativeFrom="column">
                      <wp:posOffset>599643</wp:posOffset>
                    </wp:positionH>
                    <wp:positionV relativeFrom="paragraph">
                      <wp:posOffset>37236</wp:posOffset>
                    </wp:positionV>
                    <wp:extent cx="5554345" cy="139446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345" cy="1394460"/>
                            </a:xfrm>
                            <a:prstGeom prst="rect">
                              <a:avLst/>
                            </a:prstGeom>
                            <a:solidFill>
                              <a:srgbClr val="FFFFFF">
                                <a:alpha val="0"/>
                              </a:srgbClr>
                            </a:solidFill>
                            <a:ln w="9525">
                              <a:noFill/>
                              <a:miter lim="800000"/>
                              <a:headEnd/>
                              <a:tailEnd/>
                            </a:ln>
                          </wps:spPr>
                          <wps:txbx>
                            <w:txbxContent>
                              <w:p w14:paraId="6E539261" w14:textId="77777777" w:rsidR="00480E77" w:rsidRDefault="00480E77" w:rsidP="00480E77">
                                <w:pPr>
                                  <w:pStyle w:val="NormalWeb"/>
                                  <w:spacing w:before="0" w:beforeAutospacing="0" w:after="120" w:afterAutospacing="0"/>
                                  <w:jc w:val="right"/>
                                </w:pPr>
                                <w:r w:rsidRPr="007D2668">
                                  <w:rPr>
                                    <w:rFonts w:ascii="Arial Narrow" w:hAnsi="Arial Narrow"/>
                                    <w:b/>
                                    <w:bCs/>
                                    <w:color w:val="FFFFFF"/>
                                    <w:sz w:val="44"/>
                                    <w:szCs w:val="44"/>
                                  </w:rPr>
                                  <w:t>Retirement Income Covenant</w:t>
                                </w:r>
                                <w:r>
                                  <w:t xml:space="preserve"> </w:t>
                                </w:r>
                              </w:p>
                              <w:p w14:paraId="172390BF" w14:textId="77777777" w:rsidR="00480E77" w:rsidRPr="001571A9" w:rsidRDefault="00480E77" w:rsidP="00480E77">
                                <w:pPr>
                                  <w:pStyle w:val="NormalWeb"/>
                                  <w:spacing w:before="0" w:beforeAutospacing="0" w:after="120" w:afterAutospacing="0"/>
                                  <w:jc w:val="right"/>
                                  <w:rPr>
                                    <w:rFonts w:ascii="Arial Narrow" w:hAnsi="Arial Narrow"/>
                                    <w:b/>
                                    <w:bCs/>
                                    <w:color w:val="FFFFFF"/>
                                    <w:sz w:val="44"/>
                                    <w:szCs w:val="44"/>
                                  </w:rPr>
                                </w:pPr>
                                <w:r w:rsidRPr="001571A9">
                                  <w:rPr>
                                    <w:rFonts w:ascii="Arial Narrow" w:hAnsi="Arial Narrow"/>
                                    <w:b/>
                                    <w:bCs/>
                                    <w:color w:val="FFFFFF"/>
                                    <w:sz w:val="44"/>
                                    <w:szCs w:val="44"/>
                                  </w:rPr>
                                  <w:t>SuperRatings</w:t>
                                </w:r>
                                <w:r>
                                  <w:rPr>
                                    <w:rFonts w:ascii="Arial Narrow" w:hAnsi="Arial Narrow"/>
                                    <w:b/>
                                    <w:bCs/>
                                    <w:color w:val="FFFFFF"/>
                                    <w:sz w:val="44"/>
                                    <w:szCs w:val="44"/>
                                  </w:rPr>
                                  <w:t>’</w:t>
                                </w:r>
                                <w:r w:rsidRPr="001571A9">
                                  <w:rPr>
                                    <w:rFonts w:ascii="Arial Narrow" w:hAnsi="Arial Narrow"/>
                                    <w:b/>
                                    <w:bCs/>
                                    <w:color w:val="FFFFFF"/>
                                    <w:sz w:val="44"/>
                                    <w:szCs w:val="44"/>
                                  </w:rPr>
                                  <w:t xml:space="preserve"> Submission</w:t>
                                </w:r>
                              </w:p>
                              <w:p w14:paraId="4A74AC74" w14:textId="77777777" w:rsidR="00480E77" w:rsidRPr="001571A9" w:rsidRDefault="00480E77" w:rsidP="00480E77">
                                <w:pPr>
                                  <w:pStyle w:val="NormalWeb"/>
                                  <w:spacing w:before="0" w:beforeAutospacing="0" w:after="0" w:afterAutospacing="0"/>
                                  <w:jc w:val="right"/>
                                  <w:rPr>
                                    <w:sz w:val="36"/>
                                    <w:szCs w:val="36"/>
                                  </w:rPr>
                                </w:pPr>
                                <w:r>
                                  <w:rPr>
                                    <w:rFonts w:ascii="Arial Narrow" w:hAnsi="Arial Narrow"/>
                                    <w:b/>
                                    <w:bCs/>
                                    <w:color w:val="FFFFFF"/>
                                    <w:sz w:val="36"/>
                                    <w:szCs w:val="36"/>
                                  </w:rPr>
                                  <w:t xml:space="preserve"> June 2018</w: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7.2pt;margin-top:2.95pt;width:437.35pt;height:109.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" stroked="f">
                    <v:fill opacity="0"/>
                    <v:textbox>
                      <w:txbxContent>
                        <w:p w14:paraId="6E539261" w14:textId="77777777" w:rsidR="00480E77" w:rsidRDefault="00480E77" w:rsidP="00480E77">
                          <w:pPr>
                            <w:pStyle w:val="NormalWeb"/>
                            <w:spacing w:before="0" w:beforeAutospacing="0" w:after="120" w:afterAutospacing="0"/>
                            <w:jc w:val="right"/>
                          </w:pPr>
                          <w:r w:rsidRPr="007D2668">
                            <w:rPr>
                              <w:rFonts w:ascii="Arial Narrow" w:hAnsi="Arial Narrow"/>
                              <w:b/>
                              <w:bCs/>
                              <w:color w:val="FFFFFF"/>
                              <w:sz w:val="44"/>
                              <w:szCs w:val="44"/>
                            </w:rPr>
                            <w:t>Retirement Income Covenant</w:t>
                          </w:r>
                          <w:r>
                            <w:t xml:space="preserve"> </w:t>
                          </w:r>
                        </w:p>
                        <w:p w14:paraId="172390BF" w14:textId="77777777" w:rsidR="00480E77" w:rsidRPr="001571A9" w:rsidRDefault="00480E77" w:rsidP="00480E77">
                          <w:pPr>
                            <w:pStyle w:val="NormalWeb"/>
                            <w:spacing w:before="0" w:beforeAutospacing="0" w:after="120" w:afterAutospacing="0"/>
                            <w:jc w:val="right"/>
                            <w:rPr>
                              <w:rFonts w:ascii="Arial Narrow" w:hAnsi="Arial Narrow"/>
                              <w:b/>
                              <w:bCs/>
                              <w:color w:val="FFFFFF"/>
                              <w:sz w:val="44"/>
                              <w:szCs w:val="44"/>
                            </w:rPr>
                          </w:pPr>
                          <w:r w:rsidRPr="001571A9">
                            <w:rPr>
                              <w:rFonts w:ascii="Arial Narrow" w:hAnsi="Arial Narrow"/>
                              <w:b/>
                              <w:bCs/>
                              <w:color w:val="FFFFFF"/>
                              <w:sz w:val="44"/>
                              <w:szCs w:val="44"/>
                            </w:rPr>
                            <w:t>SuperRatings</w:t>
                          </w:r>
                          <w:r>
                            <w:rPr>
                              <w:rFonts w:ascii="Arial Narrow" w:hAnsi="Arial Narrow"/>
                              <w:b/>
                              <w:bCs/>
                              <w:color w:val="FFFFFF"/>
                              <w:sz w:val="44"/>
                              <w:szCs w:val="44"/>
                            </w:rPr>
                            <w:t>’</w:t>
                          </w:r>
                          <w:r w:rsidRPr="001571A9">
                            <w:rPr>
                              <w:rFonts w:ascii="Arial Narrow" w:hAnsi="Arial Narrow"/>
                              <w:b/>
                              <w:bCs/>
                              <w:color w:val="FFFFFF"/>
                              <w:sz w:val="44"/>
                              <w:szCs w:val="44"/>
                            </w:rPr>
                            <w:t xml:space="preserve"> Submission</w:t>
                          </w:r>
                        </w:p>
                        <w:p w14:paraId="4A74AC74" w14:textId="77777777" w:rsidR="00480E77" w:rsidRPr="001571A9" w:rsidRDefault="00480E77" w:rsidP="00480E77">
                          <w:pPr>
                            <w:pStyle w:val="NormalWeb"/>
                            <w:spacing w:before="0" w:beforeAutospacing="0" w:after="0" w:afterAutospacing="0"/>
                            <w:jc w:val="right"/>
                            <w:rPr>
                              <w:sz w:val="36"/>
                              <w:szCs w:val="36"/>
                            </w:rPr>
                          </w:pPr>
                          <w:r>
                            <w:rPr>
                              <w:rFonts w:ascii="Arial Narrow" w:hAnsi="Arial Narrow"/>
                              <w:b/>
                              <w:bCs/>
                              <w:color w:val="FFFFFF"/>
                              <w:sz w:val="36"/>
                              <w:szCs w:val="36"/>
                            </w:rPr>
                            <w:t xml:space="preserve"> June 2018</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281475D2" wp14:editId="37108DF7">
                    <wp:simplePos x="0" y="0"/>
                    <wp:positionH relativeFrom="column">
                      <wp:posOffset>-39243</wp:posOffset>
                    </wp:positionH>
                    <wp:positionV relativeFrom="paragraph">
                      <wp:posOffset>5568950</wp:posOffset>
                    </wp:positionV>
                    <wp:extent cx="5692140" cy="982980"/>
                    <wp:effectExtent l="0" t="0" r="0" b="0"/>
                    <wp:wrapNone/>
                    <wp:docPr id="11" name="KISCvrCopyrigh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98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AB334" w14:textId="77777777" w:rsidR="00480E77" w:rsidRPr="007D2668" w:rsidRDefault="00480E77" w:rsidP="00480E77">
                                <w:pPr>
                                  <w:rPr>
                                    <w:color w:val="FFFFFF" w:themeColor="background1"/>
                                    <w:sz w:val="16"/>
                                    <w:szCs w:val="16"/>
                                  </w:rPr>
                                </w:pPr>
                                <w:r w:rsidRPr="007D2668">
                                  <w:rPr>
                                    <w:color w:val="FFFFFF" w:themeColor="background1"/>
                                    <w:sz w:val="16"/>
                                    <w:szCs w:val="16"/>
                                  </w:rPr>
                                  <w:t xml:space="preserve">The material in this report and all information disclosed to you by us in connection with this material or any negotiations arising out of it must be kept confidential by you. All intellectual property in this report is owned by SuperRatings Pty Ltd (ABN 95 100 192 283). You may copy this material only to the extent reasonably necessary to enable you to evaluate this report.  </w:t>
                                </w:r>
                              </w:p>
                              <w:p w14:paraId="45698FDB" w14:textId="77777777" w:rsidR="00480E77" w:rsidRPr="007D2668" w:rsidRDefault="00480E77" w:rsidP="00480E77">
                                <w:pPr>
                                  <w:rPr>
                                    <w:b/>
                                    <w:color w:val="FFFFFF" w:themeColor="background1"/>
                                    <w:sz w:val="16"/>
                                    <w:szCs w:val="16"/>
                                  </w:rPr>
                                </w:pPr>
                              </w:p>
                              <w:p w14:paraId="7DC0A6B6" w14:textId="77777777" w:rsidR="00480E77" w:rsidRPr="007D2668" w:rsidRDefault="00480E77" w:rsidP="00480E77">
                                <w:pPr>
                                  <w:rPr>
                                    <w:color w:val="FFFFFF" w:themeColor="background1"/>
                                    <w:sz w:val="16"/>
                                    <w:szCs w:val="16"/>
                                  </w:rPr>
                                </w:pPr>
                                <w:r w:rsidRPr="007D2668">
                                  <w:rPr>
                                    <w:b/>
                                    <w:color w:val="FFFFFF" w:themeColor="background1"/>
                                    <w:sz w:val="16"/>
                                    <w:szCs w:val="16"/>
                                  </w:rPr>
                                  <w:t>Disclaimer</w:t>
                                </w:r>
                                <w:r w:rsidRPr="007D2668">
                                  <w:rPr>
                                    <w:color w:val="FFFFFF" w:themeColor="background1"/>
                                    <w:sz w:val="16"/>
                                    <w:szCs w:val="16"/>
                                  </w:rPr>
                                  <w:t xml:space="preserve">: SuperRatings Pty Limited holds Australian Financial Services Licence No. 311880. The information used in compiling this report comes from sources considered reliable. It is not guaranteed to be accurate or complete. </w:t>
                                </w:r>
                                <w:r w:rsidRPr="007D2668">
                                  <w:rPr>
                                    <w:rFonts w:cs="Calibri"/>
                                    <w:color w:val="FFFFFF" w:themeColor="background1"/>
                                    <w:sz w:val="16"/>
                                    <w:szCs w:val="16"/>
                                  </w:rPr>
                                  <w:t>SuperRatings receives fees for providing superannuation consulting advice to clients, which includes benchmarking, assistance with tenders, administration assistance and other financial advice.</w:t>
                                </w:r>
                              </w:p>
                              <w:p w14:paraId="62C8925F" w14:textId="77777777" w:rsidR="00480E77" w:rsidRPr="00271369" w:rsidRDefault="00480E77" w:rsidP="00480E77">
                                <w:pPr>
                                  <w:pStyle w:val="NormalWeb"/>
                                  <w:textAlignment w:val="baseline"/>
                                  <w:rPr>
                                    <w:rFonts w:ascii="Arial Narrow" w:hAnsi="Arial Narrow" w:cs="Calibri"/>
                                    <w:color w:val="FF0000"/>
                                    <w:sz w:val="16"/>
                                    <w:szCs w:val="16"/>
                                  </w:rPr>
                                </w:pPr>
                              </w:p>
                            </w:txbxContent>
                          </wps:txbx>
                          <wps:bodyPr rot="0" vert="horz" wrap="square" lIns="91440" tIns="45720" rIns="91440" bIns="45720" anchor="t" anchorCtr="0" upright="1">
                            <a:noAutofit/>
                          </wps:bodyPr>
                        </wps:wsp>
                      </a:graphicData>
                    </a:graphic>
                  </wp:anchor>
                </w:drawing>
              </mc:Choice>
              <mc:Fallback>
                <w:pict>
                  <v:shape id="KISCvrCopyright" o:spid="_x0000_s1027" type="#_x0000_t202" style="position:absolute;left:0;text-align:left;margin-left:-3.1pt;margin-top:438.5pt;width:448.2pt;height:77.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" filled="f" stroked="f">
                    <v:textbox>
                      <w:txbxContent>
                        <w:p w14:paraId="116AB334" w14:textId="77777777" w:rsidR="00480E77" w:rsidRPr="007D2668" w:rsidRDefault="00480E77" w:rsidP="00480E77">
                          <w:pPr>
                            <w:rPr>
                              <w:color w:val="FFFFFF" w:themeColor="background1"/>
                              <w:sz w:val="16"/>
                              <w:szCs w:val="16"/>
                            </w:rPr>
                          </w:pPr>
                          <w:r w:rsidRPr="007D2668">
                            <w:rPr>
                              <w:color w:val="FFFFFF" w:themeColor="background1"/>
                              <w:sz w:val="16"/>
                              <w:szCs w:val="16"/>
                            </w:rPr>
                            <w:t xml:space="preserve">The material in this report and all information disclosed to you by us in connection with this material or any negotiations arising out of it must be kept confidential by you. All intellectual property in this report is owned by SuperRatings Pty Ltd (ABN 95 100 192 283). You may copy this material only to the extent reasonably necessary to enable you to evaluate this report.  </w:t>
                          </w:r>
                        </w:p>
                        <w:p w14:paraId="45698FDB" w14:textId="77777777" w:rsidR="00480E77" w:rsidRPr="007D2668" w:rsidRDefault="00480E77" w:rsidP="00480E77">
                          <w:pPr>
                            <w:rPr>
                              <w:b/>
                              <w:color w:val="FFFFFF" w:themeColor="background1"/>
                              <w:sz w:val="16"/>
                              <w:szCs w:val="16"/>
                            </w:rPr>
                          </w:pPr>
                        </w:p>
                        <w:p w14:paraId="7DC0A6B6" w14:textId="77777777" w:rsidR="00480E77" w:rsidRPr="007D2668" w:rsidRDefault="00480E77" w:rsidP="00480E77">
                          <w:pPr>
                            <w:rPr>
                              <w:color w:val="FFFFFF" w:themeColor="background1"/>
                              <w:sz w:val="16"/>
                              <w:szCs w:val="16"/>
                            </w:rPr>
                          </w:pPr>
                          <w:r w:rsidRPr="007D2668">
                            <w:rPr>
                              <w:b/>
                              <w:color w:val="FFFFFF" w:themeColor="background1"/>
                              <w:sz w:val="16"/>
                              <w:szCs w:val="16"/>
                            </w:rPr>
                            <w:t>Disclaimer</w:t>
                          </w:r>
                          <w:r w:rsidRPr="007D2668">
                            <w:rPr>
                              <w:color w:val="FFFFFF" w:themeColor="background1"/>
                              <w:sz w:val="16"/>
                              <w:szCs w:val="16"/>
                            </w:rPr>
                            <w:t xml:space="preserve">: SuperRatings Pty Limited holds Australian Financial Services Licence No. 311880. The information used in compiling this report comes from sources considered reliable. It is not guaranteed to be accurate or complete. </w:t>
                          </w:r>
                          <w:r w:rsidRPr="007D2668">
                            <w:rPr>
                              <w:rFonts w:cs="Calibri"/>
                              <w:color w:val="FFFFFF" w:themeColor="background1"/>
                              <w:sz w:val="16"/>
                              <w:szCs w:val="16"/>
                            </w:rPr>
                            <w:t>SuperRatings receives fees for providing superannuation consulting advice to clients, which includes benchmarking, assistance with tenders, administration assistance and other financial advice.</w:t>
                          </w:r>
                        </w:p>
                        <w:p w14:paraId="62C8925F" w14:textId="77777777" w:rsidR="00480E77" w:rsidRPr="00271369" w:rsidRDefault="00480E77" w:rsidP="00480E77">
                          <w:pPr>
                            <w:pStyle w:val="NormalWeb"/>
                            <w:textAlignment w:val="baseline"/>
                            <w:rPr>
                              <w:rFonts w:ascii="Arial Narrow" w:hAnsi="Arial Narrow" w:cs="Calibri"/>
                              <w:color w:val="FF0000"/>
                              <w:sz w:val="16"/>
                              <w:szCs w:val="16"/>
                            </w:rPr>
                          </w:pPr>
                        </w:p>
                      </w:txbxContent>
                    </v:textbox>
                  </v:shape>
                </w:pict>
              </mc:Fallback>
            </mc:AlternateContent>
          </w:r>
          <w:r w:rsidR="00087D8C">
            <w:br w:type="page"/>
          </w:r>
        </w:p>
      </w:sdtContent>
    </w:sdt>
    <w:p w14:paraId="188CA4FA" w14:textId="77777777" w:rsidR="00087D8C" w:rsidRPr="009D4BB6" w:rsidRDefault="000A2349" w:rsidP="00AA6C39">
      <w:pPr>
        <w:pStyle w:val="Heading4"/>
        <w:rPr>
          <w:color w:val="0070C0"/>
          <w:sz w:val="28"/>
        </w:rPr>
      </w:pPr>
      <w:r w:rsidRPr="009D4BB6">
        <w:rPr>
          <w:color w:val="0070C0"/>
          <w:sz w:val="28"/>
        </w:rPr>
        <w:lastRenderedPageBreak/>
        <w:t>CONTENTS</w:t>
      </w:r>
    </w:p>
    <w:p w14:paraId="66A1BDB2" w14:textId="77777777" w:rsidR="003974EA" w:rsidRPr="009D4BB6" w:rsidRDefault="003974EA" w:rsidP="00623A14">
      <w:pPr>
        <w:rPr>
          <w:color w:val="0070C0"/>
        </w:rPr>
      </w:pPr>
    </w:p>
    <w:p w14:paraId="2CBDC7E8" w14:textId="301D1146" w:rsidR="00875541" w:rsidRPr="003A5628" w:rsidRDefault="00BA4EDF">
      <w:pPr>
        <w:pStyle w:val="TOC1"/>
        <w:rPr>
          <w:rFonts w:eastAsiaTheme="minorEastAsia" w:cstheme="minorBidi"/>
          <w:b w:val="0"/>
          <w:bCs w:val="0"/>
          <w:caps w:val="0"/>
          <w:color w:val="auto"/>
          <w:sz w:val="22"/>
          <w:szCs w:val="22"/>
          <w:lang w:eastAsia="en-AU"/>
        </w:rPr>
      </w:pPr>
      <w:r w:rsidRPr="003A5628">
        <w:rPr>
          <w:rFonts w:cs="Arial"/>
          <w:sz w:val="28"/>
          <w:szCs w:val="22"/>
        </w:rPr>
        <w:fldChar w:fldCharType="begin"/>
      </w:r>
      <w:r w:rsidR="00087D8C" w:rsidRPr="003A5628">
        <w:rPr>
          <w:rFonts w:cs="Arial"/>
          <w:sz w:val="28"/>
          <w:szCs w:val="22"/>
        </w:rPr>
        <w:instrText xml:space="preserve"> TOC \o "1-2" \h \z \u </w:instrText>
      </w:r>
      <w:r w:rsidRPr="003A5628">
        <w:rPr>
          <w:rFonts w:cs="Arial"/>
          <w:sz w:val="28"/>
          <w:szCs w:val="22"/>
        </w:rPr>
        <w:fldChar w:fldCharType="separate"/>
      </w:r>
      <w:hyperlink w:anchor="_Toc516845671" w:history="1">
        <w:r w:rsidR="00875541" w:rsidRPr="003A5628">
          <w:rPr>
            <w:rStyle w:val="Hyperlink"/>
          </w:rPr>
          <w:t>1.</w:t>
        </w:r>
        <w:r w:rsidR="00875541" w:rsidRPr="003A5628">
          <w:rPr>
            <w:rFonts w:eastAsiaTheme="minorEastAsia" w:cstheme="minorBidi"/>
            <w:b w:val="0"/>
            <w:bCs w:val="0"/>
            <w:caps w:val="0"/>
            <w:color w:val="auto"/>
            <w:sz w:val="22"/>
            <w:szCs w:val="22"/>
            <w:lang w:eastAsia="en-AU"/>
          </w:rPr>
          <w:tab/>
        </w:r>
        <w:r w:rsidR="00875541" w:rsidRPr="003A5628">
          <w:rPr>
            <w:rStyle w:val="Hyperlink"/>
          </w:rPr>
          <w:t>Executive Summary</w:t>
        </w:r>
        <w:r w:rsidR="00875541" w:rsidRPr="003A5628">
          <w:rPr>
            <w:webHidden/>
          </w:rPr>
          <w:tab/>
        </w:r>
        <w:r w:rsidR="00875541" w:rsidRPr="003A5628">
          <w:rPr>
            <w:webHidden/>
          </w:rPr>
          <w:fldChar w:fldCharType="begin"/>
        </w:r>
        <w:r w:rsidR="00875541" w:rsidRPr="003A5628">
          <w:rPr>
            <w:webHidden/>
          </w:rPr>
          <w:instrText xml:space="preserve"> PAGEREF _Toc516845671 \h </w:instrText>
        </w:r>
        <w:r w:rsidR="00875541" w:rsidRPr="003A5628">
          <w:rPr>
            <w:webHidden/>
          </w:rPr>
        </w:r>
        <w:r w:rsidR="00875541" w:rsidRPr="003A5628">
          <w:rPr>
            <w:webHidden/>
          </w:rPr>
          <w:fldChar w:fldCharType="separate"/>
        </w:r>
        <w:r w:rsidR="00F6753B">
          <w:rPr>
            <w:webHidden/>
          </w:rPr>
          <w:t>3</w:t>
        </w:r>
        <w:r w:rsidR="00875541" w:rsidRPr="003A5628">
          <w:rPr>
            <w:webHidden/>
          </w:rPr>
          <w:fldChar w:fldCharType="end"/>
        </w:r>
      </w:hyperlink>
    </w:p>
    <w:p w14:paraId="07AAE84D" w14:textId="045E979E" w:rsidR="00875541" w:rsidRPr="003A5628" w:rsidRDefault="0010680D">
      <w:pPr>
        <w:pStyle w:val="TOC1"/>
        <w:rPr>
          <w:rFonts w:eastAsiaTheme="minorEastAsia" w:cstheme="minorBidi"/>
          <w:b w:val="0"/>
          <w:bCs w:val="0"/>
          <w:caps w:val="0"/>
          <w:color w:val="auto"/>
          <w:sz w:val="22"/>
          <w:szCs w:val="22"/>
          <w:lang w:eastAsia="en-AU"/>
        </w:rPr>
      </w:pPr>
      <w:hyperlink w:anchor="_Toc516845672" w:history="1">
        <w:r w:rsidR="00875541" w:rsidRPr="003A5628">
          <w:rPr>
            <w:rStyle w:val="Hyperlink"/>
          </w:rPr>
          <w:t>2.</w:t>
        </w:r>
        <w:r w:rsidR="00875541" w:rsidRPr="003A5628">
          <w:rPr>
            <w:rFonts w:eastAsiaTheme="minorEastAsia" w:cstheme="minorBidi"/>
            <w:b w:val="0"/>
            <w:bCs w:val="0"/>
            <w:caps w:val="0"/>
            <w:color w:val="auto"/>
            <w:sz w:val="22"/>
            <w:szCs w:val="22"/>
            <w:lang w:eastAsia="en-AU"/>
          </w:rPr>
          <w:tab/>
        </w:r>
        <w:r w:rsidR="00875541" w:rsidRPr="003A5628">
          <w:rPr>
            <w:rStyle w:val="Hyperlink"/>
          </w:rPr>
          <w:t>About SuperRatings</w:t>
        </w:r>
        <w:r w:rsidR="00875541" w:rsidRPr="003A5628">
          <w:rPr>
            <w:webHidden/>
          </w:rPr>
          <w:tab/>
        </w:r>
        <w:r w:rsidR="00875541" w:rsidRPr="003A5628">
          <w:rPr>
            <w:webHidden/>
          </w:rPr>
          <w:fldChar w:fldCharType="begin"/>
        </w:r>
        <w:r w:rsidR="00875541" w:rsidRPr="003A5628">
          <w:rPr>
            <w:webHidden/>
          </w:rPr>
          <w:instrText xml:space="preserve"> PAGEREF _Toc516845672 \h </w:instrText>
        </w:r>
        <w:r w:rsidR="00875541" w:rsidRPr="003A5628">
          <w:rPr>
            <w:webHidden/>
          </w:rPr>
        </w:r>
        <w:r w:rsidR="00875541" w:rsidRPr="003A5628">
          <w:rPr>
            <w:webHidden/>
          </w:rPr>
          <w:fldChar w:fldCharType="separate"/>
        </w:r>
        <w:r w:rsidR="00F6753B">
          <w:rPr>
            <w:webHidden/>
          </w:rPr>
          <w:t>5</w:t>
        </w:r>
        <w:r w:rsidR="00875541" w:rsidRPr="003A5628">
          <w:rPr>
            <w:webHidden/>
          </w:rPr>
          <w:fldChar w:fldCharType="end"/>
        </w:r>
      </w:hyperlink>
    </w:p>
    <w:p w14:paraId="429E7D5B" w14:textId="4D0293EA" w:rsidR="00875541" w:rsidRPr="003A5628" w:rsidRDefault="0010680D">
      <w:pPr>
        <w:pStyle w:val="TOC1"/>
        <w:rPr>
          <w:rFonts w:eastAsiaTheme="minorEastAsia" w:cstheme="minorBidi"/>
          <w:b w:val="0"/>
          <w:bCs w:val="0"/>
          <w:caps w:val="0"/>
          <w:color w:val="auto"/>
          <w:sz w:val="22"/>
          <w:szCs w:val="22"/>
          <w:lang w:eastAsia="en-AU"/>
        </w:rPr>
      </w:pPr>
      <w:hyperlink w:anchor="_Toc516845673" w:history="1">
        <w:r w:rsidR="00875541" w:rsidRPr="003A5628">
          <w:rPr>
            <w:rStyle w:val="Hyperlink"/>
          </w:rPr>
          <w:t>3.</w:t>
        </w:r>
        <w:r w:rsidR="00875541" w:rsidRPr="003A5628">
          <w:rPr>
            <w:rFonts w:eastAsiaTheme="minorEastAsia" w:cstheme="minorBidi"/>
            <w:b w:val="0"/>
            <w:bCs w:val="0"/>
            <w:caps w:val="0"/>
            <w:color w:val="auto"/>
            <w:sz w:val="22"/>
            <w:szCs w:val="22"/>
            <w:lang w:eastAsia="en-AU"/>
          </w:rPr>
          <w:tab/>
        </w:r>
        <w:r w:rsidR="00875541" w:rsidRPr="003A5628">
          <w:rPr>
            <w:rStyle w:val="Hyperlink"/>
          </w:rPr>
          <w:t>Responses to consultation questions</w:t>
        </w:r>
        <w:r w:rsidR="00875541" w:rsidRPr="003A5628">
          <w:rPr>
            <w:webHidden/>
          </w:rPr>
          <w:tab/>
        </w:r>
        <w:r w:rsidR="00875541" w:rsidRPr="003A5628">
          <w:rPr>
            <w:webHidden/>
          </w:rPr>
          <w:fldChar w:fldCharType="begin"/>
        </w:r>
        <w:r w:rsidR="00875541" w:rsidRPr="003A5628">
          <w:rPr>
            <w:webHidden/>
          </w:rPr>
          <w:instrText xml:space="preserve"> PAGEREF _Toc516845673 \h </w:instrText>
        </w:r>
        <w:r w:rsidR="00875541" w:rsidRPr="003A5628">
          <w:rPr>
            <w:webHidden/>
          </w:rPr>
        </w:r>
        <w:r w:rsidR="00875541" w:rsidRPr="003A5628">
          <w:rPr>
            <w:webHidden/>
          </w:rPr>
          <w:fldChar w:fldCharType="separate"/>
        </w:r>
        <w:r w:rsidR="00F6753B">
          <w:rPr>
            <w:webHidden/>
          </w:rPr>
          <w:t>6</w:t>
        </w:r>
        <w:r w:rsidR="00875541" w:rsidRPr="003A5628">
          <w:rPr>
            <w:webHidden/>
          </w:rPr>
          <w:fldChar w:fldCharType="end"/>
        </w:r>
      </w:hyperlink>
    </w:p>
    <w:p w14:paraId="553BEC6A" w14:textId="22A16639" w:rsidR="00875541" w:rsidRPr="003A5628" w:rsidRDefault="0010680D">
      <w:pPr>
        <w:pStyle w:val="TOC2"/>
        <w:tabs>
          <w:tab w:val="left" w:pos="960"/>
          <w:tab w:val="right" w:leader="dot" w:pos="9062"/>
        </w:tabs>
        <w:rPr>
          <w:rFonts w:ascii="Arial Narrow" w:eastAsiaTheme="minorEastAsia" w:hAnsi="Arial Narrow" w:cstheme="minorBidi"/>
          <w:smallCaps w:val="0"/>
          <w:noProof/>
          <w:color w:val="auto"/>
          <w:sz w:val="22"/>
          <w:szCs w:val="22"/>
          <w:lang w:eastAsia="en-AU"/>
        </w:rPr>
      </w:pPr>
      <w:hyperlink w:anchor="_Toc516845674" w:history="1">
        <w:r w:rsidR="00875541" w:rsidRPr="003A5628">
          <w:rPr>
            <w:rStyle w:val="Hyperlink"/>
            <w:rFonts w:ascii="Arial Narrow" w:hAnsi="Arial Narrow"/>
            <w:noProof/>
          </w:rPr>
          <w:t>3.1.</w:t>
        </w:r>
        <w:r w:rsidR="00875541" w:rsidRPr="003A5628">
          <w:rPr>
            <w:rFonts w:ascii="Arial Narrow" w:eastAsiaTheme="minorEastAsia" w:hAnsi="Arial Narrow" w:cstheme="minorBidi"/>
            <w:smallCaps w:val="0"/>
            <w:noProof/>
            <w:color w:val="auto"/>
            <w:sz w:val="22"/>
            <w:szCs w:val="22"/>
            <w:lang w:eastAsia="en-AU"/>
          </w:rPr>
          <w:tab/>
        </w:r>
        <w:r w:rsidR="00875541" w:rsidRPr="003A5628">
          <w:rPr>
            <w:rStyle w:val="Hyperlink"/>
            <w:rFonts w:ascii="Arial Narrow" w:hAnsi="Arial Narrow"/>
            <w:noProof/>
          </w:rPr>
          <w:t>The retirement income framework</w:t>
        </w:r>
        <w:r w:rsidR="00875541" w:rsidRPr="003A5628">
          <w:rPr>
            <w:rFonts w:ascii="Arial Narrow" w:hAnsi="Arial Narrow"/>
            <w:noProof/>
            <w:webHidden/>
          </w:rPr>
          <w:tab/>
        </w:r>
        <w:r w:rsidR="00875541" w:rsidRPr="003A5628">
          <w:rPr>
            <w:rFonts w:ascii="Arial Narrow" w:hAnsi="Arial Narrow"/>
            <w:noProof/>
            <w:webHidden/>
          </w:rPr>
          <w:fldChar w:fldCharType="begin"/>
        </w:r>
        <w:r w:rsidR="00875541" w:rsidRPr="003A5628">
          <w:rPr>
            <w:rFonts w:ascii="Arial Narrow" w:hAnsi="Arial Narrow"/>
            <w:noProof/>
            <w:webHidden/>
          </w:rPr>
          <w:instrText xml:space="preserve"> PAGEREF _Toc516845674 \h </w:instrText>
        </w:r>
        <w:r w:rsidR="00875541" w:rsidRPr="003A5628">
          <w:rPr>
            <w:rFonts w:ascii="Arial Narrow" w:hAnsi="Arial Narrow"/>
            <w:noProof/>
            <w:webHidden/>
          </w:rPr>
        </w:r>
        <w:r w:rsidR="00875541" w:rsidRPr="003A5628">
          <w:rPr>
            <w:rFonts w:ascii="Arial Narrow" w:hAnsi="Arial Narrow"/>
            <w:noProof/>
            <w:webHidden/>
          </w:rPr>
          <w:fldChar w:fldCharType="separate"/>
        </w:r>
        <w:r w:rsidR="00F6753B">
          <w:rPr>
            <w:rFonts w:ascii="Arial Narrow" w:hAnsi="Arial Narrow"/>
            <w:noProof/>
            <w:webHidden/>
          </w:rPr>
          <w:t>6</w:t>
        </w:r>
        <w:r w:rsidR="00875541" w:rsidRPr="003A5628">
          <w:rPr>
            <w:rFonts w:ascii="Arial Narrow" w:hAnsi="Arial Narrow"/>
            <w:noProof/>
            <w:webHidden/>
          </w:rPr>
          <w:fldChar w:fldCharType="end"/>
        </w:r>
      </w:hyperlink>
    </w:p>
    <w:p w14:paraId="76E98EF9" w14:textId="0D70A874" w:rsidR="00875541" w:rsidRPr="003A5628" w:rsidRDefault="0010680D">
      <w:pPr>
        <w:pStyle w:val="TOC2"/>
        <w:tabs>
          <w:tab w:val="left" w:pos="960"/>
          <w:tab w:val="right" w:leader="dot" w:pos="9062"/>
        </w:tabs>
        <w:rPr>
          <w:rFonts w:ascii="Arial Narrow" w:eastAsiaTheme="minorEastAsia" w:hAnsi="Arial Narrow" w:cstheme="minorBidi"/>
          <w:smallCaps w:val="0"/>
          <w:noProof/>
          <w:color w:val="auto"/>
          <w:sz w:val="22"/>
          <w:szCs w:val="22"/>
          <w:lang w:eastAsia="en-AU"/>
        </w:rPr>
      </w:pPr>
      <w:hyperlink w:anchor="_Toc516845675" w:history="1">
        <w:r w:rsidR="00875541" w:rsidRPr="003A5628">
          <w:rPr>
            <w:rStyle w:val="Hyperlink"/>
            <w:rFonts w:ascii="Arial Narrow" w:hAnsi="Arial Narrow"/>
            <w:noProof/>
          </w:rPr>
          <w:t>3.2.</w:t>
        </w:r>
        <w:r w:rsidR="00875541" w:rsidRPr="003A5628">
          <w:rPr>
            <w:rFonts w:ascii="Arial Narrow" w:eastAsiaTheme="minorEastAsia" w:hAnsi="Arial Narrow" w:cstheme="minorBidi"/>
            <w:smallCaps w:val="0"/>
            <w:noProof/>
            <w:color w:val="auto"/>
            <w:sz w:val="22"/>
            <w:szCs w:val="22"/>
            <w:lang w:eastAsia="en-AU"/>
          </w:rPr>
          <w:tab/>
        </w:r>
        <w:r w:rsidR="00875541" w:rsidRPr="003A5628">
          <w:rPr>
            <w:rStyle w:val="Hyperlink"/>
            <w:rFonts w:ascii="Arial Narrow" w:hAnsi="Arial Narrow"/>
            <w:noProof/>
          </w:rPr>
          <w:t>Retirement income covenant</w:t>
        </w:r>
        <w:r w:rsidR="00875541" w:rsidRPr="003A5628">
          <w:rPr>
            <w:rFonts w:ascii="Arial Narrow" w:hAnsi="Arial Narrow"/>
            <w:noProof/>
            <w:webHidden/>
          </w:rPr>
          <w:tab/>
        </w:r>
        <w:r w:rsidR="00875541" w:rsidRPr="003A5628">
          <w:rPr>
            <w:rFonts w:ascii="Arial Narrow" w:hAnsi="Arial Narrow"/>
            <w:noProof/>
            <w:webHidden/>
          </w:rPr>
          <w:fldChar w:fldCharType="begin"/>
        </w:r>
        <w:r w:rsidR="00875541" w:rsidRPr="003A5628">
          <w:rPr>
            <w:rFonts w:ascii="Arial Narrow" w:hAnsi="Arial Narrow"/>
            <w:noProof/>
            <w:webHidden/>
          </w:rPr>
          <w:instrText xml:space="preserve"> PAGEREF _Toc516845675 \h </w:instrText>
        </w:r>
        <w:r w:rsidR="00875541" w:rsidRPr="003A5628">
          <w:rPr>
            <w:rFonts w:ascii="Arial Narrow" w:hAnsi="Arial Narrow"/>
            <w:noProof/>
            <w:webHidden/>
          </w:rPr>
        </w:r>
        <w:r w:rsidR="00875541" w:rsidRPr="003A5628">
          <w:rPr>
            <w:rFonts w:ascii="Arial Narrow" w:hAnsi="Arial Narrow"/>
            <w:noProof/>
            <w:webHidden/>
          </w:rPr>
          <w:fldChar w:fldCharType="separate"/>
        </w:r>
        <w:r w:rsidR="00F6753B">
          <w:rPr>
            <w:rFonts w:ascii="Arial Narrow" w:hAnsi="Arial Narrow"/>
            <w:noProof/>
            <w:webHidden/>
          </w:rPr>
          <w:t>6</w:t>
        </w:r>
        <w:r w:rsidR="00875541" w:rsidRPr="003A5628">
          <w:rPr>
            <w:rFonts w:ascii="Arial Narrow" w:hAnsi="Arial Narrow"/>
            <w:noProof/>
            <w:webHidden/>
          </w:rPr>
          <w:fldChar w:fldCharType="end"/>
        </w:r>
      </w:hyperlink>
    </w:p>
    <w:p w14:paraId="791ED8F2" w14:textId="0046EA12" w:rsidR="00875541" w:rsidRPr="003A5628" w:rsidRDefault="0010680D">
      <w:pPr>
        <w:pStyle w:val="TOC2"/>
        <w:tabs>
          <w:tab w:val="left" w:pos="960"/>
          <w:tab w:val="right" w:leader="dot" w:pos="9062"/>
        </w:tabs>
        <w:rPr>
          <w:rFonts w:ascii="Arial Narrow" w:eastAsiaTheme="minorEastAsia" w:hAnsi="Arial Narrow" w:cstheme="minorBidi"/>
          <w:smallCaps w:val="0"/>
          <w:noProof/>
          <w:color w:val="auto"/>
          <w:sz w:val="22"/>
          <w:szCs w:val="22"/>
          <w:lang w:eastAsia="en-AU"/>
        </w:rPr>
      </w:pPr>
      <w:hyperlink w:anchor="_Toc516845676" w:history="1">
        <w:r w:rsidR="00875541" w:rsidRPr="003A5628">
          <w:rPr>
            <w:rStyle w:val="Hyperlink"/>
            <w:rFonts w:ascii="Arial Narrow" w:hAnsi="Arial Narrow"/>
            <w:noProof/>
          </w:rPr>
          <w:t>3.3.</w:t>
        </w:r>
        <w:r w:rsidR="00875541" w:rsidRPr="003A5628">
          <w:rPr>
            <w:rFonts w:ascii="Arial Narrow" w:eastAsiaTheme="minorEastAsia" w:hAnsi="Arial Narrow" w:cstheme="minorBidi"/>
            <w:smallCaps w:val="0"/>
            <w:noProof/>
            <w:color w:val="auto"/>
            <w:sz w:val="22"/>
            <w:szCs w:val="22"/>
            <w:lang w:eastAsia="en-AU"/>
          </w:rPr>
          <w:tab/>
        </w:r>
        <w:r w:rsidR="00875541" w:rsidRPr="003A5628">
          <w:rPr>
            <w:rStyle w:val="Hyperlink"/>
            <w:rFonts w:ascii="Arial Narrow" w:hAnsi="Arial Narrow"/>
            <w:noProof/>
          </w:rPr>
          <w:t>Covenant principles</w:t>
        </w:r>
        <w:r w:rsidR="00875541" w:rsidRPr="003A5628">
          <w:rPr>
            <w:rFonts w:ascii="Arial Narrow" w:hAnsi="Arial Narrow"/>
            <w:noProof/>
            <w:webHidden/>
          </w:rPr>
          <w:tab/>
        </w:r>
        <w:r w:rsidR="00875541" w:rsidRPr="003A5628">
          <w:rPr>
            <w:rFonts w:ascii="Arial Narrow" w:hAnsi="Arial Narrow"/>
            <w:noProof/>
            <w:webHidden/>
          </w:rPr>
          <w:fldChar w:fldCharType="begin"/>
        </w:r>
        <w:r w:rsidR="00875541" w:rsidRPr="003A5628">
          <w:rPr>
            <w:rFonts w:ascii="Arial Narrow" w:hAnsi="Arial Narrow"/>
            <w:noProof/>
            <w:webHidden/>
          </w:rPr>
          <w:instrText xml:space="preserve"> PAGEREF _Toc516845676 \h </w:instrText>
        </w:r>
        <w:r w:rsidR="00875541" w:rsidRPr="003A5628">
          <w:rPr>
            <w:rFonts w:ascii="Arial Narrow" w:hAnsi="Arial Narrow"/>
            <w:noProof/>
            <w:webHidden/>
          </w:rPr>
        </w:r>
        <w:r w:rsidR="00875541" w:rsidRPr="003A5628">
          <w:rPr>
            <w:rFonts w:ascii="Arial Narrow" w:hAnsi="Arial Narrow"/>
            <w:noProof/>
            <w:webHidden/>
          </w:rPr>
          <w:fldChar w:fldCharType="separate"/>
        </w:r>
        <w:r w:rsidR="00F6753B">
          <w:rPr>
            <w:rFonts w:ascii="Arial Narrow" w:hAnsi="Arial Narrow"/>
            <w:noProof/>
            <w:webHidden/>
          </w:rPr>
          <w:t>7</w:t>
        </w:r>
        <w:r w:rsidR="00875541" w:rsidRPr="003A5628">
          <w:rPr>
            <w:rFonts w:ascii="Arial Narrow" w:hAnsi="Arial Narrow"/>
            <w:noProof/>
            <w:webHidden/>
          </w:rPr>
          <w:fldChar w:fldCharType="end"/>
        </w:r>
      </w:hyperlink>
    </w:p>
    <w:p w14:paraId="2F75AABC" w14:textId="619AEEBA" w:rsidR="00875541" w:rsidRPr="003A5628" w:rsidRDefault="0010680D">
      <w:pPr>
        <w:pStyle w:val="TOC2"/>
        <w:tabs>
          <w:tab w:val="left" w:pos="960"/>
          <w:tab w:val="right" w:leader="dot" w:pos="9062"/>
        </w:tabs>
        <w:rPr>
          <w:rFonts w:ascii="Arial Narrow" w:eastAsiaTheme="minorEastAsia" w:hAnsi="Arial Narrow" w:cstheme="minorBidi"/>
          <w:smallCaps w:val="0"/>
          <w:noProof/>
          <w:color w:val="auto"/>
          <w:sz w:val="22"/>
          <w:szCs w:val="22"/>
          <w:lang w:eastAsia="en-AU"/>
        </w:rPr>
      </w:pPr>
      <w:hyperlink w:anchor="_Toc516845677" w:history="1">
        <w:r w:rsidR="00875541" w:rsidRPr="003A5628">
          <w:rPr>
            <w:rStyle w:val="Hyperlink"/>
            <w:rFonts w:ascii="Arial Narrow" w:hAnsi="Arial Narrow"/>
            <w:noProof/>
          </w:rPr>
          <w:t>3.4.</w:t>
        </w:r>
        <w:r w:rsidR="00875541" w:rsidRPr="003A5628">
          <w:rPr>
            <w:rFonts w:ascii="Arial Narrow" w:eastAsiaTheme="minorEastAsia" w:hAnsi="Arial Narrow" w:cstheme="minorBidi"/>
            <w:smallCaps w:val="0"/>
            <w:noProof/>
            <w:color w:val="auto"/>
            <w:sz w:val="22"/>
            <w:szCs w:val="22"/>
            <w:lang w:eastAsia="en-AU"/>
          </w:rPr>
          <w:tab/>
        </w:r>
        <w:r w:rsidR="00875541" w:rsidRPr="003A5628">
          <w:rPr>
            <w:rStyle w:val="Hyperlink"/>
            <w:rFonts w:ascii="Arial Narrow" w:hAnsi="Arial Narrow"/>
            <w:noProof/>
          </w:rPr>
          <w:t>Support principles</w:t>
        </w:r>
        <w:r w:rsidR="00875541" w:rsidRPr="003A5628">
          <w:rPr>
            <w:rFonts w:ascii="Arial Narrow" w:hAnsi="Arial Narrow"/>
            <w:noProof/>
            <w:webHidden/>
          </w:rPr>
          <w:tab/>
        </w:r>
        <w:r w:rsidR="00875541" w:rsidRPr="003A5628">
          <w:rPr>
            <w:rFonts w:ascii="Arial Narrow" w:hAnsi="Arial Narrow"/>
            <w:noProof/>
            <w:webHidden/>
          </w:rPr>
          <w:fldChar w:fldCharType="begin"/>
        </w:r>
        <w:r w:rsidR="00875541" w:rsidRPr="003A5628">
          <w:rPr>
            <w:rFonts w:ascii="Arial Narrow" w:hAnsi="Arial Narrow"/>
            <w:noProof/>
            <w:webHidden/>
          </w:rPr>
          <w:instrText xml:space="preserve"> PAGEREF _Toc516845677 \h </w:instrText>
        </w:r>
        <w:r w:rsidR="00875541" w:rsidRPr="003A5628">
          <w:rPr>
            <w:rFonts w:ascii="Arial Narrow" w:hAnsi="Arial Narrow"/>
            <w:noProof/>
            <w:webHidden/>
          </w:rPr>
        </w:r>
        <w:r w:rsidR="00875541" w:rsidRPr="003A5628">
          <w:rPr>
            <w:rFonts w:ascii="Arial Narrow" w:hAnsi="Arial Narrow"/>
            <w:noProof/>
            <w:webHidden/>
          </w:rPr>
          <w:fldChar w:fldCharType="separate"/>
        </w:r>
        <w:r w:rsidR="00F6753B">
          <w:rPr>
            <w:rFonts w:ascii="Arial Narrow" w:hAnsi="Arial Narrow"/>
            <w:noProof/>
            <w:webHidden/>
          </w:rPr>
          <w:t>8</w:t>
        </w:r>
        <w:r w:rsidR="00875541" w:rsidRPr="003A5628">
          <w:rPr>
            <w:rFonts w:ascii="Arial Narrow" w:hAnsi="Arial Narrow"/>
            <w:noProof/>
            <w:webHidden/>
          </w:rPr>
          <w:fldChar w:fldCharType="end"/>
        </w:r>
      </w:hyperlink>
    </w:p>
    <w:p w14:paraId="5023BAA6" w14:textId="1ECEF1BE" w:rsidR="00875541" w:rsidRPr="003A5628" w:rsidRDefault="0010680D">
      <w:pPr>
        <w:pStyle w:val="TOC1"/>
        <w:rPr>
          <w:rFonts w:eastAsiaTheme="minorEastAsia" w:cstheme="minorBidi"/>
          <w:b w:val="0"/>
          <w:bCs w:val="0"/>
          <w:caps w:val="0"/>
          <w:color w:val="auto"/>
          <w:sz w:val="22"/>
          <w:szCs w:val="22"/>
          <w:lang w:eastAsia="en-AU"/>
        </w:rPr>
      </w:pPr>
      <w:hyperlink w:anchor="_Toc516845678" w:history="1">
        <w:r w:rsidR="00875541" w:rsidRPr="003A5628">
          <w:rPr>
            <w:rStyle w:val="Hyperlink"/>
          </w:rPr>
          <w:t>4.</w:t>
        </w:r>
        <w:r w:rsidR="00875541" w:rsidRPr="003A5628">
          <w:rPr>
            <w:rFonts w:eastAsiaTheme="minorEastAsia" w:cstheme="minorBidi"/>
            <w:b w:val="0"/>
            <w:bCs w:val="0"/>
            <w:caps w:val="0"/>
            <w:color w:val="auto"/>
            <w:sz w:val="22"/>
            <w:szCs w:val="22"/>
            <w:lang w:eastAsia="en-AU"/>
          </w:rPr>
          <w:tab/>
        </w:r>
        <w:r w:rsidR="00875541" w:rsidRPr="003A5628">
          <w:rPr>
            <w:rStyle w:val="Hyperlink"/>
          </w:rPr>
          <w:t>Other comments</w:t>
        </w:r>
        <w:r w:rsidR="00875541" w:rsidRPr="003A5628">
          <w:rPr>
            <w:webHidden/>
          </w:rPr>
          <w:tab/>
        </w:r>
        <w:r w:rsidR="00875541" w:rsidRPr="003A5628">
          <w:rPr>
            <w:webHidden/>
          </w:rPr>
          <w:fldChar w:fldCharType="begin"/>
        </w:r>
        <w:r w:rsidR="00875541" w:rsidRPr="003A5628">
          <w:rPr>
            <w:webHidden/>
          </w:rPr>
          <w:instrText xml:space="preserve"> PAGEREF _Toc516845678 \h </w:instrText>
        </w:r>
        <w:r w:rsidR="00875541" w:rsidRPr="003A5628">
          <w:rPr>
            <w:webHidden/>
          </w:rPr>
        </w:r>
        <w:r w:rsidR="00875541" w:rsidRPr="003A5628">
          <w:rPr>
            <w:webHidden/>
          </w:rPr>
          <w:fldChar w:fldCharType="separate"/>
        </w:r>
        <w:r w:rsidR="00F6753B">
          <w:rPr>
            <w:webHidden/>
          </w:rPr>
          <w:t>10</w:t>
        </w:r>
        <w:r w:rsidR="00875541" w:rsidRPr="003A5628">
          <w:rPr>
            <w:webHidden/>
          </w:rPr>
          <w:fldChar w:fldCharType="end"/>
        </w:r>
      </w:hyperlink>
    </w:p>
    <w:p w14:paraId="2F65E31C" w14:textId="61D7BEC0" w:rsidR="00087D8C" w:rsidRDefault="00BA4EDF" w:rsidP="00623A14">
      <w:pPr>
        <w:rPr>
          <w:sz w:val="24"/>
        </w:rPr>
      </w:pPr>
      <w:r w:rsidRPr="003A5628">
        <w:rPr>
          <w:color w:val="0070C0"/>
          <w:sz w:val="28"/>
        </w:rPr>
        <w:fldChar w:fldCharType="end"/>
      </w:r>
    </w:p>
    <w:p w14:paraId="72C67885" w14:textId="77777777" w:rsidR="007C2925" w:rsidRDefault="007C2925" w:rsidP="00623A14">
      <w:pPr>
        <w:rPr>
          <w:sz w:val="24"/>
        </w:rPr>
      </w:pPr>
    </w:p>
    <w:p w14:paraId="430A6DDE" w14:textId="77777777" w:rsidR="000F26AD" w:rsidRDefault="000F26AD">
      <w:pPr>
        <w:jc w:val="left"/>
        <w:rPr>
          <w:b/>
          <w:color w:val="0070C0"/>
          <w:sz w:val="18"/>
          <w:szCs w:val="20"/>
        </w:rPr>
      </w:pPr>
      <w:bookmarkStart w:id="1" w:name="_Toc258917436"/>
    </w:p>
    <w:p w14:paraId="0225B8B1" w14:textId="77777777" w:rsidR="000F26AD" w:rsidRDefault="000F26AD">
      <w:pPr>
        <w:jc w:val="left"/>
        <w:rPr>
          <w:b/>
          <w:color w:val="0070C0"/>
          <w:sz w:val="18"/>
          <w:szCs w:val="20"/>
        </w:rPr>
      </w:pPr>
    </w:p>
    <w:p w14:paraId="7C2B0602" w14:textId="77777777" w:rsidR="000F26AD" w:rsidRDefault="000F26AD">
      <w:pPr>
        <w:jc w:val="left"/>
        <w:rPr>
          <w:b/>
          <w:color w:val="0070C0"/>
          <w:sz w:val="18"/>
          <w:szCs w:val="20"/>
        </w:rPr>
      </w:pPr>
    </w:p>
    <w:p w14:paraId="19928546" w14:textId="77777777" w:rsidR="007C2925" w:rsidRDefault="007C2925" w:rsidP="00623A14">
      <w:pPr>
        <w:pStyle w:val="NormalWeb"/>
        <w:shd w:val="clear" w:color="auto" w:fill="FFFFFF"/>
        <w:spacing w:before="0" w:beforeAutospacing="0" w:after="0" w:afterAutospacing="0"/>
        <w:textAlignment w:val="baseline"/>
        <w:rPr>
          <w:sz w:val="24"/>
        </w:rPr>
      </w:pPr>
      <w:r>
        <w:rPr>
          <w:sz w:val="24"/>
        </w:rPr>
        <w:br w:type="page"/>
      </w:r>
    </w:p>
    <w:p w14:paraId="250F934A" w14:textId="77777777" w:rsidR="00623A14" w:rsidRPr="00FB5E6F" w:rsidRDefault="00623A14" w:rsidP="00623A14">
      <w:pPr>
        <w:pStyle w:val="Heading1"/>
        <w:spacing w:before="130" w:after="130"/>
        <w:ind w:left="0" w:hanging="567"/>
        <w:rPr>
          <w:szCs w:val="28"/>
        </w:rPr>
      </w:pPr>
      <w:bookmarkStart w:id="2" w:name="_Toc516845671"/>
      <w:r w:rsidRPr="00FB5E6F">
        <w:rPr>
          <w:szCs w:val="28"/>
        </w:rPr>
        <w:lastRenderedPageBreak/>
        <w:t>Executive Summary</w:t>
      </w:r>
      <w:bookmarkEnd w:id="2"/>
    </w:p>
    <w:p w14:paraId="619254F3" w14:textId="139A5EF3" w:rsidR="00014484" w:rsidRDefault="001571A9" w:rsidP="001309E3">
      <w:pPr>
        <w:rPr>
          <w:szCs w:val="28"/>
        </w:rPr>
      </w:pPr>
      <w:r w:rsidRPr="00AF1777">
        <w:rPr>
          <w:szCs w:val="28"/>
        </w:rPr>
        <w:t xml:space="preserve">SuperRatings would like to thank members of the </w:t>
      </w:r>
      <w:r w:rsidR="007D2668">
        <w:rPr>
          <w:szCs w:val="28"/>
        </w:rPr>
        <w:t xml:space="preserve">Retirement Income Policy Division of The Treasury </w:t>
      </w:r>
      <w:r w:rsidR="009D4BB6">
        <w:rPr>
          <w:szCs w:val="28"/>
        </w:rPr>
        <w:t xml:space="preserve">(“The </w:t>
      </w:r>
      <w:r w:rsidR="00197BE2">
        <w:rPr>
          <w:szCs w:val="28"/>
        </w:rPr>
        <w:t>Advisory Group</w:t>
      </w:r>
      <w:r w:rsidR="009D4BB6">
        <w:rPr>
          <w:szCs w:val="28"/>
        </w:rPr>
        <w:t xml:space="preserve">”) </w:t>
      </w:r>
      <w:r w:rsidRPr="00AF1777">
        <w:rPr>
          <w:szCs w:val="28"/>
        </w:rPr>
        <w:t xml:space="preserve">for providing us with the opportunity to </w:t>
      </w:r>
      <w:r w:rsidR="00014484" w:rsidRPr="005D0A53">
        <w:rPr>
          <w:szCs w:val="28"/>
        </w:rPr>
        <w:t>deliver</w:t>
      </w:r>
      <w:r w:rsidRPr="005D0A53">
        <w:rPr>
          <w:szCs w:val="28"/>
        </w:rPr>
        <w:t xml:space="preserve"> this submission in response to the</w:t>
      </w:r>
      <w:r w:rsidR="007D2668">
        <w:rPr>
          <w:szCs w:val="28"/>
        </w:rPr>
        <w:t xml:space="preserve"> Retirement Income Covenant </w:t>
      </w:r>
      <w:r w:rsidR="007723E0">
        <w:rPr>
          <w:szCs w:val="28"/>
        </w:rPr>
        <w:t>consultation paper</w:t>
      </w:r>
      <w:r w:rsidR="00A50612">
        <w:rPr>
          <w:szCs w:val="28"/>
        </w:rPr>
        <w:t xml:space="preserve"> (“the Paper”)</w:t>
      </w:r>
      <w:r w:rsidR="007723E0">
        <w:rPr>
          <w:szCs w:val="28"/>
        </w:rPr>
        <w:t xml:space="preserve">, </w:t>
      </w:r>
      <w:r w:rsidR="005D0A53" w:rsidRPr="005D0A53">
        <w:rPr>
          <w:szCs w:val="28"/>
        </w:rPr>
        <w:t xml:space="preserve">which contains the </w:t>
      </w:r>
      <w:r w:rsidR="007D2668">
        <w:rPr>
          <w:szCs w:val="28"/>
        </w:rPr>
        <w:t>propos</w:t>
      </w:r>
      <w:r w:rsidR="00197BE2">
        <w:rPr>
          <w:szCs w:val="28"/>
        </w:rPr>
        <w:t>ed principles and was released i</w:t>
      </w:r>
      <w:r w:rsidR="007D2668">
        <w:rPr>
          <w:szCs w:val="28"/>
        </w:rPr>
        <w:t>n May</w:t>
      </w:r>
      <w:r w:rsidR="00ED36F8" w:rsidRPr="005D0A53">
        <w:rPr>
          <w:szCs w:val="28"/>
        </w:rPr>
        <w:t xml:space="preserve"> 201</w:t>
      </w:r>
      <w:r w:rsidR="007D2668">
        <w:rPr>
          <w:szCs w:val="28"/>
        </w:rPr>
        <w:t>8</w:t>
      </w:r>
      <w:r w:rsidR="001309E3" w:rsidRPr="005D0A53">
        <w:rPr>
          <w:szCs w:val="28"/>
        </w:rPr>
        <w:t>.</w:t>
      </w:r>
      <w:r w:rsidR="001309E3" w:rsidRPr="00AF1777">
        <w:rPr>
          <w:szCs w:val="28"/>
        </w:rPr>
        <w:t xml:space="preserve">  </w:t>
      </w:r>
    </w:p>
    <w:p w14:paraId="45D1CAAA" w14:textId="77777777" w:rsidR="00014484" w:rsidRDefault="00014484" w:rsidP="001309E3">
      <w:pPr>
        <w:rPr>
          <w:szCs w:val="28"/>
        </w:rPr>
      </w:pPr>
    </w:p>
    <w:p w14:paraId="1C58B42D" w14:textId="10C535FD" w:rsidR="000E497F" w:rsidRPr="00FB5E6F" w:rsidRDefault="001309E3" w:rsidP="001309E3">
      <w:pPr>
        <w:rPr>
          <w:szCs w:val="28"/>
        </w:rPr>
      </w:pPr>
      <w:r w:rsidRPr="00FB5E6F">
        <w:rPr>
          <w:szCs w:val="28"/>
        </w:rPr>
        <w:t>SuperRatings is an independent research house, which has been assessing and rating super</w:t>
      </w:r>
      <w:r w:rsidR="007F61F9" w:rsidRPr="00FB5E6F">
        <w:rPr>
          <w:szCs w:val="28"/>
        </w:rPr>
        <w:t>annuation funds for more than 15</w:t>
      </w:r>
      <w:r w:rsidRPr="00FB5E6F">
        <w:rPr>
          <w:szCs w:val="28"/>
        </w:rPr>
        <w:t xml:space="preserve"> years</w:t>
      </w:r>
      <w:r w:rsidR="005D2F4E">
        <w:rPr>
          <w:szCs w:val="28"/>
        </w:rPr>
        <w:t xml:space="preserve">.  </w:t>
      </w:r>
      <w:r w:rsidR="00BA180E" w:rsidRPr="00FB5E6F">
        <w:rPr>
          <w:szCs w:val="28"/>
        </w:rPr>
        <w:t xml:space="preserve">Given SuperRatings background in superannuation, </w:t>
      </w:r>
      <w:r w:rsidR="002914F5" w:rsidRPr="00FB5E6F">
        <w:rPr>
          <w:szCs w:val="28"/>
        </w:rPr>
        <w:t xml:space="preserve">we are well placed to provide input into the development of the </w:t>
      </w:r>
      <w:r w:rsidR="005D2F4E">
        <w:rPr>
          <w:szCs w:val="28"/>
        </w:rPr>
        <w:t>Retirement Income Covenant (“the Covenant”)</w:t>
      </w:r>
      <w:r w:rsidR="001E59BB" w:rsidRPr="00FB5E6F">
        <w:rPr>
          <w:szCs w:val="28"/>
        </w:rPr>
        <w:t>.</w:t>
      </w:r>
    </w:p>
    <w:p w14:paraId="1204E2B7" w14:textId="77777777" w:rsidR="001309E3" w:rsidRPr="00FB5E6F" w:rsidRDefault="001309E3">
      <w:pPr>
        <w:jc w:val="left"/>
        <w:rPr>
          <w:szCs w:val="28"/>
        </w:rPr>
      </w:pPr>
    </w:p>
    <w:p w14:paraId="77E59F02" w14:textId="77777777" w:rsidR="00197BE2" w:rsidRDefault="00197BE2" w:rsidP="00197BE2">
      <w:r>
        <w:t>In general, SuperRatings supports the proposed principles, with some qualifications in areas where we believe that there is potential for the proposals to lead to a level of complexity which might discourage retiring members from considering CIPR products.  As a general principle, we believe the covenant should focus on the following objectives:</w:t>
      </w:r>
    </w:p>
    <w:p w14:paraId="3F12007E" w14:textId="77777777" w:rsidR="00197BE2" w:rsidRDefault="00197BE2" w:rsidP="00197BE2"/>
    <w:p w14:paraId="30A9C9DA" w14:textId="2829A375" w:rsidR="00197BE2" w:rsidRDefault="00197BE2" w:rsidP="00C3359B">
      <w:pPr>
        <w:pStyle w:val="ListParagraph"/>
        <w:numPr>
          <w:ilvl w:val="0"/>
          <w:numId w:val="11"/>
        </w:numPr>
        <w:spacing w:after="120" w:line="259" w:lineRule="auto"/>
        <w:ind w:left="714" w:hanging="357"/>
        <w:contextualSpacing w:val="0"/>
        <w:jc w:val="left"/>
      </w:pPr>
      <w:r>
        <w:t>Ensuring that fund trustees have a strategy in place for retirement incomes;</w:t>
      </w:r>
    </w:p>
    <w:p w14:paraId="7CB16F22" w14:textId="6CC5353B" w:rsidR="00197BE2" w:rsidRDefault="00197BE2" w:rsidP="00C3359B">
      <w:pPr>
        <w:pStyle w:val="ListParagraph"/>
        <w:numPr>
          <w:ilvl w:val="0"/>
          <w:numId w:val="11"/>
        </w:numPr>
        <w:spacing w:after="120" w:line="259" w:lineRule="auto"/>
        <w:ind w:left="714" w:hanging="357"/>
        <w:contextualSpacing w:val="0"/>
        <w:jc w:val="left"/>
      </w:pPr>
      <w:r>
        <w:t>Providing a framework for a simple, easily communicated ‘default’ retirement product;</w:t>
      </w:r>
    </w:p>
    <w:p w14:paraId="3E015B5F" w14:textId="71F4A148" w:rsidR="00197BE2" w:rsidRDefault="00197BE2" w:rsidP="00C3359B">
      <w:pPr>
        <w:pStyle w:val="ListParagraph"/>
        <w:numPr>
          <w:ilvl w:val="0"/>
          <w:numId w:val="11"/>
        </w:numPr>
        <w:spacing w:after="120" w:line="259" w:lineRule="auto"/>
        <w:ind w:left="714" w:hanging="357"/>
        <w:contextualSpacing w:val="0"/>
        <w:jc w:val="left"/>
      </w:pPr>
      <w:r>
        <w:t>Encouraging trustees to deal with individual member needs via more customised products, preferably delivered in the context of full or scaled advice; and</w:t>
      </w:r>
    </w:p>
    <w:p w14:paraId="551B1444" w14:textId="77777777" w:rsidR="00197BE2" w:rsidRPr="00650652" w:rsidRDefault="00197BE2" w:rsidP="00C3359B">
      <w:pPr>
        <w:pStyle w:val="ListParagraph"/>
        <w:numPr>
          <w:ilvl w:val="0"/>
          <w:numId w:val="11"/>
        </w:numPr>
        <w:spacing w:after="120" w:line="259" w:lineRule="auto"/>
        <w:ind w:left="714" w:hanging="357"/>
        <w:contextualSpacing w:val="0"/>
        <w:jc w:val="left"/>
      </w:pPr>
      <w:r>
        <w:t>Encouraging the use of projected retirement incomes rather than lump sums to assist members to plan for their retirement.</w:t>
      </w:r>
    </w:p>
    <w:p w14:paraId="0AE55CDB" w14:textId="77777777" w:rsidR="00197BE2" w:rsidRPr="00650652" w:rsidRDefault="00197BE2" w:rsidP="00197BE2"/>
    <w:p w14:paraId="1C280378" w14:textId="256A3BC4" w:rsidR="00197BE2" w:rsidRPr="00650652" w:rsidRDefault="00197BE2" w:rsidP="00197BE2">
      <w:r>
        <w:t xml:space="preserve">The following table summarises our assessment of the proposed principles.  </w:t>
      </w:r>
    </w:p>
    <w:p w14:paraId="4619D821" w14:textId="77777777" w:rsidR="00197BE2" w:rsidRDefault="00197BE2" w:rsidP="00197BE2"/>
    <w:tbl>
      <w:tblPr>
        <w:tblStyle w:val="GridTable4Accent1"/>
        <w:tblW w:w="9067" w:type="dxa"/>
        <w:tblLook w:val="04A0" w:firstRow="1" w:lastRow="0" w:firstColumn="1" w:lastColumn="0" w:noHBand="0" w:noVBand="1"/>
      </w:tblPr>
      <w:tblGrid>
        <w:gridCol w:w="4744"/>
        <w:gridCol w:w="4323"/>
      </w:tblGrid>
      <w:tr w:rsidR="00197BE2" w:rsidRPr="007F3FE3" w14:paraId="0B19AAD2" w14:textId="77777777" w:rsidTr="003A5628">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744" w:type="dxa"/>
          </w:tcPr>
          <w:p w14:paraId="6885330B" w14:textId="77777777" w:rsidR="00197BE2" w:rsidRPr="00197BE2" w:rsidRDefault="00197BE2" w:rsidP="005D2F4E">
            <w:pPr>
              <w:jc w:val="left"/>
              <w:rPr>
                <w:b w:val="0"/>
                <w:color w:val="FFFFFF" w:themeColor="background1"/>
              </w:rPr>
            </w:pPr>
            <w:r w:rsidRPr="00197BE2">
              <w:rPr>
                <w:color w:val="FFFFFF" w:themeColor="background1"/>
              </w:rPr>
              <w:t>Proposed principle</w:t>
            </w:r>
          </w:p>
        </w:tc>
        <w:tc>
          <w:tcPr>
            <w:tcW w:w="4323" w:type="dxa"/>
          </w:tcPr>
          <w:p w14:paraId="59040AA8" w14:textId="77777777" w:rsidR="00197BE2" w:rsidRPr="00197BE2" w:rsidRDefault="00197BE2" w:rsidP="005D2F4E">
            <w:pPr>
              <w:jc w:val="lef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197BE2">
              <w:rPr>
                <w:color w:val="FFFFFF" w:themeColor="background1"/>
              </w:rPr>
              <w:t>SuperRatings’ assessment</w:t>
            </w:r>
          </w:p>
        </w:tc>
      </w:tr>
      <w:tr w:rsidR="00197BE2" w14:paraId="1328E54E" w14:textId="77777777" w:rsidTr="003A5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4" w:type="dxa"/>
          </w:tcPr>
          <w:p w14:paraId="72BB0151" w14:textId="77777777" w:rsidR="00197BE2" w:rsidRPr="007F3FE3" w:rsidRDefault="00197BE2" w:rsidP="005D2F4E">
            <w:pPr>
              <w:pStyle w:val="ListParagraph"/>
              <w:numPr>
                <w:ilvl w:val="0"/>
                <w:numId w:val="8"/>
              </w:numPr>
              <w:jc w:val="left"/>
              <w:rPr>
                <w:b w:val="0"/>
              </w:rPr>
            </w:pPr>
            <w:r w:rsidRPr="007F3FE3">
              <w:rPr>
                <w:b w:val="0"/>
              </w:rPr>
              <w:t>Retirement Income Strategy</w:t>
            </w:r>
          </w:p>
        </w:tc>
        <w:tc>
          <w:tcPr>
            <w:tcW w:w="4323" w:type="dxa"/>
          </w:tcPr>
          <w:p w14:paraId="0B2E8820" w14:textId="77777777" w:rsidR="00197BE2" w:rsidRPr="007F3FE3" w:rsidRDefault="00197BE2" w:rsidP="005D2F4E">
            <w:pPr>
              <w:jc w:val="left"/>
              <w:cnfStyle w:val="000000100000" w:firstRow="0" w:lastRow="0" w:firstColumn="0" w:lastColumn="0" w:oddVBand="0" w:evenVBand="0" w:oddHBand="1" w:evenHBand="0" w:firstRowFirstColumn="0" w:firstRowLastColumn="0" w:lastRowFirstColumn="0" w:lastRowLastColumn="0"/>
            </w:pPr>
            <w:r w:rsidRPr="007F3FE3">
              <w:t>Support</w:t>
            </w:r>
          </w:p>
        </w:tc>
      </w:tr>
      <w:tr w:rsidR="00197BE2" w14:paraId="0DCC8A3F" w14:textId="77777777" w:rsidTr="003A5628">
        <w:tc>
          <w:tcPr>
            <w:cnfStyle w:val="001000000000" w:firstRow="0" w:lastRow="0" w:firstColumn="1" w:lastColumn="0" w:oddVBand="0" w:evenVBand="0" w:oddHBand="0" w:evenHBand="0" w:firstRowFirstColumn="0" w:firstRowLastColumn="0" w:lastRowFirstColumn="0" w:lastRowLastColumn="0"/>
            <w:tcW w:w="4744" w:type="dxa"/>
          </w:tcPr>
          <w:p w14:paraId="22F1A539" w14:textId="77777777" w:rsidR="00197BE2" w:rsidRPr="007F3FE3" w:rsidRDefault="00197BE2" w:rsidP="005D2F4E">
            <w:pPr>
              <w:pStyle w:val="ListParagraph"/>
              <w:numPr>
                <w:ilvl w:val="0"/>
                <w:numId w:val="8"/>
              </w:numPr>
              <w:jc w:val="left"/>
              <w:rPr>
                <w:b w:val="0"/>
              </w:rPr>
            </w:pPr>
            <w:r w:rsidRPr="007F3FE3">
              <w:rPr>
                <w:b w:val="0"/>
              </w:rPr>
              <w:t>Engagement</w:t>
            </w:r>
          </w:p>
        </w:tc>
        <w:tc>
          <w:tcPr>
            <w:tcW w:w="4323" w:type="dxa"/>
          </w:tcPr>
          <w:p w14:paraId="2B5C44EA" w14:textId="77777777" w:rsidR="00197BE2" w:rsidRPr="007F3FE3" w:rsidRDefault="00197BE2" w:rsidP="005D2F4E">
            <w:pPr>
              <w:jc w:val="left"/>
              <w:cnfStyle w:val="000000000000" w:firstRow="0" w:lastRow="0" w:firstColumn="0" w:lastColumn="0" w:oddVBand="0" w:evenVBand="0" w:oddHBand="0" w:evenHBand="0" w:firstRowFirstColumn="0" w:firstRowLastColumn="0" w:lastRowFirstColumn="0" w:lastRowLastColumn="0"/>
            </w:pPr>
            <w:r w:rsidRPr="007F3FE3">
              <w:t>Support with qualifications</w:t>
            </w:r>
          </w:p>
        </w:tc>
      </w:tr>
      <w:tr w:rsidR="00197BE2" w14:paraId="0526B63B" w14:textId="77777777" w:rsidTr="003A5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4" w:type="dxa"/>
          </w:tcPr>
          <w:p w14:paraId="7AE04011" w14:textId="77777777" w:rsidR="00197BE2" w:rsidRPr="007F3FE3" w:rsidRDefault="00197BE2" w:rsidP="005D2F4E">
            <w:pPr>
              <w:pStyle w:val="ListParagraph"/>
              <w:numPr>
                <w:ilvl w:val="0"/>
                <w:numId w:val="8"/>
              </w:numPr>
              <w:jc w:val="left"/>
              <w:rPr>
                <w:b w:val="0"/>
              </w:rPr>
            </w:pPr>
            <w:r w:rsidRPr="007F3FE3">
              <w:rPr>
                <w:b w:val="0"/>
              </w:rPr>
              <w:t>Definition of a CIPR</w:t>
            </w:r>
          </w:p>
        </w:tc>
        <w:tc>
          <w:tcPr>
            <w:tcW w:w="4323" w:type="dxa"/>
          </w:tcPr>
          <w:p w14:paraId="0806BA53" w14:textId="77777777" w:rsidR="00197BE2" w:rsidRPr="007F3FE3" w:rsidRDefault="00197BE2" w:rsidP="005D2F4E">
            <w:pPr>
              <w:jc w:val="left"/>
              <w:cnfStyle w:val="000000100000" w:firstRow="0" w:lastRow="0" w:firstColumn="0" w:lastColumn="0" w:oddVBand="0" w:evenVBand="0" w:oddHBand="1" w:evenHBand="0" w:firstRowFirstColumn="0" w:firstRowLastColumn="0" w:lastRowFirstColumn="0" w:lastRowLastColumn="0"/>
            </w:pPr>
            <w:r w:rsidRPr="007F3FE3">
              <w:t>Support with qualifications</w:t>
            </w:r>
          </w:p>
        </w:tc>
      </w:tr>
      <w:tr w:rsidR="00197BE2" w14:paraId="07EA115F" w14:textId="77777777" w:rsidTr="003A5628">
        <w:tc>
          <w:tcPr>
            <w:cnfStyle w:val="001000000000" w:firstRow="0" w:lastRow="0" w:firstColumn="1" w:lastColumn="0" w:oddVBand="0" w:evenVBand="0" w:oddHBand="0" w:evenHBand="0" w:firstRowFirstColumn="0" w:firstRowLastColumn="0" w:lastRowFirstColumn="0" w:lastRowLastColumn="0"/>
            <w:tcW w:w="4744" w:type="dxa"/>
          </w:tcPr>
          <w:p w14:paraId="3929B220" w14:textId="77777777" w:rsidR="00197BE2" w:rsidRPr="007F3FE3" w:rsidRDefault="00197BE2" w:rsidP="005D2F4E">
            <w:pPr>
              <w:pStyle w:val="ListParagraph"/>
              <w:numPr>
                <w:ilvl w:val="0"/>
                <w:numId w:val="8"/>
              </w:numPr>
              <w:jc w:val="left"/>
              <w:rPr>
                <w:b w:val="0"/>
              </w:rPr>
            </w:pPr>
            <w:r w:rsidRPr="007F3FE3">
              <w:rPr>
                <w:b w:val="0"/>
              </w:rPr>
              <w:t>Offering a flagship CIPR</w:t>
            </w:r>
          </w:p>
        </w:tc>
        <w:tc>
          <w:tcPr>
            <w:tcW w:w="4323" w:type="dxa"/>
          </w:tcPr>
          <w:p w14:paraId="0FA3546A" w14:textId="77777777" w:rsidR="00197BE2" w:rsidRPr="007F3FE3" w:rsidRDefault="00197BE2" w:rsidP="005D2F4E">
            <w:pPr>
              <w:jc w:val="left"/>
              <w:cnfStyle w:val="000000000000" w:firstRow="0" w:lastRow="0" w:firstColumn="0" w:lastColumn="0" w:oddVBand="0" w:evenVBand="0" w:oddHBand="0" w:evenHBand="0" w:firstRowFirstColumn="0" w:firstRowLastColumn="0" w:lastRowFirstColumn="0" w:lastRowLastColumn="0"/>
            </w:pPr>
            <w:r w:rsidRPr="007F3FE3">
              <w:t>One flagship CIPR sufficient - with tailoring through an adviser.  Three flagships potentially complex and confusing</w:t>
            </w:r>
          </w:p>
        </w:tc>
      </w:tr>
      <w:tr w:rsidR="00197BE2" w14:paraId="21789635" w14:textId="77777777" w:rsidTr="003A5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4" w:type="dxa"/>
          </w:tcPr>
          <w:p w14:paraId="39A91918" w14:textId="77777777" w:rsidR="00197BE2" w:rsidRPr="007F3FE3" w:rsidRDefault="00197BE2" w:rsidP="005D2F4E">
            <w:pPr>
              <w:pStyle w:val="ListParagraph"/>
              <w:numPr>
                <w:ilvl w:val="0"/>
                <w:numId w:val="8"/>
              </w:numPr>
              <w:jc w:val="left"/>
              <w:rPr>
                <w:b w:val="0"/>
              </w:rPr>
            </w:pPr>
            <w:r w:rsidRPr="007F3FE3">
              <w:rPr>
                <w:b w:val="0"/>
              </w:rPr>
              <w:t>Third party products</w:t>
            </w:r>
          </w:p>
        </w:tc>
        <w:tc>
          <w:tcPr>
            <w:tcW w:w="4323" w:type="dxa"/>
          </w:tcPr>
          <w:p w14:paraId="27346E4F" w14:textId="77777777" w:rsidR="00197BE2" w:rsidRPr="007F3FE3" w:rsidRDefault="00197BE2" w:rsidP="005D2F4E">
            <w:pPr>
              <w:jc w:val="left"/>
              <w:cnfStyle w:val="000000100000" w:firstRow="0" w:lastRow="0" w:firstColumn="0" w:lastColumn="0" w:oddVBand="0" w:evenVBand="0" w:oddHBand="1" w:evenHBand="0" w:firstRowFirstColumn="0" w:firstRowLastColumn="0" w:lastRowFirstColumn="0" w:lastRowLastColumn="0"/>
            </w:pPr>
            <w:r w:rsidRPr="007F3FE3">
              <w:t>Support</w:t>
            </w:r>
          </w:p>
        </w:tc>
      </w:tr>
      <w:tr w:rsidR="00197BE2" w14:paraId="2C660018" w14:textId="77777777" w:rsidTr="003A5628">
        <w:tc>
          <w:tcPr>
            <w:cnfStyle w:val="001000000000" w:firstRow="0" w:lastRow="0" w:firstColumn="1" w:lastColumn="0" w:oddVBand="0" w:evenVBand="0" w:oddHBand="0" w:evenHBand="0" w:firstRowFirstColumn="0" w:firstRowLastColumn="0" w:lastRowFirstColumn="0" w:lastRowLastColumn="0"/>
            <w:tcW w:w="4744" w:type="dxa"/>
          </w:tcPr>
          <w:p w14:paraId="2A272A00" w14:textId="77777777" w:rsidR="00197BE2" w:rsidRPr="007F3FE3" w:rsidRDefault="00197BE2" w:rsidP="005D2F4E">
            <w:pPr>
              <w:pStyle w:val="ListParagraph"/>
              <w:numPr>
                <w:ilvl w:val="0"/>
                <w:numId w:val="8"/>
              </w:numPr>
              <w:jc w:val="left"/>
              <w:rPr>
                <w:b w:val="0"/>
              </w:rPr>
            </w:pPr>
            <w:r w:rsidRPr="007F3FE3">
              <w:rPr>
                <w:b w:val="0"/>
              </w:rPr>
              <w:t>Consent</w:t>
            </w:r>
          </w:p>
        </w:tc>
        <w:tc>
          <w:tcPr>
            <w:tcW w:w="4323" w:type="dxa"/>
          </w:tcPr>
          <w:p w14:paraId="3B830510" w14:textId="77777777" w:rsidR="00197BE2" w:rsidRPr="007F3FE3" w:rsidRDefault="00197BE2" w:rsidP="005D2F4E">
            <w:pPr>
              <w:jc w:val="left"/>
              <w:cnfStyle w:val="000000000000" w:firstRow="0" w:lastRow="0" w:firstColumn="0" w:lastColumn="0" w:oddVBand="0" w:evenVBand="0" w:oddHBand="0" w:evenHBand="0" w:firstRowFirstColumn="0" w:firstRowLastColumn="0" w:lastRowFirstColumn="0" w:lastRowLastColumn="0"/>
            </w:pPr>
            <w:r w:rsidRPr="007F3FE3">
              <w:t>Support</w:t>
            </w:r>
          </w:p>
        </w:tc>
      </w:tr>
      <w:tr w:rsidR="00197BE2" w14:paraId="25F1CA0D" w14:textId="77777777" w:rsidTr="003A5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4" w:type="dxa"/>
          </w:tcPr>
          <w:p w14:paraId="601E64EB" w14:textId="77777777" w:rsidR="00197BE2" w:rsidRPr="007F3FE3" w:rsidRDefault="00197BE2" w:rsidP="005D2F4E">
            <w:pPr>
              <w:pStyle w:val="ListParagraph"/>
              <w:numPr>
                <w:ilvl w:val="0"/>
                <w:numId w:val="8"/>
              </w:numPr>
              <w:jc w:val="left"/>
              <w:rPr>
                <w:b w:val="0"/>
              </w:rPr>
            </w:pPr>
            <w:r w:rsidRPr="007F3FE3">
              <w:rPr>
                <w:b w:val="0"/>
              </w:rPr>
              <w:t>Offering an alternative retirement product through advice</w:t>
            </w:r>
          </w:p>
        </w:tc>
        <w:tc>
          <w:tcPr>
            <w:tcW w:w="4323" w:type="dxa"/>
          </w:tcPr>
          <w:p w14:paraId="09128129" w14:textId="77777777" w:rsidR="00197BE2" w:rsidRPr="007F3FE3" w:rsidRDefault="00197BE2" w:rsidP="005D2F4E">
            <w:pPr>
              <w:jc w:val="left"/>
              <w:cnfStyle w:val="000000100000" w:firstRow="0" w:lastRow="0" w:firstColumn="0" w:lastColumn="0" w:oddVBand="0" w:evenVBand="0" w:oddHBand="1" w:evenHBand="0" w:firstRowFirstColumn="0" w:firstRowLastColumn="0" w:lastRowFirstColumn="0" w:lastRowLastColumn="0"/>
            </w:pPr>
            <w:r w:rsidRPr="007F3FE3">
              <w:t>Support with qualifications</w:t>
            </w:r>
          </w:p>
        </w:tc>
      </w:tr>
      <w:tr w:rsidR="00197BE2" w14:paraId="692B766B" w14:textId="77777777" w:rsidTr="003A5628">
        <w:tc>
          <w:tcPr>
            <w:cnfStyle w:val="001000000000" w:firstRow="0" w:lastRow="0" w:firstColumn="1" w:lastColumn="0" w:oddVBand="0" w:evenVBand="0" w:oddHBand="0" w:evenHBand="0" w:firstRowFirstColumn="0" w:firstRowLastColumn="0" w:lastRowFirstColumn="0" w:lastRowLastColumn="0"/>
            <w:tcW w:w="4744" w:type="dxa"/>
          </w:tcPr>
          <w:p w14:paraId="47E12B7D" w14:textId="77777777" w:rsidR="00197BE2" w:rsidRPr="007F3FE3" w:rsidRDefault="00197BE2" w:rsidP="005D2F4E">
            <w:pPr>
              <w:pStyle w:val="ListParagraph"/>
              <w:numPr>
                <w:ilvl w:val="0"/>
                <w:numId w:val="8"/>
              </w:numPr>
              <w:jc w:val="left"/>
              <w:rPr>
                <w:b w:val="0"/>
              </w:rPr>
            </w:pPr>
            <w:r w:rsidRPr="007F3FE3">
              <w:rPr>
                <w:b w:val="0"/>
              </w:rPr>
              <w:t>Exception for individuals for whom CIPRs are unsuitable</w:t>
            </w:r>
          </w:p>
        </w:tc>
        <w:tc>
          <w:tcPr>
            <w:tcW w:w="4323" w:type="dxa"/>
          </w:tcPr>
          <w:p w14:paraId="244E414A" w14:textId="77777777" w:rsidR="00197BE2" w:rsidRPr="007F3FE3" w:rsidRDefault="00197BE2" w:rsidP="005D2F4E">
            <w:pPr>
              <w:jc w:val="left"/>
              <w:cnfStyle w:val="000000000000" w:firstRow="0" w:lastRow="0" w:firstColumn="0" w:lastColumn="0" w:oddVBand="0" w:evenVBand="0" w:oddHBand="0" w:evenHBand="0" w:firstRowFirstColumn="0" w:firstRowLastColumn="0" w:lastRowFirstColumn="0" w:lastRowLastColumn="0"/>
            </w:pPr>
            <w:r w:rsidRPr="007F3FE3">
              <w:t>Support</w:t>
            </w:r>
          </w:p>
        </w:tc>
      </w:tr>
    </w:tbl>
    <w:p w14:paraId="436ACC19" w14:textId="77777777" w:rsidR="00197BE2" w:rsidRDefault="00197BE2" w:rsidP="00197BE2"/>
    <w:p w14:paraId="7324C421" w14:textId="7B4B557C" w:rsidR="00197BE2" w:rsidRDefault="00197BE2" w:rsidP="00197BE2">
      <w:r>
        <w:t>SuperRatings supports the future consideration of the additional principles identified by the advisory group.</w:t>
      </w:r>
    </w:p>
    <w:p w14:paraId="1D0FAC48" w14:textId="47189CFD" w:rsidR="007D2668" w:rsidRDefault="007D2668" w:rsidP="00BA180E">
      <w:pPr>
        <w:rPr>
          <w:szCs w:val="28"/>
        </w:rPr>
      </w:pPr>
    </w:p>
    <w:p w14:paraId="4F812399" w14:textId="71B091DD" w:rsidR="00D664C5" w:rsidRPr="00D664C5" w:rsidRDefault="00256977" w:rsidP="00D664C5">
      <w:r w:rsidRPr="000159D5">
        <w:t>In this submission</w:t>
      </w:r>
      <w:r w:rsidR="00D26E44" w:rsidRPr="000159D5">
        <w:t>,</w:t>
      </w:r>
      <w:r w:rsidRPr="000159D5">
        <w:t xml:space="preserve"> we respond to selected consultation questions which we feel we are best placed </w:t>
      </w:r>
      <w:r w:rsidR="007177E0" w:rsidRPr="000159D5">
        <w:t xml:space="preserve">to comment on and which we think require further </w:t>
      </w:r>
      <w:r w:rsidR="00197BE2">
        <w:t>consideration</w:t>
      </w:r>
      <w:r w:rsidR="007177E0" w:rsidRPr="000159D5">
        <w:t xml:space="preserve"> </w:t>
      </w:r>
      <w:r w:rsidR="0058730C">
        <w:t>prior to</w:t>
      </w:r>
      <w:r w:rsidR="007177E0" w:rsidRPr="000159D5">
        <w:t xml:space="preserve"> the </w:t>
      </w:r>
      <w:r w:rsidR="007D2668">
        <w:t>release of the final set of principles.</w:t>
      </w:r>
    </w:p>
    <w:p w14:paraId="283F786E" w14:textId="77777777" w:rsidR="002630AB" w:rsidRDefault="002630AB" w:rsidP="00BA180E">
      <w:pPr>
        <w:rPr>
          <w:szCs w:val="28"/>
        </w:rPr>
      </w:pPr>
    </w:p>
    <w:p w14:paraId="25FBD141" w14:textId="77777777" w:rsidR="00B376AD" w:rsidRDefault="00B376AD" w:rsidP="00733CD8">
      <w:pPr>
        <w:spacing w:before="240" w:after="120"/>
        <w:jc w:val="center"/>
        <w:rPr>
          <w:szCs w:val="28"/>
        </w:rPr>
      </w:pPr>
      <w:r>
        <w:rPr>
          <w:szCs w:val="28"/>
        </w:rPr>
        <w:t>*</w:t>
      </w:r>
      <w:r>
        <w:rPr>
          <w:szCs w:val="28"/>
        </w:rPr>
        <w:tab/>
      </w:r>
      <w:r>
        <w:rPr>
          <w:szCs w:val="28"/>
        </w:rPr>
        <w:tab/>
        <w:t>*</w:t>
      </w:r>
      <w:r>
        <w:rPr>
          <w:szCs w:val="28"/>
        </w:rPr>
        <w:tab/>
      </w:r>
      <w:r>
        <w:rPr>
          <w:szCs w:val="28"/>
        </w:rPr>
        <w:tab/>
        <w:t>*</w:t>
      </w:r>
      <w:r>
        <w:rPr>
          <w:szCs w:val="28"/>
        </w:rPr>
        <w:tab/>
      </w:r>
      <w:r>
        <w:rPr>
          <w:szCs w:val="28"/>
        </w:rPr>
        <w:tab/>
        <w:t>*</w:t>
      </w:r>
      <w:r>
        <w:rPr>
          <w:szCs w:val="28"/>
        </w:rPr>
        <w:tab/>
      </w:r>
      <w:r>
        <w:rPr>
          <w:szCs w:val="28"/>
        </w:rPr>
        <w:tab/>
        <w:t>*</w:t>
      </w:r>
    </w:p>
    <w:p w14:paraId="4897746B" w14:textId="77777777" w:rsidR="00053696" w:rsidRDefault="00053696" w:rsidP="00B376AD">
      <w:pPr>
        <w:rPr>
          <w:szCs w:val="28"/>
        </w:rPr>
      </w:pPr>
    </w:p>
    <w:p w14:paraId="04A2A1F0" w14:textId="77777777" w:rsidR="00197BE2" w:rsidRDefault="00197BE2" w:rsidP="00B376AD">
      <w:pPr>
        <w:rPr>
          <w:szCs w:val="28"/>
        </w:rPr>
      </w:pPr>
    </w:p>
    <w:p w14:paraId="607729F9" w14:textId="77777777" w:rsidR="00197BE2" w:rsidRDefault="00197BE2" w:rsidP="00B376AD">
      <w:pPr>
        <w:rPr>
          <w:szCs w:val="28"/>
        </w:rPr>
      </w:pPr>
    </w:p>
    <w:p w14:paraId="2230D806" w14:textId="77777777" w:rsidR="00197BE2" w:rsidRDefault="00197BE2" w:rsidP="00B376AD">
      <w:pPr>
        <w:rPr>
          <w:szCs w:val="28"/>
        </w:rPr>
      </w:pPr>
    </w:p>
    <w:p w14:paraId="479DEE3B" w14:textId="77777777" w:rsidR="00197BE2" w:rsidRDefault="00197BE2" w:rsidP="00B376AD">
      <w:pPr>
        <w:rPr>
          <w:szCs w:val="28"/>
        </w:rPr>
      </w:pPr>
    </w:p>
    <w:p w14:paraId="6F1276B2" w14:textId="77777777" w:rsidR="005D2F4E" w:rsidRDefault="005D2F4E" w:rsidP="005D2F4E">
      <w:pPr>
        <w:rPr>
          <w:szCs w:val="28"/>
        </w:rPr>
      </w:pPr>
    </w:p>
    <w:p w14:paraId="755A037C" w14:textId="5CD19372" w:rsidR="00CB0030" w:rsidRDefault="00B376AD" w:rsidP="005D2F4E">
      <w:pPr>
        <w:rPr>
          <w:szCs w:val="28"/>
        </w:rPr>
      </w:pPr>
      <w:r>
        <w:rPr>
          <w:szCs w:val="28"/>
        </w:rPr>
        <w:t>Once again, Super</w:t>
      </w:r>
      <w:r w:rsidR="009D4BB6">
        <w:rPr>
          <w:szCs w:val="28"/>
        </w:rPr>
        <w:t>Ratings would like to thank The Treasury</w:t>
      </w:r>
      <w:r w:rsidR="00F705D1">
        <w:rPr>
          <w:szCs w:val="28"/>
        </w:rPr>
        <w:t xml:space="preserve"> </w:t>
      </w:r>
      <w:r>
        <w:rPr>
          <w:szCs w:val="28"/>
        </w:rPr>
        <w:t>for the opportunity to prepare a submission to the</w:t>
      </w:r>
      <w:r w:rsidR="00396153">
        <w:rPr>
          <w:szCs w:val="28"/>
        </w:rPr>
        <w:t xml:space="preserve"> </w:t>
      </w:r>
      <w:r w:rsidR="00D26E44">
        <w:rPr>
          <w:szCs w:val="28"/>
        </w:rPr>
        <w:t xml:space="preserve">draft </w:t>
      </w:r>
      <w:r w:rsidR="009D4BB6">
        <w:rPr>
          <w:szCs w:val="28"/>
        </w:rPr>
        <w:t>principles</w:t>
      </w:r>
      <w:r>
        <w:rPr>
          <w:szCs w:val="28"/>
        </w:rPr>
        <w:t xml:space="preserve"> and </w:t>
      </w:r>
      <w:r w:rsidR="00C877D2">
        <w:rPr>
          <w:szCs w:val="28"/>
        </w:rPr>
        <w:t xml:space="preserve">we </w:t>
      </w:r>
      <w:r>
        <w:rPr>
          <w:szCs w:val="28"/>
        </w:rPr>
        <w:t>would be happy to discuss any aspect of this submission further, as required.</w:t>
      </w:r>
      <w:r w:rsidR="00CB0030">
        <w:rPr>
          <w:szCs w:val="28"/>
        </w:rPr>
        <w:t xml:space="preserve"> </w:t>
      </w:r>
    </w:p>
    <w:p w14:paraId="1944AB5A" w14:textId="77777777" w:rsidR="00CB0030" w:rsidRDefault="00CB0030" w:rsidP="005D2F4E">
      <w:pPr>
        <w:rPr>
          <w:szCs w:val="28"/>
        </w:rPr>
      </w:pPr>
    </w:p>
    <w:p w14:paraId="7A6E668C" w14:textId="77777777" w:rsidR="00CB0030" w:rsidRDefault="00CB0030" w:rsidP="005D2F4E">
      <w:pPr>
        <w:rPr>
          <w:szCs w:val="28"/>
        </w:rPr>
      </w:pPr>
      <w:r>
        <w:rPr>
          <w:szCs w:val="28"/>
        </w:rPr>
        <w:t xml:space="preserve">Feel free to contact any of the following </w:t>
      </w:r>
      <w:r w:rsidR="00053D76">
        <w:rPr>
          <w:szCs w:val="28"/>
        </w:rPr>
        <w:t xml:space="preserve">SuperRatings team members </w:t>
      </w:r>
      <w:r>
        <w:rPr>
          <w:szCs w:val="28"/>
        </w:rPr>
        <w:t>should you have any questions or require further information:</w:t>
      </w:r>
    </w:p>
    <w:p w14:paraId="7860F44E" w14:textId="77777777" w:rsidR="00CB0030" w:rsidRDefault="00CB0030" w:rsidP="005D2F4E">
      <w:pPr>
        <w:rPr>
          <w:szCs w:val="28"/>
        </w:rPr>
      </w:pPr>
    </w:p>
    <w:p w14:paraId="3A894075" w14:textId="77777777" w:rsidR="00F4020A" w:rsidRPr="00CB0030" w:rsidRDefault="00CB0030" w:rsidP="005D2F4E">
      <w:pPr>
        <w:pStyle w:val="ListParagraph"/>
        <w:numPr>
          <w:ilvl w:val="0"/>
          <w:numId w:val="7"/>
        </w:numPr>
        <w:rPr>
          <w:szCs w:val="28"/>
        </w:rPr>
      </w:pPr>
      <w:r w:rsidRPr="00CB0030">
        <w:rPr>
          <w:szCs w:val="28"/>
        </w:rPr>
        <w:t xml:space="preserve">Kirby Rappell – </w:t>
      </w:r>
      <w:r w:rsidR="005D374A">
        <w:rPr>
          <w:szCs w:val="28"/>
        </w:rPr>
        <w:t>Chief Executive Officer</w:t>
      </w:r>
      <w:r w:rsidRPr="00CB0030">
        <w:rPr>
          <w:szCs w:val="28"/>
        </w:rPr>
        <w:t xml:space="preserve"> (</w:t>
      </w:r>
      <w:hyperlink r:id="rId16" w:history="1">
        <w:r w:rsidRPr="00CB0030">
          <w:rPr>
            <w:rStyle w:val="Hyperlink"/>
            <w:szCs w:val="28"/>
          </w:rPr>
          <w:t>kirby.rappell@superratings.com.au</w:t>
        </w:r>
      </w:hyperlink>
      <w:r w:rsidRPr="00CB0030">
        <w:rPr>
          <w:szCs w:val="28"/>
        </w:rPr>
        <w:t>)</w:t>
      </w:r>
    </w:p>
    <w:p w14:paraId="3E7AA68A" w14:textId="77777777" w:rsidR="00CB0030" w:rsidRDefault="00CB0030" w:rsidP="005D2F4E">
      <w:pPr>
        <w:rPr>
          <w:szCs w:val="28"/>
        </w:rPr>
      </w:pPr>
    </w:p>
    <w:p w14:paraId="056E83A6" w14:textId="7C88924D" w:rsidR="009D4BB6" w:rsidRDefault="009D4BB6" w:rsidP="005D2F4E">
      <w:pPr>
        <w:pStyle w:val="ListParagraph"/>
        <w:numPr>
          <w:ilvl w:val="0"/>
          <w:numId w:val="7"/>
        </w:numPr>
        <w:rPr>
          <w:szCs w:val="28"/>
        </w:rPr>
      </w:pPr>
      <w:r>
        <w:rPr>
          <w:szCs w:val="28"/>
        </w:rPr>
        <w:t>Rachael Povah – General Manager, Consulting (</w:t>
      </w:r>
      <w:hyperlink r:id="rId17" w:history="1">
        <w:r w:rsidRPr="00170F66">
          <w:rPr>
            <w:rStyle w:val="Hyperlink"/>
            <w:szCs w:val="28"/>
          </w:rPr>
          <w:t>rachael.povah@superratings.com.au</w:t>
        </w:r>
      </w:hyperlink>
      <w:r>
        <w:rPr>
          <w:szCs w:val="28"/>
        </w:rPr>
        <w:t xml:space="preserve">)  </w:t>
      </w:r>
    </w:p>
    <w:p w14:paraId="2BAD6E78" w14:textId="77777777" w:rsidR="009D4BB6" w:rsidRPr="009D4BB6" w:rsidRDefault="009D4BB6" w:rsidP="005D2F4E">
      <w:pPr>
        <w:pStyle w:val="ListParagraph"/>
        <w:rPr>
          <w:szCs w:val="28"/>
        </w:rPr>
      </w:pPr>
    </w:p>
    <w:p w14:paraId="30F38ABA" w14:textId="0B768D62" w:rsidR="009D4BB6" w:rsidRDefault="009D4BB6" w:rsidP="005D2F4E">
      <w:pPr>
        <w:pStyle w:val="ListParagraph"/>
        <w:numPr>
          <w:ilvl w:val="0"/>
          <w:numId w:val="7"/>
        </w:numPr>
        <w:rPr>
          <w:szCs w:val="28"/>
        </w:rPr>
      </w:pPr>
      <w:r>
        <w:rPr>
          <w:szCs w:val="28"/>
        </w:rPr>
        <w:t>Bill Buttler – Senior Manager, Consulting (</w:t>
      </w:r>
      <w:hyperlink r:id="rId18" w:history="1">
        <w:r w:rsidRPr="000D2CCB">
          <w:rPr>
            <w:rStyle w:val="Hyperlink"/>
            <w:szCs w:val="28"/>
          </w:rPr>
          <w:t>bill.buttler@superratings.com.au</w:t>
        </w:r>
      </w:hyperlink>
      <w:r>
        <w:rPr>
          <w:szCs w:val="28"/>
        </w:rPr>
        <w:t>)</w:t>
      </w:r>
    </w:p>
    <w:p w14:paraId="5868B36E" w14:textId="77777777" w:rsidR="00197BE2" w:rsidRPr="00197BE2" w:rsidRDefault="00197BE2" w:rsidP="005D2F4E">
      <w:pPr>
        <w:pStyle w:val="ListParagraph"/>
        <w:rPr>
          <w:szCs w:val="28"/>
        </w:rPr>
      </w:pPr>
    </w:p>
    <w:p w14:paraId="5E1AA392" w14:textId="7EDFF07C" w:rsidR="00197BE2" w:rsidRDefault="00197BE2" w:rsidP="005D2F4E">
      <w:pPr>
        <w:pStyle w:val="ListParagraph"/>
        <w:numPr>
          <w:ilvl w:val="0"/>
          <w:numId w:val="7"/>
        </w:numPr>
        <w:rPr>
          <w:szCs w:val="28"/>
        </w:rPr>
      </w:pPr>
      <w:r>
        <w:rPr>
          <w:szCs w:val="28"/>
        </w:rPr>
        <w:t xml:space="preserve">Scott Abercrombie – Executive </w:t>
      </w:r>
      <w:r w:rsidRPr="00CB0030">
        <w:rPr>
          <w:szCs w:val="28"/>
        </w:rPr>
        <w:t>Manager, Consulting (</w:t>
      </w:r>
      <w:hyperlink r:id="rId19" w:history="1">
        <w:r w:rsidRPr="009A354D">
          <w:rPr>
            <w:rStyle w:val="Hyperlink"/>
            <w:szCs w:val="28"/>
          </w:rPr>
          <w:t>scott.abercrombie@superratings.com.au</w:t>
        </w:r>
      </w:hyperlink>
      <w:r w:rsidRPr="00CB0030">
        <w:rPr>
          <w:szCs w:val="28"/>
        </w:rPr>
        <w:t>)</w:t>
      </w:r>
    </w:p>
    <w:p w14:paraId="076BCFD8" w14:textId="77777777" w:rsidR="00197BE2" w:rsidRPr="00197BE2" w:rsidRDefault="00197BE2" w:rsidP="005D2F4E">
      <w:pPr>
        <w:pStyle w:val="ListParagraph"/>
        <w:rPr>
          <w:szCs w:val="28"/>
        </w:rPr>
      </w:pPr>
    </w:p>
    <w:p w14:paraId="4A96351D" w14:textId="250F1CC5" w:rsidR="00197BE2" w:rsidRDefault="00197BE2" w:rsidP="005D2F4E">
      <w:pPr>
        <w:pStyle w:val="ListParagraph"/>
        <w:numPr>
          <w:ilvl w:val="0"/>
          <w:numId w:val="7"/>
        </w:numPr>
        <w:rPr>
          <w:szCs w:val="28"/>
        </w:rPr>
      </w:pPr>
      <w:r>
        <w:rPr>
          <w:szCs w:val="28"/>
        </w:rPr>
        <w:t>Camille Schmidt – Market Insights Manager (</w:t>
      </w:r>
      <w:hyperlink r:id="rId20" w:history="1">
        <w:r w:rsidRPr="003F60A3">
          <w:rPr>
            <w:rStyle w:val="Hyperlink"/>
            <w:szCs w:val="28"/>
          </w:rPr>
          <w:t>camille.schmidt@superratings.com.au</w:t>
        </w:r>
      </w:hyperlink>
      <w:r>
        <w:rPr>
          <w:szCs w:val="28"/>
        </w:rPr>
        <w:t>)</w:t>
      </w:r>
    </w:p>
    <w:p w14:paraId="650825D8" w14:textId="77777777" w:rsidR="003B05EB" w:rsidRPr="003B05EB" w:rsidRDefault="003B05EB" w:rsidP="003B05EB">
      <w:pPr>
        <w:pStyle w:val="ListParagraph"/>
        <w:rPr>
          <w:szCs w:val="28"/>
        </w:rPr>
      </w:pPr>
    </w:p>
    <w:p w14:paraId="23F37436" w14:textId="77777777" w:rsidR="00CB0030" w:rsidRDefault="00CB0030" w:rsidP="00CB0030">
      <w:pPr>
        <w:rPr>
          <w:szCs w:val="28"/>
        </w:rPr>
      </w:pPr>
    </w:p>
    <w:p w14:paraId="4DBDFB88" w14:textId="4ED785A2" w:rsidR="00AF1777" w:rsidRPr="009D4BB6" w:rsidRDefault="00AF1777" w:rsidP="009D4BB6">
      <w:pPr>
        <w:rPr>
          <w:szCs w:val="28"/>
        </w:rPr>
      </w:pPr>
    </w:p>
    <w:p w14:paraId="0C6767ED" w14:textId="77777777" w:rsidR="00AF1777" w:rsidRPr="00AF1777" w:rsidRDefault="00AF1777" w:rsidP="00AF1777">
      <w:pPr>
        <w:pStyle w:val="ListParagraph"/>
        <w:rPr>
          <w:szCs w:val="28"/>
        </w:rPr>
      </w:pPr>
    </w:p>
    <w:p w14:paraId="760AA891" w14:textId="77777777" w:rsidR="00623A14" w:rsidRDefault="00623A14" w:rsidP="00B376AD">
      <w:pPr>
        <w:rPr>
          <w:rFonts w:cs="Arial"/>
          <w:b/>
          <w:noProof/>
          <w:color w:val="0070C0"/>
          <w:sz w:val="28"/>
          <w:szCs w:val="28"/>
        </w:rPr>
      </w:pPr>
      <w:r>
        <w:rPr>
          <w:szCs w:val="28"/>
        </w:rPr>
        <w:br w:type="page"/>
      </w:r>
    </w:p>
    <w:p w14:paraId="11F1A8BB" w14:textId="77777777" w:rsidR="009C6FD6" w:rsidRPr="00433D91" w:rsidRDefault="00EC14BE" w:rsidP="008A718D">
      <w:pPr>
        <w:pStyle w:val="Heading1"/>
        <w:spacing w:after="130"/>
        <w:ind w:left="0" w:hanging="567"/>
        <w:rPr>
          <w:szCs w:val="28"/>
        </w:rPr>
      </w:pPr>
      <w:bookmarkStart w:id="3" w:name="_Toc516845672"/>
      <w:r>
        <w:rPr>
          <w:szCs w:val="28"/>
        </w:rPr>
        <w:t>About SuperRatings</w:t>
      </w:r>
      <w:bookmarkEnd w:id="3"/>
    </w:p>
    <w:p w14:paraId="7EE2D0B1" w14:textId="77777777" w:rsidR="007E0B5D" w:rsidRPr="00CE3825" w:rsidRDefault="007E0B5D" w:rsidP="007E0B5D">
      <w:pPr>
        <w:spacing w:before="130" w:after="130" w:line="240" w:lineRule="atLeast"/>
        <w:rPr>
          <w:rFonts w:cs="Arial"/>
        </w:rPr>
      </w:pPr>
      <w:r w:rsidRPr="00CE3825">
        <w:rPr>
          <w:rFonts w:cs="Arial"/>
        </w:rPr>
        <w:t xml:space="preserve">SuperRatings is an independently owned superannuation research company providing data analysis, information, consulting services and product benchmarking to the superannuation industry, corporate sector and the general public. </w:t>
      </w:r>
      <w:r>
        <w:rPr>
          <w:rFonts w:cs="Arial"/>
        </w:rPr>
        <w:t xml:space="preserve"> SuperRatings prides itself on providing impartial advice to funds and employers, therefore our ratings methodology includes all superannuation funds and we limit the ratings percentile bands of funds to ensure our assessment remains independent.  </w:t>
      </w:r>
      <w:r w:rsidRPr="00CE3825">
        <w:rPr>
          <w:rFonts w:cs="Arial"/>
        </w:rPr>
        <w:t>We actively promote engagement, education and ownership of superannuation through the provision of:</w:t>
      </w:r>
    </w:p>
    <w:p w14:paraId="5E6D106F" w14:textId="61B7615A" w:rsidR="007E0B5D" w:rsidRPr="00CE3825" w:rsidRDefault="007E0B5D" w:rsidP="00C3359B">
      <w:pPr>
        <w:pStyle w:val="ListParagraph"/>
        <w:numPr>
          <w:ilvl w:val="0"/>
          <w:numId w:val="6"/>
        </w:numPr>
        <w:spacing w:before="130" w:after="130" w:line="240" w:lineRule="atLeast"/>
        <w:ind w:left="567" w:hanging="567"/>
        <w:contextualSpacing w:val="0"/>
        <w:rPr>
          <w:rFonts w:cs="Arial"/>
        </w:rPr>
      </w:pPr>
      <w:r w:rsidRPr="00CE3825">
        <w:rPr>
          <w:rFonts w:cs="Arial"/>
        </w:rPr>
        <w:t xml:space="preserve">Research </w:t>
      </w:r>
      <w:r w:rsidR="00053D76">
        <w:rPr>
          <w:rFonts w:cs="Arial"/>
        </w:rPr>
        <w:t>a</w:t>
      </w:r>
      <w:r w:rsidRPr="00CE3825">
        <w:rPr>
          <w:rFonts w:cs="Arial"/>
        </w:rPr>
        <w:t>nalysis;</w:t>
      </w:r>
    </w:p>
    <w:p w14:paraId="191C4F2A" w14:textId="77777777" w:rsidR="007E0B5D" w:rsidRPr="00CE3825" w:rsidRDefault="007E0B5D" w:rsidP="00C3359B">
      <w:pPr>
        <w:pStyle w:val="ListParagraph"/>
        <w:numPr>
          <w:ilvl w:val="0"/>
          <w:numId w:val="6"/>
        </w:numPr>
        <w:spacing w:before="130" w:after="130" w:line="240" w:lineRule="atLeast"/>
        <w:ind w:left="567" w:hanging="567"/>
        <w:contextualSpacing w:val="0"/>
        <w:rPr>
          <w:rFonts w:cs="Arial"/>
        </w:rPr>
      </w:pPr>
      <w:r w:rsidRPr="00CE3825">
        <w:rPr>
          <w:rFonts w:cs="Arial"/>
        </w:rPr>
        <w:t>Ratings;</w:t>
      </w:r>
    </w:p>
    <w:p w14:paraId="6E15B3C1" w14:textId="531E9508" w:rsidR="007E0B5D" w:rsidRPr="00CE3825" w:rsidRDefault="007E0B5D" w:rsidP="00C3359B">
      <w:pPr>
        <w:pStyle w:val="ListParagraph"/>
        <w:numPr>
          <w:ilvl w:val="0"/>
          <w:numId w:val="6"/>
        </w:numPr>
        <w:spacing w:before="130" w:after="130" w:line="240" w:lineRule="atLeast"/>
        <w:ind w:left="567" w:hanging="567"/>
        <w:contextualSpacing w:val="0"/>
        <w:rPr>
          <w:rFonts w:cs="Arial"/>
        </w:rPr>
      </w:pPr>
      <w:r w:rsidRPr="00CE3825">
        <w:rPr>
          <w:rFonts w:cs="Arial"/>
        </w:rPr>
        <w:t xml:space="preserve">Consultancy </w:t>
      </w:r>
      <w:r w:rsidR="00053D76">
        <w:rPr>
          <w:rFonts w:cs="Arial"/>
        </w:rPr>
        <w:t>s</w:t>
      </w:r>
      <w:r w:rsidRPr="00CE3825">
        <w:rPr>
          <w:rFonts w:cs="Arial"/>
        </w:rPr>
        <w:t>ervices;</w:t>
      </w:r>
    </w:p>
    <w:p w14:paraId="519DE77A" w14:textId="57483DDB" w:rsidR="007E0B5D" w:rsidRPr="00081CD8" w:rsidRDefault="007E0B5D" w:rsidP="00C3359B">
      <w:pPr>
        <w:pStyle w:val="ListParagraph"/>
        <w:numPr>
          <w:ilvl w:val="0"/>
          <w:numId w:val="6"/>
        </w:numPr>
        <w:spacing w:before="130" w:after="130" w:line="240" w:lineRule="atLeast"/>
        <w:ind w:left="567" w:hanging="567"/>
        <w:contextualSpacing w:val="0"/>
        <w:rPr>
          <w:rFonts w:cs="Arial"/>
        </w:rPr>
      </w:pPr>
      <w:r w:rsidRPr="00081CD8">
        <w:rPr>
          <w:rFonts w:cs="Arial"/>
        </w:rPr>
        <w:t xml:space="preserve">Product </w:t>
      </w:r>
      <w:r w:rsidR="00053D76">
        <w:rPr>
          <w:rFonts w:cs="Arial"/>
        </w:rPr>
        <w:t>r</w:t>
      </w:r>
      <w:r w:rsidRPr="00081CD8">
        <w:rPr>
          <w:rFonts w:cs="Arial"/>
        </w:rPr>
        <w:t>eviews;</w:t>
      </w:r>
    </w:p>
    <w:p w14:paraId="31C6109B" w14:textId="77777777" w:rsidR="007E0B5D" w:rsidRPr="00CE3825" w:rsidRDefault="007E0B5D" w:rsidP="00C3359B">
      <w:pPr>
        <w:pStyle w:val="ListParagraph"/>
        <w:numPr>
          <w:ilvl w:val="0"/>
          <w:numId w:val="6"/>
        </w:numPr>
        <w:spacing w:before="130" w:after="130" w:line="240" w:lineRule="atLeast"/>
        <w:ind w:left="567" w:hanging="567"/>
        <w:contextualSpacing w:val="0"/>
        <w:rPr>
          <w:rFonts w:cs="Arial"/>
        </w:rPr>
      </w:pPr>
      <w:r w:rsidRPr="00CE3825">
        <w:rPr>
          <w:rFonts w:cs="Arial"/>
        </w:rPr>
        <w:t>Benchmarking; and</w:t>
      </w:r>
    </w:p>
    <w:p w14:paraId="1677E99F" w14:textId="77777777" w:rsidR="007E0B5D" w:rsidRPr="00CE3825" w:rsidRDefault="007E0B5D" w:rsidP="00C3359B">
      <w:pPr>
        <w:pStyle w:val="ListParagraph"/>
        <w:numPr>
          <w:ilvl w:val="0"/>
          <w:numId w:val="6"/>
        </w:numPr>
        <w:spacing w:before="130" w:after="130" w:line="240" w:lineRule="atLeast"/>
        <w:ind w:left="567" w:hanging="567"/>
        <w:contextualSpacing w:val="0"/>
        <w:rPr>
          <w:rFonts w:cs="Arial"/>
        </w:rPr>
      </w:pPr>
      <w:r w:rsidRPr="00CE3825">
        <w:rPr>
          <w:rFonts w:cs="Arial"/>
        </w:rPr>
        <w:t>Opinion.</w:t>
      </w:r>
    </w:p>
    <w:p w14:paraId="114A2E0A" w14:textId="772D1873" w:rsidR="007E0B5D" w:rsidRDefault="007E0B5D" w:rsidP="007E0B5D">
      <w:pPr>
        <w:spacing w:before="130" w:after="130" w:line="240" w:lineRule="atLeast"/>
        <w:rPr>
          <w:rFonts w:cs="Arial"/>
        </w:rPr>
      </w:pPr>
      <w:r w:rsidRPr="00CE3825">
        <w:rPr>
          <w:rFonts w:cs="Arial"/>
        </w:rPr>
        <w:t xml:space="preserve">Since its inception, </w:t>
      </w:r>
      <w:r w:rsidRPr="00815130">
        <w:rPr>
          <w:rFonts w:cs="Arial"/>
        </w:rPr>
        <w:t>SuperRatings ha</w:t>
      </w:r>
      <w:r w:rsidR="00053D76">
        <w:rPr>
          <w:rFonts w:cs="Arial"/>
        </w:rPr>
        <w:t>s</w:t>
      </w:r>
      <w:r w:rsidRPr="00815130">
        <w:rPr>
          <w:rFonts w:cs="Arial"/>
        </w:rPr>
        <w:t xml:space="preserve"> comprehensively</w:t>
      </w:r>
      <w:r w:rsidRPr="00CE3825">
        <w:rPr>
          <w:rFonts w:cs="Arial"/>
        </w:rPr>
        <w:t xml:space="preserve"> reviewed hundreds of Australia’s largest superannuation funds and s</w:t>
      </w:r>
      <w:r w:rsidR="005D2F4E">
        <w:rPr>
          <w:rFonts w:cs="Arial"/>
        </w:rPr>
        <w:t xml:space="preserve">ervice providers.  </w:t>
      </w:r>
      <w:r>
        <w:rPr>
          <w:rFonts w:cs="Arial"/>
        </w:rPr>
        <w:t>SuperRatings</w:t>
      </w:r>
      <w:r w:rsidRPr="00CE3825">
        <w:rPr>
          <w:rFonts w:cs="Arial"/>
        </w:rPr>
        <w:t xml:space="preserve"> currently maintains detailed information</w:t>
      </w:r>
      <w:r>
        <w:rPr>
          <w:rFonts w:cs="Arial"/>
        </w:rPr>
        <w:t xml:space="preserve"> in respect of</w:t>
      </w:r>
      <w:r w:rsidRPr="00CE3825">
        <w:rPr>
          <w:rFonts w:cs="Arial"/>
        </w:rPr>
        <w:t xml:space="preserve"> </w:t>
      </w:r>
      <w:r>
        <w:rPr>
          <w:rFonts w:cs="Arial"/>
        </w:rPr>
        <w:t>622</w:t>
      </w:r>
      <w:r w:rsidRPr="00CE3825">
        <w:rPr>
          <w:rFonts w:cs="Arial"/>
        </w:rPr>
        <w:t xml:space="preserve"> </w:t>
      </w:r>
      <w:r>
        <w:rPr>
          <w:rFonts w:cs="Arial"/>
        </w:rPr>
        <w:t xml:space="preserve">superannuation </w:t>
      </w:r>
      <w:r w:rsidRPr="00CE3825">
        <w:rPr>
          <w:rFonts w:cs="Arial"/>
        </w:rPr>
        <w:t>products</w:t>
      </w:r>
      <w:r>
        <w:rPr>
          <w:rFonts w:cs="Arial"/>
        </w:rPr>
        <w:t>, incorporating</w:t>
      </w:r>
      <w:r w:rsidRPr="00CE3825">
        <w:rPr>
          <w:rFonts w:cs="Arial"/>
        </w:rPr>
        <w:t xml:space="preserve"> </w:t>
      </w:r>
      <w:r>
        <w:rPr>
          <w:rFonts w:cs="Arial"/>
        </w:rPr>
        <w:t>105 MySuper products,</w:t>
      </w:r>
      <w:r w:rsidRPr="00CE3825">
        <w:rPr>
          <w:rFonts w:cs="Arial"/>
        </w:rPr>
        <w:t xml:space="preserve"> </w:t>
      </w:r>
      <w:r>
        <w:rPr>
          <w:rFonts w:cs="Arial"/>
        </w:rPr>
        <w:t>329</w:t>
      </w:r>
      <w:r w:rsidRPr="00CE3825">
        <w:rPr>
          <w:rFonts w:cs="Arial"/>
        </w:rPr>
        <w:t xml:space="preserve"> </w:t>
      </w:r>
      <w:r>
        <w:rPr>
          <w:rFonts w:cs="Arial"/>
        </w:rPr>
        <w:t xml:space="preserve">choice </w:t>
      </w:r>
      <w:r w:rsidRPr="00CE3825">
        <w:rPr>
          <w:rFonts w:cs="Arial"/>
        </w:rPr>
        <w:t>products</w:t>
      </w:r>
      <w:r>
        <w:rPr>
          <w:rFonts w:cs="Arial"/>
        </w:rPr>
        <w:t xml:space="preserve"> and</w:t>
      </w:r>
      <w:r w:rsidRPr="00CE3825">
        <w:rPr>
          <w:rFonts w:cs="Arial"/>
        </w:rPr>
        <w:t xml:space="preserve"> 1</w:t>
      </w:r>
      <w:r>
        <w:rPr>
          <w:rFonts w:cs="Arial"/>
        </w:rPr>
        <w:t>88</w:t>
      </w:r>
      <w:r w:rsidRPr="00CE3825">
        <w:rPr>
          <w:rFonts w:cs="Arial"/>
        </w:rPr>
        <w:t xml:space="preserve"> </w:t>
      </w:r>
      <w:r>
        <w:rPr>
          <w:rFonts w:cs="Arial"/>
        </w:rPr>
        <w:t xml:space="preserve">pension </w:t>
      </w:r>
      <w:r w:rsidRPr="00CE3825">
        <w:rPr>
          <w:rFonts w:cs="Arial"/>
        </w:rPr>
        <w:t>products</w:t>
      </w:r>
      <w:r>
        <w:rPr>
          <w:rFonts w:cs="Arial"/>
        </w:rPr>
        <w:t xml:space="preserve"> as well as 70,000 insurance product lines of premiums which are all housed within our in-house proprietary database, SMART</w:t>
      </w:r>
      <w:r w:rsidRPr="00CE3825">
        <w:rPr>
          <w:rFonts w:cs="Arial"/>
        </w:rPr>
        <w:t xml:space="preserve">. </w:t>
      </w:r>
      <w:r>
        <w:rPr>
          <w:rFonts w:cs="Arial"/>
        </w:rPr>
        <w:t xml:space="preserve"> </w:t>
      </w:r>
    </w:p>
    <w:p w14:paraId="65D4EEBA" w14:textId="5BE08F89" w:rsidR="007E0B5D" w:rsidRPr="00ED2C24" w:rsidRDefault="007E0B5D" w:rsidP="007E0B5D">
      <w:pPr>
        <w:spacing w:before="130" w:after="130" w:line="240" w:lineRule="atLeast"/>
        <w:rPr>
          <w:rFonts w:cs="Arial"/>
        </w:rPr>
      </w:pPr>
      <w:r w:rsidRPr="00CE3825">
        <w:rPr>
          <w:rFonts w:cs="Arial"/>
        </w:rPr>
        <w:t>We believe we offer the most extensive industry c</w:t>
      </w:r>
      <w:r>
        <w:rPr>
          <w:rFonts w:cs="Arial"/>
        </w:rPr>
        <w:t>overage accounting for over $1.3</w:t>
      </w:r>
      <w:r w:rsidR="00053D76">
        <w:rPr>
          <w:rFonts w:cs="Arial"/>
        </w:rPr>
        <w:t>8</w:t>
      </w:r>
      <w:r w:rsidRPr="00CE3825">
        <w:rPr>
          <w:rFonts w:cs="Arial"/>
        </w:rPr>
        <w:t xml:space="preserve"> trillion in funds under management and </w:t>
      </w:r>
      <w:r w:rsidR="00944CC9">
        <w:rPr>
          <w:rFonts w:cs="Arial"/>
        </w:rPr>
        <w:t xml:space="preserve">over </w:t>
      </w:r>
      <w:r w:rsidRPr="00CE3825">
        <w:rPr>
          <w:rFonts w:cs="Arial"/>
        </w:rPr>
        <w:t>2</w:t>
      </w:r>
      <w:r w:rsidR="00944CC9">
        <w:rPr>
          <w:rFonts w:cs="Arial"/>
        </w:rPr>
        <w:t>3</w:t>
      </w:r>
      <w:r w:rsidRPr="00CE3825">
        <w:rPr>
          <w:rFonts w:cs="Arial"/>
        </w:rPr>
        <w:t xml:space="preserve"> million member accounts. </w:t>
      </w:r>
      <w:r>
        <w:rPr>
          <w:rFonts w:cs="Arial"/>
        </w:rPr>
        <w:t xml:space="preserve"> </w:t>
      </w:r>
      <w:r w:rsidR="005D2F4E">
        <w:rPr>
          <w:rFonts w:cs="Arial"/>
        </w:rPr>
        <w:t xml:space="preserve"> </w:t>
      </w:r>
      <w:r w:rsidRPr="00CE3825">
        <w:rPr>
          <w:rFonts w:cs="Arial"/>
        </w:rPr>
        <w:t xml:space="preserve">This allows us to understand </w:t>
      </w:r>
      <w:r>
        <w:rPr>
          <w:rFonts w:cs="Arial"/>
        </w:rPr>
        <w:t xml:space="preserve">the </w:t>
      </w:r>
      <w:r w:rsidRPr="00CE3825">
        <w:rPr>
          <w:rFonts w:cs="Arial"/>
        </w:rPr>
        <w:t xml:space="preserve">various costs, </w:t>
      </w:r>
      <w:r>
        <w:rPr>
          <w:rFonts w:cs="Arial"/>
        </w:rPr>
        <w:t xml:space="preserve">fees, products, </w:t>
      </w:r>
      <w:r w:rsidRPr="00ED2C24">
        <w:rPr>
          <w:rFonts w:cs="Arial"/>
        </w:rPr>
        <w:t xml:space="preserve">services and performance of superannuation funds and benchmark these against the broader market.  </w:t>
      </w:r>
    </w:p>
    <w:p w14:paraId="34D73F25" w14:textId="77777777" w:rsidR="00623A14" w:rsidRDefault="00623A14" w:rsidP="00623A14">
      <w:pPr>
        <w:pStyle w:val="BodyText"/>
        <w:spacing w:before="240" w:after="130"/>
      </w:pPr>
      <w:r>
        <w:t xml:space="preserve">  </w:t>
      </w:r>
    </w:p>
    <w:p w14:paraId="409E45A9" w14:textId="77777777" w:rsidR="00623A14" w:rsidRDefault="00623A14" w:rsidP="00623A14">
      <w:pPr>
        <w:spacing w:before="130" w:after="130"/>
        <w:sectPr w:rsidR="00623A14" w:rsidSect="004B6A01">
          <w:headerReference w:type="even" r:id="rId21"/>
          <w:headerReference w:type="default" r:id="rId22"/>
          <w:footerReference w:type="default" r:id="rId23"/>
          <w:headerReference w:type="first" r:id="rId24"/>
          <w:footerReference w:type="first" r:id="rId25"/>
          <w:pgSz w:w="11906" w:h="16838"/>
          <w:pgMar w:top="1843" w:right="1416" w:bottom="1135" w:left="1418" w:header="850" w:footer="642" w:gutter="0"/>
          <w:cols w:space="708"/>
          <w:titlePg/>
          <w:docGrid w:linePitch="360"/>
        </w:sectPr>
      </w:pPr>
      <w:bookmarkStart w:id="4" w:name="_Toc356226152"/>
      <w:bookmarkEnd w:id="1"/>
    </w:p>
    <w:p w14:paraId="12E3285C" w14:textId="16E008DC" w:rsidR="00B21B8B" w:rsidRDefault="00520728" w:rsidP="00B21B8B">
      <w:pPr>
        <w:pStyle w:val="Heading1"/>
        <w:spacing w:before="130" w:after="130"/>
        <w:ind w:left="0" w:hanging="567"/>
        <w:rPr>
          <w:szCs w:val="28"/>
        </w:rPr>
      </w:pPr>
      <w:bookmarkStart w:id="5" w:name="_Toc516845673"/>
      <w:bookmarkEnd w:id="4"/>
      <w:r>
        <w:rPr>
          <w:szCs w:val="28"/>
        </w:rPr>
        <w:t xml:space="preserve">Responses to </w:t>
      </w:r>
      <w:r w:rsidR="00C3359B">
        <w:rPr>
          <w:szCs w:val="28"/>
        </w:rPr>
        <w:t>c</w:t>
      </w:r>
      <w:r>
        <w:rPr>
          <w:szCs w:val="28"/>
        </w:rPr>
        <w:t xml:space="preserve">onsultation </w:t>
      </w:r>
      <w:r w:rsidR="00C3359B">
        <w:rPr>
          <w:szCs w:val="28"/>
        </w:rPr>
        <w:t>q</w:t>
      </w:r>
      <w:r>
        <w:rPr>
          <w:szCs w:val="28"/>
        </w:rPr>
        <w:t>uestions</w:t>
      </w:r>
      <w:bookmarkEnd w:id="5"/>
      <w:r>
        <w:rPr>
          <w:szCs w:val="28"/>
        </w:rPr>
        <w:t xml:space="preserve"> </w:t>
      </w:r>
    </w:p>
    <w:p w14:paraId="2B553164" w14:textId="452338C2" w:rsidR="00197BE2" w:rsidRPr="00197BE2" w:rsidRDefault="00197BE2" w:rsidP="00C3359B">
      <w:pPr>
        <w:pStyle w:val="Heading2"/>
        <w:keepNext/>
        <w:numPr>
          <w:ilvl w:val="1"/>
          <w:numId w:val="2"/>
        </w:numPr>
        <w:tabs>
          <w:tab w:val="left" w:pos="1848"/>
          <w:tab w:val="left" w:pos="2773"/>
          <w:tab w:val="left" w:pos="3697"/>
          <w:tab w:val="left" w:pos="4621"/>
          <w:tab w:val="left" w:pos="5545"/>
          <w:tab w:val="left" w:pos="6469"/>
          <w:tab w:val="left" w:pos="7394"/>
          <w:tab w:val="left" w:pos="8318"/>
          <w:tab w:val="right" w:pos="8930"/>
        </w:tabs>
        <w:spacing w:before="240" w:after="120"/>
        <w:ind w:left="0" w:hanging="567"/>
        <w:rPr>
          <w:noProof w:val="0"/>
          <w:color w:val="0070C0"/>
        </w:rPr>
      </w:pPr>
      <w:bookmarkStart w:id="6" w:name="_Toc516845674"/>
      <w:r w:rsidRPr="00197BE2">
        <w:rPr>
          <w:noProof w:val="0"/>
          <w:color w:val="0070C0"/>
        </w:rPr>
        <w:t>The retirement income framework</w:t>
      </w:r>
      <w:bookmarkEnd w:id="6"/>
    </w:p>
    <w:p w14:paraId="7E549F58" w14:textId="77777777" w:rsidR="00197BE2" w:rsidRDefault="00197BE2" w:rsidP="00197BE2">
      <w:r>
        <w:t>Whilst we support the overall concept of a formal, principles-based, framework specifically addressed to the post-retirement phase, we note that there are significant differences as compared against the pre-retirement accumulation phase that have consequences for the overall approach that should be adopted:</w:t>
      </w:r>
    </w:p>
    <w:p w14:paraId="0F71E0E4" w14:textId="77777777" w:rsidR="00197BE2" w:rsidRDefault="00197BE2" w:rsidP="00197BE2"/>
    <w:p w14:paraId="1ECD504A" w14:textId="77777777" w:rsidR="00197BE2" w:rsidRDefault="00197BE2" w:rsidP="00C3359B">
      <w:pPr>
        <w:pStyle w:val="ListParagraph"/>
        <w:numPr>
          <w:ilvl w:val="0"/>
          <w:numId w:val="12"/>
        </w:numPr>
        <w:spacing w:after="120" w:line="259" w:lineRule="auto"/>
        <w:ind w:left="714" w:hanging="357"/>
        <w:contextualSpacing w:val="0"/>
      </w:pPr>
      <w:r>
        <w:t>In the accumulation phase, many members will have small balances and retirement will be a long way off, so member engagement can be difficult for trustees to achieve;</w:t>
      </w:r>
    </w:p>
    <w:p w14:paraId="458DE8F8" w14:textId="77777777" w:rsidR="00197BE2" w:rsidRDefault="00197BE2" w:rsidP="00C3359B">
      <w:pPr>
        <w:pStyle w:val="ListParagraph"/>
        <w:numPr>
          <w:ilvl w:val="0"/>
          <w:numId w:val="12"/>
        </w:numPr>
        <w:spacing w:after="120" w:line="259" w:lineRule="auto"/>
        <w:ind w:left="714" w:hanging="357"/>
        <w:contextualSpacing w:val="0"/>
      </w:pPr>
      <w:r>
        <w:t>Furthermore, contributions and fund membership are generally a fixed part of employment arrangements during the accumulation phase, so it makes sense for the regulatory framework to focus on ensuring that default arrangements comply with at least a satisfactory set of minimum standards;</w:t>
      </w:r>
    </w:p>
    <w:p w14:paraId="702F53DF" w14:textId="77777777" w:rsidR="00197BE2" w:rsidRDefault="00197BE2" w:rsidP="00C3359B">
      <w:pPr>
        <w:pStyle w:val="ListParagraph"/>
        <w:numPr>
          <w:ilvl w:val="0"/>
          <w:numId w:val="12"/>
        </w:numPr>
        <w:spacing w:after="120" w:line="259" w:lineRule="auto"/>
        <w:ind w:left="714" w:hanging="357"/>
        <w:contextualSpacing w:val="0"/>
      </w:pPr>
      <w:r>
        <w:t>Whilst there still may be a need for default arrangements in the post-retirement stage, in most cases members will be more engaged simply because of the imminence of retirement and the more significant account balances involved.  Optimal outcomes are more likely to be dependent on a member’s personal circumstances (assets outside super, family relationships, home ownership, health etc).  The role for advice is much more important, and, in our opinion, the additional complexity of trying to build in detailed regulatory mechanisms to address segmentation of default arrangements may work against better engagement with CIPR products.</w:t>
      </w:r>
    </w:p>
    <w:p w14:paraId="24455B4F" w14:textId="77777777" w:rsidR="005D2F4E" w:rsidRDefault="00197BE2" w:rsidP="00197BE2">
      <w:pPr>
        <w:spacing w:after="120"/>
      </w:pPr>
      <w:r>
        <w:t>We note also that “The Government has also announced it will progress the development of simplified, standardised metrics in product disclosure to help consumers make decisions about the most appropriate retire</w:t>
      </w:r>
      <w:r w:rsidR="005D2F4E">
        <w:t xml:space="preserve">ment income product for them”.  </w:t>
      </w:r>
      <w:r>
        <w:t>As a collector of data for the purposes of rating superannuation products, we are aware of the difficulties of making a fair and useful comparison of product</w:t>
      </w:r>
      <w:r w:rsidR="005D2F4E">
        <w:t xml:space="preserve">s based on simplified metrics.  </w:t>
      </w:r>
    </w:p>
    <w:p w14:paraId="62B193C9" w14:textId="0E5AB5D9" w:rsidR="00197BE2" w:rsidRDefault="00197BE2" w:rsidP="00197BE2">
      <w:pPr>
        <w:spacing w:after="120"/>
      </w:pPr>
      <w:r>
        <w:t>In the case of CIPRs, this challenge is even greater, given that consumers will need to make a relative assessment of not only investment risk and return, but also longevity risk and potential entitlement to the Age Pension and th</w:t>
      </w:r>
      <w:r w:rsidR="005D2F4E">
        <w:t xml:space="preserve">e possible need for Aged Care.  </w:t>
      </w:r>
      <w:r>
        <w:t>We would encourage the Government to put in place a robust standard for disclosure of key product features, but to accept that a fair comparison in an individual case might only be possible within a formal, properly regulated advice environment.</w:t>
      </w:r>
    </w:p>
    <w:p w14:paraId="1E495DF5" w14:textId="0DE8E90E" w:rsidR="00197BE2" w:rsidRPr="00197BE2" w:rsidRDefault="00DB7197" w:rsidP="00C3359B">
      <w:pPr>
        <w:pStyle w:val="Heading2"/>
        <w:keepNext/>
        <w:numPr>
          <w:ilvl w:val="1"/>
          <w:numId w:val="2"/>
        </w:numPr>
        <w:tabs>
          <w:tab w:val="left" w:pos="1848"/>
          <w:tab w:val="left" w:pos="2773"/>
          <w:tab w:val="left" w:pos="3697"/>
          <w:tab w:val="left" w:pos="4621"/>
          <w:tab w:val="left" w:pos="5545"/>
          <w:tab w:val="left" w:pos="6469"/>
          <w:tab w:val="left" w:pos="7394"/>
          <w:tab w:val="left" w:pos="8318"/>
          <w:tab w:val="right" w:pos="8930"/>
        </w:tabs>
        <w:spacing w:before="240" w:after="120"/>
        <w:ind w:left="0" w:hanging="567"/>
        <w:rPr>
          <w:noProof w:val="0"/>
          <w:color w:val="0070C0"/>
        </w:rPr>
      </w:pPr>
      <w:bookmarkStart w:id="7" w:name="_Toc516845675"/>
      <w:r>
        <w:rPr>
          <w:noProof w:val="0"/>
          <w:color w:val="0070C0"/>
        </w:rPr>
        <w:t>R</w:t>
      </w:r>
      <w:r w:rsidR="00197BE2" w:rsidRPr="00197BE2">
        <w:rPr>
          <w:noProof w:val="0"/>
          <w:color w:val="0070C0"/>
        </w:rPr>
        <w:t xml:space="preserve">etirement income </w:t>
      </w:r>
      <w:r w:rsidR="00197BE2">
        <w:rPr>
          <w:noProof w:val="0"/>
          <w:color w:val="0070C0"/>
        </w:rPr>
        <w:t>covenant</w:t>
      </w:r>
      <w:bookmarkEnd w:id="7"/>
    </w:p>
    <w:p w14:paraId="2202A4C3" w14:textId="77777777" w:rsidR="00197BE2" w:rsidRDefault="00197BE2" w:rsidP="00197BE2">
      <w:r>
        <w:t>We note that “The covenant and supporting principles would apply to trustees of all types of funds except Australian eligible rollover funds (ERFs) and defined benefit (DB) schemes that offer a DB lifetime pension.”</w:t>
      </w:r>
    </w:p>
    <w:p w14:paraId="5A77A2EE" w14:textId="77777777" w:rsidR="00197BE2" w:rsidRDefault="00197BE2" w:rsidP="00197BE2"/>
    <w:p w14:paraId="3AB2795A" w14:textId="598C58EA" w:rsidR="00197BE2" w:rsidRDefault="00197BE2" w:rsidP="00197BE2">
      <w:r>
        <w:t xml:space="preserve">As part of this requirement, SMSFs are not exempt; but principle 1 is the only one that applies. </w:t>
      </w:r>
      <w:r w:rsidR="005D2F4E">
        <w:t xml:space="preserve"> </w:t>
      </w:r>
      <w:r>
        <w:t>Defined Benefit funds that pay lifetime pensions are also exempt, but the measures would still apply to funds with retirement benefits defined as salary-related lump sums.</w:t>
      </w:r>
    </w:p>
    <w:p w14:paraId="6BE632F5" w14:textId="77777777" w:rsidR="00197BE2" w:rsidRDefault="00197BE2" w:rsidP="00197BE2"/>
    <w:p w14:paraId="793DC2DB" w14:textId="48A71949" w:rsidR="00197BE2" w:rsidRDefault="00197BE2" w:rsidP="00197BE2">
      <w:r>
        <w:t>Further clarification around the application of these exemptions would be necessary to cover at least the following cases:</w:t>
      </w:r>
    </w:p>
    <w:p w14:paraId="4D81D47E" w14:textId="77777777" w:rsidR="00746231" w:rsidRDefault="00746231" w:rsidP="00197BE2"/>
    <w:p w14:paraId="50D9BA96" w14:textId="77777777" w:rsidR="00197BE2" w:rsidRDefault="00197BE2" w:rsidP="00C3359B">
      <w:pPr>
        <w:pStyle w:val="ListParagraph"/>
        <w:numPr>
          <w:ilvl w:val="0"/>
          <w:numId w:val="13"/>
        </w:numPr>
        <w:spacing w:after="120" w:line="259" w:lineRule="auto"/>
        <w:ind w:left="714" w:hanging="357"/>
        <w:contextualSpacing w:val="0"/>
      </w:pPr>
      <w:r>
        <w:t>Defined benefit funds with a lifetime pension option (i.e. the member can choose between a lump sum and a defined lifetime pension): we assume that these would be exempt;</w:t>
      </w:r>
    </w:p>
    <w:p w14:paraId="4BD7DB2B" w14:textId="77777777" w:rsidR="00197BE2" w:rsidRDefault="00197BE2" w:rsidP="00C3359B">
      <w:pPr>
        <w:pStyle w:val="ListParagraph"/>
        <w:numPr>
          <w:ilvl w:val="0"/>
          <w:numId w:val="13"/>
        </w:numPr>
        <w:spacing w:after="120" w:line="259" w:lineRule="auto"/>
        <w:ind w:left="714" w:hanging="357"/>
        <w:contextualSpacing w:val="0"/>
      </w:pPr>
      <w:r>
        <w:t>Application to sub-plans within a multi-employer fund (e.g. a retail corporate master trust or an industry fund that operates corporate sub-plans): we assume that the measures would apply separately to each sub-plan, so that (for example) a sub-plan that delivers defined benefit lifetime pension on retirement would be exempt from the measures;</w:t>
      </w:r>
    </w:p>
    <w:p w14:paraId="32FFCFD2" w14:textId="5533564D" w:rsidR="00197BE2" w:rsidRDefault="00197BE2" w:rsidP="00C3359B">
      <w:pPr>
        <w:pStyle w:val="ListParagraph"/>
        <w:numPr>
          <w:ilvl w:val="0"/>
          <w:numId w:val="13"/>
        </w:numPr>
        <w:spacing w:after="120" w:line="259" w:lineRule="auto"/>
        <w:ind w:left="714" w:hanging="357"/>
        <w:contextualSpacing w:val="0"/>
      </w:pPr>
      <w:r>
        <w:t>Hybrid defined benefit / accumulation funds: we assume that the CIPR requirements might apply separately to the accumulation component;</w:t>
      </w:r>
      <w:r w:rsidR="005D2F4E">
        <w:t xml:space="preserve"> and</w:t>
      </w:r>
    </w:p>
    <w:p w14:paraId="1AD484E8" w14:textId="77777777" w:rsidR="00197BE2" w:rsidRDefault="00197BE2" w:rsidP="00C3359B">
      <w:pPr>
        <w:pStyle w:val="ListParagraph"/>
        <w:numPr>
          <w:ilvl w:val="0"/>
          <w:numId w:val="13"/>
        </w:numPr>
        <w:spacing w:after="120" w:line="259" w:lineRule="auto"/>
        <w:ind w:left="714" w:hanging="357"/>
        <w:contextualSpacing w:val="0"/>
        <w:jc w:val="left"/>
      </w:pPr>
      <w:r>
        <w:t>Accumulation account components built up from voluntary member contributions as opposed to components representing accrued employer SG contributions and interest.</w:t>
      </w:r>
    </w:p>
    <w:p w14:paraId="3C4D8164" w14:textId="77777777" w:rsidR="00197BE2" w:rsidRDefault="00197BE2" w:rsidP="00C3359B">
      <w:pPr>
        <w:pStyle w:val="Heading2"/>
        <w:keepNext/>
        <w:numPr>
          <w:ilvl w:val="1"/>
          <w:numId w:val="2"/>
        </w:numPr>
        <w:tabs>
          <w:tab w:val="left" w:pos="1848"/>
          <w:tab w:val="left" w:pos="2773"/>
          <w:tab w:val="left" w:pos="3697"/>
          <w:tab w:val="left" w:pos="4621"/>
          <w:tab w:val="left" w:pos="5545"/>
          <w:tab w:val="left" w:pos="6469"/>
          <w:tab w:val="left" w:pos="7394"/>
          <w:tab w:val="left" w:pos="8318"/>
          <w:tab w:val="right" w:pos="8930"/>
        </w:tabs>
        <w:spacing w:before="240" w:after="120"/>
        <w:ind w:left="0" w:hanging="567"/>
        <w:rPr>
          <w:noProof w:val="0"/>
          <w:color w:val="0070C0"/>
        </w:rPr>
      </w:pPr>
      <w:bookmarkStart w:id="8" w:name="_Toc516845676"/>
      <w:r>
        <w:rPr>
          <w:noProof w:val="0"/>
          <w:color w:val="0070C0"/>
        </w:rPr>
        <w:t>Covenant principles</w:t>
      </w:r>
      <w:bookmarkEnd w:id="8"/>
    </w:p>
    <w:p w14:paraId="7AC6331C" w14:textId="53BE9598" w:rsidR="00197BE2" w:rsidRDefault="00746231" w:rsidP="00C3359B">
      <w:pPr>
        <w:rPr>
          <w:rFonts w:cs="Arial"/>
          <w:b/>
          <w:color w:val="0070C0"/>
          <w:sz w:val="24"/>
          <w:szCs w:val="24"/>
        </w:rPr>
      </w:pPr>
      <w:r>
        <w:rPr>
          <w:rFonts w:cs="Arial"/>
          <w:b/>
          <w:color w:val="0070C0"/>
          <w:sz w:val="24"/>
          <w:szCs w:val="24"/>
        </w:rPr>
        <w:t>Principle 1: Retirement income s</w:t>
      </w:r>
      <w:r w:rsidR="00197BE2" w:rsidRPr="00C3359B">
        <w:rPr>
          <w:rFonts w:cs="Arial"/>
          <w:b/>
          <w:color w:val="0070C0"/>
          <w:sz w:val="24"/>
          <w:szCs w:val="24"/>
        </w:rPr>
        <w:t>trategy</w:t>
      </w:r>
    </w:p>
    <w:p w14:paraId="14254D4D" w14:textId="77777777" w:rsidR="005D2F4E" w:rsidRPr="00C3359B" w:rsidRDefault="005D2F4E" w:rsidP="00C3359B">
      <w:pPr>
        <w:rPr>
          <w:rFonts w:cs="Arial"/>
          <w:b/>
          <w:color w:val="0070C0"/>
          <w:sz w:val="24"/>
          <w:szCs w:val="24"/>
        </w:rPr>
      </w:pPr>
    </w:p>
    <w:p w14:paraId="20A3ACA3" w14:textId="2CBBC3C7" w:rsidR="00197BE2" w:rsidRDefault="00197BE2" w:rsidP="00197BE2">
      <w:r>
        <w:t>We note that this principle applies to SMSF</w:t>
      </w:r>
      <w:r w:rsidR="00797F8D">
        <w:t>’</w:t>
      </w:r>
      <w:r>
        <w:t xml:space="preserve">s.  </w:t>
      </w:r>
      <w:r w:rsidR="00797F8D">
        <w:t>We believe t</w:t>
      </w:r>
      <w:r>
        <w:t>his makes sense, and should help SMSF trustees and their advisers focus on the ultimate purpose of a superannuation fund rather than just short-term tax or investment strategies.</w:t>
      </w:r>
    </w:p>
    <w:p w14:paraId="4222BF9B" w14:textId="77777777" w:rsidR="00197BE2" w:rsidRDefault="00197BE2" w:rsidP="00197BE2"/>
    <w:p w14:paraId="4A1D87B5" w14:textId="182FA3AB" w:rsidR="00197BE2" w:rsidRDefault="00197BE2" w:rsidP="00197BE2">
      <w:r>
        <w:t xml:space="preserve">Whilst we support the provision of guidance to assist trustees to identify the factors that should be considered when designing their retirement income strategy, we reiterate that it may be counter-productive for this guidance to be over-prescriptive.  For example, one of the proposed factors is “maximising income for life”.  This would be a highly-subjective assessment, depending on individual member </w:t>
      </w:r>
      <w:r w:rsidR="005D2F4E">
        <w:t xml:space="preserve">circumstances and preferences.  </w:t>
      </w:r>
      <w:r>
        <w:t>For example, studies have shown that retirees tend to have less need for income in later stages of life, and a level income for life might not be an optimal outcome in some cases.</w:t>
      </w:r>
    </w:p>
    <w:p w14:paraId="69EC01E5" w14:textId="77777777" w:rsidR="00197BE2" w:rsidRDefault="00197BE2" w:rsidP="00197BE2"/>
    <w:p w14:paraId="08A9DA66" w14:textId="6EF4F8E4" w:rsidR="00197BE2" w:rsidRDefault="00197BE2" w:rsidP="00C3359B">
      <w:pPr>
        <w:rPr>
          <w:rFonts w:cs="Arial"/>
          <w:b/>
          <w:color w:val="0070C0"/>
          <w:sz w:val="24"/>
          <w:szCs w:val="24"/>
        </w:rPr>
      </w:pPr>
      <w:r w:rsidRPr="00C3359B">
        <w:rPr>
          <w:rFonts w:cs="Arial"/>
          <w:b/>
          <w:color w:val="0070C0"/>
          <w:sz w:val="24"/>
          <w:szCs w:val="24"/>
        </w:rPr>
        <w:t>Principle 2: Engagement</w:t>
      </w:r>
    </w:p>
    <w:p w14:paraId="46FD30F9" w14:textId="77777777" w:rsidR="005D2F4E" w:rsidRPr="00C3359B" w:rsidRDefault="005D2F4E" w:rsidP="00C3359B">
      <w:pPr>
        <w:rPr>
          <w:rFonts w:cs="Arial"/>
          <w:b/>
          <w:color w:val="0070C0"/>
          <w:sz w:val="24"/>
          <w:szCs w:val="24"/>
        </w:rPr>
      </w:pPr>
    </w:p>
    <w:p w14:paraId="23097C28" w14:textId="3A9510D2" w:rsidR="00197BE2" w:rsidRDefault="00197BE2" w:rsidP="00197BE2">
      <w:r>
        <w:t>Taking steps to help members to understand these products is beneficial, though providing guidance to assist them to “make choices” may be difficult without offering advice.</w:t>
      </w:r>
    </w:p>
    <w:p w14:paraId="3DECCB45" w14:textId="77777777" w:rsidR="00197BE2" w:rsidRDefault="00197BE2" w:rsidP="00197BE2"/>
    <w:p w14:paraId="403EED82" w14:textId="77777777" w:rsidR="00197BE2" w:rsidRDefault="00197BE2" w:rsidP="00197BE2">
      <w:r>
        <w:t>We consider the provision of side-by-side comparisons to be reasonable for basic products.  However, the example given under principle 4 (“A+ Retirement”) demonstrates that anything more than a basic product may immediately lead to a level of detail that will confuse and disengage consumers.</w:t>
      </w:r>
    </w:p>
    <w:p w14:paraId="492A6D17" w14:textId="77777777" w:rsidR="00197BE2" w:rsidRDefault="00197BE2" w:rsidP="00197BE2"/>
    <w:p w14:paraId="7BA7F587" w14:textId="2B423F96" w:rsidR="00197BE2" w:rsidRDefault="00197BE2" w:rsidP="00197BE2">
      <w:r>
        <w:t>The suggestion that trustees include a statement like “this product is most likely to be suitable for people who…”, in our opinion</w:t>
      </w:r>
      <w:r w:rsidR="00746231">
        <w:t>,</w:t>
      </w:r>
      <w:r>
        <w:t xml:space="preserve"> </w:t>
      </w:r>
      <w:r w:rsidR="005D2F4E">
        <w:t>may</w:t>
      </w:r>
      <w:r>
        <w:t xml:space="preserve"> result in unintended bias in the consumer</w:t>
      </w:r>
      <w:r w:rsidR="00746231">
        <w:t>’</w:t>
      </w:r>
      <w:r>
        <w:t xml:space="preserve">s decision-making where </w:t>
      </w:r>
      <w:r w:rsidR="005D2F4E">
        <w:t>a consumer may lend</w:t>
      </w:r>
      <w:r>
        <w:t xml:space="preserve"> an inappropriate weighting to the example</w:t>
      </w:r>
      <w:r w:rsidR="005D2F4E">
        <w:t>(</w:t>
      </w:r>
      <w:r>
        <w:t>s</w:t>
      </w:r>
      <w:r w:rsidR="005D2F4E">
        <w:t>) that</w:t>
      </w:r>
      <w:r>
        <w:t xml:space="preserve"> the trustee </w:t>
      </w:r>
      <w:r w:rsidR="005D2F4E">
        <w:t xml:space="preserve">develops. </w:t>
      </w:r>
    </w:p>
    <w:p w14:paraId="758324A4" w14:textId="77777777" w:rsidR="00197BE2" w:rsidRDefault="00197BE2" w:rsidP="00197BE2"/>
    <w:p w14:paraId="4321974C" w14:textId="77777777" w:rsidR="00197BE2" w:rsidRDefault="00197BE2" w:rsidP="00197BE2">
      <w:r>
        <w:t>The last paragraph states that trustees would “need to provide more sophisticated choice tools”.  We are only supportive of this if the trustee has sufficient resources and capabilities to develop and manage these tools.  We also caution that it is difficult to envision how these tools could operate other than within a formal advice framework, given that choice of an optimal product may depend on the member’s assets outside super, the income these provide, personal debt, marital status, employment status and health.</w:t>
      </w:r>
    </w:p>
    <w:p w14:paraId="7AB611DA" w14:textId="77777777" w:rsidR="00197BE2" w:rsidRDefault="00197BE2" w:rsidP="00197BE2"/>
    <w:p w14:paraId="35D7D0D5" w14:textId="77777777" w:rsidR="00197BE2" w:rsidRDefault="00197BE2" w:rsidP="00197BE2">
      <w:r>
        <w:t>We note that, based on data we have collected, only 34% of funds currently offer retirement income projections within their statements, and the following retirement phase calculators on their website:</w:t>
      </w:r>
    </w:p>
    <w:p w14:paraId="3DC1DFD0" w14:textId="77777777" w:rsidR="00C3359B" w:rsidRPr="005D2F4E" w:rsidRDefault="00C3359B" w:rsidP="00197BE2">
      <w:pPr>
        <w:rPr>
          <w:i/>
          <w:sz w:val="20"/>
          <w:szCs w:val="20"/>
        </w:rPr>
      </w:pPr>
    </w:p>
    <w:p w14:paraId="33733FF0" w14:textId="1A901802" w:rsidR="00197BE2" w:rsidRPr="005D2F4E" w:rsidRDefault="00C3359B" w:rsidP="00197BE2">
      <w:pPr>
        <w:rPr>
          <w:i/>
          <w:sz w:val="20"/>
          <w:szCs w:val="20"/>
        </w:rPr>
      </w:pPr>
      <w:r w:rsidRPr="005D2F4E">
        <w:rPr>
          <w:i/>
          <w:sz w:val="20"/>
          <w:szCs w:val="20"/>
        </w:rPr>
        <w:t xml:space="preserve">Table 1: Calculators or </w:t>
      </w:r>
      <w:r w:rsidR="00746231">
        <w:rPr>
          <w:i/>
          <w:sz w:val="20"/>
          <w:szCs w:val="20"/>
        </w:rPr>
        <w:t>c</w:t>
      </w:r>
      <w:r w:rsidRPr="005D2F4E">
        <w:rPr>
          <w:i/>
          <w:sz w:val="20"/>
          <w:szCs w:val="20"/>
        </w:rPr>
        <w:t xml:space="preserve">omparators </w:t>
      </w:r>
      <w:r w:rsidR="00746231">
        <w:rPr>
          <w:i/>
          <w:sz w:val="20"/>
          <w:szCs w:val="20"/>
        </w:rPr>
        <w:t xml:space="preserve">currently </w:t>
      </w:r>
      <w:r w:rsidRPr="005D2F4E">
        <w:rPr>
          <w:i/>
          <w:sz w:val="20"/>
          <w:szCs w:val="20"/>
        </w:rPr>
        <w:t xml:space="preserve">on </w:t>
      </w:r>
      <w:r w:rsidR="00746231">
        <w:rPr>
          <w:i/>
          <w:sz w:val="20"/>
          <w:szCs w:val="20"/>
        </w:rPr>
        <w:t>fund’s w</w:t>
      </w:r>
      <w:r w:rsidRPr="005D2F4E">
        <w:rPr>
          <w:i/>
          <w:sz w:val="20"/>
          <w:szCs w:val="20"/>
        </w:rPr>
        <w:t>ebsite</w:t>
      </w:r>
    </w:p>
    <w:tbl>
      <w:tblPr>
        <w:tblStyle w:val="ListTable3Accent1"/>
        <w:tblW w:w="4299" w:type="dxa"/>
        <w:tblLook w:val="04A0" w:firstRow="1" w:lastRow="0" w:firstColumn="1" w:lastColumn="0" w:noHBand="0" w:noVBand="1"/>
      </w:tblPr>
      <w:tblGrid>
        <w:gridCol w:w="3681"/>
        <w:gridCol w:w="618"/>
      </w:tblGrid>
      <w:tr w:rsidR="00C3359B" w:rsidRPr="00746231" w14:paraId="4266AED9" w14:textId="77777777" w:rsidTr="0074623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681" w:type="dxa"/>
            <w:noWrap/>
            <w:hideMark/>
          </w:tcPr>
          <w:p w14:paraId="31577C9F" w14:textId="4DEDF6B8" w:rsidR="00C3359B" w:rsidRPr="00C3359B" w:rsidRDefault="00746231" w:rsidP="00C3359B">
            <w:pPr>
              <w:rPr>
                <w:b w:val="0"/>
                <w:lang w:eastAsia="en-AU"/>
              </w:rPr>
            </w:pPr>
            <w:r>
              <w:rPr>
                <w:color w:val="FFFFFF" w:themeColor="background1"/>
                <w:lang w:eastAsia="en-AU"/>
              </w:rPr>
              <w:t>Calculators or comparators on w</w:t>
            </w:r>
            <w:r w:rsidR="00C3359B" w:rsidRPr="00C3359B">
              <w:rPr>
                <w:color w:val="FFFFFF" w:themeColor="background1"/>
                <w:lang w:eastAsia="en-AU"/>
              </w:rPr>
              <w:t>ebsite</w:t>
            </w:r>
          </w:p>
        </w:tc>
        <w:tc>
          <w:tcPr>
            <w:tcW w:w="618" w:type="dxa"/>
            <w:noWrap/>
            <w:hideMark/>
          </w:tcPr>
          <w:p w14:paraId="0454C06C" w14:textId="1A896FAF" w:rsidR="00C3359B" w:rsidRPr="00746231" w:rsidRDefault="00746231" w:rsidP="00746231">
            <w:pPr>
              <w:cnfStyle w:val="100000000000" w:firstRow="1" w:lastRow="0" w:firstColumn="0" w:lastColumn="0" w:oddVBand="0" w:evenVBand="0" w:oddHBand="0" w:evenHBand="0" w:firstRowFirstColumn="0" w:firstRowLastColumn="0" w:lastRowFirstColumn="0" w:lastRowLastColumn="0"/>
              <w:rPr>
                <w:rFonts w:cs="Calibri"/>
                <w:bCs w:val="0"/>
                <w:color w:val="FFFFFF" w:themeColor="background1"/>
                <w:lang w:eastAsia="en-AU"/>
              </w:rPr>
            </w:pPr>
            <w:r w:rsidRPr="00746231">
              <w:rPr>
                <w:rFonts w:cs="Calibri"/>
                <w:bCs w:val="0"/>
                <w:color w:val="FFFFFF" w:themeColor="background1"/>
                <w:lang w:eastAsia="en-AU"/>
              </w:rPr>
              <w:t>2017</w:t>
            </w:r>
          </w:p>
        </w:tc>
      </w:tr>
      <w:tr w:rsidR="00C3359B" w14:paraId="7162897C" w14:textId="77777777" w:rsidTr="007462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tcPr>
          <w:p w14:paraId="1C451738" w14:textId="1FE8478E" w:rsidR="00C3359B" w:rsidRPr="00C3359B" w:rsidRDefault="00C3359B" w:rsidP="00C3359B">
            <w:pPr>
              <w:rPr>
                <w:b w:val="0"/>
                <w:lang w:eastAsia="en-AU"/>
              </w:rPr>
            </w:pPr>
            <w:r w:rsidRPr="00C3359B">
              <w:rPr>
                <w:b w:val="0"/>
                <w:lang w:eastAsia="en-AU"/>
              </w:rPr>
              <w:t>Life Expectancy</w:t>
            </w:r>
          </w:p>
        </w:tc>
        <w:tc>
          <w:tcPr>
            <w:tcW w:w="618" w:type="dxa"/>
            <w:noWrap/>
          </w:tcPr>
          <w:p w14:paraId="219878E4" w14:textId="2D0DD2F3" w:rsidR="00C3359B" w:rsidRPr="00C3359B" w:rsidRDefault="00C3359B" w:rsidP="00C3359B">
            <w:pPr>
              <w:jc w:val="center"/>
              <w:cnfStyle w:val="000000100000" w:firstRow="0" w:lastRow="0" w:firstColumn="0" w:lastColumn="0" w:oddVBand="0" w:evenVBand="0" w:oddHBand="1" w:evenHBand="0" w:firstRowFirstColumn="0" w:firstRowLastColumn="0" w:lastRowFirstColumn="0" w:lastRowLastColumn="0"/>
              <w:rPr>
                <w:lang w:eastAsia="en-AU"/>
              </w:rPr>
            </w:pPr>
            <w:r w:rsidRPr="00C3359B">
              <w:rPr>
                <w:lang w:eastAsia="en-AU"/>
              </w:rPr>
              <w:t>24%</w:t>
            </w:r>
          </w:p>
        </w:tc>
      </w:tr>
      <w:tr w:rsidR="00C3359B" w14:paraId="0B995A15" w14:textId="77777777" w:rsidTr="00746231">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784E9CD6" w14:textId="77777777" w:rsidR="00C3359B" w:rsidRPr="00C3359B" w:rsidRDefault="00C3359B" w:rsidP="00C3359B">
            <w:pPr>
              <w:rPr>
                <w:b w:val="0"/>
                <w:lang w:eastAsia="en-AU"/>
              </w:rPr>
            </w:pPr>
            <w:r w:rsidRPr="00C3359B">
              <w:rPr>
                <w:b w:val="0"/>
                <w:lang w:eastAsia="en-AU"/>
              </w:rPr>
              <w:t>Transition to Retirement</w:t>
            </w:r>
          </w:p>
        </w:tc>
        <w:tc>
          <w:tcPr>
            <w:tcW w:w="618" w:type="dxa"/>
            <w:noWrap/>
            <w:hideMark/>
          </w:tcPr>
          <w:p w14:paraId="7AE3AE0E" w14:textId="77777777" w:rsidR="00C3359B" w:rsidRPr="00C3359B" w:rsidRDefault="00C3359B" w:rsidP="00C3359B">
            <w:pPr>
              <w:jc w:val="center"/>
              <w:cnfStyle w:val="000000000000" w:firstRow="0" w:lastRow="0" w:firstColumn="0" w:lastColumn="0" w:oddVBand="0" w:evenVBand="0" w:oddHBand="0" w:evenHBand="0" w:firstRowFirstColumn="0" w:firstRowLastColumn="0" w:lastRowFirstColumn="0" w:lastRowLastColumn="0"/>
              <w:rPr>
                <w:lang w:eastAsia="en-AU"/>
              </w:rPr>
            </w:pPr>
            <w:r w:rsidRPr="00C3359B">
              <w:rPr>
                <w:lang w:eastAsia="en-AU"/>
              </w:rPr>
              <w:t>37%</w:t>
            </w:r>
          </w:p>
        </w:tc>
      </w:tr>
      <w:tr w:rsidR="00C3359B" w14:paraId="714F1F22" w14:textId="77777777" w:rsidTr="007462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15218902" w14:textId="77777777" w:rsidR="00C3359B" w:rsidRPr="00C3359B" w:rsidRDefault="00C3359B" w:rsidP="00C3359B">
            <w:pPr>
              <w:rPr>
                <w:b w:val="0"/>
                <w:lang w:eastAsia="en-AU"/>
              </w:rPr>
            </w:pPr>
            <w:r w:rsidRPr="00C3359B">
              <w:rPr>
                <w:b w:val="0"/>
                <w:lang w:eastAsia="en-AU"/>
              </w:rPr>
              <w:t>Lifestyle Planning</w:t>
            </w:r>
          </w:p>
        </w:tc>
        <w:tc>
          <w:tcPr>
            <w:tcW w:w="618" w:type="dxa"/>
            <w:noWrap/>
            <w:hideMark/>
          </w:tcPr>
          <w:p w14:paraId="4291E01A" w14:textId="77777777" w:rsidR="00C3359B" w:rsidRPr="00C3359B" w:rsidRDefault="00C3359B" w:rsidP="00C3359B">
            <w:pPr>
              <w:jc w:val="center"/>
              <w:cnfStyle w:val="000000100000" w:firstRow="0" w:lastRow="0" w:firstColumn="0" w:lastColumn="0" w:oddVBand="0" w:evenVBand="0" w:oddHBand="1" w:evenHBand="0" w:firstRowFirstColumn="0" w:firstRowLastColumn="0" w:lastRowFirstColumn="0" w:lastRowLastColumn="0"/>
              <w:rPr>
                <w:lang w:eastAsia="en-AU"/>
              </w:rPr>
            </w:pPr>
            <w:r w:rsidRPr="00C3359B">
              <w:rPr>
                <w:lang w:eastAsia="en-AU"/>
              </w:rPr>
              <w:t>26%</w:t>
            </w:r>
          </w:p>
        </w:tc>
      </w:tr>
      <w:tr w:rsidR="00C3359B" w14:paraId="0BBC3FA0" w14:textId="77777777" w:rsidTr="00746231">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036A4574" w14:textId="77777777" w:rsidR="00C3359B" w:rsidRPr="00C3359B" w:rsidRDefault="00C3359B" w:rsidP="00C3359B">
            <w:pPr>
              <w:rPr>
                <w:b w:val="0"/>
                <w:lang w:eastAsia="en-AU"/>
              </w:rPr>
            </w:pPr>
            <w:r w:rsidRPr="00C3359B">
              <w:rPr>
                <w:b w:val="0"/>
                <w:lang w:eastAsia="en-AU"/>
              </w:rPr>
              <w:t>Pension Payments</w:t>
            </w:r>
          </w:p>
        </w:tc>
        <w:tc>
          <w:tcPr>
            <w:tcW w:w="618" w:type="dxa"/>
            <w:noWrap/>
            <w:hideMark/>
          </w:tcPr>
          <w:p w14:paraId="1EF72E69" w14:textId="77777777" w:rsidR="00C3359B" w:rsidRPr="00C3359B" w:rsidRDefault="00C3359B" w:rsidP="00C3359B">
            <w:pPr>
              <w:jc w:val="center"/>
              <w:cnfStyle w:val="000000000000" w:firstRow="0" w:lastRow="0" w:firstColumn="0" w:lastColumn="0" w:oddVBand="0" w:evenVBand="0" w:oddHBand="0" w:evenHBand="0" w:firstRowFirstColumn="0" w:firstRowLastColumn="0" w:lastRowFirstColumn="0" w:lastRowLastColumn="0"/>
              <w:rPr>
                <w:lang w:eastAsia="en-AU"/>
              </w:rPr>
            </w:pPr>
            <w:r w:rsidRPr="00C3359B">
              <w:rPr>
                <w:lang w:eastAsia="en-AU"/>
              </w:rPr>
              <w:t>31%</w:t>
            </w:r>
          </w:p>
        </w:tc>
      </w:tr>
    </w:tbl>
    <w:p w14:paraId="4FE1898F" w14:textId="77777777" w:rsidR="00197BE2" w:rsidRPr="005D2F4E" w:rsidRDefault="00197BE2" w:rsidP="00197BE2">
      <w:pPr>
        <w:rPr>
          <w:i/>
          <w:sz w:val="20"/>
          <w:szCs w:val="20"/>
        </w:rPr>
      </w:pPr>
      <w:r w:rsidRPr="005D2F4E">
        <w:rPr>
          <w:i/>
          <w:sz w:val="20"/>
          <w:szCs w:val="20"/>
        </w:rPr>
        <w:t>Source: SuperRatings</w:t>
      </w:r>
    </w:p>
    <w:p w14:paraId="1A6701C7" w14:textId="77777777" w:rsidR="00197BE2" w:rsidRDefault="00197BE2" w:rsidP="00197BE2"/>
    <w:p w14:paraId="7CBBE610" w14:textId="77777777" w:rsidR="00197BE2" w:rsidRDefault="00197BE2" w:rsidP="00197BE2">
      <w:r>
        <w:t>This suggests that there may be challenges in complying with a requirement to provide sophisticated choice tools.</w:t>
      </w:r>
    </w:p>
    <w:p w14:paraId="4F75EB8C" w14:textId="4FFC7C32" w:rsidR="00197BE2" w:rsidRDefault="00197BE2" w:rsidP="00197BE2"/>
    <w:p w14:paraId="243563B5" w14:textId="137CD290" w:rsidR="00197BE2" w:rsidRDefault="00197BE2" w:rsidP="00197BE2"/>
    <w:p w14:paraId="36A69217" w14:textId="2694BBE4" w:rsidR="00197BE2" w:rsidRDefault="00197BE2" w:rsidP="00197BE2"/>
    <w:p w14:paraId="32F8D805" w14:textId="224C91F8" w:rsidR="00197BE2" w:rsidRDefault="00197BE2" w:rsidP="00197BE2"/>
    <w:p w14:paraId="6E888F5D" w14:textId="77777777" w:rsidR="00197BE2" w:rsidRDefault="00197BE2" w:rsidP="00197BE2"/>
    <w:p w14:paraId="0C7B7C79" w14:textId="392C771E" w:rsidR="00197BE2" w:rsidRDefault="00197BE2" w:rsidP="00C3359B">
      <w:pPr>
        <w:pStyle w:val="Heading2"/>
        <w:keepNext/>
        <w:numPr>
          <w:ilvl w:val="1"/>
          <w:numId w:val="2"/>
        </w:numPr>
        <w:tabs>
          <w:tab w:val="left" w:pos="1848"/>
          <w:tab w:val="left" w:pos="2773"/>
          <w:tab w:val="left" w:pos="3697"/>
          <w:tab w:val="left" w:pos="4621"/>
          <w:tab w:val="left" w:pos="5545"/>
          <w:tab w:val="left" w:pos="6469"/>
          <w:tab w:val="left" w:pos="7394"/>
          <w:tab w:val="left" w:pos="8318"/>
          <w:tab w:val="right" w:pos="8930"/>
        </w:tabs>
        <w:spacing w:before="240" w:after="120"/>
        <w:ind w:left="0" w:hanging="567"/>
        <w:rPr>
          <w:noProof w:val="0"/>
          <w:color w:val="0070C0"/>
        </w:rPr>
      </w:pPr>
      <w:bookmarkStart w:id="9" w:name="_Toc516845677"/>
      <w:r>
        <w:rPr>
          <w:noProof w:val="0"/>
          <w:color w:val="0070C0"/>
        </w:rPr>
        <w:t>Support principles</w:t>
      </w:r>
      <w:bookmarkEnd w:id="9"/>
    </w:p>
    <w:p w14:paraId="41478CB2" w14:textId="713F680A" w:rsidR="00197BE2" w:rsidRPr="00C3359B" w:rsidRDefault="00197BE2" w:rsidP="00C3359B">
      <w:pPr>
        <w:rPr>
          <w:rFonts w:cs="Arial"/>
          <w:b/>
          <w:color w:val="0070C0"/>
          <w:sz w:val="24"/>
          <w:szCs w:val="24"/>
        </w:rPr>
      </w:pPr>
      <w:r w:rsidRPr="00C3359B">
        <w:rPr>
          <w:rFonts w:cs="Arial"/>
          <w:b/>
          <w:color w:val="0070C0"/>
          <w:sz w:val="24"/>
          <w:szCs w:val="24"/>
        </w:rPr>
        <w:t>Principle 3: Definition of a CIPR</w:t>
      </w:r>
    </w:p>
    <w:p w14:paraId="70ED7169" w14:textId="77777777" w:rsidR="00197BE2" w:rsidRDefault="00197BE2" w:rsidP="00197BE2">
      <w:pPr>
        <w:rPr>
          <w:i/>
        </w:rPr>
      </w:pPr>
    </w:p>
    <w:p w14:paraId="6024C6CC" w14:textId="427FDA29" w:rsidR="00197BE2" w:rsidRDefault="00197BE2" w:rsidP="00197BE2">
      <w:pPr>
        <w:pStyle w:val="Subtitle"/>
        <w:rPr>
          <w:rStyle w:val="Emphasis"/>
          <w:i w:val="0"/>
          <w:sz w:val="24"/>
          <w:szCs w:val="24"/>
        </w:rPr>
      </w:pPr>
      <w:r w:rsidRPr="00197BE2">
        <w:rPr>
          <w:rStyle w:val="Emphasis"/>
          <w:i w:val="0"/>
          <w:sz w:val="24"/>
          <w:szCs w:val="24"/>
        </w:rPr>
        <w:t>Features of a CIPR</w:t>
      </w:r>
    </w:p>
    <w:p w14:paraId="3DE12199" w14:textId="77777777" w:rsidR="00C3359B" w:rsidRPr="00C3359B" w:rsidRDefault="00C3359B" w:rsidP="00C3359B"/>
    <w:p w14:paraId="7DEB7179" w14:textId="019DB53F" w:rsidR="00197BE2" w:rsidRDefault="00197BE2" w:rsidP="00197BE2">
      <w:pPr>
        <w:rPr>
          <w:i/>
        </w:rPr>
      </w:pPr>
      <w:r w:rsidRPr="00C53043">
        <w:rPr>
          <w:i/>
        </w:rPr>
        <w:t>The expected income from a CIPR should be efficient and broadly constant</w:t>
      </w:r>
      <w:r w:rsidR="00C3359B">
        <w:rPr>
          <w:i/>
        </w:rPr>
        <w:t>.</w:t>
      </w:r>
    </w:p>
    <w:p w14:paraId="1A3EDBC6" w14:textId="77777777" w:rsidR="00C3359B" w:rsidRPr="00C53043" w:rsidRDefault="00C3359B" w:rsidP="00197BE2">
      <w:pPr>
        <w:rPr>
          <w:i/>
        </w:rPr>
      </w:pPr>
    </w:p>
    <w:p w14:paraId="4C6D2857" w14:textId="77777777" w:rsidR="00197BE2" w:rsidRDefault="00197BE2" w:rsidP="00746231">
      <w:pPr>
        <w:pStyle w:val="ListParagraph"/>
        <w:numPr>
          <w:ilvl w:val="0"/>
          <w:numId w:val="13"/>
        </w:numPr>
        <w:spacing w:after="120" w:line="259" w:lineRule="auto"/>
        <w:ind w:left="714" w:hanging="357"/>
        <w:contextualSpacing w:val="0"/>
      </w:pPr>
      <w:r>
        <w:t>We query whether it is necessary for CIPRs to provide broadly constant income given that retirees often have a preference for higher levels of income in the years immediately following retirement.</w:t>
      </w:r>
    </w:p>
    <w:p w14:paraId="12B17557" w14:textId="1235E6E8" w:rsidR="00197BE2" w:rsidRDefault="001411AD" w:rsidP="00746231">
      <w:pPr>
        <w:pStyle w:val="ListParagraph"/>
        <w:numPr>
          <w:ilvl w:val="0"/>
          <w:numId w:val="13"/>
        </w:numPr>
        <w:spacing w:after="120" w:line="259" w:lineRule="auto"/>
        <w:ind w:left="714" w:hanging="357"/>
        <w:contextualSpacing w:val="0"/>
      </w:pPr>
      <w:r>
        <w:t>Industry r</w:t>
      </w:r>
      <w:r w:rsidR="00197BE2">
        <w:t>esearch has shown that early retirees spend more than later stage retirees, whether this is due to more conservative spending patterns out of necessity or behavioural reasons is not clear; however, it indicates that providing a level of broadly constant income may not be appropriate or preferable for some members.</w:t>
      </w:r>
    </w:p>
    <w:p w14:paraId="3CEF3504" w14:textId="77777777" w:rsidR="00197BE2" w:rsidRDefault="00197BE2" w:rsidP="00197BE2"/>
    <w:p w14:paraId="3FD1ACF3" w14:textId="742C6A94" w:rsidR="00197BE2" w:rsidRPr="00746231" w:rsidRDefault="00197BE2" w:rsidP="00746231">
      <w:pPr>
        <w:rPr>
          <w:i/>
        </w:rPr>
      </w:pPr>
      <w:r w:rsidRPr="00746231">
        <w:rPr>
          <w:i/>
        </w:rPr>
        <w:t>A CIPR should provide income for life</w:t>
      </w:r>
    </w:p>
    <w:p w14:paraId="698E1B76" w14:textId="77777777" w:rsidR="00C3359B" w:rsidRPr="00C3359B" w:rsidRDefault="00C3359B" w:rsidP="00C3359B"/>
    <w:p w14:paraId="69E4BF97" w14:textId="77777777" w:rsidR="00197BE2" w:rsidRDefault="00197BE2" w:rsidP="00746231">
      <w:pPr>
        <w:pStyle w:val="ListParagraph"/>
        <w:numPr>
          <w:ilvl w:val="0"/>
          <w:numId w:val="13"/>
        </w:numPr>
        <w:spacing w:after="120" w:line="259" w:lineRule="auto"/>
        <w:ind w:left="714" w:hanging="357"/>
        <w:contextualSpacing w:val="0"/>
      </w:pPr>
      <w:r>
        <w:t xml:space="preserve">Our understanding of previous statements by Treasury spokespersons outside of the position paper has been that the CIPR would be </w:t>
      </w:r>
      <w:r w:rsidRPr="00746231">
        <w:t>expected</w:t>
      </w:r>
      <w:r>
        <w:t xml:space="preserve"> to provide income for life rather than an assurance/guarantee that it will.  However, the statement in the draft paper goes further: “It is not sufficient for the CIPR to provide income only to life expectancy.  The trustee would need to ensure that the CIPR is designed in such a way that even if the member lives to 105, they will continue to receive broadly the same level of income from the product.”.</w:t>
      </w:r>
    </w:p>
    <w:p w14:paraId="0796F17B" w14:textId="4C59E803" w:rsidR="00197BE2" w:rsidRDefault="00197BE2" w:rsidP="00746231">
      <w:pPr>
        <w:pStyle w:val="ListParagraph"/>
        <w:numPr>
          <w:ilvl w:val="0"/>
          <w:numId w:val="13"/>
        </w:numPr>
        <w:spacing w:after="120" w:line="259" w:lineRule="auto"/>
        <w:ind w:left="714" w:hanging="357"/>
        <w:contextualSpacing w:val="0"/>
      </w:pPr>
      <w:r>
        <w:t xml:space="preserve">Is this the intended approach?  </w:t>
      </w:r>
      <w:r w:rsidR="005D2F4E">
        <w:t xml:space="preserve"> </w:t>
      </w:r>
      <w:r>
        <w:t>Whilst mortality pooling would be a means for managing this, it would be beyond the ability of tr</w:t>
      </w:r>
      <w:r w:rsidR="005D2F4E">
        <w:t xml:space="preserve">ustees to provide a guarantee.  </w:t>
      </w:r>
      <w:r>
        <w:t>Even a registered Life company would have difficulty honouring such a guarantee in the event of (say) a major longevity-prolonging medical breakthrough.  Clarification is needed.</w:t>
      </w:r>
    </w:p>
    <w:p w14:paraId="44BAA532" w14:textId="77777777" w:rsidR="00197BE2" w:rsidRDefault="00197BE2" w:rsidP="00197BE2"/>
    <w:p w14:paraId="47603AC4" w14:textId="6F3ED9AE" w:rsidR="00197BE2" w:rsidRPr="00746231" w:rsidRDefault="00197BE2" w:rsidP="00746231">
      <w:pPr>
        <w:rPr>
          <w:i/>
        </w:rPr>
      </w:pPr>
      <w:r w:rsidRPr="00746231">
        <w:rPr>
          <w:i/>
        </w:rPr>
        <w:t>Some access to capital</w:t>
      </w:r>
    </w:p>
    <w:p w14:paraId="5931E8A3" w14:textId="77777777" w:rsidR="005D2F4E" w:rsidRPr="00746231" w:rsidRDefault="005D2F4E" w:rsidP="005D2F4E">
      <w:pPr>
        <w:rPr>
          <w:i/>
        </w:rPr>
      </w:pPr>
    </w:p>
    <w:p w14:paraId="51BB559B" w14:textId="77777777" w:rsidR="00197BE2" w:rsidRDefault="00197BE2" w:rsidP="00746231">
      <w:pPr>
        <w:pStyle w:val="ListParagraph"/>
        <w:numPr>
          <w:ilvl w:val="0"/>
          <w:numId w:val="13"/>
        </w:numPr>
        <w:spacing w:after="120" w:line="259" w:lineRule="auto"/>
        <w:ind w:left="714" w:hanging="357"/>
        <w:contextualSpacing w:val="0"/>
      </w:pPr>
      <w:r>
        <w:t>SuperRatings supports the inclusion of flexibility to enable retirees to meet any significant needs as they arise.</w:t>
      </w:r>
    </w:p>
    <w:p w14:paraId="1AD00470" w14:textId="77777777" w:rsidR="00197BE2" w:rsidRDefault="00197BE2" w:rsidP="00197BE2"/>
    <w:p w14:paraId="3946EA18" w14:textId="47E161FC" w:rsidR="00197BE2" w:rsidRDefault="00197BE2" w:rsidP="005D2F4E">
      <w:pPr>
        <w:pStyle w:val="Subtitle"/>
        <w:rPr>
          <w:rStyle w:val="Emphasis"/>
          <w:i w:val="0"/>
          <w:sz w:val="24"/>
          <w:szCs w:val="24"/>
        </w:rPr>
      </w:pPr>
      <w:r w:rsidRPr="005D2F4E">
        <w:rPr>
          <w:rStyle w:val="Emphasis"/>
          <w:i w:val="0"/>
          <w:sz w:val="24"/>
          <w:szCs w:val="24"/>
        </w:rPr>
        <w:t>Certification</w:t>
      </w:r>
    </w:p>
    <w:p w14:paraId="2C78E999" w14:textId="77777777" w:rsidR="005D2F4E" w:rsidRPr="005D2F4E" w:rsidRDefault="005D2F4E" w:rsidP="005D2F4E"/>
    <w:p w14:paraId="30995C48" w14:textId="77777777" w:rsidR="005D2F4E" w:rsidRDefault="00197BE2" w:rsidP="00197BE2">
      <w:r>
        <w:t xml:space="preserve">There is already a certification process in place for other post-retirement products (e.g. account-based pensions, lifetime pensions), and this could be used as a model.  Broadly, this could involve regular (e.g. annual or triennial) certification by a suitably-qualified independent professional (e.g. an actuary), as with the existing regime.  </w:t>
      </w:r>
    </w:p>
    <w:p w14:paraId="46288B18" w14:textId="77777777" w:rsidR="005D2F4E" w:rsidRDefault="005D2F4E" w:rsidP="00197BE2"/>
    <w:p w14:paraId="708F7767" w14:textId="4E6CFCBC" w:rsidR="00197BE2" w:rsidRDefault="00197BE2" w:rsidP="00197BE2">
      <w:r>
        <w:t>In cases where a product is delivered via a third-party life company, trustees should be exempt from providing further certification, on the basis of the regulatory solvency framework that governs life companies.  However, this exemption should not apply in the case where the ultimate product manager is not a life company, for example in the case of a pooled product run by a consortium of registered super funds.</w:t>
      </w:r>
    </w:p>
    <w:p w14:paraId="3E0B83F8" w14:textId="77777777" w:rsidR="00C3359B" w:rsidRDefault="00C3359B" w:rsidP="00C3359B">
      <w:pPr>
        <w:pStyle w:val="Heading1"/>
        <w:numPr>
          <w:ilvl w:val="0"/>
          <w:numId w:val="0"/>
        </w:numPr>
        <w:rPr>
          <w:sz w:val="24"/>
          <w:szCs w:val="24"/>
        </w:rPr>
      </w:pPr>
    </w:p>
    <w:p w14:paraId="4AE49EB5" w14:textId="0B2C5026" w:rsidR="00197BE2" w:rsidRPr="00C3359B" w:rsidRDefault="00197BE2" w:rsidP="00C3359B">
      <w:pPr>
        <w:rPr>
          <w:rFonts w:cs="Arial"/>
          <w:b/>
          <w:color w:val="0070C0"/>
          <w:sz w:val="24"/>
          <w:szCs w:val="24"/>
        </w:rPr>
      </w:pPr>
      <w:r w:rsidRPr="00C3359B">
        <w:rPr>
          <w:rFonts w:cs="Arial"/>
          <w:b/>
          <w:color w:val="0070C0"/>
          <w:sz w:val="24"/>
          <w:szCs w:val="24"/>
        </w:rPr>
        <w:t>Principle 4: Offering a flagship CIPR</w:t>
      </w:r>
    </w:p>
    <w:p w14:paraId="413E00A9" w14:textId="77777777" w:rsidR="00C3359B" w:rsidRDefault="00C3359B" w:rsidP="00197BE2"/>
    <w:p w14:paraId="3FA95BFF" w14:textId="11A5856B" w:rsidR="00197BE2" w:rsidRDefault="00197BE2" w:rsidP="00197BE2">
      <w:r>
        <w:t xml:space="preserve">We note inconsistencies in the language used in the principle and supporting text. </w:t>
      </w:r>
      <w:r w:rsidR="005D2F4E">
        <w:t xml:space="preserve"> </w:t>
      </w:r>
      <w:r>
        <w:t xml:space="preserve">Clarification would be helpful </w:t>
      </w:r>
      <w:r w:rsidR="005D2F4E">
        <w:t>in this regard:</w:t>
      </w:r>
    </w:p>
    <w:p w14:paraId="15FC0CC0" w14:textId="77777777" w:rsidR="00746231" w:rsidRDefault="00746231" w:rsidP="00197BE2"/>
    <w:p w14:paraId="5F3B2219" w14:textId="77777777" w:rsidR="00197BE2" w:rsidRDefault="00197BE2" w:rsidP="00746231">
      <w:pPr>
        <w:pStyle w:val="ListParagraph"/>
        <w:numPr>
          <w:ilvl w:val="0"/>
          <w:numId w:val="13"/>
        </w:numPr>
        <w:spacing w:after="120" w:line="259" w:lineRule="auto"/>
        <w:ind w:left="714" w:hanging="357"/>
        <w:contextualSpacing w:val="0"/>
      </w:pPr>
      <w:r>
        <w:t>Principle statement: “All trustees should offer a flagship CIPR…”</w:t>
      </w:r>
    </w:p>
    <w:p w14:paraId="7A97F876" w14:textId="77777777" w:rsidR="00197BE2" w:rsidRDefault="00197BE2" w:rsidP="00746231">
      <w:pPr>
        <w:pStyle w:val="ListParagraph"/>
        <w:numPr>
          <w:ilvl w:val="0"/>
          <w:numId w:val="13"/>
        </w:numPr>
        <w:spacing w:after="120" w:line="259" w:lineRule="auto"/>
        <w:ind w:left="714" w:hanging="357"/>
        <w:contextualSpacing w:val="0"/>
      </w:pPr>
      <w:r>
        <w:t>Line 1: “Trustees would be required to offer a CIPR…”</w:t>
      </w:r>
    </w:p>
    <w:p w14:paraId="1ABE64DF" w14:textId="337FAD00" w:rsidR="00C3359B" w:rsidRDefault="00197BE2" w:rsidP="00197BE2">
      <w:r>
        <w:t>Our earlier comment regarding the need for advice to support product choice is relevant to the proposal to allow trustees to offer up to three ‘default’ CIPRs</w:t>
      </w:r>
      <w:r w:rsidR="005D2F4E">
        <w:t xml:space="preserve"> depending on account balance.  </w:t>
      </w:r>
      <w:r>
        <w:t xml:space="preserve">On the one hand, we welcome the recognition that ‘one size does not fit all’.  However, the added complexity of multiple flagship products is likely to confuse consumers and ultimately disengage them.  </w:t>
      </w:r>
    </w:p>
    <w:p w14:paraId="45F81FF3" w14:textId="77777777" w:rsidR="00C3359B" w:rsidRDefault="00C3359B" w:rsidP="00197BE2"/>
    <w:p w14:paraId="7FE92014" w14:textId="05A27F3E" w:rsidR="00197BE2" w:rsidRDefault="00197BE2" w:rsidP="00197BE2">
      <w:r>
        <w:t>The example of “A+ Retirement” is a good demonstration of how quickly a simple comparison can spiral into a set of complex rules about what does and does not qualify as a CIPR.</w:t>
      </w:r>
      <w:r w:rsidRPr="00FB2CBA">
        <w:t xml:space="preserve"> </w:t>
      </w:r>
      <w:r>
        <w:t>The use of member account balances to guide members into different flagship CIPRs is also problematic given multiple accounts, with the average member currently having three accounts.</w:t>
      </w:r>
    </w:p>
    <w:p w14:paraId="2D808937" w14:textId="77777777" w:rsidR="00197BE2" w:rsidRDefault="00197BE2" w:rsidP="00197BE2"/>
    <w:p w14:paraId="371CD6D3" w14:textId="77777777" w:rsidR="00197BE2" w:rsidRDefault="00197BE2" w:rsidP="00197BE2">
      <w:r>
        <w:t>Given the complex nature of these products, we believe that offering one flagship (default) CIPR is sufficient and will minimise confusion among members.</w:t>
      </w:r>
    </w:p>
    <w:p w14:paraId="686A404E" w14:textId="77777777" w:rsidR="00197BE2" w:rsidRDefault="00197BE2" w:rsidP="00197BE2"/>
    <w:p w14:paraId="4F31E081" w14:textId="77777777" w:rsidR="00197BE2" w:rsidRDefault="00197BE2" w:rsidP="00197BE2">
      <w:r>
        <w:t>However, we recognise that a single flagship is unlikely to be suitable across a diverse membership base.  As suggested earlier, we believe that selection of a suitable product outside the flagship can only be delivered within a formal advice framework, whether scaled or full.</w:t>
      </w:r>
    </w:p>
    <w:p w14:paraId="0EE728C0" w14:textId="77777777" w:rsidR="00C3359B" w:rsidRDefault="00C3359B" w:rsidP="00C3359B">
      <w:pPr>
        <w:pStyle w:val="Heading1"/>
        <w:numPr>
          <w:ilvl w:val="0"/>
          <w:numId w:val="0"/>
        </w:numPr>
        <w:rPr>
          <w:sz w:val="24"/>
          <w:szCs w:val="24"/>
        </w:rPr>
      </w:pPr>
    </w:p>
    <w:p w14:paraId="5CB9C69F" w14:textId="418525FD" w:rsidR="00197BE2" w:rsidRPr="00C3359B" w:rsidRDefault="00197BE2" w:rsidP="00C3359B">
      <w:pPr>
        <w:rPr>
          <w:rFonts w:cs="Arial"/>
          <w:b/>
          <w:color w:val="0070C0"/>
          <w:sz w:val="24"/>
          <w:szCs w:val="24"/>
        </w:rPr>
      </w:pPr>
      <w:r w:rsidRPr="00C3359B">
        <w:rPr>
          <w:rFonts w:cs="Arial"/>
          <w:b/>
          <w:color w:val="0070C0"/>
          <w:sz w:val="24"/>
          <w:szCs w:val="24"/>
        </w:rPr>
        <w:t>Principle 5: Third party products</w:t>
      </w:r>
    </w:p>
    <w:p w14:paraId="2C0F2265" w14:textId="77777777" w:rsidR="00C3359B" w:rsidRDefault="00C3359B" w:rsidP="00C3359B">
      <w:pPr>
        <w:pStyle w:val="Heading1"/>
        <w:numPr>
          <w:ilvl w:val="0"/>
          <w:numId w:val="0"/>
        </w:numPr>
        <w:rPr>
          <w:sz w:val="24"/>
          <w:szCs w:val="24"/>
        </w:rPr>
      </w:pPr>
    </w:p>
    <w:p w14:paraId="5E05B2E7" w14:textId="0D9C286D" w:rsidR="00197BE2" w:rsidRDefault="00197BE2" w:rsidP="00197BE2">
      <w:r>
        <w:t>The following table is based on data collected by SuperRatings. The table shows the proportion of funds planning to offer eac</w:t>
      </w:r>
      <w:r w:rsidR="005D2F4E">
        <w:t>h type of retireme</w:t>
      </w:r>
      <w:r w:rsidR="00746231">
        <w:t xml:space="preserve">nt product in </w:t>
      </w:r>
      <w:r>
        <w:t>order to meet its CIPR requirements.</w:t>
      </w:r>
    </w:p>
    <w:p w14:paraId="1BAD2C66" w14:textId="77777777" w:rsidR="00197BE2" w:rsidRPr="005D2F4E" w:rsidRDefault="00197BE2" w:rsidP="00197BE2">
      <w:pPr>
        <w:rPr>
          <w:sz w:val="20"/>
          <w:szCs w:val="20"/>
        </w:rPr>
      </w:pPr>
    </w:p>
    <w:p w14:paraId="5D8D0EC8" w14:textId="10E6879E" w:rsidR="00197BE2" w:rsidRPr="005D2F4E" w:rsidRDefault="00197BE2" w:rsidP="00197BE2">
      <w:pPr>
        <w:rPr>
          <w:i/>
          <w:sz w:val="20"/>
          <w:szCs w:val="20"/>
        </w:rPr>
      </w:pPr>
      <w:r w:rsidRPr="005D2F4E">
        <w:rPr>
          <w:i/>
          <w:sz w:val="20"/>
          <w:szCs w:val="20"/>
        </w:rPr>
        <w:t xml:space="preserve">Table 2: Retirement </w:t>
      </w:r>
      <w:r w:rsidR="00746231">
        <w:rPr>
          <w:i/>
          <w:sz w:val="20"/>
          <w:szCs w:val="20"/>
        </w:rPr>
        <w:t>p</w:t>
      </w:r>
      <w:r w:rsidRPr="005D2F4E">
        <w:rPr>
          <w:i/>
          <w:sz w:val="20"/>
          <w:szCs w:val="20"/>
        </w:rPr>
        <w:t xml:space="preserve">roduct </w:t>
      </w:r>
      <w:r w:rsidR="00746231">
        <w:rPr>
          <w:i/>
          <w:sz w:val="20"/>
          <w:szCs w:val="20"/>
        </w:rPr>
        <w:t>d</w:t>
      </w:r>
      <w:r w:rsidRPr="005D2F4E">
        <w:rPr>
          <w:i/>
          <w:sz w:val="20"/>
          <w:szCs w:val="20"/>
        </w:rPr>
        <w:t xml:space="preserve">evelopment </w:t>
      </w:r>
      <w:r w:rsidR="00746231">
        <w:rPr>
          <w:i/>
          <w:sz w:val="20"/>
          <w:szCs w:val="20"/>
        </w:rPr>
        <w:t>across f</w:t>
      </w:r>
      <w:r w:rsidRPr="005D2F4E">
        <w:rPr>
          <w:i/>
          <w:sz w:val="20"/>
          <w:szCs w:val="20"/>
        </w:rPr>
        <w:t>unds</w:t>
      </w:r>
    </w:p>
    <w:tbl>
      <w:tblPr>
        <w:tblStyle w:val="ListTable3Accent1"/>
        <w:tblW w:w="5200" w:type="dxa"/>
        <w:tblLook w:val="04A0" w:firstRow="1" w:lastRow="0" w:firstColumn="1" w:lastColumn="0" w:noHBand="0" w:noVBand="1"/>
      </w:tblPr>
      <w:tblGrid>
        <w:gridCol w:w="2320"/>
        <w:gridCol w:w="960"/>
        <w:gridCol w:w="960"/>
        <w:gridCol w:w="960"/>
      </w:tblGrid>
      <w:tr w:rsidR="00197BE2" w:rsidRPr="000670AB" w14:paraId="72758A1F" w14:textId="77777777" w:rsidTr="00C3359B">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320" w:type="dxa"/>
            <w:noWrap/>
            <w:hideMark/>
          </w:tcPr>
          <w:p w14:paraId="077D04AC" w14:textId="75DA1082" w:rsidR="00197BE2" w:rsidRPr="00C3359B" w:rsidRDefault="00746231" w:rsidP="00197BE2">
            <w:pPr>
              <w:rPr>
                <w:rFonts w:cs="Calibri"/>
                <w:bCs w:val="0"/>
                <w:color w:val="FFFFFF" w:themeColor="background1"/>
                <w:lang w:eastAsia="en-AU"/>
              </w:rPr>
            </w:pPr>
            <w:r>
              <w:rPr>
                <w:rFonts w:cs="Calibri"/>
                <w:bCs w:val="0"/>
                <w:color w:val="FFFFFF" w:themeColor="background1"/>
                <w:lang w:eastAsia="en-AU"/>
              </w:rPr>
              <w:t>Retirement p</w:t>
            </w:r>
            <w:r w:rsidR="00197BE2" w:rsidRPr="00C3359B">
              <w:rPr>
                <w:rFonts w:cs="Calibri"/>
                <w:bCs w:val="0"/>
                <w:color w:val="FFFFFF" w:themeColor="background1"/>
                <w:lang w:eastAsia="en-AU"/>
              </w:rPr>
              <w:t>roduct</w:t>
            </w:r>
          </w:p>
        </w:tc>
        <w:tc>
          <w:tcPr>
            <w:tcW w:w="960" w:type="dxa"/>
            <w:noWrap/>
            <w:hideMark/>
          </w:tcPr>
          <w:p w14:paraId="6228F12E" w14:textId="77777777" w:rsidR="00197BE2" w:rsidRPr="00C3359B" w:rsidRDefault="00197BE2" w:rsidP="00197BE2">
            <w:pPr>
              <w:cnfStyle w:val="100000000000" w:firstRow="1" w:lastRow="0" w:firstColumn="0" w:lastColumn="0" w:oddVBand="0" w:evenVBand="0" w:oddHBand="0" w:evenHBand="0" w:firstRowFirstColumn="0" w:firstRowLastColumn="0" w:lastRowFirstColumn="0" w:lastRowLastColumn="0"/>
              <w:rPr>
                <w:rFonts w:cs="Calibri"/>
                <w:bCs w:val="0"/>
                <w:color w:val="FFFFFF" w:themeColor="background1"/>
                <w:lang w:eastAsia="en-AU"/>
              </w:rPr>
            </w:pPr>
            <w:r w:rsidRPr="00C3359B">
              <w:rPr>
                <w:rFonts w:cs="Calibri"/>
                <w:bCs w:val="0"/>
                <w:color w:val="FFFFFF" w:themeColor="background1"/>
                <w:lang w:eastAsia="en-AU"/>
              </w:rPr>
              <w:t>2017</w:t>
            </w:r>
          </w:p>
        </w:tc>
        <w:tc>
          <w:tcPr>
            <w:tcW w:w="960" w:type="dxa"/>
            <w:noWrap/>
            <w:hideMark/>
          </w:tcPr>
          <w:p w14:paraId="57B9627A" w14:textId="77777777" w:rsidR="00197BE2" w:rsidRPr="00C3359B" w:rsidRDefault="00197BE2" w:rsidP="00197BE2">
            <w:pPr>
              <w:cnfStyle w:val="100000000000" w:firstRow="1" w:lastRow="0" w:firstColumn="0" w:lastColumn="0" w:oddVBand="0" w:evenVBand="0" w:oddHBand="0" w:evenHBand="0" w:firstRowFirstColumn="0" w:firstRowLastColumn="0" w:lastRowFirstColumn="0" w:lastRowLastColumn="0"/>
              <w:rPr>
                <w:rFonts w:cs="Calibri"/>
                <w:bCs w:val="0"/>
                <w:color w:val="FFFFFF" w:themeColor="background1"/>
                <w:lang w:eastAsia="en-AU"/>
              </w:rPr>
            </w:pPr>
            <w:r w:rsidRPr="00C3359B">
              <w:rPr>
                <w:rFonts w:cs="Calibri"/>
                <w:bCs w:val="0"/>
                <w:color w:val="FFFFFF" w:themeColor="background1"/>
                <w:lang w:eastAsia="en-AU"/>
              </w:rPr>
              <w:t>2016</w:t>
            </w:r>
          </w:p>
        </w:tc>
        <w:tc>
          <w:tcPr>
            <w:tcW w:w="960" w:type="dxa"/>
            <w:noWrap/>
            <w:hideMark/>
          </w:tcPr>
          <w:p w14:paraId="7E03CA51" w14:textId="77777777" w:rsidR="00197BE2" w:rsidRPr="00C3359B" w:rsidRDefault="00197BE2" w:rsidP="00197BE2">
            <w:pPr>
              <w:cnfStyle w:val="100000000000" w:firstRow="1" w:lastRow="0" w:firstColumn="0" w:lastColumn="0" w:oddVBand="0" w:evenVBand="0" w:oddHBand="0" w:evenHBand="0" w:firstRowFirstColumn="0" w:firstRowLastColumn="0" w:lastRowFirstColumn="0" w:lastRowLastColumn="0"/>
              <w:rPr>
                <w:rFonts w:cs="Calibri"/>
                <w:bCs w:val="0"/>
                <w:color w:val="FFFFFF" w:themeColor="background1"/>
                <w:lang w:eastAsia="en-AU"/>
              </w:rPr>
            </w:pPr>
            <w:r w:rsidRPr="00C3359B">
              <w:rPr>
                <w:rFonts w:cs="Calibri"/>
                <w:bCs w:val="0"/>
                <w:color w:val="FFFFFF" w:themeColor="background1"/>
                <w:lang w:eastAsia="en-AU"/>
              </w:rPr>
              <w:t>2015</w:t>
            </w:r>
          </w:p>
        </w:tc>
      </w:tr>
      <w:tr w:rsidR="00197BE2" w:rsidRPr="000670AB" w14:paraId="589DBD03" w14:textId="77777777" w:rsidTr="00C335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2240BB7A" w14:textId="77777777" w:rsidR="00197BE2" w:rsidRPr="00C3359B" w:rsidRDefault="00197BE2" w:rsidP="00197BE2">
            <w:pPr>
              <w:rPr>
                <w:rFonts w:cs="Calibri"/>
                <w:b w:val="0"/>
                <w:lang w:eastAsia="en-AU"/>
              </w:rPr>
            </w:pPr>
            <w:r w:rsidRPr="00C3359B">
              <w:rPr>
                <w:rFonts w:cs="Calibri"/>
                <w:b w:val="0"/>
                <w:lang w:eastAsia="en-AU"/>
              </w:rPr>
              <w:t>Account-Based Pension</w:t>
            </w:r>
          </w:p>
        </w:tc>
        <w:tc>
          <w:tcPr>
            <w:tcW w:w="960" w:type="dxa"/>
            <w:noWrap/>
            <w:hideMark/>
          </w:tcPr>
          <w:p w14:paraId="286506AC" w14:textId="77777777" w:rsidR="00197BE2" w:rsidRPr="00C3359B" w:rsidRDefault="00197BE2" w:rsidP="00197BE2">
            <w:pPr>
              <w:cnfStyle w:val="000000100000" w:firstRow="0" w:lastRow="0" w:firstColumn="0" w:lastColumn="0" w:oddVBand="0" w:evenVBand="0" w:oddHBand="1" w:evenHBand="0" w:firstRowFirstColumn="0" w:firstRowLastColumn="0" w:lastRowFirstColumn="0" w:lastRowLastColumn="0"/>
              <w:rPr>
                <w:rFonts w:cs="Calibri"/>
                <w:lang w:eastAsia="en-AU"/>
              </w:rPr>
            </w:pPr>
            <w:r w:rsidRPr="00C3359B">
              <w:rPr>
                <w:rFonts w:cs="Calibri"/>
                <w:lang w:eastAsia="en-AU"/>
              </w:rPr>
              <w:t>98%</w:t>
            </w:r>
          </w:p>
        </w:tc>
        <w:tc>
          <w:tcPr>
            <w:tcW w:w="960" w:type="dxa"/>
            <w:noWrap/>
            <w:hideMark/>
          </w:tcPr>
          <w:p w14:paraId="46BDB5AC" w14:textId="77777777" w:rsidR="00197BE2" w:rsidRPr="00C3359B" w:rsidRDefault="00197BE2" w:rsidP="00197BE2">
            <w:pPr>
              <w:cnfStyle w:val="000000100000" w:firstRow="0" w:lastRow="0" w:firstColumn="0" w:lastColumn="0" w:oddVBand="0" w:evenVBand="0" w:oddHBand="1" w:evenHBand="0" w:firstRowFirstColumn="0" w:firstRowLastColumn="0" w:lastRowFirstColumn="0" w:lastRowLastColumn="0"/>
              <w:rPr>
                <w:rFonts w:cs="Calibri"/>
                <w:lang w:eastAsia="en-AU"/>
              </w:rPr>
            </w:pPr>
            <w:r w:rsidRPr="00C3359B">
              <w:rPr>
                <w:rFonts w:cs="Calibri"/>
                <w:lang w:eastAsia="en-AU"/>
              </w:rPr>
              <w:t>96%</w:t>
            </w:r>
          </w:p>
        </w:tc>
        <w:tc>
          <w:tcPr>
            <w:tcW w:w="960" w:type="dxa"/>
            <w:noWrap/>
            <w:hideMark/>
          </w:tcPr>
          <w:p w14:paraId="76EF625F" w14:textId="77777777" w:rsidR="00197BE2" w:rsidRPr="00C3359B" w:rsidRDefault="00197BE2" w:rsidP="00197BE2">
            <w:pPr>
              <w:cnfStyle w:val="000000100000" w:firstRow="0" w:lastRow="0" w:firstColumn="0" w:lastColumn="0" w:oddVBand="0" w:evenVBand="0" w:oddHBand="1" w:evenHBand="0" w:firstRowFirstColumn="0" w:firstRowLastColumn="0" w:lastRowFirstColumn="0" w:lastRowLastColumn="0"/>
              <w:rPr>
                <w:rFonts w:cs="Calibri"/>
                <w:lang w:eastAsia="en-AU"/>
              </w:rPr>
            </w:pPr>
            <w:r w:rsidRPr="00C3359B">
              <w:rPr>
                <w:rFonts w:cs="Calibri"/>
                <w:lang w:eastAsia="en-AU"/>
              </w:rPr>
              <w:t>96%</w:t>
            </w:r>
          </w:p>
        </w:tc>
      </w:tr>
      <w:tr w:rsidR="00197BE2" w:rsidRPr="000670AB" w14:paraId="378B5B63" w14:textId="77777777" w:rsidTr="00C3359B">
        <w:trPr>
          <w:trHeight w:val="30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36690883" w14:textId="77777777" w:rsidR="00197BE2" w:rsidRPr="00C3359B" w:rsidRDefault="00197BE2" w:rsidP="00197BE2">
            <w:pPr>
              <w:rPr>
                <w:rFonts w:cs="Calibri"/>
                <w:b w:val="0"/>
                <w:lang w:eastAsia="en-AU"/>
              </w:rPr>
            </w:pPr>
            <w:r w:rsidRPr="00C3359B">
              <w:rPr>
                <w:rFonts w:cs="Calibri"/>
                <w:b w:val="0"/>
                <w:lang w:eastAsia="en-AU"/>
              </w:rPr>
              <w:t>Lifetime Annuity</w:t>
            </w:r>
          </w:p>
        </w:tc>
        <w:tc>
          <w:tcPr>
            <w:tcW w:w="960" w:type="dxa"/>
            <w:noWrap/>
            <w:hideMark/>
          </w:tcPr>
          <w:p w14:paraId="76785D0F" w14:textId="77777777" w:rsidR="00197BE2" w:rsidRPr="00C3359B" w:rsidRDefault="00197BE2" w:rsidP="00197BE2">
            <w:pPr>
              <w:cnfStyle w:val="000000000000" w:firstRow="0" w:lastRow="0" w:firstColumn="0" w:lastColumn="0" w:oddVBand="0" w:evenVBand="0" w:oddHBand="0" w:evenHBand="0" w:firstRowFirstColumn="0" w:firstRowLastColumn="0" w:lastRowFirstColumn="0" w:lastRowLastColumn="0"/>
              <w:rPr>
                <w:rFonts w:cs="Calibri"/>
                <w:lang w:eastAsia="en-AU"/>
              </w:rPr>
            </w:pPr>
            <w:r w:rsidRPr="00C3359B">
              <w:rPr>
                <w:rFonts w:cs="Calibri"/>
                <w:lang w:eastAsia="en-AU"/>
              </w:rPr>
              <w:t>16%</w:t>
            </w:r>
          </w:p>
        </w:tc>
        <w:tc>
          <w:tcPr>
            <w:tcW w:w="960" w:type="dxa"/>
            <w:noWrap/>
            <w:hideMark/>
          </w:tcPr>
          <w:p w14:paraId="0296EFA1" w14:textId="77777777" w:rsidR="00197BE2" w:rsidRPr="00C3359B" w:rsidRDefault="00197BE2" w:rsidP="00197BE2">
            <w:pPr>
              <w:cnfStyle w:val="000000000000" w:firstRow="0" w:lastRow="0" w:firstColumn="0" w:lastColumn="0" w:oddVBand="0" w:evenVBand="0" w:oddHBand="0" w:evenHBand="0" w:firstRowFirstColumn="0" w:firstRowLastColumn="0" w:lastRowFirstColumn="0" w:lastRowLastColumn="0"/>
              <w:rPr>
                <w:rFonts w:cs="Calibri"/>
                <w:lang w:eastAsia="en-AU"/>
              </w:rPr>
            </w:pPr>
            <w:r w:rsidRPr="00C3359B">
              <w:rPr>
                <w:rFonts w:cs="Calibri"/>
                <w:lang w:eastAsia="en-AU"/>
              </w:rPr>
              <w:t>16%</w:t>
            </w:r>
          </w:p>
        </w:tc>
        <w:tc>
          <w:tcPr>
            <w:tcW w:w="960" w:type="dxa"/>
            <w:noWrap/>
            <w:hideMark/>
          </w:tcPr>
          <w:p w14:paraId="7373AB9B" w14:textId="77777777" w:rsidR="00197BE2" w:rsidRPr="00C3359B" w:rsidRDefault="00197BE2" w:rsidP="00197BE2">
            <w:pPr>
              <w:cnfStyle w:val="000000000000" w:firstRow="0" w:lastRow="0" w:firstColumn="0" w:lastColumn="0" w:oddVBand="0" w:evenVBand="0" w:oddHBand="0" w:evenHBand="0" w:firstRowFirstColumn="0" w:firstRowLastColumn="0" w:lastRowFirstColumn="0" w:lastRowLastColumn="0"/>
              <w:rPr>
                <w:rFonts w:cs="Calibri"/>
                <w:lang w:eastAsia="en-AU"/>
              </w:rPr>
            </w:pPr>
            <w:r w:rsidRPr="00C3359B">
              <w:rPr>
                <w:rFonts w:cs="Calibri"/>
                <w:lang w:eastAsia="en-AU"/>
              </w:rPr>
              <w:t>12%</w:t>
            </w:r>
          </w:p>
        </w:tc>
      </w:tr>
      <w:tr w:rsidR="00197BE2" w:rsidRPr="000670AB" w14:paraId="2133613F" w14:textId="77777777" w:rsidTr="00C335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783DBC1A" w14:textId="77777777" w:rsidR="00197BE2" w:rsidRPr="00C3359B" w:rsidRDefault="00197BE2" w:rsidP="00197BE2">
            <w:pPr>
              <w:rPr>
                <w:rFonts w:cs="Calibri"/>
                <w:b w:val="0"/>
                <w:lang w:eastAsia="en-AU"/>
              </w:rPr>
            </w:pPr>
            <w:r w:rsidRPr="00C3359B">
              <w:rPr>
                <w:rFonts w:cs="Calibri"/>
                <w:b w:val="0"/>
                <w:lang w:eastAsia="en-AU"/>
              </w:rPr>
              <w:t>Term Annuity</w:t>
            </w:r>
          </w:p>
        </w:tc>
        <w:tc>
          <w:tcPr>
            <w:tcW w:w="960" w:type="dxa"/>
            <w:noWrap/>
            <w:hideMark/>
          </w:tcPr>
          <w:p w14:paraId="73663B29" w14:textId="77777777" w:rsidR="00197BE2" w:rsidRPr="00C3359B" w:rsidRDefault="00197BE2" w:rsidP="00197BE2">
            <w:pPr>
              <w:cnfStyle w:val="000000100000" w:firstRow="0" w:lastRow="0" w:firstColumn="0" w:lastColumn="0" w:oddVBand="0" w:evenVBand="0" w:oddHBand="1" w:evenHBand="0" w:firstRowFirstColumn="0" w:firstRowLastColumn="0" w:lastRowFirstColumn="0" w:lastRowLastColumn="0"/>
              <w:rPr>
                <w:rFonts w:cs="Calibri"/>
                <w:lang w:eastAsia="en-AU"/>
              </w:rPr>
            </w:pPr>
            <w:r w:rsidRPr="00C3359B">
              <w:rPr>
                <w:rFonts w:cs="Calibri"/>
                <w:lang w:eastAsia="en-AU"/>
              </w:rPr>
              <w:t>12%</w:t>
            </w:r>
          </w:p>
        </w:tc>
        <w:tc>
          <w:tcPr>
            <w:tcW w:w="960" w:type="dxa"/>
            <w:noWrap/>
            <w:hideMark/>
          </w:tcPr>
          <w:p w14:paraId="33F88EB4" w14:textId="77777777" w:rsidR="00197BE2" w:rsidRPr="00C3359B" w:rsidRDefault="00197BE2" w:rsidP="00197BE2">
            <w:pPr>
              <w:cnfStyle w:val="000000100000" w:firstRow="0" w:lastRow="0" w:firstColumn="0" w:lastColumn="0" w:oddVBand="0" w:evenVBand="0" w:oddHBand="1" w:evenHBand="0" w:firstRowFirstColumn="0" w:firstRowLastColumn="0" w:lastRowFirstColumn="0" w:lastRowLastColumn="0"/>
              <w:rPr>
                <w:rFonts w:cs="Calibri"/>
                <w:lang w:eastAsia="en-AU"/>
              </w:rPr>
            </w:pPr>
            <w:r w:rsidRPr="00C3359B">
              <w:rPr>
                <w:rFonts w:cs="Calibri"/>
                <w:lang w:eastAsia="en-AU"/>
              </w:rPr>
              <w:t>13%</w:t>
            </w:r>
          </w:p>
        </w:tc>
        <w:tc>
          <w:tcPr>
            <w:tcW w:w="960" w:type="dxa"/>
            <w:noWrap/>
            <w:hideMark/>
          </w:tcPr>
          <w:p w14:paraId="61875E23" w14:textId="77777777" w:rsidR="00197BE2" w:rsidRPr="00C3359B" w:rsidRDefault="00197BE2" w:rsidP="00197BE2">
            <w:pPr>
              <w:cnfStyle w:val="000000100000" w:firstRow="0" w:lastRow="0" w:firstColumn="0" w:lastColumn="0" w:oddVBand="0" w:evenVBand="0" w:oddHBand="1" w:evenHBand="0" w:firstRowFirstColumn="0" w:firstRowLastColumn="0" w:lastRowFirstColumn="0" w:lastRowLastColumn="0"/>
              <w:rPr>
                <w:rFonts w:cs="Calibri"/>
                <w:lang w:eastAsia="en-AU"/>
              </w:rPr>
            </w:pPr>
            <w:r w:rsidRPr="00C3359B">
              <w:rPr>
                <w:rFonts w:cs="Calibri"/>
                <w:lang w:eastAsia="en-AU"/>
              </w:rPr>
              <w:t>11%</w:t>
            </w:r>
          </w:p>
        </w:tc>
      </w:tr>
      <w:tr w:rsidR="00197BE2" w:rsidRPr="000670AB" w14:paraId="3F342826" w14:textId="77777777" w:rsidTr="00C3359B">
        <w:trPr>
          <w:trHeight w:val="30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4B268361" w14:textId="77777777" w:rsidR="00197BE2" w:rsidRPr="00C3359B" w:rsidRDefault="00197BE2" w:rsidP="00197BE2">
            <w:pPr>
              <w:rPr>
                <w:rFonts w:cs="Calibri"/>
                <w:b w:val="0"/>
                <w:lang w:eastAsia="en-AU"/>
              </w:rPr>
            </w:pPr>
            <w:r w:rsidRPr="00C3359B">
              <w:rPr>
                <w:rFonts w:cs="Calibri"/>
                <w:b w:val="0"/>
                <w:lang w:eastAsia="en-AU"/>
              </w:rPr>
              <w:t>Deferred Annuity</w:t>
            </w:r>
          </w:p>
        </w:tc>
        <w:tc>
          <w:tcPr>
            <w:tcW w:w="960" w:type="dxa"/>
            <w:noWrap/>
            <w:hideMark/>
          </w:tcPr>
          <w:p w14:paraId="1F8B03BF" w14:textId="77777777" w:rsidR="00197BE2" w:rsidRPr="00C3359B" w:rsidRDefault="00197BE2" w:rsidP="00197BE2">
            <w:pPr>
              <w:cnfStyle w:val="000000000000" w:firstRow="0" w:lastRow="0" w:firstColumn="0" w:lastColumn="0" w:oddVBand="0" w:evenVBand="0" w:oddHBand="0" w:evenHBand="0" w:firstRowFirstColumn="0" w:firstRowLastColumn="0" w:lastRowFirstColumn="0" w:lastRowLastColumn="0"/>
              <w:rPr>
                <w:rFonts w:cs="Calibri"/>
                <w:lang w:eastAsia="en-AU"/>
              </w:rPr>
            </w:pPr>
            <w:r w:rsidRPr="00C3359B">
              <w:rPr>
                <w:rFonts w:cs="Calibri"/>
                <w:lang w:eastAsia="en-AU"/>
              </w:rPr>
              <w:t>10%</w:t>
            </w:r>
          </w:p>
        </w:tc>
        <w:tc>
          <w:tcPr>
            <w:tcW w:w="960" w:type="dxa"/>
            <w:noWrap/>
            <w:hideMark/>
          </w:tcPr>
          <w:p w14:paraId="331B7241" w14:textId="77777777" w:rsidR="00197BE2" w:rsidRPr="00C3359B" w:rsidRDefault="00197BE2" w:rsidP="00197BE2">
            <w:pPr>
              <w:cnfStyle w:val="000000000000" w:firstRow="0" w:lastRow="0" w:firstColumn="0" w:lastColumn="0" w:oddVBand="0" w:evenVBand="0" w:oddHBand="0" w:evenHBand="0" w:firstRowFirstColumn="0" w:firstRowLastColumn="0" w:lastRowFirstColumn="0" w:lastRowLastColumn="0"/>
              <w:rPr>
                <w:rFonts w:cs="Calibri"/>
                <w:lang w:eastAsia="en-AU"/>
              </w:rPr>
            </w:pPr>
            <w:r w:rsidRPr="00C3359B">
              <w:rPr>
                <w:rFonts w:cs="Calibri"/>
                <w:lang w:eastAsia="en-AU"/>
              </w:rPr>
              <w:t>8%</w:t>
            </w:r>
          </w:p>
        </w:tc>
        <w:tc>
          <w:tcPr>
            <w:tcW w:w="960" w:type="dxa"/>
            <w:noWrap/>
            <w:hideMark/>
          </w:tcPr>
          <w:p w14:paraId="3EFB0679" w14:textId="77777777" w:rsidR="00197BE2" w:rsidRPr="00C3359B" w:rsidRDefault="00197BE2" w:rsidP="00197BE2">
            <w:pPr>
              <w:cnfStyle w:val="000000000000" w:firstRow="0" w:lastRow="0" w:firstColumn="0" w:lastColumn="0" w:oddVBand="0" w:evenVBand="0" w:oddHBand="0" w:evenHBand="0" w:firstRowFirstColumn="0" w:firstRowLastColumn="0" w:lastRowFirstColumn="0" w:lastRowLastColumn="0"/>
              <w:rPr>
                <w:rFonts w:cs="Calibri"/>
                <w:lang w:eastAsia="en-AU"/>
              </w:rPr>
            </w:pPr>
            <w:r w:rsidRPr="00C3359B">
              <w:rPr>
                <w:rFonts w:cs="Calibri"/>
                <w:lang w:eastAsia="en-AU"/>
              </w:rPr>
              <w:t>5%</w:t>
            </w:r>
          </w:p>
        </w:tc>
      </w:tr>
    </w:tbl>
    <w:p w14:paraId="4EF50BA0" w14:textId="77777777" w:rsidR="00197BE2" w:rsidRPr="005D2F4E" w:rsidRDefault="00197BE2" w:rsidP="00197BE2">
      <w:pPr>
        <w:rPr>
          <w:i/>
          <w:sz w:val="20"/>
          <w:szCs w:val="20"/>
        </w:rPr>
      </w:pPr>
      <w:r w:rsidRPr="005D2F4E">
        <w:rPr>
          <w:i/>
          <w:sz w:val="20"/>
          <w:szCs w:val="20"/>
        </w:rPr>
        <w:t>Source: SuperRatings</w:t>
      </w:r>
    </w:p>
    <w:p w14:paraId="29CBE074" w14:textId="77777777" w:rsidR="00197BE2" w:rsidRDefault="00197BE2" w:rsidP="00197BE2"/>
    <w:p w14:paraId="0D6E8821" w14:textId="77777777" w:rsidR="00197BE2" w:rsidRDefault="00197BE2" w:rsidP="00197BE2">
      <w:r>
        <w:t>We note that there is a small trend towards offering some form of annuity product, and we expect that this would accelerate based on the changes to the tax treatment of these products proposed in the 2018 Federal Budget.  However, annuity product development levels remain low across the industry.  Whilst this is in part due to a lack of specific guidance around the structure of CIPR products in recent years it also highlights that the majority of trustees do not have experience or the technical know-how in this space.  We would therefore expect that significant numbers of funds would offer third-party products, and hence principle 5 is essential.</w:t>
      </w:r>
    </w:p>
    <w:p w14:paraId="642C55A4" w14:textId="77777777" w:rsidR="00C3359B" w:rsidRDefault="00C3359B" w:rsidP="00C3359B">
      <w:pPr>
        <w:pStyle w:val="Heading1"/>
        <w:numPr>
          <w:ilvl w:val="0"/>
          <w:numId w:val="0"/>
        </w:numPr>
        <w:rPr>
          <w:sz w:val="24"/>
          <w:szCs w:val="24"/>
        </w:rPr>
      </w:pPr>
    </w:p>
    <w:p w14:paraId="64690020" w14:textId="440C10BB" w:rsidR="00197BE2" w:rsidRPr="00C3359B" w:rsidRDefault="00197BE2" w:rsidP="00C3359B">
      <w:pPr>
        <w:rPr>
          <w:rFonts w:cs="Arial"/>
          <w:b/>
          <w:color w:val="0070C0"/>
          <w:sz w:val="24"/>
          <w:szCs w:val="24"/>
        </w:rPr>
      </w:pPr>
      <w:r w:rsidRPr="00C3359B">
        <w:rPr>
          <w:rFonts w:cs="Arial"/>
          <w:b/>
          <w:color w:val="0070C0"/>
          <w:sz w:val="24"/>
          <w:szCs w:val="24"/>
        </w:rPr>
        <w:t>Principle 6: Consent</w:t>
      </w:r>
    </w:p>
    <w:p w14:paraId="1DEAB445" w14:textId="77777777" w:rsidR="00C3359B" w:rsidRPr="00C3359B" w:rsidRDefault="00C3359B" w:rsidP="00C3359B">
      <w:pPr>
        <w:pStyle w:val="Heading1"/>
        <w:numPr>
          <w:ilvl w:val="0"/>
          <w:numId w:val="0"/>
        </w:numPr>
        <w:rPr>
          <w:sz w:val="24"/>
          <w:szCs w:val="24"/>
        </w:rPr>
      </w:pPr>
    </w:p>
    <w:p w14:paraId="2B36B6ED" w14:textId="77777777" w:rsidR="00197BE2" w:rsidRDefault="00197BE2" w:rsidP="00197BE2">
      <w:r>
        <w:t>We strongly support the requirement of trustees to obtain member consent for a CIPR to commence.  As indicated in our opening paragraph, we believe that the application of default measures is less appropriate in a retirement context, particularly given that a CIPR product may not be in the best interests of all members, and that trustees will not generally be in a position to make an assessment in individual cases.</w:t>
      </w:r>
    </w:p>
    <w:p w14:paraId="6D1459C4" w14:textId="77777777" w:rsidR="00197BE2" w:rsidRDefault="00197BE2" w:rsidP="00197BE2"/>
    <w:p w14:paraId="40C4B2D5" w14:textId="77777777" w:rsidR="00197BE2" w:rsidRDefault="00197BE2" w:rsidP="00197BE2">
      <w:r>
        <w:t>We note the following statement: “it should not be onerous for members to accept a CIPR offered to them”.</w:t>
      </w:r>
    </w:p>
    <w:p w14:paraId="550D6E51" w14:textId="77777777" w:rsidR="00197BE2" w:rsidRDefault="00197BE2" w:rsidP="00197BE2"/>
    <w:p w14:paraId="7F4E0A90" w14:textId="77777777" w:rsidR="00197BE2" w:rsidRDefault="00197BE2" w:rsidP="00197BE2">
      <w:r>
        <w:t>Whilst we agree that the formal process of acceptance should be as simple as possible, we caution against ‘dumbing down’ the process to the extent that members might be encouraged to make a decision without properly understanding the implications of accepting a CIPR.  At the risk of repetition, we reiterate that fund trustees will not have access to the necessary information to provide a ‘recommendation’ to members, and realistically this can be only done within a formal advice framework.</w:t>
      </w:r>
    </w:p>
    <w:p w14:paraId="6FF84127" w14:textId="77777777" w:rsidR="00197BE2" w:rsidRDefault="00197BE2" w:rsidP="00197BE2"/>
    <w:p w14:paraId="764F0266" w14:textId="77777777" w:rsidR="00DE2AD3" w:rsidRDefault="00DE2AD3" w:rsidP="00C3359B">
      <w:pPr>
        <w:rPr>
          <w:rFonts w:cs="Arial"/>
          <w:b/>
          <w:color w:val="0070C0"/>
          <w:sz w:val="24"/>
          <w:szCs w:val="24"/>
        </w:rPr>
      </w:pPr>
    </w:p>
    <w:p w14:paraId="3F0B2D2F" w14:textId="77777777" w:rsidR="00DE2AD3" w:rsidRDefault="00DE2AD3" w:rsidP="00C3359B">
      <w:pPr>
        <w:rPr>
          <w:rFonts w:cs="Arial"/>
          <w:b/>
          <w:color w:val="0070C0"/>
          <w:sz w:val="24"/>
          <w:szCs w:val="24"/>
        </w:rPr>
      </w:pPr>
    </w:p>
    <w:p w14:paraId="21E86556" w14:textId="786B14D5" w:rsidR="00197BE2" w:rsidRDefault="00197BE2" w:rsidP="00C3359B">
      <w:pPr>
        <w:rPr>
          <w:sz w:val="24"/>
          <w:szCs w:val="24"/>
        </w:rPr>
      </w:pPr>
      <w:r w:rsidRPr="00C3359B">
        <w:rPr>
          <w:rFonts w:cs="Arial"/>
          <w:b/>
          <w:color w:val="0070C0"/>
          <w:sz w:val="24"/>
          <w:szCs w:val="24"/>
        </w:rPr>
        <w:t>Principle 7: Offering an alternative retirement income product through advice</w:t>
      </w:r>
    </w:p>
    <w:p w14:paraId="4E16E786" w14:textId="77777777" w:rsidR="00C3359B" w:rsidRPr="00DE2AD3" w:rsidRDefault="00C3359B" w:rsidP="00C3359B">
      <w:pPr>
        <w:pStyle w:val="Heading1"/>
        <w:numPr>
          <w:ilvl w:val="0"/>
          <w:numId w:val="0"/>
        </w:numPr>
        <w:rPr>
          <w:sz w:val="24"/>
          <w:szCs w:val="24"/>
        </w:rPr>
      </w:pPr>
    </w:p>
    <w:p w14:paraId="6B846AEF" w14:textId="420CFDB4" w:rsidR="00197BE2" w:rsidRDefault="00197BE2" w:rsidP="00197BE2">
      <w:r>
        <w:t xml:space="preserve">Naturally, we support this principle.  There should be little need for additional regulations and guidance, as this is already addressed via existing </w:t>
      </w:r>
      <w:r w:rsidRPr="00021DD9">
        <w:t xml:space="preserve">guidelines and standards </w:t>
      </w:r>
      <w:r>
        <w:t>within FOFA and related measures.</w:t>
      </w:r>
    </w:p>
    <w:p w14:paraId="076DB830" w14:textId="10B02E8F" w:rsidR="00C3359B" w:rsidRDefault="00C3359B" w:rsidP="00197BE2"/>
    <w:p w14:paraId="520732BB" w14:textId="593B8374" w:rsidR="00197BE2" w:rsidRDefault="00197BE2" w:rsidP="00C3359B">
      <w:pPr>
        <w:rPr>
          <w:sz w:val="24"/>
          <w:szCs w:val="24"/>
        </w:rPr>
      </w:pPr>
      <w:r w:rsidRPr="00C3359B">
        <w:rPr>
          <w:rFonts w:cs="Arial"/>
          <w:b/>
          <w:color w:val="0070C0"/>
          <w:sz w:val="24"/>
          <w:szCs w:val="24"/>
        </w:rPr>
        <w:t>Principle 8: Exception for individuals for whom CIPRs are unsuitable</w:t>
      </w:r>
    </w:p>
    <w:p w14:paraId="5B2EEFFA" w14:textId="77777777" w:rsidR="00C3359B" w:rsidRPr="00C3359B" w:rsidRDefault="00C3359B" w:rsidP="00C3359B">
      <w:pPr>
        <w:pStyle w:val="Heading1"/>
        <w:numPr>
          <w:ilvl w:val="0"/>
          <w:numId w:val="0"/>
        </w:numPr>
        <w:rPr>
          <w:sz w:val="24"/>
          <w:szCs w:val="24"/>
        </w:rPr>
      </w:pPr>
    </w:p>
    <w:p w14:paraId="79321CF3" w14:textId="77777777" w:rsidR="00197BE2" w:rsidRDefault="00197BE2" w:rsidP="00C3359B">
      <w:r>
        <w:t>We support the principle of enabling trustees to identify exceptions.  We also support the inclusion of the two cases listed, but we believe the principle should be wide enough to enable trustees to identify other unforeseen cases that may be relevant to their own membership.</w:t>
      </w:r>
    </w:p>
    <w:p w14:paraId="128DA17F" w14:textId="77777777" w:rsidR="00197BE2" w:rsidRDefault="00197BE2" w:rsidP="00C3359B"/>
    <w:p w14:paraId="5E794B7E" w14:textId="4FEC45FA" w:rsidR="00197BE2" w:rsidRDefault="00197BE2" w:rsidP="00C3359B">
      <w:r>
        <w:t>The use of a $50,000 account balance as the threshold for suitability may not be appropriate for all members.  The threshold may vary by occupation or personal wealth, among other things, and does not presumably take into account multiple account balances (which the trustee may not be aware of).  We suggest reference here to ‘low balance’ accounts, with trustees able to undertake their own assessments of suitability given the characteristics of their members.</w:t>
      </w:r>
    </w:p>
    <w:p w14:paraId="6E52101D" w14:textId="77777777" w:rsidR="00197BE2" w:rsidRDefault="00197BE2" w:rsidP="00197BE2"/>
    <w:p w14:paraId="1DA12184" w14:textId="5772868B" w:rsidR="00746231" w:rsidRPr="00746231" w:rsidRDefault="00197BE2" w:rsidP="00746231">
      <w:pPr>
        <w:pStyle w:val="Heading1"/>
        <w:spacing w:before="130" w:after="130"/>
        <w:ind w:left="0" w:hanging="567"/>
        <w:rPr>
          <w:szCs w:val="28"/>
        </w:rPr>
      </w:pPr>
      <w:bookmarkStart w:id="10" w:name="_Toc516845678"/>
      <w:r w:rsidRPr="005D2F4E">
        <w:rPr>
          <w:szCs w:val="28"/>
        </w:rPr>
        <w:t>Other comments</w:t>
      </w:r>
      <w:bookmarkEnd w:id="10"/>
    </w:p>
    <w:p w14:paraId="3B3B21D7" w14:textId="72076CA1" w:rsidR="005D2F4E" w:rsidRDefault="00746231" w:rsidP="00746231">
      <w:r w:rsidRPr="00746231">
        <w:t>G</w:t>
      </w:r>
      <w:r w:rsidR="00197BE2" w:rsidRPr="00746231">
        <w:t xml:space="preserve">iven the variety of ‘retirement’ ages and patterns, trustees may require guidance regarding an appropriate time (e.g. by age) to commence communicating with members regarding these </w:t>
      </w:r>
      <w:r w:rsidR="00875541">
        <w:t xml:space="preserve">types of </w:t>
      </w:r>
      <w:r w:rsidR="00197BE2" w:rsidRPr="00746231">
        <w:t>products.</w:t>
      </w:r>
      <w:r w:rsidR="005D2F4E" w:rsidRPr="00746231">
        <w:br/>
      </w:r>
      <w:r w:rsidR="00197BE2" w:rsidRPr="00746231">
        <w:t xml:space="preserve">Appendix A is a good example of the difficulty of communicating product differences.  In each scenario, the consumer would also need to understand the projected capital value of each product before assessing whether the trade-off between income and capital is optimal for their purpose.  </w:t>
      </w:r>
    </w:p>
    <w:p w14:paraId="49D7D6F3" w14:textId="77777777" w:rsidR="00746231" w:rsidRPr="00746231" w:rsidRDefault="00746231" w:rsidP="00746231"/>
    <w:p w14:paraId="278992BC" w14:textId="7391CB8F" w:rsidR="00197BE2" w:rsidRPr="00746231" w:rsidRDefault="00197BE2" w:rsidP="00746231">
      <w:r w:rsidRPr="00746231">
        <w:t>A simple statement of income might mislead a consumer into selecting the product that produces the highest income.  In cases where the retiree might need a capital asset for (e.g.) later transfer into Aged Care, this might outweigh the desire for higher short-term income.</w:t>
      </w:r>
    </w:p>
    <w:p w14:paraId="63CEF0AA" w14:textId="77777777" w:rsidR="00197BE2" w:rsidRPr="00746231" w:rsidRDefault="00197BE2" w:rsidP="00746231"/>
    <w:p w14:paraId="2F8FFB3C" w14:textId="77777777" w:rsidR="00B67CE5" w:rsidRPr="00746231" w:rsidRDefault="00B67CE5" w:rsidP="00746231"/>
    <w:sectPr w:rsidR="00B67CE5" w:rsidRPr="00746231" w:rsidSect="004B6A01">
      <w:pgSz w:w="11906" w:h="16838"/>
      <w:pgMar w:top="1818" w:right="1416" w:bottom="851" w:left="1418" w:header="851" w:footer="64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43AC37" w14:textId="77777777" w:rsidR="00197BE2" w:rsidRPr="001E4754" w:rsidRDefault="00197BE2" w:rsidP="002D4B84">
      <w:pPr>
        <w:rPr>
          <w:rFonts w:ascii="Helvetica" w:hAnsi="Helvetica"/>
        </w:rPr>
      </w:pPr>
      <w:r>
        <w:separator/>
      </w:r>
    </w:p>
  </w:endnote>
  <w:endnote w:type="continuationSeparator" w:id="0">
    <w:p w14:paraId="1C59F78B" w14:textId="77777777" w:rsidR="00197BE2" w:rsidRPr="001E4754" w:rsidRDefault="00197BE2" w:rsidP="002D4B84">
      <w:pPr>
        <w:rPr>
          <w:rFonts w:ascii="Helvetica" w:hAnsi="Helvetic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panose1 w:val="00000000000000000000"/>
    <w:charset w:val="4D"/>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45 Light">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92462" w14:textId="41D6EBEA" w:rsidR="00197BE2" w:rsidRDefault="00197BE2" w:rsidP="000C4EB7">
    <w:pPr>
      <w:pStyle w:val="HeaderFooter"/>
      <w:tabs>
        <w:tab w:val="clear" w:pos="9632"/>
      </w:tabs>
      <w:jc w:val="center"/>
    </w:pPr>
    <w:r w:rsidRPr="001A0506">
      <w:rPr>
        <w:rFonts w:ascii="Arial Narrow" w:hAnsi="Arial Narrow"/>
        <w:b/>
        <w:color w:val="0070C0"/>
        <w:sz w:val="16"/>
      </w:rPr>
      <w:ptab w:relativeTo="margin" w:alignment="left" w:leader="none"/>
    </w:r>
    <w:r>
      <w:rPr>
        <w:rFonts w:ascii="Arial Narrow" w:hAnsi="Arial Narrow"/>
        <w:b/>
        <w:color w:val="0070C0"/>
        <w:sz w:val="16"/>
      </w:rPr>
      <w:t xml:space="preserve">LEVEL </w:t>
    </w:r>
    <w:r w:rsidRPr="001A0506">
      <w:rPr>
        <w:rFonts w:ascii="Arial Narrow" w:hAnsi="Arial Narrow"/>
        <w:b/>
        <w:color w:val="0070C0"/>
        <w:sz w:val="16"/>
      </w:rPr>
      <w:t>2</w:t>
    </w:r>
    <w:r>
      <w:rPr>
        <w:rFonts w:ascii="Arial Narrow" w:hAnsi="Arial Narrow"/>
        <w:b/>
        <w:color w:val="0070C0"/>
        <w:sz w:val="16"/>
      </w:rPr>
      <w:t>1</w:t>
    </w:r>
    <w:r w:rsidRPr="001A0506">
      <w:rPr>
        <w:rFonts w:ascii="Arial Narrow" w:hAnsi="Arial Narrow"/>
        <w:b/>
        <w:color w:val="0070C0"/>
        <w:sz w:val="16"/>
      </w:rPr>
      <w:t>, 2</w:t>
    </w:r>
    <w:r>
      <w:rPr>
        <w:rFonts w:ascii="Arial Narrow" w:hAnsi="Arial Narrow"/>
        <w:b/>
        <w:color w:val="0070C0"/>
        <w:sz w:val="16"/>
      </w:rPr>
      <w:t>00</w:t>
    </w:r>
    <w:r w:rsidRPr="001A0506">
      <w:rPr>
        <w:rFonts w:ascii="Arial Narrow" w:hAnsi="Arial Narrow"/>
        <w:b/>
        <w:color w:val="0070C0"/>
        <w:sz w:val="16"/>
      </w:rPr>
      <w:t xml:space="preserve"> </w:t>
    </w:r>
    <w:r>
      <w:rPr>
        <w:rFonts w:ascii="Arial Narrow" w:hAnsi="Arial Narrow"/>
        <w:b/>
        <w:color w:val="0070C0"/>
        <w:sz w:val="16"/>
      </w:rPr>
      <w:t>GEORGE STREET</w:t>
    </w:r>
    <w:r w:rsidRPr="001A0506">
      <w:rPr>
        <w:rFonts w:ascii="Arial Narrow" w:hAnsi="Arial Narrow"/>
        <w:b/>
        <w:color w:val="0070C0"/>
        <w:sz w:val="16"/>
      </w:rPr>
      <w:t xml:space="preserve"> SYDNEY NSW 2000 </w:t>
    </w:r>
    <w:hyperlink r:id="rId1" w:history="1">
      <w:r w:rsidRPr="001A0506">
        <w:rPr>
          <w:rStyle w:val="Hyperlink"/>
          <w:rFonts w:ascii="Arial Narrow" w:hAnsi="Arial Narrow"/>
          <w:color w:val="0070C0"/>
          <w:sz w:val="16"/>
          <w:u w:val="none"/>
        </w:rPr>
        <w:t>ENQUIRY@SUPERRATINGS.COM.AU</w:t>
      </w:r>
    </w:hyperlink>
    <w:r w:rsidRPr="001A0506">
      <w:rPr>
        <w:rFonts w:ascii="Arial Narrow" w:hAnsi="Arial Narrow"/>
        <w:color w:val="0070C0"/>
        <w:sz w:val="16"/>
      </w:rPr>
      <w:t xml:space="preserve">  P 61 2 9247 4711</w:t>
    </w:r>
    <w:r>
      <w:rPr>
        <w:rFonts w:ascii="Arial Narrow" w:hAnsi="Arial Narrow"/>
        <w:color w:val="0070C0"/>
        <w:sz w:val="16"/>
      </w:rPr>
      <w:t xml:space="preserve"> F 61 2 9247 4322</w:t>
    </w:r>
    <w:r w:rsidRPr="001A0506">
      <w:rPr>
        <w:rFonts w:ascii="Arial Narrow" w:hAnsi="Arial Narrow"/>
        <w:color w:val="0070C0"/>
        <w:sz w:val="16"/>
      </w:rPr>
      <w:t xml:space="preserve"> </w:t>
    </w:r>
    <w:sdt>
      <w:sdtPr>
        <w:rPr>
          <w:color w:val="0070C0"/>
        </w:rPr>
        <w:id w:val="147251004"/>
        <w:docPartObj>
          <w:docPartGallery w:val="Page Numbers (Bottom of Page)"/>
          <w:docPartUnique/>
        </w:docPartObj>
      </w:sdtPr>
      <w:sdtEndPr/>
      <w:sdtContent>
        <w:r w:rsidRPr="001A0506">
          <w:rPr>
            <w:color w:val="0070C0"/>
          </w:rPr>
          <w:tab/>
        </w:r>
        <w:r w:rsidRPr="001A0506">
          <w:rPr>
            <w:rFonts w:ascii="Arial Narrow" w:hAnsi="Arial Narrow"/>
            <w:color w:val="0070C0"/>
            <w:sz w:val="16"/>
          </w:rPr>
          <w:t xml:space="preserve">Page | </w:t>
        </w:r>
        <w:r w:rsidRPr="001A0506">
          <w:rPr>
            <w:rFonts w:ascii="Arial Narrow" w:hAnsi="Arial Narrow"/>
            <w:color w:val="0070C0"/>
            <w:sz w:val="16"/>
          </w:rPr>
          <w:fldChar w:fldCharType="begin"/>
        </w:r>
        <w:r w:rsidRPr="001A0506">
          <w:rPr>
            <w:rFonts w:ascii="Arial Narrow" w:hAnsi="Arial Narrow"/>
            <w:color w:val="0070C0"/>
            <w:sz w:val="16"/>
          </w:rPr>
          <w:instrText xml:space="preserve"> PAGE   \* MERGEFORMAT </w:instrText>
        </w:r>
        <w:r w:rsidRPr="001A0506">
          <w:rPr>
            <w:rFonts w:ascii="Arial Narrow" w:hAnsi="Arial Narrow"/>
            <w:color w:val="0070C0"/>
            <w:sz w:val="16"/>
          </w:rPr>
          <w:fldChar w:fldCharType="separate"/>
        </w:r>
        <w:r w:rsidR="001E6DA4">
          <w:rPr>
            <w:rFonts w:ascii="Arial Narrow" w:hAnsi="Arial Narrow"/>
            <w:noProof/>
            <w:color w:val="0070C0"/>
            <w:sz w:val="16"/>
          </w:rPr>
          <w:t>2</w:t>
        </w:r>
        <w:r w:rsidRPr="001A0506">
          <w:rPr>
            <w:rFonts w:ascii="Arial Narrow" w:hAnsi="Arial Narrow"/>
            <w:color w:val="0070C0"/>
            <w:sz w:val="16"/>
          </w:rPr>
          <w:fldChar w:fldCharType="end"/>
        </w:r>
        <w:r w:rsidRPr="001A0506">
          <w:rPr>
            <w:color w:val="0070C0"/>
          </w:rPr>
          <w:t xml:space="preserve"> </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BB576" w14:textId="77777777" w:rsidR="00197BE2" w:rsidRDefault="00197BE2" w:rsidP="003154DB"/>
  <w:p w14:paraId="019D278B" w14:textId="5E74E221" w:rsidR="00197BE2" w:rsidRDefault="00197BE2" w:rsidP="003154DB">
    <w:pPr>
      <w:pStyle w:val="HeaderFooter"/>
      <w:tabs>
        <w:tab w:val="clear" w:pos="9632"/>
      </w:tabs>
      <w:jc w:val="center"/>
    </w:pPr>
    <w:r w:rsidRPr="001A0506">
      <w:rPr>
        <w:rFonts w:ascii="Arial Narrow" w:hAnsi="Arial Narrow"/>
        <w:b/>
        <w:color w:val="0070C0"/>
        <w:sz w:val="16"/>
      </w:rPr>
      <w:ptab w:relativeTo="margin" w:alignment="left" w:leader="none"/>
    </w:r>
    <w:r w:rsidR="00E70571">
      <w:rPr>
        <w:rFonts w:ascii="Arial Narrow" w:hAnsi="Arial Narrow"/>
        <w:b/>
        <w:color w:val="0070C0"/>
        <w:sz w:val="16"/>
      </w:rPr>
      <w:t xml:space="preserve">LEVEL </w:t>
    </w:r>
    <w:r w:rsidRPr="001A0506">
      <w:rPr>
        <w:rFonts w:ascii="Arial Narrow" w:hAnsi="Arial Narrow"/>
        <w:b/>
        <w:color w:val="0070C0"/>
        <w:sz w:val="16"/>
      </w:rPr>
      <w:t>2</w:t>
    </w:r>
    <w:r w:rsidR="00E70571">
      <w:rPr>
        <w:rFonts w:ascii="Arial Narrow" w:hAnsi="Arial Narrow"/>
        <w:b/>
        <w:color w:val="0070C0"/>
        <w:sz w:val="16"/>
      </w:rPr>
      <w:t>1</w:t>
    </w:r>
    <w:r w:rsidRPr="001A0506">
      <w:rPr>
        <w:rFonts w:ascii="Arial Narrow" w:hAnsi="Arial Narrow"/>
        <w:b/>
        <w:color w:val="0070C0"/>
        <w:sz w:val="16"/>
      </w:rPr>
      <w:t>, 2</w:t>
    </w:r>
    <w:r w:rsidR="00E70571">
      <w:rPr>
        <w:rFonts w:ascii="Arial Narrow" w:hAnsi="Arial Narrow"/>
        <w:b/>
        <w:color w:val="0070C0"/>
        <w:sz w:val="16"/>
      </w:rPr>
      <w:t>00</w:t>
    </w:r>
    <w:r w:rsidRPr="001A0506">
      <w:rPr>
        <w:rFonts w:ascii="Arial Narrow" w:hAnsi="Arial Narrow"/>
        <w:b/>
        <w:color w:val="0070C0"/>
        <w:sz w:val="16"/>
      </w:rPr>
      <w:t xml:space="preserve"> </w:t>
    </w:r>
    <w:r w:rsidR="00E70571">
      <w:rPr>
        <w:rFonts w:ascii="Arial Narrow" w:hAnsi="Arial Narrow"/>
        <w:b/>
        <w:color w:val="0070C0"/>
        <w:sz w:val="16"/>
      </w:rPr>
      <w:t>GEORGE STREET</w:t>
    </w:r>
    <w:r w:rsidRPr="001A0506">
      <w:rPr>
        <w:rFonts w:ascii="Arial Narrow" w:hAnsi="Arial Narrow"/>
        <w:b/>
        <w:color w:val="0070C0"/>
        <w:sz w:val="16"/>
      </w:rPr>
      <w:t xml:space="preserve"> SYDNEY NSW 2000 </w:t>
    </w:r>
    <w:hyperlink r:id="rId1" w:history="1">
      <w:r w:rsidRPr="001A0506">
        <w:rPr>
          <w:rStyle w:val="Hyperlink"/>
          <w:rFonts w:ascii="Arial Narrow" w:hAnsi="Arial Narrow"/>
          <w:color w:val="0070C0"/>
          <w:sz w:val="16"/>
          <w:u w:val="none"/>
        </w:rPr>
        <w:t>ENQUIRY@SUPERRATINGS.COM.AU</w:t>
      </w:r>
    </w:hyperlink>
    <w:r w:rsidRPr="001A0506">
      <w:rPr>
        <w:rFonts w:ascii="Arial Narrow" w:hAnsi="Arial Narrow"/>
        <w:color w:val="0070C0"/>
        <w:sz w:val="16"/>
      </w:rPr>
      <w:t xml:space="preserve">  P 61 2 9247 4711</w:t>
    </w:r>
    <w:r>
      <w:rPr>
        <w:rFonts w:ascii="Arial Narrow" w:hAnsi="Arial Narrow"/>
        <w:color w:val="0070C0"/>
        <w:sz w:val="16"/>
      </w:rPr>
      <w:t xml:space="preserve"> F 61 2 9247 4322</w:t>
    </w:r>
    <w:r w:rsidRPr="001A0506">
      <w:rPr>
        <w:rFonts w:ascii="Arial Narrow" w:hAnsi="Arial Narrow"/>
        <w:color w:val="0070C0"/>
        <w:sz w:val="16"/>
      </w:rPr>
      <w:t xml:space="preserve"> </w:t>
    </w:r>
    <w:sdt>
      <w:sdtPr>
        <w:rPr>
          <w:color w:val="0070C0"/>
        </w:rPr>
        <w:id w:val="1522821680"/>
        <w:docPartObj>
          <w:docPartGallery w:val="Page Numbers (Bottom of Page)"/>
          <w:docPartUnique/>
        </w:docPartObj>
      </w:sdtPr>
      <w:sdtEndPr/>
      <w:sdtContent>
        <w:r w:rsidRPr="001A0506">
          <w:rPr>
            <w:color w:val="0070C0"/>
          </w:rPr>
          <w:tab/>
        </w:r>
        <w:r w:rsidRPr="001A0506">
          <w:rPr>
            <w:rFonts w:ascii="Arial Narrow" w:hAnsi="Arial Narrow"/>
            <w:color w:val="0070C0"/>
            <w:sz w:val="16"/>
          </w:rPr>
          <w:t xml:space="preserve">Page | </w:t>
        </w:r>
        <w:r w:rsidRPr="001A0506">
          <w:rPr>
            <w:rFonts w:ascii="Arial Narrow" w:hAnsi="Arial Narrow"/>
            <w:color w:val="0070C0"/>
            <w:sz w:val="16"/>
          </w:rPr>
          <w:fldChar w:fldCharType="begin"/>
        </w:r>
        <w:r w:rsidRPr="001A0506">
          <w:rPr>
            <w:rFonts w:ascii="Arial Narrow" w:hAnsi="Arial Narrow"/>
            <w:color w:val="0070C0"/>
            <w:sz w:val="16"/>
          </w:rPr>
          <w:instrText xml:space="preserve"> PAGE   \* MERGEFORMAT </w:instrText>
        </w:r>
        <w:r w:rsidRPr="001A0506">
          <w:rPr>
            <w:rFonts w:ascii="Arial Narrow" w:hAnsi="Arial Narrow"/>
            <w:color w:val="0070C0"/>
            <w:sz w:val="16"/>
          </w:rPr>
          <w:fldChar w:fldCharType="separate"/>
        </w:r>
        <w:r w:rsidR="0010680D">
          <w:rPr>
            <w:rFonts w:ascii="Arial Narrow" w:hAnsi="Arial Narrow"/>
            <w:noProof/>
            <w:color w:val="0070C0"/>
            <w:sz w:val="16"/>
          </w:rPr>
          <w:t>1</w:t>
        </w:r>
        <w:r w:rsidRPr="001A0506">
          <w:rPr>
            <w:rFonts w:ascii="Arial Narrow" w:hAnsi="Arial Narrow"/>
            <w:color w:val="0070C0"/>
            <w:sz w:val="16"/>
          </w:rPr>
          <w:fldChar w:fldCharType="end"/>
        </w:r>
        <w:r w:rsidRPr="001A0506">
          <w:rPr>
            <w:color w:val="0070C0"/>
          </w:rPr>
          <w:t xml:space="preserve"> </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B23D83" w14:textId="77777777" w:rsidR="00197BE2" w:rsidRPr="001E4754" w:rsidRDefault="00197BE2" w:rsidP="002D4B84">
      <w:pPr>
        <w:rPr>
          <w:rFonts w:ascii="Helvetica" w:hAnsi="Helvetica"/>
        </w:rPr>
      </w:pPr>
      <w:r>
        <w:separator/>
      </w:r>
    </w:p>
  </w:footnote>
  <w:footnote w:type="continuationSeparator" w:id="0">
    <w:p w14:paraId="553003C6" w14:textId="77777777" w:rsidR="00197BE2" w:rsidRPr="001E4754" w:rsidRDefault="00197BE2" w:rsidP="002D4B84">
      <w:pPr>
        <w:rPr>
          <w:rFonts w:ascii="Helvetica" w:hAnsi="Helvetica"/>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C87CD" w14:textId="77777777" w:rsidR="00197BE2" w:rsidRDefault="00197BE2" w:rsidP="002D4B84">
    <w:pPr>
      <w:pStyle w:val="Header"/>
    </w:pPr>
    <w:r>
      <w:tab/>
    </w:r>
    <w:r>
      <w:tab/>
    </w:r>
    <w:r w:rsidRPr="00237B85">
      <w:rPr>
        <w:noProof/>
        <w:lang w:eastAsia="en-AU"/>
      </w:rPr>
      <w:drawing>
        <wp:inline distT="0" distB="0" distL="0" distR="0" wp14:anchorId="1C15432C" wp14:editId="76BEBC62">
          <wp:extent cx="1041400" cy="1041400"/>
          <wp:effectExtent l="1905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41400" cy="1041400"/>
                  </a:xfrm>
                  <a:prstGeom prst="rect">
                    <a:avLst/>
                  </a:prstGeom>
                  <a:noFill/>
                  <a:ln w="12700">
                    <a:noFill/>
                    <a:miter lim="800000"/>
                    <a:headEnd/>
                    <a:tailEnd/>
                  </a:ln>
                  <a:effectLst/>
                </pic:spPr>
              </pic:pic>
            </a:graphicData>
          </a:graphic>
        </wp:inline>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C483D2" w14:textId="77777777" w:rsidR="00197BE2" w:rsidRDefault="00197BE2" w:rsidP="00AB6FB3">
    <w:pPr>
      <w:pStyle w:val="Header"/>
      <w:jc w:val="right"/>
    </w:pPr>
    <w:r>
      <w:tab/>
    </w:r>
    <w:r>
      <w:tab/>
    </w:r>
    <w:r>
      <w:rPr>
        <w:noProof/>
        <w:lang w:eastAsia="en-AU"/>
      </w:rPr>
      <w:drawing>
        <wp:inline distT="0" distB="0" distL="0" distR="0" wp14:anchorId="0E4DEDCC" wp14:editId="5EA857B1">
          <wp:extent cx="540000" cy="540000"/>
          <wp:effectExtent l="19050" t="0" r="0" b="0"/>
          <wp:docPr id="6" name="Picture 6" descr="S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_Logo.png"/>
                  <pic:cNvPicPr/>
                </pic:nvPicPr>
                <pic:blipFill>
                  <a:blip r:embed="rId1"/>
                  <a:stretch>
                    <a:fillRect/>
                  </a:stretch>
                </pic:blipFill>
                <pic:spPr>
                  <a:xfrm>
                    <a:off x="0" y="0"/>
                    <a:ext cx="540000" cy="5400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B22E1" w14:textId="77777777" w:rsidR="00197BE2" w:rsidRDefault="00197BE2" w:rsidP="00AB6FB3">
    <w:pPr>
      <w:pStyle w:val="Header"/>
      <w:jc w:val="right"/>
    </w:pPr>
    <w:r>
      <w:rPr>
        <w:noProof/>
        <w:lang w:eastAsia="en-AU"/>
      </w:rPr>
      <w:drawing>
        <wp:inline distT="0" distB="0" distL="0" distR="0" wp14:anchorId="7B38FE0F" wp14:editId="547780B5">
          <wp:extent cx="540000" cy="540000"/>
          <wp:effectExtent l="19050" t="0" r="0" b="0"/>
          <wp:docPr id="9" name="Picture 2" descr="S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_Logo.png"/>
                  <pic:cNvPicPr/>
                </pic:nvPicPr>
                <pic:blipFill>
                  <a:blip r:embed="rId1"/>
                  <a:stretch>
                    <a:fillRect/>
                  </a:stretch>
                </pic:blipFill>
                <pic:spPr>
                  <a:xfrm>
                    <a:off x="0" y="0"/>
                    <a:ext cx="540000" cy="5400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45C8"/>
    <w:multiLevelType w:val="multilevel"/>
    <w:tmpl w:val="0624FD36"/>
    <w:lvl w:ilvl="0">
      <w:start w:val="1"/>
      <w:numFmt w:val="decimal"/>
      <w:pStyle w:val="Heading1"/>
      <w:lvlText w:val="%1."/>
      <w:lvlJc w:val="left"/>
      <w:pPr>
        <w:ind w:left="928" w:hanging="360"/>
      </w:pPr>
    </w:lvl>
    <w:lvl w:ilvl="1">
      <w:start w:val="1"/>
      <w:numFmt w:val="decimal"/>
      <w:lvlText w:val="%1.%2."/>
      <w:lvlJc w:val="left"/>
      <w:pPr>
        <w:ind w:left="792" w:hanging="432"/>
      </w:pPr>
      <w:rPr>
        <w:color w:val="0070C0"/>
        <w:sz w:val="24"/>
        <w:szCs w:val="24"/>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0FC00FD"/>
    <w:multiLevelType w:val="hybridMultilevel"/>
    <w:tmpl w:val="38C42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2AD6666"/>
    <w:multiLevelType w:val="hybridMultilevel"/>
    <w:tmpl w:val="7B28253C"/>
    <w:lvl w:ilvl="0" w:tplc="DC2C0364">
      <w:start w:val="1"/>
      <w:numFmt w:val="bullet"/>
      <w:pStyle w:val="ListBullet"/>
      <w:lvlText w:val=""/>
      <w:lvlJc w:val="left"/>
      <w:pPr>
        <w:tabs>
          <w:tab w:val="num" w:pos="340"/>
        </w:tabs>
        <w:ind w:left="340" w:hanging="34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02502E9"/>
    <w:multiLevelType w:val="hybridMultilevel"/>
    <w:tmpl w:val="CD220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CE47C38"/>
    <w:multiLevelType w:val="hybridMultilevel"/>
    <w:tmpl w:val="D22ECE4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1D8C3007"/>
    <w:multiLevelType w:val="hybridMultilevel"/>
    <w:tmpl w:val="F698AB30"/>
    <w:lvl w:ilvl="0" w:tplc="CDB401A6">
      <w:start w:val="1"/>
      <w:numFmt w:val="bullet"/>
      <w:pStyle w:val="DotPoints"/>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F5A038A"/>
    <w:multiLevelType w:val="hybridMultilevel"/>
    <w:tmpl w:val="F020B5A0"/>
    <w:lvl w:ilvl="0" w:tplc="90D84DAE">
      <w:numFmt w:val="bullet"/>
      <w:lvlText w:val="-"/>
      <w:lvlJc w:val="left"/>
      <w:pPr>
        <w:ind w:left="720" w:hanging="360"/>
      </w:pPr>
      <w:rPr>
        <w:rFonts w:ascii="Arial" w:eastAsia="Times New Roman"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3A5814AF"/>
    <w:multiLevelType w:val="hybridMultilevel"/>
    <w:tmpl w:val="615C9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0507A67"/>
    <w:multiLevelType w:val="hybridMultilevel"/>
    <w:tmpl w:val="48568C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4FBB7C95"/>
    <w:multiLevelType w:val="hybridMultilevel"/>
    <w:tmpl w:val="45ECF5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62005F02"/>
    <w:multiLevelType w:val="multilevel"/>
    <w:tmpl w:val="0A8258A0"/>
    <w:lvl w:ilvl="0">
      <w:start w:val="1"/>
      <w:numFmt w:val="decimal"/>
      <w:pStyle w:val="Level1"/>
      <w:lvlText w:val="%1."/>
      <w:lvlJc w:val="left"/>
      <w:pPr>
        <w:tabs>
          <w:tab w:val="num" w:pos="720"/>
        </w:tabs>
        <w:ind w:left="720" w:hanging="720"/>
      </w:pPr>
      <w:rPr>
        <w:rFonts w:ascii="Times New Roman" w:hAnsi="Times New Roman" w:cs="Times New Roman" w:hint="default"/>
        <w:b w:val="0"/>
        <w:i w:val="0"/>
        <w:sz w:val="22"/>
      </w:rPr>
    </w:lvl>
    <w:lvl w:ilvl="1">
      <w:start w:val="1"/>
      <w:numFmt w:val="decimal"/>
      <w:pStyle w:val="Level11"/>
      <w:lvlText w:val="%1.%2"/>
      <w:lvlJc w:val="left"/>
      <w:pPr>
        <w:tabs>
          <w:tab w:val="num" w:pos="720"/>
        </w:tabs>
        <w:ind w:left="720" w:hanging="706"/>
      </w:pPr>
      <w:rPr>
        <w:rFonts w:ascii="Arial Narrow" w:hAnsi="Arial Narrow" w:cs="Times New Roman" w:hint="default"/>
        <w:b/>
        <w:i w:val="0"/>
        <w:sz w:val="24"/>
      </w:rPr>
    </w:lvl>
    <w:lvl w:ilvl="2">
      <w:start w:val="1"/>
      <w:numFmt w:val="lowerLetter"/>
      <w:pStyle w:val="Levela"/>
      <w:lvlText w:val="(%3)"/>
      <w:lvlJc w:val="left"/>
      <w:pPr>
        <w:tabs>
          <w:tab w:val="num" w:pos="1440"/>
        </w:tabs>
        <w:ind w:left="1440" w:hanging="720"/>
      </w:pPr>
      <w:rPr>
        <w:rFonts w:ascii="Arial" w:hAnsi="Arial" w:cs="Times New Roman" w:hint="default"/>
        <w:b w:val="0"/>
        <w:i w:val="0"/>
        <w:sz w:val="22"/>
      </w:rPr>
    </w:lvl>
    <w:lvl w:ilvl="3">
      <w:start w:val="1"/>
      <w:numFmt w:val="lowerRoman"/>
      <w:lvlText w:val="(%4)"/>
      <w:lvlJc w:val="left"/>
      <w:pPr>
        <w:tabs>
          <w:tab w:val="num" w:pos="2160"/>
        </w:tabs>
        <w:ind w:left="1800" w:hanging="360"/>
      </w:pPr>
      <w:rPr>
        <w:rFonts w:cs="Times New Roman" w:hint="default"/>
      </w:rPr>
    </w:lvl>
    <w:lvl w:ilvl="4">
      <w:start w:val="1"/>
      <w:numFmt w:val="upperLetter"/>
      <w:pStyle w:val="LevelA0"/>
      <w:lvlText w:val="(%5)"/>
      <w:lvlJc w:val="left"/>
      <w:pPr>
        <w:tabs>
          <w:tab w:val="num" w:pos="2880"/>
        </w:tabs>
        <w:ind w:left="2880" w:hanging="720"/>
      </w:pPr>
      <w:rPr>
        <w:rFonts w:ascii="Palatino" w:hAnsi="Palatino" w:cs="Times New Roman" w:hint="default"/>
        <w:b w:val="0"/>
        <w:i w:val="0"/>
        <w:sz w:val="22"/>
      </w:rPr>
    </w:lvl>
    <w:lvl w:ilvl="5">
      <w:start w:val="1"/>
      <w:numFmt w:val="upperRoman"/>
      <w:pStyle w:val="LevelI"/>
      <w:lvlText w:val="(%6)"/>
      <w:lvlJc w:val="left"/>
      <w:pPr>
        <w:tabs>
          <w:tab w:val="num" w:pos="3600"/>
        </w:tabs>
        <w:ind w:left="3600" w:hanging="720"/>
      </w:pPr>
      <w:rPr>
        <w:rFonts w:ascii="Palatino" w:hAnsi="Palatino" w:cs="Times New Roman" w:hint="default"/>
        <w:b w:val="0"/>
        <w:i w:val="0"/>
        <w:sz w:val="22"/>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11">
    <w:nsid w:val="66D41EE1"/>
    <w:multiLevelType w:val="hybridMultilevel"/>
    <w:tmpl w:val="CEC28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C4030FF"/>
    <w:multiLevelType w:val="singleLevel"/>
    <w:tmpl w:val="E6E43430"/>
    <w:lvl w:ilvl="0">
      <w:start w:val="1"/>
      <w:numFmt w:val="bullet"/>
      <w:pStyle w:val="ListBullet2"/>
      <w:lvlText w:val="-"/>
      <w:lvlJc w:val="left"/>
      <w:pPr>
        <w:tabs>
          <w:tab w:val="num" w:pos="680"/>
        </w:tabs>
        <w:ind w:left="680" w:hanging="340"/>
      </w:pPr>
      <w:rPr>
        <w:rFonts w:ascii="Times New Roman" w:hAnsi="Times New Roman" w:hint="default"/>
      </w:rPr>
    </w:lvl>
  </w:abstractNum>
  <w:abstractNum w:abstractNumId="13">
    <w:nsid w:val="7AB5372D"/>
    <w:multiLevelType w:val="hybridMultilevel"/>
    <w:tmpl w:val="15A25AD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0"/>
  </w:num>
  <w:num w:numId="2">
    <w:abstractNumId w:val="0"/>
  </w:num>
  <w:num w:numId="3">
    <w:abstractNumId w:val="12"/>
  </w:num>
  <w:num w:numId="4">
    <w:abstractNumId w:val="2"/>
  </w:num>
  <w:num w:numId="5">
    <w:abstractNumId w:val="5"/>
  </w:num>
  <w:num w:numId="6">
    <w:abstractNumId w:val="6"/>
  </w:num>
  <w:num w:numId="7">
    <w:abstractNumId w:val="7"/>
  </w:num>
  <w:num w:numId="8">
    <w:abstractNumId w:val="4"/>
  </w:num>
  <w:num w:numId="9">
    <w:abstractNumId w:val="8"/>
  </w:num>
  <w:num w:numId="10">
    <w:abstractNumId w:val="13"/>
  </w:num>
  <w:num w:numId="11">
    <w:abstractNumId w:val="11"/>
  </w:num>
  <w:num w:numId="12">
    <w:abstractNumId w:val="1"/>
  </w:num>
  <w:num w:numId="13">
    <w:abstractNumId w:val="3"/>
  </w:num>
  <w:num w:numId="14">
    <w:abstractNumId w:val="9"/>
  </w:num>
  <w:num w:numId="15">
    <w:abstractNumId w:val="0"/>
  </w:num>
  <w:num w:numId="16">
    <w:abstractNumId w:val="0"/>
  </w:num>
  <w:num w:numId="17">
    <w:abstractNumId w:val="0"/>
  </w:num>
  <w:num w:numId="18">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0FB"/>
    <w:rsid w:val="00000012"/>
    <w:rsid w:val="00000070"/>
    <w:rsid w:val="000000DC"/>
    <w:rsid w:val="00000F80"/>
    <w:rsid w:val="00001299"/>
    <w:rsid w:val="00002081"/>
    <w:rsid w:val="0000220B"/>
    <w:rsid w:val="000031A2"/>
    <w:rsid w:val="000037B2"/>
    <w:rsid w:val="00003EBF"/>
    <w:rsid w:val="00004285"/>
    <w:rsid w:val="000043D7"/>
    <w:rsid w:val="00007BC9"/>
    <w:rsid w:val="00014484"/>
    <w:rsid w:val="00014B34"/>
    <w:rsid w:val="00014C9F"/>
    <w:rsid w:val="000157AF"/>
    <w:rsid w:val="000159D5"/>
    <w:rsid w:val="00016639"/>
    <w:rsid w:val="00016A86"/>
    <w:rsid w:val="00017BF5"/>
    <w:rsid w:val="000212E2"/>
    <w:rsid w:val="00022455"/>
    <w:rsid w:val="00022C60"/>
    <w:rsid w:val="00023B27"/>
    <w:rsid w:val="0002603B"/>
    <w:rsid w:val="00026B4A"/>
    <w:rsid w:val="00027908"/>
    <w:rsid w:val="00027E4C"/>
    <w:rsid w:val="000307C4"/>
    <w:rsid w:val="00030A95"/>
    <w:rsid w:val="00030B4E"/>
    <w:rsid w:val="0003193D"/>
    <w:rsid w:val="000321E2"/>
    <w:rsid w:val="00032222"/>
    <w:rsid w:val="000341E4"/>
    <w:rsid w:val="0003458D"/>
    <w:rsid w:val="000347B2"/>
    <w:rsid w:val="0003547D"/>
    <w:rsid w:val="000360DA"/>
    <w:rsid w:val="00036999"/>
    <w:rsid w:val="000373FC"/>
    <w:rsid w:val="00037A7E"/>
    <w:rsid w:val="00037E34"/>
    <w:rsid w:val="00041D05"/>
    <w:rsid w:val="00041DFB"/>
    <w:rsid w:val="0004235C"/>
    <w:rsid w:val="00043713"/>
    <w:rsid w:val="00043B6A"/>
    <w:rsid w:val="000450D8"/>
    <w:rsid w:val="000452A0"/>
    <w:rsid w:val="000460C8"/>
    <w:rsid w:val="00046B19"/>
    <w:rsid w:val="00047472"/>
    <w:rsid w:val="000477BA"/>
    <w:rsid w:val="000515AC"/>
    <w:rsid w:val="000535F9"/>
    <w:rsid w:val="00053696"/>
    <w:rsid w:val="00053C83"/>
    <w:rsid w:val="00053D76"/>
    <w:rsid w:val="00053D9E"/>
    <w:rsid w:val="000549CE"/>
    <w:rsid w:val="00054AD3"/>
    <w:rsid w:val="00056475"/>
    <w:rsid w:val="00056859"/>
    <w:rsid w:val="00056DA4"/>
    <w:rsid w:val="00062EF3"/>
    <w:rsid w:val="00065797"/>
    <w:rsid w:val="00065917"/>
    <w:rsid w:val="00067692"/>
    <w:rsid w:val="000676FB"/>
    <w:rsid w:val="000701C0"/>
    <w:rsid w:val="000703CD"/>
    <w:rsid w:val="00070E6E"/>
    <w:rsid w:val="00071B20"/>
    <w:rsid w:val="00072881"/>
    <w:rsid w:val="00073041"/>
    <w:rsid w:val="0007316D"/>
    <w:rsid w:val="00075865"/>
    <w:rsid w:val="00075CEE"/>
    <w:rsid w:val="0007643F"/>
    <w:rsid w:val="0007722D"/>
    <w:rsid w:val="00077A6F"/>
    <w:rsid w:val="00080306"/>
    <w:rsid w:val="00080E6F"/>
    <w:rsid w:val="0008173B"/>
    <w:rsid w:val="00081DE3"/>
    <w:rsid w:val="0008239F"/>
    <w:rsid w:val="00082A4A"/>
    <w:rsid w:val="000839D6"/>
    <w:rsid w:val="00084CEA"/>
    <w:rsid w:val="00085213"/>
    <w:rsid w:val="00085379"/>
    <w:rsid w:val="00086065"/>
    <w:rsid w:val="000863C9"/>
    <w:rsid w:val="00086663"/>
    <w:rsid w:val="00086C36"/>
    <w:rsid w:val="00086F05"/>
    <w:rsid w:val="00087013"/>
    <w:rsid w:val="000871FE"/>
    <w:rsid w:val="00087AE2"/>
    <w:rsid w:val="00087D8C"/>
    <w:rsid w:val="00087F1D"/>
    <w:rsid w:val="0009005F"/>
    <w:rsid w:val="00090069"/>
    <w:rsid w:val="00090283"/>
    <w:rsid w:val="00090A40"/>
    <w:rsid w:val="00090D7B"/>
    <w:rsid w:val="000925DE"/>
    <w:rsid w:val="00092F73"/>
    <w:rsid w:val="00093D15"/>
    <w:rsid w:val="00094411"/>
    <w:rsid w:val="00095105"/>
    <w:rsid w:val="00095459"/>
    <w:rsid w:val="00097918"/>
    <w:rsid w:val="00097CA3"/>
    <w:rsid w:val="000A185E"/>
    <w:rsid w:val="000A18A4"/>
    <w:rsid w:val="000A1958"/>
    <w:rsid w:val="000A1B11"/>
    <w:rsid w:val="000A2349"/>
    <w:rsid w:val="000A3008"/>
    <w:rsid w:val="000A6DD6"/>
    <w:rsid w:val="000A724A"/>
    <w:rsid w:val="000A74C6"/>
    <w:rsid w:val="000A7DCA"/>
    <w:rsid w:val="000B02F4"/>
    <w:rsid w:val="000B1D74"/>
    <w:rsid w:val="000B2896"/>
    <w:rsid w:val="000B2941"/>
    <w:rsid w:val="000B2AE3"/>
    <w:rsid w:val="000B3307"/>
    <w:rsid w:val="000B3392"/>
    <w:rsid w:val="000B3D37"/>
    <w:rsid w:val="000B3E19"/>
    <w:rsid w:val="000B4631"/>
    <w:rsid w:val="000B4920"/>
    <w:rsid w:val="000B570E"/>
    <w:rsid w:val="000B6C7D"/>
    <w:rsid w:val="000B6F15"/>
    <w:rsid w:val="000B76B5"/>
    <w:rsid w:val="000C28F2"/>
    <w:rsid w:val="000C2D19"/>
    <w:rsid w:val="000C3ADD"/>
    <w:rsid w:val="000C4EB7"/>
    <w:rsid w:val="000C4F41"/>
    <w:rsid w:val="000C5096"/>
    <w:rsid w:val="000C5186"/>
    <w:rsid w:val="000C51D0"/>
    <w:rsid w:val="000C5F78"/>
    <w:rsid w:val="000C6A14"/>
    <w:rsid w:val="000C6D9A"/>
    <w:rsid w:val="000D1355"/>
    <w:rsid w:val="000D226C"/>
    <w:rsid w:val="000D22B7"/>
    <w:rsid w:val="000D2DD8"/>
    <w:rsid w:val="000D3093"/>
    <w:rsid w:val="000D4993"/>
    <w:rsid w:val="000D4CDC"/>
    <w:rsid w:val="000D57BD"/>
    <w:rsid w:val="000D5D9C"/>
    <w:rsid w:val="000D5F3D"/>
    <w:rsid w:val="000D651F"/>
    <w:rsid w:val="000D655B"/>
    <w:rsid w:val="000D6AE9"/>
    <w:rsid w:val="000D77EE"/>
    <w:rsid w:val="000E0925"/>
    <w:rsid w:val="000E0B11"/>
    <w:rsid w:val="000E203B"/>
    <w:rsid w:val="000E2E47"/>
    <w:rsid w:val="000E3ADE"/>
    <w:rsid w:val="000E4352"/>
    <w:rsid w:val="000E45C0"/>
    <w:rsid w:val="000E497F"/>
    <w:rsid w:val="000E5240"/>
    <w:rsid w:val="000E5F16"/>
    <w:rsid w:val="000E6F29"/>
    <w:rsid w:val="000F04F0"/>
    <w:rsid w:val="000F07D8"/>
    <w:rsid w:val="000F188F"/>
    <w:rsid w:val="000F224E"/>
    <w:rsid w:val="000F26AD"/>
    <w:rsid w:val="000F2D50"/>
    <w:rsid w:val="000F3986"/>
    <w:rsid w:val="000F4B6F"/>
    <w:rsid w:val="000F5335"/>
    <w:rsid w:val="000F6F9A"/>
    <w:rsid w:val="000F7277"/>
    <w:rsid w:val="001005F4"/>
    <w:rsid w:val="00101744"/>
    <w:rsid w:val="00101D0E"/>
    <w:rsid w:val="00101D94"/>
    <w:rsid w:val="001035AE"/>
    <w:rsid w:val="00103B34"/>
    <w:rsid w:val="00105EEB"/>
    <w:rsid w:val="001064FA"/>
    <w:rsid w:val="0010680D"/>
    <w:rsid w:val="001079C9"/>
    <w:rsid w:val="00107ACB"/>
    <w:rsid w:val="001101AC"/>
    <w:rsid w:val="0011073F"/>
    <w:rsid w:val="00110867"/>
    <w:rsid w:val="00110FB8"/>
    <w:rsid w:val="0011174E"/>
    <w:rsid w:val="00111BBD"/>
    <w:rsid w:val="00111C46"/>
    <w:rsid w:val="00111FD2"/>
    <w:rsid w:val="0011360B"/>
    <w:rsid w:val="0011365E"/>
    <w:rsid w:val="00115258"/>
    <w:rsid w:val="0011595B"/>
    <w:rsid w:val="00115C6D"/>
    <w:rsid w:val="00115EE5"/>
    <w:rsid w:val="00116ADA"/>
    <w:rsid w:val="00117E76"/>
    <w:rsid w:val="00120682"/>
    <w:rsid w:val="00121D7C"/>
    <w:rsid w:val="0012228A"/>
    <w:rsid w:val="00122FCC"/>
    <w:rsid w:val="0012351C"/>
    <w:rsid w:val="001236FF"/>
    <w:rsid w:val="00125108"/>
    <w:rsid w:val="0012647E"/>
    <w:rsid w:val="001276AF"/>
    <w:rsid w:val="00130097"/>
    <w:rsid w:val="00130286"/>
    <w:rsid w:val="001309E3"/>
    <w:rsid w:val="001312AF"/>
    <w:rsid w:val="001320C6"/>
    <w:rsid w:val="00132848"/>
    <w:rsid w:val="001329D9"/>
    <w:rsid w:val="00134006"/>
    <w:rsid w:val="001353AB"/>
    <w:rsid w:val="0013573D"/>
    <w:rsid w:val="00135776"/>
    <w:rsid w:val="001368D7"/>
    <w:rsid w:val="00137ACB"/>
    <w:rsid w:val="0014117F"/>
    <w:rsid w:val="001411AD"/>
    <w:rsid w:val="001427E2"/>
    <w:rsid w:val="00142FC8"/>
    <w:rsid w:val="00143770"/>
    <w:rsid w:val="00144385"/>
    <w:rsid w:val="001443FD"/>
    <w:rsid w:val="0014521B"/>
    <w:rsid w:val="00145292"/>
    <w:rsid w:val="001457B1"/>
    <w:rsid w:val="00145984"/>
    <w:rsid w:val="00145A9A"/>
    <w:rsid w:val="001476D1"/>
    <w:rsid w:val="00147C06"/>
    <w:rsid w:val="00150D8E"/>
    <w:rsid w:val="0015100B"/>
    <w:rsid w:val="00151217"/>
    <w:rsid w:val="001523CD"/>
    <w:rsid w:val="00153A5B"/>
    <w:rsid w:val="00153FAC"/>
    <w:rsid w:val="00154990"/>
    <w:rsid w:val="00155672"/>
    <w:rsid w:val="00156D3D"/>
    <w:rsid w:val="001571A9"/>
    <w:rsid w:val="0015774A"/>
    <w:rsid w:val="001618EC"/>
    <w:rsid w:val="00161968"/>
    <w:rsid w:val="001628C5"/>
    <w:rsid w:val="0016482E"/>
    <w:rsid w:val="00164A44"/>
    <w:rsid w:val="00165AB5"/>
    <w:rsid w:val="00165E36"/>
    <w:rsid w:val="0016616F"/>
    <w:rsid w:val="001673F9"/>
    <w:rsid w:val="00167DC6"/>
    <w:rsid w:val="00170BA0"/>
    <w:rsid w:val="0017163A"/>
    <w:rsid w:val="0017366C"/>
    <w:rsid w:val="001738F2"/>
    <w:rsid w:val="001743C9"/>
    <w:rsid w:val="00175045"/>
    <w:rsid w:val="00175E0C"/>
    <w:rsid w:val="00175FF4"/>
    <w:rsid w:val="00176309"/>
    <w:rsid w:val="00176B36"/>
    <w:rsid w:val="00182275"/>
    <w:rsid w:val="00183549"/>
    <w:rsid w:val="00183FA0"/>
    <w:rsid w:val="00184762"/>
    <w:rsid w:val="00186F1D"/>
    <w:rsid w:val="00187034"/>
    <w:rsid w:val="00190280"/>
    <w:rsid w:val="00190D40"/>
    <w:rsid w:val="00191059"/>
    <w:rsid w:val="001910DF"/>
    <w:rsid w:val="00191CA7"/>
    <w:rsid w:val="00191DD2"/>
    <w:rsid w:val="001927DC"/>
    <w:rsid w:val="001951B2"/>
    <w:rsid w:val="00195D7D"/>
    <w:rsid w:val="00196D65"/>
    <w:rsid w:val="00197BE2"/>
    <w:rsid w:val="001A04E4"/>
    <w:rsid w:val="001A0506"/>
    <w:rsid w:val="001A13A5"/>
    <w:rsid w:val="001A13B0"/>
    <w:rsid w:val="001A31F5"/>
    <w:rsid w:val="001A3A67"/>
    <w:rsid w:val="001A3AA7"/>
    <w:rsid w:val="001A40A6"/>
    <w:rsid w:val="001A4618"/>
    <w:rsid w:val="001A56C2"/>
    <w:rsid w:val="001A610A"/>
    <w:rsid w:val="001A6328"/>
    <w:rsid w:val="001B0C41"/>
    <w:rsid w:val="001B0E09"/>
    <w:rsid w:val="001B184A"/>
    <w:rsid w:val="001B1EA1"/>
    <w:rsid w:val="001B2D7B"/>
    <w:rsid w:val="001B44B5"/>
    <w:rsid w:val="001B4DA4"/>
    <w:rsid w:val="001B5153"/>
    <w:rsid w:val="001B7031"/>
    <w:rsid w:val="001C0596"/>
    <w:rsid w:val="001C06A0"/>
    <w:rsid w:val="001C0816"/>
    <w:rsid w:val="001C0C4D"/>
    <w:rsid w:val="001C12A5"/>
    <w:rsid w:val="001C1619"/>
    <w:rsid w:val="001C1FED"/>
    <w:rsid w:val="001C3B2F"/>
    <w:rsid w:val="001C776E"/>
    <w:rsid w:val="001D1FC1"/>
    <w:rsid w:val="001D4156"/>
    <w:rsid w:val="001D4E56"/>
    <w:rsid w:val="001D62F1"/>
    <w:rsid w:val="001D6F1B"/>
    <w:rsid w:val="001D6FDB"/>
    <w:rsid w:val="001E03B1"/>
    <w:rsid w:val="001E084B"/>
    <w:rsid w:val="001E16CB"/>
    <w:rsid w:val="001E1932"/>
    <w:rsid w:val="001E291C"/>
    <w:rsid w:val="001E4FC8"/>
    <w:rsid w:val="001E5623"/>
    <w:rsid w:val="001E578D"/>
    <w:rsid w:val="001E59BB"/>
    <w:rsid w:val="001E625B"/>
    <w:rsid w:val="001E6DA4"/>
    <w:rsid w:val="001F0D5B"/>
    <w:rsid w:val="001F17C9"/>
    <w:rsid w:val="001F2079"/>
    <w:rsid w:val="001F4336"/>
    <w:rsid w:val="001F4FDB"/>
    <w:rsid w:val="001F517F"/>
    <w:rsid w:val="001F589C"/>
    <w:rsid w:val="001F6522"/>
    <w:rsid w:val="00200BC0"/>
    <w:rsid w:val="00200C88"/>
    <w:rsid w:val="002043A7"/>
    <w:rsid w:val="002110A7"/>
    <w:rsid w:val="002111FB"/>
    <w:rsid w:val="0021147E"/>
    <w:rsid w:val="002116B6"/>
    <w:rsid w:val="00212B2A"/>
    <w:rsid w:val="0021355D"/>
    <w:rsid w:val="00214537"/>
    <w:rsid w:val="00215E49"/>
    <w:rsid w:val="00217F1A"/>
    <w:rsid w:val="00220338"/>
    <w:rsid w:val="00221558"/>
    <w:rsid w:val="0022185B"/>
    <w:rsid w:val="00222AF3"/>
    <w:rsid w:val="00223555"/>
    <w:rsid w:val="00223EC7"/>
    <w:rsid w:val="0022403D"/>
    <w:rsid w:val="00224638"/>
    <w:rsid w:val="00224656"/>
    <w:rsid w:val="002253C3"/>
    <w:rsid w:val="00227059"/>
    <w:rsid w:val="00230D20"/>
    <w:rsid w:val="00230D9C"/>
    <w:rsid w:val="002319D3"/>
    <w:rsid w:val="002324E3"/>
    <w:rsid w:val="0023251A"/>
    <w:rsid w:val="00232DEF"/>
    <w:rsid w:val="002330CF"/>
    <w:rsid w:val="002336DB"/>
    <w:rsid w:val="002337A6"/>
    <w:rsid w:val="00234F12"/>
    <w:rsid w:val="00235322"/>
    <w:rsid w:val="00235BEE"/>
    <w:rsid w:val="002367D2"/>
    <w:rsid w:val="00237B85"/>
    <w:rsid w:val="00240574"/>
    <w:rsid w:val="00240C96"/>
    <w:rsid w:val="0024218B"/>
    <w:rsid w:val="002432CB"/>
    <w:rsid w:val="002450EE"/>
    <w:rsid w:val="00245403"/>
    <w:rsid w:val="002454E5"/>
    <w:rsid w:val="00247443"/>
    <w:rsid w:val="0024748B"/>
    <w:rsid w:val="002505DB"/>
    <w:rsid w:val="00250CF1"/>
    <w:rsid w:val="0025104B"/>
    <w:rsid w:val="0025159E"/>
    <w:rsid w:val="00251856"/>
    <w:rsid w:val="00253620"/>
    <w:rsid w:val="00254EF4"/>
    <w:rsid w:val="00255B0B"/>
    <w:rsid w:val="002565EE"/>
    <w:rsid w:val="00256977"/>
    <w:rsid w:val="0025777F"/>
    <w:rsid w:val="0025784F"/>
    <w:rsid w:val="002606FC"/>
    <w:rsid w:val="00260D6C"/>
    <w:rsid w:val="00261BB4"/>
    <w:rsid w:val="00262048"/>
    <w:rsid w:val="00262294"/>
    <w:rsid w:val="00262F67"/>
    <w:rsid w:val="002630AB"/>
    <w:rsid w:val="00264F89"/>
    <w:rsid w:val="00265013"/>
    <w:rsid w:val="002657AD"/>
    <w:rsid w:val="002666D2"/>
    <w:rsid w:val="0026689B"/>
    <w:rsid w:val="00266F8B"/>
    <w:rsid w:val="00270A2D"/>
    <w:rsid w:val="00271369"/>
    <w:rsid w:val="0027244E"/>
    <w:rsid w:val="0027249C"/>
    <w:rsid w:val="00272A80"/>
    <w:rsid w:val="00272F8F"/>
    <w:rsid w:val="0027324C"/>
    <w:rsid w:val="0027360E"/>
    <w:rsid w:val="002740B4"/>
    <w:rsid w:val="00274277"/>
    <w:rsid w:val="002749B7"/>
    <w:rsid w:val="00275C3F"/>
    <w:rsid w:val="00275FD2"/>
    <w:rsid w:val="0027606E"/>
    <w:rsid w:val="0027615A"/>
    <w:rsid w:val="002776C0"/>
    <w:rsid w:val="0027788F"/>
    <w:rsid w:val="00277956"/>
    <w:rsid w:val="00277E30"/>
    <w:rsid w:val="00281393"/>
    <w:rsid w:val="002813E0"/>
    <w:rsid w:val="002824E7"/>
    <w:rsid w:val="0028280D"/>
    <w:rsid w:val="002842FC"/>
    <w:rsid w:val="00284D41"/>
    <w:rsid w:val="00284DAF"/>
    <w:rsid w:val="0028500D"/>
    <w:rsid w:val="00285C0A"/>
    <w:rsid w:val="00287688"/>
    <w:rsid w:val="00287D05"/>
    <w:rsid w:val="00290AD0"/>
    <w:rsid w:val="002914F5"/>
    <w:rsid w:val="00292968"/>
    <w:rsid w:val="00293817"/>
    <w:rsid w:val="00293A6E"/>
    <w:rsid w:val="0029638C"/>
    <w:rsid w:val="00296B3B"/>
    <w:rsid w:val="002979E1"/>
    <w:rsid w:val="002A0F75"/>
    <w:rsid w:val="002A132D"/>
    <w:rsid w:val="002A2CBD"/>
    <w:rsid w:val="002A3AFF"/>
    <w:rsid w:val="002A42FC"/>
    <w:rsid w:val="002A4AE0"/>
    <w:rsid w:val="002A4EE8"/>
    <w:rsid w:val="002A53CD"/>
    <w:rsid w:val="002A6ED1"/>
    <w:rsid w:val="002A7C91"/>
    <w:rsid w:val="002A7DD4"/>
    <w:rsid w:val="002A7DEA"/>
    <w:rsid w:val="002A7EB2"/>
    <w:rsid w:val="002B017E"/>
    <w:rsid w:val="002B1501"/>
    <w:rsid w:val="002B2D9A"/>
    <w:rsid w:val="002B39A6"/>
    <w:rsid w:val="002B5103"/>
    <w:rsid w:val="002B6480"/>
    <w:rsid w:val="002B661B"/>
    <w:rsid w:val="002B763E"/>
    <w:rsid w:val="002B7A47"/>
    <w:rsid w:val="002C16C6"/>
    <w:rsid w:val="002C17D6"/>
    <w:rsid w:val="002C444D"/>
    <w:rsid w:val="002C4F9C"/>
    <w:rsid w:val="002C531C"/>
    <w:rsid w:val="002D0988"/>
    <w:rsid w:val="002D0F6D"/>
    <w:rsid w:val="002D16C8"/>
    <w:rsid w:val="002D27CF"/>
    <w:rsid w:val="002D29EE"/>
    <w:rsid w:val="002D3012"/>
    <w:rsid w:val="002D42AA"/>
    <w:rsid w:val="002D47FB"/>
    <w:rsid w:val="002D4B84"/>
    <w:rsid w:val="002D6731"/>
    <w:rsid w:val="002D79B5"/>
    <w:rsid w:val="002E0CB5"/>
    <w:rsid w:val="002E16F9"/>
    <w:rsid w:val="002E330E"/>
    <w:rsid w:val="002E45FE"/>
    <w:rsid w:val="002E4C78"/>
    <w:rsid w:val="002E50F5"/>
    <w:rsid w:val="002E6072"/>
    <w:rsid w:val="002E60E1"/>
    <w:rsid w:val="002E6EE8"/>
    <w:rsid w:val="002F0B45"/>
    <w:rsid w:val="002F130D"/>
    <w:rsid w:val="002F2679"/>
    <w:rsid w:val="002F3F97"/>
    <w:rsid w:val="002F41DD"/>
    <w:rsid w:val="002F5EA8"/>
    <w:rsid w:val="002F661A"/>
    <w:rsid w:val="002F6D9E"/>
    <w:rsid w:val="003007EB"/>
    <w:rsid w:val="00301022"/>
    <w:rsid w:val="00301128"/>
    <w:rsid w:val="0030144A"/>
    <w:rsid w:val="00301632"/>
    <w:rsid w:val="00302B5B"/>
    <w:rsid w:val="00303668"/>
    <w:rsid w:val="0030366E"/>
    <w:rsid w:val="003060BC"/>
    <w:rsid w:val="00306577"/>
    <w:rsid w:val="00306F10"/>
    <w:rsid w:val="00307C95"/>
    <w:rsid w:val="00307ECB"/>
    <w:rsid w:val="00310E8F"/>
    <w:rsid w:val="00311423"/>
    <w:rsid w:val="00311B7F"/>
    <w:rsid w:val="00311BC5"/>
    <w:rsid w:val="00311E0F"/>
    <w:rsid w:val="00312599"/>
    <w:rsid w:val="00312B77"/>
    <w:rsid w:val="00312CB3"/>
    <w:rsid w:val="00313E31"/>
    <w:rsid w:val="00314637"/>
    <w:rsid w:val="00314F3B"/>
    <w:rsid w:val="003154DB"/>
    <w:rsid w:val="003155BC"/>
    <w:rsid w:val="003158A8"/>
    <w:rsid w:val="00316197"/>
    <w:rsid w:val="003161F0"/>
    <w:rsid w:val="00316CC1"/>
    <w:rsid w:val="00316D7B"/>
    <w:rsid w:val="0032132A"/>
    <w:rsid w:val="003213CC"/>
    <w:rsid w:val="00321887"/>
    <w:rsid w:val="00321A56"/>
    <w:rsid w:val="00323131"/>
    <w:rsid w:val="00323626"/>
    <w:rsid w:val="00324E22"/>
    <w:rsid w:val="00331664"/>
    <w:rsid w:val="003316DD"/>
    <w:rsid w:val="00333FF1"/>
    <w:rsid w:val="003347B5"/>
    <w:rsid w:val="003355B0"/>
    <w:rsid w:val="0033568E"/>
    <w:rsid w:val="003357E2"/>
    <w:rsid w:val="003358B4"/>
    <w:rsid w:val="0033602D"/>
    <w:rsid w:val="00336725"/>
    <w:rsid w:val="00340F65"/>
    <w:rsid w:val="0034379C"/>
    <w:rsid w:val="003453E7"/>
    <w:rsid w:val="0034570C"/>
    <w:rsid w:val="00346245"/>
    <w:rsid w:val="003506DA"/>
    <w:rsid w:val="00351BA7"/>
    <w:rsid w:val="00352652"/>
    <w:rsid w:val="00352DE1"/>
    <w:rsid w:val="00352F3F"/>
    <w:rsid w:val="00353AF9"/>
    <w:rsid w:val="0035539C"/>
    <w:rsid w:val="003559AF"/>
    <w:rsid w:val="00357CC4"/>
    <w:rsid w:val="00360C28"/>
    <w:rsid w:val="00361E07"/>
    <w:rsid w:val="00362AB5"/>
    <w:rsid w:val="00364302"/>
    <w:rsid w:val="00364714"/>
    <w:rsid w:val="00365BCD"/>
    <w:rsid w:val="00366CEB"/>
    <w:rsid w:val="00366D4D"/>
    <w:rsid w:val="00367A1E"/>
    <w:rsid w:val="00367A9E"/>
    <w:rsid w:val="00367FF6"/>
    <w:rsid w:val="00370E8D"/>
    <w:rsid w:val="00370EF3"/>
    <w:rsid w:val="00370F86"/>
    <w:rsid w:val="003711E4"/>
    <w:rsid w:val="00371479"/>
    <w:rsid w:val="00371C8B"/>
    <w:rsid w:val="00374181"/>
    <w:rsid w:val="00375277"/>
    <w:rsid w:val="00380025"/>
    <w:rsid w:val="003806B3"/>
    <w:rsid w:val="0038247E"/>
    <w:rsid w:val="00387CFC"/>
    <w:rsid w:val="00390733"/>
    <w:rsid w:val="00391066"/>
    <w:rsid w:val="00392299"/>
    <w:rsid w:val="00392D5C"/>
    <w:rsid w:val="00392F31"/>
    <w:rsid w:val="00393040"/>
    <w:rsid w:val="00393879"/>
    <w:rsid w:val="00393F21"/>
    <w:rsid w:val="00396153"/>
    <w:rsid w:val="00396273"/>
    <w:rsid w:val="003966BC"/>
    <w:rsid w:val="00397218"/>
    <w:rsid w:val="003974EA"/>
    <w:rsid w:val="00397CE1"/>
    <w:rsid w:val="003A04EB"/>
    <w:rsid w:val="003A1050"/>
    <w:rsid w:val="003A1FF3"/>
    <w:rsid w:val="003A22D4"/>
    <w:rsid w:val="003A32B4"/>
    <w:rsid w:val="003A3794"/>
    <w:rsid w:val="003A434C"/>
    <w:rsid w:val="003A4C3F"/>
    <w:rsid w:val="003A53D7"/>
    <w:rsid w:val="003A55B5"/>
    <w:rsid w:val="003A5628"/>
    <w:rsid w:val="003A6248"/>
    <w:rsid w:val="003A687A"/>
    <w:rsid w:val="003A6DB9"/>
    <w:rsid w:val="003A6F42"/>
    <w:rsid w:val="003B0215"/>
    <w:rsid w:val="003B05EB"/>
    <w:rsid w:val="003B0FE5"/>
    <w:rsid w:val="003B1AC0"/>
    <w:rsid w:val="003B2B02"/>
    <w:rsid w:val="003B2ED2"/>
    <w:rsid w:val="003B39ED"/>
    <w:rsid w:val="003B4878"/>
    <w:rsid w:val="003B6013"/>
    <w:rsid w:val="003B6A85"/>
    <w:rsid w:val="003C0FC1"/>
    <w:rsid w:val="003C177C"/>
    <w:rsid w:val="003C2015"/>
    <w:rsid w:val="003C23CF"/>
    <w:rsid w:val="003C2477"/>
    <w:rsid w:val="003C2A6B"/>
    <w:rsid w:val="003C3A4E"/>
    <w:rsid w:val="003C4185"/>
    <w:rsid w:val="003C51B9"/>
    <w:rsid w:val="003C6C44"/>
    <w:rsid w:val="003D0029"/>
    <w:rsid w:val="003D15E1"/>
    <w:rsid w:val="003D1D92"/>
    <w:rsid w:val="003D2C03"/>
    <w:rsid w:val="003D3A65"/>
    <w:rsid w:val="003D3D70"/>
    <w:rsid w:val="003D41E8"/>
    <w:rsid w:val="003D49AA"/>
    <w:rsid w:val="003D4AE0"/>
    <w:rsid w:val="003D4E0A"/>
    <w:rsid w:val="003D683A"/>
    <w:rsid w:val="003D6E29"/>
    <w:rsid w:val="003D6F36"/>
    <w:rsid w:val="003E0750"/>
    <w:rsid w:val="003E0DF3"/>
    <w:rsid w:val="003E1747"/>
    <w:rsid w:val="003E1F02"/>
    <w:rsid w:val="003E1F2E"/>
    <w:rsid w:val="003E2D5D"/>
    <w:rsid w:val="003E3D1B"/>
    <w:rsid w:val="003E3ED2"/>
    <w:rsid w:val="003E4699"/>
    <w:rsid w:val="003E5EC8"/>
    <w:rsid w:val="003E5F1E"/>
    <w:rsid w:val="003E6BBA"/>
    <w:rsid w:val="003E7810"/>
    <w:rsid w:val="003E7F9E"/>
    <w:rsid w:val="003F0DC8"/>
    <w:rsid w:val="003F25AA"/>
    <w:rsid w:val="003F29EA"/>
    <w:rsid w:val="003F4D97"/>
    <w:rsid w:val="003F71F7"/>
    <w:rsid w:val="00400290"/>
    <w:rsid w:val="00401ABF"/>
    <w:rsid w:val="00401F21"/>
    <w:rsid w:val="00402E79"/>
    <w:rsid w:val="00402F61"/>
    <w:rsid w:val="00403F9E"/>
    <w:rsid w:val="0040533D"/>
    <w:rsid w:val="004061E4"/>
    <w:rsid w:val="00406783"/>
    <w:rsid w:val="004069A8"/>
    <w:rsid w:val="00407BA0"/>
    <w:rsid w:val="00407F08"/>
    <w:rsid w:val="004107ED"/>
    <w:rsid w:val="00410C8E"/>
    <w:rsid w:val="004113ED"/>
    <w:rsid w:val="00413C66"/>
    <w:rsid w:val="004157BF"/>
    <w:rsid w:val="0041614A"/>
    <w:rsid w:val="00416222"/>
    <w:rsid w:val="00416AC4"/>
    <w:rsid w:val="00417BB8"/>
    <w:rsid w:val="004201CB"/>
    <w:rsid w:val="004211C8"/>
    <w:rsid w:val="00421C81"/>
    <w:rsid w:val="00421ED4"/>
    <w:rsid w:val="00422D82"/>
    <w:rsid w:val="004239D7"/>
    <w:rsid w:val="00423EF1"/>
    <w:rsid w:val="0042416B"/>
    <w:rsid w:val="00424494"/>
    <w:rsid w:val="00424F5A"/>
    <w:rsid w:val="004272E3"/>
    <w:rsid w:val="00427499"/>
    <w:rsid w:val="00431A39"/>
    <w:rsid w:val="00431BBC"/>
    <w:rsid w:val="00432279"/>
    <w:rsid w:val="00433108"/>
    <w:rsid w:val="00433D91"/>
    <w:rsid w:val="00433F53"/>
    <w:rsid w:val="004350D6"/>
    <w:rsid w:val="0043512A"/>
    <w:rsid w:val="004355A0"/>
    <w:rsid w:val="00435FD6"/>
    <w:rsid w:val="00441007"/>
    <w:rsid w:val="0044139C"/>
    <w:rsid w:val="0044150D"/>
    <w:rsid w:val="004423DF"/>
    <w:rsid w:val="0044503B"/>
    <w:rsid w:val="004461DB"/>
    <w:rsid w:val="0044695D"/>
    <w:rsid w:val="00446FA2"/>
    <w:rsid w:val="0044797D"/>
    <w:rsid w:val="00447CDE"/>
    <w:rsid w:val="00447CEB"/>
    <w:rsid w:val="0045079A"/>
    <w:rsid w:val="00450815"/>
    <w:rsid w:val="004512EC"/>
    <w:rsid w:val="004514A3"/>
    <w:rsid w:val="00451A1B"/>
    <w:rsid w:val="00451E2E"/>
    <w:rsid w:val="0045265D"/>
    <w:rsid w:val="0045354C"/>
    <w:rsid w:val="004558D8"/>
    <w:rsid w:val="00456158"/>
    <w:rsid w:val="00457148"/>
    <w:rsid w:val="00457467"/>
    <w:rsid w:val="0046211F"/>
    <w:rsid w:val="004625F5"/>
    <w:rsid w:val="00463FC0"/>
    <w:rsid w:val="004656E6"/>
    <w:rsid w:val="00465E37"/>
    <w:rsid w:val="00466EB9"/>
    <w:rsid w:val="00470267"/>
    <w:rsid w:val="004702B0"/>
    <w:rsid w:val="00470B6B"/>
    <w:rsid w:val="00471717"/>
    <w:rsid w:val="00471842"/>
    <w:rsid w:val="00471C1D"/>
    <w:rsid w:val="00472EB2"/>
    <w:rsid w:val="004730F7"/>
    <w:rsid w:val="004744B5"/>
    <w:rsid w:val="004751AB"/>
    <w:rsid w:val="00475269"/>
    <w:rsid w:val="0047640B"/>
    <w:rsid w:val="00476502"/>
    <w:rsid w:val="004775A9"/>
    <w:rsid w:val="0047794C"/>
    <w:rsid w:val="00480D5D"/>
    <w:rsid w:val="00480E77"/>
    <w:rsid w:val="00481598"/>
    <w:rsid w:val="00481A1E"/>
    <w:rsid w:val="00483593"/>
    <w:rsid w:val="00483C37"/>
    <w:rsid w:val="00485A0C"/>
    <w:rsid w:val="0048616D"/>
    <w:rsid w:val="004868D1"/>
    <w:rsid w:val="00487008"/>
    <w:rsid w:val="00490997"/>
    <w:rsid w:val="00491B01"/>
    <w:rsid w:val="00492183"/>
    <w:rsid w:val="004924E8"/>
    <w:rsid w:val="0049253C"/>
    <w:rsid w:val="00493329"/>
    <w:rsid w:val="0049383D"/>
    <w:rsid w:val="00495F1D"/>
    <w:rsid w:val="0049706A"/>
    <w:rsid w:val="004A10B2"/>
    <w:rsid w:val="004A15F2"/>
    <w:rsid w:val="004A56A8"/>
    <w:rsid w:val="004A7AAC"/>
    <w:rsid w:val="004A7AC9"/>
    <w:rsid w:val="004B1798"/>
    <w:rsid w:val="004B55F6"/>
    <w:rsid w:val="004B64D3"/>
    <w:rsid w:val="004B6A01"/>
    <w:rsid w:val="004B6D2E"/>
    <w:rsid w:val="004C28C5"/>
    <w:rsid w:val="004C653E"/>
    <w:rsid w:val="004C659C"/>
    <w:rsid w:val="004C6BE0"/>
    <w:rsid w:val="004C6D4F"/>
    <w:rsid w:val="004C7035"/>
    <w:rsid w:val="004C72AB"/>
    <w:rsid w:val="004C7592"/>
    <w:rsid w:val="004C7B87"/>
    <w:rsid w:val="004D0656"/>
    <w:rsid w:val="004D0665"/>
    <w:rsid w:val="004D2AE7"/>
    <w:rsid w:val="004D3E5B"/>
    <w:rsid w:val="004D4E8B"/>
    <w:rsid w:val="004D5074"/>
    <w:rsid w:val="004D63C8"/>
    <w:rsid w:val="004D63EE"/>
    <w:rsid w:val="004D7A3D"/>
    <w:rsid w:val="004E0935"/>
    <w:rsid w:val="004E116B"/>
    <w:rsid w:val="004E2A6D"/>
    <w:rsid w:val="004E3FCE"/>
    <w:rsid w:val="004E53D1"/>
    <w:rsid w:val="004E624C"/>
    <w:rsid w:val="004F1834"/>
    <w:rsid w:val="004F1B81"/>
    <w:rsid w:val="004F2241"/>
    <w:rsid w:val="004F2DCE"/>
    <w:rsid w:val="004F3385"/>
    <w:rsid w:val="004F439B"/>
    <w:rsid w:val="004F6831"/>
    <w:rsid w:val="004F7E5C"/>
    <w:rsid w:val="00500396"/>
    <w:rsid w:val="0050049A"/>
    <w:rsid w:val="005006CB"/>
    <w:rsid w:val="005038CB"/>
    <w:rsid w:val="0050568A"/>
    <w:rsid w:val="00505CE0"/>
    <w:rsid w:val="00507067"/>
    <w:rsid w:val="00507935"/>
    <w:rsid w:val="00507F39"/>
    <w:rsid w:val="00511283"/>
    <w:rsid w:val="00511998"/>
    <w:rsid w:val="00512213"/>
    <w:rsid w:val="00512581"/>
    <w:rsid w:val="005125C9"/>
    <w:rsid w:val="005138EA"/>
    <w:rsid w:val="005149EE"/>
    <w:rsid w:val="0051575E"/>
    <w:rsid w:val="005160AB"/>
    <w:rsid w:val="005166CE"/>
    <w:rsid w:val="0051681D"/>
    <w:rsid w:val="005174C1"/>
    <w:rsid w:val="00517722"/>
    <w:rsid w:val="005205ED"/>
    <w:rsid w:val="00520728"/>
    <w:rsid w:val="00520CB5"/>
    <w:rsid w:val="00521356"/>
    <w:rsid w:val="00522C6F"/>
    <w:rsid w:val="0052357A"/>
    <w:rsid w:val="00524A0D"/>
    <w:rsid w:val="00525279"/>
    <w:rsid w:val="005276B2"/>
    <w:rsid w:val="00527E8C"/>
    <w:rsid w:val="005302B5"/>
    <w:rsid w:val="00530EB1"/>
    <w:rsid w:val="00530F7F"/>
    <w:rsid w:val="00531B7C"/>
    <w:rsid w:val="00531C74"/>
    <w:rsid w:val="00531FF8"/>
    <w:rsid w:val="00532AAE"/>
    <w:rsid w:val="005336B7"/>
    <w:rsid w:val="00534292"/>
    <w:rsid w:val="0053510D"/>
    <w:rsid w:val="00535DC1"/>
    <w:rsid w:val="00535E89"/>
    <w:rsid w:val="005362CB"/>
    <w:rsid w:val="00536A0C"/>
    <w:rsid w:val="005372A4"/>
    <w:rsid w:val="005376AA"/>
    <w:rsid w:val="00537CDD"/>
    <w:rsid w:val="00541803"/>
    <w:rsid w:val="005423E2"/>
    <w:rsid w:val="00542FE8"/>
    <w:rsid w:val="00544605"/>
    <w:rsid w:val="00544846"/>
    <w:rsid w:val="005448B1"/>
    <w:rsid w:val="00545419"/>
    <w:rsid w:val="0054543E"/>
    <w:rsid w:val="005470C4"/>
    <w:rsid w:val="00547394"/>
    <w:rsid w:val="005479EC"/>
    <w:rsid w:val="00550218"/>
    <w:rsid w:val="005513D2"/>
    <w:rsid w:val="005516F8"/>
    <w:rsid w:val="00551B13"/>
    <w:rsid w:val="00553885"/>
    <w:rsid w:val="00554763"/>
    <w:rsid w:val="0055546C"/>
    <w:rsid w:val="00555796"/>
    <w:rsid w:val="005561F9"/>
    <w:rsid w:val="00556E38"/>
    <w:rsid w:val="00557A87"/>
    <w:rsid w:val="00560644"/>
    <w:rsid w:val="00560C9E"/>
    <w:rsid w:val="0056164F"/>
    <w:rsid w:val="00561C1A"/>
    <w:rsid w:val="00561DF8"/>
    <w:rsid w:val="00563E7D"/>
    <w:rsid w:val="005642AE"/>
    <w:rsid w:val="0056493C"/>
    <w:rsid w:val="00564D33"/>
    <w:rsid w:val="0056633C"/>
    <w:rsid w:val="0056740A"/>
    <w:rsid w:val="005707A9"/>
    <w:rsid w:val="00570EC6"/>
    <w:rsid w:val="00572385"/>
    <w:rsid w:val="00572646"/>
    <w:rsid w:val="00573CF7"/>
    <w:rsid w:val="0057473A"/>
    <w:rsid w:val="00577863"/>
    <w:rsid w:val="00581FA5"/>
    <w:rsid w:val="00581FC5"/>
    <w:rsid w:val="0058266F"/>
    <w:rsid w:val="005845CA"/>
    <w:rsid w:val="005847D7"/>
    <w:rsid w:val="005855D5"/>
    <w:rsid w:val="005856ED"/>
    <w:rsid w:val="0058730C"/>
    <w:rsid w:val="00590423"/>
    <w:rsid w:val="00591020"/>
    <w:rsid w:val="00591FBA"/>
    <w:rsid w:val="005927B6"/>
    <w:rsid w:val="0059474D"/>
    <w:rsid w:val="00594EB4"/>
    <w:rsid w:val="0059667B"/>
    <w:rsid w:val="00596DBC"/>
    <w:rsid w:val="00597362"/>
    <w:rsid w:val="00597753"/>
    <w:rsid w:val="005978B1"/>
    <w:rsid w:val="00597974"/>
    <w:rsid w:val="00597B9C"/>
    <w:rsid w:val="005A0EA3"/>
    <w:rsid w:val="005A1334"/>
    <w:rsid w:val="005A1CCB"/>
    <w:rsid w:val="005A1DB7"/>
    <w:rsid w:val="005A2251"/>
    <w:rsid w:val="005A2307"/>
    <w:rsid w:val="005A25FB"/>
    <w:rsid w:val="005A33BF"/>
    <w:rsid w:val="005A587A"/>
    <w:rsid w:val="005A6F46"/>
    <w:rsid w:val="005A7834"/>
    <w:rsid w:val="005B0399"/>
    <w:rsid w:val="005B1242"/>
    <w:rsid w:val="005B1BB5"/>
    <w:rsid w:val="005B55FE"/>
    <w:rsid w:val="005B61AB"/>
    <w:rsid w:val="005B6C29"/>
    <w:rsid w:val="005B77F8"/>
    <w:rsid w:val="005B7BD0"/>
    <w:rsid w:val="005B7BDB"/>
    <w:rsid w:val="005B7F69"/>
    <w:rsid w:val="005C1567"/>
    <w:rsid w:val="005C1805"/>
    <w:rsid w:val="005C212F"/>
    <w:rsid w:val="005C2C86"/>
    <w:rsid w:val="005C3435"/>
    <w:rsid w:val="005C35DD"/>
    <w:rsid w:val="005C403A"/>
    <w:rsid w:val="005C45FD"/>
    <w:rsid w:val="005D0A53"/>
    <w:rsid w:val="005D1252"/>
    <w:rsid w:val="005D1CF3"/>
    <w:rsid w:val="005D2414"/>
    <w:rsid w:val="005D2F4E"/>
    <w:rsid w:val="005D374A"/>
    <w:rsid w:val="005D492B"/>
    <w:rsid w:val="005D4D83"/>
    <w:rsid w:val="005D61FE"/>
    <w:rsid w:val="005D77F2"/>
    <w:rsid w:val="005D7C06"/>
    <w:rsid w:val="005E1BCD"/>
    <w:rsid w:val="005E1BEA"/>
    <w:rsid w:val="005E24DD"/>
    <w:rsid w:val="005E35B0"/>
    <w:rsid w:val="005E40FF"/>
    <w:rsid w:val="005E523C"/>
    <w:rsid w:val="005E52CE"/>
    <w:rsid w:val="005E5DD3"/>
    <w:rsid w:val="005E6FDD"/>
    <w:rsid w:val="005E7160"/>
    <w:rsid w:val="005E72C9"/>
    <w:rsid w:val="005F1AD8"/>
    <w:rsid w:val="005F1F0C"/>
    <w:rsid w:val="005F3295"/>
    <w:rsid w:val="005F3453"/>
    <w:rsid w:val="005F3B3C"/>
    <w:rsid w:val="005F4132"/>
    <w:rsid w:val="005F5298"/>
    <w:rsid w:val="005F660E"/>
    <w:rsid w:val="005F75B3"/>
    <w:rsid w:val="005F7AEB"/>
    <w:rsid w:val="006010E7"/>
    <w:rsid w:val="00601CB2"/>
    <w:rsid w:val="00603106"/>
    <w:rsid w:val="006041FD"/>
    <w:rsid w:val="00604B26"/>
    <w:rsid w:val="00604CF2"/>
    <w:rsid w:val="00604DB3"/>
    <w:rsid w:val="00604EEC"/>
    <w:rsid w:val="006058B4"/>
    <w:rsid w:val="00605D77"/>
    <w:rsid w:val="00605F46"/>
    <w:rsid w:val="00606B04"/>
    <w:rsid w:val="00607232"/>
    <w:rsid w:val="006072CB"/>
    <w:rsid w:val="00607731"/>
    <w:rsid w:val="0060788A"/>
    <w:rsid w:val="00610DF6"/>
    <w:rsid w:val="006124E8"/>
    <w:rsid w:val="00612C05"/>
    <w:rsid w:val="0061377B"/>
    <w:rsid w:val="006141D6"/>
    <w:rsid w:val="00614B53"/>
    <w:rsid w:val="00615214"/>
    <w:rsid w:val="00615946"/>
    <w:rsid w:val="006209E1"/>
    <w:rsid w:val="00620F85"/>
    <w:rsid w:val="00621370"/>
    <w:rsid w:val="006213FF"/>
    <w:rsid w:val="00622407"/>
    <w:rsid w:val="00622709"/>
    <w:rsid w:val="00623A14"/>
    <w:rsid w:val="00624847"/>
    <w:rsid w:val="0062544B"/>
    <w:rsid w:val="00626155"/>
    <w:rsid w:val="0062718C"/>
    <w:rsid w:val="006275B8"/>
    <w:rsid w:val="0063227D"/>
    <w:rsid w:val="00632B99"/>
    <w:rsid w:val="006355BC"/>
    <w:rsid w:val="00635BC7"/>
    <w:rsid w:val="00636607"/>
    <w:rsid w:val="00636E82"/>
    <w:rsid w:val="00636FDE"/>
    <w:rsid w:val="00637679"/>
    <w:rsid w:val="00637E8B"/>
    <w:rsid w:val="006402D7"/>
    <w:rsid w:val="0064077E"/>
    <w:rsid w:val="00640ADB"/>
    <w:rsid w:val="00641909"/>
    <w:rsid w:val="00641A62"/>
    <w:rsid w:val="006432DA"/>
    <w:rsid w:val="006433F8"/>
    <w:rsid w:val="0064349A"/>
    <w:rsid w:val="00644955"/>
    <w:rsid w:val="00650834"/>
    <w:rsid w:val="00650A1C"/>
    <w:rsid w:val="006521A3"/>
    <w:rsid w:val="00652A4D"/>
    <w:rsid w:val="006539A7"/>
    <w:rsid w:val="00653AE7"/>
    <w:rsid w:val="0065466B"/>
    <w:rsid w:val="00654E75"/>
    <w:rsid w:val="00655539"/>
    <w:rsid w:val="0065562B"/>
    <w:rsid w:val="0065570D"/>
    <w:rsid w:val="00655B26"/>
    <w:rsid w:val="00657363"/>
    <w:rsid w:val="00660598"/>
    <w:rsid w:val="00660A19"/>
    <w:rsid w:val="00660D05"/>
    <w:rsid w:val="006610F2"/>
    <w:rsid w:val="00661CED"/>
    <w:rsid w:val="00661EFB"/>
    <w:rsid w:val="00662CE6"/>
    <w:rsid w:val="00663A50"/>
    <w:rsid w:val="0066426E"/>
    <w:rsid w:val="0066454A"/>
    <w:rsid w:val="006654FD"/>
    <w:rsid w:val="006655BC"/>
    <w:rsid w:val="0066597D"/>
    <w:rsid w:val="00665A87"/>
    <w:rsid w:val="00671B37"/>
    <w:rsid w:val="00673500"/>
    <w:rsid w:val="00674465"/>
    <w:rsid w:val="00674B6C"/>
    <w:rsid w:val="00675A39"/>
    <w:rsid w:val="00676D4C"/>
    <w:rsid w:val="006802FB"/>
    <w:rsid w:val="00680F99"/>
    <w:rsid w:val="00681221"/>
    <w:rsid w:val="00681DC6"/>
    <w:rsid w:val="0068469A"/>
    <w:rsid w:val="006874D4"/>
    <w:rsid w:val="00692098"/>
    <w:rsid w:val="006923E6"/>
    <w:rsid w:val="006924BE"/>
    <w:rsid w:val="00692E21"/>
    <w:rsid w:val="00692E30"/>
    <w:rsid w:val="00692E88"/>
    <w:rsid w:val="00692EBC"/>
    <w:rsid w:val="006936F6"/>
    <w:rsid w:val="00695D30"/>
    <w:rsid w:val="00696346"/>
    <w:rsid w:val="00696BE1"/>
    <w:rsid w:val="006A0ADF"/>
    <w:rsid w:val="006A1020"/>
    <w:rsid w:val="006A3262"/>
    <w:rsid w:val="006A4F61"/>
    <w:rsid w:val="006A59BA"/>
    <w:rsid w:val="006A5CFA"/>
    <w:rsid w:val="006A64C7"/>
    <w:rsid w:val="006A66C8"/>
    <w:rsid w:val="006A739C"/>
    <w:rsid w:val="006A77A7"/>
    <w:rsid w:val="006A7FDC"/>
    <w:rsid w:val="006B0138"/>
    <w:rsid w:val="006B03C9"/>
    <w:rsid w:val="006B06F2"/>
    <w:rsid w:val="006B17C7"/>
    <w:rsid w:val="006B1EFA"/>
    <w:rsid w:val="006B1F29"/>
    <w:rsid w:val="006B2194"/>
    <w:rsid w:val="006B2C7C"/>
    <w:rsid w:val="006B3AC0"/>
    <w:rsid w:val="006B3FB6"/>
    <w:rsid w:val="006B527B"/>
    <w:rsid w:val="006B5944"/>
    <w:rsid w:val="006B60BD"/>
    <w:rsid w:val="006B68B7"/>
    <w:rsid w:val="006B6B7C"/>
    <w:rsid w:val="006C1701"/>
    <w:rsid w:val="006C24EB"/>
    <w:rsid w:val="006C2A69"/>
    <w:rsid w:val="006C44ED"/>
    <w:rsid w:val="006C4591"/>
    <w:rsid w:val="006C4A0C"/>
    <w:rsid w:val="006C4BE5"/>
    <w:rsid w:val="006C4D8D"/>
    <w:rsid w:val="006C5A57"/>
    <w:rsid w:val="006C5D35"/>
    <w:rsid w:val="006C6140"/>
    <w:rsid w:val="006C631D"/>
    <w:rsid w:val="006D122C"/>
    <w:rsid w:val="006D2B3A"/>
    <w:rsid w:val="006D50AE"/>
    <w:rsid w:val="006D5A22"/>
    <w:rsid w:val="006D5BAE"/>
    <w:rsid w:val="006E1723"/>
    <w:rsid w:val="006E3192"/>
    <w:rsid w:val="006E3678"/>
    <w:rsid w:val="006E406F"/>
    <w:rsid w:val="006E407A"/>
    <w:rsid w:val="006E6DC7"/>
    <w:rsid w:val="006E71A9"/>
    <w:rsid w:val="006E71CF"/>
    <w:rsid w:val="006E7453"/>
    <w:rsid w:val="006E7C3A"/>
    <w:rsid w:val="006F0489"/>
    <w:rsid w:val="006F0A89"/>
    <w:rsid w:val="006F196E"/>
    <w:rsid w:val="006F354A"/>
    <w:rsid w:val="006F39EE"/>
    <w:rsid w:val="006F5C6E"/>
    <w:rsid w:val="006F65D2"/>
    <w:rsid w:val="006F72B7"/>
    <w:rsid w:val="006F7343"/>
    <w:rsid w:val="006F77F2"/>
    <w:rsid w:val="00701322"/>
    <w:rsid w:val="00705941"/>
    <w:rsid w:val="00705D21"/>
    <w:rsid w:val="00706685"/>
    <w:rsid w:val="00706869"/>
    <w:rsid w:val="00706953"/>
    <w:rsid w:val="00706D51"/>
    <w:rsid w:val="0070741D"/>
    <w:rsid w:val="00710E28"/>
    <w:rsid w:val="00711B20"/>
    <w:rsid w:val="00713D05"/>
    <w:rsid w:val="007156C7"/>
    <w:rsid w:val="007159A7"/>
    <w:rsid w:val="00716BB7"/>
    <w:rsid w:val="00716EE3"/>
    <w:rsid w:val="0071755D"/>
    <w:rsid w:val="007177E0"/>
    <w:rsid w:val="0071795C"/>
    <w:rsid w:val="00717A27"/>
    <w:rsid w:val="0072082D"/>
    <w:rsid w:val="00720A21"/>
    <w:rsid w:val="00722874"/>
    <w:rsid w:val="007236F5"/>
    <w:rsid w:val="00723B2A"/>
    <w:rsid w:val="00724121"/>
    <w:rsid w:val="00724595"/>
    <w:rsid w:val="007247C6"/>
    <w:rsid w:val="00724834"/>
    <w:rsid w:val="00724E85"/>
    <w:rsid w:val="00724ECD"/>
    <w:rsid w:val="00725918"/>
    <w:rsid w:val="0072677A"/>
    <w:rsid w:val="00726830"/>
    <w:rsid w:val="00726FF4"/>
    <w:rsid w:val="0073068F"/>
    <w:rsid w:val="007308BD"/>
    <w:rsid w:val="00730FF5"/>
    <w:rsid w:val="0073134D"/>
    <w:rsid w:val="00732483"/>
    <w:rsid w:val="007334B4"/>
    <w:rsid w:val="00733CD8"/>
    <w:rsid w:val="00734B02"/>
    <w:rsid w:val="007350AE"/>
    <w:rsid w:val="00735550"/>
    <w:rsid w:val="007378A2"/>
    <w:rsid w:val="007405FF"/>
    <w:rsid w:val="0074162D"/>
    <w:rsid w:val="00741702"/>
    <w:rsid w:val="00742300"/>
    <w:rsid w:val="00743AF8"/>
    <w:rsid w:val="00743DB4"/>
    <w:rsid w:val="0074497C"/>
    <w:rsid w:val="00745629"/>
    <w:rsid w:val="00745F10"/>
    <w:rsid w:val="00746231"/>
    <w:rsid w:val="00746671"/>
    <w:rsid w:val="00746F5A"/>
    <w:rsid w:val="00747D3C"/>
    <w:rsid w:val="00750345"/>
    <w:rsid w:val="00752259"/>
    <w:rsid w:val="00753A3E"/>
    <w:rsid w:val="00754FC2"/>
    <w:rsid w:val="0075698C"/>
    <w:rsid w:val="00756F79"/>
    <w:rsid w:val="007572DF"/>
    <w:rsid w:val="007600AE"/>
    <w:rsid w:val="00761F42"/>
    <w:rsid w:val="00762A46"/>
    <w:rsid w:val="007643F1"/>
    <w:rsid w:val="00765B86"/>
    <w:rsid w:val="00765D1B"/>
    <w:rsid w:val="00767644"/>
    <w:rsid w:val="007677E1"/>
    <w:rsid w:val="00770501"/>
    <w:rsid w:val="00770AD6"/>
    <w:rsid w:val="00770AF8"/>
    <w:rsid w:val="00771273"/>
    <w:rsid w:val="007723E0"/>
    <w:rsid w:val="00773891"/>
    <w:rsid w:val="00774C68"/>
    <w:rsid w:val="00775460"/>
    <w:rsid w:val="00775D1F"/>
    <w:rsid w:val="00776526"/>
    <w:rsid w:val="00776B71"/>
    <w:rsid w:val="00777983"/>
    <w:rsid w:val="00780DC1"/>
    <w:rsid w:val="0078114C"/>
    <w:rsid w:val="0078159C"/>
    <w:rsid w:val="007821A6"/>
    <w:rsid w:val="00782671"/>
    <w:rsid w:val="00783265"/>
    <w:rsid w:val="00783F60"/>
    <w:rsid w:val="00786B4B"/>
    <w:rsid w:val="007872BE"/>
    <w:rsid w:val="00787809"/>
    <w:rsid w:val="00787E8D"/>
    <w:rsid w:val="00792DBD"/>
    <w:rsid w:val="00794FE1"/>
    <w:rsid w:val="00795057"/>
    <w:rsid w:val="00796BE2"/>
    <w:rsid w:val="00797F8D"/>
    <w:rsid w:val="007A09AF"/>
    <w:rsid w:val="007A09ED"/>
    <w:rsid w:val="007A0A46"/>
    <w:rsid w:val="007A1D3F"/>
    <w:rsid w:val="007A2051"/>
    <w:rsid w:val="007A2BD5"/>
    <w:rsid w:val="007A2E8B"/>
    <w:rsid w:val="007A47D5"/>
    <w:rsid w:val="007A5065"/>
    <w:rsid w:val="007A6FF5"/>
    <w:rsid w:val="007A78F1"/>
    <w:rsid w:val="007B1F8C"/>
    <w:rsid w:val="007B2831"/>
    <w:rsid w:val="007B3372"/>
    <w:rsid w:val="007B3576"/>
    <w:rsid w:val="007B3583"/>
    <w:rsid w:val="007B4A2D"/>
    <w:rsid w:val="007B4C93"/>
    <w:rsid w:val="007C0E05"/>
    <w:rsid w:val="007C11BB"/>
    <w:rsid w:val="007C17A1"/>
    <w:rsid w:val="007C2925"/>
    <w:rsid w:val="007C4C51"/>
    <w:rsid w:val="007C4EAA"/>
    <w:rsid w:val="007C5EC7"/>
    <w:rsid w:val="007C71DF"/>
    <w:rsid w:val="007C7715"/>
    <w:rsid w:val="007D0526"/>
    <w:rsid w:val="007D14C5"/>
    <w:rsid w:val="007D2193"/>
    <w:rsid w:val="007D2668"/>
    <w:rsid w:val="007D2F7F"/>
    <w:rsid w:val="007D321D"/>
    <w:rsid w:val="007D36F1"/>
    <w:rsid w:val="007D3A30"/>
    <w:rsid w:val="007D4ECA"/>
    <w:rsid w:val="007D5674"/>
    <w:rsid w:val="007D6062"/>
    <w:rsid w:val="007D7099"/>
    <w:rsid w:val="007D70AB"/>
    <w:rsid w:val="007D7C20"/>
    <w:rsid w:val="007E0B5D"/>
    <w:rsid w:val="007E183E"/>
    <w:rsid w:val="007E26F4"/>
    <w:rsid w:val="007E39AD"/>
    <w:rsid w:val="007E4574"/>
    <w:rsid w:val="007E4D7A"/>
    <w:rsid w:val="007E5E9A"/>
    <w:rsid w:val="007E6463"/>
    <w:rsid w:val="007E697B"/>
    <w:rsid w:val="007E6DCF"/>
    <w:rsid w:val="007E729D"/>
    <w:rsid w:val="007E788A"/>
    <w:rsid w:val="007F08B8"/>
    <w:rsid w:val="007F1567"/>
    <w:rsid w:val="007F2270"/>
    <w:rsid w:val="007F2FAA"/>
    <w:rsid w:val="007F4485"/>
    <w:rsid w:val="007F4BFE"/>
    <w:rsid w:val="007F53F1"/>
    <w:rsid w:val="007F5611"/>
    <w:rsid w:val="007F5E29"/>
    <w:rsid w:val="007F5EC3"/>
    <w:rsid w:val="007F61F9"/>
    <w:rsid w:val="007F6EBC"/>
    <w:rsid w:val="007F7145"/>
    <w:rsid w:val="007F7169"/>
    <w:rsid w:val="007F78E0"/>
    <w:rsid w:val="00800053"/>
    <w:rsid w:val="00802742"/>
    <w:rsid w:val="0080578E"/>
    <w:rsid w:val="00805DC3"/>
    <w:rsid w:val="00806112"/>
    <w:rsid w:val="00806CEC"/>
    <w:rsid w:val="00807A11"/>
    <w:rsid w:val="00807C5D"/>
    <w:rsid w:val="00810233"/>
    <w:rsid w:val="008123F0"/>
    <w:rsid w:val="00812D49"/>
    <w:rsid w:val="0081398B"/>
    <w:rsid w:val="00813E16"/>
    <w:rsid w:val="0082064F"/>
    <w:rsid w:val="008212C1"/>
    <w:rsid w:val="0082144D"/>
    <w:rsid w:val="00821E02"/>
    <w:rsid w:val="00823729"/>
    <w:rsid w:val="00824266"/>
    <w:rsid w:val="008250F7"/>
    <w:rsid w:val="00826970"/>
    <w:rsid w:val="00826DA1"/>
    <w:rsid w:val="00826F6D"/>
    <w:rsid w:val="0082707E"/>
    <w:rsid w:val="00827315"/>
    <w:rsid w:val="00827B4A"/>
    <w:rsid w:val="008305B0"/>
    <w:rsid w:val="00830E10"/>
    <w:rsid w:val="00832083"/>
    <w:rsid w:val="00832AFF"/>
    <w:rsid w:val="00833C45"/>
    <w:rsid w:val="00834A67"/>
    <w:rsid w:val="00834C9B"/>
    <w:rsid w:val="00836C1D"/>
    <w:rsid w:val="00836D18"/>
    <w:rsid w:val="00837C46"/>
    <w:rsid w:val="00837D0B"/>
    <w:rsid w:val="00842B26"/>
    <w:rsid w:val="008436A4"/>
    <w:rsid w:val="0084394D"/>
    <w:rsid w:val="00844FE0"/>
    <w:rsid w:val="008460D1"/>
    <w:rsid w:val="008464AF"/>
    <w:rsid w:val="00847136"/>
    <w:rsid w:val="008472C4"/>
    <w:rsid w:val="00850C80"/>
    <w:rsid w:val="00850D33"/>
    <w:rsid w:val="00852C5B"/>
    <w:rsid w:val="00852FD0"/>
    <w:rsid w:val="008540EC"/>
    <w:rsid w:val="00855A4E"/>
    <w:rsid w:val="00855F03"/>
    <w:rsid w:val="008565EB"/>
    <w:rsid w:val="0085741D"/>
    <w:rsid w:val="00857B8E"/>
    <w:rsid w:val="0086201F"/>
    <w:rsid w:val="00862308"/>
    <w:rsid w:val="00863675"/>
    <w:rsid w:val="00863E6B"/>
    <w:rsid w:val="00864B06"/>
    <w:rsid w:val="00864DBA"/>
    <w:rsid w:val="00865B2B"/>
    <w:rsid w:val="00865C26"/>
    <w:rsid w:val="00865F8B"/>
    <w:rsid w:val="00867433"/>
    <w:rsid w:val="00867962"/>
    <w:rsid w:val="008701A9"/>
    <w:rsid w:val="00871078"/>
    <w:rsid w:val="0087123B"/>
    <w:rsid w:val="00872541"/>
    <w:rsid w:val="00872551"/>
    <w:rsid w:val="00872B4F"/>
    <w:rsid w:val="00873C03"/>
    <w:rsid w:val="00873C04"/>
    <w:rsid w:val="00873F12"/>
    <w:rsid w:val="00874296"/>
    <w:rsid w:val="00874790"/>
    <w:rsid w:val="00874B9D"/>
    <w:rsid w:val="00874F73"/>
    <w:rsid w:val="00875541"/>
    <w:rsid w:val="00876CD2"/>
    <w:rsid w:val="00881DC6"/>
    <w:rsid w:val="00882B86"/>
    <w:rsid w:val="00883D86"/>
    <w:rsid w:val="00883D9F"/>
    <w:rsid w:val="00883DA9"/>
    <w:rsid w:val="00884807"/>
    <w:rsid w:val="00886765"/>
    <w:rsid w:val="00886A08"/>
    <w:rsid w:val="00886D68"/>
    <w:rsid w:val="00887C44"/>
    <w:rsid w:val="00890097"/>
    <w:rsid w:val="00890304"/>
    <w:rsid w:val="008903A3"/>
    <w:rsid w:val="00893092"/>
    <w:rsid w:val="00893745"/>
    <w:rsid w:val="0089485A"/>
    <w:rsid w:val="00894BFA"/>
    <w:rsid w:val="00894E50"/>
    <w:rsid w:val="00895B86"/>
    <w:rsid w:val="00896C6D"/>
    <w:rsid w:val="008A0633"/>
    <w:rsid w:val="008A0A5C"/>
    <w:rsid w:val="008A11AB"/>
    <w:rsid w:val="008A134C"/>
    <w:rsid w:val="008A194F"/>
    <w:rsid w:val="008A2AD9"/>
    <w:rsid w:val="008A38D7"/>
    <w:rsid w:val="008A3EB8"/>
    <w:rsid w:val="008A4491"/>
    <w:rsid w:val="008A4963"/>
    <w:rsid w:val="008A4B7D"/>
    <w:rsid w:val="008A4ED9"/>
    <w:rsid w:val="008A51B3"/>
    <w:rsid w:val="008A5E02"/>
    <w:rsid w:val="008A6117"/>
    <w:rsid w:val="008A61A1"/>
    <w:rsid w:val="008A718D"/>
    <w:rsid w:val="008A7B10"/>
    <w:rsid w:val="008A7D3F"/>
    <w:rsid w:val="008B1198"/>
    <w:rsid w:val="008B11F8"/>
    <w:rsid w:val="008B1EB7"/>
    <w:rsid w:val="008B2212"/>
    <w:rsid w:val="008B24B9"/>
    <w:rsid w:val="008B273E"/>
    <w:rsid w:val="008B2E08"/>
    <w:rsid w:val="008B4260"/>
    <w:rsid w:val="008B53FE"/>
    <w:rsid w:val="008B5AE1"/>
    <w:rsid w:val="008B5AFF"/>
    <w:rsid w:val="008B6270"/>
    <w:rsid w:val="008B64F3"/>
    <w:rsid w:val="008B6A28"/>
    <w:rsid w:val="008C0628"/>
    <w:rsid w:val="008C0A7C"/>
    <w:rsid w:val="008C0BE8"/>
    <w:rsid w:val="008C0D0A"/>
    <w:rsid w:val="008C11F7"/>
    <w:rsid w:val="008C1FA2"/>
    <w:rsid w:val="008C2EAD"/>
    <w:rsid w:val="008C2F79"/>
    <w:rsid w:val="008C324B"/>
    <w:rsid w:val="008C32AF"/>
    <w:rsid w:val="008C39D2"/>
    <w:rsid w:val="008C3B46"/>
    <w:rsid w:val="008C3DA5"/>
    <w:rsid w:val="008C62F6"/>
    <w:rsid w:val="008C6690"/>
    <w:rsid w:val="008C66C0"/>
    <w:rsid w:val="008C694F"/>
    <w:rsid w:val="008C69C9"/>
    <w:rsid w:val="008C6FAD"/>
    <w:rsid w:val="008C7D54"/>
    <w:rsid w:val="008D0909"/>
    <w:rsid w:val="008D0D89"/>
    <w:rsid w:val="008D17A7"/>
    <w:rsid w:val="008D1A79"/>
    <w:rsid w:val="008D2139"/>
    <w:rsid w:val="008D21A8"/>
    <w:rsid w:val="008D28EC"/>
    <w:rsid w:val="008D2E83"/>
    <w:rsid w:val="008D3383"/>
    <w:rsid w:val="008D3C3B"/>
    <w:rsid w:val="008D3ED0"/>
    <w:rsid w:val="008D525C"/>
    <w:rsid w:val="008D7191"/>
    <w:rsid w:val="008D73C0"/>
    <w:rsid w:val="008D7CA0"/>
    <w:rsid w:val="008E0462"/>
    <w:rsid w:val="008E0547"/>
    <w:rsid w:val="008E088B"/>
    <w:rsid w:val="008E0A19"/>
    <w:rsid w:val="008E233A"/>
    <w:rsid w:val="008E3C93"/>
    <w:rsid w:val="008E5590"/>
    <w:rsid w:val="008E5EF7"/>
    <w:rsid w:val="008E777C"/>
    <w:rsid w:val="008E798B"/>
    <w:rsid w:val="008E7D96"/>
    <w:rsid w:val="008F35C3"/>
    <w:rsid w:val="008F3A20"/>
    <w:rsid w:val="008F552A"/>
    <w:rsid w:val="008F5FD6"/>
    <w:rsid w:val="008F6D99"/>
    <w:rsid w:val="008F77C3"/>
    <w:rsid w:val="008F7F76"/>
    <w:rsid w:val="00900B54"/>
    <w:rsid w:val="00901456"/>
    <w:rsid w:val="009014BB"/>
    <w:rsid w:val="0090245D"/>
    <w:rsid w:val="00902757"/>
    <w:rsid w:val="00904C34"/>
    <w:rsid w:val="00910D46"/>
    <w:rsid w:val="00911555"/>
    <w:rsid w:val="00911FB1"/>
    <w:rsid w:val="00912340"/>
    <w:rsid w:val="00912C33"/>
    <w:rsid w:val="009133BF"/>
    <w:rsid w:val="0091464A"/>
    <w:rsid w:val="009146DE"/>
    <w:rsid w:val="00914C6D"/>
    <w:rsid w:val="00920388"/>
    <w:rsid w:val="0092067A"/>
    <w:rsid w:val="00920DAE"/>
    <w:rsid w:val="00923378"/>
    <w:rsid w:val="00923B1D"/>
    <w:rsid w:val="00924120"/>
    <w:rsid w:val="00924548"/>
    <w:rsid w:val="0092561F"/>
    <w:rsid w:val="0092724F"/>
    <w:rsid w:val="00927707"/>
    <w:rsid w:val="0093006D"/>
    <w:rsid w:val="00930B35"/>
    <w:rsid w:val="00930BEE"/>
    <w:rsid w:val="009315F6"/>
    <w:rsid w:val="00931BE0"/>
    <w:rsid w:val="00931EEA"/>
    <w:rsid w:val="00932C07"/>
    <w:rsid w:val="009330B3"/>
    <w:rsid w:val="009343F4"/>
    <w:rsid w:val="00934F76"/>
    <w:rsid w:val="009357AD"/>
    <w:rsid w:val="00935B80"/>
    <w:rsid w:val="00936588"/>
    <w:rsid w:val="00941F29"/>
    <w:rsid w:val="00942C61"/>
    <w:rsid w:val="00943330"/>
    <w:rsid w:val="00944136"/>
    <w:rsid w:val="00944CC9"/>
    <w:rsid w:val="009451FA"/>
    <w:rsid w:val="009454E5"/>
    <w:rsid w:val="009472C7"/>
    <w:rsid w:val="00947B2C"/>
    <w:rsid w:val="00950357"/>
    <w:rsid w:val="00950D90"/>
    <w:rsid w:val="009510D5"/>
    <w:rsid w:val="009522C2"/>
    <w:rsid w:val="00956125"/>
    <w:rsid w:val="0095778B"/>
    <w:rsid w:val="00957C86"/>
    <w:rsid w:val="00957EF9"/>
    <w:rsid w:val="009604E3"/>
    <w:rsid w:val="00960C63"/>
    <w:rsid w:val="00961946"/>
    <w:rsid w:val="00962563"/>
    <w:rsid w:val="00963B8B"/>
    <w:rsid w:val="00964364"/>
    <w:rsid w:val="00964B33"/>
    <w:rsid w:val="0096521F"/>
    <w:rsid w:val="0097056B"/>
    <w:rsid w:val="0097069D"/>
    <w:rsid w:val="00970862"/>
    <w:rsid w:val="00971306"/>
    <w:rsid w:val="009715C2"/>
    <w:rsid w:val="009739B1"/>
    <w:rsid w:val="00975AEA"/>
    <w:rsid w:val="009765D5"/>
    <w:rsid w:val="00980C63"/>
    <w:rsid w:val="00981523"/>
    <w:rsid w:val="00982B49"/>
    <w:rsid w:val="00982ED8"/>
    <w:rsid w:val="009837DF"/>
    <w:rsid w:val="00983D3A"/>
    <w:rsid w:val="00983D9D"/>
    <w:rsid w:val="009847B0"/>
    <w:rsid w:val="00985322"/>
    <w:rsid w:val="00987FD8"/>
    <w:rsid w:val="00992264"/>
    <w:rsid w:val="00992AAE"/>
    <w:rsid w:val="009943E4"/>
    <w:rsid w:val="00994945"/>
    <w:rsid w:val="009955F9"/>
    <w:rsid w:val="00995739"/>
    <w:rsid w:val="0099613C"/>
    <w:rsid w:val="00996EAA"/>
    <w:rsid w:val="00997A49"/>
    <w:rsid w:val="00997E85"/>
    <w:rsid w:val="00997F9B"/>
    <w:rsid w:val="009A3BF7"/>
    <w:rsid w:val="009A51FB"/>
    <w:rsid w:val="009A638E"/>
    <w:rsid w:val="009A7DA1"/>
    <w:rsid w:val="009B0A27"/>
    <w:rsid w:val="009B1711"/>
    <w:rsid w:val="009B24A0"/>
    <w:rsid w:val="009B2D10"/>
    <w:rsid w:val="009B44B2"/>
    <w:rsid w:val="009B48FF"/>
    <w:rsid w:val="009B5D71"/>
    <w:rsid w:val="009B634C"/>
    <w:rsid w:val="009B70A1"/>
    <w:rsid w:val="009B7A3F"/>
    <w:rsid w:val="009C0E4C"/>
    <w:rsid w:val="009C11B0"/>
    <w:rsid w:val="009C14F4"/>
    <w:rsid w:val="009C20E5"/>
    <w:rsid w:val="009C35EC"/>
    <w:rsid w:val="009C54F2"/>
    <w:rsid w:val="009C5D88"/>
    <w:rsid w:val="009C6FD6"/>
    <w:rsid w:val="009C73FC"/>
    <w:rsid w:val="009C7C9A"/>
    <w:rsid w:val="009D04A8"/>
    <w:rsid w:val="009D1D4D"/>
    <w:rsid w:val="009D1FF9"/>
    <w:rsid w:val="009D2533"/>
    <w:rsid w:val="009D3876"/>
    <w:rsid w:val="009D464D"/>
    <w:rsid w:val="009D4BB6"/>
    <w:rsid w:val="009D4F38"/>
    <w:rsid w:val="009D6F8D"/>
    <w:rsid w:val="009D717E"/>
    <w:rsid w:val="009D73B8"/>
    <w:rsid w:val="009D78AF"/>
    <w:rsid w:val="009E0132"/>
    <w:rsid w:val="009E7019"/>
    <w:rsid w:val="009E79D6"/>
    <w:rsid w:val="009F0E15"/>
    <w:rsid w:val="009F108B"/>
    <w:rsid w:val="009F1CB9"/>
    <w:rsid w:val="009F20AB"/>
    <w:rsid w:val="009F28EC"/>
    <w:rsid w:val="009F3680"/>
    <w:rsid w:val="009F3A80"/>
    <w:rsid w:val="009F3F34"/>
    <w:rsid w:val="009F557D"/>
    <w:rsid w:val="009F5CE0"/>
    <w:rsid w:val="009F6C17"/>
    <w:rsid w:val="009F6E2C"/>
    <w:rsid w:val="009F702C"/>
    <w:rsid w:val="009F7065"/>
    <w:rsid w:val="009F71E2"/>
    <w:rsid w:val="009F7DE0"/>
    <w:rsid w:val="00A000CA"/>
    <w:rsid w:val="00A00D1D"/>
    <w:rsid w:val="00A01A66"/>
    <w:rsid w:val="00A023BE"/>
    <w:rsid w:val="00A027E1"/>
    <w:rsid w:val="00A028FA"/>
    <w:rsid w:val="00A02D67"/>
    <w:rsid w:val="00A05A30"/>
    <w:rsid w:val="00A05AB9"/>
    <w:rsid w:val="00A0666E"/>
    <w:rsid w:val="00A07299"/>
    <w:rsid w:val="00A102C1"/>
    <w:rsid w:val="00A110B1"/>
    <w:rsid w:val="00A11414"/>
    <w:rsid w:val="00A14755"/>
    <w:rsid w:val="00A14A47"/>
    <w:rsid w:val="00A15443"/>
    <w:rsid w:val="00A16119"/>
    <w:rsid w:val="00A17612"/>
    <w:rsid w:val="00A201B6"/>
    <w:rsid w:val="00A20BF2"/>
    <w:rsid w:val="00A20FBB"/>
    <w:rsid w:val="00A21391"/>
    <w:rsid w:val="00A221F9"/>
    <w:rsid w:val="00A22D9A"/>
    <w:rsid w:val="00A2359A"/>
    <w:rsid w:val="00A247B3"/>
    <w:rsid w:val="00A24B7A"/>
    <w:rsid w:val="00A253AF"/>
    <w:rsid w:val="00A25D67"/>
    <w:rsid w:val="00A26A65"/>
    <w:rsid w:val="00A26EC6"/>
    <w:rsid w:val="00A2739C"/>
    <w:rsid w:val="00A276F0"/>
    <w:rsid w:val="00A27726"/>
    <w:rsid w:val="00A3058B"/>
    <w:rsid w:val="00A30E4D"/>
    <w:rsid w:val="00A3173E"/>
    <w:rsid w:val="00A31B76"/>
    <w:rsid w:val="00A32005"/>
    <w:rsid w:val="00A3206C"/>
    <w:rsid w:val="00A32899"/>
    <w:rsid w:val="00A339C7"/>
    <w:rsid w:val="00A33C69"/>
    <w:rsid w:val="00A352E7"/>
    <w:rsid w:val="00A3586D"/>
    <w:rsid w:val="00A36132"/>
    <w:rsid w:val="00A363AA"/>
    <w:rsid w:val="00A36AB4"/>
    <w:rsid w:val="00A36AFC"/>
    <w:rsid w:val="00A372E7"/>
    <w:rsid w:val="00A40971"/>
    <w:rsid w:val="00A40F19"/>
    <w:rsid w:val="00A41BFB"/>
    <w:rsid w:val="00A41F50"/>
    <w:rsid w:val="00A4242E"/>
    <w:rsid w:val="00A42454"/>
    <w:rsid w:val="00A42F45"/>
    <w:rsid w:val="00A43040"/>
    <w:rsid w:val="00A43342"/>
    <w:rsid w:val="00A43653"/>
    <w:rsid w:val="00A4519B"/>
    <w:rsid w:val="00A45250"/>
    <w:rsid w:val="00A465F6"/>
    <w:rsid w:val="00A46767"/>
    <w:rsid w:val="00A471FF"/>
    <w:rsid w:val="00A50612"/>
    <w:rsid w:val="00A51318"/>
    <w:rsid w:val="00A51585"/>
    <w:rsid w:val="00A51793"/>
    <w:rsid w:val="00A520EE"/>
    <w:rsid w:val="00A532D1"/>
    <w:rsid w:val="00A534A2"/>
    <w:rsid w:val="00A53925"/>
    <w:rsid w:val="00A546F1"/>
    <w:rsid w:val="00A55E66"/>
    <w:rsid w:val="00A56507"/>
    <w:rsid w:val="00A56D06"/>
    <w:rsid w:val="00A56D61"/>
    <w:rsid w:val="00A575EA"/>
    <w:rsid w:val="00A577BF"/>
    <w:rsid w:val="00A60D5D"/>
    <w:rsid w:val="00A626F3"/>
    <w:rsid w:val="00A63504"/>
    <w:rsid w:val="00A63F1B"/>
    <w:rsid w:val="00A651D4"/>
    <w:rsid w:val="00A662E4"/>
    <w:rsid w:val="00A664C3"/>
    <w:rsid w:val="00A66A03"/>
    <w:rsid w:val="00A67578"/>
    <w:rsid w:val="00A72BF6"/>
    <w:rsid w:val="00A733AF"/>
    <w:rsid w:val="00A73920"/>
    <w:rsid w:val="00A75F0B"/>
    <w:rsid w:val="00A7612B"/>
    <w:rsid w:val="00A77D31"/>
    <w:rsid w:val="00A80E1F"/>
    <w:rsid w:val="00A80E72"/>
    <w:rsid w:val="00A80E83"/>
    <w:rsid w:val="00A81874"/>
    <w:rsid w:val="00A81DCE"/>
    <w:rsid w:val="00A82807"/>
    <w:rsid w:val="00A82CDC"/>
    <w:rsid w:val="00A84DF8"/>
    <w:rsid w:val="00A85865"/>
    <w:rsid w:val="00A85CBC"/>
    <w:rsid w:val="00A8632E"/>
    <w:rsid w:val="00A864E4"/>
    <w:rsid w:val="00A87169"/>
    <w:rsid w:val="00A87860"/>
    <w:rsid w:val="00A9113B"/>
    <w:rsid w:val="00A94596"/>
    <w:rsid w:val="00A94D37"/>
    <w:rsid w:val="00A94E90"/>
    <w:rsid w:val="00A94ED9"/>
    <w:rsid w:val="00A95911"/>
    <w:rsid w:val="00AA029F"/>
    <w:rsid w:val="00AA0C62"/>
    <w:rsid w:val="00AA11EE"/>
    <w:rsid w:val="00AA164C"/>
    <w:rsid w:val="00AA16C6"/>
    <w:rsid w:val="00AA2017"/>
    <w:rsid w:val="00AA235F"/>
    <w:rsid w:val="00AA2FA5"/>
    <w:rsid w:val="00AA3077"/>
    <w:rsid w:val="00AA38D1"/>
    <w:rsid w:val="00AA39DB"/>
    <w:rsid w:val="00AA4370"/>
    <w:rsid w:val="00AA6AA3"/>
    <w:rsid w:val="00AA6C39"/>
    <w:rsid w:val="00AA7A2A"/>
    <w:rsid w:val="00AA7C80"/>
    <w:rsid w:val="00AB16E4"/>
    <w:rsid w:val="00AB1F7E"/>
    <w:rsid w:val="00AB5889"/>
    <w:rsid w:val="00AB65A7"/>
    <w:rsid w:val="00AB6FB3"/>
    <w:rsid w:val="00AC01EA"/>
    <w:rsid w:val="00AC15F4"/>
    <w:rsid w:val="00AC202B"/>
    <w:rsid w:val="00AC2ACD"/>
    <w:rsid w:val="00AC3173"/>
    <w:rsid w:val="00AC363E"/>
    <w:rsid w:val="00AC3D6C"/>
    <w:rsid w:val="00AC4E3A"/>
    <w:rsid w:val="00AC593D"/>
    <w:rsid w:val="00AC5C18"/>
    <w:rsid w:val="00AC778E"/>
    <w:rsid w:val="00AC7AF9"/>
    <w:rsid w:val="00AD0B45"/>
    <w:rsid w:val="00AD14D8"/>
    <w:rsid w:val="00AD19E4"/>
    <w:rsid w:val="00AD1BA6"/>
    <w:rsid w:val="00AD22D4"/>
    <w:rsid w:val="00AD3371"/>
    <w:rsid w:val="00AD349F"/>
    <w:rsid w:val="00AD3C0D"/>
    <w:rsid w:val="00AD3E6F"/>
    <w:rsid w:val="00AD4E9E"/>
    <w:rsid w:val="00AD5179"/>
    <w:rsid w:val="00AD77A7"/>
    <w:rsid w:val="00AD7E64"/>
    <w:rsid w:val="00AE098A"/>
    <w:rsid w:val="00AE0D9F"/>
    <w:rsid w:val="00AE0E42"/>
    <w:rsid w:val="00AE2A5E"/>
    <w:rsid w:val="00AE3249"/>
    <w:rsid w:val="00AE3F5C"/>
    <w:rsid w:val="00AE45F8"/>
    <w:rsid w:val="00AE4FB2"/>
    <w:rsid w:val="00AF0E77"/>
    <w:rsid w:val="00AF10A1"/>
    <w:rsid w:val="00AF1777"/>
    <w:rsid w:val="00AF4DB4"/>
    <w:rsid w:val="00AF5CE1"/>
    <w:rsid w:val="00AF6B28"/>
    <w:rsid w:val="00AF6C37"/>
    <w:rsid w:val="00AF6D2A"/>
    <w:rsid w:val="00AF7181"/>
    <w:rsid w:val="00AF77EE"/>
    <w:rsid w:val="00B013EB"/>
    <w:rsid w:val="00B021FE"/>
    <w:rsid w:val="00B029A7"/>
    <w:rsid w:val="00B02D6C"/>
    <w:rsid w:val="00B0316F"/>
    <w:rsid w:val="00B0387D"/>
    <w:rsid w:val="00B05391"/>
    <w:rsid w:val="00B06FED"/>
    <w:rsid w:val="00B10BCB"/>
    <w:rsid w:val="00B115B7"/>
    <w:rsid w:val="00B12E15"/>
    <w:rsid w:val="00B12F1E"/>
    <w:rsid w:val="00B131D2"/>
    <w:rsid w:val="00B1347D"/>
    <w:rsid w:val="00B13A92"/>
    <w:rsid w:val="00B13BE6"/>
    <w:rsid w:val="00B14D29"/>
    <w:rsid w:val="00B14EC5"/>
    <w:rsid w:val="00B14FD9"/>
    <w:rsid w:val="00B15260"/>
    <w:rsid w:val="00B1528E"/>
    <w:rsid w:val="00B15716"/>
    <w:rsid w:val="00B16573"/>
    <w:rsid w:val="00B201FC"/>
    <w:rsid w:val="00B20505"/>
    <w:rsid w:val="00B20877"/>
    <w:rsid w:val="00B21B8B"/>
    <w:rsid w:val="00B22EF1"/>
    <w:rsid w:val="00B23A09"/>
    <w:rsid w:val="00B24014"/>
    <w:rsid w:val="00B243AD"/>
    <w:rsid w:val="00B24637"/>
    <w:rsid w:val="00B249EE"/>
    <w:rsid w:val="00B24D00"/>
    <w:rsid w:val="00B24EE2"/>
    <w:rsid w:val="00B258CD"/>
    <w:rsid w:val="00B27877"/>
    <w:rsid w:val="00B30433"/>
    <w:rsid w:val="00B3113E"/>
    <w:rsid w:val="00B3141D"/>
    <w:rsid w:val="00B3347E"/>
    <w:rsid w:val="00B3374D"/>
    <w:rsid w:val="00B34072"/>
    <w:rsid w:val="00B3410E"/>
    <w:rsid w:val="00B34B77"/>
    <w:rsid w:val="00B34FD4"/>
    <w:rsid w:val="00B35075"/>
    <w:rsid w:val="00B35308"/>
    <w:rsid w:val="00B358A6"/>
    <w:rsid w:val="00B36286"/>
    <w:rsid w:val="00B36C31"/>
    <w:rsid w:val="00B376AD"/>
    <w:rsid w:val="00B41796"/>
    <w:rsid w:val="00B427FB"/>
    <w:rsid w:val="00B42EC1"/>
    <w:rsid w:val="00B4366F"/>
    <w:rsid w:val="00B43D77"/>
    <w:rsid w:val="00B4460F"/>
    <w:rsid w:val="00B45EEB"/>
    <w:rsid w:val="00B468EC"/>
    <w:rsid w:val="00B46A7E"/>
    <w:rsid w:val="00B4708F"/>
    <w:rsid w:val="00B4780B"/>
    <w:rsid w:val="00B506F7"/>
    <w:rsid w:val="00B514C6"/>
    <w:rsid w:val="00B52498"/>
    <w:rsid w:val="00B53B92"/>
    <w:rsid w:val="00B54540"/>
    <w:rsid w:val="00B55346"/>
    <w:rsid w:val="00B55B02"/>
    <w:rsid w:val="00B55E67"/>
    <w:rsid w:val="00B564B0"/>
    <w:rsid w:val="00B56855"/>
    <w:rsid w:val="00B57294"/>
    <w:rsid w:val="00B60CAF"/>
    <w:rsid w:val="00B60D88"/>
    <w:rsid w:val="00B61309"/>
    <w:rsid w:val="00B61FDA"/>
    <w:rsid w:val="00B6339E"/>
    <w:rsid w:val="00B634AC"/>
    <w:rsid w:val="00B635EF"/>
    <w:rsid w:val="00B645FF"/>
    <w:rsid w:val="00B646E7"/>
    <w:rsid w:val="00B64781"/>
    <w:rsid w:val="00B6615A"/>
    <w:rsid w:val="00B665D8"/>
    <w:rsid w:val="00B67555"/>
    <w:rsid w:val="00B67CE5"/>
    <w:rsid w:val="00B70149"/>
    <w:rsid w:val="00B7069E"/>
    <w:rsid w:val="00B71CD0"/>
    <w:rsid w:val="00B72766"/>
    <w:rsid w:val="00B72C62"/>
    <w:rsid w:val="00B74526"/>
    <w:rsid w:val="00B755B6"/>
    <w:rsid w:val="00B75889"/>
    <w:rsid w:val="00B75A25"/>
    <w:rsid w:val="00B75C6E"/>
    <w:rsid w:val="00B76855"/>
    <w:rsid w:val="00B77E27"/>
    <w:rsid w:val="00B80549"/>
    <w:rsid w:val="00B8057B"/>
    <w:rsid w:val="00B8198E"/>
    <w:rsid w:val="00B81B69"/>
    <w:rsid w:val="00B81BD8"/>
    <w:rsid w:val="00B826AF"/>
    <w:rsid w:val="00B82725"/>
    <w:rsid w:val="00B842FD"/>
    <w:rsid w:val="00B846EE"/>
    <w:rsid w:val="00B856AD"/>
    <w:rsid w:val="00B86A85"/>
    <w:rsid w:val="00B87B63"/>
    <w:rsid w:val="00B87F2B"/>
    <w:rsid w:val="00B904CE"/>
    <w:rsid w:val="00B9129C"/>
    <w:rsid w:val="00B9210D"/>
    <w:rsid w:val="00B93495"/>
    <w:rsid w:val="00B93830"/>
    <w:rsid w:val="00B93B84"/>
    <w:rsid w:val="00B94BE7"/>
    <w:rsid w:val="00B94F7D"/>
    <w:rsid w:val="00B96184"/>
    <w:rsid w:val="00B9666B"/>
    <w:rsid w:val="00B96813"/>
    <w:rsid w:val="00B96C09"/>
    <w:rsid w:val="00BA02D4"/>
    <w:rsid w:val="00BA036D"/>
    <w:rsid w:val="00BA0D6F"/>
    <w:rsid w:val="00BA180E"/>
    <w:rsid w:val="00BA1DA8"/>
    <w:rsid w:val="00BA1E12"/>
    <w:rsid w:val="00BA3099"/>
    <w:rsid w:val="00BA428F"/>
    <w:rsid w:val="00BA4EDF"/>
    <w:rsid w:val="00BA553C"/>
    <w:rsid w:val="00BA7535"/>
    <w:rsid w:val="00BB046A"/>
    <w:rsid w:val="00BB0770"/>
    <w:rsid w:val="00BB233F"/>
    <w:rsid w:val="00BB287B"/>
    <w:rsid w:val="00BB35CA"/>
    <w:rsid w:val="00BB6891"/>
    <w:rsid w:val="00BB6AFF"/>
    <w:rsid w:val="00BB6B3B"/>
    <w:rsid w:val="00BC0338"/>
    <w:rsid w:val="00BC0DDA"/>
    <w:rsid w:val="00BC1B24"/>
    <w:rsid w:val="00BC2229"/>
    <w:rsid w:val="00BC2C1A"/>
    <w:rsid w:val="00BC4087"/>
    <w:rsid w:val="00BC4CF6"/>
    <w:rsid w:val="00BC668F"/>
    <w:rsid w:val="00BD2122"/>
    <w:rsid w:val="00BD2AD7"/>
    <w:rsid w:val="00BD30A6"/>
    <w:rsid w:val="00BD3AF4"/>
    <w:rsid w:val="00BD46AE"/>
    <w:rsid w:val="00BD548D"/>
    <w:rsid w:val="00BD5848"/>
    <w:rsid w:val="00BD6254"/>
    <w:rsid w:val="00BD686E"/>
    <w:rsid w:val="00BD69A0"/>
    <w:rsid w:val="00BD7A8B"/>
    <w:rsid w:val="00BE0529"/>
    <w:rsid w:val="00BE0ECF"/>
    <w:rsid w:val="00BE181B"/>
    <w:rsid w:val="00BE21DB"/>
    <w:rsid w:val="00BE3A63"/>
    <w:rsid w:val="00BE3BE5"/>
    <w:rsid w:val="00BE5273"/>
    <w:rsid w:val="00BE5334"/>
    <w:rsid w:val="00BE5396"/>
    <w:rsid w:val="00BE5738"/>
    <w:rsid w:val="00BE5D38"/>
    <w:rsid w:val="00BF14D6"/>
    <w:rsid w:val="00BF1C23"/>
    <w:rsid w:val="00BF1E0E"/>
    <w:rsid w:val="00BF31DC"/>
    <w:rsid w:val="00BF3FE5"/>
    <w:rsid w:val="00BF4DA4"/>
    <w:rsid w:val="00BF5F52"/>
    <w:rsid w:val="00BF7003"/>
    <w:rsid w:val="00BF78A7"/>
    <w:rsid w:val="00C0057B"/>
    <w:rsid w:val="00C00DBB"/>
    <w:rsid w:val="00C00F0D"/>
    <w:rsid w:val="00C02829"/>
    <w:rsid w:val="00C02962"/>
    <w:rsid w:val="00C03387"/>
    <w:rsid w:val="00C03852"/>
    <w:rsid w:val="00C04D3D"/>
    <w:rsid w:val="00C06873"/>
    <w:rsid w:val="00C0791C"/>
    <w:rsid w:val="00C07AD4"/>
    <w:rsid w:val="00C105AE"/>
    <w:rsid w:val="00C11133"/>
    <w:rsid w:val="00C11265"/>
    <w:rsid w:val="00C11DE4"/>
    <w:rsid w:val="00C120F6"/>
    <w:rsid w:val="00C153B9"/>
    <w:rsid w:val="00C15701"/>
    <w:rsid w:val="00C15BCA"/>
    <w:rsid w:val="00C16207"/>
    <w:rsid w:val="00C16327"/>
    <w:rsid w:val="00C16592"/>
    <w:rsid w:val="00C176D4"/>
    <w:rsid w:val="00C21F35"/>
    <w:rsid w:val="00C24122"/>
    <w:rsid w:val="00C2498B"/>
    <w:rsid w:val="00C25DD0"/>
    <w:rsid w:val="00C26798"/>
    <w:rsid w:val="00C307E8"/>
    <w:rsid w:val="00C3359B"/>
    <w:rsid w:val="00C361B7"/>
    <w:rsid w:val="00C37B67"/>
    <w:rsid w:val="00C404C4"/>
    <w:rsid w:val="00C41330"/>
    <w:rsid w:val="00C41E62"/>
    <w:rsid w:val="00C41FB8"/>
    <w:rsid w:val="00C427B9"/>
    <w:rsid w:val="00C42A1B"/>
    <w:rsid w:val="00C43731"/>
    <w:rsid w:val="00C446A9"/>
    <w:rsid w:val="00C449B4"/>
    <w:rsid w:val="00C45440"/>
    <w:rsid w:val="00C46A21"/>
    <w:rsid w:val="00C46AC6"/>
    <w:rsid w:val="00C500CF"/>
    <w:rsid w:val="00C51C3D"/>
    <w:rsid w:val="00C52129"/>
    <w:rsid w:val="00C53CC2"/>
    <w:rsid w:val="00C5483E"/>
    <w:rsid w:val="00C54EC8"/>
    <w:rsid w:val="00C564C1"/>
    <w:rsid w:val="00C56529"/>
    <w:rsid w:val="00C56C48"/>
    <w:rsid w:val="00C604B7"/>
    <w:rsid w:val="00C61866"/>
    <w:rsid w:val="00C6256B"/>
    <w:rsid w:val="00C631E2"/>
    <w:rsid w:val="00C6337D"/>
    <w:rsid w:val="00C6397B"/>
    <w:rsid w:val="00C64321"/>
    <w:rsid w:val="00C65FF2"/>
    <w:rsid w:val="00C700AD"/>
    <w:rsid w:val="00C70A41"/>
    <w:rsid w:val="00C70AD3"/>
    <w:rsid w:val="00C70EC4"/>
    <w:rsid w:val="00C711FF"/>
    <w:rsid w:val="00C73A9D"/>
    <w:rsid w:val="00C73D96"/>
    <w:rsid w:val="00C746AE"/>
    <w:rsid w:val="00C7516F"/>
    <w:rsid w:val="00C7573B"/>
    <w:rsid w:val="00C778CA"/>
    <w:rsid w:val="00C80096"/>
    <w:rsid w:val="00C8125A"/>
    <w:rsid w:val="00C812BE"/>
    <w:rsid w:val="00C8187B"/>
    <w:rsid w:val="00C81AAA"/>
    <w:rsid w:val="00C81FE0"/>
    <w:rsid w:val="00C85BC4"/>
    <w:rsid w:val="00C86BE6"/>
    <w:rsid w:val="00C86D76"/>
    <w:rsid w:val="00C877D2"/>
    <w:rsid w:val="00C90340"/>
    <w:rsid w:val="00C9041A"/>
    <w:rsid w:val="00C90A14"/>
    <w:rsid w:val="00C90B0F"/>
    <w:rsid w:val="00C90BFE"/>
    <w:rsid w:val="00C91E8D"/>
    <w:rsid w:val="00C9365A"/>
    <w:rsid w:val="00C94303"/>
    <w:rsid w:val="00C94357"/>
    <w:rsid w:val="00C94AF6"/>
    <w:rsid w:val="00C959E8"/>
    <w:rsid w:val="00C970BA"/>
    <w:rsid w:val="00C971D3"/>
    <w:rsid w:val="00CA2568"/>
    <w:rsid w:val="00CA2AD3"/>
    <w:rsid w:val="00CA2F51"/>
    <w:rsid w:val="00CA30A0"/>
    <w:rsid w:val="00CA4A59"/>
    <w:rsid w:val="00CA562C"/>
    <w:rsid w:val="00CA5682"/>
    <w:rsid w:val="00CA6FF3"/>
    <w:rsid w:val="00CA74C5"/>
    <w:rsid w:val="00CA7B08"/>
    <w:rsid w:val="00CB0030"/>
    <w:rsid w:val="00CB0199"/>
    <w:rsid w:val="00CB03CD"/>
    <w:rsid w:val="00CB10FD"/>
    <w:rsid w:val="00CB186A"/>
    <w:rsid w:val="00CB20F7"/>
    <w:rsid w:val="00CB373A"/>
    <w:rsid w:val="00CB3B12"/>
    <w:rsid w:val="00CB3BC2"/>
    <w:rsid w:val="00CB3F83"/>
    <w:rsid w:val="00CB429C"/>
    <w:rsid w:val="00CB5139"/>
    <w:rsid w:val="00CB61E9"/>
    <w:rsid w:val="00CC042E"/>
    <w:rsid w:val="00CC27D0"/>
    <w:rsid w:val="00CC31F7"/>
    <w:rsid w:val="00CC3411"/>
    <w:rsid w:val="00CC3CBB"/>
    <w:rsid w:val="00CC400C"/>
    <w:rsid w:val="00CC473E"/>
    <w:rsid w:val="00CC59AC"/>
    <w:rsid w:val="00CC5DFA"/>
    <w:rsid w:val="00CC6555"/>
    <w:rsid w:val="00CC6669"/>
    <w:rsid w:val="00CC7778"/>
    <w:rsid w:val="00CD00FD"/>
    <w:rsid w:val="00CD11A4"/>
    <w:rsid w:val="00CD1728"/>
    <w:rsid w:val="00CD20FB"/>
    <w:rsid w:val="00CD26F9"/>
    <w:rsid w:val="00CD2DE6"/>
    <w:rsid w:val="00CD313B"/>
    <w:rsid w:val="00CD327A"/>
    <w:rsid w:val="00CD3355"/>
    <w:rsid w:val="00CD361D"/>
    <w:rsid w:val="00CD5CB7"/>
    <w:rsid w:val="00CE0A1A"/>
    <w:rsid w:val="00CE0BEA"/>
    <w:rsid w:val="00CE1AE1"/>
    <w:rsid w:val="00CE4248"/>
    <w:rsid w:val="00CE55C0"/>
    <w:rsid w:val="00CE5A34"/>
    <w:rsid w:val="00CE5D9E"/>
    <w:rsid w:val="00CE7463"/>
    <w:rsid w:val="00CE7763"/>
    <w:rsid w:val="00CE7A40"/>
    <w:rsid w:val="00CF02D6"/>
    <w:rsid w:val="00CF04F4"/>
    <w:rsid w:val="00CF0595"/>
    <w:rsid w:val="00CF0763"/>
    <w:rsid w:val="00CF14AA"/>
    <w:rsid w:val="00CF15FE"/>
    <w:rsid w:val="00CF2852"/>
    <w:rsid w:val="00CF297A"/>
    <w:rsid w:val="00CF29DE"/>
    <w:rsid w:val="00CF33AF"/>
    <w:rsid w:val="00CF5586"/>
    <w:rsid w:val="00CF6F59"/>
    <w:rsid w:val="00CF6FD2"/>
    <w:rsid w:val="00CF7C26"/>
    <w:rsid w:val="00D03F73"/>
    <w:rsid w:val="00D04C29"/>
    <w:rsid w:val="00D06711"/>
    <w:rsid w:val="00D0715C"/>
    <w:rsid w:val="00D07B6C"/>
    <w:rsid w:val="00D1295D"/>
    <w:rsid w:val="00D12C6C"/>
    <w:rsid w:val="00D140A1"/>
    <w:rsid w:val="00D1486C"/>
    <w:rsid w:val="00D14C08"/>
    <w:rsid w:val="00D15269"/>
    <w:rsid w:val="00D158AD"/>
    <w:rsid w:val="00D160C9"/>
    <w:rsid w:val="00D162E0"/>
    <w:rsid w:val="00D16505"/>
    <w:rsid w:val="00D170EA"/>
    <w:rsid w:val="00D208DF"/>
    <w:rsid w:val="00D20AC7"/>
    <w:rsid w:val="00D20E21"/>
    <w:rsid w:val="00D21963"/>
    <w:rsid w:val="00D21EAE"/>
    <w:rsid w:val="00D22A7E"/>
    <w:rsid w:val="00D23A06"/>
    <w:rsid w:val="00D240BF"/>
    <w:rsid w:val="00D26C94"/>
    <w:rsid w:val="00D26E44"/>
    <w:rsid w:val="00D2743C"/>
    <w:rsid w:val="00D27738"/>
    <w:rsid w:val="00D278AE"/>
    <w:rsid w:val="00D32F94"/>
    <w:rsid w:val="00D33E62"/>
    <w:rsid w:val="00D349B6"/>
    <w:rsid w:val="00D34D4A"/>
    <w:rsid w:val="00D358B9"/>
    <w:rsid w:val="00D364CB"/>
    <w:rsid w:val="00D3693A"/>
    <w:rsid w:val="00D36A81"/>
    <w:rsid w:val="00D4199D"/>
    <w:rsid w:val="00D4238F"/>
    <w:rsid w:val="00D42577"/>
    <w:rsid w:val="00D43892"/>
    <w:rsid w:val="00D44EB2"/>
    <w:rsid w:val="00D46741"/>
    <w:rsid w:val="00D50093"/>
    <w:rsid w:val="00D503E5"/>
    <w:rsid w:val="00D50EC1"/>
    <w:rsid w:val="00D513C3"/>
    <w:rsid w:val="00D5268E"/>
    <w:rsid w:val="00D5419F"/>
    <w:rsid w:val="00D54606"/>
    <w:rsid w:val="00D54A28"/>
    <w:rsid w:val="00D55E9C"/>
    <w:rsid w:val="00D567B7"/>
    <w:rsid w:val="00D56A31"/>
    <w:rsid w:val="00D57A79"/>
    <w:rsid w:val="00D57EC6"/>
    <w:rsid w:val="00D60B76"/>
    <w:rsid w:val="00D612FD"/>
    <w:rsid w:val="00D61A3D"/>
    <w:rsid w:val="00D622F9"/>
    <w:rsid w:val="00D63460"/>
    <w:rsid w:val="00D637F4"/>
    <w:rsid w:val="00D63993"/>
    <w:rsid w:val="00D63E0B"/>
    <w:rsid w:val="00D64107"/>
    <w:rsid w:val="00D65810"/>
    <w:rsid w:val="00D65EBC"/>
    <w:rsid w:val="00D664C5"/>
    <w:rsid w:val="00D6734C"/>
    <w:rsid w:val="00D67756"/>
    <w:rsid w:val="00D707F3"/>
    <w:rsid w:val="00D710E5"/>
    <w:rsid w:val="00D728E9"/>
    <w:rsid w:val="00D738A8"/>
    <w:rsid w:val="00D7566F"/>
    <w:rsid w:val="00D75EB4"/>
    <w:rsid w:val="00D7621C"/>
    <w:rsid w:val="00D778A9"/>
    <w:rsid w:val="00D81067"/>
    <w:rsid w:val="00D813C9"/>
    <w:rsid w:val="00D82B79"/>
    <w:rsid w:val="00D82C31"/>
    <w:rsid w:val="00D8316D"/>
    <w:rsid w:val="00D847FC"/>
    <w:rsid w:val="00D85ED7"/>
    <w:rsid w:val="00D86AF0"/>
    <w:rsid w:val="00D87ECC"/>
    <w:rsid w:val="00D91CEE"/>
    <w:rsid w:val="00D92550"/>
    <w:rsid w:val="00D92EB2"/>
    <w:rsid w:val="00D960CE"/>
    <w:rsid w:val="00D962ED"/>
    <w:rsid w:val="00D9734D"/>
    <w:rsid w:val="00D97FF6"/>
    <w:rsid w:val="00DA053A"/>
    <w:rsid w:val="00DA0D89"/>
    <w:rsid w:val="00DA2403"/>
    <w:rsid w:val="00DA4F2E"/>
    <w:rsid w:val="00DA676E"/>
    <w:rsid w:val="00DA77D2"/>
    <w:rsid w:val="00DA784D"/>
    <w:rsid w:val="00DA7DFC"/>
    <w:rsid w:val="00DB0E88"/>
    <w:rsid w:val="00DB29C3"/>
    <w:rsid w:val="00DB3306"/>
    <w:rsid w:val="00DB4414"/>
    <w:rsid w:val="00DB67EB"/>
    <w:rsid w:val="00DB6D3E"/>
    <w:rsid w:val="00DB7197"/>
    <w:rsid w:val="00DB7C5B"/>
    <w:rsid w:val="00DC0B05"/>
    <w:rsid w:val="00DC15B6"/>
    <w:rsid w:val="00DC19AA"/>
    <w:rsid w:val="00DC1C7C"/>
    <w:rsid w:val="00DC2401"/>
    <w:rsid w:val="00DC2AE2"/>
    <w:rsid w:val="00DC35CC"/>
    <w:rsid w:val="00DC3D1E"/>
    <w:rsid w:val="00DC4B8B"/>
    <w:rsid w:val="00DC66EC"/>
    <w:rsid w:val="00DC66F5"/>
    <w:rsid w:val="00DC7032"/>
    <w:rsid w:val="00DC7D50"/>
    <w:rsid w:val="00DD02EE"/>
    <w:rsid w:val="00DD060F"/>
    <w:rsid w:val="00DD0AF0"/>
    <w:rsid w:val="00DD0F6A"/>
    <w:rsid w:val="00DD349E"/>
    <w:rsid w:val="00DD4044"/>
    <w:rsid w:val="00DD716B"/>
    <w:rsid w:val="00DE12F9"/>
    <w:rsid w:val="00DE28C7"/>
    <w:rsid w:val="00DE2942"/>
    <w:rsid w:val="00DE2AD3"/>
    <w:rsid w:val="00DE301B"/>
    <w:rsid w:val="00DE317C"/>
    <w:rsid w:val="00DE4F6B"/>
    <w:rsid w:val="00DE54FC"/>
    <w:rsid w:val="00DE71D3"/>
    <w:rsid w:val="00DE72B8"/>
    <w:rsid w:val="00DE7717"/>
    <w:rsid w:val="00DE78AF"/>
    <w:rsid w:val="00DE78DC"/>
    <w:rsid w:val="00DE7DB5"/>
    <w:rsid w:val="00DF01DA"/>
    <w:rsid w:val="00DF0E33"/>
    <w:rsid w:val="00DF2165"/>
    <w:rsid w:val="00DF2CD6"/>
    <w:rsid w:val="00DF4401"/>
    <w:rsid w:val="00DF5F66"/>
    <w:rsid w:val="00DF692C"/>
    <w:rsid w:val="00DF6D79"/>
    <w:rsid w:val="00DF779D"/>
    <w:rsid w:val="00E013EB"/>
    <w:rsid w:val="00E01664"/>
    <w:rsid w:val="00E027E2"/>
    <w:rsid w:val="00E034E9"/>
    <w:rsid w:val="00E038F9"/>
    <w:rsid w:val="00E043AF"/>
    <w:rsid w:val="00E0642A"/>
    <w:rsid w:val="00E06F31"/>
    <w:rsid w:val="00E07DD4"/>
    <w:rsid w:val="00E07FC9"/>
    <w:rsid w:val="00E100F5"/>
    <w:rsid w:val="00E13A6A"/>
    <w:rsid w:val="00E13BA3"/>
    <w:rsid w:val="00E15BB7"/>
    <w:rsid w:val="00E15E02"/>
    <w:rsid w:val="00E16D09"/>
    <w:rsid w:val="00E17808"/>
    <w:rsid w:val="00E17847"/>
    <w:rsid w:val="00E17CAB"/>
    <w:rsid w:val="00E205BB"/>
    <w:rsid w:val="00E20DC7"/>
    <w:rsid w:val="00E23409"/>
    <w:rsid w:val="00E236D6"/>
    <w:rsid w:val="00E2574B"/>
    <w:rsid w:val="00E2668C"/>
    <w:rsid w:val="00E27EF8"/>
    <w:rsid w:val="00E30822"/>
    <w:rsid w:val="00E31033"/>
    <w:rsid w:val="00E32D63"/>
    <w:rsid w:val="00E3490A"/>
    <w:rsid w:val="00E35AEA"/>
    <w:rsid w:val="00E35BAA"/>
    <w:rsid w:val="00E3633A"/>
    <w:rsid w:val="00E3719B"/>
    <w:rsid w:val="00E373B6"/>
    <w:rsid w:val="00E404CA"/>
    <w:rsid w:val="00E42088"/>
    <w:rsid w:val="00E4292E"/>
    <w:rsid w:val="00E43805"/>
    <w:rsid w:val="00E444C1"/>
    <w:rsid w:val="00E45C24"/>
    <w:rsid w:val="00E46C2D"/>
    <w:rsid w:val="00E46DB3"/>
    <w:rsid w:val="00E50AC5"/>
    <w:rsid w:val="00E53B0E"/>
    <w:rsid w:val="00E546B7"/>
    <w:rsid w:val="00E54CDF"/>
    <w:rsid w:val="00E55E75"/>
    <w:rsid w:val="00E56B44"/>
    <w:rsid w:val="00E60021"/>
    <w:rsid w:val="00E600F4"/>
    <w:rsid w:val="00E61CA7"/>
    <w:rsid w:val="00E630FD"/>
    <w:rsid w:val="00E63394"/>
    <w:rsid w:val="00E63EE6"/>
    <w:rsid w:val="00E6480A"/>
    <w:rsid w:val="00E64CAF"/>
    <w:rsid w:val="00E654E1"/>
    <w:rsid w:val="00E6594D"/>
    <w:rsid w:val="00E65FB5"/>
    <w:rsid w:val="00E65FBA"/>
    <w:rsid w:val="00E663AE"/>
    <w:rsid w:val="00E6735E"/>
    <w:rsid w:val="00E70571"/>
    <w:rsid w:val="00E709A1"/>
    <w:rsid w:val="00E71CB9"/>
    <w:rsid w:val="00E73B22"/>
    <w:rsid w:val="00E74F14"/>
    <w:rsid w:val="00E74FE9"/>
    <w:rsid w:val="00E768B6"/>
    <w:rsid w:val="00E76C34"/>
    <w:rsid w:val="00E80045"/>
    <w:rsid w:val="00E80091"/>
    <w:rsid w:val="00E8110B"/>
    <w:rsid w:val="00E81826"/>
    <w:rsid w:val="00E82968"/>
    <w:rsid w:val="00E840E1"/>
    <w:rsid w:val="00E8461F"/>
    <w:rsid w:val="00E84913"/>
    <w:rsid w:val="00E85251"/>
    <w:rsid w:val="00E85839"/>
    <w:rsid w:val="00E8781D"/>
    <w:rsid w:val="00E87CA3"/>
    <w:rsid w:val="00E902B8"/>
    <w:rsid w:val="00E904B1"/>
    <w:rsid w:val="00E94673"/>
    <w:rsid w:val="00E94A72"/>
    <w:rsid w:val="00E94A78"/>
    <w:rsid w:val="00E94BE3"/>
    <w:rsid w:val="00E953D6"/>
    <w:rsid w:val="00E9563B"/>
    <w:rsid w:val="00E95C3B"/>
    <w:rsid w:val="00E96D8F"/>
    <w:rsid w:val="00E97FA4"/>
    <w:rsid w:val="00EA016C"/>
    <w:rsid w:val="00EA0572"/>
    <w:rsid w:val="00EA0830"/>
    <w:rsid w:val="00EA105D"/>
    <w:rsid w:val="00EA13AB"/>
    <w:rsid w:val="00EA186A"/>
    <w:rsid w:val="00EA27A8"/>
    <w:rsid w:val="00EA41B6"/>
    <w:rsid w:val="00EA53F4"/>
    <w:rsid w:val="00EA5D1E"/>
    <w:rsid w:val="00EA5F6D"/>
    <w:rsid w:val="00EA6644"/>
    <w:rsid w:val="00EB2447"/>
    <w:rsid w:val="00EB2628"/>
    <w:rsid w:val="00EB269B"/>
    <w:rsid w:val="00EB3413"/>
    <w:rsid w:val="00EB3F2B"/>
    <w:rsid w:val="00EB6135"/>
    <w:rsid w:val="00EB6639"/>
    <w:rsid w:val="00EC0910"/>
    <w:rsid w:val="00EC14BE"/>
    <w:rsid w:val="00EC18EB"/>
    <w:rsid w:val="00EC1DFF"/>
    <w:rsid w:val="00EC23EA"/>
    <w:rsid w:val="00EC2C98"/>
    <w:rsid w:val="00EC4164"/>
    <w:rsid w:val="00EC4701"/>
    <w:rsid w:val="00EC490F"/>
    <w:rsid w:val="00EC5B2F"/>
    <w:rsid w:val="00EC7047"/>
    <w:rsid w:val="00EC7CC3"/>
    <w:rsid w:val="00ED0515"/>
    <w:rsid w:val="00ED0527"/>
    <w:rsid w:val="00ED2345"/>
    <w:rsid w:val="00ED36F8"/>
    <w:rsid w:val="00ED3EF9"/>
    <w:rsid w:val="00ED4C35"/>
    <w:rsid w:val="00ED5089"/>
    <w:rsid w:val="00ED57D5"/>
    <w:rsid w:val="00ED5A6B"/>
    <w:rsid w:val="00ED6394"/>
    <w:rsid w:val="00ED657B"/>
    <w:rsid w:val="00ED6CFB"/>
    <w:rsid w:val="00EE2721"/>
    <w:rsid w:val="00EE2E1A"/>
    <w:rsid w:val="00EE3F43"/>
    <w:rsid w:val="00EE4141"/>
    <w:rsid w:val="00EE4235"/>
    <w:rsid w:val="00EE459F"/>
    <w:rsid w:val="00EE514A"/>
    <w:rsid w:val="00EE54FA"/>
    <w:rsid w:val="00EE6426"/>
    <w:rsid w:val="00EE6BDA"/>
    <w:rsid w:val="00EE6BDC"/>
    <w:rsid w:val="00EE7D71"/>
    <w:rsid w:val="00EF1171"/>
    <w:rsid w:val="00EF1291"/>
    <w:rsid w:val="00EF22EA"/>
    <w:rsid w:val="00EF2833"/>
    <w:rsid w:val="00EF4CF7"/>
    <w:rsid w:val="00EF6451"/>
    <w:rsid w:val="00EF69D4"/>
    <w:rsid w:val="00F0083E"/>
    <w:rsid w:val="00F028D3"/>
    <w:rsid w:val="00F02A16"/>
    <w:rsid w:val="00F03C80"/>
    <w:rsid w:val="00F04064"/>
    <w:rsid w:val="00F04A8B"/>
    <w:rsid w:val="00F05803"/>
    <w:rsid w:val="00F10815"/>
    <w:rsid w:val="00F1092F"/>
    <w:rsid w:val="00F11057"/>
    <w:rsid w:val="00F11182"/>
    <w:rsid w:val="00F11ECC"/>
    <w:rsid w:val="00F13774"/>
    <w:rsid w:val="00F14409"/>
    <w:rsid w:val="00F20761"/>
    <w:rsid w:val="00F207E4"/>
    <w:rsid w:val="00F21905"/>
    <w:rsid w:val="00F238E3"/>
    <w:rsid w:val="00F26987"/>
    <w:rsid w:val="00F3317F"/>
    <w:rsid w:val="00F336EB"/>
    <w:rsid w:val="00F33CDB"/>
    <w:rsid w:val="00F34284"/>
    <w:rsid w:val="00F352DF"/>
    <w:rsid w:val="00F35EF8"/>
    <w:rsid w:val="00F35F6A"/>
    <w:rsid w:val="00F37308"/>
    <w:rsid w:val="00F4020A"/>
    <w:rsid w:val="00F41BB8"/>
    <w:rsid w:val="00F42D2E"/>
    <w:rsid w:val="00F42E3F"/>
    <w:rsid w:val="00F44769"/>
    <w:rsid w:val="00F454CD"/>
    <w:rsid w:val="00F47562"/>
    <w:rsid w:val="00F47A1E"/>
    <w:rsid w:val="00F47FFE"/>
    <w:rsid w:val="00F50915"/>
    <w:rsid w:val="00F516F1"/>
    <w:rsid w:val="00F51F1F"/>
    <w:rsid w:val="00F5271F"/>
    <w:rsid w:val="00F533AB"/>
    <w:rsid w:val="00F535A9"/>
    <w:rsid w:val="00F562D6"/>
    <w:rsid w:val="00F57AFD"/>
    <w:rsid w:val="00F6043A"/>
    <w:rsid w:val="00F606B7"/>
    <w:rsid w:val="00F6080B"/>
    <w:rsid w:val="00F60E3D"/>
    <w:rsid w:val="00F60F9F"/>
    <w:rsid w:val="00F6378F"/>
    <w:rsid w:val="00F64436"/>
    <w:rsid w:val="00F64F42"/>
    <w:rsid w:val="00F65B74"/>
    <w:rsid w:val="00F6626A"/>
    <w:rsid w:val="00F66A62"/>
    <w:rsid w:val="00F66B8A"/>
    <w:rsid w:val="00F66C1E"/>
    <w:rsid w:val="00F6753B"/>
    <w:rsid w:val="00F705D1"/>
    <w:rsid w:val="00F71272"/>
    <w:rsid w:val="00F7247A"/>
    <w:rsid w:val="00F72B32"/>
    <w:rsid w:val="00F732E1"/>
    <w:rsid w:val="00F74945"/>
    <w:rsid w:val="00F74F1D"/>
    <w:rsid w:val="00F7538D"/>
    <w:rsid w:val="00F7633B"/>
    <w:rsid w:val="00F76D20"/>
    <w:rsid w:val="00F77FF9"/>
    <w:rsid w:val="00F80113"/>
    <w:rsid w:val="00F80B4B"/>
    <w:rsid w:val="00F82337"/>
    <w:rsid w:val="00F82350"/>
    <w:rsid w:val="00F82CB3"/>
    <w:rsid w:val="00F84A68"/>
    <w:rsid w:val="00F9280D"/>
    <w:rsid w:val="00F92D96"/>
    <w:rsid w:val="00F9300B"/>
    <w:rsid w:val="00F936A1"/>
    <w:rsid w:val="00F95269"/>
    <w:rsid w:val="00F95275"/>
    <w:rsid w:val="00F9644B"/>
    <w:rsid w:val="00F96586"/>
    <w:rsid w:val="00F966CE"/>
    <w:rsid w:val="00F97211"/>
    <w:rsid w:val="00F974DC"/>
    <w:rsid w:val="00FA0F1C"/>
    <w:rsid w:val="00FA143E"/>
    <w:rsid w:val="00FA1BF7"/>
    <w:rsid w:val="00FA4AA5"/>
    <w:rsid w:val="00FA4E07"/>
    <w:rsid w:val="00FA4F39"/>
    <w:rsid w:val="00FA5042"/>
    <w:rsid w:val="00FA566E"/>
    <w:rsid w:val="00FA5E9A"/>
    <w:rsid w:val="00FA6BC7"/>
    <w:rsid w:val="00FA7049"/>
    <w:rsid w:val="00FB02C7"/>
    <w:rsid w:val="00FB19A8"/>
    <w:rsid w:val="00FB218C"/>
    <w:rsid w:val="00FB2B96"/>
    <w:rsid w:val="00FB37D8"/>
    <w:rsid w:val="00FB407A"/>
    <w:rsid w:val="00FB4758"/>
    <w:rsid w:val="00FB5395"/>
    <w:rsid w:val="00FB5A05"/>
    <w:rsid w:val="00FB5E6F"/>
    <w:rsid w:val="00FB68C7"/>
    <w:rsid w:val="00FB6E58"/>
    <w:rsid w:val="00FB7333"/>
    <w:rsid w:val="00FB7F5F"/>
    <w:rsid w:val="00FC14C7"/>
    <w:rsid w:val="00FC28C6"/>
    <w:rsid w:val="00FC2AC6"/>
    <w:rsid w:val="00FC3183"/>
    <w:rsid w:val="00FC37CF"/>
    <w:rsid w:val="00FC4C01"/>
    <w:rsid w:val="00FC5AF7"/>
    <w:rsid w:val="00FD0C1A"/>
    <w:rsid w:val="00FD2103"/>
    <w:rsid w:val="00FD255F"/>
    <w:rsid w:val="00FD2A15"/>
    <w:rsid w:val="00FD2CF0"/>
    <w:rsid w:val="00FD2FDC"/>
    <w:rsid w:val="00FD407D"/>
    <w:rsid w:val="00FD40ED"/>
    <w:rsid w:val="00FD69F4"/>
    <w:rsid w:val="00FD6B76"/>
    <w:rsid w:val="00FD7377"/>
    <w:rsid w:val="00FD7493"/>
    <w:rsid w:val="00FD7A7B"/>
    <w:rsid w:val="00FE0013"/>
    <w:rsid w:val="00FE2BCB"/>
    <w:rsid w:val="00FE5FD8"/>
    <w:rsid w:val="00FE6F5D"/>
    <w:rsid w:val="00FE6F62"/>
    <w:rsid w:val="00FF0967"/>
    <w:rsid w:val="00FF134E"/>
    <w:rsid w:val="00FF14E5"/>
    <w:rsid w:val="00FF18A3"/>
    <w:rsid w:val="00FF2A3D"/>
    <w:rsid w:val="00FF3109"/>
    <w:rsid w:val="00FF3A6E"/>
    <w:rsid w:val="00FF3D83"/>
    <w:rsid w:val="00FF4330"/>
    <w:rsid w:val="00FF4B6B"/>
    <w:rsid w:val="00FF4C76"/>
    <w:rsid w:val="00FF4E2C"/>
    <w:rsid w:val="00FF5186"/>
    <w:rsid w:val="00FF52E0"/>
    <w:rsid w:val="00FF5715"/>
    <w:rsid w:val="00FF6584"/>
    <w:rsid w:val="00FF6B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2E66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List Bullet" w:uiPriority="0" w:qFormat="1"/>
    <w:lsdException w:name="Title" w:semiHidden="0" w:uiPriority="0" w:unhideWhenUsed="0" w:qFormat="1"/>
    <w:lsdException w:name="Closing" w:uiPriority="0"/>
    <w:lsdException w:name="Default Paragraph Font" w:uiPriority="1"/>
    <w:lsdException w:name="Subtitle" w:semiHidden="0" w:uiPriority="11" w:unhideWhenUsed="0" w:qFormat="1"/>
    <w:lsdException w:name="Strong" w:locked="1" w:semiHidden="0" w:uiPriority="0" w:unhideWhenUsed="0" w:qFormat="1"/>
    <w:lsdException w:name="Emphasis" w:locked="1"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B84"/>
    <w:pPr>
      <w:jc w:val="both"/>
    </w:pPr>
    <w:rPr>
      <w:rFonts w:ascii="Arial Narrow" w:hAnsi="Arial Narrow"/>
      <w:color w:val="000000"/>
      <w:lang w:val="en-AU"/>
    </w:rPr>
  </w:style>
  <w:style w:type="paragraph" w:styleId="Heading1">
    <w:name w:val="heading 1"/>
    <w:basedOn w:val="Normal"/>
    <w:link w:val="Heading1Char"/>
    <w:uiPriority w:val="9"/>
    <w:qFormat/>
    <w:rsid w:val="0059667B"/>
    <w:pPr>
      <w:numPr>
        <w:numId w:val="2"/>
      </w:numPr>
      <w:outlineLvl w:val="0"/>
    </w:pPr>
    <w:rPr>
      <w:rFonts w:cs="Arial"/>
      <w:b/>
      <w:noProof/>
      <w:color w:val="0070C0"/>
      <w:sz w:val="28"/>
      <w:szCs w:val="20"/>
    </w:rPr>
  </w:style>
  <w:style w:type="paragraph" w:styleId="Heading2">
    <w:name w:val="heading 2"/>
    <w:aliases w:val="h2,Reset numbering,Heading 2STC,Para2,h21,h22,h2 main heading"/>
    <w:basedOn w:val="Heading1"/>
    <w:next w:val="Normal"/>
    <w:link w:val="Heading2Char"/>
    <w:uiPriority w:val="99"/>
    <w:qFormat/>
    <w:rsid w:val="00F516F1"/>
    <w:pPr>
      <w:numPr>
        <w:numId w:val="0"/>
      </w:numPr>
      <w:outlineLvl w:val="1"/>
    </w:pPr>
    <w:rPr>
      <w:color w:val="auto"/>
      <w:sz w:val="24"/>
      <w:szCs w:val="24"/>
    </w:rPr>
  </w:style>
  <w:style w:type="paragraph" w:styleId="Heading3">
    <w:name w:val="heading 3"/>
    <w:basedOn w:val="Body"/>
    <w:next w:val="Normal"/>
    <w:link w:val="Heading3Char"/>
    <w:unhideWhenUsed/>
    <w:qFormat/>
    <w:rsid w:val="0059667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outlineLvl w:val="2"/>
    </w:pPr>
    <w:rPr>
      <w:rFonts w:eastAsiaTheme="majorEastAsia" w:cstheme="majorBidi"/>
      <w:b/>
      <w:color w:val="000000" w:themeColor="text1"/>
      <w:sz w:val="22"/>
    </w:rPr>
  </w:style>
  <w:style w:type="paragraph" w:styleId="Heading4">
    <w:name w:val="heading 4"/>
    <w:basedOn w:val="Normal"/>
    <w:next w:val="Normal"/>
    <w:link w:val="Heading4Char"/>
    <w:unhideWhenUsed/>
    <w:qFormat/>
    <w:locked/>
    <w:rsid w:val="007156C7"/>
    <w:pPr>
      <w:keepNext/>
      <w:keepLines/>
      <w:spacing w:before="200"/>
      <w:outlineLvl w:val="3"/>
    </w:pPr>
    <w:rPr>
      <w:rFonts w:eastAsiaTheme="majorEastAsia" w:cstheme="majorBidi"/>
      <w:b/>
      <w:bCs/>
      <w:iCs/>
      <w:color w:val="4F81BD" w:themeColor="accent1"/>
    </w:rPr>
  </w:style>
  <w:style w:type="paragraph" w:styleId="Heading6">
    <w:name w:val="heading 6"/>
    <w:basedOn w:val="Normal"/>
    <w:next w:val="Normal"/>
    <w:link w:val="Heading6Char"/>
    <w:semiHidden/>
    <w:unhideWhenUsed/>
    <w:qFormat/>
    <w:locked/>
    <w:rsid w:val="00EF69D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20FB"/>
    <w:rPr>
      <w:rFonts w:ascii="Tahoma" w:hAnsi="Tahoma" w:cs="Tahoma"/>
      <w:sz w:val="16"/>
      <w:szCs w:val="16"/>
    </w:rPr>
  </w:style>
  <w:style w:type="character" w:customStyle="1" w:styleId="BalloonTextChar">
    <w:name w:val="Balloon Text Char"/>
    <w:basedOn w:val="DefaultParagraphFont"/>
    <w:link w:val="BalloonText"/>
    <w:uiPriority w:val="99"/>
    <w:semiHidden/>
    <w:rsid w:val="00CD20FB"/>
    <w:rPr>
      <w:rFonts w:ascii="Tahoma" w:hAnsi="Tahoma" w:cs="Tahoma"/>
      <w:sz w:val="16"/>
      <w:szCs w:val="16"/>
    </w:rPr>
  </w:style>
  <w:style w:type="paragraph" w:styleId="Header">
    <w:name w:val="header"/>
    <w:basedOn w:val="Normal"/>
    <w:link w:val="HeaderChar"/>
    <w:uiPriority w:val="99"/>
    <w:unhideWhenUsed/>
    <w:rsid w:val="00CD20FB"/>
    <w:pPr>
      <w:tabs>
        <w:tab w:val="center" w:pos="4513"/>
        <w:tab w:val="right" w:pos="9026"/>
      </w:tabs>
    </w:pPr>
  </w:style>
  <w:style w:type="character" w:customStyle="1" w:styleId="HeaderChar">
    <w:name w:val="Header Char"/>
    <w:basedOn w:val="DefaultParagraphFont"/>
    <w:link w:val="Header"/>
    <w:uiPriority w:val="99"/>
    <w:rsid w:val="00CD20FB"/>
  </w:style>
  <w:style w:type="paragraph" w:styleId="Footer">
    <w:name w:val="footer"/>
    <w:basedOn w:val="Normal"/>
    <w:link w:val="FooterChar"/>
    <w:uiPriority w:val="99"/>
    <w:unhideWhenUsed/>
    <w:rsid w:val="00CD20FB"/>
    <w:pPr>
      <w:tabs>
        <w:tab w:val="center" w:pos="4513"/>
        <w:tab w:val="right" w:pos="9026"/>
      </w:tabs>
    </w:pPr>
  </w:style>
  <w:style w:type="character" w:customStyle="1" w:styleId="FooterChar">
    <w:name w:val="Footer Char"/>
    <w:basedOn w:val="DefaultParagraphFont"/>
    <w:link w:val="Footer"/>
    <w:uiPriority w:val="99"/>
    <w:rsid w:val="00CD20FB"/>
  </w:style>
  <w:style w:type="paragraph" w:customStyle="1" w:styleId="HeaderFooter">
    <w:name w:val="Header &amp; Footer"/>
    <w:rsid w:val="00CD20FB"/>
    <w:pPr>
      <w:tabs>
        <w:tab w:val="right" w:pos="9632"/>
      </w:tabs>
    </w:pPr>
    <w:rPr>
      <w:rFonts w:ascii="Helvetica" w:eastAsia="ヒラギノ角ゴ Pro W3" w:hAnsi="Helvetica"/>
      <w:color w:val="000000"/>
      <w:sz w:val="20"/>
      <w:szCs w:val="20"/>
    </w:rPr>
  </w:style>
  <w:style w:type="character" w:styleId="Hyperlink">
    <w:name w:val="Hyperlink"/>
    <w:basedOn w:val="DefaultParagraphFont"/>
    <w:uiPriority w:val="99"/>
    <w:rsid w:val="00CD20FB"/>
    <w:rPr>
      <w:color w:val="0000FF" w:themeColor="hyperlink"/>
      <w:u w:val="single"/>
    </w:rPr>
  </w:style>
  <w:style w:type="paragraph" w:customStyle="1" w:styleId="DecimalAligned">
    <w:name w:val="Decimal Aligned"/>
    <w:basedOn w:val="Normal"/>
    <w:uiPriority w:val="40"/>
    <w:rsid w:val="00B57294"/>
    <w:pPr>
      <w:tabs>
        <w:tab w:val="decimal" w:pos="360"/>
      </w:tabs>
    </w:pPr>
    <w:rPr>
      <w:rFonts w:eastAsiaTheme="minorEastAsia"/>
      <w:lang w:val="en-US"/>
    </w:rPr>
  </w:style>
  <w:style w:type="character" w:styleId="SubtleEmphasis">
    <w:name w:val="Subtle Emphasis"/>
    <w:basedOn w:val="DefaultParagraphFont"/>
    <w:uiPriority w:val="19"/>
    <w:qFormat/>
    <w:rsid w:val="00B57294"/>
    <w:rPr>
      <w:i/>
      <w:iCs/>
      <w:color w:val="808080" w:themeColor="text1" w:themeTint="7F"/>
    </w:rPr>
  </w:style>
  <w:style w:type="table" w:customStyle="1" w:styleId="LightShading-Accent11">
    <w:name w:val="Light Shading - Accent 11"/>
    <w:basedOn w:val="TableNormal"/>
    <w:uiPriority w:val="60"/>
    <w:rsid w:val="00B57294"/>
    <w:rPr>
      <w:rFonts w:eastAsiaTheme="minorEastAsia"/>
      <w:color w:val="365F91" w:themeColor="accent1" w:themeShade="BF"/>
      <w:lang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59667B"/>
    <w:rPr>
      <w:rFonts w:ascii="Arial Narrow" w:hAnsi="Arial Narrow" w:cs="Arial"/>
      <w:b/>
      <w:noProof/>
      <w:color w:val="0070C0"/>
      <w:sz w:val="28"/>
      <w:szCs w:val="20"/>
      <w:lang w:val="en-AU"/>
    </w:rPr>
  </w:style>
  <w:style w:type="character" w:customStyle="1" w:styleId="Heading1Char1">
    <w:name w:val="Heading 1 Char1"/>
    <w:basedOn w:val="DefaultParagraphFont"/>
    <w:uiPriority w:val="9"/>
    <w:locked/>
    <w:rsid w:val="0059667B"/>
    <w:rPr>
      <w:rFonts w:ascii="Arial" w:eastAsia="Times New Roman" w:hAnsi="Arial" w:cs="Arial"/>
      <w:b/>
      <w:color w:val="0060AF"/>
      <w:sz w:val="28"/>
      <w:szCs w:val="28"/>
      <w:lang w:eastAsia="en-AU"/>
    </w:rPr>
  </w:style>
  <w:style w:type="paragraph" w:customStyle="1" w:styleId="PFNormal">
    <w:name w:val="PF Normal"/>
    <w:basedOn w:val="Normal"/>
    <w:next w:val="Normal"/>
    <w:rsid w:val="00CF7C26"/>
    <w:pPr>
      <w:tabs>
        <w:tab w:val="left" w:pos="924"/>
        <w:tab w:val="left" w:pos="1848"/>
        <w:tab w:val="left" w:pos="2773"/>
        <w:tab w:val="left" w:pos="3697"/>
        <w:tab w:val="left" w:pos="4621"/>
        <w:tab w:val="left" w:pos="5545"/>
        <w:tab w:val="left" w:pos="6469"/>
        <w:tab w:val="left" w:pos="7394"/>
        <w:tab w:val="left" w:pos="8318"/>
        <w:tab w:val="right" w:pos="8930"/>
      </w:tabs>
      <w:spacing w:before="400" w:after="120" w:line="276" w:lineRule="auto"/>
    </w:pPr>
    <w:rPr>
      <w:rFonts w:ascii="Arial" w:hAnsi="Arial"/>
      <w:sz w:val="21"/>
      <w:szCs w:val="20"/>
    </w:rPr>
  </w:style>
  <w:style w:type="paragraph" w:customStyle="1" w:styleId="MELegal2">
    <w:name w:val="ME Legal 2"/>
    <w:basedOn w:val="Normal"/>
    <w:next w:val="Normal"/>
    <w:link w:val="MELegal2Char"/>
    <w:autoRedefine/>
    <w:rsid w:val="00CF7C26"/>
    <w:pPr>
      <w:spacing w:before="120" w:after="240" w:line="300" w:lineRule="atLeast"/>
      <w:ind w:left="924"/>
      <w:outlineLvl w:val="1"/>
    </w:pPr>
    <w:rPr>
      <w:rFonts w:ascii="Arial" w:hAnsi="Arial" w:cs="Arial"/>
      <w:szCs w:val="20"/>
      <w:lang w:eastAsia="zh-CN"/>
    </w:rPr>
  </w:style>
  <w:style w:type="character" w:customStyle="1" w:styleId="MELegal2Char">
    <w:name w:val="ME Legal 2 Char"/>
    <w:basedOn w:val="DefaultParagraphFont"/>
    <w:link w:val="MELegal2"/>
    <w:locked/>
    <w:rsid w:val="00CF7C26"/>
    <w:rPr>
      <w:rFonts w:ascii="Arial" w:eastAsia="Times New Roman" w:hAnsi="Arial" w:cs="Arial"/>
      <w:sz w:val="24"/>
      <w:szCs w:val="20"/>
      <w:lang w:eastAsia="zh-CN"/>
    </w:rPr>
  </w:style>
  <w:style w:type="paragraph" w:customStyle="1" w:styleId="PFNumLevel2">
    <w:name w:val="PF (Num) Level 2"/>
    <w:basedOn w:val="Normal"/>
    <w:link w:val="PFNumLevel2Char"/>
    <w:rsid w:val="002C444D"/>
    <w:pPr>
      <w:tabs>
        <w:tab w:val="num" w:pos="924"/>
        <w:tab w:val="left" w:pos="2773"/>
        <w:tab w:val="left" w:pos="3697"/>
        <w:tab w:val="left" w:pos="4621"/>
        <w:tab w:val="left" w:pos="5545"/>
        <w:tab w:val="left" w:pos="6469"/>
        <w:tab w:val="left" w:pos="7394"/>
        <w:tab w:val="left" w:pos="8318"/>
        <w:tab w:val="right" w:pos="8930"/>
      </w:tabs>
      <w:spacing w:before="120" w:after="120" w:line="276" w:lineRule="auto"/>
      <w:ind w:left="924" w:hanging="924"/>
    </w:pPr>
    <w:rPr>
      <w:rFonts w:ascii="Arial" w:hAnsi="Arial"/>
      <w:szCs w:val="20"/>
    </w:rPr>
  </w:style>
  <w:style w:type="character" w:customStyle="1" w:styleId="PFNumLevel2Char">
    <w:name w:val="PF (Num) Level 2 Char"/>
    <w:basedOn w:val="DefaultParagraphFont"/>
    <w:link w:val="PFNumLevel2"/>
    <w:locked/>
    <w:rsid w:val="002C444D"/>
    <w:rPr>
      <w:rFonts w:ascii="Arial" w:eastAsia="Times New Roman" w:hAnsi="Arial" w:cs="Times New Roman"/>
      <w:color w:val="000000"/>
      <w:szCs w:val="20"/>
    </w:rPr>
  </w:style>
  <w:style w:type="paragraph" w:styleId="Closing">
    <w:name w:val="Closing"/>
    <w:basedOn w:val="Normal"/>
    <w:link w:val="ClosingChar"/>
    <w:rsid w:val="002C444D"/>
    <w:pPr>
      <w:tabs>
        <w:tab w:val="left" w:pos="924"/>
        <w:tab w:val="left" w:pos="1848"/>
        <w:tab w:val="left" w:pos="2773"/>
        <w:tab w:val="left" w:pos="3697"/>
        <w:tab w:val="left" w:pos="4621"/>
        <w:tab w:val="left" w:pos="5545"/>
        <w:tab w:val="left" w:pos="6469"/>
        <w:tab w:val="left" w:pos="7394"/>
        <w:tab w:val="left" w:pos="8318"/>
        <w:tab w:val="right" w:pos="8930"/>
      </w:tabs>
      <w:spacing w:before="120" w:after="120" w:line="276" w:lineRule="auto"/>
    </w:pPr>
    <w:rPr>
      <w:rFonts w:ascii="Arial" w:hAnsi="Arial"/>
      <w:sz w:val="21"/>
      <w:szCs w:val="20"/>
    </w:rPr>
  </w:style>
  <w:style w:type="character" w:customStyle="1" w:styleId="ClosingChar">
    <w:name w:val="Closing Char"/>
    <w:basedOn w:val="DefaultParagraphFont"/>
    <w:link w:val="Closing"/>
    <w:rsid w:val="002C444D"/>
    <w:rPr>
      <w:rFonts w:ascii="Arial" w:eastAsia="Times New Roman" w:hAnsi="Arial" w:cs="Times New Roman"/>
      <w:color w:val="000000"/>
      <w:sz w:val="21"/>
      <w:szCs w:val="20"/>
    </w:rPr>
  </w:style>
  <w:style w:type="paragraph" w:customStyle="1" w:styleId="Level1">
    <w:name w:val="Level 1."/>
    <w:basedOn w:val="Normal"/>
    <w:next w:val="Normal"/>
    <w:rsid w:val="002C444D"/>
    <w:pPr>
      <w:numPr>
        <w:numId w:val="1"/>
      </w:numPr>
      <w:tabs>
        <w:tab w:val="left" w:pos="924"/>
        <w:tab w:val="left" w:pos="1848"/>
        <w:tab w:val="left" w:pos="2773"/>
        <w:tab w:val="left" w:pos="3697"/>
        <w:tab w:val="left" w:pos="4621"/>
        <w:tab w:val="left" w:pos="5545"/>
        <w:tab w:val="left" w:pos="6469"/>
        <w:tab w:val="left" w:pos="7394"/>
        <w:tab w:val="left" w:pos="8318"/>
        <w:tab w:val="right" w:pos="8930"/>
      </w:tabs>
      <w:spacing w:before="120" w:after="120" w:line="276" w:lineRule="auto"/>
      <w:outlineLvl w:val="1"/>
    </w:pPr>
    <w:rPr>
      <w:rFonts w:ascii="Arial" w:hAnsi="Arial"/>
      <w:sz w:val="21"/>
      <w:szCs w:val="20"/>
    </w:rPr>
  </w:style>
  <w:style w:type="paragraph" w:customStyle="1" w:styleId="Level11">
    <w:name w:val="Level 1.1"/>
    <w:basedOn w:val="Normal"/>
    <w:next w:val="Normal"/>
    <w:rsid w:val="002C444D"/>
    <w:pPr>
      <w:numPr>
        <w:ilvl w:val="1"/>
        <w:numId w:val="1"/>
      </w:numPr>
      <w:tabs>
        <w:tab w:val="left" w:pos="924"/>
        <w:tab w:val="left" w:pos="1848"/>
        <w:tab w:val="left" w:pos="2773"/>
        <w:tab w:val="left" w:pos="3697"/>
        <w:tab w:val="left" w:pos="4621"/>
        <w:tab w:val="left" w:pos="5545"/>
        <w:tab w:val="left" w:pos="6469"/>
        <w:tab w:val="left" w:pos="7394"/>
        <w:tab w:val="left" w:pos="8318"/>
        <w:tab w:val="right" w:pos="8930"/>
      </w:tabs>
      <w:spacing w:before="120" w:after="120" w:line="276" w:lineRule="auto"/>
      <w:outlineLvl w:val="2"/>
    </w:pPr>
    <w:rPr>
      <w:rFonts w:ascii="Arial" w:hAnsi="Arial"/>
      <w:sz w:val="21"/>
      <w:szCs w:val="20"/>
    </w:rPr>
  </w:style>
  <w:style w:type="paragraph" w:customStyle="1" w:styleId="Levela">
    <w:name w:val="Level (a)"/>
    <w:basedOn w:val="Normal"/>
    <w:next w:val="Normal"/>
    <w:rsid w:val="002C444D"/>
    <w:pPr>
      <w:numPr>
        <w:ilvl w:val="2"/>
        <w:numId w:val="1"/>
      </w:numPr>
      <w:tabs>
        <w:tab w:val="left" w:pos="924"/>
        <w:tab w:val="left" w:pos="1848"/>
        <w:tab w:val="left" w:pos="2773"/>
        <w:tab w:val="left" w:pos="3697"/>
        <w:tab w:val="left" w:pos="4621"/>
        <w:tab w:val="left" w:pos="5545"/>
        <w:tab w:val="left" w:pos="6469"/>
        <w:tab w:val="left" w:pos="7394"/>
        <w:tab w:val="left" w:pos="8318"/>
        <w:tab w:val="right" w:pos="8930"/>
      </w:tabs>
      <w:spacing w:before="120" w:after="120" w:line="276" w:lineRule="auto"/>
      <w:outlineLvl w:val="3"/>
    </w:pPr>
    <w:rPr>
      <w:rFonts w:ascii="Arial" w:hAnsi="Arial"/>
      <w:sz w:val="21"/>
      <w:szCs w:val="20"/>
    </w:rPr>
  </w:style>
  <w:style w:type="paragraph" w:customStyle="1" w:styleId="LevelA0">
    <w:name w:val="Level(A)"/>
    <w:basedOn w:val="Normal"/>
    <w:next w:val="Normal"/>
    <w:rsid w:val="002C444D"/>
    <w:pPr>
      <w:numPr>
        <w:ilvl w:val="4"/>
        <w:numId w:val="1"/>
      </w:numPr>
      <w:tabs>
        <w:tab w:val="left" w:pos="924"/>
        <w:tab w:val="left" w:pos="1848"/>
        <w:tab w:val="left" w:pos="2773"/>
        <w:tab w:val="left" w:pos="3697"/>
        <w:tab w:val="left" w:pos="4621"/>
        <w:tab w:val="left" w:pos="5545"/>
        <w:tab w:val="left" w:pos="6469"/>
        <w:tab w:val="left" w:pos="7394"/>
        <w:tab w:val="left" w:pos="8318"/>
        <w:tab w:val="right" w:pos="8930"/>
      </w:tabs>
      <w:spacing w:before="120" w:after="120" w:line="276" w:lineRule="auto"/>
      <w:outlineLvl w:val="5"/>
    </w:pPr>
    <w:rPr>
      <w:rFonts w:ascii="Arial" w:hAnsi="Arial"/>
      <w:sz w:val="21"/>
      <w:szCs w:val="20"/>
    </w:rPr>
  </w:style>
  <w:style w:type="paragraph" w:customStyle="1" w:styleId="LevelI">
    <w:name w:val="Level(I)"/>
    <w:basedOn w:val="Normal"/>
    <w:next w:val="Normal"/>
    <w:rsid w:val="002C444D"/>
    <w:pPr>
      <w:numPr>
        <w:ilvl w:val="5"/>
        <w:numId w:val="1"/>
      </w:numPr>
      <w:tabs>
        <w:tab w:val="left" w:pos="924"/>
        <w:tab w:val="left" w:pos="1848"/>
        <w:tab w:val="left" w:pos="2773"/>
        <w:tab w:val="left" w:pos="3697"/>
        <w:tab w:val="left" w:pos="4621"/>
        <w:tab w:val="left" w:pos="5545"/>
        <w:tab w:val="left" w:pos="6469"/>
        <w:tab w:val="left" w:pos="7394"/>
        <w:tab w:val="left" w:pos="8318"/>
        <w:tab w:val="right" w:pos="8930"/>
      </w:tabs>
      <w:spacing w:before="120" w:after="120" w:line="276" w:lineRule="auto"/>
      <w:outlineLvl w:val="6"/>
    </w:pPr>
    <w:rPr>
      <w:rFonts w:ascii="Arial" w:hAnsi="Arial"/>
      <w:sz w:val="21"/>
      <w:szCs w:val="20"/>
    </w:rPr>
  </w:style>
  <w:style w:type="paragraph" w:styleId="TOC1">
    <w:name w:val="toc 1"/>
    <w:basedOn w:val="Normal"/>
    <w:next w:val="Normal"/>
    <w:autoRedefine/>
    <w:uiPriority w:val="39"/>
    <w:qFormat/>
    <w:rsid w:val="002110A7"/>
    <w:pPr>
      <w:tabs>
        <w:tab w:val="left" w:pos="480"/>
        <w:tab w:val="right" w:leader="dot" w:pos="9062"/>
      </w:tabs>
      <w:spacing w:before="120" w:after="120"/>
    </w:pPr>
    <w:rPr>
      <w:rFonts w:cstheme="minorHAnsi"/>
      <w:b/>
      <w:bCs/>
      <w:caps/>
      <w:noProof/>
      <w:color w:val="0070C0"/>
      <w:sz w:val="20"/>
      <w:szCs w:val="20"/>
    </w:rPr>
  </w:style>
  <w:style w:type="paragraph" w:styleId="TOC2">
    <w:name w:val="toc 2"/>
    <w:basedOn w:val="Normal"/>
    <w:next w:val="Normal"/>
    <w:autoRedefine/>
    <w:uiPriority w:val="39"/>
    <w:unhideWhenUsed/>
    <w:qFormat/>
    <w:rsid w:val="007A1D3F"/>
    <w:pPr>
      <w:ind w:left="240"/>
    </w:pPr>
    <w:rPr>
      <w:rFonts w:asciiTheme="minorHAnsi" w:hAnsiTheme="minorHAnsi" w:cstheme="minorHAnsi"/>
      <w:smallCaps/>
      <w:sz w:val="20"/>
      <w:szCs w:val="20"/>
    </w:rPr>
  </w:style>
  <w:style w:type="paragraph" w:customStyle="1" w:styleId="sTableheading">
    <w:name w:val="sTable heading"/>
    <w:basedOn w:val="Normal"/>
    <w:rsid w:val="00F454CD"/>
    <w:pPr>
      <w:widowControl w:val="0"/>
      <w:tabs>
        <w:tab w:val="left" w:pos="924"/>
        <w:tab w:val="left" w:pos="1848"/>
        <w:tab w:val="left" w:pos="2773"/>
        <w:tab w:val="left" w:pos="3697"/>
        <w:tab w:val="left" w:pos="4621"/>
        <w:tab w:val="left" w:pos="5545"/>
        <w:tab w:val="left" w:pos="6469"/>
        <w:tab w:val="left" w:pos="7394"/>
        <w:tab w:val="left" w:pos="8318"/>
        <w:tab w:val="right" w:pos="8930"/>
      </w:tabs>
      <w:spacing w:before="60" w:after="60" w:line="276" w:lineRule="auto"/>
      <w:jc w:val="center"/>
    </w:pPr>
    <w:rPr>
      <w:rFonts w:ascii="Arial" w:hAnsi="Arial"/>
      <w:b/>
      <w:sz w:val="16"/>
      <w:szCs w:val="20"/>
    </w:rPr>
  </w:style>
  <w:style w:type="paragraph" w:styleId="BodyText">
    <w:name w:val="Body Text"/>
    <w:basedOn w:val="Normal"/>
    <w:link w:val="BodyTextChar"/>
    <w:uiPriority w:val="99"/>
    <w:rsid w:val="00F454CD"/>
    <w:rPr>
      <w:rFonts w:cs="Arial Narrow"/>
    </w:rPr>
  </w:style>
  <w:style w:type="character" w:customStyle="1" w:styleId="BodyTextChar">
    <w:name w:val="Body Text Char"/>
    <w:basedOn w:val="DefaultParagraphFont"/>
    <w:link w:val="BodyText"/>
    <w:uiPriority w:val="99"/>
    <w:rsid w:val="00F454CD"/>
    <w:rPr>
      <w:rFonts w:ascii="Arial Narrow" w:eastAsia="Times New Roman" w:hAnsi="Arial Narrow" w:cs="Arial Narrow"/>
      <w:sz w:val="24"/>
      <w:szCs w:val="24"/>
    </w:rPr>
  </w:style>
  <w:style w:type="paragraph" w:styleId="BodyText2">
    <w:name w:val="Body Text 2"/>
    <w:basedOn w:val="Normal"/>
    <w:link w:val="BodyText2Char"/>
    <w:uiPriority w:val="99"/>
    <w:rsid w:val="00F454CD"/>
    <w:rPr>
      <w:rFonts w:cs="Arial Narrow"/>
    </w:rPr>
  </w:style>
  <w:style w:type="character" w:customStyle="1" w:styleId="BodyText2Char">
    <w:name w:val="Body Text 2 Char"/>
    <w:basedOn w:val="DefaultParagraphFont"/>
    <w:link w:val="BodyText2"/>
    <w:uiPriority w:val="99"/>
    <w:rsid w:val="00F454CD"/>
    <w:rPr>
      <w:rFonts w:ascii="Arial Narrow" w:eastAsia="Times New Roman" w:hAnsi="Arial Narrow" w:cs="Arial Narrow"/>
    </w:rPr>
  </w:style>
  <w:style w:type="paragraph" w:styleId="ListParagraph">
    <w:name w:val="List Paragraph"/>
    <w:basedOn w:val="Normal"/>
    <w:uiPriority w:val="34"/>
    <w:qFormat/>
    <w:rsid w:val="0059667B"/>
    <w:pPr>
      <w:ind w:left="720"/>
      <w:contextualSpacing/>
    </w:pPr>
    <w:rPr>
      <w:rFonts w:cs="Helvetica"/>
    </w:rPr>
  </w:style>
  <w:style w:type="paragraph" w:styleId="TOCHeading">
    <w:name w:val="TOC Heading"/>
    <w:basedOn w:val="Heading1"/>
    <w:next w:val="Normal"/>
    <w:uiPriority w:val="39"/>
    <w:unhideWhenUsed/>
    <w:qFormat/>
    <w:rsid w:val="000A2349"/>
    <w:pPr>
      <w:numPr>
        <w:numId w:val="0"/>
      </w:numPr>
    </w:pPr>
  </w:style>
  <w:style w:type="character" w:customStyle="1" w:styleId="Heading2Char">
    <w:name w:val="Heading 2 Char"/>
    <w:aliases w:val="h2 Char,Reset numbering Char,Heading 2STC Char,Para2 Char,h21 Char,h22 Char,h2 main heading Char"/>
    <w:basedOn w:val="DefaultParagraphFont"/>
    <w:link w:val="Heading2"/>
    <w:uiPriority w:val="99"/>
    <w:rsid w:val="00F516F1"/>
    <w:rPr>
      <w:rFonts w:ascii="Arial Narrow" w:hAnsi="Arial Narrow" w:cs="Arial"/>
      <w:b/>
      <w:noProof/>
      <w:sz w:val="24"/>
      <w:szCs w:val="24"/>
      <w:lang w:val="en-AU"/>
    </w:rPr>
  </w:style>
  <w:style w:type="paragraph" w:customStyle="1" w:styleId="PFNumLevel4">
    <w:name w:val="PF (Num) Level 4"/>
    <w:basedOn w:val="Normal"/>
    <w:rsid w:val="00E373B6"/>
    <w:pPr>
      <w:tabs>
        <w:tab w:val="num" w:pos="2772"/>
        <w:tab w:val="left" w:pos="4621"/>
        <w:tab w:val="left" w:pos="5545"/>
        <w:tab w:val="left" w:pos="6469"/>
        <w:tab w:val="left" w:pos="7394"/>
        <w:tab w:val="left" w:pos="8318"/>
        <w:tab w:val="right" w:pos="8930"/>
      </w:tabs>
      <w:spacing w:before="120" w:after="120" w:line="276" w:lineRule="auto"/>
      <w:ind w:left="2772" w:hanging="924"/>
    </w:pPr>
    <w:rPr>
      <w:rFonts w:ascii="Arial" w:hAnsi="Arial"/>
      <w:sz w:val="21"/>
      <w:szCs w:val="20"/>
    </w:rPr>
  </w:style>
  <w:style w:type="paragraph" w:customStyle="1" w:styleId="Leveli0">
    <w:name w:val="Level (i)"/>
    <w:basedOn w:val="Normal"/>
    <w:next w:val="Normal"/>
    <w:rsid w:val="00E373B6"/>
    <w:pPr>
      <w:tabs>
        <w:tab w:val="left" w:pos="924"/>
        <w:tab w:val="left" w:pos="1848"/>
        <w:tab w:val="left" w:pos="2773"/>
        <w:tab w:val="left" w:pos="3697"/>
        <w:tab w:val="left" w:pos="4621"/>
        <w:tab w:val="left" w:pos="5545"/>
        <w:tab w:val="left" w:pos="6469"/>
        <w:tab w:val="left" w:pos="7394"/>
        <w:tab w:val="left" w:pos="8318"/>
        <w:tab w:val="right" w:pos="8930"/>
      </w:tabs>
      <w:spacing w:before="120" w:after="120" w:line="276" w:lineRule="auto"/>
      <w:outlineLvl w:val="4"/>
    </w:pPr>
    <w:rPr>
      <w:rFonts w:ascii="Arial" w:hAnsi="Arial"/>
      <w:sz w:val="21"/>
      <w:szCs w:val="20"/>
    </w:rPr>
  </w:style>
  <w:style w:type="paragraph" w:styleId="TOC3">
    <w:name w:val="toc 3"/>
    <w:basedOn w:val="Normal"/>
    <w:next w:val="Normal"/>
    <w:autoRedefine/>
    <w:uiPriority w:val="39"/>
    <w:unhideWhenUsed/>
    <w:rsid w:val="002B017E"/>
    <w:pPr>
      <w:ind w:left="480"/>
    </w:pPr>
    <w:rPr>
      <w:rFonts w:asciiTheme="minorHAnsi" w:hAnsiTheme="minorHAnsi" w:cstheme="minorHAnsi"/>
      <w:i/>
      <w:iCs/>
      <w:sz w:val="20"/>
      <w:szCs w:val="20"/>
    </w:rPr>
  </w:style>
  <w:style w:type="table" w:styleId="TableGrid">
    <w:name w:val="Table Grid"/>
    <w:basedOn w:val="TableNormal"/>
    <w:uiPriority w:val="39"/>
    <w:rsid w:val="00F60E3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3">
    <w:name w:val="Pa3"/>
    <w:basedOn w:val="Normal"/>
    <w:uiPriority w:val="99"/>
    <w:rsid w:val="0050568A"/>
    <w:pPr>
      <w:autoSpaceDE w:val="0"/>
      <w:autoSpaceDN w:val="0"/>
      <w:spacing w:line="281" w:lineRule="atLeast"/>
    </w:pPr>
    <w:rPr>
      <w:rFonts w:ascii="Helvetica 45 Light" w:eastAsiaTheme="minorHAnsi" w:hAnsi="Helvetica 45 Light"/>
    </w:rPr>
  </w:style>
  <w:style w:type="table" w:styleId="LightShading-Accent4">
    <w:name w:val="Light Shading Accent 4"/>
    <w:basedOn w:val="TableNormal"/>
    <w:uiPriority w:val="60"/>
    <w:rsid w:val="0066454A"/>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12">
    <w:name w:val="Light Shading - Accent 12"/>
    <w:basedOn w:val="TableNormal"/>
    <w:uiPriority w:val="60"/>
    <w:rsid w:val="00FB19A8"/>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4">
    <w:name w:val="toc 4"/>
    <w:basedOn w:val="Normal"/>
    <w:next w:val="Normal"/>
    <w:autoRedefine/>
    <w:uiPriority w:val="39"/>
    <w:unhideWhenUsed/>
    <w:rsid w:val="00087D8C"/>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087D8C"/>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087D8C"/>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087D8C"/>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087D8C"/>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087D8C"/>
    <w:pPr>
      <w:ind w:left="1920"/>
    </w:pPr>
    <w:rPr>
      <w:rFonts w:asciiTheme="minorHAnsi" w:hAnsiTheme="minorHAnsi" w:cstheme="minorHAnsi"/>
      <w:sz w:val="18"/>
      <w:szCs w:val="18"/>
    </w:rPr>
  </w:style>
  <w:style w:type="paragraph" w:styleId="NoSpacing">
    <w:name w:val="No Spacing"/>
    <w:link w:val="NoSpacingChar"/>
    <w:uiPriority w:val="1"/>
    <w:qFormat/>
    <w:rsid w:val="00087D8C"/>
    <w:rPr>
      <w:rFonts w:ascii="Arial Narrow" w:eastAsiaTheme="minorEastAsia" w:hAnsi="Arial Narrow"/>
      <w:color w:val="000000"/>
      <w:lang w:val="en-AU"/>
    </w:rPr>
  </w:style>
  <w:style w:type="character" w:customStyle="1" w:styleId="NoSpacingChar">
    <w:name w:val="No Spacing Char"/>
    <w:basedOn w:val="DefaultParagraphFont"/>
    <w:link w:val="NoSpacing"/>
    <w:uiPriority w:val="1"/>
    <w:rsid w:val="00087D8C"/>
    <w:rPr>
      <w:rFonts w:ascii="Arial Narrow" w:eastAsiaTheme="minorEastAsia" w:hAnsi="Arial Narrow"/>
      <w:color w:val="000000"/>
      <w:lang w:val="en-AU"/>
    </w:rPr>
  </w:style>
  <w:style w:type="paragraph" w:customStyle="1" w:styleId="Body">
    <w:name w:val="Body"/>
    <w:rsid w:val="007E6463"/>
    <w:pPr>
      <w:spacing w:line="360" w:lineRule="auto"/>
      <w:jc w:val="both"/>
    </w:pPr>
    <w:rPr>
      <w:rFonts w:ascii="Arial Narrow" w:eastAsia="ヒラギノ角ゴ Pro W3" w:hAnsi="Arial Narrow"/>
      <w:color w:val="000000"/>
      <w:sz w:val="20"/>
      <w:szCs w:val="20"/>
    </w:rPr>
  </w:style>
  <w:style w:type="paragraph" w:customStyle="1" w:styleId="Title1">
    <w:name w:val="Title1"/>
    <w:next w:val="Body"/>
    <w:rsid w:val="007E6463"/>
    <w:pPr>
      <w:keepNext/>
    </w:pPr>
    <w:rPr>
      <w:rFonts w:ascii="Arial Narrow" w:eastAsia="ヒラギノ角ゴ Pro W3" w:hAnsi="Arial Narrow"/>
      <w:color w:val="000000"/>
      <w:sz w:val="36"/>
      <w:szCs w:val="20"/>
    </w:rPr>
  </w:style>
  <w:style w:type="paragraph" w:customStyle="1" w:styleId="Default">
    <w:name w:val="Default"/>
    <w:rsid w:val="00B55B02"/>
    <w:pPr>
      <w:autoSpaceDE w:val="0"/>
      <w:autoSpaceDN w:val="0"/>
      <w:adjustRightInd w:val="0"/>
    </w:pPr>
    <w:rPr>
      <w:rFonts w:ascii="Arial" w:hAnsi="Arial" w:cs="Arial"/>
      <w:color w:val="000000"/>
      <w:sz w:val="24"/>
      <w:szCs w:val="24"/>
      <w:lang w:eastAsia="en-AU"/>
    </w:rPr>
  </w:style>
  <w:style w:type="paragraph" w:styleId="NormalWeb">
    <w:name w:val="Normal (Web)"/>
    <w:basedOn w:val="Normal"/>
    <w:uiPriority w:val="99"/>
    <w:unhideWhenUsed/>
    <w:rsid w:val="00B81BD8"/>
    <w:pPr>
      <w:spacing w:before="100" w:beforeAutospacing="1" w:after="100" w:afterAutospacing="1"/>
    </w:pPr>
    <w:rPr>
      <w:rFonts w:ascii="Verdana" w:hAnsi="Verdana"/>
      <w:color w:val="77787B"/>
      <w:sz w:val="17"/>
      <w:szCs w:val="17"/>
    </w:rPr>
  </w:style>
  <w:style w:type="character" w:customStyle="1" w:styleId="Heading3Char">
    <w:name w:val="Heading 3 Char"/>
    <w:basedOn w:val="DefaultParagraphFont"/>
    <w:link w:val="Heading3"/>
    <w:rsid w:val="0059667B"/>
    <w:rPr>
      <w:rFonts w:ascii="Arial Narrow" w:eastAsiaTheme="majorEastAsia" w:hAnsi="Arial Narrow" w:cstheme="majorBidi"/>
      <w:b/>
      <w:color w:val="000000" w:themeColor="text1"/>
      <w:szCs w:val="20"/>
    </w:rPr>
  </w:style>
  <w:style w:type="character" w:customStyle="1" w:styleId="Heading4Char">
    <w:name w:val="Heading 4 Char"/>
    <w:basedOn w:val="DefaultParagraphFont"/>
    <w:link w:val="Heading4"/>
    <w:rsid w:val="007156C7"/>
    <w:rPr>
      <w:rFonts w:ascii="Arial Narrow" w:eastAsiaTheme="majorEastAsia" w:hAnsi="Arial Narrow" w:cstheme="majorBidi"/>
      <w:b/>
      <w:bCs/>
      <w:iCs/>
      <w:color w:val="4F81BD" w:themeColor="accent1"/>
      <w:lang w:val="en-AU"/>
    </w:rPr>
  </w:style>
  <w:style w:type="character" w:customStyle="1" w:styleId="Heading6Char">
    <w:name w:val="Heading 6 Char"/>
    <w:basedOn w:val="DefaultParagraphFont"/>
    <w:link w:val="Heading6"/>
    <w:semiHidden/>
    <w:rsid w:val="00EF69D4"/>
    <w:rPr>
      <w:rFonts w:asciiTheme="majorHAnsi" w:eastAsiaTheme="majorEastAsia" w:hAnsiTheme="majorHAnsi" w:cstheme="majorBidi"/>
      <w:i/>
      <w:iCs/>
      <w:color w:val="243F60" w:themeColor="accent1" w:themeShade="7F"/>
      <w:lang w:val="en-AU"/>
    </w:rPr>
  </w:style>
  <w:style w:type="paragraph" w:styleId="Title">
    <w:name w:val="Title"/>
    <w:basedOn w:val="Normal"/>
    <w:next w:val="Normal"/>
    <w:link w:val="TitleChar"/>
    <w:qFormat/>
    <w:rsid w:val="0059667B"/>
    <w:rPr>
      <w:b/>
      <w:color w:val="0060AF"/>
      <w:sz w:val="52"/>
      <w:szCs w:val="52"/>
    </w:rPr>
  </w:style>
  <w:style w:type="character" w:customStyle="1" w:styleId="TitleChar">
    <w:name w:val="Title Char"/>
    <w:basedOn w:val="DefaultParagraphFont"/>
    <w:link w:val="Title"/>
    <w:rsid w:val="0059667B"/>
    <w:rPr>
      <w:rFonts w:ascii="Arial Narrow" w:hAnsi="Arial Narrow"/>
      <w:b/>
      <w:color w:val="0060AF"/>
      <w:sz w:val="52"/>
      <w:szCs w:val="52"/>
      <w:lang w:val="en-AU"/>
    </w:rPr>
  </w:style>
  <w:style w:type="paragraph" w:styleId="Subtitle">
    <w:name w:val="Subtitle"/>
    <w:basedOn w:val="Normal"/>
    <w:next w:val="Normal"/>
    <w:link w:val="SubtitleChar"/>
    <w:uiPriority w:val="11"/>
    <w:qFormat/>
    <w:rsid w:val="0059667B"/>
    <w:rPr>
      <w:color w:val="0060AF"/>
      <w:sz w:val="36"/>
      <w:szCs w:val="36"/>
    </w:rPr>
  </w:style>
  <w:style w:type="character" w:customStyle="1" w:styleId="SubtitleChar">
    <w:name w:val="Subtitle Char"/>
    <w:basedOn w:val="DefaultParagraphFont"/>
    <w:link w:val="Subtitle"/>
    <w:uiPriority w:val="11"/>
    <w:rsid w:val="0059667B"/>
    <w:rPr>
      <w:rFonts w:ascii="Arial Narrow" w:hAnsi="Arial Narrow"/>
      <w:color w:val="0060AF"/>
      <w:sz w:val="36"/>
      <w:szCs w:val="36"/>
      <w:lang w:val="en-AU"/>
    </w:rPr>
  </w:style>
  <w:style w:type="character" w:customStyle="1" w:styleId="apple-style-span">
    <w:name w:val="apple-style-span"/>
    <w:basedOn w:val="DefaultParagraphFont"/>
    <w:rsid w:val="00E53B0E"/>
  </w:style>
  <w:style w:type="character" w:customStyle="1" w:styleId="apple-converted-space">
    <w:name w:val="apple-converted-space"/>
    <w:basedOn w:val="DefaultParagraphFont"/>
    <w:rsid w:val="00E53B0E"/>
  </w:style>
  <w:style w:type="character" w:styleId="IntenseEmphasis">
    <w:name w:val="Intense Emphasis"/>
    <w:basedOn w:val="DefaultParagraphFont"/>
    <w:uiPriority w:val="21"/>
    <w:qFormat/>
    <w:rsid w:val="00D75EB4"/>
    <w:rPr>
      <w:b/>
      <w:bCs/>
      <w:i/>
      <w:iCs/>
      <w:color w:val="4F81BD" w:themeColor="accent1"/>
    </w:rPr>
  </w:style>
  <w:style w:type="table" w:customStyle="1" w:styleId="GridTable4Accent1">
    <w:name w:val="Grid Table 4 Accent 1"/>
    <w:basedOn w:val="TableNormal"/>
    <w:uiPriority w:val="49"/>
    <w:rsid w:val="00B5454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1">
    <w:name w:val="List Table 4 Accent 1"/>
    <w:basedOn w:val="TableNormal"/>
    <w:uiPriority w:val="49"/>
    <w:rsid w:val="005978B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FootnoteText">
    <w:name w:val="footnote text"/>
    <w:basedOn w:val="Normal"/>
    <w:link w:val="FootnoteTextChar"/>
    <w:uiPriority w:val="99"/>
    <w:semiHidden/>
    <w:unhideWhenUsed/>
    <w:rsid w:val="00A32899"/>
    <w:rPr>
      <w:sz w:val="20"/>
      <w:szCs w:val="20"/>
    </w:rPr>
  </w:style>
  <w:style w:type="character" w:customStyle="1" w:styleId="FootnoteTextChar">
    <w:name w:val="Footnote Text Char"/>
    <w:basedOn w:val="DefaultParagraphFont"/>
    <w:link w:val="FootnoteText"/>
    <w:uiPriority w:val="99"/>
    <w:semiHidden/>
    <w:rsid w:val="00A32899"/>
    <w:rPr>
      <w:rFonts w:ascii="Arial Narrow" w:hAnsi="Arial Narrow"/>
      <w:color w:val="000000"/>
      <w:sz w:val="20"/>
      <w:szCs w:val="20"/>
      <w:lang w:val="en-AU"/>
    </w:rPr>
  </w:style>
  <w:style w:type="character" w:styleId="FootnoteReference">
    <w:name w:val="footnote reference"/>
    <w:basedOn w:val="DefaultParagraphFont"/>
    <w:uiPriority w:val="99"/>
    <w:unhideWhenUsed/>
    <w:rsid w:val="00A32899"/>
    <w:rPr>
      <w:vertAlign w:val="superscript"/>
    </w:rPr>
  </w:style>
  <w:style w:type="paragraph" w:styleId="ListBullet">
    <w:name w:val="List Bullet"/>
    <w:basedOn w:val="BodyText"/>
    <w:qFormat/>
    <w:rsid w:val="00EC18EB"/>
    <w:pPr>
      <w:numPr>
        <w:numId w:val="4"/>
      </w:numPr>
      <w:spacing w:before="130" w:after="130"/>
    </w:pPr>
    <w:rPr>
      <w:rFonts w:ascii="Times New Roman" w:hAnsi="Times New Roman" w:cs="Times New Roman"/>
      <w:color w:val="auto"/>
      <w:szCs w:val="20"/>
    </w:rPr>
  </w:style>
  <w:style w:type="paragraph" w:styleId="ListBullet2">
    <w:name w:val="List Bullet 2"/>
    <w:basedOn w:val="ListBullet"/>
    <w:uiPriority w:val="99"/>
    <w:rsid w:val="00EC18EB"/>
    <w:pPr>
      <w:numPr>
        <w:numId w:val="3"/>
      </w:numPr>
    </w:pPr>
  </w:style>
  <w:style w:type="character" w:styleId="CommentReference">
    <w:name w:val="annotation reference"/>
    <w:basedOn w:val="DefaultParagraphFont"/>
    <w:uiPriority w:val="99"/>
    <w:semiHidden/>
    <w:unhideWhenUsed/>
    <w:rsid w:val="00F562D6"/>
    <w:rPr>
      <w:sz w:val="16"/>
      <w:szCs w:val="16"/>
    </w:rPr>
  </w:style>
  <w:style w:type="paragraph" w:styleId="CommentText">
    <w:name w:val="annotation text"/>
    <w:basedOn w:val="Normal"/>
    <w:link w:val="CommentTextChar"/>
    <w:uiPriority w:val="99"/>
    <w:semiHidden/>
    <w:unhideWhenUsed/>
    <w:rsid w:val="00F562D6"/>
    <w:rPr>
      <w:sz w:val="20"/>
      <w:szCs w:val="20"/>
    </w:rPr>
  </w:style>
  <w:style w:type="character" w:customStyle="1" w:styleId="CommentTextChar">
    <w:name w:val="Comment Text Char"/>
    <w:basedOn w:val="DefaultParagraphFont"/>
    <w:link w:val="CommentText"/>
    <w:uiPriority w:val="99"/>
    <w:semiHidden/>
    <w:rsid w:val="00F562D6"/>
    <w:rPr>
      <w:rFonts w:ascii="Arial Narrow" w:hAnsi="Arial Narrow"/>
      <w:color w:val="000000"/>
      <w:sz w:val="20"/>
      <w:szCs w:val="20"/>
      <w:lang w:val="en-AU"/>
    </w:rPr>
  </w:style>
  <w:style w:type="paragraph" w:styleId="CommentSubject">
    <w:name w:val="annotation subject"/>
    <w:basedOn w:val="CommentText"/>
    <w:next w:val="CommentText"/>
    <w:link w:val="CommentSubjectChar"/>
    <w:uiPriority w:val="99"/>
    <w:semiHidden/>
    <w:unhideWhenUsed/>
    <w:rsid w:val="00F562D6"/>
    <w:rPr>
      <w:b/>
      <w:bCs/>
    </w:rPr>
  </w:style>
  <w:style w:type="character" w:customStyle="1" w:styleId="CommentSubjectChar">
    <w:name w:val="Comment Subject Char"/>
    <w:basedOn w:val="CommentTextChar"/>
    <w:link w:val="CommentSubject"/>
    <w:uiPriority w:val="99"/>
    <w:semiHidden/>
    <w:rsid w:val="00F562D6"/>
    <w:rPr>
      <w:rFonts w:ascii="Arial Narrow" w:hAnsi="Arial Narrow"/>
      <w:b/>
      <w:bCs/>
      <w:color w:val="000000"/>
      <w:sz w:val="20"/>
      <w:szCs w:val="20"/>
      <w:lang w:val="en-AU"/>
    </w:rPr>
  </w:style>
  <w:style w:type="paragraph" w:styleId="Revision">
    <w:name w:val="Revision"/>
    <w:hidden/>
    <w:uiPriority w:val="99"/>
    <w:semiHidden/>
    <w:rsid w:val="00F562D6"/>
    <w:rPr>
      <w:rFonts w:ascii="Arial Narrow" w:hAnsi="Arial Narrow"/>
      <w:color w:val="000000"/>
      <w:lang w:val="en-AU"/>
    </w:rPr>
  </w:style>
  <w:style w:type="table" w:customStyle="1" w:styleId="ListTable3Accent1">
    <w:name w:val="List Table 3 Accent 1"/>
    <w:basedOn w:val="TableNormal"/>
    <w:uiPriority w:val="48"/>
    <w:rsid w:val="000043D7"/>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TableHeader">
    <w:name w:val="Table Header"/>
    <w:link w:val="TableHeaderChar"/>
    <w:uiPriority w:val="99"/>
    <w:qFormat/>
    <w:rsid w:val="00F3317F"/>
    <w:pPr>
      <w:spacing w:line="259" w:lineRule="auto"/>
      <w:ind w:left="-567"/>
    </w:pPr>
    <w:rPr>
      <w:rFonts w:ascii="Arial Black" w:hAnsi="Arial Black" w:cs="Arial"/>
      <w:b/>
      <w:color w:val="E6361D"/>
      <w:sz w:val="16"/>
      <w:szCs w:val="16"/>
      <w:lang w:val="en-AU"/>
    </w:rPr>
  </w:style>
  <w:style w:type="paragraph" w:customStyle="1" w:styleId="TableColumnLabel">
    <w:name w:val="Table Column Label"/>
    <w:link w:val="TableColumnLabelChar"/>
    <w:qFormat/>
    <w:rsid w:val="00F3317F"/>
    <w:pPr>
      <w:tabs>
        <w:tab w:val="right" w:pos="2410"/>
        <w:tab w:val="right" w:pos="3544"/>
        <w:tab w:val="right" w:pos="4678"/>
        <w:tab w:val="right" w:pos="5812"/>
        <w:tab w:val="right" w:pos="6946"/>
        <w:tab w:val="right" w:pos="8080"/>
      </w:tabs>
      <w:spacing w:after="20" w:line="259" w:lineRule="auto"/>
      <w:ind w:right="-164"/>
    </w:pPr>
    <w:rPr>
      <w:rFonts w:ascii="Arial Narrow" w:hAnsi="Arial Narrow" w:cs="Arial"/>
      <w:b/>
      <w:color w:val="E6361D"/>
      <w:sz w:val="16"/>
      <w:szCs w:val="16"/>
      <w:lang w:val="en-AU"/>
    </w:rPr>
  </w:style>
  <w:style w:type="character" w:customStyle="1" w:styleId="TableHeaderChar">
    <w:name w:val="Table Header Char"/>
    <w:basedOn w:val="DefaultParagraphFont"/>
    <w:link w:val="TableHeader"/>
    <w:uiPriority w:val="99"/>
    <w:rsid w:val="00F3317F"/>
    <w:rPr>
      <w:rFonts w:ascii="Arial Black" w:hAnsi="Arial Black" w:cs="Arial"/>
      <w:b/>
      <w:color w:val="E6361D"/>
      <w:sz w:val="16"/>
      <w:szCs w:val="16"/>
      <w:lang w:val="en-AU"/>
    </w:rPr>
  </w:style>
  <w:style w:type="paragraph" w:customStyle="1" w:styleId="TableBody">
    <w:name w:val="Table Body"/>
    <w:link w:val="TableBodyChar"/>
    <w:qFormat/>
    <w:rsid w:val="00F3317F"/>
    <w:pPr>
      <w:tabs>
        <w:tab w:val="right" w:pos="2410"/>
        <w:tab w:val="right" w:pos="3544"/>
        <w:tab w:val="right" w:pos="4678"/>
        <w:tab w:val="right" w:pos="5812"/>
        <w:tab w:val="right" w:pos="6946"/>
        <w:tab w:val="right" w:pos="8080"/>
      </w:tabs>
      <w:spacing w:after="160" w:line="259" w:lineRule="auto"/>
      <w:ind w:right="-164"/>
    </w:pPr>
    <w:rPr>
      <w:rFonts w:ascii="Arial Narrow" w:hAnsi="Arial Narrow" w:cs="Arial"/>
      <w:color w:val="E6361D"/>
      <w:sz w:val="16"/>
      <w:szCs w:val="16"/>
      <w:lang w:val="en-AU"/>
    </w:rPr>
  </w:style>
  <w:style w:type="character" w:customStyle="1" w:styleId="TableColumnLabelChar">
    <w:name w:val="Table Column Label Char"/>
    <w:basedOn w:val="DefaultParagraphFont"/>
    <w:link w:val="TableColumnLabel"/>
    <w:rsid w:val="00F3317F"/>
    <w:rPr>
      <w:rFonts w:ascii="Arial Narrow" w:hAnsi="Arial Narrow" w:cs="Arial"/>
      <w:b/>
      <w:color w:val="E6361D"/>
      <w:sz w:val="16"/>
      <w:szCs w:val="16"/>
      <w:lang w:val="en-AU"/>
    </w:rPr>
  </w:style>
  <w:style w:type="character" w:customStyle="1" w:styleId="TableBodyChar">
    <w:name w:val="Table Body Char"/>
    <w:basedOn w:val="DefaultParagraphFont"/>
    <w:link w:val="TableBody"/>
    <w:rsid w:val="00F3317F"/>
    <w:rPr>
      <w:rFonts w:ascii="Arial Narrow" w:hAnsi="Arial Narrow" w:cs="Arial"/>
      <w:color w:val="E6361D"/>
      <w:sz w:val="16"/>
      <w:szCs w:val="16"/>
      <w:lang w:val="en-AU"/>
    </w:rPr>
  </w:style>
  <w:style w:type="paragraph" w:customStyle="1" w:styleId="DotPoints">
    <w:name w:val="Dot Points"/>
    <w:link w:val="DotPointsChar"/>
    <w:qFormat/>
    <w:rsid w:val="009C11B0"/>
    <w:pPr>
      <w:numPr>
        <w:numId w:val="5"/>
      </w:numPr>
      <w:spacing w:after="40" w:line="259" w:lineRule="auto"/>
      <w:ind w:left="714" w:right="-164" w:hanging="357"/>
    </w:pPr>
    <w:rPr>
      <w:rFonts w:ascii="Arial" w:hAnsi="Arial" w:cs="Arial"/>
      <w:sz w:val="19"/>
      <w:szCs w:val="24"/>
      <w:lang w:val="en-AU"/>
    </w:rPr>
  </w:style>
  <w:style w:type="character" w:customStyle="1" w:styleId="DotPointsChar">
    <w:name w:val="Dot Points Char"/>
    <w:basedOn w:val="DefaultParagraphFont"/>
    <w:link w:val="DotPoints"/>
    <w:rsid w:val="009C11B0"/>
    <w:rPr>
      <w:rFonts w:ascii="Arial" w:hAnsi="Arial" w:cs="Arial"/>
      <w:sz w:val="19"/>
      <w:szCs w:val="24"/>
      <w:lang w:val="en-AU"/>
    </w:rPr>
  </w:style>
  <w:style w:type="character" w:customStyle="1" w:styleId="Mention">
    <w:name w:val="Mention"/>
    <w:basedOn w:val="DefaultParagraphFont"/>
    <w:uiPriority w:val="99"/>
    <w:semiHidden/>
    <w:unhideWhenUsed/>
    <w:rsid w:val="00AF1777"/>
    <w:rPr>
      <w:color w:val="2B579A"/>
      <w:shd w:val="clear" w:color="auto" w:fill="E6E6E6"/>
    </w:rPr>
  </w:style>
  <w:style w:type="character" w:customStyle="1" w:styleId="UnresolvedMention1">
    <w:name w:val="Unresolved Mention1"/>
    <w:basedOn w:val="DefaultParagraphFont"/>
    <w:uiPriority w:val="99"/>
    <w:semiHidden/>
    <w:unhideWhenUsed/>
    <w:rsid w:val="00B131D2"/>
    <w:rPr>
      <w:color w:val="808080"/>
      <w:shd w:val="clear" w:color="auto" w:fill="E6E6E6"/>
    </w:rPr>
  </w:style>
  <w:style w:type="character" w:styleId="FollowedHyperlink">
    <w:name w:val="FollowedHyperlink"/>
    <w:basedOn w:val="DefaultParagraphFont"/>
    <w:uiPriority w:val="99"/>
    <w:semiHidden/>
    <w:unhideWhenUsed/>
    <w:rsid w:val="00B131D2"/>
    <w:rPr>
      <w:color w:val="800080" w:themeColor="followedHyperlink"/>
      <w:u w:val="single"/>
    </w:rPr>
  </w:style>
  <w:style w:type="character" w:styleId="Emphasis">
    <w:name w:val="Emphasis"/>
    <w:basedOn w:val="DefaultParagraphFont"/>
    <w:uiPriority w:val="20"/>
    <w:qFormat/>
    <w:locked/>
    <w:rsid w:val="00197BE2"/>
    <w:rPr>
      <w:i/>
      <w:iCs/>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List Bullet" w:uiPriority="0" w:qFormat="1"/>
    <w:lsdException w:name="Title" w:semiHidden="0" w:uiPriority="0" w:unhideWhenUsed="0" w:qFormat="1"/>
    <w:lsdException w:name="Closing" w:uiPriority="0"/>
    <w:lsdException w:name="Default Paragraph Font" w:uiPriority="1"/>
    <w:lsdException w:name="Subtitle" w:semiHidden="0" w:uiPriority="11" w:unhideWhenUsed="0" w:qFormat="1"/>
    <w:lsdException w:name="Strong" w:locked="1" w:semiHidden="0" w:uiPriority="0" w:unhideWhenUsed="0" w:qFormat="1"/>
    <w:lsdException w:name="Emphasis" w:locked="1"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B84"/>
    <w:pPr>
      <w:jc w:val="both"/>
    </w:pPr>
    <w:rPr>
      <w:rFonts w:ascii="Arial Narrow" w:hAnsi="Arial Narrow"/>
      <w:color w:val="000000"/>
      <w:lang w:val="en-AU"/>
    </w:rPr>
  </w:style>
  <w:style w:type="paragraph" w:styleId="Heading1">
    <w:name w:val="heading 1"/>
    <w:basedOn w:val="Normal"/>
    <w:link w:val="Heading1Char"/>
    <w:uiPriority w:val="9"/>
    <w:qFormat/>
    <w:rsid w:val="0059667B"/>
    <w:pPr>
      <w:numPr>
        <w:numId w:val="2"/>
      </w:numPr>
      <w:outlineLvl w:val="0"/>
    </w:pPr>
    <w:rPr>
      <w:rFonts w:cs="Arial"/>
      <w:b/>
      <w:noProof/>
      <w:color w:val="0070C0"/>
      <w:sz w:val="28"/>
      <w:szCs w:val="20"/>
    </w:rPr>
  </w:style>
  <w:style w:type="paragraph" w:styleId="Heading2">
    <w:name w:val="heading 2"/>
    <w:aliases w:val="h2,Reset numbering,Heading 2STC,Para2,h21,h22,h2 main heading"/>
    <w:basedOn w:val="Heading1"/>
    <w:next w:val="Normal"/>
    <w:link w:val="Heading2Char"/>
    <w:uiPriority w:val="99"/>
    <w:qFormat/>
    <w:rsid w:val="00F516F1"/>
    <w:pPr>
      <w:numPr>
        <w:numId w:val="0"/>
      </w:numPr>
      <w:outlineLvl w:val="1"/>
    </w:pPr>
    <w:rPr>
      <w:color w:val="auto"/>
      <w:sz w:val="24"/>
      <w:szCs w:val="24"/>
    </w:rPr>
  </w:style>
  <w:style w:type="paragraph" w:styleId="Heading3">
    <w:name w:val="heading 3"/>
    <w:basedOn w:val="Body"/>
    <w:next w:val="Normal"/>
    <w:link w:val="Heading3Char"/>
    <w:unhideWhenUsed/>
    <w:qFormat/>
    <w:rsid w:val="0059667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outlineLvl w:val="2"/>
    </w:pPr>
    <w:rPr>
      <w:rFonts w:eastAsiaTheme="majorEastAsia" w:cstheme="majorBidi"/>
      <w:b/>
      <w:color w:val="000000" w:themeColor="text1"/>
      <w:sz w:val="22"/>
    </w:rPr>
  </w:style>
  <w:style w:type="paragraph" w:styleId="Heading4">
    <w:name w:val="heading 4"/>
    <w:basedOn w:val="Normal"/>
    <w:next w:val="Normal"/>
    <w:link w:val="Heading4Char"/>
    <w:unhideWhenUsed/>
    <w:qFormat/>
    <w:locked/>
    <w:rsid w:val="007156C7"/>
    <w:pPr>
      <w:keepNext/>
      <w:keepLines/>
      <w:spacing w:before="200"/>
      <w:outlineLvl w:val="3"/>
    </w:pPr>
    <w:rPr>
      <w:rFonts w:eastAsiaTheme="majorEastAsia" w:cstheme="majorBidi"/>
      <w:b/>
      <w:bCs/>
      <w:iCs/>
      <w:color w:val="4F81BD" w:themeColor="accent1"/>
    </w:rPr>
  </w:style>
  <w:style w:type="paragraph" w:styleId="Heading6">
    <w:name w:val="heading 6"/>
    <w:basedOn w:val="Normal"/>
    <w:next w:val="Normal"/>
    <w:link w:val="Heading6Char"/>
    <w:semiHidden/>
    <w:unhideWhenUsed/>
    <w:qFormat/>
    <w:locked/>
    <w:rsid w:val="00EF69D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20FB"/>
    <w:rPr>
      <w:rFonts w:ascii="Tahoma" w:hAnsi="Tahoma" w:cs="Tahoma"/>
      <w:sz w:val="16"/>
      <w:szCs w:val="16"/>
    </w:rPr>
  </w:style>
  <w:style w:type="character" w:customStyle="1" w:styleId="BalloonTextChar">
    <w:name w:val="Balloon Text Char"/>
    <w:basedOn w:val="DefaultParagraphFont"/>
    <w:link w:val="BalloonText"/>
    <w:uiPriority w:val="99"/>
    <w:semiHidden/>
    <w:rsid w:val="00CD20FB"/>
    <w:rPr>
      <w:rFonts w:ascii="Tahoma" w:hAnsi="Tahoma" w:cs="Tahoma"/>
      <w:sz w:val="16"/>
      <w:szCs w:val="16"/>
    </w:rPr>
  </w:style>
  <w:style w:type="paragraph" w:styleId="Header">
    <w:name w:val="header"/>
    <w:basedOn w:val="Normal"/>
    <w:link w:val="HeaderChar"/>
    <w:uiPriority w:val="99"/>
    <w:unhideWhenUsed/>
    <w:rsid w:val="00CD20FB"/>
    <w:pPr>
      <w:tabs>
        <w:tab w:val="center" w:pos="4513"/>
        <w:tab w:val="right" w:pos="9026"/>
      </w:tabs>
    </w:pPr>
  </w:style>
  <w:style w:type="character" w:customStyle="1" w:styleId="HeaderChar">
    <w:name w:val="Header Char"/>
    <w:basedOn w:val="DefaultParagraphFont"/>
    <w:link w:val="Header"/>
    <w:uiPriority w:val="99"/>
    <w:rsid w:val="00CD20FB"/>
  </w:style>
  <w:style w:type="paragraph" w:styleId="Footer">
    <w:name w:val="footer"/>
    <w:basedOn w:val="Normal"/>
    <w:link w:val="FooterChar"/>
    <w:uiPriority w:val="99"/>
    <w:unhideWhenUsed/>
    <w:rsid w:val="00CD20FB"/>
    <w:pPr>
      <w:tabs>
        <w:tab w:val="center" w:pos="4513"/>
        <w:tab w:val="right" w:pos="9026"/>
      </w:tabs>
    </w:pPr>
  </w:style>
  <w:style w:type="character" w:customStyle="1" w:styleId="FooterChar">
    <w:name w:val="Footer Char"/>
    <w:basedOn w:val="DefaultParagraphFont"/>
    <w:link w:val="Footer"/>
    <w:uiPriority w:val="99"/>
    <w:rsid w:val="00CD20FB"/>
  </w:style>
  <w:style w:type="paragraph" w:customStyle="1" w:styleId="HeaderFooter">
    <w:name w:val="Header &amp; Footer"/>
    <w:rsid w:val="00CD20FB"/>
    <w:pPr>
      <w:tabs>
        <w:tab w:val="right" w:pos="9632"/>
      </w:tabs>
    </w:pPr>
    <w:rPr>
      <w:rFonts w:ascii="Helvetica" w:eastAsia="ヒラギノ角ゴ Pro W3" w:hAnsi="Helvetica"/>
      <w:color w:val="000000"/>
      <w:sz w:val="20"/>
      <w:szCs w:val="20"/>
    </w:rPr>
  </w:style>
  <w:style w:type="character" w:styleId="Hyperlink">
    <w:name w:val="Hyperlink"/>
    <w:basedOn w:val="DefaultParagraphFont"/>
    <w:uiPriority w:val="99"/>
    <w:rsid w:val="00CD20FB"/>
    <w:rPr>
      <w:color w:val="0000FF" w:themeColor="hyperlink"/>
      <w:u w:val="single"/>
    </w:rPr>
  </w:style>
  <w:style w:type="paragraph" w:customStyle="1" w:styleId="DecimalAligned">
    <w:name w:val="Decimal Aligned"/>
    <w:basedOn w:val="Normal"/>
    <w:uiPriority w:val="40"/>
    <w:rsid w:val="00B57294"/>
    <w:pPr>
      <w:tabs>
        <w:tab w:val="decimal" w:pos="360"/>
      </w:tabs>
    </w:pPr>
    <w:rPr>
      <w:rFonts w:eastAsiaTheme="minorEastAsia"/>
      <w:lang w:val="en-US"/>
    </w:rPr>
  </w:style>
  <w:style w:type="character" w:styleId="SubtleEmphasis">
    <w:name w:val="Subtle Emphasis"/>
    <w:basedOn w:val="DefaultParagraphFont"/>
    <w:uiPriority w:val="19"/>
    <w:qFormat/>
    <w:rsid w:val="00B57294"/>
    <w:rPr>
      <w:i/>
      <w:iCs/>
      <w:color w:val="808080" w:themeColor="text1" w:themeTint="7F"/>
    </w:rPr>
  </w:style>
  <w:style w:type="table" w:customStyle="1" w:styleId="LightShading-Accent11">
    <w:name w:val="Light Shading - Accent 11"/>
    <w:basedOn w:val="TableNormal"/>
    <w:uiPriority w:val="60"/>
    <w:rsid w:val="00B57294"/>
    <w:rPr>
      <w:rFonts w:eastAsiaTheme="minorEastAsia"/>
      <w:color w:val="365F91" w:themeColor="accent1" w:themeShade="BF"/>
      <w:lang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59667B"/>
    <w:rPr>
      <w:rFonts w:ascii="Arial Narrow" w:hAnsi="Arial Narrow" w:cs="Arial"/>
      <w:b/>
      <w:noProof/>
      <w:color w:val="0070C0"/>
      <w:sz w:val="28"/>
      <w:szCs w:val="20"/>
      <w:lang w:val="en-AU"/>
    </w:rPr>
  </w:style>
  <w:style w:type="character" w:customStyle="1" w:styleId="Heading1Char1">
    <w:name w:val="Heading 1 Char1"/>
    <w:basedOn w:val="DefaultParagraphFont"/>
    <w:uiPriority w:val="9"/>
    <w:locked/>
    <w:rsid w:val="0059667B"/>
    <w:rPr>
      <w:rFonts w:ascii="Arial" w:eastAsia="Times New Roman" w:hAnsi="Arial" w:cs="Arial"/>
      <w:b/>
      <w:color w:val="0060AF"/>
      <w:sz w:val="28"/>
      <w:szCs w:val="28"/>
      <w:lang w:eastAsia="en-AU"/>
    </w:rPr>
  </w:style>
  <w:style w:type="paragraph" w:customStyle="1" w:styleId="PFNormal">
    <w:name w:val="PF Normal"/>
    <w:basedOn w:val="Normal"/>
    <w:next w:val="Normal"/>
    <w:rsid w:val="00CF7C26"/>
    <w:pPr>
      <w:tabs>
        <w:tab w:val="left" w:pos="924"/>
        <w:tab w:val="left" w:pos="1848"/>
        <w:tab w:val="left" w:pos="2773"/>
        <w:tab w:val="left" w:pos="3697"/>
        <w:tab w:val="left" w:pos="4621"/>
        <w:tab w:val="left" w:pos="5545"/>
        <w:tab w:val="left" w:pos="6469"/>
        <w:tab w:val="left" w:pos="7394"/>
        <w:tab w:val="left" w:pos="8318"/>
        <w:tab w:val="right" w:pos="8930"/>
      </w:tabs>
      <w:spacing w:before="400" w:after="120" w:line="276" w:lineRule="auto"/>
    </w:pPr>
    <w:rPr>
      <w:rFonts w:ascii="Arial" w:hAnsi="Arial"/>
      <w:sz w:val="21"/>
      <w:szCs w:val="20"/>
    </w:rPr>
  </w:style>
  <w:style w:type="paragraph" w:customStyle="1" w:styleId="MELegal2">
    <w:name w:val="ME Legal 2"/>
    <w:basedOn w:val="Normal"/>
    <w:next w:val="Normal"/>
    <w:link w:val="MELegal2Char"/>
    <w:autoRedefine/>
    <w:rsid w:val="00CF7C26"/>
    <w:pPr>
      <w:spacing w:before="120" w:after="240" w:line="300" w:lineRule="atLeast"/>
      <w:ind w:left="924"/>
      <w:outlineLvl w:val="1"/>
    </w:pPr>
    <w:rPr>
      <w:rFonts w:ascii="Arial" w:hAnsi="Arial" w:cs="Arial"/>
      <w:szCs w:val="20"/>
      <w:lang w:eastAsia="zh-CN"/>
    </w:rPr>
  </w:style>
  <w:style w:type="character" w:customStyle="1" w:styleId="MELegal2Char">
    <w:name w:val="ME Legal 2 Char"/>
    <w:basedOn w:val="DefaultParagraphFont"/>
    <w:link w:val="MELegal2"/>
    <w:locked/>
    <w:rsid w:val="00CF7C26"/>
    <w:rPr>
      <w:rFonts w:ascii="Arial" w:eastAsia="Times New Roman" w:hAnsi="Arial" w:cs="Arial"/>
      <w:sz w:val="24"/>
      <w:szCs w:val="20"/>
      <w:lang w:eastAsia="zh-CN"/>
    </w:rPr>
  </w:style>
  <w:style w:type="paragraph" w:customStyle="1" w:styleId="PFNumLevel2">
    <w:name w:val="PF (Num) Level 2"/>
    <w:basedOn w:val="Normal"/>
    <w:link w:val="PFNumLevel2Char"/>
    <w:rsid w:val="002C444D"/>
    <w:pPr>
      <w:tabs>
        <w:tab w:val="num" w:pos="924"/>
        <w:tab w:val="left" w:pos="2773"/>
        <w:tab w:val="left" w:pos="3697"/>
        <w:tab w:val="left" w:pos="4621"/>
        <w:tab w:val="left" w:pos="5545"/>
        <w:tab w:val="left" w:pos="6469"/>
        <w:tab w:val="left" w:pos="7394"/>
        <w:tab w:val="left" w:pos="8318"/>
        <w:tab w:val="right" w:pos="8930"/>
      </w:tabs>
      <w:spacing w:before="120" w:after="120" w:line="276" w:lineRule="auto"/>
      <w:ind w:left="924" w:hanging="924"/>
    </w:pPr>
    <w:rPr>
      <w:rFonts w:ascii="Arial" w:hAnsi="Arial"/>
      <w:szCs w:val="20"/>
    </w:rPr>
  </w:style>
  <w:style w:type="character" w:customStyle="1" w:styleId="PFNumLevel2Char">
    <w:name w:val="PF (Num) Level 2 Char"/>
    <w:basedOn w:val="DefaultParagraphFont"/>
    <w:link w:val="PFNumLevel2"/>
    <w:locked/>
    <w:rsid w:val="002C444D"/>
    <w:rPr>
      <w:rFonts w:ascii="Arial" w:eastAsia="Times New Roman" w:hAnsi="Arial" w:cs="Times New Roman"/>
      <w:color w:val="000000"/>
      <w:szCs w:val="20"/>
    </w:rPr>
  </w:style>
  <w:style w:type="paragraph" w:styleId="Closing">
    <w:name w:val="Closing"/>
    <w:basedOn w:val="Normal"/>
    <w:link w:val="ClosingChar"/>
    <w:rsid w:val="002C444D"/>
    <w:pPr>
      <w:tabs>
        <w:tab w:val="left" w:pos="924"/>
        <w:tab w:val="left" w:pos="1848"/>
        <w:tab w:val="left" w:pos="2773"/>
        <w:tab w:val="left" w:pos="3697"/>
        <w:tab w:val="left" w:pos="4621"/>
        <w:tab w:val="left" w:pos="5545"/>
        <w:tab w:val="left" w:pos="6469"/>
        <w:tab w:val="left" w:pos="7394"/>
        <w:tab w:val="left" w:pos="8318"/>
        <w:tab w:val="right" w:pos="8930"/>
      </w:tabs>
      <w:spacing w:before="120" w:after="120" w:line="276" w:lineRule="auto"/>
    </w:pPr>
    <w:rPr>
      <w:rFonts w:ascii="Arial" w:hAnsi="Arial"/>
      <w:sz w:val="21"/>
      <w:szCs w:val="20"/>
    </w:rPr>
  </w:style>
  <w:style w:type="character" w:customStyle="1" w:styleId="ClosingChar">
    <w:name w:val="Closing Char"/>
    <w:basedOn w:val="DefaultParagraphFont"/>
    <w:link w:val="Closing"/>
    <w:rsid w:val="002C444D"/>
    <w:rPr>
      <w:rFonts w:ascii="Arial" w:eastAsia="Times New Roman" w:hAnsi="Arial" w:cs="Times New Roman"/>
      <w:color w:val="000000"/>
      <w:sz w:val="21"/>
      <w:szCs w:val="20"/>
    </w:rPr>
  </w:style>
  <w:style w:type="paragraph" w:customStyle="1" w:styleId="Level1">
    <w:name w:val="Level 1."/>
    <w:basedOn w:val="Normal"/>
    <w:next w:val="Normal"/>
    <w:rsid w:val="002C444D"/>
    <w:pPr>
      <w:numPr>
        <w:numId w:val="1"/>
      </w:numPr>
      <w:tabs>
        <w:tab w:val="left" w:pos="924"/>
        <w:tab w:val="left" w:pos="1848"/>
        <w:tab w:val="left" w:pos="2773"/>
        <w:tab w:val="left" w:pos="3697"/>
        <w:tab w:val="left" w:pos="4621"/>
        <w:tab w:val="left" w:pos="5545"/>
        <w:tab w:val="left" w:pos="6469"/>
        <w:tab w:val="left" w:pos="7394"/>
        <w:tab w:val="left" w:pos="8318"/>
        <w:tab w:val="right" w:pos="8930"/>
      </w:tabs>
      <w:spacing w:before="120" w:after="120" w:line="276" w:lineRule="auto"/>
      <w:outlineLvl w:val="1"/>
    </w:pPr>
    <w:rPr>
      <w:rFonts w:ascii="Arial" w:hAnsi="Arial"/>
      <w:sz w:val="21"/>
      <w:szCs w:val="20"/>
    </w:rPr>
  </w:style>
  <w:style w:type="paragraph" w:customStyle="1" w:styleId="Level11">
    <w:name w:val="Level 1.1"/>
    <w:basedOn w:val="Normal"/>
    <w:next w:val="Normal"/>
    <w:rsid w:val="002C444D"/>
    <w:pPr>
      <w:numPr>
        <w:ilvl w:val="1"/>
        <w:numId w:val="1"/>
      </w:numPr>
      <w:tabs>
        <w:tab w:val="left" w:pos="924"/>
        <w:tab w:val="left" w:pos="1848"/>
        <w:tab w:val="left" w:pos="2773"/>
        <w:tab w:val="left" w:pos="3697"/>
        <w:tab w:val="left" w:pos="4621"/>
        <w:tab w:val="left" w:pos="5545"/>
        <w:tab w:val="left" w:pos="6469"/>
        <w:tab w:val="left" w:pos="7394"/>
        <w:tab w:val="left" w:pos="8318"/>
        <w:tab w:val="right" w:pos="8930"/>
      </w:tabs>
      <w:spacing w:before="120" w:after="120" w:line="276" w:lineRule="auto"/>
      <w:outlineLvl w:val="2"/>
    </w:pPr>
    <w:rPr>
      <w:rFonts w:ascii="Arial" w:hAnsi="Arial"/>
      <w:sz w:val="21"/>
      <w:szCs w:val="20"/>
    </w:rPr>
  </w:style>
  <w:style w:type="paragraph" w:customStyle="1" w:styleId="Levela">
    <w:name w:val="Level (a)"/>
    <w:basedOn w:val="Normal"/>
    <w:next w:val="Normal"/>
    <w:rsid w:val="002C444D"/>
    <w:pPr>
      <w:numPr>
        <w:ilvl w:val="2"/>
        <w:numId w:val="1"/>
      </w:numPr>
      <w:tabs>
        <w:tab w:val="left" w:pos="924"/>
        <w:tab w:val="left" w:pos="1848"/>
        <w:tab w:val="left" w:pos="2773"/>
        <w:tab w:val="left" w:pos="3697"/>
        <w:tab w:val="left" w:pos="4621"/>
        <w:tab w:val="left" w:pos="5545"/>
        <w:tab w:val="left" w:pos="6469"/>
        <w:tab w:val="left" w:pos="7394"/>
        <w:tab w:val="left" w:pos="8318"/>
        <w:tab w:val="right" w:pos="8930"/>
      </w:tabs>
      <w:spacing w:before="120" w:after="120" w:line="276" w:lineRule="auto"/>
      <w:outlineLvl w:val="3"/>
    </w:pPr>
    <w:rPr>
      <w:rFonts w:ascii="Arial" w:hAnsi="Arial"/>
      <w:sz w:val="21"/>
      <w:szCs w:val="20"/>
    </w:rPr>
  </w:style>
  <w:style w:type="paragraph" w:customStyle="1" w:styleId="LevelA0">
    <w:name w:val="Level(A)"/>
    <w:basedOn w:val="Normal"/>
    <w:next w:val="Normal"/>
    <w:rsid w:val="002C444D"/>
    <w:pPr>
      <w:numPr>
        <w:ilvl w:val="4"/>
        <w:numId w:val="1"/>
      </w:numPr>
      <w:tabs>
        <w:tab w:val="left" w:pos="924"/>
        <w:tab w:val="left" w:pos="1848"/>
        <w:tab w:val="left" w:pos="2773"/>
        <w:tab w:val="left" w:pos="3697"/>
        <w:tab w:val="left" w:pos="4621"/>
        <w:tab w:val="left" w:pos="5545"/>
        <w:tab w:val="left" w:pos="6469"/>
        <w:tab w:val="left" w:pos="7394"/>
        <w:tab w:val="left" w:pos="8318"/>
        <w:tab w:val="right" w:pos="8930"/>
      </w:tabs>
      <w:spacing w:before="120" w:after="120" w:line="276" w:lineRule="auto"/>
      <w:outlineLvl w:val="5"/>
    </w:pPr>
    <w:rPr>
      <w:rFonts w:ascii="Arial" w:hAnsi="Arial"/>
      <w:sz w:val="21"/>
      <w:szCs w:val="20"/>
    </w:rPr>
  </w:style>
  <w:style w:type="paragraph" w:customStyle="1" w:styleId="LevelI">
    <w:name w:val="Level(I)"/>
    <w:basedOn w:val="Normal"/>
    <w:next w:val="Normal"/>
    <w:rsid w:val="002C444D"/>
    <w:pPr>
      <w:numPr>
        <w:ilvl w:val="5"/>
        <w:numId w:val="1"/>
      </w:numPr>
      <w:tabs>
        <w:tab w:val="left" w:pos="924"/>
        <w:tab w:val="left" w:pos="1848"/>
        <w:tab w:val="left" w:pos="2773"/>
        <w:tab w:val="left" w:pos="3697"/>
        <w:tab w:val="left" w:pos="4621"/>
        <w:tab w:val="left" w:pos="5545"/>
        <w:tab w:val="left" w:pos="6469"/>
        <w:tab w:val="left" w:pos="7394"/>
        <w:tab w:val="left" w:pos="8318"/>
        <w:tab w:val="right" w:pos="8930"/>
      </w:tabs>
      <w:spacing w:before="120" w:after="120" w:line="276" w:lineRule="auto"/>
      <w:outlineLvl w:val="6"/>
    </w:pPr>
    <w:rPr>
      <w:rFonts w:ascii="Arial" w:hAnsi="Arial"/>
      <w:sz w:val="21"/>
      <w:szCs w:val="20"/>
    </w:rPr>
  </w:style>
  <w:style w:type="paragraph" w:styleId="TOC1">
    <w:name w:val="toc 1"/>
    <w:basedOn w:val="Normal"/>
    <w:next w:val="Normal"/>
    <w:autoRedefine/>
    <w:uiPriority w:val="39"/>
    <w:qFormat/>
    <w:rsid w:val="002110A7"/>
    <w:pPr>
      <w:tabs>
        <w:tab w:val="left" w:pos="480"/>
        <w:tab w:val="right" w:leader="dot" w:pos="9062"/>
      </w:tabs>
      <w:spacing w:before="120" w:after="120"/>
    </w:pPr>
    <w:rPr>
      <w:rFonts w:cstheme="minorHAnsi"/>
      <w:b/>
      <w:bCs/>
      <w:caps/>
      <w:noProof/>
      <w:color w:val="0070C0"/>
      <w:sz w:val="20"/>
      <w:szCs w:val="20"/>
    </w:rPr>
  </w:style>
  <w:style w:type="paragraph" w:styleId="TOC2">
    <w:name w:val="toc 2"/>
    <w:basedOn w:val="Normal"/>
    <w:next w:val="Normal"/>
    <w:autoRedefine/>
    <w:uiPriority w:val="39"/>
    <w:unhideWhenUsed/>
    <w:qFormat/>
    <w:rsid w:val="007A1D3F"/>
    <w:pPr>
      <w:ind w:left="240"/>
    </w:pPr>
    <w:rPr>
      <w:rFonts w:asciiTheme="minorHAnsi" w:hAnsiTheme="minorHAnsi" w:cstheme="minorHAnsi"/>
      <w:smallCaps/>
      <w:sz w:val="20"/>
      <w:szCs w:val="20"/>
    </w:rPr>
  </w:style>
  <w:style w:type="paragraph" w:customStyle="1" w:styleId="sTableheading">
    <w:name w:val="sTable heading"/>
    <w:basedOn w:val="Normal"/>
    <w:rsid w:val="00F454CD"/>
    <w:pPr>
      <w:widowControl w:val="0"/>
      <w:tabs>
        <w:tab w:val="left" w:pos="924"/>
        <w:tab w:val="left" w:pos="1848"/>
        <w:tab w:val="left" w:pos="2773"/>
        <w:tab w:val="left" w:pos="3697"/>
        <w:tab w:val="left" w:pos="4621"/>
        <w:tab w:val="left" w:pos="5545"/>
        <w:tab w:val="left" w:pos="6469"/>
        <w:tab w:val="left" w:pos="7394"/>
        <w:tab w:val="left" w:pos="8318"/>
        <w:tab w:val="right" w:pos="8930"/>
      </w:tabs>
      <w:spacing w:before="60" w:after="60" w:line="276" w:lineRule="auto"/>
      <w:jc w:val="center"/>
    </w:pPr>
    <w:rPr>
      <w:rFonts w:ascii="Arial" w:hAnsi="Arial"/>
      <w:b/>
      <w:sz w:val="16"/>
      <w:szCs w:val="20"/>
    </w:rPr>
  </w:style>
  <w:style w:type="paragraph" w:styleId="BodyText">
    <w:name w:val="Body Text"/>
    <w:basedOn w:val="Normal"/>
    <w:link w:val="BodyTextChar"/>
    <w:uiPriority w:val="99"/>
    <w:rsid w:val="00F454CD"/>
    <w:rPr>
      <w:rFonts w:cs="Arial Narrow"/>
    </w:rPr>
  </w:style>
  <w:style w:type="character" w:customStyle="1" w:styleId="BodyTextChar">
    <w:name w:val="Body Text Char"/>
    <w:basedOn w:val="DefaultParagraphFont"/>
    <w:link w:val="BodyText"/>
    <w:uiPriority w:val="99"/>
    <w:rsid w:val="00F454CD"/>
    <w:rPr>
      <w:rFonts w:ascii="Arial Narrow" w:eastAsia="Times New Roman" w:hAnsi="Arial Narrow" w:cs="Arial Narrow"/>
      <w:sz w:val="24"/>
      <w:szCs w:val="24"/>
    </w:rPr>
  </w:style>
  <w:style w:type="paragraph" w:styleId="BodyText2">
    <w:name w:val="Body Text 2"/>
    <w:basedOn w:val="Normal"/>
    <w:link w:val="BodyText2Char"/>
    <w:uiPriority w:val="99"/>
    <w:rsid w:val="00F454CD"/>
    <w:rPr>
      <w:rFonts w:cs="Arial Narrow"/>
    </w:rPr>
  </w:style>
  <w:style w:type="character" w:customStyle="1" w:styleId="BodyText2Char">
    <w:name w:val="Body Text 2 Char"/>
    <w:basedOn w:val="DefaultParagraphFont"/>
    <w:link w:val="BodyText2"/>
    <w:uiPriority w:val="99"/>
    <w:rsid w:val="00F454CD"/>
    <w:rPr>
      <w:rFonts w:ascii="Arial Narrow" w:eastAsia="Times New Roman" w:hAnsi="Arial Narrow" w:cs="Arial Narrow"/>
    </w:rPr>
  </w:style>
  <w:style w:type="paragraph" w:styleId="ListParagraph">
    <w:name w:val="List Paragraph"/>
    <w:basedOn w:val="Normal"/>
    <w:uiPriority w:val="34"/>
    <w:qFormat/>
    <w:rsid w:val="0059667B"/>
    <w:pPr>
      <w:ind w:left="720"/>
      <w:contextualSpacing/>
    </w:pPr>
    <w:rPr>
      <w:rFonts w:cs="Helvetica"/>
    </w:rPr>
  </w:style>
  <w:style w:type="paragraph" w:styleId="TOCHeading">
    <w:name w:val="TOC Heading"/>
    <w:basedOn w:val="Heading1"/>
    <w:next w:val="Normal"/>
    <w:uiPriority w:val="39"/>
    <w:unhideWhenUsed/>
    <w:qFormat/>
    <w:rsid w:val="000A2349"/>
    <w:pPr>
      <w:numPr>
        <w:numId w:val="0"/>
      </w:numPr>
    </w:pPr>
  </w:style>
  <w:style w:type="character" w:customStyle="1" w:styleId="Heading2Char">
    <w:name w:val="Heading 2 Char"/>
    <w:aliases w:val="h2 Char,Reset numbering Char,Heading 2STC Char,Para2 Char,h21 Char,h22 Char,h2 main heading Char"/>
    <w:basedOn w:val="DefaultParagraphFont"/>
    <w:link w:val="Heading2"/>
    <w:uiPriority w:val="99"/>
    <w:rsid w:val="00F516F1"/>
    <w:rPr>
      <w:rFonts w:ascii="Arial Narrow" w:hAnsi="Arial Narrow" w:cs="Arial"/>
      <w:b/>
      <w:noProof/>
      <w:sz w:val="24"/>
      <w:szCs w:val="24"/>
      <w:lang w:val="en-AU"/>
    </w:rPr>
  </w:style>
  <w:style w:type="paragraph" w:customStyle="1" w:styleId="PFNumLevel4">
    <w:name w:val="PF (Num) Level 4"/>
    <w:basedOn w:val="Normal"/>
    <w:rsid w:val="00E373B6"/>
    <w:pPr>
      <w:tabs>
        <w:tab w:val="num" w:pos="2772"/>
        <w:tab w:val="left" w:pos="4621"/>
        <w:tab w:val="left" w:pos="5545"/>
        <w:tab w:val="left" w:pos="6469"/>
        <w:tab w:val="left" w:pos="7394"/>
        <w:tab w:val="left" w:pos="8318"/>
        <w:tab w:val="right" w:pos="8930"/>
      </w:tabs>
      <w:spacing w:before="120" w:after="120" w:line="276" w:lineRule="auto"/>
      <w:ind w:left="2772" w:hanging="924"/>
    </w:pPr>
    <w:rPr>
      <w:rFonts w:ascii="Arial" w:hAnsi="Arial"/>
      <w:sz w:val="21"/>
      <w:szCs w:val="20"/>
    </w:rPr>
  </w:style>
  <w:style w:type="paragraph" w:customStyle="1" w:styleId="Leveli0">
    <w:name w:val="Level (i)"/>
    <w:basedOn w:val="Normal"/>
    <w:next w:val="Normal"/>
    <w:rsid w:val="00E373B6"/>
    <w:pPr>
      <w:tabs>
        <w:tab w:val="left" w:pos="924"/>
        <w:tab w:val="left" w:pos="1848"/>
        <w:tab w:val="left" w:pos="2773"/>
        <w:tab w:val="left" w:pos="3697"/>
        <w:tab w:val="left" w:pos="4621"/>
        <w:tab w:val="left" w:pos="5545"/>
        <w:tab w:val="left" w:pos="6469"/>
        <w:tab w:val="left" w:pos="7394"/>
        <w:tab w:val="left" w:pos="8318"/>
        <w:tab w:val="right" w:pos="8930"/>
      </w:tabs>
      <w:spacing w:before="120" w:after="120" w:line="276" w:lineRule="auto"/>
      <w:outlineLvl w:val="4"/>
    </w:pPr>
    <w:rPr>
      <w:rFonts w:ascii="Arial" w:hAnsi="Arial"/>
      <w:sz w:val="21"/>
      <w:szCs w:val="20"/>
    </w:rPr>
  </w:style>
  <w:style w:type="paragraph" w:styleId="TOC3">
    <w:name w:val="toc 3"/>
    <w:basedOn w:val="Normal"/>
    <w:next w:val="Normal"/>
    <w:autoRedefine/>
    <w:uiPriority w:val="39"/>
    <w:unhideWhenUsed/>
    <w:rsid w:val="002B017E"/>
    <w:pPr>
      <w:ind w:left="480"/>
    </w:pPr>
    <w:rPr>
      <w:rFonts w:asciiTheme="minorHAnsi" w:hAnsiTheme="minorHAnsi" w:cstheme="minorHAnsi"/>
      <w:i/>
      <w:iCs/>
      <w:sz w:val="20"/>
      <w:szCs w:val="20"/>
    </w:rPr>
  </w:style>
  <w:style w:type="table" w:styleId="TableGrid">
    <w:name w:val="Table Grid"/>
    <w:basedOn w:val="TableNormal"/>
    <w:uiPriority w:val="39"/>
    <w:rsid w:val="00F60E3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3">
    <w:name w:val="Pa3"/>
    <w:basedOn w:val="Normal"/>
    <w:uiPriority w:val="99"/>
    <w:rsid w:val="0050568A"/>
    <w:pPr>
      <w:autoSpaceDE w:val="0"/>
      <w:autoSpaceDN w:val="0"/>
      <w:spacing w:line="281" w:lineRule="atLeast"/>
    </w:pPr>
    <w:rPr>
      <w:rFonts w:ascii="Helvetica 45 Light" w:eastAsiaTheme="minorHAnsi" w:hAnsi="Helvetica 45 Light"/>
    </w:rPr>
  </w:style>
  <w:style w:type="table" w:styleId="LightShading-Accent4">
    <w:name w:val="Light Shading Accent 4"/>
    <w:basedOn w:val="TableNormal"/>
    <w:uiPriority w:val="60"/>
    <w:rsid w:val="0066454A"/>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12">
    <w:name w:val="Light Shading - Accent 12"/>
    <w:basedOn w:val="TableNormal"/>
    <w:uiPriority w:val="60"/>
    <w:rsid w:val="00FB19A8"/>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4">
    <w:name w:val="toc 4"/>
    <w:basedOn w:val="Normal"/>
    <w:next w:val="Normal"/>
    <w:autoRedefine/>
    <w:uiPriority w:val="39"/>
    <w:unhideWhenUsed/>
    <w:rsid w:val="00087D8C"/>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087D8C"/>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087D8C"/>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087D8C"/>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087D8C"/>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087D8C"/>
    <w:pPr>
      <w:ind w:left="1920"/>
    </w:pPr>
    <w:rPr>
      <w:rFonts w:asciiTheme="minorHAnsi" w:hAnsiTheme="minorHAnsi" w:cstheme="minorHAnsi"/>
      <w:sz w:val="18"/>
      <w:szCs w:val="18"/>
    </w:rPr>
  </w:style>
  <w:style w:type="paragraph" w:styleId="NoSpacing">
    <w:name w:val="No Spacing"/>
    <w:link w:val="NoSpacingChar"/>
    <w:uiPriority w:val="1"/>
    <w:qFormat/>
    <w:rsid w:val="00087D8C"/>
    <w:rPr>
      <w:rFonts w:ascii="Arial Narrow" w:eastAsiaTheme="minorEastAsia" w:hAnsi="Arial Narrow"/>
      <w:color w:val="000000"/>
      <w:lang w:val="en-AU"/>
    </w:rPr>
  </w:style>
  <w:style w:type="character" w:customStyle="1" w:styleId="NoSpacingChar">
    <w:name w:val="No Spacing Char"/>
    <w:basedOn w:val="DefaultParagraphFont"/>
    <w:link w:val="NoSpacing"/>
    <w:uiPriority w:val="1"/>
    <w:rsid w:val="00087D8C"/>
    <w:rPr>
      <w:rFonts w:ascii="Arial Narrow" w:eastAsiaTheme="minorEastAsia" w:hAnsi="Arial Narrow"/>
      <w:color w:val="000000"/>
      <w:lang w:val="en-AU"/>
    </w:rPr>
  </w:style>
  <w:style w:type="paragraph" w:customStyle="1" w:styleId="Body">
    <w:name w:val="Body"/>
    <w:rsid w:val="007E6463"/>
    <w:pPr>
      <w:spacing w:line="360" w:lineRule="auto"/>
      <w:jc w:val="both"/>
    </w:pPr>
    <w:rPr>
      <w:rFonts w:ascii="Arial Narrow" w:eastAsia="ヒラギノ角ゴ Pro W3" w:hAnsi="Arial Narrow"/>
      <w:color w:val="000000"/>
      <w:sz w:val="20"/>
      <w:szCs w:val="20"/>
    </w:rPr>
  </w:style>
  <w:style w:type="paragraph" w:customStyle="1" w:styleId="Title1">
    <w:name w:val="Title1"/>
    <w:next w:val="Body"/>
    <w:rsid w:val="007E6463"/>
    <w:pPr>
      <w:keepNext/>
    </w:pPr>
    <w:rPr>
      <w:rFonts w:ascii="Arial Narrow" w:eastAsia="ヒラギノ角ゴ Pro W3" w:hAnsi="Arial Narrow"/>
      <w:color w:val="000000"/>
      <w:sz w:val="36"/>
      <w:szCs w:val="20"/>
    </w:rPr>
  </w:style>
  <w:style w:type="paragraph" w:customStyle="1" w:styleId="Default">
    <w:name w:val="Default"/>
    <w:rsid w:val="00B55B02"/>
    <w:pPr>
      <w:autoSpaceDE w:val="0"/>
      <w:autoSpaceDN w:val="0"/>
      <w:adjustRightInd w:val="0"/>
    </w:pPr>
    <w:rPr>
      <w:rFonts w:ascii="Arial" w:hAnsi="Arial" w:cs="Arial"/>
      <w:color w:val="000000"/>
      <w:sz w:val="24"/>
      <w:szCs w:val="24"/>
      <w:lang w:eastAsia="en-AU"/>
    </w:rPr>
  </w:style>
  <w:style w:type="paragraph" w:styleId="NormalWeb">
    <w:name w:val="Normal (Web)"/>
    <w:basedOn w:val="Normal"/>
    <w:uiPriority w:val="99"/>
    <w:unhideWhenUsed/>
    <w:rsid w:val="00B81BD8"/>
    <w:pPr>
      <w:spacing w:before="100" w:beforeAutospacing="1" w:after="100" w:afterAutospacing="1"/>
    </w:pPr>
    <w:rPr>
      <w:rFonts w:ascii="Verdana" w:hAnsi="Verdana"/>
      <w:color w:val="77787B"/>
      <w:sz w:val="17"/>
      <w:szCs w:val="17"/>
    </w:rPr>
  </w:style>
  <w:style w:type="character" w:customStyle="1" w:styleId="Heading3Char">
    <w:name w:val="Heading 3 Char"/>
    <w:basedOn w:val="DefaultParagraphFont"/>
    <w:link w:val="Heading3"/>
    <w:rsid w:val="0059667B"/>
    <w:rPr>
      <w:rFonts w:ascii="Arial Narrow" w:eastAsiaTheme="majorEastAsia" w:hAnsi="Arial Narrow" w:cstheme="majorBidi"/>
      <w:b/>
      <w:color w:val="000000" w:themeColor="text1"/>
      <w:szCs w:val="20"/>
    </w:rPr>
  </w:style>
  <w:style w:type="character" w:customStyle="1" w:styleId="Heading4Char">
    <w:name w:val="Heading 4 Char"/>
    <w:basedOn w:val="DefaultParagraphFont"/>
    <w:link w:val="Heading4"/>
    <w:rsid w:val="007156C7"/>
    <w:rPr>
      <w:rFonts w:ascii="Arial Narrow" w:eastAsiaTheme="majorEastAsia" w:hAnsi="Arial Narrow" w:cstheme="majorBidi"/>
      <w:b/>
      <w:bCs/>
      <w:iCs/>
      <w:color w:val="4F81BD" w:themeColor="accent1"/>
      <w:lang w:val="en-AU"/>
    </w:rPr>
  </w:style>
  <w:style w:type="character" w:customStyle="1" w:styleId="Heading6Char">
    <w:name w:val="Heading 6 Char"/>
    <w:basedOn w:val="DefaultParagraphFont"/>
    <w:link w:val="Heading6"/>
    <w:semiHidden/>
    <w:rsid w:val="00EF69D4"/>
    <w:rPr>
      <w:rFonts w:asciiTheme="majorHAnsi" w:eastAsiaTheme="majorEastAsia" w:hAnsiTheme="majorHAnsi" w:cstheme="majorBidi"/>
      <w:i/>
      <w:iCs/>
      <w:color w:val="243F60" w:themeColor="accent1" w:themeShade="7F"/>
      <w:lang w:val="en-AU"/>
    </w:rPr>
  </w:style>
  <w:style w:type="paragraph" w:styleId="Title">
    <w:name w:val="Title"/>
    <w:basedOn w:val="Normal"/>
    <w:next w:val="Normal"/>
    <w:link w:val="TitleChar"/>
    <w:qFormat/>
    <w:rsid w:val="0059667B"/>
    <w:rPr>
      <w:b/>
      <w:color w:val="0060AF"/>
      <w:sz w:val="52"/>
      <w:szCs w:val="52"/>
    </w:rPr>
  </w:style>
  <w:style w:type="character" w:customStyle="1" w:styleId="TitleChar">
    <w:name w:val="Title Char"/>
    <w:basedOn w:val="DefaultParagraphFont"/>
    <w:link w:val="Title"/>
    <w:rsid w:val="0059667B"/>
    <w:rPr>
      <w:rFonts w:ascii="Arial Narrow" w:hAnsi="Arial Narrow"/>
      <w:b/>
      <w:color w:val="0060AF"/>
      <w:sz w:val="52"/>
      <w:szCs w:val="52"/>
      <w:lang w:val="en-AU"/>
    </w:rPr>
  </w:style>
  <w:style w:type="paragraph" w:styleId="Subtitle">
    <w:name w:val="Subtitle"/>
    <w:basedOn w:val="Normal"/>
    <w:next w:val="Normal"/>
    <w:link w:val="SubtitleChar"/>
    <w:uiPriority w:val="11"/>
    <w:qFormat/>
    <w:rsid w:val="0059667B"/>
    <w:rPr>
      <w:color w:val="0060AF"/>
      <w:sz w:val="36"/>
      <w:szCs w:val="36"/>
    </w:rPr>
  </w:style>
  <w:style w:type="character" w:customStyle="1" w:styleId="SubtitleChar">
    <w:name w:val="Subtitle Char"/>
    <w:basedOn w:val="DefaultParagraphFont"/>
    <w:link w:val="Subtitle"/>
    <w:uiPriority w:val="11"/>
    <w:rsid w:val="0059667B"/>
    <w:rPr>
      <w:rFonts w:ascii="Arial Narrow" w:hAnsi="Arial Narrow"/>
      <w:color w:val="0060AF"/>
      <w:sz w:val="36"/>
      <w:szCs w:val="36"/>
      <w:lang w:val="en-AU"/>
    </w:rPr>
  </w:style>
  <w:style w:type="character" w:customStyle="1" w:styleId="apple-style-span">
    <w:name w:val="apple-style-span"/>
    <w:basedOn w:val="DefaultParagraphFont"/>
    <w:rsid w:val="00E53B0E"/>
  </w:style>
  <w:style w:type="character" w:customStyle="1" w:styleId="apple-converted-space">
    <w:name w:val="apple-converted-space"/>
    <w:basedOn w:val="DefaultParagraphFont"/>
    <w:rsid w:val="00E53B0E"/>
  </w:style>
  <w:style w:type="character" w:styleId="IntenseEmphasis">
    <w:name w:val="Intense Emphasis"/>
    <w:basedOn w:val="DefaultParagraphFont"/>
    <w:uiPriority w:val="21"/>
    <w:qFormat/>
    <w:rsid w:val="00D75EB4"/>
    <w:rPr>
      <w:b/>
      <w:bCs/>
      <w:i/>
      <w:iCs/>
      <w:color w:val="4F81BD" w:themeColor="accent1"/>
    </w:rPr>
  </w:style>
  <w:style w:type="table" w:customStyle="1" w:styleId="GridTable4Accent1">
    <w:name w:val="Grid Table 4 Accent 1"/>
    <w:basedOn w:val="TableNormal"/>
    <w:uiPriority w:val="49"/>
    <w:rsid w:val="00B5454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1">
    <w:name w:val="List Table 4 Accent 1"/>
    <w:basedOn w:val="TableNormal"/>
    <w:uiPriority w:val="49"/>
    <w:rsid w:val="005978B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FootnoteText">
    <w:name w:val="footnote text"/>
    <w:basedOn w:val="Normal"/>
    <w:link w:val="FootnoteTextChar"/>
    <w:uiPriority w:val="99"/>
    <w:semiHidden/>
    <w:unhideWhenUsed/>
    <w:rsid w:val="00A32899"/>
    <w:rPr>
      <w:sz w:val="20"/>
      <w:szCs w:val="20"/>
    </w:rPr>
  </w:style>
  <w:style w:type="character" w:customStyle="1" w:styleId="FootnoteTextChar">
    <w:name w:val="Footnote Text Char"/>
    <w:basedOn w:val="DefaultParagraphFont"/>
    <w:link w:val="FootnoteText"/>
    <w:uiPriority w:val="99"/>
    <w:semiHidden/>
    <w:rsid w:val="00A32899"/>
    <w:rPr>
      <w:rFonts w:ascii="Arial Narrow" w:hAnsi="Arial Narrow"/>
      <w:color w:val="000000"/>
      <w:sz w:val="20"/>
      <w:szCs w:val="20"/>
      <w:lang w:val="en-AU"/>
    </w:rPr>
  </w:style>
  <w:style w:type="character" w:styleId="FootnoteReference">
    <w:name w:val="footnote reference"/>
    <w:basedOn w:val="DefaultParagraphFont"/>
    <w:uiPriority w:val="99"/>
    <w:unhideWhenUsed/>
    <w:rsid w:val="00A32899"/>
    <w:rPr>
      <w:vertAlign w:val="superscript"/>
    </w:rPr>
  </w:style>
  <w:style w:type="paragraph" w:styleId="ListBullet">
    <w:name w:val="List Bullet"/>
    <w:basedOn w:val="BodyText"/>
    <w:qFormat/>
    <w:rsid w:val="00EC18EB"/>
    <w:pPr>
      <w:numPr>
        <w:numId w:val="4"/>
      </w:numPr>
      <w:spacing w:before="130" w:after="130"/>
    </w:pPr>
    <w:rPr>
      <w:rFonts w:ascii="Times New Roman" w:hAnsi="Times New Roman" w:cs="Times New Roman"/>
      <w:color w:val="auto"/>
      <w:szCs w:val="20"/>
    </w:rPr>
  </w:style>
  <w:style w:type="paragraph" w:styleId="ListBullet2">
    <w:name w:val="List Bullet 2"/>
    <w:basedOn w:val="ListBullet"/>
    <w:uiPriority w:val="99"/>
    <w:rsid w:val="00EC18EB"/>
    <w:pPr>
      <w:numPr>
        <w:numId w:val="3"/>
      </w:numPr>
    </w:pPr>
  </w:style>
  <w:style w:type="character" w:styleId="CommentReference">
    <w:name w:val="annotation reference"/>
    <w:basedOn w:val="DefaultParagraphFont"/>
    <w:uiPriority w:val="99"/>
    <w:semiHidden/>
    <w:unhideWhenUsed/>
    <w:rsid w:val="00F562D6"/>
    <w:rPr>
      <w:sz w:val="16"/>
      <w:szCs w:val="16"/>
    </w:rPr>
  </w:style>
  <w:style w:type="paragraph" w:styleId="CommentText">
    <w:name w:val="annotation text"/>
    <w:basedOn w:val="Normal"/>
    <w:link w:val="CommentTextChar"/>
    <w:uiPriority w:val="99"/>
    <w:semiHidden/>
    <w:unhideWhenUsed/>
    <w:rsid w:val="00F562D6"/>
    <w:rPr>
      <w:sz w:val="20"/>
      <w:szCs w:val="20"/>
    </w:rPr>
  </w:style>
  <w:style w:type="character" w:customStyle="1" w:styleId="CommentTextChar">
    <w:name w:val="Comment Text Char"/>
    <w:basedOn w:val="DefaultParagraphFont"/>
    <w:link w:val="CommentText"/>
    <w:uiPriority w:val="99"/>
    <w:semiHidden/>
    <w:rsid w:val="00F562D6"/>
    <w:rPr>
      <w:rFonts w:ascii="Arial Narrow" w:hAnsi="Arial Narrow"/>
      <w:color w:val="000000"/>
      <w:sz w:val="20"/>
      <w:szCs w:val="20"/>
      <w:lang w:val="en-AU"/>
    </w:rPr>
  </w:style>
  <w:style w:type="paragraph" w:styleId="CommentSubject">
    <w:name w:val="annotation subject"/>
    <w:basedOn w:val="CommentText"/>
    <w:next w:val="CommentText"/>
    <w:link w:val="CommentSubjectChar"/>
    <w:uiPriority w:val="99"/>
    <w:semiHidden/>
    <w:unhideWhenUsed/>
    <w:rsid w:val="00F562D6"/>
    <w:rPr>
      <w:b/>
      <w:bCs/>
    </w:rPr>
  </w:style>
  <w:style w:type="character" w:customStyle="1" w:styleId="CommentSubjectChar">
    <w:name w:val="Comment Subject Char"/>
    <w:basedOn w:val="CommentTextChar"/>
    <w:link w:val="CommentSubject"/>
    <w:uiPriority w:val="99"/>
    <w:semiHidden/>
    <w:rsid w:val="00F562D6"/>
    <w:rPr>
      <w:rFonts w:ascii="Arial Narrow" w:hAnsi="Arial Narrow"/>
      <w:b/>
      <w:bCs/>
      <w:color w:val="000000"/>
      <w:sz w:val="20"/>
      <w:szCs w:val="20"/>
      <w:lang w:val="en-AU"/>
    </w:rPr>
  </w:style>
  <w:style w:type="paragraph" w:styleId="Revision">
    <w:name w:val="Revision"/>
    <w:hidden/>
    <w:uiPriority w:val="99"/>
    <w:semiHidden/>
    <w:rsid w:val="00F562D6"/>
    <w:rPr>
      <w:rFonts w:ascii="Arial Narrow" w:hAnsi="Arial Narrow"/>
      <w:color w:val="000000"/>
      <w:lang w:val="en-AU"/>
    </w:rPr>
  </w:style>
  <w:style w:type="table" w:customStyle="1" w:styleId="ListTable3Accent1">
    <w:name w:val="List Table 3 Accent 1"/>
    <w:basedOn w:val="TableNormal"/>
    <w:uiPriority w:val="48"/>
    <w:rsid w:val="000043D7"/>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TableHeader">
    <w:name w:val="Table Header"/>
    <w:link w:val="TableHeaderChar"/>
    <w:uiPriority w:val="99"/>
    <w:qFormat/>
    <w:rsid w:val="00F3317F"/>
    <w:pPr>
      <w:spacing w:line="259" w:lineRule="auto"/>
      <w:ind w:left="-567"/>
    </w:pPr>
    <w:rPr>
      <w:rFonts w:ascii="Arial Black" w:hAnsi="Arial Black" w:cs="Arial"/>
      <w:b/>
      <w:color w:val="E6361D"/>
      <w:sz w:val="16"/>
      <w:szCs w:val="16"/>
      <w:lang w:val="en-AU"/>
    </w:rPr>
  </w:style>
  <w:style w:type="paragraph" w:customStyle="1" w:styleId="TableColumnLabel">
    <w:name w:val="Table Column Label"/>
    <w:link w:val="TableColumnLabelChar"/>
    <w:qFormat/>
    <w:rsid w:val="00F3317F"/>
    <w:pPr>
      <w:tabs>
        <w:tab w:val="right" w:pos="2410"/>
        <w:tab w:val="right" w:pos="3544"/>
        <w:tab w:val="right" w:pos="4678"/>
        <w:tab w:val="right" w:pos="5812"/>
        <w:tab w:val="right" w:pos="6946"/>
        <w:tab w:val="right" w:pos="8080"/>
      </w:tabs>
      <w:spacing w:after="20" w:line="259" w:lineRule="auto"/>
      <w:ind w:right="-164"/>
    </w:pPr>
    <w:rPr>
      <w:rFonts w:ascii="Arial Narrow" w:hAnsi="Arial Narrow" w:cs="Arial"/>
      <w:b/>
      <w:color w:val="E6361D"/>
      <w:sz w:val="16"/>
      <w:szCs w:val="16"/>
      <w:lang w:val="en-AU"/>
    </w:rPr>
  </w:style>
  <w:style w:type="character" w:customStyle="1" w:styleId="TableHeaderChar">
    <w:name w:val="Table Header Char"/>
    <w:basedOn w:val="DefaultParagraphFont"/>
    <w:link w:val="TableHeader"/>
    <w:uiPriority w:val="99"/>
    <w:rsid w:val="00F3317F"/>
    <w:rPr>
      <w:rFonts w:ascii="Arial Black" w:hAnsi="Arial Black" w:cs="Arial"/>
      <w:b/>
      <w:color w:val="E6361D"/>
      <w:sz w:val="16"/>
      <w:szCs w:val="16"/>
      <w:lang w:val="en-AU"/>
    </w:rPr>
  </w:style>
  <w:style w:type="paragraph" w:customStyle="1" w:styleId="TableBody">
    <w:name w:val="Table Body"/>
    <w:link w:val="TableBodyChar"/>
    <w:qFormat/>
    <w:rsid w:val="00F3317F"/>
    <w:pPr>
      <w:tabs>
        <w:tab w:val="right" w:pos="2410"/>
        <w:tab w:val="right" w:pos="3544"/>
        <w:tab w:val="right" w:pos="4678"/>
        <w:tab w:val="right" w:pos="5812"/>
        <w:tab w:val="right" w:pos="6946"/>
        <w:tab w:val="right" w:pos="8080"/>
      </w:tabs>
      <w:spacing w:after="160" w:line="259" w:lineRule="auto"/>
      <w:ind w:right="-164"/>
    </w:pPr>
    <w:rPr>
      <w:rFonts w:ascii="Arial Narrow" w:hAnsi="Arial Narrow" w:cs="Arial"/>
      <w:color w:val="E6361D"/>
      <w:sz w:val="16"/>
      <w:szCs w:val="16"/>
      <w:lang w:val="en-AU"/>
    </w:rPr>
  </w:style>
  <w:style w:type="character" w:customStyle="1" w:styleId="TableColumnLabelChar">
    <w:name w:val="Table Column Label Char"/>
    <w:basedOn w:val="DefaultParagraphFont"/>
    <w:link w:val="TableColumnLabel"/>
    <w:rsid w:val="00F3317F"/>
    <w:rPr>
      <w:rFonts w:ascii="Arial Narrow" w:hAnsi="Arial Narrow" w:cs="Arial"/>
      <w:b/>
      <w:color w:val="E6361D"/>
      <w:sz w:val="16"/>
      <w:szCs w:val="16"/>
      <w:lang w:val="en-AU"/>
    </w:rPr>
  </w:style>
  <w:style w:type="character" w:customStyle="1" w:styleId="TableBodyChar">
    <w:name w:val="Table Body Char"/>
    <w:basedOn w:val="DefaultParagraphFont"/>
    <w:link w:val="TableBody"/>
    <w:rsid w:val="00F3317F"/>
    <w:rPr>
      <w:rFonts w:ascii="Arial Narrow" w:hAnsi="Arial Narrow" w:cs="Arial"/>
      <w:color w:val="E6361D"/>
      <w:sz w:val="16"/>
      <w:szCs w:val="16"/>
      <w:lang w:val="en-AU"/>
    </w:rPr>
  </w:style>
  <w:style w:type="paragraph" w:customStyle="1" w:styleId="DotPoints">
    <w:name w:val="Dot Points"/>
    <w:link w:val="DotPointsChar"/>
    <w:qFormat/>
    <w:rsid w:val="009C11B0"/>
    <w:pPr>
      <w:numPr>
        <w:numId w:val="5"/>
      </w:numPr>
      <w:spacing w:after="40" w:line="259" w:lineRule="auto"/>
      <w:ind w:left="714" w:right="-164" w:hanging="357"/>
    </w:pPr>
    <w:rPr>
      <w:rFonts w:ascii="Arial" w:hAnsi="Arial" w:cs="Arial"/>
      <w:sz w:val="19"/>
      <w:szCs w:val="24"/>
      <w:lang w:val="en-AU"/>
    </w:rPr>
  </w:style>
  <w:style w:type="character" w:customStyle="1" w:styleId="DotPointsChar">
    <w:name w:val="Dot Points Char"/>
    <w:basedOn w:val="DefaultParagraphFont"/>
    <w:link w:val="DotPoints"/>
    <w:rsid w:val="009C11B0"/>
    <w:rPr>
      <w:rFonts w:ascii="Arial" w:hAnsi="Arial" w:cs="Arial"/>
      <w:sz w:val="19"/>
      <w:szCs w:val="24"/>
      <w:lang w:val="en-AU"/>
    </w:rPr>
  </w:style>
  <w:style w:type="character" w:customStyle="1" w:styleId="Mention">
    <w:name w:val="Mention"/>
    <w:basedOn w:val="DefaultParagraphFont"/>
    <w:uiPriority w:val="99"/>
    <w:semiHidden/>
    <w:unhideWhenUsed/>
    <w:rsid w:val="00AF1777"/>
    <w:rPr>
      <w:color w:val="2B579A"/>
      <w:shd w:val="clear" w:color="auto" w:fill="E6E6E6"/>
    </w:rPr>
  </w:style>
  <w:style w:type="character" w:customStyle="1" w:styleId="UnresolvedMention1">
    <w:name w:val="Unresolved Mention1"/>
    <w:basedOn w:val="DefaultParagraphFont"/>
    <w:uiPriority w:val="99"/>
    <w:semiHidden/>
    <w:unhideWhenUsed/>
    <w:rsid w:val="00B131D2"/>
    <w:rPr>
      <w:color w:val="808080"/>
      <w:shd w:val="clear" w:color="auto" w:fill="E6E6E6"/>
    </w:rPr>
  </w:style>
  <w:style w:type="character" w:styleId="FollowedHyperlink">
    <w:name w:val="FollowedHyperlink"/>
    <w:basedOn w:val="DefaultParagraphFont"/>
    <w:uiPriority w:val="99"/>
    <w:semiHidden/>
    <w:unhideWhenUsed/>
    <w:rsid w:val="00B131D2"/>
    <w:rPr>
      <w:color w:val="800080" w:themeColor="followedHyperlink"/>
      <w:u w:val="single"/>
    </w:rPr>
  </w:style>
  <w:style w:type="character" w:styleId="Emphasis">
    <w:name w:val="Emphasis"/>
    <w:basedOn w:val="DefaultParagraphFont"/>
    <w:uiPriority w:val="20"/>
    <w:qFormat/>
    <w:locked/>
    <w:rsid w:val="00197BE2"/>
    <w:rPr>
      <w:i/>
      <w:iC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05524">
      <w:bodyDiv w:val="1"/>
      <w:marLeft w:val="0"/>
      <w:marRight w:val="0"/>
      <w:marTop w:val="0"/>
      <w:marBottom w:val="0"/>
      <w:divBdr>
        <w:top w:val="none" w:sz="0" w:space="0" w:color="auto"/>
        <w:left w:val="none" w:sz="0" w:space="0" w:color="auto"/>
        <w:bottom w:val="none" w:sz="0" w:space="0" w:color="auto"/>
        <w:right w:val="none" w:sz="0" w:space="0" w:color="auto"/>
      </w:divBdr>
    </w:div>
    <w:div w:id="140004408">
      <w:bodyDiv w:val="1"/>
      <w:marLeft w:val="0"/>
      <w:marRight w:val="0"/>
      <w:marTop w:val="0"/>
      <w:marBottom w:val="0"/>
      <w:divBdr>
        <w:top w:val="none" w:sz="0" w:space="0" w:color="auto"/>
        <w:left w:val="none" w:sz="0" w:space="0" w:color="auto"/>
        <w:bottom w:val="none" w:sz="0" w:space="0" w:color="auto"/>
        <w:right w:val="none" w:sz="0" w:space="0" w:color="auto"/>
      </w:divBdr>
    </w:div>
    <w:div w:id="176887006">
      <w:bodyDiv w:val="1"/>
      <w:marLeft w:val="0"/>
      <w:marRight w:val="0"/>
      <w:marTop w:val="0"/>
      <w:marBottom w:val="0"/>
      <w:divBdr>
        <w:top w:val="none" w:sz="0" w:space="0" w:color="auto"/>
        <w:left w:val="none" w:sz="0" w:space="0" w:color="auto"/>
        <w:bottom w:val="none" w:sz="0" w:space="0" w:color="auto"/>
        <w:right w:val="none" w:sz="0" w:space="0" w:color="auto"/>
      </w:divBdr>
    </w:div>
    <w:div w:id="203640646">
      <w:bodyDiv w:val="1"/>
      <w:marLeft w:val="0"/>
      <w:marRight w:val="0"/>
      <w:marTop w:val="0"/>
      <w:marBottom w:val="0"/>
      <w:divBdr>
        <w:top w:val="none" w:sz="0" w:space="0" w:color="auto"/>
        <w:left w:val="none" w:sz="0" w:space="0" w:color="auto"/>
        <w:bottom w:val="none" w:sz="0" w:space="0" w:color="auto"/>
        <w:right w:val="none" w:sz="0" w:space="0" w:color="auto"/>
      </w:divBdr>
    </w:div>
    <w:div w:id="293487831">
      <w:bodyDiv w:val="1"/>
      <w:marLeft w:val="0"/>
      <w:marRight w:val="0"/>
      <w:marTop w:val="0"/>
      <w:marBottom w:val="0"/>
      <w:divBdr>
        <w:top w:val="none" w:sz="0" w:space="0" w:color="auto"/>
        <w:left w:val="none" w:sz="0" w:space="0" w:color="auto"/>
        <w:bottom w:val="none" w:sz="0" w:space="0" w:color="auto"/>
        <w:right w:val="none" w:sz="0" w:space="0" w:color="auto"/>
      </w:divBdr>
    </w:div>
    <w:div w:id="313684247">
      <w:bodyDiv w:val="1"/>
      <w:marLeft w:val="0"/>
      <w:marRight w:val="0"/>
      <w:marTop w:val="0"/>
      <w:marBottom w:val="0"/>
      <w:divBdr>
        <w:top w:val="none" w:sz="0" w:space="0" w:color="auto"/>
        <w:left w:val="none" w:sz="0" w:space="0" w:color="auto"/>
        <w:bottom w:val="none" w:sz="0" w:space="0" w:color="auto"/>
        <w:right w:val="none" w:sz="0" w:space="0" w:color="auto"/>
      </w:divBdr>
    </w:div>
    <w:div w:id="327253549">
      <w:bodyDiv w:val="1"/>
      <w:marLeft w:val="0"/>
      <w:marRight w:val="0"/>
      <w:marTop w:val="0"/>
      <w:marBottom w:val="0"/>
      <w:divBdr>
        <w:top w:val="none" w:sz="0" w:space="0" w:color="auto"/>
        <w:left w:val="none" w:sz="0" w:space="0" w:color="auto"/>
        <w:bottom w:val="none" w:sz="0" w:space="0" w:color="auto"/>
        <w:right w:val="none" w:sz="0" w:space="0" w:color="auto"/>
      </w:divBdr>
    </w:div>
    <w:div w:id="385177724">
      <w:bodyDiv w:val="1"/>
      <w:marLeft w:val="0"/>
      <w:marRight w:val="0"/>
      <w:marTop w:val="0"/>
      <w:marBottom w:val="0"/>
      <w:divBdr>
        <w:top w:val="none" w:sz="0" w:space="0" w:color="auto"/>
        <w:left w:val="none" w:sz="0" w:space="0" w:color="auto"/>
        <w:bottom w:val="none" w:sz="0" w:space="0" w:color="auto"/>
        <w:right w:val="none" w:sz="0" w:space="0" w:color="auto"/>
      </w:divBdr>
    </w:div>
    <w:div w:id="450053036">
      <w:bodyDiv w:val="1"/>
      <w:marLeft w:val="0"/>
      <w:marRight w:val="0"/>
      <w:marTop w:val="0"/>
      <w:marBottom w:val="0"/>
      <w:divBdr>
        <w:top w:val="none" w:sz="0" w:space="0" w:color="auto"/>
        <w:left w:val="none" w:sz="0" w:space="0" w:color="auto"/>
        <w:bottom w:val="none" w:sz="0" w:space="0" w:color="auto"/>
        <w:right w:val="none" w:sz="0" w:space="0" w:color="auto"/>
      </w:divBdr>
      <w:divsChild>
        <w:div w:id="545265599">
          <w:marLeft w:val="0"/>
          <w:marRight w:val="0"/>
          <w:marTop w:val="0"/>
          <w:marBottom w:val="0"/>
          <w:divBdr>
            <w:top w:val="none" w:sz="0" w:space="0" w:color="auto"/>
            <w:left w:val="none" w:sz="0" w:space="0" w:color="auto"/>
            <w:bottom w:val="none" w:sz="0" w:space="0" w:color="auto"/>
            <w:right w:val="none" w:sz="0" w:space="0" w:color="auto"/>
          </w:divBdr>
          <w:divsChild>
            <w:div w:id="1671324643">
              <w:marLeft w:val="0"/>
              <w:marRight w:val="0"/>
              <w:marTop w:val="0"/>
              <w:marBottom w:val="0"/>
              <w:divBdr>
                <w:top w:val="none" w:sz="0" w:space="0" w:color="auto"/>
                <w:left w:val="none" w:sz="0" w:space="0" w:color="auto"/>
                <w:bottom w:val="none" w:sz="0" w:space="0" w:color="auto"/>
                <w:right w:val="none" w:sz="0" w:space="0" w:color="auto"/>
              </w:divBdr>
              <w:divsChild>
                <w:div w:id="431243748">
                  <w:marLeft w:val="0"/>
                  <w:marRight w:val="0"/>
                  <w:marTop w:val="0"/>
                  <w:marBottom w:val="0"/>
                  <w:divBdr>
                    <w:top w:val="none" w:sz="0" w:space="0" w:color="auto"/>
                    <w:left w:val="none" w:sz="0" w:space="0" w:color="auto"/>
                    <w:bottom w:val="none" w:sz="0" w:space="0" w:color="auto"/>
                    <w:right w:val="none" w:sz="0" w:space="0" w:color="auto"/>
                  </w:divBdr>
                  <w:divsChild>
                    <w:div w:id="1794909094">
                      <w:marLeft w:val="0"/>
                      <w:marRight w:val="0"/>
                      <w:marTop w:val="0"/>
                      <w:marBottom w:val="0"/>
                      <w:divBdr>
                        <w:top w:val="none" w:sz="0" w:space="0" w:color="auto"/>
                        <w:left w:val="none" w:sz="0" w:space="0" w:color="auto"/>
                        <w:bottom w:val="none" w:sz="0" w:space="0" w:color="auto"/>
                        <w:right w:val="none" w:sz="0" w:space="0" w:color="auto"/>
                      </w:divBdr>
                      <w:divsChild>
                        <w:div w:id="664743001">
                          <w:marLeft w:val="0"/>
                          <w:marRight w:val="0"/>
                          <w:marTop w:val="0"/>
                          <w:marBottom w:val="0"/>
                          <w:divBdr>
                            <w:top w:val="none" w:sz="0" w:space="0" w:color="auto"/>
                            <w:left w:val="none" w:sz="0" w:space="0" w:color="auto"/>
                            <w:bottom w:val="none" w:sz="0" w:space="0" w:color="auto"/>
                            <w:right w:val="none" w:sz="0" w:space="0" w:color="auto"/>
                          </w:divBdr>
                          <w:divsChild>
                            <w:div w:id="80851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527587">
      <w:bodyDiv w:val="1"/>
      <w:marLeft w:val="0"/>
      <w:marRight w:val="0"/>
      <w:marTop w:val="0"/>
      <w:marBottom w:val="0"/>
      <w:divBdr>
        <w:top w:val="none" w:sz="0" w:space="0" w:color="auto"/>
        <w:left w:val="none" w:sz="0" w:space="0" w:color="auto"/>
        <w:bottom w:val="none" w:sz="0" w:space="0" w:color="auto"/>
        <w:right w:val="none" w:sz="0" w:space="0" w:color="auto"/>
      </w:divBdr>
    </w:div>
    <w:div w:id="613097046">
      <w:bodyDiv w:val="1"/>
      <w:marLeft w:val="0"/>
      <w:marRight w:val="0"/>
      <w:marTop w:val="0"/>
      <w:marBottom w:val="0"/>
      <w:divBdr>
        <w:top w:val="none" w:sz="0" w:space="0" w:color="auto"/>
        <w:left w:val="none" w:sz="0" w:space="0" w:color="auto"/>
        <w:bottom w:val="none" w:sz="0" w:space="0" w:color="auto"/>
        <w:right w:val="none" w:sz="0" w:space="0" w:color="auto"/>
      </w:divBdr>
      <w:divsChild>
        <w:div w:id="414401044">
          <w:marLeft w:val="0"/>
          <w:marRight w:val="0"/>
          <w:marTop w:val="0"/>
          <w:marBottom w:val="0"/>
          <w:divBdr>
            <w:top w:val="none" w:sz="0" w:space="0" w:color="auto"/>
            <w:left w:val="none" w:sz="0" w:space="0" w:color="auto"/>
            <w:bottom w:val="none" w:sz="0" w:space="0" w:color="auto"/>
            <w:right w:val="none" w:sz="0" w:space="0" w:color="auto"/>
          </w:divBdr>
          <w:divsChild>
            <w:div w:id="169105124">
              <w:marLeft w:val="0"/>
              <w:marRight w:val="0"/>
              <w:marTop w:val="0"/>
              <w:marBottom w:val="0"/>
              <w:divBdr>
                <w:top w:val="none" w:sz="0" w:space="0" w:color="auto"/>
                <w:left w:val="none" w:sz="0" w:space="0" w:color="auto"/>
                <w:bottom w:val="none" w:sz="0" w:space="0" w:color="auto"/>
                <w:right w:val="none" w:sz="0" w:space="0" w:color="auto"/>
              </w:divBdr>
              <w:divsChild>
                <w:div w:id="1308975887">
                  <w:marLeft w:val="0"/>
                  <w:marRight w:val="0"/>
                  <w:marTop w:val="0"/>
                  <w:marBottom w:val="0"/>
                  <w:divBdr>
                    <w:top w:val="none" w:sz="0" w:space="0" w:color="auto"/>
                    <w:left w:val="none" w:sz="0" w:space="0" w:color="auto"/>
                    <w:bottom w:val="none" w:sz="0" w:space="0" w:color="auto"/>
                    <w:right w:val="none" w:sz="0" w:space="0" w:color="auto"/>
                  </w:divBdr>
                  <w:divsChild>
                    <w:div w:id="185290806">
                      <w:marLeft w:val="0"/>
                      <w:marRight w:val="0"/>
                      <w:marTop w:val="0"/>
                      <w:marBottom w:val="0"/>
                      <w:divBdr>
                        <w:top w:val="none" w:sz="0" w:space="0" w:color="auto"/>
                        <w:left w:val="none" w:sz="0" w:space="0" w:color="auto"/>
                        <w:bottom w:val="none" w:sz="0" w:space="0" w:color="auto"/>
                        <w:right w:val="none" w:sz="0" w:space="0" w:color="auto"/>
                      </w:divBdr>
                      <w:divsChild>
                        <w:div w:id="653529833">
                          <w:marLeft w:val="0"/>
                          <w:marRight w:val="0"/>
                          <w:marTop w:val="0"/>
                          <w:marBottom w:val="0"/>
                          <w:divBdr>
                            <w:top w:val="none" w:sz="0" w:space="0" w:color="auto"/>
                            <w:left w:val="none" w:sz="0" w:space="0" w:color="auto"/>
                            <w:bottom w:val="none" w:sz="0" w:space="0" w:color="auto"/>
                            <w:right w:val="none" w:sz="0" w:space="0" w:color="auto"/>
                          </w:divBdr>
                          <w:divsChild>
                            <w:div w:id="82563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6103817">
      <w:bodyDiv w:val="1"/>
      <w:marLeft w:val="75"/>
      <w:marRight w:val="75"/>
      <w:marTop w:val="75"/>
      <w:marBottom w:val="75"/>
      <w:divBdr>
        <w:top w:val="none" w:sz="0" w:space="0" w:color="auto"/>
        <w:left w:val="none" w:sz="0" w:space="0" w:color="auto"/>
        <w:bottom w:val="none" w:sz="0" w:space="0" w:color="auto"/>
        <w:right w:val="none" w:sz="0" w:space="0" w:color="auto"/>
      </w:divBdr>
      <w:divsChild>
        <w:div w:id="226185910">
          <w:marLeft w:val="0"/>
          <w:marRight w:val="0"/>
          <w:marTop w:val="0"/>
          <w:marBottom w:val="0"/>
          <w:divBdr>
            <w:top w:val="none" w:sz="0" w:space="0" w:color="auto"/>
            <w:left w:val="none" w:sz="0" w:space="0" w:color="auto"/>
            <w:bottom w:val="none" w:sz="0" w:space="0" w:color="auto"/>
            <w:right w:val="none" w:sz="0" w:space="0" w:color="auto"/>
          </w:divBdr>
          <w:divsChild>
            <w:div w:id="1342703036">
              <w:marLeft w:val="0"/>
              <w:marRight w:val="0"/>
              <w:marTop w:val="150"/>
              <w:marBottom w:val="0"/>
              <w:divBdr>
                <w:top w:val="single" w:sz="6" w:space="0" w:color="CCCCCC"/>
                <w:left w:val="single" w:sz="2" w:space="0" w:color="CCCCCC"/>
                <w:bottom w:val="single" w:sz="6" w:space="0" w:color="CCCCCC"/>
                <w:right w:val="single" w:sz="2" w:space="0" w:color="CCCCCC"/>
              </w:divBdr>
              <w:divsChild>
                <w:div w:id="186674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061202">
      <w:bodyDiv w:val="1"/>
      <w:marLeft w:val="0"/>
      <w:marRight w:val="0"/>
      <w:marTop w:val="0"/>
      <w:marBottom w:val="0"/>
      <w:divBdr>
        <w:top w:val="none" w:sz="0" w:space="0" w:color="auto"/>
        <w:left w:val="none" w:sz="0" w:space="0" w:color="auto"/>
        <w:bottom w:val="none" w:sz="0" w:space="0" w:color="auto"/>
        <w:right w:val="none" w:sz="0" w:space="0" w:color="auto"/>
      </w:divBdr>
      <w:divsChild>
        <w:div w:id="1874539885">
          <w:marLeft w:val="0"/>
          <w:marRight w:val="0"/>
          <w:marTop w:val="0"/>
          <w:marBottom w:val="0"/>
          <w:divBdr>
            <w:top w:val="none" w:sz="0" w:space="0" w:color="auto"/>
            <w:left w:val="none" w:sz="0" w:space="0" w:color="auto"/>
            <w:bottom w:val="none" w:sz="0" w:space="0" w:color="auto"/>
            <w:right w:val="none" w:sz="0" w:space="0" w:color="auto"/>
          </w:divBdr>
          <w:divsChild>
            <w:div w:id="820929746">
              <w:marLeft w:val="0"/>
              <w:marRight w:val="0"/>
              <w:marTop w:val="0"/>
              <w:marBottom w:val="0"/>
              <w:divBdr>
                <w:top w:val="none" w:sz="0" w:space="0" w:color="auto"/>
                <w:left w:val="none" w:sz="0" w:space="0" w:color="auto"/>
                <w:bottom w:val="none" w:sz="0" w:space="0" w:color="auto"/>
                <w:right w:val="none" w:sz="0" w:space="0" w:color="auto"/>
              </w:divBdr>
              <w:divsChild>
                <w:div w:id="95638772">
                  <w:marLeft w:val="0"/>
                  <w:marRight w:val="0"/>
                  <w:marTop w:val="0"/>
                  <w:marBottom w:val="0"/>
                  <w:divBdr>
                    <w:top w:val="none" w:sz="0" w:space="0" w:color="auto"/>
                    <w:left w:val="none" w:sz="0" w:space="0" w:color="auto"/>
                    <w:bottom w:val="none" w:sz="0" w:space="0" w:color="auto"/>
                    <w:right w:val="none" w:sz="0" w:space="0" w:color="auto"/>
                  </w:divBdr>
                  <w:divsChild>
                    <w:div w:id="1061169255">
                      <w:marLeft w:val="0"/>
                      <w:marRight w:val="0"/>
                      <w:marTop w:val="0"/>
                      <w:marBottom w:val="0"/>
                      <w:divBdr>
                        <w:top w:val="none" w:sz="0" w:space="0" w:color="auto"/>
                        <w:left w:val="none" w:sz="0" w:space="0" w:color="auto"/>
                        <w:bottom w:val="none" w:sz="0" w:space="0" w:color="auto"/>
                        <w:right w:val="none" w:sz="0" w:space="0" w:color="auto"/>
                      </w:divBdr>
                      <w:divsChild>
                        <w:div w:id="880749579">
                          <w:marLeft w:val="0"/>
                          <w:marRight w:val="0"/>
                          <w:marTop w:val="0"/>
                          <w:marBottom w:val="0"/>
                          <w:divBdr>
                            <w:top w:val="none" w:sz="0" w:space="0" w:color="auto"/>
                            <w:left w:val="none" w:sz="0" w:space="0" w:color="auto"/>
                            <w:bottom w:val="none" w:sz="0" w:space="0" w:color="auto"/>
                            <w:right w:val="none" w:sz="0" w:space="0" w:color="auto"/>
                          </w:divBdr>
                          <w:divsChild>
                            <w:div w:id="132141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918205">
      <w:bodyDiv w:val="1"/>
      <w:marLeft w:val="0"/>
      <w:marRight w:val="0"/>
      <w:marTop w:val="0"/>
      <w:marBottom w:val="0"/>
      <w:divBdr>
        <w:top w:val="none" w:sz="0" w:space="0" w:color="auto"/>
        <w:left w:val="none" w:sz="0" w:space="0" w:color="auto"/>
        <w:bottom w:val="none" w:sz="0" w:space="0" w:color="auto"/>
        <w:right w:val="none" w:sz="0" w:space="0" w:color="auto"/>
      </w:divBdr>
      <w:divsChild>
        <w:div w:id="2057073707">
          <w:marLeft w:val="0"/>
          <w:marRight w:val="0"/>
          <w:marTop w:val="0"/>
          <w:marBottom w:val="0"/>
          <w:divBdr>
            <w:top w:val="none" w:sz="0" w:space="0" w:color="auto"/>
            <w:left w:val="none" w:sz="0" w:space="0" w:color="auto"/>
            <w:bottom w:val="none" w:sz="0" w:space="0" w:color="auto"/>
            <w:right w:val="none" w:sz="0" w:space="0" w:color="auto"/>
          </w:divBdr>
          <w:divsChild>
            <w:div w:id="1071926707">
              <w:marLeft w:val="0"/>
              <w:marRight w:val="0"/>
              <w:marTop w:val="0"/>
              <w:marBottom w:val="0"/>
              <w:divBdr>
                <w:top w:val="none" w:sz="0" w:space="0" w:color="auto"/>
                <w:left w:val="none" w:sz="0" w:space="0" w:color="auto"/>
                <w:bottom w:val="none" w:sz="0" w:space="0" w:color="auto"/>
                <w:right w:val="none" w:sz="0" w:space="0" w:color="auto"/>
              </w:divBdr>
              <w:divsChild>
                <w:div w:id="160977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957012">
      <w:bodyDiv w:val="1"/>
      <w:marLeft w:val="0"/>
      <w:marRight w:val="0"/>
      <w:marTop w:val="0"/>
      <w:marBottom w:val="0"/>
      <w:divBdr>
        <w:top w:val="none" w:sz="0" w:space="0" w:color="auto"/>
        <w:left w:val="none" w:sz="0" w:space="0" w:color="auto"/>
        <w:bottom w:val="none" w:sz="0" w:space="0" w:color="auto"/>
        <w:right w:val="none" w:sz="0" w:space="0" w:color="auto"/>
      </w:divBdr>
    </w:div>
    <w:div w:id="913660533">
      <w:bodyDiv w:val="1"/>
      <w:marLeft w:val="0"/>
      <w:marRight w:val="0"/>
      <w:marTop w:val="0"/>
      <w:marBottom w:val="0"/>
      <w:divBdr>
        <w:top w:val="none" w:sz="0" w:space="0" w:color="auto"/>
        <w:left w:val="none" w:sz="0" w:space="0" w:color="auto"/>
        <w:bottom w:val="none" w:sz="0" w:space="0" w:color="auto"/>
        <w:right w:val="none" w:sz="0" w:space="0" w:color="auto"/>
      </w:divBdr>
    </w:div>
    <w:div w:id="914705610">
      <w:bodyDiv w:val="1"/>
      <w:marLeft w:val="0"/>
      <w:marRight w:val="0"/>
      <w:marTop w:val="0"/>
      <w:marBottom w:val="0"/>
      <w:divBdr>
        <w:top w:val="none" w:sz="0" w:space="0" w:color="auto"/>
        <w:left w:val="none" w:sz="0" w:space="0" w:color="auto"/>
        <w:bottom w:val="none" w:sz="0" w:space="0" w:color="auto"/>
        <w:right w:val="none" w:sz="0" w:space="0" w:color="auto"/>
      </w:divBdr>
    </w:div>
    <w:div w:id="923536134">
      <w:bodyDiv w:val="1"/>
      <w:marLeft w:val="0"/>
      <w:marRight w:val="0"/>
      <w:marTop w:val="0"/>
      <w:marBottom w:val="0"/>
      <w:divBdr>
        <w:top w:val="none" w:sz="0" w:space="0" w:color="auto"/>
        <w:left w:val="none" w:sz="0" w:space="0" w:color="auto"/>
        <w:bottom w:val="none" w:sz="0" w:space="0" w:color="auto"/>
        <w:right w:val="none" w:sz="0" w:space="0" w:color="auto"/>
      </w:divBdr>
    </w:div>
    <w:div w:id="938148399">
      <w:bodyDiv w:val="1"/>
      <w:marLeft w:val="0"/>
      <w:marRight w:val="0"/>
      <w:marTop w:val="0"/>
      <w:marBottom w:val="0"/>
      <w:divBdr>
        <w:top w:val="none" w:sz="0" w:space="0" w:color="auto"/>
        <w:left w:val="none" w:sz="0" w:space="0" w:color="auto"/>
        <w:bottom w:val="none" w:sz="0" w:space="0" w:color="auto"/>
        <w:right w:val="none" w:sz="0" w:space="0" w:color="auto"/>
      </w:divBdr>
    </w:div>
    <w:div w:id="954991050">
      <w:bodyDiv w:val="1"/>
      <w:marLeft w:val="0"/>
      <w:marRight w:val="0"/>
      <w:marTop w:val="0"/>
      <w:marBottom w:val="0"/>
      <w:divBdr>
        <w:top w:val="none" w:sz="0" w:space="0" w:color="auto"/>
        <w:left w:val="none" w:sz="0" w:space="0" w:color="auto"/>
        <w:bottom w:val="none" w:sz="0" w:space="0" w:color="auto"/>
        <w:right w:val="none" w:sz="0" w:space="0" w:color="auto"/>
      </w:divBdr>
    </w:div>
    <w:div w:id="965888186">
      <w:bodyDiv w:val="1"/>
      <w:marLeft w:val="0"/>
      <w:marRight w:val="0"/>
      <w:marTop w:val="0"/>
      <w:marBottom w:val="0"/>
      <w:divBdr>
        <w:top w:val="none" w:sz="0" w:space="0" w:color="auto"/>
        <w:left w:val="none" w:sz="0" w:space="0" w:color="auto"/>
        <w:bottom w:val="none" w:sz="0" w:space="0" w:color="auto"/>
        <w:right w:val="none" w:sz="0" w:space="0" w:color="auto"/>
      </w:divBdr>
      <w:divsChild>
        <w:div w:id="1725979099">
          <w:marLeft w:val="0"/>
          <w:marRight w:val="0"/>
          <w:marTop w:val="0"/>
          <w:marBottom w:val="0"/>
          <w:divBdr>
            <w:top w:val="none" w:sz="0" w:space="0" w:color="auto"/>
            <w:left w:val="none" w:sz="0" w:space="0" w:color="auto"/>
            <w:bottom w:val="none" w:sz="0" w:space="0" w:color="auto"/>
            <w:right w:val="none" w:sz="0" w:space="0" w:color="auto"/>
          </w:divBdr>
          <w:divsChild>
            <w:div w:id="1069772253">
              <w:marLeft w:val="0"/>
              <w:marRight w:val="0"/>
              <w:marTop w:val="0"/>
              <w:marBottom w:val="0"/>
              <w:divBdr>
                <w:top w:val="none" w:sz="0" w:space="0" w:color="auto"/>
                <w:left w:val="none" w:sz="0" w:space="0" w:color="auto"/>
                <w:bottom w:val="none" w:sz="0" w:space="0" w:color="auto"/>
                <w:right w:val="none" w:sz="0" w:space="0" w:color="auto"/>
              </w:divBdr>
              <w:divsChild>
                <w:div w:id="26686566">
                  <w:marLeft w:val="0"/>
                  <w:marRight w:val="0"/>
                  <w:marTop w:val="0"/>
                  <w:marBottom w:val="0"/>
                  <w:divBdr>
                    <w:top w:val="none" w:sz="0" w:space="0" w:color="auto"/>
                    <w:left w:val="none" w:sz="0" w:space="0" w:color="auto"/>
                    <w:bottom w:val="none" w:sz="0" w:space="0" w:color="auto"/>
                    <w:right w:val="none" w:sz="0" w:space="0" w:color="auto"/>
                  </w:divBdr>
                  <w:divsChild>
                    <w:div w:id="1476725010">
                      <w:marLeft w:val="0"/>
                      <w:marRight w:val="0"/>
                      <w:marTop w:val="0"/>
                      <w:marBottom w:val="0"/>
                      <w:divBdr>
                        <w:top w:val="none" w:sz="0" w:space="0" w:color="auto"/>
                        <w:left w:val="none" w:sz="0" w:space="0" w:color="auto"/>
                        <w:bottom w:val="none" w:sz="0" w:space="0" w:color="auto"/>
                        <w:right w:val="none" w:sz="0" w:space="0" w:color="auto"/>
                      </w:divBdr>
                      <w:divsChild>
                        <w:div w:id="715206688">
                          <w:marLeft w:val="0"/>
                          <w:marRight w:val="0"/>
                          <w:marTop w:val="0"/>
                          <w:marBottom w:val="0"/>
                          <w:divBdr>
                            <w:top w:val="none" w:sz="0" w:space="0" w:color="auto"/>
                            <w:left w:val="none" w:sz="0" w:space="0" w:color="auto"/>
                            <w:bottom w:val="none" w:sz="0" w:space="0" w:color="auto"/>
                            <w:right w:val="none" w:sz="0" w:space="0" w:color="auto"/>
                          </w:divBdr>
                          <w:divsChild>
                            <w:div w:id="58249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9989244">
      <w:bodyDiv w:val="1"/>
      <w:marLeft w:val="0"/>
      <w:marRight w:val="0"/>
      <w:marTop w:val="0"/>
      <w:marBottom w:val="0"/>
      <w:divBdr>
        <w:top w:val="none" w:sz="0" w:space="0" w:color="auto"/>
        <w:left w:val="none" w:sz="0" w:space="0" w:color="auto"/>
        <w:bottom w:val="none" w:sz="0" w:space="0" w:color="auto"/>
        <w:right w:val="none" w:sz="0" w:space="0" w:color="auto"/>
      </w:divBdr>
    </w:div>
    <w:div w:id="1075589406">
      <w:bodyDiv w:val="1"/>
      <w:marLeft w:val="75"/>
      <w:marRight w:val="75"/>
      <w:marTop w:val="75"/>
      <w:marBottom w:val="75"/>
      <w:divBdr>
        <w:top w:val="none" w:sz="0" w:space="0" w:color="auto"/>
        <w:left w:val="none" w:sz="0" w:space="0" w:color="auto"/>
        <w:bottom w:val="none" w:sz="0" w:space="0" w:color="auto"/>
        <w:right w:val="none" w:sz="0" w:space="0" w:color="auto"/>
      </w:divBdr>
      <w:divsChild>
        <w:div w:id="1752581777">
          <w:marLeft w:val="0"/>
          <w:marRight w:val="0"/>
          <w:marTop w:val="0"/>
          <w:marBottom w:val="0"/>
          <w:divBdr>
            <w:top w:val="none" w:sz="0" w:space="0" w:color="auto"/>
            <w:left w:val="none" w:sz="0" w:space="0" w:color="auto"/>
            <w:bottom w:val="none" w:sz="0" w:space="0" w:color="auto"/>
            <w:right w:val="none" w:sz="0" w:space="0" w:color="auto"/>
          </w:divBdr>
          <w:divsChild>
            <w:div w:id="629627606">
              <w:marLeft w:val="0"/>
              <w:marRight w:val="0"/>
              <w:marTop w:val="150"/>
              <w:marBottom w:val="0"/>
              <w:divBdr>
                <w:top w:val="single" w:sz="6" w:space="0" w:color="CCCCCC"/>
                <w:left w:val="single" w:sz="2" w:space="0" w:color="CCCCCC"/>
                <w:bottom w:val="single" w:sz="6" w:space="0" w:color="CCCCCC"/>
                <w:right w:val="single" w:sz="2" w:space="0" w:color="CCCCCC"/>
              </w:divBdr>
              <w:divsChild>
                <w:div w:id="124014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483341">
      <w:bodyDiv w:val="1"/>
      <w:marLeft w:val="0"/>
      <w:marRight w:val="0"/>
      <w:marTop w:val="0"/>
      <w:marBottom w:val="0"/>
      <w:divBdr>
        <w:top w:val="none" w:sz="0" w:space="0" w:color="auto"/>
        <w:left w:val="none" w:sz="0" w:space="0" w:color="auto"/>
        <w:bottom w:val="none" w:sz="0" w:space="0" w:color="auto"/>
        <w:right w:val="none" w:sz="0" w:space="0" w:color="auto"/>
      </w:divBdr>
      <w:divsChild>
        <w:div w:id="1506821440">
          <w:marLeft w:val="0"/>
          <w:marRight w:val="0"/>
          <w:marTop w:val="0"/>
          <w:marBottom w:val="0"/>
          <w:divBdr>
            <w:top w:val="none" w:sz="0" w:space="0" w:color="auto"/>
            <w:left w:val="none" w:sz="0" w:space="0" w:color="auto"/>
            <w:bottom w:val="none" w:sz="0" w:space="0" w:color="auto"/>
            <w:right w:val="none" w:sz="0" w:space="0" w:color="auto"/>
          </w:divBdr>
          <w:divsChild>
            <w:div w:id="774205390">
              <w:marLeft w:val="0"/>
              <w:marRight w:val="0"/>
              <w:marTop w:val="0"/>
              <w:marBottom w:val="0"/>
              <w:divBdr>
                <w:top w:val="none" w:sz="0" w:space="0" w:color="auto"/>
                <w:left w:val="none" w:sz="0" w:space="0" w:color="auto"/>
                <w:bottom w:val="none" w:sz="0" w:space="0" w:color="auto"/>
                <w:right w:val="none" w:sz="0" w:space="0" w:color="auto"/>
              </w:divBdr>
              <w:divsChild>
                <w:div w:id="254675630">
                  <w:marLeft w:val="0"/>
                  <w:marRight w:val="0"/>
                  <w:marTop w:val="0"/>
                  <w:marBottom w:val="0"/>
                  <w:divBdr>
                    <w:top w:val="none" w:sz="0" w:space="0" w:color="auto"/>
                    <w:left w:val="none" w:sz="0" w:space="0" w:color="auto"/>
                    <w:bottom w:val="none" w:sz="0" w:space="0" w:color="auto"/>
                    <w:right w:val="none" w:sz="0" w:space="0" w:color="auto"/>
                  </w:divBdr>
                  <w:divsChild>
                    <w:div w:id="732050109">
                      <w:marLeft w:val="0"/>
                      <w:marRight w:val="0"/>
                      <w:marTop w:val="0"/>
                      <w:marBottom w:val="0"/>
                      <w:divBdr>
                        <w:top w:val="none" w:sz="0" w:space="0" w:color="auto"/>
                        <w:left w:val="none" w:sz="0" w:space="0" w:color="auto"/>
                        <w:bottom w:val="none" w:sz="0" w:space="0" w:color="auto"/>
                        <w:right w:val="none" w:sz="0" w:space="0" w:color="auto"/>
                      </w:divBdr>
                      <w:divsChild>
                        <w:div w:id="1871256025">
                          <w:marLeft w:val="0"/>
                          <w:marRight w:val="0"/>
                          <w:marTop w:val="0"/>
                          <w:marBottom w:val="0"/>
                          <w:divBdr>
                            <w:top w:val="none" w:sz="0" w:space="0" w:color="auto"/>
                            <w:left w:val="none" w:sz="0" w:space="0" w:color="auto"/>
                            <w:bottom w:val="none" w:sz="0" w:space="0" w:color="auto"/>
                            <w:right w:val="none" w:sz="0" w:space="0" w:color="auto"/>
                          </w:divBdr>
                          <w:divsChild>
                            <w:div w:id="187002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137705">
      <w:bodyDiv w:val="1"/>
      <w:marLeft w:val="0"/>
      <w:marRight w:val="0"/>
      <w:marTop w:val="0"/>
      <w:marBottom w:val="0"/>
      <w:divBdr>
        <w:top w:val="none" w:sz="0" w:space="0" w:color="auto"/>
        <w:left w:val="none" w:sz="0" w:space="0" w:color="auto"/>
        <w:bottom w:val="none" w:sz="0" w:space="0" w:color="auto"/>
        <w:right w:val="none" w:sz="0" w:space="0" w:color="auto"/>
      </w:divBdr>
    </w:div>
    <w:div w:id="1240024173">
      <w:bodyDiv w:val="1"/>
      <w:marLeft w:val="0"/>
      <w:marRight w:val="0"/>
      <w:marTop w:val="0"/>
      <w:marBottom w:val="0"/>
      <w:divBdr>
        <w:top w:val="none" w:sz="0" w:space="0" w:color="auto"/>
        <w:left w:val="none" w:sz="0" w:space="0" w:color="auto"/>
        <w:bottom w:val="none" w:sz="0" w:space="0" w:color="auto"/>
        <w:right w:val="none" w:sz="0" w:space="0" w:color="auto"/>
      </w:divBdr>
    </w:div>
    <w:div w:id="1288393365">
      <w:bodyDiv w:val="1"/>
      <w:marLeft w:val="0"/>
      <w:marRight w:val="0"/>
      <w:marTop w:val="0"/>
      <w:marBottom w:val="0"/>
      <w:divBdr>
        <w:top w:val="none" w:sz="0" w:space="0" w:color="auto"/>
        <w:left w:val="none" w:sz="0" w:space="0" w:color="auto"/>
        <w:bottom w:val="none" w:sz="0" w:space="0" w:color="auto"/>
        <w:right w:val="none" w:sz="0" w:space="0" w:color="auto"/>
      </w:divBdr>
      <w:divsChild>
        <w:div w:id="743647340">
          <w:marLeft w:val="0"/>
          <w:marRight w:val="0"/>
          <w:marTop w:val="0"/>
          <w:marBottom w:val="0"/>
          <w:divBdr>
            <w:top w:val="none" w:sz="0" w:space="0" w:color="auto"/>
            <w:left w:val="none" w:sz="0" w:space="0" w:color="auto"/>
            <w:bottom w:val="none" w:sz="0" w:space="0" w:color="auto"/>
            <w:right w:val="none" w:sz="0" w:space="0" w:color="auto"/>
          </w:divBdr>
          <w:divsChild>
            <w:div w:id="357707997">
              <w:marLeft w:val="0"/>
              <w:marRight w:val="0"/>
              <w:marTop w:val="0"/>
              <w:marBottom w:val="0"/>
              <w:divBdr>
                <w:top w:val="none" w:sz="0" w:space="0" w:color="auto"/>
                <w:left w:val="none" w:sz="0" w:space="0" w:color="auto"/>
                <w:bottom w:val="none" w:sz="0" w:space="0" w:color="auto"/>
                <w:right w:val="none" w:sz="0" w:space="0" w:color="auto"/>
              </w:divBdr>
              <w:divsChild>
                <w:div w:id="1636838260">
                  <w:marLeft w:val="0"/>
                  <w:marRight w:val="0"/>
                  <w:marTop w:val="0"/>
                  <w:marBottom w:val="0"/>
                  <w:divBdr>
                    <w:top w:val="none" w:sz="0" w:space="0" w:color="auto"/>
                    <w:left w:val="none" w:sz="0" w:space="0" w:color="auto"/>
                    <w:bottom w:val="none" w:sz="0" w:space="0" w:color="auto"/>
                    <w:right w:val="none" w:sz="0" w:space="0" w:color="auto"/>
                  </w:divBdr>
                  <w:divsChild>
                    <w:div w:id="1279289707">
                      <w:marLeft w:val="0"/>
                      <w:marRight w:val="0"/>
                      <w:marTop w:val="0"/>
                      <w:marBottom w:val="0"/>
                      <w:divBdr>
                        <w:top w:val="none" w:sz="0" w:space="0" w:color="auto"/>
                        <w:left w:val="none" w:sz="0" w:space="0" w:color="auto"/>
                        <w:bottom w:val="none" w:sz="0" w:space="0" w:color="auto"/>
                        <w:right w:val="none" w:sz="0" w:space="0" w:color="auto"/>
                      </w:divBdr>
                      <w:divsChild>
                        <w:div w:id="245266399">
                          <w:marLeft w:val="0"/>
                          <w:marRight w:val="0"/>
                          <w:marTop w:val="0"/>
                          <w:marBottom w:val="0"/>
                          <w:divBdr>
                            <w:top w:val="none" w:sz="0" w:space="0" w:color="auto"/>
                            <w:left w:val="none" w:sz="0" w:space="0" w:color="auto"/>
                            <w:bottom w:val="none" w:sz="0" w:space="0" w:color="auto"/>
                            <w:right w:val="none" w:sz="0" w:space="0" w:color="auto"/>
                          </w:divBdr>
                          <w:divsChild>
                            <w:div w:id="50960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2008413">
      <w:bodyDiv w:val="1"/>
      <w:marLeft w:val="0"/>
      <w:marRight w:val="0"/>
      <w:marTop w:val="0"/>
      <w:marBottom w:val="0"/>
      <w:divBdr>
        <w:top w:val="none" w:sz="0" w:space="0" w:color="auto"/>
        <w:left w:val="none" w:sz="0" w:space="0" w:color="auto"/>
        <w:bottom w:val="none" w:sz="0" w:space="0" w:color="auto"/>
        <w:right w:val="none" w:sz="0" w:space="0" w:color="auto"/>
      </w:divBdr>
    </w:div>
    <w:div w:id="1384448589">
      <w:bodyDiv w:val="1"/>
      <w:marLeft w:val="0"/>
      <w:marRight w:val="0"/>
      <w:marTop w:val="0"/>
      <w:marBottom w:val="0"/>
      <w:divBdr>
        <w:top w:val="none" w:sz="0" w:space="0" w:color="auto"/>
        <w:left w:val="none" w:sz="0" w:space="0" w:color="auto"/>
        <w:bottom w:val="none" w:sz="0" w:space="0" w:color="auto"/>
        <w:right w:val="none" w:sz="0" w:space="0" w:color="auto"/>
      </w:divBdr>
    </w:div>
    <w:div w:id="1417357463">
      <w:bodyDiv w:val="1"/>
      <w:marLeft w:val="0"/>
      <w:marRight w:val="0"/>
      <w:marTop w:val="0"/>
      <w:marBottom w:val="0"/>
      <w:divBdr>
        <w:top w:val="none" w:sz="0" w:space="0" w:color="auto"/>
        <w:left w:val="none" w:sz="0" w:space="0" w:color="auto"/>
        <w:bottom w:val="none" w:sz="0" w:space="0" w:color="auto"/>
        <w:right w:val="none" w:sz="0" w:space="0" w:color="auto"/>
      </w:divBdr>
    </w:div>
    <w:div w:id="1443181362">
      <w:bodyDiv w:val="1"/>
      <w:marLeft w:val="0"/>
      <w:marRight w:val="0"/>
      <w:marTop w:val="0"/>
      <w:marBottom w:val="0"/>
      <w:divBdr>
        <w:top w:val="none" w:sz="0" w:space="0" w:color="auto"/>
        <w:left w:val="none" w:sz="0" w:space="0" w:color="auto"/>
        <w:bottom w:val="none" w:sz="0" w:space="0" w:color="auto"/>
        <w:right w:val="none" w:sz="0" w:space="0" w:color="auto"/>
      </w:divBdr>
    </w:div>
    <w:div w:id="1465582469">
      <w:bodyDiv w:val="1"/>
      <w:marLeft w:val="0"/>
      <w:marRight w:val="0"/>
      <w:marTop w:val="0"/>
      <w:marBottom w:val="0"/>
      <w:divBdr>
        <w:top w:val="none" w:sz="0" w:space="0" w:color="auto"/>
        <w:left w:val="none" w:sz="0" w:space="0" w:color="auto"/>
        <w:bottom w:val="none" w:sz="0" w:space="0" w:color="auto"/>
        <w:right w:val="none" w:sz="0" w:space="0" w:color="auto"/>
      </w:divBdr>
    </w:div>
    <w:div w:id="1475640241">
      <w:bodyDiv w:val="1"/>
      <w:marLeft w:val="0"/>
      <w:marRight w:val="0"/>
      <w:marTop w:val="0"/>
      <w:marBottom w:val="0"/>
      <w:divBdr>
        <w:top w:val="none" w:sz="0" w:space="0" w:color="auto"/>
        <w:left w:val="none" w:sz="0" w:space="0" w:color="auto"/>
        <w:bottom w:val="none" w:sz="0" w:space="0" w:color="auto"/>
        <w:right w:val="none" w:sz="0" w:space="0" w:color="auto"/>
      </w:divBdr>
    </w:div>
    <w:div w:id="1756707828">
      <w:bodyDiv w:val="1"/>
      <w:marLeft w:val="0"/>
      <w:marRight w:val="0"/>
      <w:marTop w:val="0"/>
      <w:marBottom w:val="0"/>
      <w:divBdr>
        <w:top w:val="none" w:sz="0" w:space="0" w:color="auto"/>
        <w:left w:val="none" w:sz="0" w:space="0" w:color="auto"/>
        <w:bottom w:val="none" w:sz="0" w:space="0" w:color="auto"/>
        <w:right w:val="none" w:sz="0" w:space="0" w:color="auto"/>
      </w:divBdr>
      <w:divsChild>
        <w:div w:id="1338539733">
          <w:marLeft w:val="0"/>
          <w:marRight w:val="0"/>
          <w:marTop w:val="0"/>
          <w:marBottom w:val="0"/>
          <w:divBdr>
            <w:top w:val="none" w:sz="0" w:space="0" w:color="auto"/>
            <w:left w:val="none" w:sz="0" w:space="0" w:color="auto"/>
            <w:bottom w:val="none" w:sz="0" w:space="0" w:color="auto"/>
            <w:right w:val="none" w:sz="0" w:space="0" w:color="auto"/>
          </w:divBdr>
          <w:divsChild>
            <w:div w:id="1678120623">
              <w:marLeft w:val="0"/>
              <w:marRight w:val="0"/>
              <w:marTop w:val="0"/>
              <w:marBottom w:val="0"/>
              <w:divBdr>
                <w:top w:val="none" w:sz="0" w:space="0" w:color="auto"/>
                <w:left w:val="none" w:sz="0" w:space="0" w:color="auto"/>
                <w:bottom w:val="none" w:sz="0" w:space="0" w:color="auto"/>
                <w:right w:val="none" w:sz="0" w:space="0" w:color="auto"/>
              </w:divBdr>
              <w:divsChild>
                <w:div w:id="733238324">
                  <w:marLeft w:val="0"/>
                  <w:marRight w:val="0"/>
                  <w:marTop w:val="0"/>
                  <w:marBottom w:val="0"/>
                  <w:divBdr>
                    <w:top w:val="none" w:sz="0" w:space="0" w:color="auto"/>
                    <w:left w:val="none" w:sz="0" w:space="0" w:color="auto"/>
                    <w:bottom w:val="none" w:sz="0" w:space="0" w:color="auto"/>
                    <w:right w:val="none" w:sz="0" w:space="0" w:color="auto"/>
                  </w:divBdr>
                  <w:divsChild>
                    <w:div w:id="1953197448">
                      <w:marLeft w:val="0"/>
                      <w:marRight w:val="0"/>
                      <w:marTop w:val="0"/>
                      <w:marBottom w:val="0"/>
                      <w:divBdr>
                        <w:top w:val="none" w:sz="0" w:space="0" w:color="auto"/>
                        <w:left w:val="none" w:sz="0" w:space="0" w:color="auto"/>
                        <w:bottom w:val="none" w:sz="0" w:space="0" w:color="auto"/>
                        <w:right w:val="none" w:sz="0" w:space="0" w:color="auto"/>
                      </w:divBdr>
                      <w:divsChild>
                        <w:div w:id="1857109793">
                          <w:marLeft w:val="0"/>
                          <w:marRight w:val="0"/>
                          <w:marTop w:val="0"/>
                          <w:marBottom w:val="0"/>
                          <w:divBdr>
                            <w:top w:val="none" w:sz="0" w:space="0" w:color="auto"/>
                            <w:left w:val="none" w:sz="0" w:space="0" w:color="auto"/>
                            <w:bottom w:val="none" w:sz="0" w:space="0" w:color="auto"/>
                            <w:right w:val="none" w:sz="0" w:space="0" w:color="auto"/>
                          </w:divBdr>
                          <w:divsChild>
                            <w:div w:id="42349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548300">
      <w:bodyDiv w:val="1"/>
      <w:marLeft w:val="0"/>
      <w:marRight w:val="0"/>
      <w:marTop w:val="0"/>
      <w:marBottom w:val="0"/>
      <w:divBdr>
        <w:top w:val="none" w:sz="0" w:space="0" w:color="auto"/>
        <w:left w:val="none" w:sz="0" w:space="0" w:color="auto"/>
        <w:bottom w:val="none" w:sz="0" w:space="0" w:color="auto"/>
        <w:right w:val="none" w:sz="0" w:space="0" w:color="auto"/>
      </w:divBdr>
    </w:div>
    <w:div w:id="1779644674">
      <w:bodyDiv w:val="1"/>
      <w:marLeft w:val="0"/>
      <w:marRight w:val="0"/>
      <w:marTop w:val="0"/>
      <w:marBottom w:val="0"/>
      <w:divBdr>
        <w:top w:val="none" w:sz="0" w:space="0" w:color="auto"/>
        <w:left w:val="none" w:sz="0" w:space="0" w:color="auto"/>
        <w:bottom w:val="none" w:sz="0" w:space="0" w:color="auto"/>
        <w:right w:val="none" w:sz="0" w:space="0" w:color="auto"/>
      </w:divBdr>
    </w:div>
    <w:div w:id="1799759912">
      <w:bodyDiv w:val="1"/>
      <w:marLeft w:val="0"/>
      <w:marRight w:val="0"/>
      <w:marTop w:val="0"/>
      <w:marBottom w:val="0"/>
      <w:divBdr>
        <w:top w:val="none" w:sz="0" w:space="0" w:color="auto"/>
        <w:left w:val="none" w:sz="0" w:space="0" w:color="auto"/>
        <w:bottom w:val="none" w:sz="0" w:space="0" w:color="auto"/>
        <w:right w:val="none" w:sz="0" w:space="0" w:color="auto"/>
      </w:divBdr>
    </w:div>
    <w:div w:id="1833720853">
      <w:bodyDiv w:val="1"/>
      <w:marLeft w:val="0"/>
      <w:marRight w:val="0"/>
      <w:marTop w:val="0"/>
      <w:marBottom w:val="0"/>
      <w:divBdr>
        <w:top w:val="none" w:sz="0" w:space="0" w:color="auto"/>
        <w:left w:val="none" w:sz="0" w:space="0" w:color="auto"/>
        <w:bottom w:val="none" w:sz="0" w:space="0" w:color="auto"/>
        <w:right w:val="none" w:sz="0" w:space="0" w:color="auto"/>
      </w:divBdr>
      <w:divsChild>
        <w:div w:id="1322195389">
          <w:marLeft w:val="0"/>
          <w:marRight w:val="0"/>
          <w:marTop w:val="0"/>
          <w:marBottom w:val="0"/>
          <w:divBdr>
            <w:top w:val="none" w:sz="0" w:space="0" w:color="auto"/>
            <w:left w:val="none" w:sz="0" w:space="0" w:color="auto"/>
            <w:bottom w:val="none" w:sz="0" w:space="0" w:color="auto"/>
            <w:right w:val="none" w:sz="0" w:space="0" w:color="auto"/>
          </w:divBdr>
          <w:divsChild>
            <w:div w:id="1969894736">
              <w:marLeft w:val="0"/>
              <w:marRight w:val="0"/>
              <w:marTop w:val="0"/>
              <w:marBottom w:val="0"/>
              <w:divBdr>
                <w:top w:val="none" w:sz="0" w:space="0" w:color="auto"/>
                <w:left w:val="none" w:sz="0" w:space="0" w:color="auto"/>
                <w:bottom w:val="none" w:sz="0" w:space="0" w:color="auto"/>
                <w:right w:val="none" w:sz="0" w:space="0" w:color="auto"/>
              </w:divBdr>
              <w:divsChild>
                <w:div w:id="1967469648">
                  <w:marLeft w:val="0"/>
                  <w:marRight w:val="0"/>
                  <w:marTop w:val="0"/>
                  <w:marBottom w:val="0"/>
                  <w:divBdr>
                    <w:top w:val="none" w:sz="0" w:space="0" w:color="auto"/>
                    <w:left w:val="none" w:sz="0" w:space="0" w:color="auto"/>
                    <w:bottom w:val="none" w:sz="0" w:space="0" w:color="auto"/>
                    <w:right w:val="none" w:sz="0" w:space="0" w:color="auto"/>
                  </w:divBdr>
                  <w:divsChild>
                    <w:div w:id="1859273652">
                      <w:marLeft w:val="0"/>
                      <w:marRight w:val="0"/>
                      <w:marTop w:val="0"/>
                      <w:marBottom w:val="0"/>
                      <w:divBdr>
                        <w:top w:val="none" w:sz="0" w:space="0" w:color="auto"/>
                        <w:left w:val="none" w:sz="0" w:space="0" w:color="auto"/>
                        <w:bottom w:val="none" w:sz="0" w:space="0" w:color="auto"/>
                        <w:right w:val="none" w:sz="0" w:space="0" w:color="auto"/>
                      </w:divBdr>
                      <w:divsChild>
                        <w:div w:id="512692258">
                          <w:marLeft w:val="0"/>
                          <w:marRight w:val="0"/>
                          <w:marTop w:val="0"/>
                          <w:marBottom w:val="0"/>
                          <w:divBdr>
                            <w:top w:val="none" w:sz="0" w:space="0" w:color="auto"/>
                            <w:left w:val="none" w:sz="0" w:space="0" w:color="auto"/>
                            <w:bottom w:val="none" w:sz="0" w:space="0" w:color="auto"/>
                            <w:right w:val="none" w:sz="0" w:space="0" w:color="auto"/>
                          </w:divBdr>
                          <w:divsChild>
                            <w:div w:id="19305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630753">
      <w:bodyDiv w:val="1"/>
      <w:marLeft w:val="0"/>
      <w:marRight w:val="0"/>
      <w:marTop w:val="0"/>
      <w:marBottom w:val="0"/>
      <w:divBdr>
        <w:top w:val="none" w:sz="0" w:space="0" w:color="auto"/>
        <w:left w:val="none" w:sz="0" w:space="0" w:color="auto"/>
        <w:bottom w:val="none" w:sz="0" w:space="0" w:color="auto"/>
        <w:right w:val="none" w:sz="0" w:space="0" w:color="auto"/>
      </w:divBdr>
    </w:div>
    <w:div w:id="1906720959">
      <w:bodyDiv w:val="1"/>
      <w:marLeft w:val="0"/>
      <w:marRight w:val="0"/>
      <w:marTop w:val="0"/>
      <w:marBottom w:val="0"/>
      <w:divBdr>
        <w:top w:val="none" w:sz="0" w:space="0" w:color="auto"/>
        <w:left w:val="none" w:sz="0" w:space="0" w:color="auto"/>
        <w:bottom w:val="none" w:sz="0" w:space="0" w:color="auto"/>
        <w:right w:val="none" w:sz="0" w:space="0" w:color="auto"/>
      </w:divBdr>
      <w:divsChild>
        <w:div w:id="1460341253">
          <w:marLeft w:val="0"/>
          <w:marRight w:val="0"/>
          <w:marTop w:val="0"/>
          <w:marBottom w:val="0"/>
          <w:divBdr>
            <w:top w:val="none" w:sz="0" w:space="0" w:color="auto"/>
            <w:left w:val="none" w:sz="0" w:space="0" w:color="auto"/>
            <w:bottom w:val="none" w:sz="0" w:space="0" w:color="auto"/>
            <w:right w:val="none" w:sz="0" w:space="0" w:color="auto"/>
          </w:divBdr>
        </w:div>
      </w:divsChild>
    </w:div>
    <w:div w:id="1921209369">
      <w:bodyDiv w:val="1"/>
      <w:marLeft w:val="0"/>
      <w:marRight w:val="0"/>
      <w:marTop w:val="0"/>
      <w:marBottom w:val="0"/>
      <w:divBdr>
        <w:top w:val="none" w:sz="0" w:space="0" w:color="auto"/>
        <w:left w:val="none" w:sz="0" w:space="0" w:color="auto"/>
        <w:bottom w:val="none" w:sz="0" w:space="0" w:color="auto"/>
        <w:right w:val="none" w:sz="0" w:space="0" w:color="auto"/>
      </w:divBdr>
    </w:div>
    <w:div w:id="1939100785">
      <w:bodyDiv w:val="1"/>
      <w:marLeft w:val="0"/>
      <w:marRight w:val="0"/>
      <w:marTop w:val="0"/>
      <w:marBottom w:val="0"/>
      <w:divBdr>
        <w:top w:val="none" w:sz="0" w:space="0" w:color="auto"/>
        <w:left w:val="none" w:sz="0" w:space="0" w:color="auto"/>
        <w:bottom w:val="none" w:sz="0" w:space="0" w:color="auto"/>
        <w:right w:val="none" w:sz="0" w:space="0" w:color="auto"/>
      </w:divBdr>
    </w:div>
    <w:div w:id="2087024795">
      <w:bodyDiv w:val="1"/>
      <w:marLeft w:val="0"/>
      <w:marRight w:val="0"/>
      <w:marTop w:val="0"/>
      <w:marBottom w:val="0"/>
      <w:divBdr>
        <w:top w:val="none" w:sz="0" w:space="0" w:color="auto"/>
        <w:left w:val="none" w:sz="0" w:space="0" w:color="auto"/>
        <w:bottom w:val="none" w:sz="0" w:space="0" w:color="auto"/>
        <w:right w:val="none" w:sz="0" w:space="0" w:color="auto"/>
      </w:divBdr>
    </w:div>
    <w:div w:id="2131705815">
      <w:bodyDiv w:val="1"/>
      <w:marLeft w:val="0"/>
      <w:marRight w:val="0"/>
      <w:marTop w:val="0"/>
      <w:marBottom w:val="0"/>
      <w:divBdr>
        <w:top w:val="none" w:sz="0" w:space="0" w:color="auto"/>
        <w:left w:val="none" w:sz="0" w:space="0" w:color="auto"/>
        <w:bottom w:val="none" w:sz="0" w:space="0" w:color="auto"/>
        <w:right w:val="none" w:sz="0" w:space="0" w:color="auto"/>
      </w:divBdr>
    </w:div>
    <w:div w:id="2143695214">
      <w:bodyDiv w:val="1"/>
      <w:marLeft w:val="0"/>
      <w:marRight w:val="0"/>
      <w:marTop w:val="0"/>
      <w:marBottom w:val="0"/>
      <w:divBdr>
        <w:top w:val="none" w:sz="0" w:space="0" w:color="auto"/>
        <w:left w:val="none" w:sz="0" w:space="0" w:color="auto"/>
        <w:bottom w:val="none" w:sz="0" w:space="0" w:color="auto"/>
        <w:right w:val="none" w:sz="0" w:space="0" w:color="auto"/>
      </w:divBdr>
      <w:divsChild>
        <w:div w:id="1177959698">
          <w:marLeft w:val="0"/>
          <w:marRight w:val="0"/>
          <w:marTop w:val="0"/>
          <w:marBottom w:val="0"/>
          <w:divBdr>
            <w:top w:val="none" w:sz="0" w:space="0" w:color="auto"/>
            <w:left w:val="none" w:sz="0" w:space="0" w:color="auto"/>
            <w:bottom w:val="none" w:sz="0" w:space="0" w:color="auto"/>
            <w:right w:val="none" w:sz="0" w:space="0" w:color="auto"/>
          </w:divBdr>
          <w:divsChild>
            <w:div w:id="922371295">
              <w:marLeft w:val="0"/>
              <w:marRight w:val="0"/>
              <w:marTop w:val="0"/>
              <w:marBottom w:val="0"/>
              <w:divBdr>
                <w:top w:val="none" w:sz="0" w:space="0" w:color="auto"/>
                <w:left w:val="none" w:sz="0" w:space="0" w:color="auto"/>
                <w:bottom w:val="none" w:sz="0" w:space="0" w:color="auto"/>
                <w:right w:val="none" w:sz="0" w:space="0" w:color="auto"/>
              </w:divBdr>
              <w:divsChild>
                <w:div w:id="1620992612">
                  <w:marLeft w:val="0"/>
                  <w:marRight w:val="0"/>
                  <w:marTop w:val="0"/>
                  <w:marBottom w:val="0"/>
                  <w:divBdr>
                    <w:top w:val="none" w:sz="0" w:space="0" w:color="auto"/>
                    <w:left w:val="none" w:sz="0" w:space="0" w:color="auto"/>
                    <w:bottom w:val="none" w:sz="0" w:space="0" w:color="auto"/>
                    <w:right w:val="none" w:sz="0" w:space="0" w:color="auto"/>
                  </w:divBdr>
                  <w:divsChild>
                    <w:div w:id="1885365124">
                      <w:marLeft w:val="0"/>
                      <w:marRight w:val="0"/>
                      <w:marTop w:val="0"/>
                      <w:marBottom w:val="0"/>
                      <w:divBdr>
                        <w:top w:val="none" w:sz="0" w:space="0" w:color="auto"/>
                        <w:left w:val="none" w:sz="0" w:space="0" w:color="auto"/>
                        <w:bottom w:val="none" w:sz="0" w:space="0" w:color="auto"/>
                        <w:right w:val="none" w:sz="0" w:space="0" w:color="auto"/>
                      </w:divBdr>
                      <w:divsChild>
                        <w:div w:id="123232502">
                          <w:marLeft w:val="0"/>
                          <w:marRight w:val="0"/>
                          <w:marTop w:val="0"/>
                          <w:marBottom w:val="0"/>
                          <w:divBdr>
                            <w:top w:val="none" w:sz="0" w:space="0" w:color="auto"/>
                            <w:left w:val="none" w:sz="0" w:space="0" w:color="auto"/>
                            <w:bottom w:val="none" w:sz="0" w:space="0" w:color="auto"/>
                            <w:right w:val="none" w:sz="0" w:space="0" w:color="auto"/>
                          </w:divBdr>
                          <w:divsChild>
                            <w:div w:id="138505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mailto:bill.buttler@superratings.com.au"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mailto:rachael.povah@superratings.com.a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kirby.rappell@superratings.com.au" TargetMode="External"/><Relationship Id="rId20" Type="http://schemas.openxmlformats.org/officeDocument/2006/relationships/hyperlink" Target="mailto:camille.schmidt@superratings.com.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hyperlink" Target="mailto:scott.abercrombie@superratings.com.au"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g"/><Relationship Id="rId22" Type="http://schemas.openxmlformats.org/officeDocument/2006/relationships/header" Target="header2.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enquiry@superratings.com.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enquiry@superratings.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Treasury Document</p:Name>
  <p:Description/>
  <p:Statement/>
  <p:PolicyItems>
    <p:PolicyItem featureId="Microsoft.Office.RecordsManagement.PolicyFeatures.PolicyAudit" staticId="0x010100348D01E61E107C4DA4B97E380EA20D47|1757814118" UniqueId="2079b4ee-6208-4500-a6e7-1bf5637d01b9">
      <p:Name>Auditing</p:Name>
      <p:Description>Audits user actions on documents and list items to the Audit Log.</p:Description>
      <p:CustomData>
        <Audit>
          <Update/>
          <DeleteRestore/>
        </Audit>
      </p:CustomData>
    </p:PolicyItem>
  </p:PolicyItems>
</p:Policy>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ct:contentTypeSchema xmlns:ct="http://schemas.microsoft.com/office/2006/metadata/contentType" xmlns:ma="http://schemas.microsoft.com/office/2006/metadata/properties/metaAttributes" ct:_="" ma:_="" ma:contentTypeName="Treasury Document" ma:contentTypeID="0x010100348D01E61E107C4DA4B97E380EA20D470038C6F54242556948B6F04600E4F98FD4" ma:contentTypeVersion="13066" ma:contentTypeDescription="" ma:contentTypeScope="" ma:versionID="4fe92024e1e11e0a1fb61316f0a5a562">
  <xsd:schema xmlns:xsd="http://www.w3.org/2001/XMLSchema" xmlns:xs="http://www.w3.org/2001/XMLSchema" xmlns:p="http://schemas.microsoft.com/office/2006/metadata/properties" xmlns:ns1="http://schemas.microsoft.com/sharepoint/v3" xmlns:ns2="0f563589-9cf9-4143-b1eb-fb0534803d38" xmlns:ns3="e544e5cc-ab70-42e1-849e-1a0f8bb1f4ef" targetNamespace="http://schemas.microsoft.com/office/2006/metadata/properties" ma:root="true" ma:fieldsID="cd2eeaaf444acb04b47aeaae710f3b50" ns1:_="" ns2:_="" ns3:_="">
    <xsd:import namespace="http://schemas.microsoft.com/sharepoint/v3"/>
    <xsd:import namespace="0f563589-9cf9-4143-b1eb-fb0534803d38"/>
    <xsd:import namespace="e544e5cc-ab70-42e1-849e-1a0f8bb1f4ef"/>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9ae0e000-2bfe-436e-bf3a-a243a28c1c18}" ma:internalName="TaxCatchAll" ma:showField="CatchAllData" ma:web="e544e5cc-ab70-42e1-849e-1a0f8bb1f4ef">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ae0e000-2bfe-436e-bf3a-a243a28c1c18}" ma:internalName="TaxCatchAllLabel" ma:readOnly="true" ma:showField="CatchAllDataLabel" ma:web="e544e5cc-ab70-42e1-849e-1a0f8bb1f4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44e5cc-ab70-42e1-849e-1a0f8bb1f4ef"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19;#TSY RA-9241 - Retain as national archives|f92f0150-6021-43b5-a30c-415e02490674"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b508a4dc5e84436a0fe496b536466aa xmlns="e544e5cc-ab70-42e1-849e-1a0f8bb1f4ef">
      <Terms xmlns="http://schemas.microsoft.com/office/infopath/2007/PartnerControls">
        <TermInfo xmlns="http://schemas.microsoft.com/office/infopath/2007/PartnerControls">
          <TermName xmlns="http://schemas.microsoft.com/office/infopath/2007/PartnerControls">TSY RA-9241 - Retain as national archives</TermName>
          <TermId xmlns="http://schemas.microsoft.com/office/infopath/2007/PartnerControls">f92f0150-6021-43b5-a30c-415e02490674</TermId>
        </TermInfo>
      </Terms>
    </lb508a4dc5e84436a0fe496b536466aa>
    <TaxCatchAll xmlns="0f563589-9cf9-4143-b1eb-fb0534803d38">
      <Value>19</Value>
    </TaxCatchAll>
    <_dlc_DocId xmlns="0f563589-9cf9-4143-b1eb-fb0534803d38">2018FG-583247893-124</_dlc_DocId>
    <_dlc_DocIdUrl xmlns="0f563589-9cf9-4143-b1eb-fb0534803d38">
      <Url>http://tweb/sites/fg/ripd/ciprs/_layouts/15/DocIdRedir.aspx?ID=2018FG-583247893-124</Url>
      <Description>2018FG-583247893-124</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6702C-956D-4F37-8AC5-5F5EEBAEE4AC}">
  <ds:schemaRefs>
    <ds:schemaRef ds:uri="office.server.policy"/>
  </ds:schemaRefs>
</ds:datastoreItem>
</file>

<file path=customXml/itemProps2.xml><?xml version="1.0" encoding="utf-8"?>
<ds:datastoreItem xmlns:ds="http://schemas.openxmlformats.org/officeDocument/2006/customXml" ds:itemID="{0EC2F02A-705A-4E1D-AB44-7D0DC22C7448}">
  <ds:schemaRefs>
    <ds:schemaRef ds:uri="http://schemas.microsoft.com/sharepoint/events"/>
  </ds:schemaRefs>
</ds:datastoreItem>
</file>

<file path=customXml/itemProps3.xml><?xml version="1.0" encoding="utf-8"?>
<ds:datastoreItem xmlns:ds="http://schemas.openxmlformats.org/officeDocument/2006/customXml" ds:itemID="{6788CB9A-8ADF-4B79-A383-A5E4751EA9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e544e5cc-ab70-42e1-849e-1a0f8bb1f4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5BB52C-549B-4E84-A7F5-72D7186B2A46}">
  <ds:schemaRefs>
    <ds:schemaRef ds:uri="http://schemas.microsoft.com/office/infopath/2007/PartnerControls"/>
    <ds:schemaRef ds:uri="http://schemas.microsoft.com/office/2006/documentManagement/types"/>
    <ds:schemaRef ds:uri="http://purl.org/dc/elements/1.1/"/>
    <ds:schemaRef ds:uri="http://purl.org/dc/terms/"/>
    <ds:schemaRef ds:uri="http://schemas.microsoft.com/sharepoint/v3"/>
    <ds:schemaRef ds:uri="http://schemas.openxmlformats.org/package/2006/metadata/core-properties"/>
    <ds:schemaRef ds:uri="http://www.w3.org/XML/1998/namespace"/>
    <ds:schemaRef ds:uri="http://schemas.microsoft.com/office/2006/metadata/properties"/>
    <ds:schemaRef ds:uri="e544e5cc-ab70-42e1-849e-1a0f8bb1f4ef"/>
    <ds:schemaRef ds:uri="http://purl.org/dc/dcmitype/"/>
    <ds:schemaRef ds:uri="0f563589-9cf9-4143-b1eb-fb0534803d38"/>
  </ds:schemaRefs>
</ds:datastoreItem>
</file>

<file path=customXml/itemProps5.xml><?xml version="1.0" encoding="utf-8"?>
<ds:datastoreItem xmlns:ds="http://schemas.openxmlformats.org/officeDocument/2006/customXml" ds:itemID="{09DCEFC2-2C9C-494E-A391-1EE9A52381E3}">
  <ds:schemaRefs>
    <ds:schemaRef ds:uri="http://schemas.microsoft.com/sharepoint/v3/contenttype/forms"/>
  </ds:schemaRefs>
</ds:datastoreItem>
</file>

<file path=customXml/itemProps6.xml><?xml version="1.0" encoding="utf-8"?>
<ds:datastoreItem xmlns:ds="http://schemas.openxmlformats.org/officeDocument/2006/customXml" ds:itemID="{B78AA390-C6DD-412C-B0B9-5191C78C6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2947</Words>
  <Characters>16492</Characters>
  <Application>Microsoft Office Word</Application>
  <DocSecurity>0</DocSecurity>
  <Lines>378</Lines>
  <Paragraphs>154</Paragraphs>
  <ScaleCrop>false</ScaleCrop>
  <Company/>
  <LinksUpToDate>false</LinksUpToDate>
  <CharactersWithSpaces>19382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SuperRatings - Retirement Income Covenant Position Paper</dc:title>
  <dc:creator/>
  <cp:lastModifiedBy/>
  <cp:revision>1</cp:revision>
  <dcterms:created xsi:type="dcterms:W3CDTF">2018-07-31T00:34:00Z</dcterms:created>
  <dcterms:modified xsi:type="dcterms:W3CDTF">2018-07-31T00:34:00Z</dcterms:modified>
  <dc:language>English</dc:language>
</cp:coreProperties>
</file>