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D8365" w14:textId="77777777" w:rsidR="000E0B74" w:rsidRPr="006D0240" w:rsidRDefault="000E0B74" w:rsidP="008E6292">
      <w:bookmarkStart w:id="0" w:name="_GoBack"/>
      <w:bookmarkEnd w:id="0"/>
    </w:p>
    <w:p w14:paraId="5E968C69" w14:textId="77777777" w:rsidR="000E0B74" w:rsidRPr="006D0240" w:rsidRDefault="000E0B74" w:rsidP="00794499">
      <w:pPr>
        <w:pStyle w:val="Crest"/>
        <w:spacing w:after="3000"/>
        <w:jc w:val="right"/>
      </w:pPr>
    </w:p>
    <w:p w14:paraId="5095865D" w14:textId="0818CDA3" w:rsidR="000E0B74" w:rsidRPr="00A524B9" w:rsidRDefault="00746E5A" w:rsidP="000E0B74">
      <w:pPr>
        <w:pStyle w:val="Title"/>
      </w:pPr>
      <w:r>
        <w:t>Retirement Income Covenant Position Paper</w:t>
      </w:r>
    </w:p>
    <w:p w14:paraId="13507F0C" w14:textId="5DB12357" w:rsidR="000E0B74" w:rsidRPr="00D45AF8" w:rsidRDefault="00395BCD" w:rsidP="00D45AF8">
      <w:pPr>
        <w:pStyle w:val="Subtitle"/>
      </w:pPr>
      <w:r>
        <w:t>Stage one of the</w:t>
      </w:r>
      <w:r w:rsidR="00746E5A">
        <w:t xml:space="preserve"> Retirement</w:t>
      </w:r>
      <w:r>
        <w:t xml:space="preserve"> Income Framework</w:t>
      </w:r>
    </w:p>
    <w:p w14:paraId="122699FF" w14:textId="533193E2" w:rsidR="00056880" w:rsidRDefault="00DD79C8" w:rsidP="000E0B74">
      <w:pPr>
        <w:pStyle w:val="ReportDate"/>
        <w:ind w:right="0"/>
        <w:rPr>
          <w:rFonts w:ascii="Rockwell" w:hAnsi="Rockwell"/>
          <w:sz w:val="24"/>
        </w:rPr>
      </w:pPr>
      <w:r>
        <w:rPr>
          <w:rStyle w:val="ReportDateChar"/>
        </w:rPr>
        <w:t>May 2018</w:t>
      </w:r>
    </w:p>
    <w:p w14:paraId="6DEE8CAC" w14:textId="77777777" w:rsidR="002F617F" w:rsidRPr="005D561D" w:rsidRDefault="002F617F" w:rsidP="00A16E03">
      <w:pPr>
        <w:pStyle w:val="Divider"/>
        <w:spacing w:after="3000"/>
      </w:pPr>
    </w:p>
    <w:p w14:paraId="739795CC" w14:textId="77777777" w:rsidR="002F617F" w:rsidRDefault="002F617F"/>
    <w:p w14:paraId="2D16F703" w14:textId="77777777" w:rsidR="000E0B74" w:rsidRDefault="000E0B74" w:rsidP="000E0B74">
      <w:pPr>
        <w:rPr>
          <w:rFonts w:cs="Calibri"/>
          <w:sz w:val="20"/>
        </w:rPr>
      </w:pPr>
    </w:p>
    <w:p w14:paraId="650F059B" w14:textId="77777777" w:rsidR="000E0B74" w:rsidRDefault="000E0B74" w:rsidP="000E0B74">
      <w:pPr>
        <w:sectPr w:rsidR="000E0B74" w:rsidSect="00AB524A">
          <w:headerReference w:type="default" r:id="rId14"/>
          <w:footerReference w:type="default" r:id="rId15"/>
          <w:pgSz w:w="11906" w:h="16838"/>
          <w:pgMar w:top="1418" w:right="1418" w:bottom="1418" w:left="1418" w:header="709" w:footer="709" w:gutter="0"/>
          <w:pgNumType w:fmt="lowerRoman" w:start="1"/>
          <w:cols w:space="720"/>
        </w:sectPr>
      </w:pPr>
    </w:p>
    <w:p w14:paraId="0C56EB25" w14:textId="0FD90AF4" w:rsidR="000E0B74" w:rsidRDefault="000E0B74" w:rsidP="000E0B74">
      <w:pPr>
        <w:spacing w:before="240"/>
      </w:pPr>
      <w:r w:rsidRPr="00661BF0">
        <w:lastRenderedPageBreak/>
        <w:t xml:space="preserve">© Commonwealth of Australia </w:t>
      </w:r>
      <w:r w:rsidR="00FC28AD" w:rsidRPr="00FC28AD">
        <w:t>2018</w:t>
      </w:r>
    </w:p>
    <w:p w14:paraId="7D87AA21" w14:textId="7C1895E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8969CF6" w14:textId="77777777" w:rsidR="000E0B74" w:rsidRDefault="000E0B74" w:rsidP="000E0B74">
      <w:pPr>
        <w:pStyle w:val="ChartGraphic"/>
        <w:jc w:val="left"/>
      </w:pPr>
      <w:r w:rsidRPr="00E56DFB">
        <w:rPr>
          <w:noProof/>
        </w:rPr>
        <w:drawing>
          <wp:inline distT="0" distB="0" distL="0" distR="0" wp14:anchorId="13AB9F58" wp14:editId="3A0C9E6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51075A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37DDA1E"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0E255398"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904A584" w14:textId="6C8AFCAA" w:rsidR="000E0B74" w:rsidRPr="00A13A11" w:rsidRDefault="000E0B74" w:rsidP="000E0B74">
      <w:pPr>
        <w:ind w:firstLine="720"/>
      </w:pPr>
      <w:r w:rsidRPr="002F1BC2">
        <w:rPr>
          <w:i/>
        </w:rPr>
        <w:t xml:space="preserve">Source: The </w:t>
      </w:r>
      <w:r w:rsidRPr="002F1BC2">
        <w:rPr>
          <w:i/>
          <w:iCs/>
        </w:rPr>
        <w:t>Aus</w:t>
      </w:r>
      <w:r w:rsidR="00DD79C8">
        <w:rPr>
          <w:i/>
          <w:iCs/>
        </w:rPr>
        <w:t>tralian Government the Treasury.</w:t>
      </w:r>
    </w:p>
    <w:p w14:paraId="524E94B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BAD040F"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7816E6B" w14:textId="4F67D974" w:rsidR="000E0B74" w:rsidRPr="006627B4" w:rsidRDefault="000E0B74" w:rsidP="000E0B74">
      <w:pPr>
        <w:ind w:firstLine="720"/>
      </w:pPr>
      <w:proofErr w:type="gramStart"/>
      <w:r w:rsidRPr="002F1BC2">
        <w:rPr>
          <w:i/>
        </w:rPr>
        <w:t>Based on The Austral</w:t>
      </w:r>
      <w:r w:rsidR="00DD79C8">
        <w:rPr>
          <w:i/>
        </w:rPr>
        <w:t>ian Government the Treasury data</w:t>
      </w:r>
      <w:r>
        <w:t>.</w:t>
      </w:r>
      <w:proofErr w:type="gramEnd"/>
    </w:p>
    <w:p w14:paraId="2B75D6D7" w14:textId="77777777" w:rsidR="000E0B74" w:rsidRPr="006627B4" w:rsidRDefault="000E0B74" w:rsidP="000E0B74">
      <w:pPr>
        <w:spacing w:before="240"/>
        <w:rPr>
          <w:b/>
        </w:rPr>
      </w:pPr>
      <w:r w:rsidRPr="006627B4">
        <w:rPr>
          <w:b/>
        </w:rPr>
        <w:t>Use of the Coat of Arms</w:t>
      </w:r>
    </w:p>
    <w:p w14:paraId="62BFB305" w14:textId="77777777" w:rsidR="000E0B74" w:rsidRPr="006627B4" w:rsidRDefault="000E0B74" w:rsidP="000E0B74">
      <w:r w:rsidRPr="006627B4">
        <w:t xml:space="preserve">The terms under which the Coat of Arms can be used are set out on the It’s an Honour website (see </w:t>
      </w:r>
      <w:hyperlink r:id="rId20" w:history="1">
        <w:r w:rsidRPr="00D45AF8">
          <w:rPr>
            <w:rStyle w:val="Hyperlink"/>
          </w:rPr>
          <w:t>www.itsanhonour.gov.au</w:t>
        </w:r>
      </w:hyperlink>
      <w:r w:rsidRPr="006627B4">
        <w:t>)</w:t>
      </w:r>
      <w:r>
        <w:t>.</w:t>
      </w:r>
    </w:p>
    <w:p w14:paraId="6F43BA81" w14:textId="77777777" w:rsidR="000E0B74" w:rsidRPr="006627B4" w:rsidRDefault="000E0B74" w:rsidP="000E0B74">
      <w:pPr>
        <w:spacing w:before="240"/>
        <w:rPr>
          <w:b/>
        </w:rPr>
      </w:pPr>
      <w:r>
        <w:rPr>
          <w:b/>
        </w:rPr>
        <w:t>Other u</w:t>
      </w:r>
      <w:r w:rsidRPr="006627B4">
        <w:rPr>
          <w:b/>
        </w:rPr>
        <w:t>ses</w:t>
      </w:r>
    </w:p>
    <w:p w14:paraId="1456D217" w14:textId="77777777" w:rsidR="000E0B74" w:rsidRPr="006627B4" w:rsidRDefault="000E0B74" w:rsidP="000E0B74">
      <w:r>
        <w:t>E</w:t>
      </w:r>
      <w:r w:rsidRPr="006627B4">
        <w:t>nquiries regarding this licence and any other use of this document are welcome at:</w:t>
      </w:r>
    </w:p>
    <w:p w14:paraId="61C66D22"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1" w:history="1">
        <w:r w:rsidRPr="00B31CFB">
          <w:rPr>
            <w:rStyle w:val="Hyperlink"/>
          </w:rPr>
          <w:t>medialiaison@treasury.gov.au</w:t>
        </w:r>
      </w:hyperlink>
    </w:p>
    <w:p w14:paraId="145594B6" w14:textId="77777777" w:rsidR="000E0B74" w:rsidRDefault="000E0B74" w:rsidP="000E0B74">
      <w:pPr>
        <w:pStyle w:val="SingleParagraph"/>
        <w:sectPr w:rsidR="000E0B74" w:rsidSect="00AB524A">
          <w:headerReference w:type="even" r:id="rId22"/>
          <w:headerReference w:type="default" r:id="rId23"/>
          <w:footerReference w:type="even" r:id="rId24"/>
          <w:pgSz w:w="11906" w:h="16838" w:code="9"/>
          <w:pgMar w:top="1418" w:right="1418" w:bottom="1418" w:left="1418" w:header="709" w:footer="709" w:gutter="0"/>
          <w:pgNumType w:fmt="lowerRoman"/>
          <w:cols w:space="708"/>
          <w:titlePg/>
          <w:docGrid w:linePitch="360"/>
        </w:sectPr>
      </w:pPr>
    </w:p>
    <w:p w14:paraId="3236B80D" w14:textId="77777777" w:rsidR="000E0B74" w:rsidRDefault="000E0B74" w:rsidP="000E0B74">
      <w:pPr>
        <w:pStyle w:val="Heading1"/>
      </w:pPr>
      <w:bookmarkStart w:id="1" w:name="_Toc511916776"/>
      <w:bookmarkStart w:id="2" w:name="_Toc513718245"/>
      <w:r>
        <w:lastRenderedPageBreak/>
        <w:t>Contents</w:t>
      </w:r>
      <w:bookmarkEnd w:id="1"/>
      <w:bookmarkEnd w:id="2"/>
    </w:p>
    <w:p w14:paraId="03D6F525" w14:textId="0671BF9A" w:rsidR="003C7C3E"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13718245" w:history="1">
        <w:r w:rsidR="003C7C3E" w:rsidRPr="0097485A">
          <w:rPr>
            <w:rStyle w:val="Hyperlink"/>
          </w:rPr>
          <w:t>Contents</w:t>
        </w:r>
        <w:r w:rsidR="003C7C3E">
          <w:rPr>
            <w:webHidden/>
          </w:rPr>
          <w:tab/>
        </w:r>
        <w:r w:rsidR="003C7C3E">
          <w:rPr>
            <w:webHidden/>
          </w:rPr>
          <w:fldChar w:fldCharType="begin"/>
        </w:r>
        <w:r w:rsidR="003C7C3E">
          <w:rPr>
            <w:webHidden/>
          </w:rPr>
          <w:instrText xml:space="preserve"> PAGEREF _Toc513718245 \h </w:instrText>
        </w:r>
        <w:r w:rsidR="003C7C3E">
          <w:rPr>
            <w:webHidden/>
          </w:rPr>
        </w:r>
        <w:r w:rsidR="003C7C3E">
          <w:rPr>
            <w:webHidden/>
          </w:rPr>
          <w:fldChar w:fldCharType="separate"/>
        </w:r>
        <w:r w:rsidR="00AE7BC8">
          <w:rPr>
            <w:webHidden/>
          </w:rPr>
          <w:t>iii</w:t>
        </w:r>
        <w:r w:rsidR="003C7C3E">
          <w:rPr>
            <w:webHidden/>
          </w:rPr>
          <w:fldChar w:fldCharType="end"/>
        </w:r>
      </w:hyperlink>
    </w:p>
    <w:p w14:paraId="68873294" w14:textId="54D03E0D" w:rsidR="003C7C3E" w:rsidRDefault="00AE7BC8">
      <w:pPr>
        <w:pStyle w:val="TOC1"/>
        <w:rPr>
          <w:rFonts w:asciiTheme="minorHAnsi" w:eastAsiaTheme="minorEastAsia" w:hAnsiTheme="minorHAnsi" w:cstheme="minorBidi"/>
          <w:b w:val="0"/>
          <w:color w:val="auto"/>
        </w:rPr>
      </w:pPr>
      <w:hyperlink w:anchor="_Toc513718246" w:history="1">
        <w:r w:rsidR="003C7C3E" w:rsidRPr="0097485A">
          <w:rPr>
            <w:rStyle w:val="Hyperlink"/>
          </w:rPr>
          <w:t>Consultation Process</w:t>
        </w:r>
        <w:r w:rsidR="003C7C3E">
          <w:rPr>
            <w:webHidden/>
          </w:rPr>
          <w:tab/>
        </w:r>
        <w:r w:rsidR="003C7C3E">
          <w:rPr>
            <w:webHidden/>
          </w:rPr>
          <w:fldChar w:fldCharType="begin"/>
        </w:r>
        <w:r w:rsidR="003C7C3E">
          <w:rPr>
            <w:webHidden/>
          </w:rPr>
          <w:instrText xml:space="preserve"> PAGEREF _Toc513718246 \h </w:instrText>
        </w:r>
        <w:r w:rsidR="003C7C3E">
          <w:rPr>
            <w:webHidden/>
          </w:rPr>
        </w:r>
        <w:r w:rsidR="003C7C3E">
          <w:rPr>
            <w:webHidden/>
          </w:rPr>
          <w:fldChar w:fldCharType="separate"/>
        </w:r>
        <w:r>
          <w:rPr>
            <w:webHidden/>
          </w:rPr>
          <w:t>1</w:t>
        </w:r>
        <w:r w:rsidR="003C7C3E">
          <w:rPr>
            <w:webHidden/>
          </w:rPr>
          <w:fldChar w:fldCharType="end"/>
        </w:r>
      </w:hyperlink>
    </w:p>
    <w:p w14:paraId="25AC4311" w14:textId="53E96106" w:rsidR="003C7C3E" w:rsidRDefault="00AE7BC8">
      <w:pPr>
        <w:pStyle w:val="TOC2"/>
        <w:rPr>
          <w:rFonts w:asciiTheme="minorHAnsi" w:eastAsiaTheme="minorEastAsia" w:hAnsiTheme="minorHAnsi" w:cstheme="minorBidi"/>
          <w:color w:val="auto"/>
          <w:szCs w:val="22"/>
        </w:rPr>
      </w:pPr>
      <w:hyperlink w:anchor="_Toc513718247" w:history="1">
        <w:r w:rsidR="003C7C3E" w:rsidRPr="0097485A">
          <w:rPr>
            <w:rStyle w:val="Hyperlink"/>
          </w:rPr>
          <w:t>Request for feedback and comments</w:t>
        </w:r>
        <w:r w:rsidR="003C7C3E">
          <w:rPr>
            <w:webHidden/>
          </w:rPr>
          <w:tab/>
        </w:r>
        <w:r w:rsidR="003C7C3E">
          <w:rPr>
            <w:webHidden/>
          </w:rPr>
          <w:fldChar w:fldCharType="begin"/>
        </w:r>
        <w:r w:rsidR="003C7C3E">
          <w:rPr>
            <w:webHidden/>
          </w:rPr>
          <w:instrText xml:space="preserve"> PAGEREF _Toc513718247 \h </w:instrText>
        </w:r>
        <w:r w:rsidR="003C7C3E">
          <w:rPr>
            <w:webHidden/>
          </w:rPr>
        </w:r>
        <w:r w:rsidR="003C7C3E">
          <w:rPr>
            <w:webHidden/>
          </w:rPr>
          <w:fldChar w:fldCharType="separate"/>
        </w:r>
        <w:r>
          <w:rPr>
            <w:webHidden/>
          </w:rPr>
          <w:t>1</w:t>
        </w:r>
        <w:r w:rsidR="003C7C3E">
          <w:rPr>
            <w:webHidden/>
          </w:rPr>
          <w:fldChar w:fldCharType="end"/>
        </w:r>
      </w:hyperlink>
    </w:p>
    <w:p w14:paraId="5C959AD9" w14:textId="3B3BF706" w:rsidR="003C7C3E" w:rsidRDefault="00AE7BC8">
      <w:pPr>
        <w:pStyle w:val="TOC1"/>
        <w:rPr>
          <w:rFonts w:asciiTheme="minorHAnsi" w:eastAsiaTheme="minorEastAsia" w:hAnsiTheme="minorHAnsi" w:cstheme="minorBidi"/>
          <w:b w:val="0"/>
          <w:color w:val="auto"/>
        </w:rPr>
      </w:pPr>
      <w:hyperlink w:anchor="_Toc513718248" w:history="1">
        <w:r w:rsidR="003C7C3E" w:rsidRPr="0097485A">
          <w:rPr>
            <w:rStyle w:val="Hyperlink"/>
          </w:rPr>
          <w:t>Background</w:t>
        </w:r>
        <w:r w:rsidR="003C7C3E">
          <w:rPr>
            <w:webHidden/>
          </w:rPr>
          <w:tab/>
        </w:r>
        <w:r w:rsidR="003C7C3E">
          <w:rPr>
            <w:webHidden/>
          </w:rPr>
          <w:fldChar w:fldCharType="begin"/>
        </w:r>
        <w:r w:rsidR="003C7C3E">
          <w:rPr>
            <w:webHidden/>
          </w:rPr>
          <w:instrText xml:space="preserve"> PAGEREF _Toc513718248 \h </w:instrText>
        </w:r>
        <w:r w:rsidR="003C7C3E">
          <w:rPr>
            <w:webHidden/>
          </w:rPr>
        </w:r>
        <w:r w:rsidR="003C7C3E">
          <w:rPr>
            <w:webHidden/>
          </w:rPr>
          <w:fldChar w:fldCharType="separate"/>
        </w:r>
        <w:r>
          <w:rPr>
            <w:webHidden/>
          </w:rPr>
          <w:t>2</w:t>
        </w:r>
        <w:r w:rsidR="003C7C3E">
          <w:rPr>
            <w:webHidden/>
          </w:rPr>
          <w:fldChar w:fldCharType="end"/>
        </w:r>
      </w:hyperlink>
    </w:p>
    <w:p w14:paraId="72624F18" w14:textId="068084D7" w:rsidR="003C7C3E" w:rsidRDefault="00AE7BC8">
      <w:pPr>
        <w:pStyle w:val="TOC2"/>
        <w:rPr>
          <w:rFonts w:asciiTheme="minorHAnsi" w:eastAsiaTheme="minorEastAsia" w:hAnsiTheme="minorHAnsi" w:cstheme="minorBidi"/>
          <w:color w:val="auto"/>
          <w:szCs w:val="22"/>
        </w:rPr>
      </w:pPr>
      <w:hyperlink w:anchor="_Toc513718249" w:history="1">
        <w:r w:rsidR="003C7C3E" w:rsidRPr="0097485A">
          <w:rPr>
            <w:rStyle w:val="Hyperlink"/>
          </w:rPr>
          <w:t>The retirement income framework</w:t>
        </w:r>
        <w:r w:rsidR="003C7C3E">
          <w:rPr>
            <w:webHidden/>
          </w:rPr>
          <w:tab/>
        </w:r>
        <w:r w:rsidR="003C7C3E">
          <w:rPr>
            <w:webHidden/>
          </w:rPr>
          <w:fldChar w:fldCharType="begin"/>
        </w:r>
        <w:r w:rsidR="003C7C3E">
          <w:rPr>
            <w:webHidden/>
          </w:rPr>
          <w:instrText xml:space="preserve"> PAGEREF _Toc513718249 \h </w:instrText>
        </w:r>
        <w:r w:rsidR="003C7C3E">
          <w:rPr>
            <w:webHidden/>
          </w:rPr>
        </w:r>
        <w:r w:rsidR="003C7C3E">
          <w:rPr>
            <w:webHidden/>
          </w:rPr>
          <w:fldChar w:fldCharType="separate"/>
        </w:r>
        <w:r>
          <w:rPr>
            <w:webHidden/>
          </w:rPr>
          <w:t>2</w:t>
        </w:r>
        <w:r w:rsidR="003C7C3E">
          <w:rPr>
            <w:webHidden/>
          </w:rPr>
          <w:fldChar w:fldCharType="end"/>
        </w:r>
      </w:hyperlink>
    </w:p>
    <w:p w14:paraId="40814ADF" w14:textId="0B74CF8D" w:rsidR="003C7C3E" w:rsidRDefault="00AE7BC8">
      <w:pPr>
        <w:pStyle w:val="TOC2"/>
        <w:rPr>
          <w:rFonts w:asciiTheme="minorHAnsi" w:eastAsiaTheme="minorEastAsia" w:hAnsiTheme="minorHAnsi" w:cstheme="minorBidi"/>
          <w:color w:val="auto"/>
          <w:szCs w:val="22"/>
        </w:rPr>
      </w:pPr>
      <w:hyperlink w:anchor="_Toc513718250" w:history="1">
        <w:r w:rsidR="003C7C3E" w:rsidRPr="0097485A">
          <w:rPr>
            <w:rStyle w:val="Hyperlink"/>
          </w:rPr>
          <w:t>Retirement income covenant</w:t>
        </w:r>
        <w:r w:rsidR="003C7C3E">
          <w:rPr>
            <w:webHidden/>
          </w:rPr>
          <w:tab/>
        </w:r>
        <w:r w:rsidR="003C7C3E">
          <w:rPr>
            <w:webHidden/>
          </w:rPr>
          <w:fldChar w:fldCharType="begin"/>
        </w:r>
        <w:r w:rsidR="003C7C3E">
          <w:rPr>
            <w:webHidden/>
          </w:rPr>
          <w:instrText xml:space="preserve"> PAGEREF _Toc513718250 \h </w:instrText>
        </w:r>
        <w:r w:rsidR="003C7C3E">
          <w:rPr>
            <w:webHidden/>
          </w:rPr>
        </w:r>
        <w:r w:rsidR="003C7C3E">
          <w:rPr>
            <w:webHidden/>
          </w:rPr>
          <w:fldChar w:fldCharType="separate"/>
        </w:r>
        <w:r>
          <w:rPr>
            <w:webHidden/>
          </w:rPr>
          <w:t>3</w:t>
        </w:r>
        <w:r w:rsidR="003C7C3E">
          <w:rPr>
            <w:webHidden/>
          </w:rPr>
          <w:fldChar w:fldCharType="end"/>
        </w:r>
      </w:hyperlink>
    </w:p>
    <w:p w14:paraId="3B22304B" w14:textId="1B4B047B" w:rsidR="003C7C3E" w:rsidRDefault="00AE7BC8">
      <w:pPr>
        <w:pStyle w:val="TOC1"/>
        <w:rPr>
          <w:rFonts w:asciiTheme="minorHAnsi" w:eastAsiaTheme="minorEastAsia" w:hAnsiTheme="minorHAnsi" w:cstheme="minorBidi"/>
          <w:b w:val="0"/>
          <w:color w:val="auto"/>
        </w:rPr>
      </w:pPr>
      <w:hyperlink w:anchor="_Toc513718251" w:history="1">
        <w:r w:rsidR="003C7C3E" w:rsidRPr="0097485A">
          <w:rPr>
            <w:rStyle w:val="Hyperlink"/>
          </w:rPr>
          <w:t>Covenant Principles</w:t>
        </w:r>
        <w:r w:rsidR="003C7C3E">
          <w:rPr>
            <w:webHidden/>
          </w:rPr>
          <w:tab/>
        </w:r>
        <w:r w:rsidR="003C7C3E">
          <w:rPr>
            <w:webHidden/>
          </w:rPr>
          <w:fldChar w:fldCharType="begin"/>
        </w:r>
        <w:r w:rsidR="003C7C3E">
          <w:rPr>
            <w:webHidden/>
          </w:rPr>
          <w:instrText xml:space="preserve"> PAGEREF _Toc513718251 \h </w:instrText>
        </w:r>
        <w:r w:rsidR="003C7C3E">
          <w:rPr>
            <w:webHidden/>
          </w:rPr>
        </w:r>
        <w:r w:rsidR="003C7C3E">
          <w:rPr>
            <w:webHidden/>
          </w:rPr>
          <w:fldChar w:fldCharType="separate"/>
        </w:r>
        <w:r>
          <w:rPr>
            <w:webHidden/>
          </w:rPr>
          <w:t>4</w:t>
        </w:r>
        <w:r w:rsidR="003C7C3E">
          <w:rPr>
            <w:webHidden/>
          </w:rPr>
          <w:fldChar w:fldCharType="end"/>
        </w:r>
      </w:hyperlink>
    </w:p>
    <w:p w14:paraId="29A37A93" w14:textId="27F79543" w:rsidR="003C7C3E" w:rsidRDefault="00AE7BC8">
      <w:pPr>
        <w:pStyle w:val="TOC1"/>
        <w:rPr>
          <w:rFonts w:asciiTheme="minorHAnsi" w:eastAsiaTheme="minorEastAsia" w:hAnsiTheme="minorHAnsi" w:cstheme="minorBidi"/>
          <w:b w:val="0"/>
          <w:color w:val="auto"/>
        </w:rPr>
      </w:pPr>
      <w:hyperlink w:anchor="_Toc513718252" w:history="1">
        <w:r w:rsidR="003C7C3E" w:rsidRPr="0097485A">
          <w:rPr>
            <w:rStyle w:val="Hyperlink"/>
          </w:rPr>
          <w:t>Supporting Principles</w:t>
        </w:r>
        <w:r w:rsidR="003C7C3E">
          <w:rPr>
            <w:webHidden/>
          </w:rPr>
          <w:tab/>
        </w:r>
        <w:r w:rsidR="003C7C3E">
          <w:rPr>
            <w:webHidden/>
          </w:rPr>
          <w:fldChar w:fldCharType="begin"/>
        </w:r>
        <w:r w:rsidR="003C7C3E">
          <w:rPr>
            <w:webHidden/>
          </w:rPr>
          <w:instrText xml:space="preserve"> PAGEREF _Toc513718252 \h </w:instrText>
        </w:r>
        <w:r w:rsidR="003C7C3E">
          <w:rPr>
            <w:webHidden/>
          </w:rPr>
        </w:r>
        <w:r w:rsidR="003C7C3E">
          <w:rPr>
            <w:webHidden/>
          </w:rPr>
          <w:fldChar w:fldCharType="separate"/>
        </w:r>
        <w:r>
          <w:rPr>
            <w:webHidden/>
          </w:rPr>
          <w:t>6</w:t>
        </w:r>
        <w:r w:rsidR="003C7C3E">
          <w:rPr>
            <w:webHidden/>
          </w:rPr>
          <w:fldChar w:fldCharType="end"/>
        </w:r>
      </w:hyperlink>
    </w:p>
    <w:p w14:paraId="7FA21E42" w14:textId="6025F61E" w:rsidR="003C7C3E" w:rsidRDefault="00AE7BC8">
      <w:pPr>
        <w:pStyle w:val="TOC1"/>
        <w:rPr>
          <w:rFonts w:asciiTheme="minorHAnsi" w:eastAsiaTheme="minorEastAsia" w:hAnsiTheme="minorHAnsi" w:cstheme="minorBidi"/>
          <w:b w:val="0"/>
          <w:color w:val="auto"/>
        </w:rPr>
      </w:pPr>
      <w:hyperlink w:anchor="_Toc513718253" w:history="1">
        <w:r w:rsidR="003C7C3E" w:rsidRPr="0097485A">
          <w:rPr>
            <w:rStyle w:val="Hyperlink"/>
          </w:rPr>
          <w:t>Future considerations</w:t>
        </w:r>
        <w:r w:rsidR="003C7C3E">
          <w:rPr>
            <w:webHidden/>
          </w:rPr>
          <w:tab/>
        </w:r>
        <w:r w:rsidR="003C7C3E">
          <w:rPr>
            <w:webHidden/>
          </w:rPr>
          <w:fldChar w:fldCharType="begin"/>
        </w:r>
        <w:r w:rsidR="003C7C3E">
          <w:rPr>
            <w:webHidden/>
          </w:rPr>
          <w:instrText xml:space="preserve"> PAGEREF _Toc513718253 \h </w:instrText>
        </w:r>
        <w:r w:rsidR="003C7C3E">
          <w:rPr>
            <w:webHidden/>
          </w:rPr>
        </w:r>
        <w:r w:rsidR="003C7C3E">
          <w:rPr>
            <w:webHidden/>
          </w:rPr>
          <w:fldChar w:fldCharType="separate"/>
        </w:r>
        <w:r>
          <w:rPr>
            <w:webHidden/>
          </w:rPr>
          <w:t>11</w:t>
        </w:r>
        <w:r w:rsidR="003C7C3E">
          <w:rPr>
            <w:webHidden/>
          </w:rPr>
          <w:fldChar w:fldCharType="end"/>
        </w:r>
      </w:hyperlink>
    </w:p>
    <w:p w14:paraId="096FC769" w14:textId="2B5FC161" w:rsidR="003C7C3E" w:rsidRDefault="00AE7BC8">
      <w:pPr>
        <w:pStyle w:val="TOC1"/>
        <w:rPr>
          <w:rFonts w:asciiTheme="minorHAnsi" w:eastAsiaTheme="minorEastAsia" w:hAnsiTheme="minorHAnsi" w:cstheme="minorBidi"/>
          <w:b w:val="0"/>
          <w:color w:val="auto"/>
        </w:rPr>
      </w:pPr>
      <w:hyperlink w:anchor="_Toc513718254" w:history="1">
        <w:r w:rsidR="003C7C3E" w:rsidRPr="0097485A">
          <w:rPr>
            <w:rStyle w:val="Hyperlink"/>
          </w:rPr>
          <w:t>Acronyms</w:t>
        </w:r>
        <w:r w:rsidR="003C7C3E">
          <w:rPr>
            <w:webHidden/>
          </w:rPr>
          <w:tab/>
        </w:r>
        <w:r w:rsidR="003C7C3E">
          <w:rPr>
            <w:webHidden/>
          </w:rPr>
          <w:fldChar w:fldCharType="begin"/>
        </w:r>
        <w:r w:rsidR="003C7C3E">
          <w:rPr>
            <w:webHidden/>
          </w:rPr>
          <w:instrText xml:space="preserve"> PAGEREF _Toc513718254 \h </w:instrText>
        </w:r>
        <w:r w:rsidR="003C7C3E">
          <w:rPr>
            <w:webHidden/>
          </w:rPr>
        </w:r>
        <w:r w:rsidR="003C7C3E">
          <w:rPr>
            <w:webHidden/>
          </w:rPr>
          <w:fldChar w:fldCharType="separate"/>
        </w:r>
        <w:r>
          <w:rPr>
            <w:webHidden/>
          </w:rPr>
          <w:t>12</w:t>
        </w:r>
        <w:r w:rsidR="003C7C3E">
          <w:rPr>
            <w:webHidden/>
          </w:rPr>
          <w:fldChar w:fldCharType="end"/>
        </w:r>
      </w:hyperlink>
    </w:p>
    <w:p w14:paraId="2041BD2C" w14:textId="138A6FF9" w:rsidR="003C7C3E" w:rsidRDefault="00AE7BC8">
      <w:pPr>
        <w:pStyle w:val="TOC1"/>
        <w:rPr>
          <w:rFonts w:asciiTheme="minorHAnsi" w:eastAsiaTheme="minorEastAsia" w:hAnsiTheme="minorHAnsi" w:cstheme="minorBidi"/>
          <w:b w:val="0"/>
          <w:color w:val="auto"/>
        </w:rPr>
      </w:pPr>
      <w:hyperlink w:anchor="_Toc513718255" w:history="1">
        <w:r w:rsidR="003C7C3E" w:rsidRPr="0097485A">
          <w:rPr>
            <w:rStyle w:val="Hyperlink"/>
          </w:rPr>
          <w:t>Glossary</w:t>
        </w:r>
        <w:r w:rsidR="003C7C3E">
          <w:rPr>
            <w:webHidden/>
          </w:rPr>
          <w:tab/>
        </w:r>
        <w:r w:rsidR="003C7C3E">
          <w:rPr>
            <w:webHidden/>
          </w:rPr>
          <w:fldChar w:fldCharType="begin"/>
        </w:r>
        <w:r w:rsidR="003C7C3E">
          <w:rPr>
            <w:webHidden/>
          </w:rPr>
          <w:instrText xml:space="preserve"> PAGEREF _Toc513718255 \h </w:instrText>
        </w:r>
        <w:r w:rsidR="003C7C3E">
          <w:rPr>
            <w:webHidden/>
          </w:rPr>
        </w:r>
        <w:r w:rsidR="003C7C3E">
          <w:rPr>
            <w:webHidden/>
          </w:rPr>
          <w:fldChar w:fldCharType="separate"/>
        </w:r>
        <w:r>
          <w:rPr>
            <w:webHidden/>
          </w:rPr>
          <w:t>12</w:t>
        </w:r>
        <w:r w:rsidR="003C7C3E">
          <w:rPr>
            <w:webHidden/>
          </w:rPr>
          <w:fldChar w:fldCharType="end"/>
        </w:r>
      </w:hyperlink>
    </w:p>
    <w:p w14:paraId="1502F30A" w14:textId="40F64CBE" w:rsidR="003C7C3E" w:rsidRDefault="00AE7BC8">
      <w:pPr>
        <w:pStyle w:val="TOC1"/>
        <w:rPr>
          <w:rFonts w:asciiTheme="minorHAnsi" w:eastAsiaTheme="minorEastAsia" w:hAnsiTheme="minorHAnsi" w:cstheme="minorBidi"/>
          <w:b w:val="0"/>
          <w:color w:val="auto"/>
        </w:rPr>
      </w:pPr>
      <w:hyperlink w:anchor="_Toc513718256" w:history="1">
        <w:r w:rsidR="003C7C3E" w:rsidRPr="0097485A">
          <w:rPr>
            <w:rStyle w:val="Hyperlink"/>
          </w:rPr>
          <w:t>Appendix A</w:t>
        </w:r>
        <w:r w:rsidR="003C7C3E">
          <w:rPr>
            <w:webHidden/>
          </w:rPr>
          <w:tab/>
        </w:r>
        <w:r w:rsidR="003C7C3E">
          <w:rPr>
            <w:webHidden/>
          </w:rPr>
          <w:fldChar w:fldCharType="begin"/>
        </w:r>
        <w:r w:rsidR="003C7C3E">
          <w:rPr>
            <w:webHidden/>
          </w:rPr>
          <w:instrText xml:space="preserve"> PAGEREF _Toc513718256 \h </w:instrText>
        </w:r>
        <w:r w:rsidR="003C7C3E">
          <w:rPr>
            <w:webHidden/>
          </w:rPr>
        </w:r>
        <w:r w:rsidR="003C7C3E">
          <w:rPr>
            <w:webHidden/>
          </w:rPr>
          <w:fldChar w:fldCharType="separate"/>
        </w:r>
        <w:r>
          <w:rPr>
            <w:webHidden/>
          </w:rPr>
          <w:t>14</w:t>
        </w:r>
        <w:r w:rsidR="003C7C3E">
          <w:rPr>
            <w:webHidden/>
          </w:rPr>
          <w:fldChar w:fldCharType="end"/>
        </w:r>
      </w:hyperlink>
    </w:p>
    <w:p w14:paraId="2D3286FF" w14:textId="43EAF216" w:rsidR="003C7C3E" w:rsidRDefault="00AE7BC8">
      <w:pPr>
        <w:pStyle w:val="TOC2"/>
        <w:rPr>
          <w:rFonts w:asciiTheme="minorHAnsi" w:eastAsiaTheme="minorEastAsia" w:hAnsiTheme="minorHAnsi" w:cstheme="minorBidi"/>
          <w:color w:val="auto"/>
          <w:szCs w:val="22"/>
        </w:rPr>
      </w:pPr>
      <w:hyperlink w:anchor="_Toc513718257" w:history="1">
        <w:r w:rsidR="003C7C3E" w:rsidRPr="0097485A">
          <w:rPr>
            <w:rStyle w:val="Hyperlink"/>
          </w:rPr>
          <w:t>Retirement income products</w:t>
        </w:r>
        <w:r w:rsidR="003C7C3E">
          <w:rPr>
            <w:webHidden/>
          </w:rPr>
          <w:tab/>
        </w:r>
        <w:r w:rsidR="003C7C3E">
          <w:rPr>
            <w:webHidden/>
          </w:rPr>
          <w:fldChar w:fldCharType="begin"/>
        </w:r>
        <w:r w:rsidR="003C7C3E">
          <w:rPr>
            <w:webHidden/>
          </w:rPr>
          <w:instrText xml:space="preserve"> PAGEREF _Toc513718257 \h </w:instrText>
        </w:r>
        <w:r w:rsidR="003C7C3E">
          <w:rPr>
            <w:webHidden/>
          </w:rPr>
        </w:r>
        <w:r w:rsidR="003C7C3E">
          <w:rPr>
            <w:webHidden/>
          </w:rPr>
          <w:fldChar w:fldCharType="separate"/>
        </w:r>
        <w:r>
          <w:rPr>
            <w:webHidden/>
          </w:rPr>
          <w:t>14</w:t>
        </w:r>
        <w:r w:rsidR="003C7C3E">
          <w:rPr>
            <w:webHidden/>
          </w:rPr>
          <w:fldChar w:fldCharType="end"/>
        </w:r>
      </w:hyperlink>
    </w:p>
    <w:p w14:paraId="301A97C8" w14:textId="77777777" w:rsidR="000E0B74" w:rsidRDefault="00257AEE" w:rsidP="00656356">
      <w:pPr>
        <w:pStyle w:val="SingleParagraph"/>
        <w:tabs>
          <w:tab w:val="right" w:leader="dot" w:pos="9072"/>
        </w:tabs>
        <w:ind w:right="-2"/>
        <w:sectPr w:rsidR="000E0B74" w:rsidSect="00AB524A">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073D955F" w14:textId="77777777" w:rsidR="000E0B74" w:rsidRDefault="000E0B74" w:rsidP="000E0B74">
      <w:pPr>
        <w:pStyle w:val="Heading1"/>
      </w:pPr>
      <w:bookmarkStart w:id="3" w:name="_Toc511916777"/>
      <w:bookmarkStart w:id="4" w:name="_Toc513718246"/>
      <w:bookmarkStart w:id="5" w:name="_Toc432067103"/>
      <w:r>
        <w:lastRenderedPageBreak/>
        <w:t>Consultation Process</w:t>
      </w:r>
      <w:bookmarkEnd w:id="3"/>
      <w:bookmarkEnd w:id="4"/>
    </w:p>
    <w:p w14:paraId="60981C73" w14:textId="77777777" w:rsidR="000E0B74" w:rsidRDefault="000E0B74" w:rsidP="000E0B74">
      <w:pPr>
        <w:pStyle w:val="Heading2"/>
      </w:pPr>
      <w:bookmarkStart w:id="6" w:name="_Toc511916778"/>
      <w:bookmarkStart w:id="7" w:name="_Toc513718247"/>
      <w:r>
        <w:t>Request for feedback and comments</w:t>
      </w:r>
      <w:bookmarkEnd w:id="6"/>
      <w:bookmarkEnd w:id="7"/>
    </w:p>
    <w:p w14:paraId="66B9C460" w14:textId="59F81325" w:rsidR="002E6994" w:rsidRPr="00074D62" w:rsidRDefault="00996EE7" w:rsidP="002E6994">
      <w:r>
        <w:t>Treasury welcomes comments and feedback on the proposed principles.</w:t>
      </w:r>
      <w:r w:rsidR="002E6994" w:rsidRPr="00074D62">
        <w:t xml:space="preserve"> While submissions may be lodged electronically or by post, electronic lodgement is preferred. For accessibility reasons, please submit responses sent via email in a Word or RTF format. An additional PDF version may also be submitted.</w:t>
      </w:r>
    </w:p>
    <w:p w14:paraId="468857CC" w14:textId="7FAF71B0" w:rsidR="000E0B74" w:rsidRDefault="002E6994" w:rsidP="002E6994">
      <w:r w:rsidRPr="00074D62">
        <w:t xml:space="preserve">All information (including name and address details) contained in submissions </w:t>
      </w:r>
      <w:r w:rsidRPr="002E6994">
        <w:rPr>
          <w:b/>
        </w:rPr>
        <w:t>will be made available to the public on the Treasury website unless you indicate that you would like all or part of your submission to remain in confidence</w:t>
      </w:r>
      <w:r w:rsidRPr="00074D62">
        <w:t>. Automatically generated confidentiality statements in emails are not sufficient for this purpose. If you would like only part of your submission to remain confidential, please provide this information clearly marked as such in a separate attachment.</w:t>
      </w:r>
    </w:p>
    <w:p w14:paraId="779CF5C9" w14:textId="69D8F8EF" w:rsidR="000E0B74" w:rsidRDefault="000E0B74" w:rsidP="00257AEE">
      <w:pPr>
        <w:pStyle w:val="Heading3noTOC"/>
      </w:pPr>
      <w:r>
        <w:t xml:space="preserve">Closing date for submissions: </w:t>
      </w:r>
      <w:sdt>
        <w:sdtPr>
          <w:rPr>
            <w:rStyle w:val="Heading3Char"/>
          </w:rPr>
          <w:id w:val="1454836312"/>
          <w:placeholder>
            <w:docPart w:val="A287E150FAA94154B696962CF21A0136"/>
          </w:placeholder>
          <w:date w:fullDate="2018-06-15T00:00:00Z">
            <w:dateFormat w:val="dd MMMM yyyy"/>
            <w:lid w:val="en-AU"/>
            <w:storeMappedDataAs w:val="dateTime"/>
            <w:calendar w:val="gregorian"/>
          </w:date>
        </w:sdtPr>
        <w:sdtEndPr>
          <w:rPr>
            <w:rStyle w:val="DefaultParagraphFont"/>
            <w:rFonts w:cs="Calibri"/>
          </w:rPr>
        </w:sdtEndPr>
        <w:sdtContent>
          <w:r w:rsidR="001C4D25">
            <w:rPr>
              <w:rStyle w:val="Heading3Char"/>
            </w:rPr>
            <w:t>15 June 2018</w:t>
          </w:r>
        </w:sdtContent>
      </w:sdt>
    </w:p>
    <w:tbl>
      <w:tblPr>
        <w:tblStyle w:val="TableGrid"/>
        <w:tblW w:w="0" w:type="auto"/>
        <w:tblLook w:val="04A0" w:firstRow="1" w:lastRow="0" w:firstColumn="1" w:lastColumn="0" w:noHBand="0" w:noVBand="1"/>
      </w:tblPr>
      <w:tblGrid>
        <w:gridCol w:w="1526"/>
        <w:gridCol w:w="7654"/>
      </w:tblGrid>
      <w:tr w:rsidR="000E0B74" w:rsidRPr="00B85F47" w14:paraId="04B457CA" w14:textId="77777777" w:rsidTr="00B85F47">
        <w:tc>
          <w:tcPr>
            <w:tcW w:w="1526" w:type="dxa"/>
            <w:shd w:val="clear" w:color="auto" w:fill="auto"/>
          </w:tcPr>
          <w:p w14:paraId="5B8E2790"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790AFC7" w14:textId="605C2E17" w:rsidR="000E0B74" w:rsidRPr="00B85F47" w:rsidRDefault="00AE7BC8" w:rsidP="00516785">
            <w:pPr>
              <w:rPr>
                <w:sz w:val="22"/>
                <w:szCs w:val="22"/>
              </w:rPr>
            </w:pPr>
            <w:hyperlink r:id="rId25" w:history="1">
              <w:r w:rsidR="002F1ADC" w:rsidRPr="00A72DA4">
                <w:rPr>
                  <w:rStyle w:val="Hyperlink"/>
                  <w:rFonts w:cs="Arial"/>
                  <w:color w:val="auto"/>
                  <w:sz w:val="22"/>
                  <w:szCs w:val="22"/>
                </w:rPr>
                <w:t>superannuation@treasury.gov.au</w:t>
              </w:r>
            </w:hyperlink>
          </w:p>
        </w:tc>
      </w:tr>
      <w:tr w:rsidR="000E0B74" w:rsidRPr="00B85F47" w14:paraId="370D20B0" w14:textId="77777777" w:rsidTr="00B85F47">
        <w:tc>
          <w:tcPr>
            <w:tcW w:w="1526" w:type="dxa"/>
            <w:shd w:val="clear" w:color="auto" w:fill="auto"/>
          </w:tcPr>
          <w:p w14:paraId="1598827A" w14:textId="77777777" w:rsidR="000E0B74" w:rsidRPr="00B85F47" w:rsidRDefault="000E0B74" w:rsidP="0017089D">
            <w:pPr>
              <w:rPr>
                <w:sz w:val="22"/>
                <w:szCs w:val="22"/>
              </w:rPr>
            </w:pPr>
            <w:r w:rsidRPr="00B85F47">
              <w:rPr>
                <w:sz w:val="22"/>
                <w:szCs w:val="22"/>
              </w:rPr>
              <w:t>Mail</w:t>
            </w:r>
          </w:p>
          <w:p w14:paraId="16D24E9A" w14:textId="77777777" w:rsidR="008D7F38" w:rsidRPr="00B85F47" w:rsidRDefault="008D7F38" w:rsidP="0017089D">
            <w:pPr>
              <w:rPr>
                <w:sz w:val="22"/>
                <w:szCs w:val="22"/>
              </w:rPr>
            </w:pPr>
          </w:p>
          <w:p w14:paraId="1D1E19FA" w14:textId="77777777" w:rsidR="008D7F38" w:rsidRPr="00B85F47" w:rsidRDefault="008D7F38" w:rsidP="0017089D">
            <w:pPr>
              <w:rPr>
                <w:sz w:val="22"/>
                <w:szCs w:val="22"/>
              </w:rPr>
            </w:pPr>
          </w:p>
        </w:tc>
        <w:tc>
          <w:tcPr>
            <w:tcW w:w="7654" w:type="dxa"/>
            <w:shd w:val="clear" w:color="auto" w:fill="auto"/>
          </w:tcPr>
          <w:p w14:paraId="26D74FDB" w14:textId="61847EBD" w:rsidR="000E0B74" w:rsidRPr="00B85F47" w:rsidRDefault="00DD79C8" w:rsidP="0017089D">
            <w:pPr>
              <w:pStyle w:val="SingleParagraph"/>
              <w:rPr>
                <w:rFonts w:cs="Arial"/>
                <w:sz w:val="22"/>
                <w:szCs w:val="22"/>
              </w:rPr>
            </w:pPr>
            <w:r w:rsidRPr="00DD79C8">
              <w:rPr>
                <w:rFonts w:cs="Arial"/>
                <w:sz w:val="22"/>
                <w:szCs w:val="22"/>
              </w:rPr>
              <w:t>Manager, CIPRs</w:t>
            </w:r>
          </w:p>
          <w:p w14:paraId="2D1F5BB4" w14:textId="7DF9235B" w:rsidR="000E0B74" w:rsidRPr="00B85F47" w:rsidRDefault="00DD79C8" w:rsidP="0017089D">
            <w:pPr>
              <w:pStyle w:val="SingleParagraph"/>
              <w:rPr>
                <w:rFonts w:cs="Arial"/>
                <w:sz w:val="22"/>
                <w:szCs w:val="22"/>
              </w:rPr>
            </w:pPr>
            <w:r w:rsidRPr="00DD79C8">
              <w:rPr>
                <w:rFonts w:cs="Arial"/>
                <w:sz w:val="22"/>
                <w:szCs w:val="22"/>
              </w:rPr>
              <w:t>Retirement Income Policy Division</w:t>
            </w:r>
          </w:p>
          <w:p w14:paraId="270DC562"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565A14E5"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8E07C4B"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670148B" w14:textId="77777777" w:rsidTr="00B85F47">
        <w:tc>
          <w:tcPr>
            <w:tcW w:w="1526" w:type="dxa"/>
            <w:shd w:val="clear" w:color="auto" w:fill="auto"/>
          </w:tcPr>
          <w:p w14:paraId="0DABD8CE"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14A91AA6" w14:textId="1C06ADE4" w:rsidR="000E0B74" w:rsidRPr="00B85F47" w:rsidRDefault="000E0B74" w:rsidP="00DD79C8">
            <w:pPr>
              <w:rPr>
                <w:sz w:val="22"/>
                <w:szCs w:val="22"/>
              </w:rPr>
            </w:pPr>
            <w:r w:rsidRPr="00B85F47">
              <w:rPr>
                <w:rFonts w:cs="Arial"/>
                <w:sz w:val="22"/>
                <w:szCs w:val="22"/>
              </w:rPr>
              <w:t>Enquiri</w:t>
            </w:r>
            <w:r w:rsidR="00DD79C8">
              <w:rPr>
                <w:rFonts w:cs="Arial"/>
                <w:sz w:val="22"/>
                <w:szCs w:val="22"/>
              </w:rPr>
              <w:t>es can be initially directed to Rebecca McCallum</w:t>
            </w:r>
          </w:p>
        </w:tc>
      </w:tr>
      <w:tr w:rsidR="000E0B74" w:rsidRPr="00B85F47" w14:paraId="18735074" w14:textId="77777777" w:rsidTr="00B85F47">
        <w:tc>
          <w:tcPr>
            <w:tcW w:w="1526" w:type="dxa"/>
            <w:shd w:val="clear" w:color="auto" w:fill="auto"/>
          </w:tcPr>
          <w:p w14:paraId="04D0E1DB"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5C753B5D" w14:textId="71BE3FE7" w:rsidR="000E0B74" w:rsidRPr="00B85F47" w:rsidRDefault="00DD79C8" w:rsidP="00DD79C8">
            <w:pPr>
              <w:rPr>
                <w:sz w:val="22"/>
                <w:szCs w:val="22"/>
              </w:rPr>
            </w:pPr>
            <w:r>
              <w:rPr>
                <w:rFonts w:cs="Arial"/>
                <w:sz w:val="22"/>
                <w:szCs w:val="22"/>
              </w:rPr>
              <w:t>02 6263 2922</w:t>
            </w:r>
          </w:p>
        </w:tc>
      </w:tr>
      <w:bookmarkEnd w:id="5"/>
    </w:tbl>
    <w:p w14:paraId="1955F735" w14:textId="77777777" w:rsidR="008D7F38" w:rsidRPr="008D7F38" w:rsidRDefault="008D7F38" w:rsidP="008D7F38"/>
    <w:p w14:paraId="11F970AB" w14:textId="77777777" w:rsidR="005B152B" w:rsidRDefault="005B152B">
      <w:pPr>
        <w:spacing w:before="0" w:after="160" w:line="259" w:lineRule="auto"/>
      </w:pPr>
      <w:r>
        <w:br w:type="page"/>
      </w:r>
    </w:p>
    <w:p w14:paraId="2963FD61" w14:textId="12308FDA" w:rsidR="000E0B74" w:rsidRDefault="00F34F7D" w:rsidP="000E0B74">
      <w:pPr>
        <w:pStyle w:val="Heading1"/>
      </w:pPr>
      <w:bookmarkStart w:id="8" w:name="_Toc511916779"/>
      <w:bookmarkStart w:id="9" w:name="_Toc513718248"/>
      <w:r>
        <w:lastRenderedPageBreak/>
        <w:t>Background</w:t>
      </w:r>
      <w:bookmarkEnd w:id="8"/>
      <w:bookmarkEnd w:id="9"/>
    </w:p>
    <w:p w14:paraId="2F0E4286" w14:textId="5AE5805D" w:rsidR="004600ED" w:rsidRDefault="00F34F7D" w:rsidP="004600ED">
      <w:pPr>
        <w:pStyle w:val="Heading2"/>
      </w:pPr>
      <w:bookmarkStart w:id="10" w:name="_Toc306887371"/>
      <w:bookmarkStart w:id="11" w:name="_Toc432064635"/>
      <w:bookmarkStart w:id="12" w:name="_Toc511916780"/>
      <w:bookmarkStart w:id="13" w:name="_Toc513718249"/>
      <w:bookmarkEnd w:id="10"/>
      <w:bookmarkEnd w:id="11"/>
      <w:r>
        <w:t>The retirement income framework</w:t>
      </w:r>
      <w:bookmarkEnd w:id="12"/>
      <w:bookmarkEnd w:id="13"/>
    </w:p>
    <w:p w14:paraId="0C38F9E5" w14:textId="6B1C6273" w:rsidR="00FD380D" w:rsidRDefault="00CC10E1" w:rsidP="00E10D39">
      <w:pPr>
        <w:rPr>
          <w:rFonts w:asciiTheme="minorHAnsi" w:hAnsiTheme="minorHAnsi"/>
          <w:szCs w:val="22"/>
        </w:rPr>
      </w:pPr>
      <w:r>
        <w:rPr>
          <w:rFonts w:asciiTheme="minorHAnsi" w:hAnsiTheme="minorHAnsi"/>
          <w:szCs w:val="22"/>
        </w:rPr>
        <w:t>The retirement phase of the superannuation system is currently un</w:t>
      </w:r>
      <w:r w:rsidR="00CD085C">
        <w:rPr>
          <w:rFonts w:asciiTheme="minorHAnsi" w:hAnsiTheme="minorHAnsi"/>
          <w:szCs w:val="22"/>
        </w:rPr>
        <w:t>der-</w:t>
      </w:r>
      <w:r>
        <w:rPr>
          <w:rFonts w:asciiTheme="minorHAnsi" w:hAnsiTheme="minorHAnsi"/>
          <w:szCs w:val="22"/>
        </w:rPr>
        <w:t>developed and needs to be better aligned with the overall objective of the superannuation system of providing income in retirement</w:t>
      </w:r>
      <w:r w:rsidR="005B4D59">
        <w:rPr>
          <w:rFonts w:asciiTheme="minorHAnsi" w:hAnsiTheme="minorHAnsi"/>
          <w:szCs w:val="22"/>
        </w:rPr>
        <w:t xml:space="preserve"> to substitute or supplement the Age Pension</w:t>
      </w:r>
      <w:r>
        <w:rPr>
          <w:rFonts w:asciiTheme="minorHAnsi" w:hAnsiTheme="minorHAnsi"/>
          <w:szCs w:val="22"/>
        </w:rPr>
        <w:t xml:space="preserve">. </w:t>
      </w:r>
      <w:r w:rsidR="005B4D59">
        <w:rPr>
          <w:rFonts w:asciiTheme="minorHAnsi" w:hAnsiTheme="minorHAnsi"/>
          <w:szCs w:val="22"/>
        </w:rPr>
        <w:t xml:space="preserve">The </w:t>
      </w:r>
      <w:r>
        <w:rPr>
          <w:rFonts w:asciiTheme="minorHAnsi" w:hAnsiTheme="minorHAnsi"/>
          <w:szCs w:val="22"/>
        </w:rPr>
        <w:t xml:space="preserve">Government is addressing this through the development of a retirement income framework. </w:t>
      </w:r>
      <w:r w:rsidR="001437B0">
        <w:rPr>
          <w:rFonts w:asciiTheme="minorHAnsi" w:hAnsiTheme="minorHAnsi"/>
          <w:szCs w:val="22"/>
        </w:rPr>
        <w:t>The framework is intended to:</w:t>
      </w:r>
    </w:p>
    <w:p w14:paraId="182BE7C0" w14:textId="77777777" w:rsidR="001437B0" w:rsidRPr="001437B0" w:rsidRDefault="001437B0" w:rsidP="001437B0">
      <w:pPr>
        <w:pStyle w:val="Bullet"/>
        <w:numPr>
          <w:ilvl w:val="0"/>
          <w:numId w:val="18"/>
        </w:numPr>
        <w:tabs>
          <w:tab w:val="clear" w:pos="520"/>
          <w:tab w:val="num" w:pos="425"/>
        </w:tabs>
        <w:spacing w:after="240" w:line="260" w:lineRule="exact"/>
        <w:ind w:left="425" w:hanging="425"/>
      </w:pPr>
      <w:r w:rsidRPr="001437B0">
        <w:t>enable individuals to increase their standard of living in retirement through increased availability and take-up of products that more efficiently manage longevity risk, and in doing so increase the efficiency of the superannuation system and better align the system with its objective; and</w:t>
      </w:r>
    </w:p>
    <w:p w14:paraId="0B4C7FD9" w14:textId="13BDB7DF" w:rsidR="001437B0" w:rsidRPr="001437B0" w:rsidRDefault="001437B0" w:rsidP="001437B0">
      <w:pPr>
        <w:pStyle w:val="Bullet"/>
        <w:numPr>
          <w:ilvl w:val="0"/>
          <w:numId w:val="18"/>
        </w:numPr>
        <w:tabs>
          <w:tab w:val="clear" w:pos="520"/>
          <w:tab w:val="num" w:pos="425"/>
        </w:tabs>
        <w:spacing w:after="240" w:line="260" w:lineRule="exact"/>
        <w:ind w:left="425" w:hanging="425"/>
      </w:pPr>
      <w:proofErr w:type="gramStart"/>
      <w:r w:rsidRPr="001437B0">
        <w:t>enable</w:t>
      </w:r>
      <w:proofErr w:type="gramEnd"/>
      <w:r w:rsidRPr="001437B0">
        <w:t xml:space="preserve"> trustees to provide individuals with an easier transition into retirement </w:t>
      </w:r>
      <w:r w:rsidR="00996EE7">
        <w:t xml:space="preserve">by </w:t>
      </w:r>
      <w:r w:rsidRPr="001437B0">
        <w:t>offering retirement income product</w:t>
      </w:r>
      <w:r>
        <w:t>s that balance competing objectives of high income, flexibility and risk management</w:t>
      </w:r>
      <w:r w:rsidRPr="001437B0">
        <w:t>.</w:t>
      </w:r>
    </w:p>
    <w:p w14:paraId="2C0B3770" w14:textId="04FE58B0" w:rsidR="002A54CF" w:rsidRDefault="00E134CD" w:rsidP="00E134CD">
      <w:pPr>
        <w:rPr>
          <w:rFonts w:eastAsiaTheme="minorEastAsia"/>
        </w:rPr>
      </w:pPr>
      <w:r>
        <w:rPr>
          <w:rFonts w:eastAsiaTheme="minorEastAsia"/>
        </w:rPr>
        <w:t xml:space="preserve">In December 2016, </w:t>
      </w:r>
      <w:r w:rsidR="00CD085C">
        <w:rPr>
          <w:rFonts w:eastAsiaTheme="minorEastAsia"/>
        </w:rPr>
        <w:t xml:space="preserve">a </w:t>
      </w:r>
      <w:r>
        <w:rPr>
          <w:rFonts w:eastAsiaTheme="minorEastAsia"/>
        </w:rPr>
        <w:t xml:space="preserve">discussion paper </w:t>
      </w:r>
      <w:r w:rsidR="00CD085C">
        <w:rPr>
          <w:rFonts w:eastAsiaTheme="minorEastAsia"/>
        </w:rPr>
        <w:t xml:space="preserve">on Comprehensive Income Products for Retirement (CIPRs) </w:t>
      </w:r>
      <w:r>
        <w:rPr>
          <w:rFonts w:eastAsiaTheme="minorEastAsia"/>
        </w:rPr>
        <w:t>was released for consultation</w:t>
      </w:r>
      <w:r w:rsidR="0006204B">
        <w:rPr>
          <w:rStyle w:val="FootnoteReference"/>
          <w:rFonts w:eastAsiaTheme="minorEastAsia"/>
        </w:rPr>
        <w:footnoteReference w:id="2"/>
      </w:r>
      <w:r>
        <w:rPr>
          <w:rFonts w:eastAsiaTheme="minorEastAsia"/>
        </w:rPr>
        <w:t xml:space="preserve">. Submissions closed on 7 July 2017. </w:t>
      </w:r>
      <w:r w:rsidR="004741A8">
        <w:rPr>
          <w:rFonts w:eastAsiaTheme="minorEastAsia"/>
        </w:rPr>
        <w:t>T</w:t>
      </w:r>
      <w:r w:rsidR="006A4448">
        <w:rPr>
          <w:rFonts w:eastAsiaTheme="minorEastAsia"/>
        </w:rPr>
        <w:t>he Department of the Treasury (</w:t>
      </w:r>
      <w:r>
        <w:rPr>
          <w:rFonts w:eastAsiaTheme="minorEastAsia"/>
        </w:rPr>
        <w:t>Treasury</w:t>
      </w:r>
      <w:r w:rsidR="006A4448">
        <w:rPr>
          <w:rFonts w:eastAsiaTheme="minorEastAsia"/>
        </w:rPr>
        <w:t>)</w:t>
      </w:r>
      <w:r>
        <w:rPr>
          <w:rFonts w:eastAsiaTheme="minorEastAsia"/>
        </w:rPr>
        <w:t xml:space="preserve"> received 57 written submissions on the discussion paper, and met with </w:t>
      </w:r>
      <w:r w:rsidR="00A72DA4">
        <w:rPr>
          <w:rFonts w:eastAsiaTheme="minorEastAsia"/>
        </w:rPr>
        <w:t>more than</w:t>
      </w:r>
      <w:r>
        <w:rPr>
          <w:rFonts w:eastAsiaTheme="minorEastAsia"/>
        </w:rPr>
        <w:t xml:space="preserve"> 100</w:t>
      </w:r>
      <w:r w:rsidR="00330805">
        <w:rPr>
          <w:rFonts w:eastAsiaTheme="minorEastAsia"/>
        </w:rPr>
        <w:t> </w:t>
      </w:r>
      <w:r>
        <w:rPr>
          <w:rFonts w:eastAsiaTheme="minorEastAsia"/>
        </w:rPr>
        <w:t>organisations.</w:t>
      </w:r>
      <w:r w:rsidR="00DF66BC">
        <w:rPr>
          <w:rFonts w:eastAsiaTheme="minorEastAsia"/>
        </w:rPr>
        <w:t xml:space="preserve"> </w:t>
      </w:r>
    </w:p>
    <w:p w14:paraId="7018F392" w14:textId="5780E4D7" w:rsidR="00DF66BC" w:rsidRDefault="00E134CD" w:rsidP="00E134CD">
      <w:r w:rsidRPr="00DF66BC">
        <w:t>That consultation revealed that there is broad</w:t>
      </w:r>
      <w:r w:rsidRPr="00DF66BC">
        <w:rPr>
          <w:bCs/>
        </w:rPr>
        <w:t xml:space="preserve"> agreement </w:t>
      </w:r>
      <w:r w:rsidRPr="00DF66BC">
        <w:t xml:space="preserve">on the importance of what </w:t>
      </w:r>
      <w:r w:rsidR="00E60F2F">
        <w:t xml:space="preserve">the </w:t>
      </w:r>
      <w:r w:rsidRPr="00DF66BC">
        <w:t xml:space="preserve">CIPRs policy is seeking to achieve, </w:t>
      </w:r>
      <w:r w:rsidR="00DF66BC" w:rsidRPr="00DF66BC">
        <w:t>b</w:t>
      </w:r>
      <w:r w:rsidRPr="00DF66BC">
        <w:t xml:space="preserve">ut </w:t>
      </w:r>
      <w:r w:rsidRPr="00DF66BC">
        <w:rPr>
          <w:bCs/>
        </w:rPr>
        <w:t xml:space="preserve">divergent views </w:t>
      </w:r>
      <w:r w:rsidRPr="00DF66BC">
        <w:t>on the best way to achieve the objectives</w:t>
      </w:r>
      <w:r w:rsidR="005B4D59">
        <w:t>.</w:t>
      </w:r>
    </w:p>
    <w:p w14:paraId="2502C48E" w14:textId="0C3276EF" w:rsidR="006646C3" w:rsidRDefault="006646C3" w:rsidP="006646C3">
      <w:r>
        <w:t xml:space="preserve">In addition, </w:t>
      </w:r>
      <w:r w:rsidR="004741A8">
        <w:t>some stakeholders stressed the importance of finalising the social security treatment of pooled lifetime income products first. T</w:t>
      </w:r>
      <w:r>
        <w:t xml:space="preserve">he Government </w:t>
      </w:r>
      <w:r w:rsidR="0083377F">
        <w:t>announced</w:t>
      </w:r>
      <w:r>
        <w:t xml:space="preserve"> the treatment of </w:t>
      </w:r>
      <w:r w:rsidR="00252491">
        <w:t xml:space="preserve">the social security means test rules for new and existing </w:t>
      </w:r>
      <w:r w:rsidR="00B02B69">
        <w:t xml:space="preserve">pooled </w:t>
      </w:r>
      <w:r w:rsidR="00252491">
        <w:t xml:space="preserve">lifetime </w:t>
      </w:r>
      <w:r w:rsidR="00B02B69">
        <w:t xml:space="preserve">income </w:t>
      </w:r>
      <w:r w:rsidR="00252491">
        <w:t>products</w:t>
      </w:r>
      <w:r>
        <w:t xml:space="preserve"> in the 2018</w:t>
      </w:r>
      <w:r w:rsidR="00330805">
        <w:noBreakHyphen/>
      </w:r>
      <w:r>
        <w:t>19</w:t>
      </w:r>
      <w:r w:rsidR="00330805">
        <w:t> </w:t>
      </w:r>
      <w:r>
        <w:t>Budget.</w:t>
      </w:r>
    </w:p>
    <w:p w14:paraId="265474D4" w14:textId="2EA4A60D" w:rsidR="00322BBA" w:rsidRDefault="004741A8" w:rsidP="00DF66BC">
      <w:r>
        <w:t>Having taken steps to remo</w:t>
      </w:r>
      <w:r w:rsidR="00996EE7">
        <w:t>ve barriers to the introduction</w:t>
      </w:r>
      <w:r w:rsidR="00481ABD" w:rsidRPr="00272CB9">
        <w:t xml:space="preserve"> of </w:t>
      </w:r>
      <w:r w:rsidR="00B02B69">
        <w:t xml:space="preserve">pooled </w:t>
      </w:r>
      <w:r w:rsidR="00481ABD" w:rsidRPr="00272CB9">
        <w:t xml:space="preserve">lifetime </w:t>
      </w:r>
      <w:r w:rsidR="00B02B69">
        <w:t xml:space="preserve">income </w:t>
      </w:r>
      <w:r w:rsidR="00481ABD" w:rsidRPr="00272CB9">
        <w:t>products</w:t>
      </w:r>
      <w:r w:rsidR="006621D1">
        <w:t>,</w:t>
      </w:r>
      <w:r w:rsidR="00481ABD" w:rsidRPr="00272CB9">
        <w:t xml:space="preserve"> </w:t>
      </w:r>
      <w:r w:rsidR="00491419">
        <w:t xml:space="preserve">the Government plans to </w:t>
      </w:r>
      <w:r w:rsidR="00481ABD">
        <w:t xml:space="preserve">prioritise progress on the development of a </w:t>
      </w:r>
      <w:r w:rsidR="00491419">
        <w:t>retirement income covenant.</w:t>
      </w:r>
    </w:p>
    <w:p w14:paraId="58E0C730" w14:textId="7A4CA25F" w:rsidR="00DF66BC" w:rsidRDefault="00491419" w:rsidP="00DF66BC">
      <w:r>
        <w:t xml:space="preserve">The Government has also announced it will progress the development of simplified, standardised metrics </w:t>
      </w:r>
      <w:r w:rsidR="00A25827">
        <w:t xml:space="preserve">in product disclosure </w:t>
      </w:r>
      <w:r>
        <w:t xml:space="preserve">to </w:t>
      </w:r>
      <w:r w:rsidR="00A25827">
        <w:t>help</w:t>
      </w:r>
      <w:r>
        <w:t xml:space="preserve"> consumer</w:t>
      </w:r>
      <w:r w:rsidR="00A25827">
        <w:t>s make</w:t>
      </w:r>
      <w:r>
        <w:t xml:space="preserve"> decision</w:t>
      </w:r>
      <w:r w:rsidR="00A25827">
        <w:t>s about the</w:t>
      </w:r>
      <w:r>
        <w:t xml:space="preserve"> </w:t>
      </w:r>
      <w:r w:rsidR="00A25827">
        <w:t>most appropriate retirement income product for them</w:t>
      </w:r>
      <w:r>
        <w:t>.</w:t>
      </w:r>
      <w:r w:rsidR="00DF66BC" w:rsidRPr="00DF66BC">
        <w:t xml:space="preserve"> </w:t>
      </w:r>
      <w:r>
        <w:t xml:space="preserve">Other elements </w:t>
      </w:r>
      <w:r w:rsidR="00F36EA5">
        <w:t xml:space="preserve">of the framework </w:t>
      </w:r>
      <w:r>
        <w:t>will be developed progressively:</w:t>
      </w:r>
    </w:p>
    <w:p w14:paraId="42465959" w14:textId="358B49E0" w:rsidR="00DF66BC" w:rsidRPr="00DF66BC" w:rsidRDefault="00E739FE" w:rsidP="00491419">
      <w:pPr>
        <w:pStyle w:val="Bullet"/>
      </w:pPr>
      <w:r>
        <w:t>r</w:t>
      </w:r>
      <w:r w:rsidR="00DF66BC" w:rsidRPr="00DF66BC">
        <w:t xml:space="preserve">eframing superannuation </w:t>
      </w:r>
      <w:r w:rsidR="00BD50B6">
        <w:t xml:space="preserve">balances </w:t>
      </w:r>
      <w:r w:rsidR="00DF66BC" w:rsidRPr="00DF66BC">
        <w:t xml:space="preserve">in terms of </w:t>
      </w:r>
      <w:r w:rsidR="00BD50B6">
        <w:t xml:space="preserve">the </w:t>
      </w:r>
      <w:r w:rsidR="00DF66BC" w:rsidRPr="00DF66BC">
        <w:t>retirement income</w:t>
      </w:r>
      <w:r w:rsidR="00BD50B6">
        <w:t xml:space="preserve"> stream they can provide</w:t>
      </w:r>
      <w:r w:rsidR="00DF66BC" w:rsidRPr="00DF66BC">
        <w:t>, by facilitating trustees to provide retirement income projections</w:t>
      </w:r>
      <w:r w:rsidR="00A25827">
        <w:t xml:space="preserve"> during the accumulation phase</w:t>
      </w:r>
      <w:r w:rsidR="00DF66BC" w:rsidRPr="00DF66BC">
        <w:t>;</w:t>
      </w:r>
      <w:r w:rsidR="00491419">
        <w:t xml:space="preserve"> and</w:t>
      </w:r>
    </w:p>
    <w:p w14:paraId="0F352239" w14:textId="13F07177" w:rsidR="00F87C7B" w:rsidRDefault="00E739FE" w:rsidP="00131EE0">
      <w:pPr>
        <w:pStyle w:val="Bullet"/>
      </w:pPr>
      <w:proofErr w:type="gramStart"/>
      <w:r>
        <w:t>a</w:t>
      </w:r>
      <w:proofErr w:type="gramEnd"/>
      <w:r w:rsidR="00DF66BC" w:rsidRPr="00DF66BC">
        <w:t xml:space="preserve"> regulatory fra</w:t>
      </w:r>
      <w:r w:rsidR="00A25827">
        <w:t>mework to support the other elements</w:t>
      </w:r>
      <w:r w:rsidR="00DF66BC" w:rsidRPr="00DF66BC">
        <w:t xml:space="preserve"> </w:t>
      </w:r>
      <w:r w:rsidR="00BD50B6">
        <w:t xml:space="preserve">of the retirement income framework </w:t>
      </w:r>
      <w:r w:rsidR="00DF66BC" w:rsidRPr="00DF66BC">
        <w:t xml:space="preserve">including definitions, any </w:t>
      </w:r>
      <w:r w:rsidR="00996EE7">
        <w:t xml:space="preserve">necessary </w:t>
      </w:r>
      <w:r w:rsidR="00A25827">
        <w:t>safe harbours, requirements for managing legacy products and other details.</w:t>
      </w:r>
      <w:bookmarkStart w:id="14" w:name="_Toc306887372"/>
      <w:bookmarkStart w:id="15" w:name="_Toc432064636"/>
    </w:p>
    <w:p w14:paraId="07BC8EDF" w14:textId="03A653E8" w:rsidR="00481ABD" w:rsidRPr="00F34F7D" w:rsidRDefault="00272CB9" w:rsidP="00481ABD">
      <w:r>
        <w:object w:dxaOrig="10233" w:dyaOrig="1785" w14:anchorId="6222C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8.75pt" o:ole="">
            <v:imagedata r:id="rId26" o:title=""/>
          </v:shape>
          <o:OLEObject Type="Embed" ProgID="Visio.Drawing.11" ShapeID="_x0000_i1025" DrawAspect="Content" ObjectID="_1587908580" r:id="rId27"/>
        </w:object>
      </w:r>
    </w:p>
    <w:p w14:paraId="702B9785" w14:textId="3C031FA8" w:rsidR="00F34F7D" w:rsidRPr="00F34F7D" w:rsidRDefault="00F34F7D" w:rsidP="00F34F7D">
      <w:pPr>
        <w:pStyle w:val="Heading2"/>
      </w:pPr>
      <w:bookmarkStart w:id="16" w:name="_Toc511916781"/>
      <w:bookmarkStart w:id="17" w:name="_Toc513718250"/>
      <w:r w:rsidRPr="00F34F7D">
        <w:lastRenderedPageBreak/>
        <w:t xml:space="preserve">Retirement </w:t>
      </w:r>
      <w:r w:rsidR="006621D1">
        <w:t>i</w:t>
      </w:r>
      <w:r>
        <w:t xml:space="preserve">ncome </w:t>
      </w:r>
      <w:r w:rsidR="006621D1">
        <w:t>c</w:t>
      </w:r>
      <w:r w:rsidRPr="00F34F7D">
        <w:t>ovenant</w:t>
      </w:r>
      <w:bookmarkEnd w:id="16"/>
      <w:bookmarkEnd w:id="17"/>
    </w:p>
    <w:p w14:paraId="7711CF05" w14:textId="3F93EBFC" w:rsidR="00510F10" w:rsidRPr="00996EE7" w:rsidRDefault="00510F10" w:rsidP="00996EE7">
      <w:pPr>
        <w:rPr>
          <w:lang w:val="en-US"/>
        </w:rPr>
      </w:pPr>
      <w:r w:rsidRPr="00996EE7">
        <w:t xml:space="preserve">On 19 February 2018 the </w:t>
      </w:r>
      <w:r w:rsidRPr="00996EE7">
        <w:rPr>
          <w:lang w:val="en-US"/>
        </w:rPr>
        <w:t xml:space="preserve">Minister for Revenue and Financial Services, the Hon Kelly O'Dwyer MP, announced the establishment of a consumer and industry advisory group to assist in the development of a framework for </w:t>
      </w:r>
      <w:r w:rsidR="00E739FE" w:rsidRPr="00996EE7">
        <w:rPr>
          <w:lang w:val="en-US"/>
        </w:rPr>
        <w:t>CIPRs</w:t>
      </w:r>
      <w:r w:rsidRPr="00996EE7">
        <w:rPr>
          <w:lang w:val="en-US"/>
        </w:rPr>
        <w:t>.</w:t>
      </w:r>
    </w:p>
    <w:p w14:paraId="43BBD629" w14:textId="55A35330" w:rsidR="00B0491F" w:rsidRPr="00996EE7" w:rsidRDefault="00510F10" w:rsidP="00996EE7">
      <w:pPr>
        <w:rPr>
          <w:rStyle w:val="Emphasis"/>
          <w:rFonts w:asciiTheme="minorHAnsi" w:hAnsiTheme="minorHAnsi" w:cs="Arial"/>
          <w:i w:val="0"/>
          <w:szCs w:val="22"/>
          <w:lang w:val="en-US"/>
        </w:rPr>
      </w:pPr>
      <w:r w:rsidRPr="00996EE7">
        <w:rPr>
          <w:lang w:val="en-US"/>
        </w:rPr>
        <w:t xml:space="preserve">The central task of the advisory group was to provide advice to Treasury on possible options and scope of a retirement </w:t>
      </w:r>
      <w:r w:rsidR="006621D1">
        <w:rPr>
          <w:lang w:val="en-US"/>
        </w:rPr>
        <w:t xml:space="preserve">income </w:t>
      </w:r>
      <w:r w:rsidRPr="00996EE7">
        <w:rPr>
          <w:lang w:val="en-US"/>
        </w:rPr>
        <w:t xml:space="preserve">covenant in the </w:t>
      </w:r>
      <w:r w:rsidR="00F36EA5" w:rsidRPr="00996EE7">
        <w:rPr>
          <w:rStyle w:val="Emphasis"/>
          <w:rFonts w:asciiTheme="minorHAnsi" w:hAnsiTheme="minorHAnsi" w:cs="Arial"/>
          <w:szCs w:val="22"/>
          <w:lang w:val="en-US"/>
        </w:rPr>
        <w:t xml:space="preserve">Superannuation Industry </w:t>
      </w:r>
      <w:r w:rsidR="00A72DA4">
        <w:rPr>
          <w:rStyle w:val="Emphasis"/>
          <w:rFonts w:asciiTheme="minorHAnsi" w:hAnsiTheme="minorHAnsi" w:cs="Arial"/>
          <w:szCs w:val="22"/>
          <w:lang w:val="en-US"/>
        </w:rPr>
        <w:t>(</w:t>
      </w:r>
      <w:r w:rsidR="00F36EA5" w:rsidRPr="00996EE7">
        <w:rPr>
          <w:rStyle w:val="Emphasis"/>
          <w:rFonts w:asciiTheme="minorHAnsi" w:hAnsiTheme="minorHAnsi" w:cs="Arial"/>
          <w:szCs w:val="22"/>
          <w:lang w:val="en-US"/>
        </w:rPr>
        <w:t>Supervision</w:t>
      </w:r>
      <w:r w:rsidR="00A72DA4">
        <w:rPr>
          <w:rStyle w:val="Emphasis"/>
          <w:rFonts w:asciiTheme="minorHAnsi" w:hAnsiTheme="minorHAnsi" w:cs="Arial"/>
          <w:szCs w:val="22"/>
          <w:lang w:val="en-US"/>
        </w:rPr>
        <w:t>)</w:t>
      </w:r>
      <w:r w:rsidR="00F36EA5" w:rsidRPr="00996EE7">
        <w:rPr>
          <w:rStyle w:val="Emphasis"/>
          <w:rFonts w:asciiTheme="minorHAnsi" w:hAnsiTheme="minorHAnsi" w:cs="Arial"/>
          <w:szCs w:val="22"/>
          <w:lang w:val="en-US"/>
        </w:rPr>
        <w:t xml:space="preserve"> Act 1993 </w:t>
      </w:r>
      <w:r w:rsidR="00A72DA4">
        <w:rPr>
          <w:rStyle w:val="Emphasis"/>
          <w:rFonts w:asciiTheme="minorHAnsi" w:hAnsiTheme="minorHAnsi" w:cs="Arial"/>
          <w:i w:val="0"/>
          <w:szCs w:val="22"/>
          <w:lang w:val="en-US"/>
        </w:rPr>
        <w:t>(SIS </w:t>
      </w:r>
      <w:r w:rsidR="00F36EA5" w:rsidRPr="00996EE7">
        <w:rPr>
          <w:rStyle w:val="Emphasis"/>
          <w:rFonts w:asciiTheme="minorHAnsi" w:hAnsiTheme="minorHAnsi" w:cs="Arial"/>
          <w:i w:val="0"/>
          <w:szCs w:val="22"/>
          <w:lang w:val="en-US"/>
        </w:rPr>
        <w:t>Act)</w:t>
      </w:r>
      <w:r w:rsidRPr="00996EE7">
        <w:rPr>
          <w:rStyle w:val="Emphasis"/>
          <w:rFonts w:asciiTheme="minorHAnsi" w:hAnsiTheme="minorHAnsi" w:cs="Arial"/>
          <w:i w:val="0"/>
          <w:szCs w:val="22"/>
          <w:lang w:val="en-US"/>
        </w:rPr>
        <w:t>.</w:t>
      </w:r>
      <w:r w:rsidR="002D4318" w:rsidRPr="00996EE7">
        <w:rPr>
          <w:rStyle w:val="Emphasis"/>
          <w:rFonts w:asciiTheme="minorHAnsi" w:hAnsiTheme="minorHAnsi" w:cs="Arial"/>
          <w:i w:val="0"/>
          <w:szCs w:val="22"/>
          <w:lang w:val="en-US"/>
        </w:rPr>
        <w:t xml:space="preserve"> </w:t>
      </w:r>
      <w:bookmarkEnd w:id="14"/>
      <w:bookmarkEnd w:id="15"/>
      <w:r w:rsidR="00BD50B6" w:rsidRPr="00996EE7">
        <w:rPr>
          <w:rStyle w:val="Emphasis"/>
          <w:rFonts w:asciiTheme="minorHAnsi" w:hAnsiTheme="minorHAnsi" w:cs="Arial"/>
          <w:i w:val="0"/>
          <w:szCs w:val="22"/>
          <w:lang w:val="en-US"/>
        </w:rPr>
        <w:t xml:space="preserve">The group strongly supported the idea of a retirement </w:t>
      </w:r>
      <w:r w:rsidR="006621D1">
        <w:rPr>
          <w:rStyle w:val="Emphasis"/>
          <w:rFonts w:asciiTheme="minorHAnsi" w:hAnsiTheme="minorHAnsi" w:cs="Arial"/>
          <w:i w:val="0"/>
          <w:szCs w:val="22"/>
          <w:lang w:val="en-US"/>
        </w:rPr>
        <w:t xml:space="preserve">income </w:t>
      </w:r>
      <w:r w:rsidR="00B0491F" w:rsidRPr="00996EE7">
        <w:rPr>
          <w:rStyle w:val="Emphasis"/>
          <w:rFonts w:asciiTheme="minorHAnsi" w:hAnsiTheme="minorHAnsi" w:cs="Arial"/>
          <w:i w:val="0"/>
          <w:szCs w:val="22"/>
          <w:lang w:val="en-US"/>
        </w:rPr>
        <w:t xml:space="preserve">covenant and provided advice on the proposed framework. This feedback has helped shape the proposed approach set out in this paper. </w:t>
      </w:r>
    </w:p>
    <w:p w14:paraId="3465752E" w14:textId="4F74157B" w:rsidR="00510F10" w:rsidRDefault="00BD50B6" w:rsidP="00996EE7">
      <w:r>
        <w:rPr>
          <w:rFonts w:asciiTheme="minorHAnsi" w:hAnsiTheme="minorHAnsi"/>
          <w:szCs w:val="22"/>
        </w:rPr>
        <w:t>A</w:t>
      </w:r>
      <w:r w:rsidR="00510F10" w:rsidRPr="002D4318">
        <w:rPr>
          <w:rFonts w:asciiTheme="minorHAnsi" w:hAnsiTheme="minorHAnsi"/>
          <w:szCs w:val="22"/>
        </w:rPr>
        <w:t xml:space="preserve">s part of the </w:t>
      </w:r>
      <w:r w:rsidR="00510F10" w:rsidRPr="00C64C02">
        <w:rPr>
          <w:rFonts w:asciiTheme="minorHAnsi" w:hAnsiTheme="minorHAnsi"/>
          <w:szCs w:val="22"/>
        </w:rPr>
        <w:t>Government’s</w:t>
      </w:r>
      <w:r w:rsidR="00A72DA4">
        <w:rPr>
          <w:rFonts w:asciiTheme="minorHAnsi" w:hAnsiTheme="minorHAnsi"/>
          <w:szCs w:val="22"/>
        </w:rPr>
        <w:t xml:space="preserve"> More Choices for a Longer Life Package</w:t>
      </w:r>
      <w:r w:rsidR="00510F10" w:rsidRPr="00C64C02">
        <w:rPr>
          <w:rFonts w:asciiTheme="minorHAnsi" w:hAnsiTheme="minorHAnsi"/>
          <w:szCs w:val="22"/>
        </w:rPr>
        <w:t xml:space="preserve"> in the 2018</w:t>
      </w:r>
      <w:r w:rsidR="00510F10" w:rsidRPr="002D4318">
        <w:rPr>
          <w:rFonts w:asciiTheme="minorHAnsi" w:hAnsiTheme="minorHAnsi"/>
          <w:szCs w:val="22"/>
        </w:rPr>
        <w:t xml:space="preserve">-19 Budget, </w:t>
      </w:r>
      <w:r w:rsidR="00B0491F">
        <w:rPr>
          <w:rFonts w:asciiTheme="minorHAnsi" w:hAnsiTheme="minorHAnsi"/>
          <w:szCs w:val="22"/>
        </w:rPr>
        <w:t>the Gover</w:t>
      </w:r>
      <w:r w:rsidR="00E739FE">
        <w:rPr>
          <w:rFonts w:asciiTheme="minorHAnsi" w:hAnsiTheme="minorHAnsi"/>
          <w:szCs w:val="22"/>
        </w:rPr>
        <w:t>nment has committed to introducing</w:t>
      </w:r>
      <w:r w:rsidR="00B0491F">
        <w:rPr>
          <w:rFonts w:asciiTheme="minorHAnsi" w:hAnsiTheme="minorHAnsi"/>
          <w:szCs w:val="22"/>
        </w:rPr>
        <w:t xml:space="preserve"> a retirement income covenant a</w:t>
      </w:r>
      <w:r w:rsidR="00510F10">
        <w:rPr>
          <w:rFonts w:asciiTheme="minorHAnsi" w:hAnsiTheme="minorHAnsi"/>
          <w:szCs w:val="22"/>
        </w:rPr>
        <w:t xml:space="preserve">s a critical first stage </w:t>
      </w:r>
      <w:r w:rsidR="004741A8">
        <w:rPr>
          <w:rFonts w:asciiTheme="minorHAnsi" w:hAnsiTheme="minorHAnsi"/>
          <w:szCs w:val="22"/>
        </w:rPr>
        <w:t>to</w:t>
      </w:r>
      <w:r w:rsidR="00B0491F">
        <w:rPr>
          <w:rFonts w:asciiTheme="minorHAnsi" w:hAnsiTheme="minorHAnsi"/>
          <w:szCs w:val="22"/>
        </w:rPr>
        <w:t xml:space="preserve"> the Government’s proposed </w:t>
      </w:r>
      <w:r w:rsidR="00510F10">
        <w:rPr>
          <w:rFonts w:asciiTheme="minorHAnsi" w:hAnsiTheme="minorHAnsi"/>
          <w:szCs w:val="22"/>
        </w:rPr>
        <w:t>retirement income framework</w:t>
      </w:r>
      <w:r w:rsidR="00B0491F">
        <w:rPr>
          <w:rFonts w:asciiTheme="minorHAnsi" w:hAnsiTheme="minorHAnsi"/>
          <w:szCs w:val="22"/>
        </w:rPr>
        <w:t>. This</w:t>
      </w:r>
      <w:r w:rsidR="00510F10">
        <w:rPr>
          <w:rFonts w:asciiTheme="minorHAnsi" w:hAnsiTheme="minorHAnsi"/>
          <w:szCs w:val="22"/>
        </w:rPr>
        <w:t xml:space="preserve"> will codify the requirements and obligations for superannuation trustees to improve retirement outcomes for individuals.</w:t>
      </w:r>
    </w:p>
    <w:p w14:paraId="334D28FF" w14:textId="15142743" w:rsidR="00510F10" w:rsidRDefault="00510F10" w:rsidP="00510F10">
      <w:pPr>
        <w:rPr>
          <w:rFonts w:asciiTheme="minorHAnsi" w:hAnsiTheme="minorHAnsi"/>
          <w:szCs w:val="22"/>
        </w:rPr>
      </w:pPr>
      <w:r>
        <w:t xml:space="preserve">Existing covenants in </w:t>
      </w:r>
      <w:r w:rsidR="00F36EA5">
        <w:t>the SIS Act</w:t>
      </w:r>
      <w:r>
        <w:t xml:space="preserve"> include obligations to formulate, review regularly and give effect to investment, risk management and insurance strategies; but not a retirement income strategy.</w:t>
      </w:r>
      <w:r>
        <w:rPr>
          <w:rFonts w:asciiTheme="minorHAnsi" w:hAnsiTheme="minorHAnsi"/>
          <w:szCs w:val="22"/>
        </w:rPr>
        <w:t xml:space="preserve"> </w:t>
      </w:r>
    </w:p>
    <w:p w14:paraId="322A9CD3" w14:textId="096BEF2B" w:rsidR="00510F10" w:rsidRDefault="00510F10" w:rsidP="00510F10">
      <w:r>
        <w:t xml:space="preserve">Introducing a retirement income covenant will require trustees to consider the retirement income needs and preferences of their members. It will ensure that Australian retirees have greater choice in how they take their superannuation benefits in retirement. This should allow retirees to more effectively choose a retirement product that aligns with their preferences, improving outcomes in retirement. The </w:t>
      </w:r>
      <w:r w:rsidR="00EB091E">
        <w:t xml:space="preserve">proposed </w:t>
      </w:r>
      <w:r w:rsidR="00DD79C8">
        <w:t xml:space="preserve">obligations for inclusion in the covenant are outlined in the section ‘Covenant </w:t>
      </w:r>
      <w:r w:rsidR="006406D7">
        <w:t>p</w:t>
      </w:r>
      <w:r w:rsidR="00DD79C8">
        <w:t>rinciples’.</w:t>
      </w:r>
    </w:p>
    <w:p w14:paraId="3708696E" w14:textId="65B5C21D" w:rsidR="00510F10" w:rsidRPr="00332C78" w:rsidRDefault="00996EE7" w:rsidP="00510F10">
      <w:r>
        <w:t>T</w:t>
      </w:r>
      <w:r w:rsidR="00510F10">
        <w:t>he covenant w</w:t>
      </w:r>
      <w:r w:rsidR="00E739FE">
        <w:t>ill be supported by regulations</w:t>
      </w:r>
      <w:r w:rsidR="00510F10">
        <w:t xml:space="preserve"> </w:t>
      </w:r>
      <w:r>
        <w:t>to provide additional guidance and outline in more detail how trustees will be required to fulfil their obligations</w:t>
      </w:r>
      <w:r w:rsidR="0050707D">
        <w:t xml:space="preserve">. </w:t>
      </w:r>
      <w:r w:rsidR="002E5D26">
        <w:t>Appropriate enforcement will also be part of the framework</w:t>
      </w:r>
      <w:r w:rsidR="006052E3">
        <w:t xml:space="preserve">. </w:t>
      </w:r>
      <w:proofErr w:type="gramStart"/>
      <w:r w:rsidR="004741A8">
        <w:t>T</w:t>
      </w:r>
      <w:r w:rsidR="0050707D" w:rsidRPr="00332C78">
        <w:t xml:space="preserve">he ‘Supporting </w:t>
      </w:r>
      <w:r w:rsidR="006406D7">
        <w:t>p</w:t>
      </w:r>
      <w:r w:rsidR="0050707D" w:rsidRPr="001A6E4B">
        <w:t>rinciples’</w:t>
      </w:r>
      <w:r w:rsidR="004741A8">
        <w:t xml:space="preserve"> section outlines the principles and guidelines that would be included in regulations</w:t>
      </w:r>
      <w:r w:rsidR="00513CCF">
        <w:t xml:space="preserve"> (and possibly prudential standards)</w:t>
      </w:r>
      <w:r w:rsidR="0050707D" w:rsidRPr="001A6E4B">
        <w:t>.</w:t>
      </w:r>
      <w:proofErr w:type="gramEnd"/>
      <w:r w:rsidR="0050707D" w:rsidRPr="001A6E4B">
        <w:t xml:space="preserve"> </w:t>
      </w:r>
      <w:r w:rsidR="004741A8">
        <w:t>Implementation of these regulations may require adjustments to existing regulations and instruments</w:t>
      </w:r>
      <w:r w:rsidR="006621D1">
        <w:t>.</w:t>
      </w:r>
    </w:p>
    <w:p w14:paraId="33B4175A" w14:textId="300EF134" w:rsidR="001437B0" w:rsidRDefault="0050707D" w:rsidP="00B13E76">
      <w:r w:rsidRPr="00332C78">
        <w:t xml:space="preserve">Finally, </w:t>
      </w:r>
      <w:r w:rsidR="00BD49A9" w:rsidRPr="00332C78">
        <w:t>additional</w:t>
      </w:r>
      <w:r w:rsidRPr="00332C78">
        <w:t xml:space="preserve"> principles h</w:t>
      </w:r>
      <w:r w:rsidR="00E134CD" w:rsidRPr="00332C78">
        <w:t xml:space="preserve">ave been identified that may be appropriate for inclusion in </w:t>
      </w:r>
      <w:r w:rsidRPr="00332C78">
        <w:t xml:space="preserve">the retirement income framework, but which </w:t>
      </w:r>
      <w:r w:rsidR="00E134CD" w:rsidRPr="00332C78">
        <w:t>are not being fully developed at this time. These principles will form part of the regulatory framework to be progressed at a later date</w:t>
      </w:r>
      <w:r w:rsidR="00BD49A9" w:rsidRPr="00332C78">
        <w:t>.</w:t>
      </w:r>
    </w:p>
    <w:p w14:paraId="6136E0B7" w14:textId="7955D712" w:rsidR="004C4F00" w:rsidRDefault="004C4F00" w:rsidP="00996EE7">
      <w:pPr>
        <w:rPr>
          <w:lang w:val="en-US"/>
        </w:rPr>
      </w:pPr>
      <w:r>
        <w:t>The covenant and supporting principles would apply to trustees of all types of funds except Australian eligible rollover funds (ERFs) and defined benefit (DB) schemes that offer a DB lifetime pension. The Government considers that it would not be appropriate to require trustees of these fund types to develop a retirement income strategy because ERFs do not have any members in retirement and a DB lifetime pension already reflects an implicit retirement income strategy.</w:t>
      </w:r>
    </w:p>
    <w:p w14:paraId="3B1841E7" w14:textId="1DA0FFB9" w:rsidR="002D4318" w:rsidRDefault="00B0491F" w:rsidP="00996EE7">
      <w:pPr>
        <w:rPr>
          <w:lang w:val="en-US"/>
        </w:rPr>
      </w:pPr>
      <w:r w:rsidRPr="00996EE7">
        <w:rPr>
          <w:lang w:val="en-US"/>
        </w:rPr>
        <w:t>While al</w:t>
      </w:r>
      <w:r w:rsidR="002D4318" w:rsidRPr="00996EE7">
        <w:rPr>
          <w:lang w:val="en-US"/>
        </w:rPr>
        <w:t>l members of the advisory group provided valuable input and insights which have helped inform this position paper</w:t>
      </w:r>
      <w:r w:rsidR="007D51A2" w:rsidRPr="00996EE7">
        <w:rPr>
          <w:lang w:val="en-US"/>
        </w:rPr>
        <w:t>,</w:t>
      </w:r>
      <w:r w:rsidR="00C84674" w:rsidRPr="00996EE7">
        <w:rPr>
          <w:lang w:val="en-US"/>
        </w:rPr>
        <w:t xml:space="preserve"> the positions expressed in this</w:t>
      </w:r>
      <w:r w:rsidR="002D4318" w:rsidRPr="00996EE7">
        <w:rPr>
          <w:lang w:val="en-US"/>
        </w:rPr>
        <w:t xml:space="preserve"> paper are those of the Government.</w:t>
      </w:r>
    </w:p>
    <w:p w14:paraId="7ADB4A40" w14:textId="6ABE30E8" w:rsidR="002E6994" w:rsidRPr="00996EE7" w:rsidRDefault="007721FC" w:rsidP="00652E4D">
      <w:pPr>
        <w:rPr>
          <w:lang w:val="en-US"/>
        </w:rPr>
      </w:pPr>
      <w:r>
        <w:rPr>
          <w:lang w:val="en-US"/>
        </w:rPr>
        <w:t xml:space="preserve">The retirement income framework, including the covenant, will be implemented with an appropriate transition period to allow sufficient time for industry to adjust. </w:t>
      </w:r>
      <w:r w:rsidR="00652E4D" w:rsidRPr="00652E4D">
        <w:rPr>
          <w:lang w:val="en-US"/>
        </w:rPr>
        <w:t xml:space="preserve">The </w:t>
      </w:r>
      <w:r w:rsidR="00B0589E">
        <w:rPr>
          <w:lang w:val="en-US"/>
        </w:rPr>
        <w:t xml:space="preserve">Government proposes to </w:t>
      </w:r>
      <w:proofErr w:type="gramStart"/>
      <w:r w:rsidR="00B0589E">
        <w:rPr>
          <w:lang w:val="en-US"/>
        </w:rPr>
        <w:t>legislate</w:t>
      </w:r>
      <w:proofErr w:type="gramEnd"/>
      <w:r w:rsidR="00B0589E">
        <w:rPr>
          <w:lang w:val="en-US"/>
        </w:rPr>
        <w:t xml:space="preserve"> the </w:t>
      </w:r>
      <w:r w:rsidR="00652E4D" w:rsidRPr="00652E4D">
        <w:rPr>
          <w:lang w:val="en-US"/>
        </w:rPr>
        <w:t xml:space="preserve">covenant </w:t>
      </w:r>
      <w:r w:rsidR="00B0589E">
        <w:rPr>
          <w:lang w:val="en-US"/>
        </w:rPr>
        <w:t xml:space="preserve">by 1 July 2019 but to delay </w:t>
      </w:r>
      <w:r w:rsidR="00652E4D" w:rsidRPr="00652E4D">
        <w:rPr>
          <w:lang w:val="en-US"/>
        </w:rPr>
        <w:t>commence</w:t>
      </w:r>
      <w:r w:rsidR="00B0589E">
        <w:rPr>
          <w:lang w:val="en-US"/>
        </w:rPr>
        <w:t xml:space="preserve">ment until 1 July 2020.  This timing would </w:t>
      </w:r>
      <w:r w:rsidR="00B0589E" w:rsidRPr="00652E4D">
        <w:rPr>
          <w:lang w:val="en-US"/>
        </w:rPr>
        <w:t xml:space="preserve">allow the market </w:t>
      </w:r>
      <w:r w:rsidR="004956B6" w:rsidRPr="00652E4D">
        <w:rPr>
          <w:lang w:val="en-US"/>
        </w:rPr>
        <w:t xml:space="preserve">for </w:t>
      </w:r>
      <w:r w:rsidR="00B0589E" w:rsidRPr="00652E4D">
        <w:rPr>
          <w:lang w:val="en-US"/>
        </w:rPr>
        <w:t>pooled lifeti</w:t>
      </w:r>
      <w:r w:rsidR="00B0589E">
        <w:rPr>
          <w:lang w:val="en-US"/>
        </w:rPr>
        <w:t>me income products to develop</w:t>
      </w:r>
      <w:r w:rsidR="00B0589E" w:rsidRPr="00583357">
        <w:rPr>
          <w:lang w:val="en-US"/>
        </w:rPr>
        <w:t xml:space="preserve"> </w:t>
      </w:r>
      <w:r w:rsidR="00B0589E">
        <w:rPr>
          <w:lang w:val="en-US"/>
        </w:rPr>
        <w:t>in response to the</w:t>
      </w:r>
      <w:r w:rsidR="00652E4D" w:rsidRPr="00652E4D">
        <w:rPr>
          <w:lang w:val="en-US"/>
        </w:rPr>
        <w:t xml:space="preserve"> changes to the Age Pension means test arrangements announced as part of the 2018-19 </w:t>
      </w:r>
      <w:proofErr w:type="gramStart"/>
      <w:r w:rsidR="00652E4D" w:rsidRPr="00652E4D">
        <w:rPr>
          <w:lang w:val="en-US"/>
        </w:rPr>
        <w:t>Budget</w:t>
      </w:r>
      <w:proofErr w:type="gramEnd"/>
      <w:r w:rsidR="00B0589E">
        <w:rPr>
          <w:lang w:val="en-US"/>
        </w:rPr>
        <w:t xml:space="preserve"> </w:t>
      </w:r>
      <w:r w:rsidR="00583357">
        <w:rPr>
          <w:lang w:val="en-US"/>
        </w:rPr>
        <w:t xml:space="preserve">and </w:t>
      </w:r>
      <w:r w:rsidR="00B0589E">
        <w:rPr>
          <w:lang w:val="en-US"/>
        </w:rPr>
        <w:t xml:space="preserve">for </w:t>
      </w:r>
      <w:r w:rsidR="008C6AF2">
        <w:rPr>
          <w:lang w:val="en-US"/>
        </w:rPr>
        <w:t>other elements of the framework to be settled</w:t>
      </w:r>
      <w:r w:rsidR="00652E4D" w:rsidRPr="00652E4D">
        <w:rPr>
          <w:lang w:val="en-US"/>
        </w:rPr>
        <w:t>.</w:t>
      </w:r>
    </w:p>
    <w:p w14:paraId="3B622ED0" w14:textId="77777777" w:rsidR="009009EA" w:rsidRDefault="009009EA">
      <w:pPr>
        <w:spacing w:before="0" w:after="160" w:line="259" w:lineRule="auto"/>
        <w:rPr>
          <w:rFonts w:cs="Arial"/>
          <w:iCs/>
          <w:color w:val="004A7F"/>
          <w:kern w:val="32"/>
          <w:sz w:val="36"/>
          <w:szCs w:val="28"/>
        </w:rPr>
      </w:pPr>
      <w:r>
        <w:br w:type="page"/>
      </w:r>
    </w:p>
    <w:p w14:paraId="07F17385" w14:textId="6293BB72" w:rsidR="00705A33" w:rsidRDefault="0008468D" w:rsidP="00510F10">
      <w:pPr>
        <w:pStyle w:val="Heading1"/>
      </w:pPr>
      <w:bookmarkStart w:id="18" w:name="_Toc511916782"/>
      <w:bookmarkStart w:id="19" w:name="_Toc513718251"/>
      <w:r>
        <w:lastRenderedPageBreak/>
        <w:t>Covenant</w:t>
      </w:r>
      <w:r w:rsidR="00705A33">
        <w:t xml:space="preserve"> </w:t>
      </w:r>
      <w:r w:rsidR="006406D7">
        <w:t>p</w:t>
      </w:r>
      <w:r w:rsidR="00705A33">
        <w:t>rinciples</w:t>
      </w:r>
      <w:bookmarkEnd w:id="18"/>
      <w:bookmarkEnd w:id="19"/>
    </w:p>
    <w:p w14:paraId="6F30F4D9" w14:textId="0E767BEC" w:rsidR="008B428C" w:rsidRDefault="008B428C" w:rsidP="008B428C">
      <w:pPr>
        <w:pStyle w:val="Heading4"/>
        <w:pBdr>
          <w:top w:val="single" w:sz="4" w:space="6" w:color="auto"/>
          <w:left w:val="single" w:sz="4" w:space="4" w:color="auto"/>
          <w:bottom w:val="single" w:sz="4" w:space="6" w:color="auto"/>
          <w:right w:val="single" w:sz="4" w:space="4" w:color="auto"/>
        </w:pBdr>
      </w:pPr>
      <w:r w:rsidRPr="00705A33">
        <w:rPr>
          <w:szCs w:val="24"/>
        </w:rPr>
        <w:t>1. Retirement</w:t>
      </w:r>
      <w:r w:rsidRPr="00705A33">
        <w:t xml:space="preserve"> </w:t>
      </w:r>
      <w:r w:rsidR="006621D1">
        <w:t>i</w:t>
      </w:r>
      <w:r w:rsidRPr="00705A33">
        <w:t xml:space="preserve">ncome </w:t>
      </w:r>
      <w:r w:rsidR="006621D1">
        <w:t>s</w:t>
      </w:r>
      <w:r w:rsidRPr="00705A33">
        <w:t>trategy</w:t>
      </w:r>
    </w:p>
    <w:p w14:paraId="48DCA2CA" w14:textId="1BDA1764" w:rsidR="008B428C" w:rsidRDefault="008B428C" w:rsidP="008B428C">
      <w:pPr>
        <w:pStyle w:val="Heading5"/>
        <w:pBdr>
          <w:top w:val="single" w:sz="4" w:space="6" w:color="auto"/>
          <w:left w:val="single" w:sz="4" w:space="4" w:color="auto"/>
          <w:bottom w:val="single" w:sz="4" w:space="6" w:color="auto"/>
          <w:right w:val="single" w:sz="4" w:space="4" w:color="auto"/>
        </w:pBdr>
      </w:pPr>
      <w:r w:rsidRPr="002C0900">
        <w:t xml:space="preserve">Trustees should assist members to meet their retirement income objectives </w:t>
      </w:r>
      <w:r>
        <w:t xml:space="preserve">throughout retirement </w:t>
      </w:r>
      <w:r w:rsidRPr="002C0900">
        <w:t>by developing a retirement income strategy for members.</w:t>
      </w:r>
    </w:p>
    <w:p w14:paraId="7B9A59DD" w14:textId="21C713D7" w:rsidR="00563BA4" w:rsidRDefault="00705A33" w:rsidP="00563BA4">
      <w:r>
        <w:t xml:space="preserve">The Government </w:t>
      </w:r>
      <w:r w:rsidR="000A433E">
        <w:t>will</w:t>
      </w:r>
      <w:r>
        <w:t xml:space="preserve"> </w:t>
      </w:r>
      <w:r w:rsidR="00AE522C">
        <w:t xml:space="preserve">introduce a retirement income covenant in the </w:t>
      </w:r>
      <w:r w:rsidR="00AE522C" w:rsidRPr="00AE522C">
        <w:t>SIS Act.</w:t>
      </w:r>
      <w:r w:rsidR="00AE522C">
        <w:t xml:space="preserve"> </w:t>
      </w:r>
      <w:r w:rsidR="00563BA4">
        <w:t xml:space="preserve">The covenant will operate alongside existing covenants in the SIS Act such as </w:t>
      </w:r>
      <w:r w:rsidR="005A1A00">
        <w:t>investment and insurance covenants</w:t>
      </w:r>
      <w:r w:rsidR="00F074BF">
        <w:t>,</w:t>
      </w:r>
      <w:r w:rsidR="00E171E3">
        <w:t xml:space="preserve"> and will outline a fundamental obligation of trustees</w:t>
      </w:r>
      <w:r w:rsidR="00563BA4">
        <w:t xml:space="preserve">. It </w:t>
      </w:r>
      <w:r w:rsidR="00996EE7">
        <w:t>would</w:t>
      </w:r>
      <w:r w:rsidR="00563BA4">
        <w:t xml:space="preserve"> require trustees to formulate, review regularly and give effect to a retirement income strategy to assist members to meet their retirement income objectives. </w:t>
      </w:r>
    </w:p>
    <w:p w14:paraId="75A726ED" w14:textId="5875482A" w:rsidR="00705A33" w:rsidRDefault="00CD1856" w:rsidP="00CD1856">
      <w:r>
        <w:t>Requiring all superannuation trustees to develop a retirement income strategy will help to ensure appropriate, high-quality products are developed and offered to retirees. This should expand individuals’ choice of retirement income products and</w:t>
      </w:r>
      <w:r w:rsidR="00F074BF">
        <w:t xml:space="preserve"> improve</w:t>
      </w:r>
      <w:r>
        <w:t xml:space="preserve"> their sta</w:t>
      </w:r>
      <w:r w:rsidR="00F074BF">
        <w:t xml:space="preserve">ndard of living in retirement. </w:t>
      </w:r>
    </w:p>
    <w:p w14:paraId="288D5453" w14:textId="460E8F58" w:rsidR="00705A33" w:rsidRDefault="00B71722" w:rsidP="00705A33">
      <w:r>
        <w:t xml:space="preserve">The covenant </w:t>
      </w:r>
      <w:r w:rsidR="00996EE7">
        <w:t>would</w:t>
      </w:r>
      <w:r>
        <w:t xml:space="preserve"> outline specific factors </w:t>
      </w:r>
      <w:r w:rsidR="00F074BF">
        <w:t>trustees need to</w:t>
      </w:r>
      <w:r>
        <w:t xml:space="preserve"> take into account when developing a retirement income strategy. Importantly, the strategy should focus on the </w:t>
      </w:r>
      <w:r w:rsidR="00B0491F">
        <w:t xml:space="preserve">collective </w:t>
      </w:r>
      <w:r w:rsidR="005A1A00">
        <w:t xml:space="preserve">needs of </w:t>
      </w:r>
      <w:r>
        <w:t xml:space="preserve">members. </w:t>
      </w:r>
      <w:r w:rsidR="0021100E">
        <w:t xml:space="preserve">While the </w:t>
      </w:r>
      <w:r w:rsidR="00C5736F">
        <w:t>co</w:t>
      </w:r>
      <w:r w:rsidR="0021100E">
        <w:t>ven</w:t>
      </w:r>
      <w:r w:rsidR="00C5736F">
        <w:t>an</w:t>
      </w:r>
      <w:r w:rsidR="0021100E">
        <w:t xml:space="preserve">t does not discourage the development of </w:t>
      </w:r>
      <w:r w:rsidR="00C5736F">
        <w:t xml:space="preserve">tailored </w:t>
      </w:r>
      <w:r w:rsidR="0021100E">
        <w:t>retirement income solu</w:t>
      </w:r>
      <w:r w:rsidR="00E739FE">
        <w:t>tions for individual members, the strategy</w:t>
      </w:r>
      <w:r w:rsidR="0021100E">
        <w:t xml:space="preserve"> should </w:t>
      </w:r>
      <w:r w:rsidR="004E20A0">
        <w:t xml:space="preserve">primarily focus on </w:t>
      </w:r>
      <w:r w:rsidR="0021100E">
        <w:t>deliver</w:t>
      </w:r>
      <w:r w:rsidR="004E20A0">
        <w:t>ing</w:t>
      </w:r>
      <w:r w:rsidR="0021100E">
        <w:t xml:space="preserve"> retirement income solutions that are appropriate for members as a whole or for large cohorts of members. Specifically, t</w:t>
      </w:r>
      <w:r w:rsidR="00563BA4">
        <w:t xml:space="preserve">rustees </w:t>
      </w:r>
      <w:r w:rsidR="00052678">
        <w:t>would need to</w:t>
      </w:r>
      <w:r w:rsidR="00563BA4">
        <w:t xml:space="preserve"> consider the follow</w:t>
      </w:r>
      <w:r w:rsidR="0021100E">
        <w:t>ing</w:t>
      </w:r>
      <w:r w:rsidR="00705A33">
        <w:t xml:space="preserve"> factors</w:t>
      </w:r>
      <w:r w:rsidR="00563BA4">
        <w:t xml:space="preserve"> when designing their retirement income strategy</w:t>
      </w:r>
      <w:r w:rsidR="00705A33">
        <w:t xml:space="preserve">, with the strategy optimising </w:t>
      </w:r>
      <w:r w:rsidR="00C76F78">
        <w:t xml:space="preserve">the retirement outcome for members </w:t>
      </w:r>
      <w:r w:rsidR="001C291D">
        <w:t>(</w:t>
      </w:r>
      <w:r w:rsidR="00705A33">
        <w:t>given trade-offs between the factors</w:t>
      </w:r>
      <w:r w:rsidR="001C291D">
        <w:t>)</w:t>
      </w:r>
      <w:r w:rsidR="00705A33">
        <w:t>:</w:t>
      </w:r>
    </w:p>
    <w:p w14:paraId="7C54F23A" w14:textId="607DAE4E" w:rsidR="00A74DCA" w:rsidRDefault="00A74DCA" w:rsidP="00563BA4">
      <w:pPr>
        <w:pStyle w:val="Bullet"/>
        <w:numPr>
          <w:ilvl w:val="0"/>
          <w:numId w:val="15"/>
        </w:numPr>
      </w:pPr>
      <w:r>
        <w:t>maximisi</w:t>
      </w:r>
      <w:r w:rsidR="001C291D">
        <w:t>ng income for life for members</w:t>
      </w:r>
      <w:r w:rsidR="00563BA4">
        <w:t xml:space="preserve">; </w:t>
      </w:r>
    </w:p>
    <w:p w14:paraId="61DD925B" w14:textId="78BC9A72" w:rsidR="00A74DCA" w:rsidRDefault="00A74DCA" w:rsidP="00563BA4">
      <w:pPr>
        <w:pStyle w:val="Bullet"/>
        <w:numPr>
          <w:ilvl w:val="0"/>
          <w:numId w:val="15"/>
        </w:numPr>
      </w:pPr>
      <w:r>
        <w:t>the potential life spans of members and the costs and benefits of managing longevity risk for members as a whole</w:t>
      </w:r>
      <w:r w:rsidR="00563BA4">
        <w:t>;</w:t>
      </w:r>
    </w:p>
    <w:p w14:paraId="0C448D7F" w14:textId="0DF0F69B" w:rsidR="00A74DCA" w:rsidRDefault="00A74DCA" w:rsidP="00563BA4">
      <w:pPr>
        <w:pStyle w:val="Bullet"/>
        <w:numPr>
          <w:ilvl w:val="0"/>
          <w:numId w:val="15"/>
        </w:numPr>
      </w:pPr>
      <w:r>
        <w:t xml:space="preserve">managing risks that affect </w:t>
      </w:r>
      <w:r w:rsidR="005A1A00">
        <w:t xml:space="preserve">the </w:t>
      </w:r>
      <w:r>
        <w:t>stability of income, including inflation;</w:t>
      </w:r>
    </w:p>
    <w:p w14:paraId="3CF4EBD9" w14:textId="06060162" w:rsidR="00A74DCA" w:rsidRDefault="00A74DCA" w:rsidP="00563BA4">
      <w:pPr>
        <w:pStyle w:val="Bullet"/>
        <w:numPr>
          <w:ilvl w:val="0"/>
          <w:numId w:val="15"/>
        </w:numPr>
      </w:pPr>
      <w:r>
        <w:t>providing members with access to capital</w:t>
      </w:r>
      <w:r w:rsidR="00563BA4">
        <w:t>;</w:t>
      </w:r>
    </w:p>
    <w:p w14:paraId="1B08ABD7" w14:textId="368F8185" w:rsidR="00A74DCA" w:rsidRDefault="009C5940" w:rsidP="00563BA4">
      <w:pPr>
        <w:pStyle w:val="Bullet"/>
        <w:numPr>
          <w:ilvl w:val="0"/>
          <w:numId w:val="15"/>
        </w:numPr>
      </w:pPr>
      <w:r>
        <w:t>member needs and preferences for the factors above</w:t>
      </w:r>
      <w:r w:rsidR="00563BA4">
        <w:t>;</w:t>
      </w:r>
    </w:p>
    <w:p w14:paraId="36B51FF0" w14:textId="75734539" w:rsidR="00A74DCA" w:rsidRDefault="00A74DCA" w:rsidP="00563BA4">
      <w:pPr>
        <w:pStyle w:val="Bullet"/>
        <w:numPr>
          <w:ilvl w:val="0"/>
          <w:numId w:val="15"/>
        </w:numPr>
      </w:pPr>
      <w:r>
        <w:t>the costs and benefits to members of developing a CIPR in</w:t>
      </w:r>
      <w:r w:rsidR="00F074BF">
        <w:t>-</w:t>
      </w:r>
      <w:r>
        <w:t>house compared with offering a CIPR developed and managed by a third party or a combination of both in-house and a third party</w:t>
      </w:r>
      <w:r w:rsidR="00563BA4">
        <w:t>;</w:t>
      </w:r>
    </w:p>
    <w:p w14:paraId="5D9702F1" w14:textId="3E86681F" w:rsidR="00A74DCA" w:rsidRDefault="00A74DCA" w:rsidP="00563BA4">
      <w:pPr>
        <w:pStyle w:val="Bullet"/>
        <w:numPr>
          <w:ilvl w:val="0"/>
          <w:numId w:val="15"/>
        </w:numPr>
      </w:pPr>
      <w:r>
        <w:t>expected member eligibility for the Age Pension</w:t>
      </w:r>
      <w:r w:rsidR="00563BA4">
        <w:t>; and</w:t>
      </w:r>
    </w:p>
    <w:p w14:paraId="4BB9ABC6" w14:textId="4555453A" w:rsidR="00705A33" w:rsidRDefault="00A74DCA" w:rsidP="00563BA4">
      <w:pPr>
        <w:pStyle w:val="Bullet"/>
        <w:numPr>
          <w:ilvl w:val="0"/>
          <w:numId w:val="15"/>
        </w:numPr>
      </w:pPr>
      <w:proofErr w:type="gramStart"/>
      <w:r w:rsidRPr="00E24205">
        <w:t>whether</w:t>
      </w:r>
      <w:proofErr w:type="gramEnd"/>
      <w:r w:rsidRPr="00E24205">
        <w:t xml:space="preserve"> and how cognitive decline may affect outcomes</w:t>
      </w:r>
      <w:r w:rsidR="00563BA4">
        <w:t>.</w:t>
      </w:r>
    </w:p>
    <w:p w14:paraId="574D55E0" w14:textId="1787853E" w:rsidR="00CD1856" w:rsidRDefault="0027330D" w:rsidP="00E9667A">
      <w:r>
        <w:t xml:space="preserve">The inclusion of </w:t>
      </w:r>
      <w:r w:rsidR="006378FC">
        <w:t xml:space="preserve">these factors would ensure consistency </w:t>
      </w:r>
      <w:r w:rsidR="006406D7">
        <w:t xml:space="preserve">by </w:t>
      </w:r>
      <w:r w:rsidR="006378FC">
        <w:t>trustees and improve member outcomes by requiring all trustees to consider a minimum number of common factors.</w:t>
      </w:r>
      <w:r w:rsidR="006621D1" w:rsidRPr="006621D1">
        <w:t xml:space="preserve"> </w:t>
      </w:r>
      <w:r w:rsidR="006621D1">
        <w:t>If required, further guidance for trustees would be provided through regulation.</w:t>
      </w:r>
    </w:p>
    <w:p w14:paraId="052E9D36" w14:textId="4C297E2D" w:rsidR="00B71722" w:rsidRDefault="00E61172" w:rsidP="00E9667A">
      <w:r>
        <w:t xml:space="preserve">The factors specifically </w:t>
      </w:r>
      <w:r w:rsidR="00CD1856">
        <w:t xml:space="preserve">require trustees to </w:t>
      </w:r>
      <w:r>
        <w:t xml:space="preserve">focus on considering and optimising </w:t>
      </w:r>
      <w:r w:rsidR="002E4BA6">
        <w:t xml:space="preserve">the </w:t>
      </w:r>
      <w:r>
        <w:t xml:space="preserve">competing </w:t>
      </w:r>
      <w:r w:rsidR="00B71722">
        <w:t>objectives</w:t>
      </w:r>
      <w:r>
        <w:t xml:space="preserve"> in retirement of delivering high income, </w:t>
      </w:r>
      <w:r w:rsidR="00CD1856">
        <w:t xml:space="preserve">risk management and flexibility, taking into account </w:t>
      </w:r>
      <w:r w:rsidR="00726A27">
        <w:t xml:space="preserve">collective </w:t>
      </w:r>
      <w:r w:rsidR="00CD1856">
        <w:t>member preferences</w:t>
      </w:r>
      <w:r>
        <w:t>.</w:t>
      </w:r>
      <w:r w:rsidR="00CD1856">
        <w:t xml:space="preserve"> T</w:t>
      </w:r>
      <w:r w:rsidR="001A72B3">
        <w:t xml:space="preserve">he optimal strategy may involve trustees </w:t>
      </w:r>
      <w:r w:rsidR="00761D83">
        <w:t>offering</w:t>
      </w:r>
      <w:r w:rsidR="001A72B3">
        <w:t xml:space="preserve"> </w:t>
      </w:r>
      <w:r w:rsidR="007072DB">
        <w:t>products managed or provided by third parties</w:t>
      </w:r>
      <w:r w:rsidR="00761D83">
        <w:t xml:space="preserve"> if this is </w:t>
      </w:r>
      <w:r w:rsidR="00F074BF">
        <w:t xml:space="preserve">the </w:t>
      </w:r>
      <w:r w:rsidR="00761D83">
        <w:t xml:space="preserve">most cost-effective </w:t>
      </w:r>
      <w:r w:rsidR="00F074BF">
        <w:t>approach</w:t>
      </w:r>
      <w:r w:rsidR="007072DB">
        <w:t xml:space="preserve">. </w:t>
      </w:r>
    </w:p>
    <w:p w14:paraId="2D3BA00B" w14:textId="2C58A2D6" w:rsidR="00E61172" w:rsidRDefault="006406D7" w:rsidP="00E9667A">
      <w:r>
        <w:t>T</w:t>
      </w:r>
      <w:r w:rsidR="00B71722">
        <w:t>rustee</w:t>
      </w:r>
      <w:r>
        <w:t>s</w:t>
      </w:r>
      <w:r w:rsidR="00B71722">
        <w:t xml:space="preserve"> should </w:t>
      </w:r>
      <w:r w:rsidR="00761D83">
        <w:t>also consider</w:t>
      </w:r>
      <w:r w:rsidR="00B71722">
        <w:t xml:space="preserve"> how the potential cognitive decli</w:t>
      </w:r>
      <w:r w:rsidR="00761D83">
        <w:t>ne of members may influence the member’s</w:t>
      </w:r>
      <w:r w:rsidR="00B71722">
        <w:t xml:space="preserve"> ability to make optimal decisions regarding the drawdown of income during retirement.</w:t>
      </w:r>
      <w:r w:rsidR="00E61172">
        <w:t xml:space="preserve"> </w:t>
      </w:r>
    </w:p>
    <w:p w14:paraId="144E2310" w14:textId="07A24B3F" w:rsidR="004C4F00" w:rsidRDefault="005A5641" w:rsidP="00E9667A">
      <w:r>
        <w:t>Development of a retirement income strategy</w:t>
      </w:r>
      <w:r w:rsidR="004C4F00">
        <w:t xml:space="preserve"> would be the only principle that would apply to</w:t>
      </w:r>
      <w:r w:rsidR="006406D7">
        <w:t xml:space="preserve"> self</w:t>
      </w:r>
      <w:r w:rsidR="006406D7">
        <w:noBreakHyphen/>
      </w:r>
      <w:r w:rsidR="004C4F00">
        <w:t>managed super</w:t>
      </w:r>
      <w:r w:rsidR="006406D7">
        <w:t>annuation</w:t>
      </w:r>
      <w:r w:rsidR="004C4F00">
        <w:t xml:space="preserve"> funds.</w:t>
      </w:r>
    </w:p>
    <w:p w14:paraId="2A9A814B" w14:textId="7888FDDB" w:rsidR="008B428C" w:rsidRDefault="008B428C" w:rsidP="008B428C">
      <w:pPr>
        <w:pStyle w:val="Heading4"/>
        <w:pBdr>
          <w:top w:val="single" w:sz="4" w:space="6" w:color="auto"/>
          <w:left w:val="single" w:sz="4" w:space="4" w:color="auto"/>
          <w:bottom w:val="single" w:sz="4" w:space="6" w:color="auto"/>
          <w:right w:val="single" w:sz="4" w:space="4" w:color="auto"/>
        </w:pBdr>
        <w:rPr>
          <w:szCs w:val="22"/>
        </w:rPr>
      </w:pPr>
      <w:r>
        <w:lastRenderedPageBreak/>
        <w:t>2. Engagement</w:t>
      </w:r>
    </w:p>
    <w:p w14:paraId="045ED79E" w14:textId="19B7BEA3" w:rsidR="008B428C" w:rsidRDefault="0008468D" w:rsidP="008B428C">
      <w:pPr>
        <w:pStyle w:val="Heading5"/>
        <w:pBdr>
          <w:top w:val="single" w:sz="4" w:space="6" w:color="auto"/>
          <w:left w:val="single" w:sz="4" w:space="4" w:color="auto"/>
          <w:bottom w:val="single" w:sz="4" w:space="6" w:color="auto"/>
          <w:right w:val="single" w:sz="4" w:space="4" w:color="auto"/>
        </w:pBdr>
      </w:pPr>
      <w:r>
        <w:t xml:space="preserve">Trustees should assist members to meet their retirement income objectives by providing guidance to help members understand and make choices about the retirement income products </w:t>
      </w:r>
      <w:r w:rsidR="00726A27">
        <w:t>offered by the fund.</w:t>
      </w:r>
    </w:p>
    <w:p w14:paraId="33EC57B0" w14:textId="117E7BD8" w:rsidR="00713C91" w:rsidRDefault="0008468D" w:rsidP="0008468D">
      <w:pPr>
        <w:pStyle w:val="Bullet"/>
        <w:numPr>
          <w:ilvl w:val="0"/>
          <w:numId w:val="0"/>
        </w:numPr>
      </w:pPr>
      <w:r>
        <w:t xml:space="preserve">The Government </w:t>
      </w:r>
      <w:r w:rsidR="00996EE7">
        <w:t>would</w:t>
      </w:r>
      <w:r w:rsidR="000A433E">
        <w:t xml:space="preserve"> </w:t>
      </w:r>
      <w:r>
        <w:t xml:space="preserve">require trustees to </w:t>
      </w:r>
      <w:r w:rsidR="00726A27">
        <w:t>provide guidance</w:t>
      </w:r>
      <w:r w:rsidR="006406D7">
        <w:t xml:space="preserve"> (which may or may not be financial advice)</w:t>
      </w:r>
      <w:r w:rsidR="00726A27">
        <w:t xml:space="preserve"> or intra-fund advice</w:t>
      </w:r>
      <w:r>
        <w:t xml:space="preserve"> tools</w:t>
      </w:r>
      <w:r w:rsidR="00375296">
        <w:t xml:space="preserve"> </w:t>
      </w:r>
      <w:r w:rsidR="00713C91">
        <w:t xml:space="preserve">to help members navigate between the retirement income products offered by the fund. The </w:t>
      </w:r>
      <w:r w:rsidR="00FD03C4">
        <w:t>tools should assist members in making</w:t>
      </w:r>
      <w:r w:rsidR="00713C91">
        <w:t xml:space="preserve"> the most appropriate choice, given their needs and preferences.</w:t>
      </w:r>
      <w:r w:rsidR="00375296">
        <w:t xml:space="preserve"> There is no expectation that trustees would need to </w:t>
      </w:r>
      <w:r w:rsidR="00A72DA4">
        <w:t xml:space="preserve">provide financial advice </w:t>
      </w:r>
      <w:r w:rsidR="00000984">
        <w:t xml:space="preserve">and </w:t>
      </w:r>
      <w:r w:rsidR="00375296">
        <w:t xml:space="preserve">hold an Australian Financial Services Licence </w:t>
      </w:r>
      <w:r w:rsidR="00F36E95">
        <w:t xml:space="preserve">(AFSL) </w:t>
      </w:r>
      <w:r w:rsidR="00375296">
        <w:t>to comply with this requirement.</w:t>
      </w:r>
      <w:r w:rsidR="00F36E95">
        <w:t xml:space="preserve"> If trustees choose to provide financial advice, an AFSL would be required. </w:t>
      </w:r>
    </w:p>
    <w:p w14:paraId="56348C21" w14:textId="677C3046" w:rsidR="002E1CE6" w:rsidRDefault="00713C91" w:rsidP="0008468D">
      <w:pPr>
        <w:pStyle w:val="Bullet"/>
        <w:numPr>
          <w:ilvl w:val="0"/>
          <w:numId w:val="0"/>
        </w:numPr>
      </w:pPr>
      <w:r>
        <w:t>The sophistication of the</w:t>
      </w:r>
      <w:r w:rsidR="00726A27">
        <w:t xml:space="preserve"> guidance and</w:t>
      </w:r>
      <w:r>
        <w:t xml:space="preserve"> tools should be proportional to the offerings of the fund. </w:t>
      </w:r>
    </w:p>
    <w:p w14:paraId="1CF1D7B3" w14:textId="63683BAF" w:rsidR="005D1C26" w:rsidRDefault="002E1CE6" w:rsidP="002E1CE6">
      <w:pPr>
        <w:pStyle w:val="Bullet"/>
      </w:pPr>
      <w:r>
        <w:t>T</w:t>
      </w:r>
      <w:r w:rsidR="00713C91">
        <w:t>rustees who offer only one CIPR and one</w:t>
      </w:r>
      <w:r w:rsidR="00FD03C4">
        <w:t xml:space="preserve"> account-based pension</w:t>
      </w:r>
      <w:r w:rsidR="00713C91">
        <w:t xml:space="preserve"> </w:t>
      </w:r>
      <w:r w:rsidR="00FD03C4">
        <w:t>(ABP)</w:t>
      </w:r>
      <w:r w:rsidR="00713C91">
        <w:t xml:space="preserve"> could provide a side-by-side comparison of the two products, explaining the differen</w:t>
      </w:r>
      <w:r w:rsidR="005D1C26">
        <w:t>ces between the products and their</w:t>
      </w:r>
      <w:r w:rsidR="00713C91">
        <w:t xml:space="preserve"> relative costs and benefits.</w:t>
      </w:r>
      <w:r w:rsidR="005D1C26">
        <w:t xml:space="preserve"> </w:t>
      </w:r>
      <w:r w:rsidR="00375296">
        <w:t>S</w:t>
      </w:r>
      <w:r>
        <w:t>tatements like ‘this product is most likely to be suitable for people who…’ would also be appropriate in this case.</w:t>
      </w:r>
    </w:p>
    <w:p w14:paraId="12B7555D" w14:textId="13C5CE26" w:rsidR="002E1CE6" w:rsidRDefault="002E1CE6" w:rsidP="002E1CE6">
      <w:pPr>
        <w:pStyle w:val="Bullet"/>
      </w:pPr>
      <w:r>
        <w:t xml:space="preserve">Trustees who offer </w:t>
      </w:r>
      <w:r w:rsidR="00726A27">
        <w:t xml:space="preserve">multiple </w:t>
      </w:r>
      <w:r>
        <w:t>retirement income products</w:t>
      </w:r>
      <w:r w:rsidR="00726A27">
        <w:t xml:space="preserve"> or individual tailoring</w:t>
      </w:r>
      <w:r>
        <w:t xml:space="preserve"> designed to meet different needs and preferences would need to provide more </w:t>
      </w:r>
      <w:r w:rsidR="00816044">
        <w:t>sophisticated</w:t>
      </w:r>
      <w:r>
        <w:t xml:space="preserve"> choice tools. This could include asking a few </w:t>
      </w:r>
      <w:r w:rsidR="00726A27">
        <w:t xml:space="preserve">questions through intra-fund advice </w:t>
      </w:r>
      <w:r>
        <w:t xml:space="preserve">to narrow the range of options for comparison to those designed for people with matching characteristics. </w:t>
      </w:r>
    </w:p>
    <w:p w14:paraId="7ABFA7D2" w14:textId="188CD3B2" w:rsidR="00B61503" w:rsidRPr="00CD085C" w:rsidRDefault="00B61503" w:rsidP="00CD085C">
      <w:pPr>
        <w:pStyle w:val="Bullet"/>
        <w:numPr>
          <w:ilvl w:val="0"/>
          <w:numId w:val="0"/>
        </w:numPr>
      </w:pPr>
      <w:r>
        <w:br w:type="page"/>
      </w:r>
    </w:p>
    <w:p w14:paraId="222F65F9" w14:textId="1CA5394A" w:rsidR="00480DC7" w:rsidRPr="00480DC7" w:rsidRDefault="0008468D" w:rsidP="00480DC7">
      <w:pPr>
        <w:pStyle w:val="Heading1"/>
      </w:pPr>
      <w:bookmarkStart w:id="20" w:name="_Toc511916783"/>
      <w:bookmarkStart w:id="21" w:name="_Toc513718252"/>
      <w:r>
        <w:lastRenderedPageBreak/>
        <w:t xml:space="preserve">Supporting </w:t>
      </w:r>
      <w:r w:rsidR="006406D7">
        <w:t>p</w:t>
      </w:r>
      <w:r>
        <w:t>rinciples</w:t>
      </w:r>
      <w:bookmarkEnd w:id="20"/>
      <w:bookmarkEnd w:id="21"/>
    </w:p>
    <w:p w14:paraId="4878CAED" w14:textId="137A0D8D" w:rsidR="008324E5" w:rsidRPr="00705A33" w:rsidRDefault="008324E5" w:rsidP="008324E5">
      <w:pPr>
        <w:pStyle w:val="Heading4"/>
        <w:pBdr>
          <w:top w:val="single" w:sz="4" w:space="6" w:color="auto"/>
          <w:left w:val="single" w:sz="4" w:space="4" w:color="auto"/>
          <w:bottom w:val="single" w:sz="4" w:space="6" w:color="auto"/>
          <w:right w:val="single" w:sz="4" w:space="4" w:color="auto"/>
        </w:pBdr>
      </w:pPr>
      <w:r>
        <w:t>3</w:t>
      </w:r>
      <w:r w:rsidRPr="00705A33">
        <w:t xml:space="preserve">. </w:t>
      </w:r>
      <w:r w:rsidR="007356D1">
        <w:t>Definition of a Comprehensive Income Product</w:t>
      </w:r>
      <w:r>
        <w:t xml:space="preserve"> for Retirement </w:t>
      </w:r>
    </w:p>
    <w:p w14:paraId="04AC2831" w14:textId="2EE56BFC" w:rsidR="005B5121" w:rsidRDefault="008324E5" w:rsidP="0031480F">
      <w:pPr>
        <w:pStyle w:val="Heading5"/>
        <w:pBdr>
          <w:top w:val="single" w:sz="4" w:space="6" w:color="auto"/>
          <w:left w:val="single" w:sz="4" w:space="4" w:color="auto"/>
          <w:bottom w:val="single" w:sz="4" w:space="6" w:color="auto"/>
          <w:right w:val="single" w:sz="4" w:space="4" w:color="auto"/>
        </w:pBdr>
        <w:spacing w:after="0"/>
      </w:pPr>
      <w:r w:rsidRPr="002C0900">
        <w:t>A</w:t>
      </w:r>
      <w:r w:rsidR="005B20CE">
        <w:t xml:space="preserve"> CIPR is a </w:t>
      </w:r>
      <w:r w:rsidR="005B5121">
        <w:t>retirement income product which is designed to</w:t>
      </w:r>
      <w:r w:rsidR="005B5121" w:rsidRPr="005B5121">
        <w:t xml:space="preserve"> </w:t>
      </w:r>
      <w:r w:rsidR="005B5121">
        <w:t>provide:</w:t>
      </w:r>
    </w:p>
    <w:p w14:paraId="40D5B00A" w14:textId="1F08EDDA" w:rsidR="005B5121" w:rsidRDefault="005B5121" w:rsidP="0031480F">
      <w:pPr>
        <w:pStyle w:val="Heading5"/>
        <w:pBdr>
          <w:top w:val="single" w:sz="4" w:space="6" w:color="auto"/>
          <w:left w:val="single" w:sz="4" w:space="4" w:color="auto"/>
          <w:bottom w:val="single" w:sz="4" w:space="6" w:color="auto"/>
          <w:right w:val="single" w:sz="4" w:space="4" w:color="auto"/>
        </w:pBdr>
        <w:spacing w:after="0"/>
        <w:ind w:firstLine="720"/>
      </w:pPr>
      <w:r>
        <w:t xml:space="preserve">- </w:t>
      </w:r>
      <w:proofErr w:type="gramStart"/>
      <w:r w:rsidR="00FD03C4">
        <w:t>efficient</w:t>
      </w:r>
      <w:proofErr w:type="gramEnd"/>
      <w:r w:rsidR="00FD03C4">
        <w:t xml:space="preserve">, </w:t>
      </w:r>
      <w:r>
        <w:t>broadly constant income</w:t>
      </w:r>
      <w:r w:rsidRPr="008D1C0E">
        <w:t>, in expectation</w:t>
      </w:r>
      <w:r w:rsidR="00C76F78">
        <w:t>;</w:t>
      </w:r>
    </w:p>
    <w:p w14:paraId="5B71B163" w14:textId="55A8C1FC" w:rsidR="005B5121" w:rsidRPr="005B5121" w:rsidRDefault="005B5121" w:rsidP="0031480F">
      <w:pPr>
        <w:pStyle w:val="Heading5"/>
        <w:pBdr>
          <w:top w:val="single" w:sz="4" w:space="6" w:color="auto"/>
          <w:left w:val="single" w:sz="4" w:space="4" w:color="auto"/>
          <w:bottom w:val="single" w:sz="4" w:space="6" w:color="auto"/>
          <w:right w:val="single" w:sz="4" w:space="4" w:color="auto"/>
        </w:pBdr>
        <w:spacing w:after="0"/>
        <w:ind w:firstLine="720"/>
      </w:pPr>
      <w:r>
        <w:t xml:space="preserve">- </w:t>
      </w:r>
      <w:proofErr w:type="gramStart"/>
      <w:r>
        <w:t>longevity</w:t>
      </w:r>
      <w:proofErr w:type="gramEnd"/>
      <w:r>
        <w:t xml:space="preserve"> risk management</w:t>
      </w:r>
      <w:r w:rsidR="00C76F78">
        <w:t xml:space="preserve"> (income for life)</w:t>
      </w:r>
      <w:r>
        <w:t>;</w:t>
      </w:r>
      <w:r w:rsidR="00FD03C4">
        <w:t xml:space="preserve"> and</w:t>
      </w:r>
    </w:p>
    <w:p w14:paraId="6FEE1AD0" w14:textId="19130A08" w:rsidR="005B5121" w:rsidRDefault="00C66AC3" w:rsidP="005B5121">
      <w:pPr>
        <w:pStyle w:val="Heading5"/>
        <w:pBdr>
          <w:top w:val="single" w:sz="4" w:space="6" w:color="auto"/>
          <w:left w:val="single" w:sz="4" w:space="4" w:color="auto"/>
          <w:bottom w:val="single" w:sz="4" w:space="6" w:color="auto"/>
          <w:right w:val="single" w:sz="4" w:space="4" w:color="auto"/>
        </w:pBdr>
        <w:ind w:firstLine="720"/>
      </w:pPr>
      <w:r>
        <w:t xml:space="preserve">- </w:t>
      </w:r>
      <w:proofErr w:type="gramStart"/>
      <w:r>
        <w:t>some</w:t>
      </w:r>
      <w:proofErr w:type="gramEnd"/>
      <w:r>
        <w:t xml:space="preserve"> access to </w:t>
      </w:r>
      <w:r w:rsidR="006200AB">
        <w:t>capital</w:t>
      </w:r>
      <w:r>
        <w:t>.</w:t>
      </w:r>
    </w:p>
    <w:p w14:paraId="5D0DC4E1" w14:textId="290F0EEB" w:rsidR="008324E5" w:rsidRPr="002B35C7" w:rsidRDefault="005B5121" w:rsidP="00C66AC3">
      <w:pPr>
        <w:pStyle w:val="Heading5"/>
        <w:pBdr>
          <w:top w:val="single" w:sz="4" w:space="6" w:color="auto"/>
          <w:left w:val="single" w:sz="4" w:space="4" w:color="auto"/>
          <w:bottom w:val="single" w:sz="4" w:space="6" w:color="auto"/>
          <w:right w:val="single" w:sz="4" w:space="4" w:color="auto"/>
        </w:pBdr>
      </w:pPr>
      <w:r>
        <w:t>A</w:t>
      </w:r>
      <w:r w:rsidR="00726A27">
        <w:t xml:space="preserve"> 100 per cent allocation to an </w:t>
      </w:r>
      <w:r w:rsidR="00FD03C4">
        <w:t>ABP</w:t>
      </w:r>
      <w:r w:rsidR="008324E5" w:rsidRPr="002C0900">
        <w:t xml:space="preserve"> alone would not meet the definition of a CIPR.</w:t>
      </w:r>
    </w:p>
    <w:p w14:paraId="7774DA74" w14:textId="486AE52D" w:rsidR="00A92E2D" w:rsidRDefault="00A92E2D" w:rsidP="00A92E2D">
      <w:r>
        <w:rPr>
          <w:rFonts w:asciiTheme="minorHAnsi" w:hAnsiTheme="minorHAnsi"/>
          <w:szCs w:val="22"/>
        </w:rPr>
        <w:t xml:space="preserve">A key feature of the retirement income framework </w:t>
      </w:r>
      <w:r w:rsidR="00996EE7">
        <w:rPr>
          <w:rFonts w:asciiTheme="minorHAnsi" w:hAnsiTheme="minorHAnsi"/>
          <w:szCs w:val="22"/>
        </w:rPr>
        <w:t>would</w:t>
      </w:r>
      <w:r>
        <w:rPr>
          <w:rFonts w:asciiTheme="minorHAnsi" w:hAnsiTheme="minorHAnsi"/>
          <w:szCs w:val="22"/>
        </w:rPr>
        <w:t xml:space="preserve"> be </w:t>
      </w:r>
      <w:r w:rsidR="006621D1">
        <w:rPr>
          <w:rFonts w:asciiTheme="minorHAnsi" w:hAnsiTheme="minorHAnsi"/>
          <w:szCs w:val="22"/>
        </w:rPr>
        <w:t>CIPRs</w:t>
      </w:r>
      <w:r>
        <w:rPr>
          <w:rFonts w:asciiTheme="minorHAnsi" w:hAnsiTheme="minorHAnsi"/>
          <w:szCs w:val="22"/>
        </w:rPr>
        <w:t>.</w:t>
      </w:r>
      <w:r w:rsidR="00726A27">
        <w:rPr>
          <w:rFonts w:asciiTheme="minorHAnsi" w:hAnsiTheme="minorHAnsi"/>
          <w:szCs w:val="22"/>
        </w:rPr>
        <w:t xml:space="preserve"> A</w:t>
      </w:r>
      <w:r>
        <w:rPr>
          <w:rFonts w:asciiTheme="minorHAnsi" w:hAnsiTheme="minorHAnsi"/>
          <w:szCs w:val="22"/>
        </w:rPr>
        <w:t xml:space="preserve"> </w:t>
      </w:r>
      <w:r w:rsidR="00726A27">
        <w:t xml:space="preserve">CIPR </w:t>
      </w:r>
      <w:r w:rsidR="00996EE7">
        <w:t>would</w:t>
      </w:r>
      <w:r w:rsidR="00726A27">
        <w:t xml:space="preserve"> provide a complete</w:t>
      </w:r>
      <w:r>
        <w:t xml:space="preserve"> solution that </w:t>
      </w:r>
      <w:r w:rsidRPr="00F60A2E">
        <w:t>balanc</w:t>
      </w:r>
      <w:r>
        <w:t>e</w:t>
      </w:r>
      <w:r w:rsidR="00726A27">
        <w:t>s</w:t>
      </w:r>
      <w:r w:rsidRPr="00F60A2E">
        <w:t xml:space="preserve"> </w:t>
      </w:r>
      <w:r w:rsidR="00726A27">
        <w:t>a number of competing objectives</w:t>
      </w:r>
      <w:r w:rsidRPr="00F60A2E">
        <w:t xml:space="preserve"> </w:t>
      </w:r>
      <w:r w:rsidR="001B337F">
        <w:t>in retirement. The</w:t>
      </w:r>
      <w:r w:rsidR="00726A27">
        <w:t xml:space="preserve"> three key objectives are to</w:t>
      </w:r>
      <w:r>
        <w:t xml:space="preserve"> </w:t>
      </w:r>
      <w:r w:rsidR="00726A27">
        <w:t>maximise</w:t>
      </w:r>
      <w:r w:rsidRPr="00F60A2E">
        <w:t xml:space="preserve"> income,</w:t>
      </w:r>
      <w:r w:rsidR="001B337F">
        <w:t xml:space="preserve"> </w:t>
      </w:r>
      <w:r w:rsidR="00726A27">
        <w:t>ensure income is provided for life</w:t>
      </w:r>
      <w:r w:rsidRPr="00F60A2E">
        <w:t xml:space="preserve"> and </w:t>
      </w:r>
      <w:r w:rsidR="00726A27">
        <w:t>provide</w:t>
      </w:r>
      <w:r w:rsidR="001B337F">
        <w:t xml:space="preserve"> </w:t>
      </w:r>
      <w:r w:rsidRPr="00F60A2E">
        <w:t>flexibility</w:t>
      </w:r>
      <w:r w:rsidR="00726A27">
        <w:t xml:space="preserve"> to access capital</w:t>
      </w:r>
      <w:r w:rsidRPr="00F60A2E">
        <w:t xml:space="preserve">. </w:t>
      </w:r>
      <w:r w:rsidR="009E03DA">
        <w:t>A</w:t>
      </w:r>
      <w:r w:rsidR="00900DEA">
        <w:t xml:space="preserve"> CIPR would be </w:t>
      </w:r>
      <w:proofErr w:type="gramStart"/>
      <w:r w:rsidR="009E03DA">
        <w:t>a core part</w:t>
      </w:r>
      <w:proofErr w:type="gramEnd"/>
      <w:r w:rsidR="009E03DA">
        <w:t xml:space="preserve"> of how</w:t>
      </w:r>
      <w:r w:rsidR="00900DEA">
        <w:t xml:space="preserve"> trustees implement the retirement income strategy they have developed for their members.</w:t>
      </w:r>
    </w:p>
    <w:p w14:paraId="6F264154" w14:textId="24F28659" w:rsidR="00407FB0" w:rsidRDefault="003A11CE" w:rsidP="003A11CE">
      <w:pPr>
        <w:pStyle w:val="Heading4"/>
      </w:pPr>
      <w:r w:rsidRPr="003A11CE">
        <w:t>Features of a CIPR</w:t>
      </w:r>
    </w:p>
    <w:p w14:paraId="2C647C6D" w14:textId="73DF7E82" w:rsidR="00B548FC" w:rsidRPr="00B548FC" w:rsidRDefault="00B548FC" w:rsidP="00B548FC">
      <w:r>
        <w:t xml:space="preserve">A CIPR would comprise set </w:t>
      </w:r>
      <w:r w:rsidR="00B85F6A">
        <w:t xml:space="preserve">product </w:t>
      </w:r>
      <w:r>
        <w:t>components</w:t>
      </w:r>
      <w:r w:rsidR="004C4F00">
        <w:t xml:space="preserve"> and proportions</w:t>
      </w:r>
      <w:r>
        <w:t xml:space="preserve"> and drawdown rates designed by the trustee to meet the requirements below.</w:t>
      </w:r>
      <w:r w:rsidR="00513CCF">
        <w:t xml:space="preserve"> </w:t>
      </w:r>
    </w:p>
    <w:p w14:paraId="12B8B060" w14:textId="516597C1" w:rsidR="00407FB0" w:rsidRDefault="00407FB0" w:rsidP="00BE0393">
      <w:pPr>
        <w:pStyle w:val="Heading6"/>
      </w:pPr>
      <w:r>
        <w:t>T</w:t>
      </w:r>
      <w:r w:rsidR="00F60429">
        <w:t xml:space="preserve">he expected income from </w:t>
      </w:r>
      <w:r w:rsidR="00A92E2D">
        <w:t>a CIPR should be</w:t>
      </w:r>
      <w:r w:rsidR="00F60429">
        <w:t xml:space="preserve"> efficient and bro</w:t>
      </w:r>
      <w:r w:rsidR="00BE0393">
        <w:t>adly constant</w:t>
      </w:r>
    </w:p>
    <w:p w14:paraId="783E150D" w14:textId="3E0616E4" w:rsidR="009E03DA" w:rsidRDefault="00C05345" w:rsidP="00BE0393">
      <w:r>
        <w:t>At the time of offer, t</w:t>
      </w:r>
      <w:r w:rsidR="008D1C0E">
        <w:t xml:space="preserve">he trustee should expect that </w:t>
      </w:r>
      <w:r w:rsidR="006C0EEF">
        <w:t>with</w:t>
      </w:r>
      <w:r w:rsidR="00D81012">
        <w:t xml:space="preserve"> average investment returns and </w:t>
      </w:r>
      <w:r w:rsidR="0048448A">
        <w:t xml:space="preserve">longevity </w:t>
      </w:r>
      <w:r w:rsidR="00D81012">
        <w:t>outcomes</w:t>
      </w:r>
      <w:r w:rsidR="003F1DDC">
        <w:t>,</w:t>
      </w:r>
      <w:r w:rsidR="00D81012">
        <w:t xml:space="preserve"> the </w:t>
      </w:r>
      <w:r w:rsidR="00D308F4">
        <w:t>annual income</w:t>
      </w:r>
      <w:r w:rsidR="00726A27">
        <w:t xml:space="preserve"> expected from a CIPR offer would be broadly constant.</w:t>
      </w:r>
      <w:r>
        <w:t xml:space="preserve"> </w:t>
      </w:r>
      <w:r w:rsidR="00D777E2">
        <w:t xml:space="preserve">Recognising that it may be difficult to design a product that delivers absolutely constant expected income, a small buffer would be allowed for income to be </w:t>
      </w:r>
      <w:r w:rsidR="00F35B4A">
        <w:t xml:space="preserve">considered </w:t>
      </w:r>
      <w:r w:rsidR="00D777E2" w:rsidRPr="00D777E2">
        <w:rPr>
          <w:i/>
        </w:rPr>
        <w:t>broadly</w:t>
      </w:r>
      <w:r w:rsidR="00D777E2">
        <w:t xml:space="preserve"> constant</w:t>
      </w:r>
      <w:r w:rsidR="00F35B4A">
        <w:t>. For example, if</w:t>
      </w:r>
      <w:r w:rsidR="00D777E2">
        <w:t xml:space="preserve"> </w:t>
      </w:r>
      <w:r>
        <w:t xml:space="preserve">at the time the CIPR was offered </w:t>
      </w:r>
      <w:r w:rsidR="00F35B4A">
        <w:t xml:space="preserve">the </w:t>
      </w:r>
      <w:r w:rsidR="00D777E2">
        <w:t>expected income from the product remained within a narrow band (perhaps +/-2.5</w:t>
      </w:r>
      <w:r w:rsidR="006406D7">
        <w:t xml:space="preserve"> per cent</w:t>
      </w:r>
      <w:r w:rsidR="004C4F00">
        <w:t xml:space="preserve"> from </w:t>
      </w:r>
      <w:r w:rsidR="00F35B4A">
        <w:t xml:space="preserve">the real or nominal </w:t>
      </w:r>
      <w:r w:rsidR="004C4F00">
        <w:t>income in the first year</w:t>
      </w:r>
      <w:r w:rsidR="00D777E2">
        <w:t>)</w:t>
      </w:r>
      <w:r w:rsidR="00F35B4A">
        <w:t xml:space="preserve"> then it would be considered to be </w:t>
      </w:r>
      <w:r w:rsidR="00F35B4A">
        <w:rPr>
          <w:i/>
        </w:rPr>
        <w:t>broadly</w:t>
      </w:r>
      <w:r w:rsidR="00F35B4A">
        <w:t xml:space="preserve"> constant</w:t>
      </w:r>
      <w:r w:rsidR="003831AD">
        <w:t xml:space="preserve">. </w:t>
      </w:r>
    </w:p>
    <w:p w14:paraId="1BB620BB" w14:textId="010CCACB" w:rsidR="008A2EC9" w:rsidRDefault="008A2EC9" w:rsidP="008A2EC9">
      <w:r>
        <w:t>Importantly, in practice actual income may not be broadly constant due to variations in investment returns and longevity outcomes</w:t>
      </w:r>
      <w:r w:rsidR="004C4F00">
        <w:t>. There is no requirement for products to be fully or even partly guaranteed</w:t>
      </w:r>
      <w:r>
        <w:t>. The following would be an example of an acceptable CIPR, even though the actual income from the product would not match the expected income. In this example, the CIPR includes an illustrative mechanism to manage variations in investment returns.</w:t>
      </w:r>
    </w:p>
    <w:p w14:paraId="3512665F" w14:textId="32B048E2" w:rsidR="008A2EC9" w:rsidRPr="00BE0393" w:rsidRDefault="006406D7" w:rsidP="008A2EC9">
      <w:pPr>
        <w:jc w:val="center"/>
      </w:pPr>
      <w:r>
        <w:rPr>
          <w:noProof/>
        </w:rPr>
        <w:drawing>
          <wp:inline distT="0" distB="0" distL="0" distR="0" wp14:anchorId="2FE8E410" wp14:editId="232E4E15">
            <wp:extent cx="3708487" cy="1778171"/>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721007" cy="1784174"/>
                    </a:xfrm>
                    <a:prstGeom prst="rect">
                      <a:avLst/>
                    </a:prstGeom>
                  </pic:spPr>
                </pic:pic>
              </a:graphicData>
            </a:graphic>
          </wp:inline>
        </w:drawing>
      </w:r>
    </w:p>
    <w:p w14:paraId="11289881" w14:textId="13EE709B" w:rsidR="009E03DA" w:rsidRDefault="007E2848" w:rsidP="00BE0393">
      <w:r>
        <w:t xml:space="preserve">It would be at the discretion of the trustee to decide whether the </w:t>
      </w:r>
      <w:r w:rsidR="00C05345">
        <w:t xml:space="preserve">expected </w:t>
      </w:r>
      <w:r>
        <w:t>income should be broadly constant in real or nominal terms</w:t>
      </w:r>
      <w:r w:rsidR="00F030B3">
        <w:t xml:space="preserve"> </w:t>
      </w:r>
      <w:r w:rsidR="00324369">
        <w:t>(</w:t>
      </w:r>
      <w:r w:rsidR="00F030B3">
        <w:t>or in between</w:t>
      </w:r>
      <w:r w:rsidR="00324369">
        <w:t>)</w:t>
      </w:r>
      <w:r>
        <w:t>. This provides greater flexibility for trustees to offer a retirement income solution that best matches the consumption needs of their members. If the trustee chose to deliver broadly constant income in real terms, the nominal income delivered by the product would be expected to rise by about 2.5</w:t>
      </w:r>
      <w:r w:rsidR="006406D7">
        <w:t xml:space="preserve"> per cent</w:t>
      </w:r>
      <w:r>
        <w:t xml:space="preserve"> a year to account for inflation. The trustee would not be required to eliminate all inflation risk from the product.</w:t>
      </w:r>
    </w:p>
    <w:p w14:paraId="3094A408" w14:textId="3C2AF428" w:rsidR="00BE0393" w:rsidRDefault="007E2848" w:rsidP="00BE0393">
      <w:r>
        <w:lastRenderedPageBreak/>
        <w:t>T</w:t>
      </w:r>
      <w:r w:rsidR="005F50FE">
        <w:t>rustee</w:t>
      </w:r>
      <w:r>
        <w:t>s</w:t>
      </w:r>
      <w:r w:rsidR="005F50FE">
        <w:t xml:space="preserve"> </w:t>
      </w:r>
      <w:r>
        <w:t>could choose</w:t>
      </w:r>
      <w:r w:rsidR="00D81012">
        <w:t xml:space="preserve"> </w:t>
      </w:r>
      <w:r w:rsidR="005F50FE">
        <w:t>w</w:t>
      </w:r>
      <w:r w:rsidR="005E14B0">
        <w:t xml:space="preserve">hether </w:t>
      </w:r>
      <w:r>
        <w:t xml:space="preserve">or not </w:t>
      </w:r>
      <w:r w:rsidR="005E14B0">
        <w:t>to incorporate expected A</w:t>
      </w:r>
      <w:r w:rsidR="005F50FE">
        <w:t xml:space="preserve">ge </w:t>
      </w:r>
      <w:r w:rsidR="005E14B0">
        <w:t>P</w:t>
      </w:r>
      <w:r w:rsidR="005F50FE">
        <w:t>ension income</w:t>
      </w:r>
      <w:r w:rsidR="00D81012">
        <w:t xml:space="preserve"> when determining ‘broadly constant income’</w:t>
      </w:r>
      <w:r w:rsidR="005F50FE">
        <w:t>, noting that</w:t>
      </w:r>
      <w:r w:rsidR="00D81012">
        <w:t xml:space="preserve"> while desirable,</w:t>
      </w:r>
      <w:r w:rsidR="005F50FE">
        <w:t xml:space="preserve"> in some cases it may</w:t>
      </w:r>
      <w:r w:rsidR="00F030B3">
        <w:t xml:space="preserve"> be problematic due to variations in Age Pension eligibility in the cohort.</w:t>
      </w:r>
    </w:p>
    <w:p w14:paraId="0F17F088" w14:textId="7B8F38C0" w:rsidR="00F60429" w:rsidRDefault="00A92E2D" w:rsidP="00407FB0">
      <w:pPr>
        <w:pStyle w:val="Heading6"/>
      </w:pPr>
      <w:r>
        <w:t>A CIPR should provide</w:t>
      </w:r>
      <w:r w:rsidR="00F60429">
        <w:t xml:space="preserve"> income for lif</w:t>
      </w:r>
      <w:r w:rsidR="00407FB0">
        <w:t xml:space="preserve">e </w:t>
      </w:r>
    </w:p>
    <w:p w14:paraId="7A722D80" w14:textId="4F2996D4" w:rsidR="00407FB0" w:rsidRDefault="002605E5" w:rsidP="00407FB0">
      <w:r>
        <w:t xml:space="preserve">It is not sufficient for the CIPR to provide income only to life expectancy. The trustee </w:t>
      </w:r>
      <w:r w:rsidR="00464FCD">
        <w:t>would need to</w:t>
      </w:r>
      <w:r>
        <w:t xml:space="preserve"> ensure that </w:t>
      </w:r>
      <w:r w:rsidR="00AB4304">
        <w:t xml:space="preserve">the CIPR is designed in such a way that </w:t>
      </w:r>
      <w:r w:rsidR="005E14B0">
        <w:t xml:space="preserve">even if </w:t>
      </w:r>
      <w:r w:rsidR="005E14B0" w:rsidRPr="00131EE0">
        <w:t xml:space="preserve">the member lives to </w:t>
      </w:r>
      <w:r w:rsidR="005E14B0" w:rsidRPr="00324369">
        <w:t>1</w:t>
      </w:r>
      <w:r w:rsidR="00324369" w:rsidRPr="00324369">
        <w:t>05</w:t>
      </w:r>
      <w:r w:rsidR="00AB4304">
        <w:t>, they will continue to receive</w:t>
      </w:r>
      <w:r w:rsidR="00FD03C4">
        <w:t xml:space="preserve"> broadly the same level of</w:t>
      </w:r>
      <w:r w:rsidR="00AB4304">
        <w:t xml:space="preserve"> income from the product.</w:t>
      </w:r>
      <w:r w:rsidR="00B468E8">
        <w:t xml:space="preserve"> </w:t>
      </w:r>
    </w:p>
    <w:p w14:paraId="11CA2D53" w14:textId="5D7379A7" w:rsidR="00970994" w:rsidRDefault="00B468E8" w:rsidP="00970994">
      <w:r>
        <w:t xml:space="preserve">To provide this certainty to members, trustees </w:t>
      </w:r>
      <w:r w:rsidR="00417E43">
        <w:t xml:space="preserve">would need to incorporate </w:t>
      </w:r>
      <w:r w:rsidRPr="007E2848">
        <w:t xml:space="preserve">any one (or more) of a range of pooled lifetime </w:t>
      </w:r>
      <w:r w:rsidR="002317B7">
        <w:t xml:space="preserve">income </w:t>
      </w:r>
      <w:r w:rsidRPr="007E2848">
        <w:t>products</w:t>
      </w:r>
      <w:r>
        <w:t xml:space="preserve"> (either immediate or deferred)</w:t>
      </w:r>
      <w:r w:rsidR="005E14B0">
        <w:t>,</w:t>
      </w:r>
      <w:r w:rsidR="006406D7">
        <w:t xml:space="preserve"> such as a group self</w:t>
      </w:r>
      <w:r w:rsidR="006406D7">
        <w:noBreakHyphen/>
        <w:t>annuitisation product</w:t>
      </w:r>
      <w:r w:rsidR="0056439E">
        <w:t xml:space="preserve"> </w:t>
      </w:r>
      <w:r w:rsidR="005E14B0">
        <w:t xml:space="preserve">or a guaranteed </w:t>
      </w:r>
      <w:r w:rsidR="006621D1">
        <w:t xml:space="preserve">lifetime </w:t>
      </w:r>
      <w:r w:rsidR="005E14B0">
        <w:t>annuity</w:t>
      </w:r>
      <w:r>
        <w:t>.</w:t>
      </w:r>
      <w:r w:rsidR="00970994">
        <w:t xml:space="preserve"> In practice, </w:t>
      </w:r>
      <w:r w:rsidR="009252E3">
        <w:t>it is likely</w:t>
      </w:r>
      <w:r w:rsidR="00CB3F22">
        <w:t xml:space="preserve"> that the requirement for</w:t>
      </w:r>
      <w:r w:rsidR="00970994">
        <w:t xml:space="preserve"> a CIPR to provide income for life would require a minimum investment in a </w:t>
      </w:r>
      <w:r w:rsidR="00D031D8">
        <w:t>pooled lifetime income product</w:t>
      </w:r>
      <w:r w:rsidR="00CB3F22">
        <w:t xml:space="preserve"> of around 15</w:t>
      </w:r>
      <w:r w:rsidR="00851873">
        <w:t>-20</w:t>
      </w:r>
      <w:r w:rsidR="006406D7">
        <w:t xml:space="preserve"> per cent</w:t>
      </w:r>
      <w:r w:rsidR="007E2848">
        <w:t>. H</w:t>
      </w:r>
      <w:r w:rsidR="00857E8D">
        <w:t>owever</w:t>
      </w:r>
      <w:r w:rsidR="007E2848">
        <w:t>,</w:t>
      </w:r>
      <w:r w:rsidR="00857E8D">
        <w:t xml:space="preserve"> the </w:t>
      </w:r>
      <w:r w:rsidR="00851873">
        <w:t xml:space="preserve">ultimate allocation to the </w:t>
      </w:r>
      <w:r w:rsidR="00D031D8">
        <w:t>pooled lifetime income</w:t>
      </w:r>
      <w:r w:rsidR="00851873">
        <w:t xml:space="preserve"> product </w:t>
      </w:r>
      <w:r w:rsidR="00996EE7">
        <w:t>would</w:t>
      </w:r>
      <w:r w:rsidR="00851873">
        <w:t xml:space="preserve"> depend on the retirement strategy of the fund and how trustees balance the different trade-offs.</w:t>
      </w:r>
    </w:p>
    <w:p w14:paraId="24734C87" w14:textId="623F9BCC" w:rsidR="00F60429" w:rsidRDefault="00A92E2D" w:rsidP="00407FB0">
      <w:pPr>
        <w:pStyle w:val="Heading6"/>
      </w:pPr>
      <w:r>
        <w:t>A CIPR should have</w:t>
      </w:r>
      <w:r w:rsidR="00F60429">
        <w:t xml:space="preserve"> some flexibility</w:t>
      </w:r>
      <w:r w:rsidR="00407FB0">
        <w:t xml:space="preserve"> to provide access to </w:t>
      </w:r>
      <w:r w:rsidR="006200AB">
        <w:t>capital</w:t>
      </w:r>
    </w:p>
    <w:p w14:paraId="54786317" w14:textId="5092B2FE" w:rsidR="00407FB0" w:rsidRDefault="00857E8D" w:rsidP="00407FB0">
      <w:r>
        <w:t xml:space="preserve">It is likely that most people will want to retain some ability to access </w:t>
      </w:r>
      <w:r w:rsidR="006200AB">
        <w:t>capital</w:t>
      </w:r>
      <w:r>
        <w:t>. Capital may be required to purchase assets such as a new ca</w:t>
      </w:r>
      <w:r w:rsidR="00330774">
        <w:t>r, to pay for home maintenance</w:t>
      </w:r>
      <w:r>
        <w:t xml:space="preserve">, health costs or </w:t>
      </w:r>
      <w:r w:rsidR="009252E3">
        <w:t xml:space="preserve">to pay for </w:t>
      </w:r>
      <w:r>
        <w:t>any number of other unexpected</w:t>
      </w:r>
      <w:r w:rsidR="009252E3">
        <w:t xml:space="preserve"> events.</w:t>
      </w:r>
    </w:p>
    <w:p w14:paraId="7410D889" w14:textId="29E07B38" w:rsidR="006B4EDB" w:rsidRDefault="00623740" w:rsidP="00407FB0">
      <w:r>
        <w:t xml:space="preserve">We expect the most common way to provide this flexibility </w:t>
      </w:r>
      <w:r w:rsidR="003A11CE">
        <w:t xml:space="preserve">would be </w:t>
      </w:r>
      <w:r>
        <w:t xml:space="preserve">for a CIPR </w:t>
      </w:r>
      <w:r w:rsidR="003A11CE">
        <w:t xml:space="preserve">to incorporate an </w:t>
      </w:r>
      <w:r w:rsidR="00FD03C4">
        <w:t>ABP</w:t>
      </w:r>
      <w:r w:rsidR="003A11CE">
        <w:t xml:space="preserve">. </w:t>
      </w:r>
      <w:r>
        <w:t xml:space="preserve">Alternatively some pooled lifetime </w:t>
      </w:r>
      <w:r w:rsidR="005B152B">
        <w:t xml:space="preserve">income </w:t>
      </w:r>
      <w:r>
        <w:t xml:space="preserve">products may provide some commutable value or access to death benefits. </w:t>
      </w:r>
      <w:r w:rsidR="003A11CE">
        <w:t>Again, trustees would have the freedom to determine the best way to provide this flexibility for their members.</w:t>
      </w:r>
    </w:p>
    <w:p w14:paraId="64909C5C" w14:textId="76836331" w:rsidR="00330774" w:rsidRDefault="00C32EF7" w:rsidP="007A5E88">
      <w:pPr>
        <w:pStyle w:val="Heading4"/>
      </w:pPr>
      <w:r>
        <w:t>Certification</w:t>
      </w:r>
    </w:p>
    <w:p w14:paraId="3CA0808D" w14:textId="4A9A5BC7" w:rsidR="00623740" w:rsidRDefault="00FD380D" w:rsidP="003160D1">
      <w:r w:rsidDel="007A5E88">
        <w:t>The Government considers the c</w:t>
      </w:r>
      <w:r w:rsidR="0015129D" w:rsidDel="007A5E88">
        <w:t xml:space="preserve">ertification requirements </w:t>
      </w:r>
      <w:r w:rsidR="00A40331" w:rsidDel="007A5E88">
        <w:t xml:space="preserve">for CIPRs </w:t>
      </w:r>
      <w:r w:rsidR="0015129D" w:rsidDel="007A5E88">
        <w:t xml:space="preserve">should be principles-based to ensure product neutrality and to avoid limiting future innovation in the retirement income </w:t>
      </w:r>
      <w:r w:rsidR="00623740" w:rsidDel="007A5E88">
        <w:t xml:space="preserve">product </w:t>
      </w:r>
      <w:r w:rsidR="0015129D" w:rsidDel="007A5E88">
        <w:t>market. However, a</w:t>
      </w:r>
      <w:r w:rsidR="007A5E88">
        <w:t xml:space="preserve"> 100</w:t>
      </w:r>
      <w:r w:rsidR="006406D7">
        <w:t xml:space="preserve"> per cent</w:t>
      </w:r>
      <w:r w:rsidR="007A5E88">
        <w:t xml:space="preserve"> allocation to an</w:t>
      </w:r>
      <w:r w:rsidR="0015129D" w:rsidDel="007A5E88">
        <w:t xml:space="preserve"> </w:t>
      </w:r>
      <w:r w:rsidR="00FD03C4" w:rsidDel="007A5E88">
        <w:t>ABP</w:t>
      </w:r>
      <w:r w:rsidR="00EE5EA7" w:rsidDel="007A5E88">
        <w:t xml:space="preserve"> </w:t>
      </w:r>
      <w:r w:rsidR="0015129D" w:rsidDel="007A5E88">
        <w:t>would not meet the requirements.</w:t>
      </w:r>
      <w:r w:rsidR="00C32EF7" w:rsidRPr="00C32EF7">
        <w:t xml:space="preserve"> </w:t>
      </w:r>
      <w:r w:rsidR="00C32EF7">
        <w:t>The method of certifying CIPRs</w:t>
      </w:r>
      <w:r w:rsidR="000D513E">
        <w:t xml:space="preserve"> (the requirements a product </w:t>
      </w:r>
      <w:r w:rsidR="00BD4B42">
        <w:t xml:space="preserve">would need to meet </w:t>
      </w:r>
      <w:r w:rsidR="000D513E">
        <w:t>to provide efficient, broadly constant income for life with some flexibility)</w:t>
      </w:r>
      <w:r w:rsidR="00772E9F">
        <w:t xml:space="preserve"> </w:t>
      </w:r>
      <w:r w:rsidR="00C32EF7">
        <w:t>would be determined at a later date.</w:t>
      </w:r>
      <w:r w:rsidR="00BE41AC">
        <w:t xml:space="preserve"> Any implications for ABP minimum drawdown rates would be considered at that time.</w:t>
      </w:r>
    </w:p>
    <w:p w14:paraId="70D89B67" w14:textId="0AF25164" w:rsidR="00F2262B" w:rsidRDefault="00F2262B" w:rsidP="00F2262B">
      <w:pPr>
        <w:pStyle w:val="Heading4"/>
        <w:pBdr>
          <w:top w:val="single" w:sz="4" w:space="6" w:color="auto"/>
          <w:left w:val="single" w:sz="4" w:space="4" w:color="auto"/>
          <w:bottom w:val="single" w:sz="4" w:space="6" w:color="auto"/>
          <w:right w:val="single" w:sz="4" w:space="4" w:color="auto"/>
        </w:pBdr>
      </w:pPr>
      <w:r>
        <w:t>4. Offering a flagship CIPR</w:t>
      </w:r>
    </w:p>
    <w:p w14:paraId="52611111" w14:textId="1EB16378" w:rsidR="00F2262B" w:rsidRDefault="00F2262B" w:rsidP="00F2262B">
      <w:pPr>
        <w:pStyle w:val="Heading5"/>
        <w:pBdr>
          <w:top w:val="single" w:sz="4" w:space="6" w:color="auto"/>
          <w:left w:val="single" w:sz="4" w:space="4" w:color="auto"/>
          <w:bottom w:val="single" w:sz="4" w:space="6" w:color="auto"/>
          <w:right w:val="single" w:sz="4" w:space="4" w:color="auto"/>
        </w:pBdr>
      </w:pPr>
      <w:r w:rsidRPr="002C0900">
        <w:t>All tr</w:t>
      </w:r>
      <w:r>
        <w:t xml:space="preserve">ustees should offer a flagship CIPR </w:t>
      </w:r>
      <w:r w:rsidRPr="002C0900">
        <w:t>to members</w:t>
      </w:r>
      <w:r>
        <w:t xml:space="preserve"> at retirement, subject to limited exceptions (see principles </w:t>
      </w:r>
      <w:r w:rsidR="007356D1">
        <w:t>7</w:t>
      </w:r>
      <w:r w:rsidR="0010704C">
        <w:t xml:space="preserve"> and</w:t>
      </w:r>
      <w:r>
        <w:t xml:space="preserve"> </w:t>
      </w:r>
      <w:r w:rsidR="007356D1">
        <w:t>8</w:t>
      </w:r>
      <w:r>
        <w:t>)</w:t>
      </w:r>
      <w:r w:rsidRPr="002C0900">
        <w:t xml:space="preserve">. </w:t>
      </w:r>
    </w:p>
    <w:p w14:paraId="0F30D35A" w14:textId="78154ECE" w:rsidR="00416686" w:rsidRDefault="007356D1" w:rsidP="00416686">
      <w:r>
        <w:t xml:space="preserve">Trustees would be required to offer a CIPR to all members at retirement. </w:t>
      </w:r>
      <w:r w:rsidR="00416686">
        <w:t xml:space="preserve">Requiring trustees to offer a CIPR to members </w:t>
      </w:r>
      <w:r w:rsidR="00996EE7">
        <w:t>would</w:t>
      </w:r>
      <w:r w:rsidR="00416686">
        <w:t xml:space="preserve"> </w:t>
      </w:r>
      <w:r w:rsidR="007A5E88">
        <w:t>provide a better starting point at retirement and assist members to achieve their retirement income objectives without needing to design their own product</w:t>
      </w:r>
      <w:r w:rsidR="00416686">
        <w:t xml:space="preserve">. </w:t>
      </w:r>
    </w:p>
    <w:p w14:paraId="2976AC14" w14:textId="6D69802A" w:rsidR="00416686" w:rsidRDefault="00416686" w:rsidP="00416686">
      <w:r>
        <w:t xml:space="preserve">Trustees may choose to offer additional products at the time of offering the CIPR, but it </w:t>
      </w:r>
      <w:r w:rsidR="00122904">
        <w:t>should</w:t>
      </w:r>
      <w:r>
        <w:t xml:space="preserve"> be clear that the flagship CIPR offering is the starting point for members.</w:t>
      </w:r>
    </w:p>
    <w:p w14:paraId="7A7C1E8A" w14:textId="0E3E162F" w:rsidR="0029418A" w:rsidRDefault="00DC5C0B" w:rsidP="00F2262B">
      <w:r>
        <w:t xml:space="preserve">Nonetheless, </w:t>
      </w:r>
      <w:r w:rsidR="0021755B">
        <w:t xml:space="preserve">trustees </w:t>
      </w:r>
      <w:r w:rsidR="00996EE7">
        <w:t>would</w:t>
      </w:r>
      <w:r w:rsidR="0021755B">
        <w:t xml:space="preserve"> be able to offer </w:t>
      </w:r>
      <w:r w:rsidR="00324369">
        <w:t>up to</w:t>
      </w:r>
      <w:r w:rsidR="0021755B">
        <w:t xml:space="preserve"> three flagship CIPRs based on </w:t>
      </w:r>
      <w:r w:rsidR="006406D7">
        <w:t xml:space="preserve">an individual’s </w:t>
      </w:r>
      <w:r w:rsidR="0021755B">
        <w:t xml:space="preserve">account balance </w:t>
      </w:r>
      <w:r w:rsidR="006406D7">
        <w:t>without the offer constituting</w:t>
      </w:r>
      <w:r w:rsidR="0021755B">
        <w:t xml:space="preserve"> financial advice. This provides flexibility to trustees to design appropriate products for large cohorts of their membership, recognising that account balance may affect a person’s Age Pension eligibility. </w:t>
      </w:r>
      <w:r w:rsidR="0029418A">
        <w:t xml:space="preserve">Allowing for three flagship CIPRs will enable trustees to design different CIPRs for people who, based on their superannuation account balance, are likely to be </w:t>
      </w:r>
      <w:r w:rsidR="004C4F00">
        <w:t>eligible for the</w:t>
      </w:r>
      <w:r w:rsidR="0029418A">
        <w:t xml:space="preserve"> full Age Pension, part Age Pension or who are ineligible for the Age Pension.</w:t>
      </w:r>
    </w:p>
    <w:p w14:paraId="4BCFADB4" w14:textId="5063E0FE" w:rsidR="00D308F4" w:rsidRDefault="00DC5C0B" w:rsidP="00F2262B">
      <w:r>
        <w:lastRenderedPageBreak/>
        <w:t xml:space="preserve">For example, someone on a full Age Pension may benefit from the increase in income that a CIPR could provide, but may not need substantial longevity protection, as this would be provided </w:t>
      </w:r>
      <w:r w:rsidR="00F35B4A">
        <w:t xml:space="preserve">to a greater degree </w:t>
      </w:r>
      <w:r>
        <w:t xml:space="preserve">by the </w:t>
      </w:r>
      <w:r w:rsidR="004C4F00">
        <w:t>Age P</w:t>
      </w:r>
      <w:r>
        <w:t xml:space="preserve">ension. Someone who is not eligible for the Age Pension, however, would likely benefit both from a higher income and the </w:t>
      </w:r>
      <w:r w:rsidR="00BE41AC">
        <w:t>greater certainty of income</w:t>
      </w:r>
      <w:r>
        <w:t xml:space="preserve"> that a CIPR would deliver.</w:t>
      </w:r>
      <w:r w:rsidR="004A6836">
        <w:t xml:space="preserve"> The design of the CIPR may be different in each case.</w:t>
      </w:r>
    </w:p>
    <w:p w14:paraId="189B7D14" w14:textId="6B47B78D" w:rsidR="00F2262B" w:rsidRDefault="0021755B" w:rsidP="00F2262B">
      <w:r>
        <w:t>T</w:t>
      </w:r>
      <w:r w:rsidR="00922766">
        <w:t xml:space="preserve">he Government proposes to allow </w:t>
      </w:r>
      <w:r w:rsidR="00F2262B">
        <w:t>trustee</w:t>
      </w:r>
      <w:r w:rsidR="00922766">
        <w:t>s to</w:t>
      </w:r>
      <w:r w:rsidR="00F2262B">
        <w:t xml:space="preserve"> design u</w:t>
      </w:r>
      <w:r w:rsidR="00C568F6">
        <w:t>p to three flagship</w:t>
      </w:r>
      <w:r w:rsidR="00922766">
        <w:t xml:space="preserve"> </w:t>
      </w:r>
      <w:r w:rsidR="00F2262B">
        <w:t>CIPRs that are offered to members. Trustees could choose to either:</w:t>
      </w:r>
    </w:p>
    <w:p w14:paraId="201A2B1B" w14:textId="275AE01B" w:rsidR="00F2262B" w:rsidRDefault="00F2262B" w:rsidP="008257FE">
      <w:pPr>
        <w:pStyle w:val="Bullet"/>
        <w:numPr>
          <w:ilvl w:val="0"/>
          <w:numId w:val="15"/>
        </w:numPr>
      </w:pPr>
      <w:r>
        <w:t xml:space="preserve">offer a single flagship </w:t>
      </w:r>
      <w:r w:rsidR="006406D7">
        <w:t xml:space="preserve">CIPR </w:t>
      </w:r>
      <w:r>
        <w:t>to all members; or</w:t>
      </w:r>
    </w:p>
    <w:p w14:paraId="26F45F2F" w14:textId="3A787339" w:rsidR="00F2262B" w:rsidRDefault="00F2262B" w:rsidP="00F2262B">
      <w:pPr>
        <w:pStyle w:val="Bullet"/>
        <w:numPr>
          <w:ilvl w:val="0"/>
          <w:numId w:val="15"/>
        </w:numPr>
        <w:spacing w:after="0"/>
      </w:pPr>
      <w:proofErr w:type="gramStart"/>
      <w:r>
        <w:t>offer</w:t>
      </w:r>
      <w:proofErr w:type="gramEnd"/>
      <w:r>
        <w:t xml:space="preserve"> </w:t>
      </w:r>
      <w:r w:rsidR="00CC0DE1">
        <w:t>a single</w:t>
      </w:r>
      <w:r>
        <w:t xml:space="preserve"> flagship CIPR tailored to </w:t>
      </w:r>
      <w:r w:rsidR="00CC0DE1">
        <w:t xml:space="preserve">up to three different </w:t>
      </w:r>
      <w:r>
        <w:t>cohorts of members with different account balances</w:t>
      </w:r>
      <w:r w:rsidR="00CC0DE1">
        <w:t xml:space="preserve"> (one flagship CIPR per cohort)</w:t>
      </w:r>
      <w:r>
        <w:t>, provided the CIPRs are designed to be in the best interests of the cohort, compared with other products.</w:t>
      </w:r>
      <w:r w:rsidRPr="00F60429">
        <w:t xml:space="preserve"> </w:t>
      </w:r>
    </w:p>
    <w:p w14:paraId="07F466A5" w14:textId="1911C25D" w:rsidR="00F2262B" w:rsidRDefault="00FD03C4" w:rsidP="00F2262B">
      <w:r>
        <w:t>At the time of offer, the t</w:t>
      </w:r>
      <w:r w:rsidR="00F2262B">
        <w:t xml:space="preserve">rustee </w:t>
      </w:r>
      <w:r w:rsidR="00464FCD">
        <w:t>would need to</w:t>
      </w:r>
      <w:r w:rsidR="00F2262B">
        <w:t xml:space="preserve"> give members the option to include a reversionary benefit in the CIPR.</w:t>
      </w:r>
      <w:r w:rsidR="008E08FB">
        <w:t xml:space="preserve"> The option to include a reversionary benefit would not constitute a different CIPR</w:t>
      </w:r>
      <w:r w:rsidR="00EB1423">
        <w:t>.</w:t>
      </w:r>
      <w:r w:rsidR="0021755B">
        <w:t xml:space="preserve"> Offering a flagship CIPR or s</w:t>
      </w:r>
      <w:r w:rsidR="006200AB">
        <w:t>egmenting members into</w:t>
      </w:r>
      <w:r w:rsidR="00F2262B">
        <w:t xml:space="preserve"> </w:t>
      </w:r>
      <w:r w:rsidR="005E0461">
        <w:t>one of</w:t>
      </w:r>
      <w:r w:rsidR="00F2262B">
        <w:t xml:space="preserve"> three different flagship CIPRs </w:t>
      </w:r>
      <w:r w:rsidR="005E0461">
        <w:t>on the basis of their</w:t>
      </w:r>
      <w:r w:rsidR="00F2262B">
        <w:t xml:space="preserve"> account balance </w:t>
      </w:r>
      <w:r w:rsidR="008257FE">
        <w:t xml:space="preserve">alone </w:t>
      </w:r>
      <w:r w:rsidR="00F2262B">
        <w:t xml:space="preserve">would not </w:t>
      </w:r>
      <w:r w:rsidR="008257FE">
        <w:t xml:space="preserve">constitute </w:t>
      </w:r>
      <w:r w:rsidR="00F2262B">
        <w:t>financial advice.</w:t>
      </w:r>
    </w:p>
    <w:tbl>
      <w:tblPr>
        <w:tblStyle w:val="TableGrid"/>
        <w:tblpPr w:leftFromText="180" w:rightFromText="180" w:vertAnchor="text" w:horzAnchor="margin" w:tblpY="200"/>
        <w:tblW w:w="5000" w:type="pct"/>
        <w:tblBorders>
          <w:bottom w:val="single" w:sz="12" w:space="0" w:color="336E98"/>
        </w:tblBorders>
        <w:shd w:val="clear" w:color="auto" w:fill="EBEBEB"/>
        <w:tblLook w:val="04A0" w:firstRow="1" w:lastRow="0" w:firstColumn="1" w:lastColumn="0" w:noHBand="0" w:noVBand="1"/>
      </w:tblPr>
      <w:tblGrid>
        <w:gridCol w:w="9286"/>
      </w:tblGrid>
      <w:tr w:rsidR="00DE1319" w14:paraId="3EE3C816" w14:textId="77777777" w:rsidTr="00DE1319">
        <w:tc>
          <w:tcPr>
            <w:tcW w:w="5000" w:type="pct"/>
            <w:shd w:val="clear" w:color="auto" w:fill="EBEBEB"/>
          </w:tcPr>
          <w:p w14:paraId="7651A88A" w14:textId="5A8AE816" w:rsidR="00DE1319" w:rsidRPr="000553FE" w:rsidRDefault="00DE1319" w:rsidP="00DE1319">
            <w:pPr>
              <w:pStyle w:val="BoxHeading"/>
              <w:rPr>
                <w:b w:val="0"/>
              </w:rPr>
            </w:pPr>
            <w:r>
              <w:t>A+ Retirement’s Flagship CIPR: ‘</w:t>
            </w:r>
            <w:proofErr w:type="spellStart"/>
            <w:r>
              <w:t>A+Plus</w:t>
            </w:r>
            <w:proofErr w:type="spellEnd"/>
            <w:r>
              <w:t>’</w:t>
            </w:r>
          </w:p>
          <w:p w14:paraId="6181A9DD" w14:textId="75916DAD" w:rsidR="00C05345" w:rsidRDefault="00C05345" w:rsidP="00C05345">
            <w:r>
              <w:t xml:space="preserve">The trustee for A+ Retirement designs a single flagship CIPR called </w:t>
            </w:r>
            <w:proofErr w:type="spellStart"/>
            <w:r>
              <w:rPr>
                <w:i/>
                <w:iCs/>
              </w:rPr>
              <w:t>A+Plus</w:t>
            </w:r>
            <w:proofErr w:type="spellEnd"/>
            <w:r>
              <w:t xml:space="preserve"> to be </w:t>
            </w:r>
            <w:r w:rsidR="00797BF8">
              <w:t>appropriate for</w:t>
            </w:r>
            <w:r>
              <w:t xml:space="preserve"> most members. It would provide constant expected real income to members who retire at 65 by allocating 75</w:t>
            </w:r>
            <w:r w:rsidR="006406D7">
              <w:t xml:space="preserve"> per cent</w:t>
            </w:r>
            <w:r>
              <w:t xml:space="preserve"> of the member’s superannuation balance to a balanced investment ABP and the remaining 25</w:t>
            </w:r>
            <w:r w:rsidR="006406D7">
              <w:t xml:space="preserve"> per cent</w:t>
            </w:r>
            <w:r>
              <w:t xml:space="preserve"> to a deferred lifetime annuity (DLA) that commences at age 85. For every $100,000 invested in </w:t>
            </w:r>
            <w:proofErr w:type="spellStart"/>
            <w:r>
              <w:t>A+Plus</w:t>
            </w:r>
            <w:proofErr w:type="spellEnd"/>
            <w:r>
              <w:t xml:space="preserve">, members could expect to receive $6,000 per year in income, for life, and have access to a lump sum of up to $15,000 at any time. </w:t>
            </w:r>
          </w:p>
          <w:p w14:paraId="3279E8FF" w14:textId="1499F819" w:rsidR="00C05345" w:rsidRDefault="00C05345" w:rsidP="00C05345">
            <w:r>
              <w:t xml:space="preserve">In this case, A+ Retirement has chosen to offer a unisex CIPR (that is it has chosen not to offer a CIPR with slightly different underlying product allocations and expected annual income to males and females to reflect their different life expectancies). </w:t>
            </w:r>
          </w:p>
          <w:p w14:paraId="09EC5B2D" w14:textId="7C1F7F22" w:rsidR="00C05345" w:rsidRDefault="00C05345" w:rsidP="00C05345">
            <w:r>
              <w:t>Felicity is a member of A+ Retirement who retirees at age 70 instead of 65. The underlying 75</w:t>
            </w:r>
            <w:r w:rsidR="006406D7">
              <w:t xml:space="preserve"> per cent</w:t>
            </w:r>
            <w:r>
              <w:t>/25</w:t>
            </w:r>
            <w:r w:rsidR="006406D7">
              <w:t xml:space="preserve"> per cent</w:t>
            </w:r>
            <w:r>
              <w:t xml:space="preserve"> product allocations for a 65 year old would not provide constant expected income to a person who retires at age 70. As a result, the trustee offers Felicity the </w:t>
            </w:r>
            <w:proofErr w:type="spellStart"/>
            <w:r>
              <w:t>A+Plus</w:t>
            </w:r>
            <w:proofErr w:type="spellEnd"/>
            <w:r>
              <w:t xml:space="preserve"> CIPR with a higher proportion allocated to the DLA (perhaps 30</w:t>
            </w:r>
            <w:r w:rsidR="006406D7">
              <w:t xml:space="preserve"> per cent</w:t>
            </w:r>
            <w:r>
              <w:t>) and a lower proportion allocated to the ABP (70</w:t>
            </w:r>
            <w:r w:rsidR="006406D7">
              <w:t xml:space="preserve"> per cent</w:t>
            </w:r>
            <w:r>
              <w:t xml:space="preserve">) because the ABP only needs to provide income for 15 years, rather than 20. If A+ Retirement had not adjusted the underlying product allocations of its CIPR, Felicity would have experienced a reduction in expected income at age 85. The </w:t>
            </w:r>
            <w:proofErr w:type="spellStart"/>
            <w:r>
              <w:t>A+Plus</w:t>
            </w:r>
            <w:proofErr w:type="spellEnd"/>
            <w:r>
              <w:t xml:space="preserve"> CIPR is designed to provide Felicity with constant expected real income of $7,000 per year. </w:t>
            </w:r>
            <w:r w:rsidR="00F35B4A">
              <w:t>This is still the same flagship CIPR.</w:t>
            </w:r>
          </w:p>
          <w:p w14:paraId="4B728D56" w14:textId="59935DDA" w:rsidR="00C05345" w:rsidRDefault="00C05345" w:rsidP="00C05345">
            <w:pPr>
              <w:pStyle w:val="BoxText"/>
            </w:pPr>
            <w:r>
              <w:t xml:space="preserve">A+ Retirement could similarly modify its </w:t>
            </w:r>
            <w:proofErr w:type="spellStart"/>
            <w:r>
              <w:t>A+Plus</w:t>
            </w:r>
            <w:proofErr w:type="spellEnd"/>
            <w:r>
              <w:t xml:space="preserve"> CIPR to provide constant expected income based on any characteristic that affects life expectancy and which can be reliably estimated. Characteristics could include gender, age, whether a member is a smoker or non-smoker, or whether the member is a blue or white collar worker. </w:t>
            </w:r>
            <w:r w:rsidR="00F35B4A">
              <w:t xml:space="preserve">These modifications may result in adjusting the pricing of the DLA (but not substituting the DLA with a different product). </w:t>
            </w:r>
            <w:r>
              <w:t xml:space="preserve">Modifying the </w:t>
            </w:r>
            <w:proofErr w:type="spellStart"/>
            <w:r>
              <w:t>A+Plus</w:t>
            </w:r>
            <w:proofErr w:type="spellEnd"/>
            <w:r>
              <w:t xml:space="preserve"> CIPR on this basis would not constitute a different CIPR.</w:t>
            </w:r>
          </w:p>
          <w:p w14:paraId="6029CE7F" w14:textId="74163F02" w:rsidR="0010704C" w:rsidRDefault="00C05345" w:rsidP="008257FE">
            <w:pPr>
              <w:pStyle w:val="BoxText"/>
            </w:pPr>
            <w:r>
              <w:t xml:space="preserve">Before offering </w:t>
            </w:r>
            <w:proofErr w:type="spellStart"/>
            <w:r>
              <w:t>A+Plus</w:t>
            </w:r>
            <w:proofErr w:type="spellEnd"/>
            <w:r>
              <w:t xml:space="preserve"> to Felicity, the trustee </w:t>
            </w:r>
            <w:r w:rsidR="008257FE">
              <w:t>could not</w:t>
            </w:r>
            <w:r>
              <w:t xml:space="preserve"> replace the balanced investment ABP with a conservative investment ABP to reflect Felicity’s investment choice in the accumulation phase. Similarly, the </w:t>
            </w:r>
            <w:r w:rsidR="00A70BC2">
              <w:t>t</w:t>
            </w:r>
            <w:r>
              <w:t>rustee could</w:t>
            </w:r>
            <w:r w:rsidR="00A70BC2">
              <w:t xml:space="preserve"> </w:t>
            </w:r>
            <w:r w:rsidR="00F35B4A">
              <w:t xml:space="preserve">not </w:t>
            </w:r>
            <w:r w:rsidR="00A70BC2">
              <w:t>change the deferral period on the</w:t>
            </w:r>
            <w:r>
              <w:t xml:space="preserve"> DLA to </w:t>
            </w:r>
            <w:r w:rsidR="00A70BC2">
              <w:t>commence at age 90</w:t>
            </w:r>
            <w:r>
              <w:t xml:space="preserve"> and suggest Felicity rely on the ABP for a longer period. Changing either the underlying investment strategy (from balanced to conservative) or the strategy to manage longevity risk (through </w:t>
            </w:r>
            <w:r w:rsidR="00A70BC2">
              <w:t>delaying the commencement of</w:t>
            </w:r>
            <w:r>
              <w:t xml:space="preserve"> the DLA) would mean the product is a different CIPR or retirement income product. However, the trustee could offer either of these changes through personal financial advice or at Felicity’s request after </w:t>
            </w:r>
            <w:proofErr w:type="spellStart"/>
            <w:r>
              <w:t>A+Plus</w:t>
            </w:r>
            <w:proofErr w:type="spellEnd"/>
            <w:r>
              <w:t xml:space="preserve"> was offered to her.</w:t>
            </w:r>
          </w:p>
        </w:tc>
      </w:tr>
    </w:tbl>
    <w:p w14:paraId="15484C97" w14:textId="0B1A0BF8" w:rsidR="00242F7A" w:rsidRPr="005B20CE" w:rsidRDefault="0044012A" w:rsidP="005B20CE">
      <w:r>
        <w:t>The offer of a CIPR would be accomp</w:t>
      </w:r>
      <w:r w:rsidR="0021755B">
        <w:t>anied by appropriate disclosure</w:t>
      </w:r>
      <w:r w:rsidR="00242F7A">
        <w:t>.</w:t>
      </w:r>
      <w:r w:rsidR="006200AB">
        <w:t xml:space="preserve"> </w:t>
      </w:r>
      <w:r w:rsidR="0021755B">
        <w:t xml:space="preserve">CIPRs </w:t>
      </w:r>
      <w:r w:rsidR="00F35B4A">
        <w:t xml:space="preserve">outside the flagship CIPRs offered by the fund </w:t>
      </w:r>
      <w:r w:rsidR="0021755B">
        <w:t xml:space="preserve">could be offered through </w:t>
      </w:r>
      <w:r w:rsidR="00324369">
        <w:t>personal financial</w:t>
      </w:r>
      <w:r w:rsidR="008257FE">
        <w:t xml:space="preserve"> advice, including</w:t>
      </w:r>
      <w:r w:rsidR="00324369">
        <w:t xml:space="preserve"> </w:t>
      </w:r>
      <w:r w:rsidR="00C568F6">
        <w:t>intra-fund advice.</w:t>
      </w:r>
    </w:p>
    <w:p w14:paraId="09CCD2C0" w14:textId="2E316ED1" w:rsidR="008324E5" w:rsidRPr="002C0900" w:rsidRDefault="007356D1" w:rsidP="008324E5">
      <w:pPr>
        <w:pStyle w:val="Heading4"/>
        <w:pBdr>
          <w:top w:val="single" w:sz="4" w:space="6" w:color="auto"/>
          <w:left w:val="single" w:sz="4" w:space="4" w:color="auto"/>
          <w:bottom w:val="single" w:sz="4" w:space="6" w:color="auto"/>
          <w:right w:val="single" w:sz="4" w:space="4" w:color="auto"/>
        </w:pBdr>
      </w:pPr>
      <w:r>
        <w:lastRenderedPageBreak/>
        <w:t>5</w:t>
      </w:r>
      <w:r w:rsidR="008324E5" w:rsidRPr="002C0900">
        <w:t>. Third party products</w:t>
      </w:r>
    </w:p>
    <w:p w14:paraId="11BDBE82" w14:textId="77777777" w:rsidR="008324E5" w:rsidRPr="002C0900" w:rsidRDefault="008324E5" w:rsidP="008324E5">
      <w:pPr>
        <w:pStyle w:val="Heading5"/>
        <w:pBdr>
          <w:top w:val="single" w:sz="4" w:space="6" w:color="auto"/>
          <w:left w:val="single" w:sz="4" w:space="4" w:color="auto"/>
          <w:bottom w:val="single" w:sz="4" w:space="6" w:color="auto"/>
          <w:right w:val="single" w:sz="4" w:space="4" w:color="auto"/>
        </w:pBdr>
      </w:pPr>
      <w:r w:rsidRPr="002C0900">
        <w:t>Trustees can fulfil their obligation in part or in full by using a third party.</w:t>
      </w:r>
    </w:p>
    <w:p w14:paraId="2FBBFBE2" w14:textId="463E1106" w:rsidR="003056FB" w:rsidRDefault="006D4077" w:rsidP="003056FB">
      <w:pPr>
        <w:pStyle w:val="Bullet"/>
        <w:numPr>
          <w:ilvl w:val="0"/>
          <w:numId w:val="0"/>
        </w:numPr>
        <w:ind w:left="-28"/>
      </w:pPr>
      <w:r>
        <w:t xml:space="preserve">For the avoidance of doubt, trustees </w:t>
      </w:r>
      <w:r w:rsidR="003056FB">
        <w:t>may choose to offer a CIPR that is developed and/or offered in part or in full by a third party</w:t>
      </w:r>
      <w:r>
        <w:t xml:space="preserve"> where that is in the best interests of their members</w:t>
      </w:r>
      <w:r w:rsidR="003056FB">
        <w:t>.</w:t>
      </w:r>
    </w:p>
    <w:p w14:paraId="48769FB0" w14:textId="4B83783A" w:rsidR="0077140F" w:rsidRDefault="0031480F" w:rsidP="002C0900">
      <w:pPr>
        <w:pStyle w:val="Bullet"/>
        <w:numPr>
          <w:ilvl w:val="0"/>
          <w:numId w:val="0"/>
        </w:numPr>
        <w:ind w:left="-28"/>
      </w:pPr>
      <w:r>
        <w:t xml:space="preserve">The Government understands that it may not </w:t>
      </w:r>
      <w:r w:rsidR="0077140F">
        <w:t xml:space="preserve">always </w:t>
      </w:r>
      <w:r>
        <w:t xml:space="preserve">be in the best interests of the members for trustees to develop and offer a CIPR in-house. </w:t>
      </w:r>
      <w:r w:rsidR="00B454EA">
        <w:t>It may be</w:t>
      </w:r>
      <w:r w:rsidR="0019312E">
        <w:t xml:space="preserve"> more cost effective</w:t>
      </w:r>
      <w:r w:rsidR="00D613EC">
        <w:t xml:space="preserve"> </w:t>
      </w:r>
      <w:r w:rsidR="0019312E">
        <w:t xml:space="preserve">to </w:t>
      </w:r>
      <w:r w:rsidR="00B454EA">
        <w:t>offer members a CIPR that has been developed and/or offered in part or in full by a third party</w:t>
      </w:r>
      <w:r w:rsidR="0019312E">
        <w:t>.</w:t>
      </w:r>
    </w:p>
    <w:p w14:paraId="7F587BAF" w14:textId="055321B3" w:rsidR="00EC5619" w:rsidRDefault="00FB4D22" w:rsidP="002C0900">
      <w:pPr>
        <w:pStyle w:val="Bullet"/>
        <w:numPr>
          <w:ilvl w:val="0"/>
          <w:numId w:val="0"/>
        </w:numPr>
        <w:ind w:left="-28"/>
      </w:pPr>
      <w:r>
        <w:t>T</w:t>
      </w:r>
      <w:r w:rsidR="00F35B4A">
        <w:t>r</w:t>
      </w:r>
      <w:r w:rsidR="003056FB">
        <w:t>ustees that consider it may not be in the best interests of their members to develop a CIPR in-house</w:t>
      </w:r>
      <w:r w:rsidR="00623740">
        <w:t xml:space="preserve"> should still offer</w:t>
      </w:r>
      <w:r w:rsidR="0077140F">
        <w:t xml:space="preserve"> a flagship CIPR </w:t>
      </w:r>
      <w:r w:rsidR="00623740">
        <w:t>to their members</w:t>
      </w:r>
      <w:r w:rsidR="0077140F">
        <w:t>. These members are as likely to benefit from a CIPR as members of funds that develop CIPRs in-house.</w:t>
      </w:r>
    </w:p>
    <w:p w14:paraId="314A5A89" w14:textId="0E4D3DED" w:rsidR="008324E5" w:rsidRPr="001E1E59" w:rsidRDefault="007356D1" w:rsidP="008324E5">
      <w:pPr>
        <w:pStyle w:val="Heading4"/>
        <w:pBdr>
          <w:top w:val="single" w:sz="4" w:space="6" w:color="auto"/>
          <w:left w:val="single" w:sz="4" w:space="4" w:color="auto"/>
          <w:bottom w:val="single" w:sz="4" w:space="6" w:color="auto"/>
          <w:right w:val="single" w:sz="4" w:space="4" w:color="auto"/>
        </w:pBdr>
      </w:pPr>
      <w:r>
        <w:t>6</w:t>
      </w:r>
      <w:r w:rsidR="008324E5" w:rsidRPr="001E1E59">
        <w:t>. Consent</w:t>
      </w:r>
    </w:p>
    <w:p w14:paraId="0C800C58" w14:textId="7C1123BD" w:rsidR="008324E5" w:rsidRPr="001E1E59" w:rsidRDefault="008324E5" w:rsidP="008324E5">
      <w:pPr>
        <w:pStyle w:val="Heading5"/>
        <w:pBdr>
          <w:top w:val="single" w:sz="4" w:space="6" w:color="auto"/>
          <w:left w:val="single" w:sz="4" w:space="4" w:color="auto"/>
          <w:bottom w:val="single" w:sz="4" w:space="6" w:color="auto"/>
          <w:right w:val="single" w:sz="4" w:space="4" w:color="auto"/>
        </w:pBdr>
      </w:pPr>
      <w:r w:rsidRPr="001E1E59">
        <w:t>Consent should be r</w:t>
      </w:r>
      <w:r w:rsidR="00BA5AA5">
        <w:t>equired for a CIPR to commence.</w:t>
      </w:r>
    </w:p>
    <w:p w14:paraId="6E1CD0B3" w14:textId="0C07BB81" w:rsidR="0046714A" w:rsidRDefault="00601CCE" w:rsidP="00B61503">
      <w:r>
        <w:t xml:space="preserve">While trustees </w:t>
      </w:r>
      <w:r w:rsidR="00464FCD">
        <w:t>would have to</w:t>
      </w:r>
      <w:r w:rsidR="001E1E59">
        <w:t xml:space="preserve"> offer member</w:t>
      </w:r>
      <w:r>
        <w:t>s</w:t>
      </w:r>
      <w:r w:rsidR="001E1E59">
        <w:t xml:space="preserve"> a CIPR, </w:t>
      </w:r>
      <w:r>
        <w:t>the Government does not propose to require members to accept the CIPR offered. Members would need to</w:t>
      </w:r>
      <w:r w:rsidR="005B6376">
        <w:t xml:space="preserve"> explicitly</w:t>
      </w:r>
      <w:r>
        <w:t xml:space="preserve"> indicate that they were willing to accept the CIPR in order for it to commence.</w:t>
      </w:r>
    </w:p>
    <w:p w14:paraId="2C444C16" w14:textId="2B31DE04" w:rsidR="007641BD" w:rsidRDefault="005B6376" w:rsidP="007641BD">
      <w:r>
        <w:t xml:space="preserve">The Government proposes to require explicit consent of members for the CIPR to commence, consistent with the aim of providing greater freedom and choice to individuals at retirement. </w:t>
      </w:r>
      <w:r w:rsidR="006A755D">
        <w:t>E</w:t>
      </w:r>
      <w:r>
        <w:t>ach member should have the opportunity to choose the reti</w:t>
      </w:r>
      <w:r w:rsidR="006A755D">
        <w:t>rement income product they want. Nevertheless, it should not be onerous for members</w:t>
      </w:r>
      <w:r w:rsidR="00A92CF3">
        <w:t xml:space="preserve"> to accept </w:t>
      </w:r>
      <w:r w:rsidR="00623740">
        <w:t>a CIPR offered to them.</w:t>
      </w:r>
    </w:p>
    <w:p w14:paraId="6E42CDCD" w14:textId="18FB059C" w:rsidR="00B61503" w:rsidRPr="001E1E59" w:rsidRDefault="007356D1" w:rsidP="00B61503">
      <w:pPr>
        <w:pStyle w:val="Heading4"/>
        <w:pBdr>
          <w:top w:val="single" w:sz="4" w:space="6" w:color="auto"/>
          <w:left w:val="single" w:sz="4" w:space="4" w:color="auto"/>
          <w:bottom w:val="single" w:sz="4" w:space="6" w:color="auto"/>
          <w:right w:val="single" w:sz="4" w:space="4" w:color="auto"/>
        </w:pBdr>
      </w:pPr>
      <w:r>
        <w:t>7</w:t>
      </w:r>
      <w:r w:rsidR="00B61503">
        <w:t xml:space="preserve">. </w:t>
      </w:r>
      <w:r w:rsidR="002515E4">
        <w:t>O</w:t>
      </w:r>
      <w:r w:rsidR="005B6376">
        <w:t>ffering an alternat</w:t>
      </w:r>
      <w:r>
        <w:t>iv</w:t>
      </w:r>
      <w:r w:rsidR="005B6376">
        <w:t xml:space="preserve">e </w:t>
      </w:r>
      <w:r>
        <w:t>retirement income product through advice</w:t>
      </w:r>
    </w:p>
    <w:p w14:paraId="04940CDE" w14:textId="73807AC8" w:rsidR="00332C78" w:rsidRDefault="00B61503" w:rsidP="00B61503">
      <w:pPr>
        <w:pStyle w:val="Heading5"/>
        <w:pBdr>
          <w:top w:val="single" w:sz="4" w:space="6" w:color="auto"/>
          <w:left w:val="single" w:sz="4" w:space="4" w:color="auto"/>
          <w:bottom w:val="single" w:sz="4" w:space="6" w:color="auto"/>
          <w:right w:val="single" w:sz="4" w:space="4" w:color="auto"/>
        </w:pBdr>
      </w:pPr>
      <w:r w:rsidRPr="00C04251">
        <w:t xml:space="preserve">Trustees may offer an alternate CIPR or another retirement income product to a particular person or cohort of people through </w:t>
      </w:r>
      <w:r w:rsidR="00623740">
        <w:t xml:space="preserve">any form of personal financial advice, including </w:t>
      </w:r>
      <w:r w:rsidRPr="00C04251">
        <w:t xml:space="preserve">scaled </w:t>
      </w:r>
      <w:r w:rsidR="00E01486">
        <w:t xml:space="preserve">personal advice, </w:t>
      </w:r>
      <w:r w:rsidR="00BA5AA5">
        <w:t>intra-fund advice</w:t>
      </w:r>
      <w:r w:rsidR="00E01486">
        <w:t>, or full financial planning</w:t>
      </w:r>
      <w:r w:rsidR="00BA5AA5">
        <w:t>.</w:t>
      </w:r>
    </w:p>
    <w:p w14:paraId="41ED688F" w14:textId="1D86B369" w:rsidR="006809BB" w:rsidRDefault="006809BB" w:rsidP="006809BB">
      <w:r>
        <w:t>The Government recognises that the specific preferences and characteristics of an individual member may affect their optimal retirement income solution. Obtaining this personalised information about the member may result in the trustee or other advis</w:t>
      </w:r>
      <w:r w:rsidR="00375296">
        <w:t>e</w:t>
      </w:r>
      <w:r>
        <w:t>r being able to offer better or more tailored retirement income products.</w:t>
      </w:r>
    </w:p>
    <w:p w14:paraId="5AAB4788" w14:textId="07ADECAC" w:rsidR="00394187" w:rsidRDefault="00F707CF" w:rsidP="00C04251">
      <w:pPr>
        <w:pStyle w:val="Bullet"/>
        <w:numPr>
          <w:ilvl w:val="0"/>
          <w:numId w:val="0"/>
        </w:numPr>
      </w:pPr>
      <w:r>
        <w:t>A</w:t>
      </w:r>
      <w:r w:rsidR="00C04251">
        <w:t xml:space="preserve"> trustee </w:t>
      </w:r>
      <w:r>
        <w:t>may use</w:t>
      </w:r>
      <w:r w:rsidR="00C04251">
        <w:t xml:space="preserve"> reliable information about a person’s circumstances</w:t>
      </w:r>
      <w:r>
        <w:t xml:space="preserve">, gathered through personal </w:t>
      </w:r>
      <w:r w:rsidR="00324369">
        <w:t xml:space="preserve">financial </w:t>
      </w:r>
      <w:r>
        <w:t>advice,</w:t>
      </w:r>
      <w:r w:rsidR="00C04251">
        <w:t xml:space="preserve"> </w:t>
      </w:r>
      <w:r>
        <w:t xml:space="preserve">to offer an alternate CIPR or other retirement income product if that product </w:t>
      </w:r>
      <w:r w:rsidR="00C04251">
        <w:t xml:space="preserve">would be </w:t>
      </w:r>
      <w:r>
        <w:t>in the best interests of the member</w:t>
      </w:r>
      <w:r w:rsidR="00F87C7B">
        <w:t>,</w:t>
      </w:r>
      <w:r>
        <w:t xml:space="preserve"> compared with the flagship CIPR</w:t>
      </w:r>
      <w:r w:rsidR="00E01486">
        <w:t xml:space="preserve"> the member would have been offered had they not received personal advice</w:t>
      </w:r>
      <w:r w:rsidR="00C04251">
        <w:t xml:space="preserve">. </w:t>
      </w:r>
    </w:p>
    <w:p w14:paraId="168CADBD" w14:textId="586CD880" w:rsidR="00F707CF" w:rsidRDefault="00394187" w:rsidP="00C04251">
      <w:pPr>
        <w:pStyle w:val="Bullet"/>
        <w:numPr>
          <w:ilvl w:val="0"/>
          <w:numId w:val="0"/>
        </w:numPr>
      </w:pPr>
      <w:r w:rsidRPr="00F23A1A">
        <w:t xml:space="preserve">If the trustee offers </w:t>
      </w:r>
      <w:r w:rsidR="005B152B" w:rsidRPr="00F23A1A">
        <w:t xml:space="preserve">the member </w:t>
      </w:r>
      <w:r w:rsidRPr="00F23A1A">
        <w:t xml:space="preserve">a product that is not a flagship CIPR, the trustee </w:t>
      </w:r>
      <w:r w:rsidR="00052678">
        <w:t>should</w:t>
      </w:r>
      <w:r w:rsidRPr="00F23A1A">
        <w:t xml:space="preserve"> </w:t>
      </w:r>
      <w:r w:rsidR="00004804" w:rsidRPr="00F23A1A">
        <w:t>ensure</w:t>
      </w:r>
      <w:r w:rsidRPr="00F23A1A">
        <w:t xml:space="preserve"> the alternative retirement income product is in the best interests of the member compared with the flagship CIPR the member would have been offered</w:t>
      </w:r>
      <w:r w:rsidR="00E01486" w:rsidRPr="00F23A1A">
        <w:t xml:space="preserve"> had they not received personal advice</w:t>
      </w:r>
      <w:r w:rsidRPr="00F23A1A">
        <w:t>.</w:t>
      </w:r>
      <w:r w:rsidR="00E43E95" w:rsidRPr="00F23A1A">
        <w:t xml:space="preserve"> </w:t>
      </w:r>
      <w:r w:rsidR="006C5192" w:rsidRPr="00F23A1A">
        <w:t xml:space="preserve">The same requirements would apply if advice </w:t>
      </w:r>
      <w:r w:rsidR="00D628E1" w:rsidRPr="00F23A1A">
        <w:t>is</w:t>
      </w:r>
      <w:r w:rsidR="006C5192" w:rsidRPr="00F23A1A">
        <w:t xml:space="preserve"> provided by an independent financial advis</w:t>
      </w:r>
      <w:r w:rsidR="00375296">
        <w:t>e</w:t>
      </w:r>
      <w:r w:rsidR="006C5192" w:rsidRPr="00F23A1A">
        <w:t>r.</w:t>
      </w:r>
    </w:p>
    <w:p w14:paraId="4004BED6" w14:textId="074D8CB7" w:rsidR="00374097" w:rsidRDefault="00374097" w:rsidP="00374097">
      <w:r>
        <w:t xml:space="preserve">Members may seek personal financial advice at any time. This advice </w:t>
      </w:r>
      <w:r w:rsidR="001E6708">
        <w:t>would</w:t>
      </w:r>
      <w:r>
        <w:t xml:space="preserve"> consider a broader range of the member’s personal circumstances than would otherwise be available to a trustee. Trustees may choose to offer scaled personal advice, intra-fund advice, or financial planning services to help direct members toward an appropriate retirement income product or to tailor a retirement income solution for that individual. </w:t>
      </w:r>
    </w:p>
    <w:p w14:paraId="50EDD210" w14:textId="7168F3E6" w:rsidR="00C04251" w:rsidRDefault="00FD0992" w:rsidP="00C04251">
      <w:r>
        <w:lastRenderedPageBreak/>
        <w:t>For example, t</w:t>
      </w:r>
      <w:r w:rsidR="00C04251">
        <w:t xml:space="preserve">he factors that a trustee </w:t>
      </w:r>
      <w:r w:rsidR="008257FE">
        <w:t xml:space="preserve">or other adviser </w:t>
      </w:r>
      <w:r w:rsidR="00C04251">
        <w:t>may take into account in assessing the suitability of an alternat</w:t>
      </w:r>
      <w:r w:rsidR="00394187">
        <w:t>ive retirement income product</w:t>
      </w:r>
      <w:r w:rsidR="00C04251">
        <w:t xml:space="preserve"> for a person </w:t>
      </w:r>
      <w:r>
        <w:t xml:space="preserve">could </w:t>
      </w:r>
      <w:r w:rsidR="00C04251">
        <w:t>include:</w:t>
      </w:r>
    </w:p>
    <w:p w14:paraId="4EA08A1A" w14:textId="0A17CD03" w:rsidR="00C04251" w:rsidRDefault="00C568F6" w:rsidP="008257FE">
      <w:pPr>
        <w:pStyle w:val="Bullet"/>
        <w:numPr>
          <w:ilvl w:val="0"/>
          <w:numId w:val="15"/>
        </w:numPr>
      </w:pPr>
      <w:r>
        <w:t>a</w:t>
      </w:r>
      <w:r w:rsidR="00C04251">
        <w:t>ge</w:t>
      </w:r>
      <w:r>
        <w:t>;</w:t>
      </w:r>
    </w:p>
    <w:p w14:paraId="7FDEDC8F" w14:textId="3CB5BA39" w:rsidR="00C04251" w:rsidRDefault="00C568F6" w:rsidP="008257FE">
      <w:pPr>
        <w:pStyle w:val="Bullet"/>
        <w:numPr>
          <w:ilvl w:val="0"/>
          <w:numId w:val="15"/>
        </w:numPr>
      </w:pPr>
      <w:r>
        <w:t>m</w:t>
      </w:r>
      <w:r w:rsidR="00C04251">
        <w:t>arital/spousal status</w:t>
      </w:r>
      <w:r>
        <w:t>;</w:t>
      </w:r>
    </w:p>
    <w:p w14:paraId="23C06757" w14:textId="272A2B12" w:rsidR="00C04251" w:rsidRDefault="00C568F6" w:rsidP="008257FE">
      <w:pPr>
        <w:pStyle w:val="Bullet"/>
        <w:numPr>
          <w:ilvl w:val="0"/>
          <w:numId w:val="15"/>
        </w:numPr>
      </w:pPr>
      <w:r>
        <w:t>f</w:t>
      </w:r>
      <w:r w:rsidR="00C04251">
        <w:t>actors affecting Age Pension eligibility</w:t>
      </w:r>
      <w:r>
        <w:t>;</w:t>
      </w:r>
    </w:p>
    <w:p w14:paraId="012B86DD" w14:textId="3809AC83" w:rsidR="00E13072" w:rsidRDefault="00C568F6" w:rsidP="008257FE">
      <w:pPr>
        <w:pStyle w:val="Bullet"/>
        <w:numPr>
          <w:ilvl w:val="0"/>
          <w:numId w:val="15"/>
        </w:numPr>
      </w:pPr>
      <w:r>
        <w:t>t</w:t>
      </w:r>
      <w:r w:rsidR="00C04251">
        <w:t>h</w:t>
      </w:r>
      <w:r>
        <w:t>at person’s express preferences;</w:t>
      </w:r>
    </w:p>
    <w:p w14:paraId="244003F1" w14:textId="3EBA7467" w:rsidR="00C04251" w:rsidRDefault="00C568F6" w:rsidP="008257FE">
      <w:pPr>
        <w:pStyle w:val="Bullet"/>
        <w:numPr>
          <w:ilvl w:val="0"/>
          <w:numId w:val="15"/>
        </w:numPr>
      </w:pPr>
      <w:r>
        <w:t>t</w:t>
      </w:r>
      <w:r w:rsidR="00C04251">
        <w:t>hat person’s health or life exp</w:t>
      </w:r>
      <w:r>
        <w:t>ectancy based on family history;</w:t>
      </w:r>
    </w:p>
    <w:p w14:paraId="46E3FAAF" w14:textId="19E07E4D" w:rsidR="00C04251" w:rsidRDefault="00C568F6" w:rsidP="008257FE">
      <w:pPr>
        <w:pStyle w:val="Bullet"/>
        <w:numPr>
          <w:ilvl w:val="0"/>
          <w:numId w:val="15"/>
        </w:numPr>
      </w:pPr>
      <w:r>
        <w:t>o</w:t>
      </w:r>
      <w:r w:rsidR="00C04251">
        <w:t>ther superannuation accounts</w:t>
      </w:r>
      <w:r>
        <w:t>;</w:t>
      </w:r>
    </w:p>
    <w:p w14:paraId="3314E604" w14:textId="1C2F055B" w:rsidR="00C04251" w:rsidRDefault="00C568F6" w:rsidP="008257FE">
      <w:pPr>
        <w:pStyle w:val="Bullet"/>
        <w:numPr>
          <w:ilvl w:val="0"/>
          <w:numId w:val="15"/>
        </w:numPr>
      </w:pPr>
      <w:r>
        <w:t>o</w:t>
      </w:r>
      <w:r w:rsidR="00C04251">
        <w:t>utstanding debts</w:t>
      </w:r>
      <w:r>
        <w:t>; and</w:t>
      </w:r>
    </w:p>
    <w:p w14:paraId="6BE7E9B2" w14:textId="1C988D79" w:rsidR="00E13072" w:rsidRPr="00131EE0" w:rsidRDefault="00C568F6" w:rsidP="008257FE">
      <w:pPr>
        <w:pStyle w:val="Bullet"/>
        <w:numPr>
          <w:ilvl w:val="0"/>
          <w:numId w:val="15"/>
        </w:numPr>
      </w:pPr>
      <w:proofErr w:type="gramStart"/>
      <w:r>
        <w:t>o</w:t>
      </w:r>
      <w:r w:rsidR="00E13072" w:rsidRPr="00131EE0">
        <w:t>ther</w:t>
      </w:r>
      <w:proofErr w:type="gramEnd"/>
      <w:r w:rsidR="00E13072" w:rsidRPr="00131EE0">
        <w:t xml:space="preserve"> factors that are directly relevant to the choice between </w:t>
      </w:r>
      <w:r w:rsidR="00FD0992" w:rsidRPr="00FD0992">
        <w:t>alternative</w:t>
      </w:r>
      <w:r w:rsidR="00E13072" w:rsidRPr="00131EE0">
        <w:t xml:space="preserve"> products</w:t>
      </w:r>
      <w:r>
        <w:t>.</w:t>
      </w:r>
    </w:p>
    <w:p w14:paraId="1627D080" w14:textId="5DBAC654" w:rsidR="007356D1" w:rsidRPr="00131EE0" w:rsidRDefault="00FD0992" w:rsidP="00746DEC">
      <w:r>
        <w:t xml:space="preserve">To support </w:t>
      </w:r>
      <w:r w:rsidR="00D2705A">
        <w:t>trustees guiding members into products that are better suited to the member’s circumstances</w:t>
      </w:r>
      <w:r>
        <w:t xml:space="preserve">, regulations </w:t>
      </w:r>
      <w:r w:rsidR="00996EE7">
        <w:t>would</w:t>
      </w:r>
      <w:r>
        <w:t xml:space="preserve"> </w:t>
      </w:r>
      <w:r w:rsidR="00324369">
        <w:t xml:space="preserve">clarify </w:t>
      </w:r>
      <w:r>
        <w:t xml:space="preserve">a limited range of factors </w:t>
      </w:r>
      <w:r w:rsidR="00D2705A">
        <w:t xml:space="preserve">that </w:t>
      </w:r>
      <w:r w:rsidR="00324369">
        <w:t>are</w:t>
      </w:r>
      <w:r w:rsidR="002515E4" w:rsidRPr="00131EE0">
        <w:t xml:space="preserve"> classified as scaled </w:t>
      </w:r>
      <w:r w:rsidR="00394187" w:rsidRPr="00131EE0">
        <w:t xml:space="preserve">personal advice or </w:t>
      </w:r>
      <w:r w:rsidR="002515E4" w:rsidRPr="00131EE0">
        <w:t>intra-fund advice</w:t>
      </w:r>
      <w:r w:rsidR="00324369">
        <w:t xml:space="preserve">. Trustees </w:t>
      </w:r>
      <w:r w:rsidR="00996EE7">
        <w:t>would</w:t>
      </w:r>
      <w:r w:rsidR="00324369">
        <w:t xml:space="preserve"> be able to </w:t>
      </w:r>
      <w:r>
        <w:t xml:space="preserve">recommend an </w:t>
      </w:r>
      <w:r w:rsidR="00D2705A">
        <w:t>alternative</w:t>
      </w:r>
      <w:r w:rsidR="00394187" w:rsidRPr="00131EE0">
        <w:t xml:space="preserve"> retirement income product </w:t>
      </w:r>
      <w:r w:rsidR="00324369">
        <w:t>to</w:t>
      </w:r>
      <w:r w:rsidR="00394187" w:rsidRPr="00131EE0">
        <w:t xml:space="preserve"> a member or cohort of members </w:t>
      </w:r>
      <w:r w:rsidR="00324369">
        <w:t>based on th</w:t>
      </w:r>
      <w:r w:rsidR="00324369" w:rsidRPr="00E64CB7">
        <w:t>ese factors</w:t>
      </w:r>
      <w:r w:rsidRPr="00E64CB7">
        <w:t>.</w:t>
      </w:r>
      <w:r w:rsidR="005E2130">
        <w:t xml:space="preserve"> </w:t>
      </w:r>
      <w:r w:rsidRPr="00B454EA">
        <w:t>Provided</w:t>
      </w:r>
      <w:r w:rsidR="00394187" w:rsidRPr="00B454EA">
        <w:t xml:space="preserve"> all other regulatory requirements </w:t>
      </w:r>
      <w:r w:rsidR="00E43E95" w:rsidRPr="00B454EA">
        <w:t xml:space="preserve">related to providing </w:t>
      </w:r>
      <w:r w:rsidR="00324369" w:rsidRPr="00B454EA">
        <w:t xml:space="preserve">personal </w:t>
      </w:r>
      <w:r w:rsidR="00E43E95" w:rsidRPr="00B454EA">
        <w:t xml:space="preserve">financial advice </w:t>
      </w:r>
      <w:r w:rsidR="00394187" w:rsidRPr="00B454EA">
        <w:t>were met</w:t>
      </w:r>
      <w:r w:rsidRPr="00B454EA">
        <w:t xml:space="preserve">, trustees </w:t>
      </w:r>
      <w:r w:rsidR="00D2705A" w:rsidRPr="00B454EA">
        <w:t xml:space="preserve">could rely on </w:t>
      </w:r>
      <w:r w:rsidR="002515E4" w:rsidRPr="00B454EA">
        <w:t>the relevant safe harbour (s</w:t>
      </w:r>
      <w:r w:rsidR="00C568F6" w:rsidRPr="00B454EA">
        <w:t xml:space="preserve"> </w:t>
      </w:r>
      <w:proofErr w:type="gramStart"/>
      <w:r w:rsidR="002515E4" w:rsidRPr="00B454EA">
        <w:t>961B(</w:t>
      </w:r>
      <w:proofErr w:type="gramEnd"/>
      <w:r w:rsidR="002515E4" w:rsidRPr="00B454EA">
        <w:t xml:space="preserve">2) of the </w:t>
      </w:r>
      <w:r w:rsidR="002515E4" w:rsidRPr="00B454EA">
        <w:rPr>
          <w:i/>
        </w:rPr>
        <w:t>Corporations Act 2001</w:t>
      </w:r>
      <w:r w:rsidR="002515E4" w:rsidRPr="00B454EA">
        <w:t>)</w:t>
      </w:r>
      <w:r w:rsidRPr="00B454EA">
        <w:t>.</w:t>
      </w:r>
    </w:p>
    <w:p w14:paraId="2CBE7796" w14:textId="7B03FE75" w:rsidR="00B61503" w:rsidRDefault="007356D1" w:rsidP="00B61503">
      <w:pPr>
        <w:pStyle w:val="Heading4"/>
        <w:pBdr>
          <w:top w:val="single" w:sz="4" w:space="6" w:color="auto"/>
          <w:left w:val="single" w:sz="4" w:space="4" w:color="auto"/>
          <w:bottom w:val="single" w:sz="4" w:space="6" w:color="auto"/>
          <w:right w:val="single" w:sz="4" w:space="4" w:color="auto"/>
        </w:pBdr>
      </w:pPr>
      <w:r>
        <w:t>8</w:t>
      </w:r>
      <w:r w:rsidR="00B61503" w:rsidRPr="00C04251">
        <w:t xml:space="preserve">. Exception for individuals for whom CIPRs are unsuitable </w:t>
      </w:r>
    </w:p>
    <w:p w14:paraId="21FE8E36" w14:textId="77777777" w:rsidR="00B61503" w:rsidRPr="00C04251" w:rsidRDefault="00B61503" w:rsidP="00B61503">
      <w:pPr>
        <w:pStyle w:val="Heading5"/>
        <w:pBdr>
          <w:top w:val="single" w:sz="4" w:space="6" w:color="auto"/>
          <w:left w:val="single" w:sz="4" w:space="4" w:color="auto"/>
          <w:bottom w:val="single" w:sz="4" w:space="6" w:color="auto"/>
          <w:right w:val="single" w:sz="4" w:space="4" w:color="auto"/>
        </w:pBdr>
      </w:pPr>
      <w:r w:rsidRPr="00C04251">
        <w:t xml:space="preserve">Trustees may choose not to offer a CIPR </w:t>
      </w:r>
      <w:r w:rsidRPr="00C04251">
        <w:rPr>
          <w:i/>
        </w:rPr>
        <w:t>at all</w:t>
      </w:r>
      <w:r w:rsidRPr="00C04251">
        <w:t xml:space="preserve"> to a </w:t>
      </w:r>
      <w:r w:rsidRPr="00C04251">
        <w:rPr>
          <w:u w:val="single"/>
        </w:rPr>
        <w:t>particular person</w:t>
      </w:r>
      <w:r w:rsidRPr="00C04251">
        <w:t xml:space="preserve"> if the trustee has reliable information that a CIPR would not suit that person.</w:t>
      </w:r>
    </w:p>
    <w:p w14:paraId="06510388" w14:textId="5E5C9FA7" w:rsidR="00C04251" w:rsidRDefault="00C04251" w:rsidP="00C04251">
      <w:r>
        <w:t>Only if the trustee has reliable information that a CIPR would be unsuitable for a person may they choose not to offer a CIPR. The decision not to offer a CIPR</w:t>
      </w:r>
      <w:r w:rsidR="00374097">
        <w:t xml:space="preserve"> in the following circumstances</w:t>
      </w:r>
      <w:r>
        <w:t xml:space="preserve"> would not be considered to be personal </w:t>
      </w:r>
      <w:r w:rsidR="007F2123">
        <w:t xml:space="preserve">financial </w:t>
      </w:r>
      <w:r>
        <w:t>advice:</w:t>
      </w:r>
    </w:p>
    <w:p w14:paraId="6D013971" w14:textId="614BB46B" w:rsidR="00C04251" w:rsidRDefault="002C108A" w:rsidP="008257FE">
      <w:pPr>
        <w:pStyle w:val="Bullet"/>
        <w:numPr>
          <w:ilvl w:val="0"/>
          <w:numId w:val="15"/>
        </w:numPr>
      </w:pPr>
      <w:r>
        <w:t>k</w:t>
      </w:r>
      <w:r w:rsidR="00C04251">
        <w:t>nowledge that the person has a life</w:t>
      </w:r>
      <w:r w:rsidR="00C568F6">
        <w:t>-</w:t>
      </w:r>
      <w:r w:rsidR="00C04251">
        <w:t>threatening or terminal illness; or</w:t>
      </w:r>
    </w:p>
    <w:p w14:paraId="6305975D" w14:textId="3B4E1BD9" w:rsidR="00C04251" w:rsidRDefault="002C108A" w:rsidP="00C04251">
      <w:pPr>
        <w:pStyle w:val="Bullet"/>
        <w:numPr>
          <w:ilvl w:val="0"/>
          <w:numId w:val="15"/>
        </w:numPr>
        <w:spacing w:after="0"/>
      </w:pPr>
      <w:proofErr w:type="gramStart"/>
      <w:r>
        <w:t>k</w:t>
      </w:r>
      <w:r w:rsidR="00C04251">
        <w:t>nowledge</w:t>
      </w:r>
      <w:proofErr w:type="gramEnd"/>
      <w:r w:rsidR="00C04251">
        <w:t xml:space="preserve"> t</w:t>
      </w:r>
      <w:r w:rsidR="007F2123">
        <w:t xml:space="preserve">hat the person has </w:t>
      </w:r>
      <w:r w:rsidR="007F2123" w:rsidRPr="00B8740A">
        <w:t>less than $</w:t>
      </w:r>
      <w:r w:rsidR="004E1EB5" w:rsidRPr="00B8740A">
        <w:t>5</w:t>
      </w:r>
      <w:r w:rsidR="007F2123" w:rsidRPr="00B8740A">
        <w:t>0</w:t>
      </w:r>
      <w:r w:rsidR="00C04251" w:rsidRPr="00B8740A">
        <w:t>,000 in superannuation</w:t>
      </w:r>
      <w:r w:rsidR="00C04251">
        <w:t xml:space="preserve"> assets</w:t>
      </w:r>
      <w:r w:rsidR="00E43E95">
        <w:t xml:space="preserve"> in that fund</w:t>
      </w:r>
      <w:r w:rsidR="00C04251">
        <w:t>.</w:t>
      </w:r>
    </w:p>
    <w:p w14:paraId="0CE12B94" w14:textId="73ABEC27" w:rsidR="00C04251" w:rsidRDefault="004E1EB5" w:rsidP="005B6376">
      <w:r>
        <w:t>A</w:t>
      </w:r>
      <w:r w:rsidR="007F2123">
        <w:t xml:space="preserve"> CIPR </w:t>
      </w:r>
      <w:r w:rsidR="00996EE7">
        <w:t>would</w:t>
      </w:r>
      <w:r>
        <w:t xml:space="preserve"> </w:t>
      </w:r>
      <w:r w:rsidR="00374097">
        <w:t>most likely</w:t>
      </w:r>
      <w:r>
        <w:t xml:space="preserve"> not be in the best interests of a person who has a terminal </w:t>
      </w:r>
      <w:r w:rsidR="001E6708">
        <w:t>or</w:t>
      </w:r>
      <w:r w:rsidR="00374097">
        <w:t xml:space="preserve"> </w:t>
      </w:r>
      <w:r>
        <w:t>life</w:t>
      </w:r>
      <w:r w:rsidR="00C568F6">
        <w:noBreakHyphen/>
      </w:r>
      <w:r>
        <w:t>threatening</w:t>
      </w:r>
      <w:r w:rsidR="00374097">
        <w:t xml:space="preserve"> illness</w:t>
      </w:r>
      <w:r>
        <w:t xml:space="preserve">. This is because people who have </w:t>
      </w:r>
      <w:r w:rsidR="007F2123">
        <w:t>a life</w:t>
      </w:r>
      <w:r w:rsidR="00557E68">
        <w:noBreakHyphen/>
      </w:r>
      <w:r w:rsidR="007F2123">
        <w:t>threatening or terminal illness</w:t>
      </w:r>
      <w:r w:rsidR="001C6B18">
        <w:t xml:space="preserve"> are unlikely to have the same</w:t>
      </w:r>
      <w:r>
        <w:t xml:space="preserve"> need for longevity protection</w:t>
      </w:r>
      <w:r w:rsidR="001C6B18">
        <w:t xml:space="preserve"> if they have a short</w:t>
      </w:r>
      <w:r w:rsidR="00D932B5">
        <w:t xml:space="preserve"> life expectancy</w:t>
      </w:r>
      <w:r>
        <w:t>.</w:t>
      </w:r>
      <w:r w:rsidR="001C6B18">
        <w:t xml:space="preserve"> </w:t>
      </w:r>
      <w:r w:rsidR="007164ED">
        <w:t xml:space="preserve">However, this would not </w:t>
      </w:r>
      <w:r w:rsidR="001C6B18">
        <w:t>preclude funds f</w:t>
      </w:r>
      <w:r w:rsidR="00131EE0">
        <w:t>rom offering CIPRs that include</w:t>
      </w:r>
      <w:r w:rsidR="001C6B18">
        <w:t xml:space="preserve"> an impaired </w:t>
      </w:r>
      <w:r w:rsidR="00D031D8">
        <w:t>pooled lifetime income</w:t>
      </w:r>
      <w:r w:rsidR="001C6B18">
        <w:t xml:space="preserve"> product</w:t>
      </w:r>
      <w:r w:rsidR="00B3032F">
        <w:t>.</w:t>
      </w:r>
      <w:r>
        <w:t xml:space="preserve"> </w:t>
      </w:r>
    </w:p>
    <w:p w14:paraId="324D331E" w14:textId="1DF097C9" w:rsidR="004E1EB5" w:rsidRDefault="004E1EB5" w:rsidP="005B6376">
      <w:r>
        <w:t>The Government also understands that a CIPR may have limited benefit to someone with a very low superannuation balance. In this case, the costs associated with the administ</w:t>
      </w:r>
      <w:r w:rsidR="00F707CF">
        <w:t xml:space="preserve">ration of the CIPR </w:t>
      </w:r>
      <w:r w:rsidR="00B8740A">
        <w:t xml:space="preserve">and the need for flexibility </w:t>
      </w:r>
      <w:r w:rsidR="00F707CF">
        <w:t>may outweigh the additional</w:t>
      </w:r>
      <w:r w:rsidR="00374097">
        <w:t xml:space="preserve"> income</w:t>
      </w:r>
      <w:r w:rsidR="00F707CF">
        <w:t xml:space="preserve"> benefits the CIPR could deliver</w:t>
      </w:r>
      <w:r w:rsidR="00374097">
        <w:t xml:space="preserve"> and the Age Pension is likely to provide sufficient longevity protection</w:t>
      </w:r>
      <w:r w:rsidR="00F707CF">
        <w:t>.</w:t>
      </w:r>
    </w:p>
    <w:p w14:paraId="3BADDF39" w14:textId="77777777" w:rsidR="00B61503" w:rsidRDefault="00B61503">
      <w:pPr>
        <w:spacing w:before="0" w:after="160" w:line="259" w:lineRule="auto"/>
        <w:rPr>
          <w:rFonts w:cs="Arial"/>
          <w:iCs/>
          <w:color w:val="004A7F"/>
          <w:kern w:val="32"/>
          <w:sz w:val="36"/>
          <w:szCs w:val="28"/>
        </w:rPr>
      </w:pPr>
      <w:r>
        <w:rPr>
          <w:rFonts w:cs="Arial"/>
          <w:iCs/>
          <w:color w:val="004A7F"/>
          <w:kern w:val="32"/>
          <w:sz w:val="36"/>
          <w:szCs w:val="28"/>
        </w:rPr>
        <w:br w:type="page"/>
      </w:r>
    </w:p>
    <w:p w14:paraId="28CECD23" w14:textId="75ACE32C" w:rsidR="00B61503" w:rsidRDefault="00332C78" w:rsidP="007641BD">
      <w:pPr>
        <w:pStyle w:val="Heading1"/>
      </w:pPr>
      <w:bookmarkStart w:id="22" w:name="_Toc511916784"/>
      <w:bookmarkStart w:id="23" w:name="_Toc513718253"/>
      <w:r>
        <w:lastRenderedPageBreak/>
        <w:t>Future considerations</w:t>
      </w:r>
      <w:bookmarkEnd w:id="22"/>
      <w:bookmarkEnd w:id="23"/>
    </w:p>
    <w:p w14:paraId="4C5065D5" w14:textId="1560E42E" w:rsidR="007641BD" w:rsidRPr="007641BD" w:rsidRDefault="007641BD" w:rsidP="007641BD">
      <w:r>
        <w:t xml:space="preserve">The following additional principles related to the retirement income covenant </w:t>
      </w:r>
      <w:r w:rsidR="008D08B1">
        <w:t xml:space="preserve">were </w:t>
      </w:r>
      <w:r>
        <w:t>identified</w:t>
      </w:r>
      <w:r w:rsidR="008D08B1">
        <w:t xml:space="preserve"> by the advisory group</w:t>
      </w:r>
      <w:r>
        <w:t>, but will be fully explored and developed as part of the future work on the regulatory framework.</w:t>
      </w:r>
      <w:r w:rsidR="008D08B1">
        <w:t xml:space="preserve"> However, areas of future work will not be limited to these issues.</w:t>
      </w:r>
    </w:p>
    <w:p w14:paraId="7274131F" w14:textId="4A95C8BC" w:rsidR="00B61503" w:rsidRDefault="00B61503" w:rsidP="00B61503">
      <w:pPr>
        <w:pStyle w:val="Heading4"/>
        <w:pBdr>
          <w:top w:val="single" w:sz="4" w:space="6" w:color="auto"/>
          <w:left w:val="single" w:sz="4" w:space="4" w:color="auto"/>
          <w:bottom w:val="single" w:sz="4" w:space="6" w:color="auto"/>
          <w:right w:val="single" w:sz="4" w:space="4" w:color="auto"/>
        </w:pBdr>
      </w:pPr>
      <w:r>
        <w:t>Lifetime engagement</w:t>
      </w:r>
    </w:p>
    <w:p w14:paraId="2CECE318" w14:textId="6A0E7EC0" w:rsidR="00B61503" w:rsidRDefault="00B61503" w:rsidP="00B61503">
      <w:pPr>
        <w:pStyle w:val="Heading5"/>
        <w:pBdr>
          <w:top w:val="single" w:sz="4" w:space="6" w:color="auto"/>
          <w:left w:val="single" w:sz="4" w:space="4" w:color="auto"/>
          <w:bottom w:val="single" w:sz="4" w:space="6" w:color="auto"/>
          <w:right w:val="single" w:sz="4" w:space="4" w:color="auto"/>
        </w:pBdr>
      </w:pPr>
      <w:r>
        <w:t>Trustees should engage with members about retirement early (from the point of joining the fund onwards) and continue to engage on an ongoing basis.</w:t>
      </w:r>
    </w:p>
    <w:p w14:paraId="344581B2" w14:textId="79BAACE2" w:rsidR="00B61503" w:rsidRDefault="00B61503" w:rsidP="00B61503">
      <w:r>
        <w:t xml:space="preserve">The </w:t>
      </w:r>
      <w:r w:rsidR="00E1515A">
        <w:t>retirement income</w:t>
      </w:r>
      <w:r>
        <w:t xml:space="preserve"> framework should encourage trustees to engage with members from the point at which they enter the fund until the account has expired. This engagement could include providing generic retirement income information</w:t>
      </w:r>
      <w:r w:rsidR="009420BA">
        <w:t xml:space="preserve"> (including retirement income projections)</w:t>
      </w:r>
      <w:r>
        <w:t xml:space="preserve"> on an ongoing basis.</w:t>
      </w:r>
    </w:p>
    <w:p w14:paraId="698D57D0" w14:textId="602C8500" w:rsidR="00B61503" w:rsidRDefault="007641BD" w:rsidP="00B61503">
      <w:r>
        <w:t xml:space="preserve">Ongoing engagement would be </w:t>
      </w:r>
      <w:r w:rsidR="00B61503">
        <w:t xml:space="preserve">expected to improve retirement income outcomes by ensuring members are better prepared for retirement and </w:t>
      </w:r>
      <w:r w:rsidR="00BA5AA5">
        <w:t>understand the range</w:t>
      </w:r>
      <w:r w:rsidR="00B61503">
        <w:t xml:space="preserve"> of different product </w:t>
      </w:r>
      <w:r w:rsidR="00D932B5">
        <w:t>options</w:t>
      </w:r>
      <w:r w:rsidR="00B61503">
        <w:t xml:space="preserve"> that are available to help them make the best use of their superannuation in retirement.</w:t>
      </w:r>
      <w:r w:rsidR="00D932B5">
        <w:t xml:space="preserve"> Improved engagement would also help trustees to better understand their members, leading to improved member services.</w:t>
      </w:r>
    </w:p>
    <w:p w14:paraId="15FF44DC" w14:textId="2AE9134A" w:rsidR="00B61503" w:rsidRDefault="00B61503" w:rsidP="00B61503">
      <w:pPr>
        <w:pStyle w:val="Heading4"/>
        <w:pBdr>
          <w:top w:val="single" w:sz="4" w:space="6" w:color="auto"/>
          <w:left w:val="single" w:sz="4" w:space="4" w:color="auto"/>
          <w:bottom w:val="single" w:sz="4" w:space="6" w:color="auto"/>
          <w:right w:val="single" w:sz="4" w:space="4" w:color="auto"/>
        </w:pBdr>
        <w:rPr>
          <w:szCs w:val="22"/>
        </w:rPr>
      </w:pPr>
      <w:r>
        <w:t>Legacy products</w:t>
      </w:r>
    </w:p>
    <w:p w14:paraId="7D015CB2" w14:textId="2B15BB4D" w:rsidR="00B61503" w:rsidRDefault="00B61503" w:rsidP="00B61503">
      <w:pPr>
        <w:pStyle w:val="Heading5"/>
        <w:pBdr>
          <w:top w:val="single" w:sz="4" w:space="6" w:color="auto"/>
          <w:left w:val="single" w:sz="4" w:space="4" w:color="auto"/>
          <w:bottom w:val="single" w:sz="4" w:space="6" w:color="auto"/>
          <w:right w:val="single" w:sz="4" w:space="4" w:color="auto"/>
        </w:pBdr>
      </w:pPr>
      <w:r>
        <w:t xml:space="preserve">An approach for managing legacy </w:t>
      </w:r>
      <w:r w:rsidR="00E1515A">
        <w:t xml:space="preserve">retirement income </w:t>
      </w:r>
      <w:r>
        <w:t xml:space="preserve">products and issues related to </w:t>
      </w:r>
      <w:r w:rsidR="00D932B5">
        <w:t xml:space="preserve">these </w:t>
      </w:r>
      <w:r>
        <w:t>legacy products shoul</w:t>
      </w:r>
      <w:r w:rsidR="00CC24C5">
        <w:t>d form</w:t>
      </w:r>
      <w:r>
        <w:t xml:space="preserve"> part of the framework.</w:t>
      </w:r>
    </w:p>
    <w:p w14:paraId="36567CC1" w14:textId="4AEDAA83" w:rsidR="00AF3D4A" w:rsidRDefault="00AF3D4A" w:rsidP="00AF3D4A">
      <w:r>
        <w:t xml:space="preserve">Treasury should work with regulators (ASIC and APRA) to ensure the legislative and regulatory frameworks include provisions about how legacy </w:t>
      </w:r>
      <w:r w:rsidR="00E1515A">
        <w:t>retirement income</w:t>
      </w:r>
      <w:r>
        <w:t xml:space="preserve"> products should be managed.</w:t>
      </w:r>
      <w:r w:rsidR="007641BD" w:rsidRPr="007641BD">
        <w:t xml:space="preserve"> </w:t>
      </w:r>
    </w:p>
    <w:p w14:paraId="2EFCBEC6" w14:textId="4FC760A6" w:rsidR="00AF3D4A" w:rsidRDefault="00AF3D4A" w:rsidP="00AF3D4A">
      <w:r>
        <w:t xml:space="preserve">Once those frameworks are established, any new </w:t>
      </w:r>
      <w:r w:rsidR="008D08B1">
        <w:t xml:space="preserve">retirement income </w:t>
      </w:r>
      <w:r>
        <w:t xml:space="preserve">products </w:t>
      </w:r>
      <w:r w:rsidR="007641BD">
        <w:t xml:space="preserve">should be required to </w:t>
      </w:r>
      <w:r>
        <w:t xml:space="preserve">incorporate </w:t>
      </w:r>
      <w:r w:rsidR="007641BD">
        <w:t xml:space="preserve">a plan </w:t>
      </w:r>
      <w:r>
        <w:t xml:space="preserve">for how </w:t>
      </w:r>
      <w:r w:rsidR="007641BD">
        <w:t>the product</w:t>
      </w:r>
      <w:r>
        <w:t xml:space="preserve"> would be treated should the</w:t>
      </w:r>
      <w:r w:rsidR="009F7EC1">
        <w:t xml:space="preserve"> product prove to be </w:t>
      </w:r>
      <w:r w:rsidR="00E23574">
        <w:t>un</w:t>
      </w:r>
      <w:r w:rsidR="009F7EC1">
        <w:t>viable or if</w:t>
      </w:r>
      <w:r>
        <w:t xml:space="preserve"> </w:t>
      </w:r>
      <w:r w:rsidR="009F7EC1">
        <w:t xml:space="preserve">the </w:t>
      </w:r>
      <w:r>
        <w:t xml:space="preserve">fund itself </w:t>
      </w:r>
      <w:r w:rsidR="009F7EC1">
        <w:t xml:space="preserve">is </w:t>
      </w:r>
      <w:r>
        <w:t>wound up or rolled into another fund.</w:t>
      </w:r>
    </w:p>
    <w:p w14:paraId="214E3AC2" w14:textId="4A7572F2" w:rsidR="00E23574" w:rsidRDefault="008D08B1" w:rsidP="00AF3D4A">
      <w:r>
        <w:t xml:space="preserve">A clear plan for retirement income </w:t>
      </w:r>
      <w:r w:rsidR="00E23574">
        <w:t xml:space="preserve">products is important to </w:t>
      </w:r>
      <w:r w:rsidR="00E56495">
        <w:t>both protect consumers and minimise complexity and costs ultimately born</w:t>
      </w:r>
      <w:r w:rsidR="00C77665">
        <w:t>e</w:t>
      </w:r>
      <w:r w:rsidR="00E56495">
        <w:t xml:space="preserve"> by members.</w:t>
      </w:r>
    </w:p>
    <w:p w14:paraId="79DB802A" w14:textId="22B41206" w:rsidR="00B61503" w:rsidRDefault="00B61503" w:rsidP="00B61503">
      <w:pPr>
        <w:pStyle w:val="Heading4"/>
        <w:pBdr>
          <w:top w:val="single" w:sz="4" w:space="6" w:color="auto"/>
          <w:left w:val="single" w:sz="4" w:space="4" w:color="auto"/>
          <w:bottom w:val="single" w:sz="4" w:space="6" w:color="auto"/>
          <w:right w:val="single" w:sz="4" w:space="4" w:color="auto"/>
        </w:pBdr>
        <w:rPr>
          <w:szCs w:val="22"/>
        </w:rPr>
      </w:pPr>
      <w:r>
        <w:t xml:space="preserve">Safe </w:t>
      </w:r>
      <w:r w:rsidR="00557E68">
        <w:t>h</w:t>
      </w:r>
      <w:r>
        <w:t>arbour</w:t>
      </w:r>
    </w:p>
    <w:p w14:paraId="74D0D75F" w14:textId="0256FB0F" w:rsidR="00B61503" w:rsidRDefault="00050532" w:rsidP="00B61503">
      <w:pPr>
        <w:pStyle w:val="Heading5"/>
        <w:pBdr>
          <w:top w:val="single" w:sz="4" w:space="6" w:color="auto"/>
          <w:left w:val="single" w:sz="4" w:space="4" w:color="auto"/>
          <w:bottom w:val="single" w:sz="4" w:space="6" w:color="auto"/>
          <w:right w:val="single" w:sz="4" w:space="4" w:color="auto"/>
        </w:pBdr>
      </w:pPr>
      <w:r>
        <w:t xml:space="preserve">Trustees could qualify for a </w:t>
      </w:r>
      <w:r w:rsidR="00B61503">
        <w:t>safe harbour</w:t>
      </w:r>
      <w:r>
        <w:t>,</w:t>
      </w:r>
      <w:r w:rsidR="00B61503">
        <w:t xml:space="preserve"> in limited circumstances</w:t>
      </w:r>
      <w:r>
        <w:t>,</w:t>
      </w:r>
      <w:r w:rsidR="00B61503">
        <w:t xml:space="preserve"> provided the</w:t>
      </w:r>
      <w:r>
        <w:t>y act diligently and comply</w:t>
      </w:r>
      <w:r w:rsidR="00B61503">
        <w:t xml:space="preserve"> with all relevant legal obligations in designing and offering a CIPR. </w:t>
      </w:r>
    </w:p>
    <w:p w14:paraId="5C1A8A3A" w14:textId="50FF0C98" w:rsidR="00AF3D4A" w:rsidRPr="00AB524A" w:rsidRDefault="00050532" w:rsidP="008D08B1">
      <w:pPr>
        <w:pStyle w:val="Bullet"/>
        <w:numPr>
          <w:ilvl w:val="0"/>
          <w:numId w:val="0"/>
        </w:numPr>
      </w:pPr>
      <w:r>
        <w:t>T</w:t>
      </w:r>
      <w:r w:rsidR="00AF3D4A">
        <w:t xml:space="preserve">he framework </w:t>
      </w:r>
      <w:r w:rsidR="009F7EC1">
        <w:t>c</w:t>
      </w:r>
      <w:r w:rsidR="00557E68">
        <w:t xml:space="preserve">ould provide a </w:t>
      </w:r>
      <w:r w:rsidR="00AF3D4A">
        <w:t xml:space="preserve">safe harbour in the form of a statutory defence to claims for loss or damage arising from the design, offer and ongoing management of a CIPR provided that various regulatory requirements </w:t>
      </w:r>
      <w:r w:rsidR="009F7EC1">
        <w:t>were</w:t>
      </w:r>
      <w:r w:rsidR="00AF3D4A">
        <w:t xml:space="preserve"> met. </w:t>
      </w:r>
      <w:r w:rsidR="009F7EC1">
        <w:t>The</w:t>
      </w:r>
      <w:r w:rsidR="00AF3D4A">
        <w:t xml:space="preserve"> safe harbour would not exempt trustees</w:t>
      </w:r>
      <w:r w:rsidR="008257FE">
        <w:t xml:space="preserve"> or advisers</w:t>
      </w:r>
      <w:r w:rsidR="00AF3D4A">
        <w:t xml:space="preserve"> from </w:t>
      </w:r>
      <w:r w:rsidR="00AF3D4A" w:rsidRPr="00AB524A">
        <w:t>their obligations to act in the best interests of a particular member in</w:t>
      </w:r>
      <w:r w:rsidR="009F7EC1" w:rsidRPr="00AB524A">
        <w:t xml:space="preserve"> relation to </w:t>
      </w:r>
      <w:r w:rsidR="00B01D7A">
        <w:t xml:space="preserve">personal </w:t>
      </w:r>
      <w:r w:rsidR="009F7EC1" w:rsidRPr="00AB524A">
        <w:t xml:space="preserve">financial advice. </w:t>
      </w:r>
    </w:p>
    <w:p w14:paraId="10906F9D" w14:textId="597ED621" w:rsidR="00B9286B" w:rsidRDefault="008D08B1" w:rsidP="008D08B1">
      <w:r w:rsidRPr="00AB524A">
        <w:t>The Government understands that trustees are concerned they may be open to claims for loss or damage if, for example, a member accepts a CIPR offer but later changes their mind or dies before life expectancy.</w:t>
      </w:r>
    </w:p>
    <w:p w14:paraId="2BD768F4" w14:textId="77777777" w:rsidR="00B9286B" w:rsidRDefault="00B9286B">
      <w:pPr>
        <w:spacing w:before="0" w:after="160" w:line="259" w:lineRule="auto"/>
      </w:pPr>
      <w:r>
        <w:br w:type="page"/>
      </w:r>
    </w:p>
    <w:p w14:paraId="7A817501" w14:textId="77777777" w:rsidR="00B9286B" w:rsidRDefault="00B9286B" w:rsidP="00FB73B6">
      <w:pPr>
        <w:pStyle w:val="Heading1"/>
      </w:pPr>
      <w:bookmarkStart w:id="24" w:name="_Toc513718254"/>
      <w:r w:rsidRPr="00056198">
        <w:lastRenderedPageBreak/>
        <w:t>Acronyms</w:t>
      </w:r>
      <w:bookmarkEnd w:id="24"/>
    </w:p>
    <w:tbl>
      <w:tblPr>
        <w:tblW w:w="0" w:type="auto"/>
        <w:tblLook w:val="04A0" w:firstRow="1" w:lastRow="0" w:firstColumn="1" w:lastColumn="0" w:noHBand="0" w:noVBand="1"/>
      </w:tblPr>
      <w:tblGrid>
        <w:gridCol w:w="1242"/>
        <w:gridCol w:w="8021"/>
      </w:tblGrid>
      <w:tr w:rsidR="0056439E" w14:paraId="79FAB235" w14:textId="77777777" w:rsidTr="00167CCB">
        <w:tc>
          <w:tcPr>
            <w:tcW w:w="1242" w:type="dxa"/>
            <w:shd w:val="clear" w:color="auto" w:fill="auto"/>
          </w:tcPr>
          <w:p w14:paraId="66AE5DF0" w14:textId="21939E02" w:rsidR="0056439E" w:rsidRDefault="0056439E" w:rsidP="00726A27">
            <w:pPr>
              <w:spacing w:before="100" w:after="100"/>
              <w:rPr>
                <w:b/>
              </w:rPr>
            </w:pPr>
            <w:r>
              <w:rPr>
                <w:b/>
              </w:rPr>
              <w:t>ABP</w:t>
            </w:r>
          </w:p>
        </w:tc>
        <w:tc>
          <w:tcPr>
            <w:tcW w:w="8021" w:type="dxa"/>
            <w:shd w:val="clear" w:color="auto" w:fill="auto"/>
          </w:tcPr>
          <w:p w14:paraId="4A56AB69" w14:textId="372164DB" w:rsidR="0056439E" w:rsidRPr="002049FC" w:rsidRDefault="0056439E" w:rsidP="00726A27">
            <w:pPr>
              <w:spacing w:before="100" w:after="100"/>
              <w:rPr>
                <w:lang w:val="en"/>
              </w:rPr>
            </w:pPr>
            <w:r>
              <w:rPr>
                <w:lang w:val="en"/>
              </w:rPr>
              <w:t>Account-based pension</w:t>
            </w:r>
          </w:p>
        </w:tc>
      </w:tr>
      <w:tr w:rsidR="00B9286B" w14:paraId="65FB86C0" w14:textId="77777777" w:rsidTr="00167CCB">
        <w:tc>
          <w:tcPr>
            <w:tcW w:w="1242" w:type="dxa"/>
            <w:shd w:val="clear" w:color="auto" w:fill="auto"/>
          </w:tcPr>
          <w:p w14:paraId="1F22848D" w14:textId="77777777" w:rsidR="00B9286B" w:rsidRPr="00C440C5" w:rsidRDefault="00B9286B" w:rsidP="00726A27">
            <w:pPr>
              <w:spacing w:before="100" w:after="100"/>
              <w:rPr>
                <w:b/>
              </w:rPr>
            </w:pPr>
            <w:r>
              <w:rPr>
                <w:b/>
              </w:rPr>
              <w:t>APRA</w:t>
            </w:r>
          </w:p>
        </w:tc>
        <w:tc>
          <w:tcPr>
            <w:tcW w:w="8021" w:type="dxa"/>
            <w:shd w:val="clear" w:color="auto" w:fill="auto"/>
          </w:tcPr>
          <w:p w14:paraId="0A43CC26" w14:textId="77777777" w:rsidR="00B9286B" w:rsidRPr="0062174D" w:rsidRDefault="00B9286B" w:rsidP="00726A27">
            <w:pPr>
              <w:spacing w:before="100" w:after="100"/>
            </w:pPr>
            <w:r w:rsidRPr="002049FC">
              <w:rPr>
                <w:lang w:val="en"/>
              </w:rPr>
              <w:t>Australian Prudential Regulation Authority</w:t>
            </w:r>
          </w:p>
        </w:tc>
      </w:tr>
      <w:tr w:rsidR="00B9286B" w14:paraId="3031E0CF" w14:textId="77777777" w:rsidTr="00167CCB">
        <w:tc>
          <w:tcPr>
            <w:tcW w:w="1242" w:type="dxa"/>
            <w:shd w:val="clear" w:color="auto" w:fill="auto"/>
          </w:tcPr>
          <w:p w14:paraId="7D6D4F62" w14:textId="77777777" w:rsidR="00B9286B" w:rsidRPr="00C440C5" w:rsidRDefault="00B9286B" w:rsidP="00726A27">
            <w:pPr>
              <w:spacing w:before="100" w:after="100"/>
              <w:rPr>
                <w:b/>
              </w:rPr>
            </w:pPr>
            <w:r>
              <w:rPr>
                <w:b/>
              </w:rPr>
              <w:t>ASIC</w:t>
            </w:r>
          </w:p>
        </w:tc>
        <w:tc>
          <w:tcPr>
            <w:tcW w:w="8021" w:type="dxa"/>
            <w:shd w:val="clear" w:color="auto" w:fill="auto"/>
          </w:tcPr>
          <w:p w14:paraId="658B686C" w14:textId="77777777" w:rsidR="00B9286B" w:rsidRPr="0062174D" w:rsidRDefault="00B9286B" w:rsidP="00726A27">
            <w:pPr>
              <w:spacing w:before="100" w:after="100"/>
            </w:pPr>
            <w:r w:rsidRPr="002049FC">
              <w:rPr>
                <w:bCs/>
                <w:lang w:val="en"/>
              </w:rPr>
              <w:t>Australian Securities and Investments Commission</w:t>
            </w:r>
          </w:p>
        </w:tc>
      </w:tr>
      <w:tr w:rsidR="00B9286B" w14:paraId="1474838A" w14:textId="77777777" w:rsidTr="00167CCB">
        <w:tc>
          <w:tcPr>
            <w:tcW w:w="1242" w:type="dxa"/>
            <w:shd w:val="clear" w:color="auto" w:fill="auto"/>
          </w:tcPr>
          <w:p w14:paraId="67EF4FB2" w14:textId="77777777" w:rsidR="00B9286B" w:rsidRPr="00C440C5" w:rsidRDefault="00B9286B" w:rsidP="00726A27">
            <w:pPr>
              <w:spacing w:before="100" w:after="100"/>
              <w:rPr>
                <w:b/>
              </w:rPr>
            </w:pPr>
            <w:r w:rsidRPr="00C440C5">
              <w:rPr>
                <w:b/>
              </w:rPr>
              <w:t>CIPR</w:t>
            </w:r>
          </w:p>
        </w:tc>
        <w:tc>
          <w:tcPr>
            <w:tcW w:w="8021" w:type="dxa"/>
            <w:shd w:val="clear" w:color="auto" w:fill="auto"/>
          </w:tcPr>
          <w:p w14:paraId="62D159F2" w14:textId="77777777" w:rsidR="00B9286B" w:rsidRPr="00F55EC8" w:rsidRDefault="00B9286B" w:rsidP="00726A27">
            <w:pPr>
              <w:spacing w:before="100" w:after="100"/>
            </w:pPr>
            <w:r>
              <w:t>C</w:t>
            </w:r>
            <w:r w:rsidRPr="00F55EC8">
              <w:t xml:space="preserve">omprehensive </w:t>
            </w:r>
            <w:r>
              <w:t>I</w:t>
            </w:r>
            <w:r w:rsidRPr="00F55EC8">
              <w:t xml:space="preserve">ncome </w:t>
            </w:r>
            <w:r>
              <w:t>P</w:t>
            </w:r>
            <w:r w:rsidRPr="00F55EC8">
              <w:t>roducts</w:t>
            </w:r>
            <w:r>
              <w:t xml:space="preserve"> </w:t>
            </w:r>
            <w:r w:rsidRPr="00F55EC8">
              <w:t xml:space="preserve">for </w:t>
            </w:r>
            <w:r>
              <w:t>R</w:t>
            </w:r>
            <w:r w:rsidRPr="00F55EC8">
              <w:t>etirement</w:t>
            </w:r>
          </w:p>
        </w:tc>
      </w:tr>
      <w:tr w:rsidR="00AB2D12" w14:paraId="38FBE496" w14:textId="77777777" w:rsidTr="00167CCB">
        <w:tc>
          <w:tcPr>
            <w:tcW w:w="1242" w:type="dxa"/>
            <w:shd w:val="clear" w:color="auto" w:fill="auto"/>
          </w:tcPr>
          <w:p w14:paraId="6D0C7FA8" w14:textId="11B680C9" w:rsidR="00AB2D12" w:rsidRPr="00C440C5" w:rsidRDefault="00AB2D12" w:rsidP="00726A27">
            <w:pPr>
              <w:spacing w:before="100" w:after="100"/>
              <w:rPr>
                <w:b/>
              </w:rPr>
            </w:pPr>
            <w:r>
              <w:rPr>
                <w:b/>
              </w:rPr>
              <w:t>DLA</w:t>
            </w:r>
          </w:p>
        </w:tc>
        <w:tc>
          <w:tcPr>
            <w:tcW w:w="8021" w:type="dxa"/>
            <w:shd w:val="clear" w:color="auto" w:fill="auto"/>
          </w:tcPr>
          <w:p w14:paraId="138A3ABB" w14:textId="21774A68" w:rsidR="00AB2D12" w:rsidRDefault="00AB2D12" w:rsidP="00726A27">
            <w:pPr>
              <w:spacing w:before="100" w:after="100"/>
            </w:pPr>
            <w:r>
              <w:t>Deferred lifetime annuity</w:t>
            </w:r>
          </w:p>
        </w:tc>
      </w:tr>
      <w:tr w:rsidR="008E207D" w14:paraId="02187324" w14:textId="77777777" w:rsidTr="00167CCB">
        <w:tc>
          <w:tcPr>
            <w:tcW w:w="1242" w:type="dxa"/>
            <w:shd w:val="clear" w:color="auto" w:fill="auto"/>
          </w:tcPr>
          <w:p w14:paraId="6671B763" w14:textId="01F1749E" w:rsidR="008E207D" w:rsidRDefault="008E207D" w:rsidP="00726A27">
            <w:pPr>
              <w:spacing w:before="100" w:after="100"/>
              <w:rPr>
                <w:b/>
              </w:rPr>
            </w:pPr>
            <w:r>
              <w:rPr>
                <w:b/>
              </w:rPr>
              <w:t>MP</w:t>
            </w:r>
          </w:p>
        </w:tc>
        <w:tc>
          <w:tcPr>
            <w:tcW w:w="8021" w:type="dxa"/>
            <w:shd w:val="clear" w:color="auto" w:fill="auto"/>
          </w:tcPr>
          <w:p w14:paraId="33954F85" w14:textId="2713864D" w:rsidR="008E207D" w:rsidRDefault="008E207D" w:rsidP="00726A27">
            <w:pPr>
              <w:spacing w:before="100" w:after="100"/>
            </w:pPr>
            <w:r>
              <w:t>Member of Parliament</w:t>
            </w:r>
          </w:p>
        </w:tc>
      </w:tr>
      <w:tr w:rsidR="00AD2A32" w14:paraId="56FF0F4F" w14:textId="77777777" w:rsidTr="00167CCB">
        <w:tc>
          <w:tcPr>
            <w:tcW w:w="1242" w:type="dxa"/>
            <w:shd w:val="clear" w:color="auto" w:fill="auto"/>
          </w:tcPr>
          <w:p w14:paraId="0C0C7C25" w14:textId="2C4D4261" w:rsidR="00AD2A32" w:rsidRDefault="00AD2A32" w:rsidP="00726A27">
            <w:pPr>
              <w:spacing w:before="100" w:after="100"/>
              <w:rPr>
                <w:b/>
              </w:rPr>
            </w:pPr>
            <w:r>
              <w:rPr>
                <w:b/>
              </w:rPr>
              <w:t>SIS Act</w:t>
            </w:r>
          </w:p>
        </w:tc>
        <w:tc>
          <w:tcPr>
            <w:tcW w:w="8021" w:type="dxa"/>
            <w:shd w:val="clear" w:color="auto" w:fill="auto"/>
          </w:tcPr>
          <w:p w14:paraId="56034872" w14:textId="116E841A" w:rsidR="00AD2A32" w:rsidRDefault="00AD2A32" w:rsidP="00726A27">
            <w:pPr>
              <w:spacing w:before="100" w:after="100"/>
            </w:pPr>
            <w:r w:rsidRPr="001C4ED3">
              <w:rPr>
                <w:rStyle w:val="Emphasis"/>
                <w:rFonts w:asciiTheme="minorHAnsi" w:hAnsiTheme="minorHAnsi" w:cs="Arial"/>
                <w:color w:val="333333"/>
                <w:szCs w:val="22"/>
                <w:lang w:val="en-US"/>
              </w:rPr>
              <w:t xml:space="preserve">Superannuation Industry </w:t>
            </w:r>
            <w:r w:rsidR="00324369">
              <w:rPr>
                <w:rStyle w:val="Emphasis"/>
                <w:rFonts w:asciiTheme="minorHAnsi" w:hAnsiTheme="minorHAnsi" w:cs="Arial"/>
                <w:color w:val="333333"/>
                <w:szCs w:val="22"/>
                <w:lang w:val="en-US"/>
              </w:rPr>
              <w:t>(</w:t>
            </w:r>
            <w:r w:rsidRPr="001C4ED3">
              <w:rPr>
                <w:rStyle w:val="Emphasis"/>
                <w:rFonts w:asciiTheme="minorHAnsi" w:hAnsiTheme="minorHAnsi" w:cs="Arial"/>
                <w:color w:val="333333"/>
                <w:szCs w:val="22"/>
                <w:lang w:val="en-US"/>
              </w:rPr>
              <w:t>Supervision</w:t>
            </w:r>
            <w:r w:rsidR="00324369">
              <w:rPr>
                <w:rStyle w:val="Emphasis"/>
                <w:rFonts w:asciiTheme="minorHAnsi" w:hAnsiTheme="minorHAnsi" w:cs="Arial"/>
                <w:color w:val="333333"/>
                <w:szCs w:val="22"/>
                <w:lang w:val="en-US"/>
              </w:rPr>
              <w:t>)</w:t>
            </w:r>
            <w:r w:rsidRPr="001C4ED3">
              <w:rPr>
                <w:rStyle w:val="Emphasis"/>
                <w:rFonts w:asciiTheme="minorHAnsi" w:hAnsiTheme="minorHAnsi" w:cs="Arial"/>
                <w:color w:val="333333"/>
                <w:szCs w:val="22"/>
                <w:lang w:val="en-US"/>
              </w:rPr>
              <w:t xml:space="preserve"> Act 1993</w:t>
            </w:r>
          </w:p>
        </w:tc>
      </w:tr>
    </w:tbl>
    <w:p w14:paraId="7D4069A8" w14:textId="77777777" w:rsidR="00746E5A" w:rsidRDefault="00746E5A" w:rsidP="00FB73B6">
      <w:pPr>
        <w:pStyle w:val="Heading1"/>
      </w:pPr>
      <w:bookmarkStart w:id="25" w:name="_Toc513718255"/>
      <w:r>
        <w:t>Glossary</w:t>
      </w:r>
      <w:bookmarkEnd w:id="25"/>
    </w:p>
    <w:tbl>
      <w:tblPr>
        <w:tblStyle w:val="LightShading"/>
        <w:tblW w:w="0" w:type="auto"/>
        <w:tblBorders>
          <w:top w:val="single" w:sz="4" w:space="0" w:color="7F7F7F" w:themeColor="text1" w:themeTint="80"/>
          <w:bottom w:val="single" w:sz="4" w:space="0" w:color="7F7F7F" w:themeColor="text1" w:themeTint="80"/>
          <w:insideH w:val="single" w:sz="4" w:space="0" w:color="7F7F7F" w:themeColor="text1" w:themeTint="80"/>
        </w:tblBorders>
        <w:tblLook w:val="04A0" w:firstRow="1" w:lastRow="0" w:firstColumn="1" w:lastColumn="0" w:noHBand="0" w:noVBand="1"/>
      </w:tblPr>
      <w:tblGrid>
        <w:gridCol w:w="2235"/>
        <w:gridCol w:w="7051"/>
      </w:tblGrid>
      <w:tr w:rsidR="00746E5A" w:rsidRPr="00AB524A" w14:paraId="4E4AF4CF" w14:textId="77777777" w:rsidTr="00305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shd w:val="clear" w:color="auto" w:fill="auto"/>
          </w:tcPr>
          <w:p w14:paraId="40703421" w14:textId="77777777" w:rsidR="00746E5A" w:rsidRPr="00AB524A" w:rsidRDefault="00746E5A" w:rsidP="00746E5A">
            <w:pPr>
              <w:spacing w:before="100" w:after="100"/>
            </w:pPr>
            <w:r w:rsidRPr="00AB524A">
              <w:t>Account-based pension (ABP)</w:t>
            </w:r>
          </w:p>
        </w:tc>
        <w:tc>
          <w:tcPr>
            <w:tcW w:w="7051" w:type="dxa"/>
            <w:tcBorders>
              <w:top w:val="none" w:sz="0" w:space="0" w:color="auto"/>
              <w:left w:val="none" w:sz="0" w:space="0" w:color="auto"/>
              <w:bottom w:val="none" w:sz="0" w:space="0" w:color="auto"/>
              <w:right w:val="none" w:sz="0" w:space="0" w:color="auto"/>
            </w:tcBorders>
            <w:shd w:val="clear" w:color="auto" w:fill="auto"/>
          </w:tcPr>
          <w:p w14:paraId="2B8CA963" w14:textId="77777777" w:rsidR="00746E5A" w:rsidRPr="00AB524A" w:rsidRDefault="00746E5A" w:rsidP="00746E5A">
            <w:pPr>
              <w:spacing w:before="100" w:after="100"/>
              <w:cnfStyle w:val="100000000000" w:firstRow="1" w:lastRow="0" w:firstColumn="0" w:lastColumn="0" w:oddVBand="0" w:evenVBand="0" w:oddHBand="0" w:evenHBand="0" w:firstRowFirstColumn="0" w:firstRowLastColumn="0" w:lastRowFirstColumn="0" w:lastRowLastColumn="0"/>
              <w:rPr>
                <w:b w:val="0"/>
              </w:rPr>
            </w:pPr>
            <w:r w:rsidRPr="00AB524A">
              <w:rPr>
                <w:b w:val="0"/>
                <w:lang w:val="en"/>
              </w:rPr>
              <w:t>An individual investment account set up with superannuation benefits from which a retiree draws a regular income. Also known as an allocated pension.</w:t>
            </w:r>
          </w:p>
        </w:tc>
      </w:tr>
      <w:tr w:rsidR="006A4448" w:rsidRPr="00AB524A" w14:paraId="78518938"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left w:val="none" w:sz="0" w:space="0" w:color="auto"/>
              <w:right w:val="none" w:sz="0" w:space="0" w:color="auto"/>
            </w:tcBorders>
            <w:shd w:val="clear" w:color="auto" w:fill="auto"/>
          </w:tcPr>
          <w:p w14:paraId="03325703" w14:textId="07C860D4" w:rsidR="006A4448" w:rsidRPr="00AB524A" w:rsidRDefault="006A4448" w:rsidP="00746E5A">
            <w:pPr>
              <w:spacing w:before="100" w:after="100"/>
            </w:pPr>
            <w:r>
              <w:t>Age Pension</w:t>
            </w:r>
          </w:p>
        </w:tc>
        <w:tc>
          <w:tcPr>
            <w:tcW w:w="7051" w:type="dxa"/>
            <w:tcBorders>
              <w:left w:val="none" w:sz="0" w:space="0" w:color="auto"/>
              <w:right w:val="none" w:sz="0" w:space="0" w:color="auto"/>
            </w:tcBorders>
            <w:shd w:val="clear" w:color="auto" w:fill="auto"/>
          </w:tcPr>
          <w:p w14:paraId="3D40C1A4" w14:textId="670AF1F1" w:rsidR="006A4448" w:rsidRPr="00AB524A" w:rsidRDefault="006A4448" w:rsidP="006A4448">
            <w:pPr>
              <w:spacing w:before="100" w:after="100"/>
              <w:cnfStyle w:val="000000100000" w:firstRow="0" w:lastRow="0" w:firstColumn="0" w:lastColumn="0" w:oddVBand="0" w:evenVBand="0" w:oddHBand="1" w:evenHBand="0" w:firstRowFirstColumn="0" w:firstRowLastColumn="0" w:lastRowFirstColumn="0" w:lastRowLastColumn="0"/>
              <w:rPr>
                <w:lang w:val="en"/>
              </w:rPr>
            </w:pPr>
            <w:r>
              <w:rPr>
                <w:lang w:val="en"/>
              </w:rPr>
              <w:t>Government income support paid to eligible Australians who have reached retirement age</w:t>
            </w:r>
            <w:r w:rsidR="00773F80">
              <w:rPr>
                <w:lang w:val="en"/>
              </w:rPr>
              <w:t>.</w:t>
            </w:r>
          </w:p>
        </w:tc>
      </w:tr>
      <w:tr w:rsidR="006B4D88" w14:paraId="346D2EF6"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37B0D882" w14:textId="4D09A854" w:rsidR="006B4D88" w:rsidRPr="00AB524A" w:rsidRDefault="006B4D88" w:rsidP="00746E5A">
            <w:pPr>
              <w:spacing w:before="100" w:after="100"/>
            </w:pPr>
            <w:r>
              <w:t>Alternate CIPR</w:t>
            </w:r>
          </w:p>
        </w:tc>
        <w:tc>
          <w:tcPr>
            <w:tcW w:w="7051" w:type="dxa"/>
            <w:shd w:val="clear" w:color="auto" w:fill="auto"/>
          </w:tcPr>
          <w:p w14:paraId="166ED1A4" w14:textId="788EB5AE" w:rsidR="006B4D88" w:rsidRDefault="006B4D88" w:rsidP="00746E5A">
            <w:pPr>
              <w:spacing w:before="100" w:after="100"/>
              <w:cnfStyle w:val="000000000000" w:firstRow="0" w:lastRow="0" w:firstColumn="0" w:lastColumn="0" w:oddVBand="0" w:evenVBand="0" w:oddHBand="0" w:evenHBand="0" w:firstRowFirstColumn="0" w:firstRowLastColumn="0" w:lastRowFirstColumn="0" w:lastRowLastColumn="0"/>
            </w:pPr>
            <w:r>
              <w:t>A</w:t>
            </w:r>
            <w:r w:rsidR="00773F80">
              <w:t xml:space="preserve"> CIPR that is not a flagship CIPR.</w:t>
            </w:r>
          </w:p>
        </w:tc>
      </w:tr>
      <w:tr w:rsidR="00746E5A" w14:paraId="5365CD0B"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left w:val="none" w:sz="0" w:space="0" w:color="auto"/>
              <w:right w:val="none" w:sz="0" w:space="0" w:color="auto"/>
            </w:tcBorders>
            <w:shd w:val="clear" w:color="auto" w:fill="auto"/>
          </w:tcPr>
          <w:p w14:paraId="2C9E8BBB" w14:textId="77777777" w:rsidR="00746E5A" w:rsidRPr="00AB524A" w:rsidRDefault="00746E5A" w:rsidP="00746E5A">
            <w:pPr>
              <w:spacing w:before="100" w:after="100"/>
            </w:pPr>
            <w:r w:rsidRPr="00AB524A">
              <w:t>Annuity</w:t>
            </w:r>
          </w:p>
        </w:tc>
        <w:tc>
          <w:tcPr>
            <w:tcW w:w="7051" w:type="dxa"/>
            <w:tcBorders>
              <w:left w:val="none" w:sz="0" w:space="0" w:color="auto"/>
              <w:right w:val="none" w:sz="0" w:space="0" w:color="auto"/>
            </w:tcBorders>
            <w:shd w:val="clear" w:color="auto" w:fill="auto"/>
          </w:tcPr>
          <w:p w14:paraId="5963594D" w14:textId="77777777" w:rsidR="00746E5A" w:rsidRDefault="00746E5A" w:rsidP="00746E5A">
            <w:pPr>
              <w:spacing w:before="100" w:after="100"/>
              <w:cnfStyle w:val="000000100000" w:firstRow="0" w:lastRow="0" w:firstColumn="0" w:lastColumn="0" w:oddVBand="0" w:evenVBand="0" w:oddHBand="1" w:evenHBand="0" w:firstRowFirstColumn="0" w:firstRowLastColumn="0" w:lastRowFirstColumn="0" w:lastRowLastColumn="0"/>
            </w:pPr>
            <w:r>
              <w:t>A regular guaranteed payment that is made to a person for life or for a fixed number of years by a life insurer.</w:t>
            </w:r>
          </w:p>
        </w:tc>
      </w:tr>
      <w:tr w:rsidR="00746E5A" w14:paraId="7D78EE68"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0377F252" w14:textId="359BA030" w:rsidR="00746E5A" w:rsidRPr="00AB524A" w:rsidRDefault="00773F80" w:rsidP="00746E5A">
            <w:pPr>
              <w:spacing w:before="100" w:after="100"/>
            </w:pPr>
            <w:r>
              <w:t>Comprehensive Income Product</w:t>
            </w:r>
            <w:r w:rsidR="00746E5A" w:rsidRPr="00AB524A">
              <w:t xml:space="preserve"> for Retirement </w:t>
            </w:r>
            <w:r>
              <w:t>(CIPR)</w:t>
            </w:r>
          </w:p>
        </w:tc>
        <w:tc>
          <w:tcPr>
            <w:tcW w:w="7051" w:type="dxa"/>
            <w:shd w:val="clear" w:color="auto" w:fill="auto"/>
          </w:tcPr>
          <w:p w14:paraId="2B97E6AB" w14:textId="44776160" w:rsidR="00746E5A" w:rsidRDefault="00746E5A" w:rsidP="00773F80">
            <w:pPr>
              <w:spacing w:before="100" w:after="100"/>
              <w:cnfStyle w:val="000000000000" w:firstRow="0" w:lastRow="0" w:firstColumn="0" w:lastColumn="0" w:oddVBand="0" w:evenVBand="0" w:oddHBand="0" w:evenHBand="0" w:firstRowFirstColumn="0" w:firstRowLastColumn="0" w:lastRowFirstColumn="0" w:lastRowLastColumn="0"/>
            </w:pPr>
            <w:r>
              <w:t xml:space="preserve">A composite retirement income product that meets </w:t>
            </w:r>
            <w:r w:rsidR="00773F80">
              <w:t>certification requirements</w:t>
            </w:r>
            <w:r>
              <w:t>.</w:t>
            </w:r>
          </w:p>
        </w:tc>
      </w:tr>
      <w:tr w:rsidR="002541AF" w14:paraId="467B7F16"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E580A15" w14:textId="2AC97EF4" w:rsidR="002541AF" w:rsidRDefault="002541AF" w:rsidP="002541AF">
            <w:pPr>
              <w:spacing w:before="100" w:after="100"/>
            </w:pPr>
            <w:r>
              <w:t>Efficient (income)</w:t>
            </w:r>
          </w:p>
        </w:tc>
        <w:tc>
          <w:tcPr>
            <w:tcW w:w="7051" w:type="dxa"/>
            <w:shd w:val="clear" w:color="auto" w:fill="auto"/>
          </w:tcPr>
          <w:p w14:paraId="22879568" w14:textId="712EE693" w:rsidR="002541AF" w:rsidRDefault="00BE08FB" w:rsidP="00E654A6">
            <w:pPr>
              <w:spacing w:before="100" w:after="100"/>
              <w:cnfStyle w:val="000000100000" w:firstRow="0" w:lastRow="0" w:firstColumn="0" w:lastColumn="0" w:oddVBand="0" w:evenVBand="0" w:oddHBand="1" w:evenHBand="0" w:firstRowFirstColumn="0" w:firstRowLastColumn="0" w:lastRowFirstColumn="0" w:lastRowLastColumn="0"/>
            </w:pPr>
            <w:r>
              <w:t>Efficiency refers to the</w:t>
            </w:r>
            <w:r w:rsidR="002541AF">
              <w:t xml:space="preserve"> level of income relative to the amount of superannuation invested in the product. </w:t>
            </w:r>
            <w:r w:rsidR="00E654A6">
              <w:t xml:space="preserve">For a given investment, a product that delivers </w:t>
            </w:r>
            <w:r w:rsidR="002541AF">
              <w:t xml:space="preserve">higher income </w:t>
            </w:r>
            <w:r w:rsidR="00E654A6">
              <w:t>will be more efficient.</w:t>
            </w:r>
          </w:p>
        </w:tc>
      </w:tr>
      <w:tr w:rsidR="00B204A2" w14:paraId="1336B71B"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560E8B2" w14:textId="26D12284" w:rsidR="00B204A2" w:rsidRPr="00AB524A" w:rsidRDefault="00B204A2" w:rsidP="00746E5A">
            <w:pPr>
              <w:spacing w:before="100" w:after="100"/>
            </w:pPr>
            <w:r>
              <w:t>Flagship CIPR</w:t>
            </w:r>
          </w:p>
        </w:tc>
        <w:tc>
          <w:tcPr>
            <w:tcW w:w="7051" w:type="dxa"/>
            <w:shd w:val="clear" w:color="auto" w:fill="auto"/>
          </w:tcPr>
          <w:p w14:paraId="51CBD1A6" w14:textId="3659403C" w:rsidR="00B204A2" w:rsidRDefault="00B204A2" w:rsidP="00773F80">
            <w:pPr>
              <w:spacing w:before="100" w:after="100"/>
              <w:cnfStyle w:val="000000000000" w:firstRow="0" w:lastRow="0" w:firstColumn="0" w:lastColumn="0" w:oddVBand="0" w:evenVBand="0" w:oddHBand="0" w:evenHBand="0" w:firstRowFirstColumn="0" w:firstRowLastColumn="0" w:lastRowFirstColumn="0" w:lastRowLastColumn="0"/>
            </w:pPr>
            <w:r>
              <w:t xml:space="preserve">A </w:t>
            </w:r>
            <w:r w:rsidR="00773F80">
              <w:t>CIPR</w:t>
            </w:r>
            <w:r>
              <w:t xml:space="preserve"> that is designed to be appropriate for the majority or large cohort</w:t>
            </w:r>
            <w:r w:rsidR="007A6233">
              <w:t>s</w:t>
            </w:r>
            <w:r>
              <w:t xml:space="preserve"> of members of a fund.</w:t>
            </w:r>
            <w:r w:rsidR="00773F80">
              <w:t xml:space="preserve"> A trustee may have a maximum of three flagship CIPRs.</w:t>
            </w:r>
          </w:p>
        </w:tc>
      </w:tr>
      <w:tr w:rsidR="00746E5A" w14:paraId="0AE09E23"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35F0624" w14:textId="77777777" w:rsidR="00746E5A" w:rsidRPr="00AB524A" w:rsidRDefault="00746E5A" w:rsidP="00746E5A">
            <w:pPr>
              <w:spacing w:before="100" w:after="100"/>
            </w:pPr>
            <w:r w:rsidRPr="00AB524A">
              <w:t>Deferred life annuity (DLA)</w:t>
            </w:r>
          </w:p>
        </w:tc>
        <w:tc>
          <w:tcPr>
            <w:tcW w:w="7051" w:type="dxa"/>
            <w:shd w:val="clear" w:color="auto" w:fill="auto"/>
          </w:tcPr>
          <w:p w14:paraId="0F7B5E62" w14:textId="77777777" w:rsidR="00746E5A" w:rsidRDefault="00746E5A" w:rsidP="00746E5A">
            <w:pPr>
              <w:spacing w:before="100" w:after="100"/>
              <w:cnfStyle w:val="000000100000" w:firstRow="0" w:lastRow="0" w:firstColumn="0" w:lastColumn="0" w:oddVBand="0" w:evenVBand="0" w:oddHBand="1" w:evenHBand="0" w:firstRowFirstColumn="0" w:firstRowLastColumn="0" w:lastRowFirstColumn="0" w:lastRowLastColumn="0"/>
            </w:pPr>
            <w:r>
              <w:t>A form of annuity where the commencement of payments is delayed for a set amount of time after purchase.</w:t>
            </w:r>
          </w:p>
        </w:tc>
      </w:tr>
      <w:tr w:rsidR="00746E5A" w14:paraId="01E791F9"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61F5198" w14:textId="4ADE05B6" w:rsidR="00746E5A" w:rsidRPr="00AB524A" w:rsidRDefault="00746E5A" w:rsidP="0056439E">
            <w:pPr>
              <w:spacing w:before="100" w:after="100"/>
            </w:pPr>
            <w:r w:rsidRPr="00AB524A">
              <w:t xml:space="preserve">Group self-annuitisation product </w:t>
            </w:r>
          </w:p>
        </w:tc>
        <w:tc>
          <w:tcPr>
            <w:tcW w:w="7051" w:type="dxa"/>
            <w:shd w:val="clear" w:color="auto" w:fill="auto"/>
          </w:tcPr>
          <w:p w14:paraId="5A8A2CDA" w14:textId="5FE09CA7" w:rsidR="00746E5A" w:rsidRPr="008A4302" w:rsidRDefault="00746E5A" w:rsidP="001975AF">
            <w:pPr>
              <w:spacing w:before="100" w:after="100"/>
              <w:cnfStyle w:val="000000000000" w:firstRow="0" w:lastRow="0" w:firstColumn="0" w:lastColumn="0" w:oddVBand="0" w:evenVBand="0" w:oddHBand="0" w:evenHBand="0" w:firstRowFirstColumn="0" w:firstRowLastColumn="0" w:lastRowFirstColumn="0" w:lastRowLastColumn="0"/>
              <w:rPr>
                <w:lang w:val="en"/>
              </w:rPr>
            </w:pPr>
            <w:r w:rsidRPr="006A2576">
              <w:t xml:space="preserve">A retirement income product where members invest capital into a pool and regular income is paid from the pool to surviving members. The income stream is subject to investment risk/performance and the </w:t>
            </w:r>
            <w:r w:rsidR="00D2705A">
              <w:t>longevity</w:t>
            </w:r>
            <w:r w:rsidRPr="006A2576">
              <w:t xml:space="preserve"> experience of the pool. The product is not capital</w:t>
            </w:r>
            <w:r>
              <w:t>-</w:t>
            </w:r>
            <w:r w:rsidRPr="006A2576">
              <w:t>backed</w:t>
            </w:r>
            <w:r>
              <w:t xml:space="preserve"> (not guaranteed)</w:t>
            </w:r>
            <w:r w:rsidRPr="006A2576">
              <w:t>.</w:t>
            </w:r>
          </w:p>
        </w:tc>
      </w:tr>
      <w:tr w:rsidR="00746E5A" w14:paraId="6C4BAD9A"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BD7AAB7" w14:textId="77777777" w:rsidR="00746E5A" w:rsidRPr="00AB524A" w:rsidRDefault="00746E5A" w:rsidP="00746E5A">
            <w:pPr>
              <w:spacing w:before="100" w:after="100"/>
            </w:pPr>
            <w:r w:rsidRPr="00AB524A">
              <w:t>Income</w:t>
            </w:r>
          </w:p>
        </w:tc>
        <w:tc>
          <w:tcPr>
            <w:tcW w:w="7051" w:type="dxa"/>
            <w:shd w:val="clear" w:color="auto" w:fill="auto"/>
          </w:tcPr>
          <w:p w14:paraId="0BBCFD3C" w14:textId="321748E2" w:rsidR="00746E5A" w:rsidRDefault="001975AF" w:rsidP="00D031D8">
            <w:pPr>
              <w:spacing w:before="100" w:after="100"/>
              <w:cnfStyle w:val="000000100000" w:firstRow="0" w:lastRow="0" w:firstColumn="0" w:lastColumn="0" w:oddVBand="0" w:evenVBand="0" w:oddHBand="1" w:evenHBand="0" w:firstRowFirstColumn="0" w:firstRowLastColumn="0" w:lastRowFirstColumn="0" w:lastRowLastColumn="0"/>
            </w:pPr>
            <w:r>
              <w:t xml:space="preserve">Income in this context is likely to include both investment earnings, some drawdown of capital and payouts from </w:t>
            </w:r>
            <w:r w:rsidR="00D031D8">
              <w:t>pooled lifetime income</w:t>
            </w:r>
            <w:r>
              <w:t xml:space="preserve"> products. It is the total </w:t>
            </w:r>
            <w:r w:rsidR="00BE08FB">
              <w:t xml:space="preserve">combined </w:t>
            </w:r>
            <w:r>
              <w:t>amount of cash a person receives each year from a retirement income product.</w:t>
            </w:r>
          </w:p>
        </w:tc>
      </w:tr>
      <w:tr w:rsidR="00746E5A" w14:paraId="46C8C348"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2E4FDFBD" w14:textId="77777777" w:rsidR="00746E5A" w:rsidRPr="00AB524A" w:rsidRDefault="00746E5A" w:rsidP="00746E5A">
            <w:pPr>
              <w:spacing w:before="100" w:after="100"/>
            </w:pPr>
            <w:r w:rsidRPr="00AB524A">
              <w:lastRenderedPageBreak/>
              <w:t>Inflation risk</w:t>
            </w:r>
          </w:p>
        </w:tc>
        <w:tc>
          <w:tcPr>
            <w:tcW w:w="7051" w:type="dxa"/>
            <w:shd w:val="clear" w:color="auto" w:fill="auto"/>
          </w:tcPr>
          <w:p w14:paraId="494713A0" w14:textId="77777777" w:rsidR="00746E5A" w:rsidRPr="001E1ECC" w:rsidRDefault="00746E5A" w:rsidP="00746E5A">
            <w:pPr>
              <w:spacing w:before="100" w:after="100"/>
              <w:cnfStyle w:val="000000000000" w:firstRow="0" w:lastRow="0" w:firstColumn="0" w:lastColumn="0" w:oddVBand="0" w:evenVBand="0" w:oddHBand="0" w:evenHBand="0" w:firstRowFirstColumn="0" w:firstRowLastColumn="0" w:lastRowFirstColumn="0" w:lastRowLastColumn="0"/>
            </w:pPr>
            <w:r>
              <w:t>T</w:t>
            </w:r>
            <w:r w:rsidRPr="001E1ECC">
              <w:t xml:space="preserve">he risk </w:t>
            </w:r>
            <w:r>
              <w:t>that inflation will undermine the purchasing power of future income.</w:t>
            </w:r>
          </w:p>
        </w:tc>
      </w:tr>
      <w:tr w:rsidR="00746E5A" w14:paraId="25D5A0EF"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1EF8790D" w14:textId="77777777" w:rsidR="00746E5A" w:rsidRPr="00AB524A" w:rsidRDefault="00746E5A" w:rsidP="00746E5A">
            <w:pPr>
              <w:spacing w:before="100" w:after="100"/>
            </w:pPr>
            <w:r w:rsidRPr="00AB524A">
              <w:t>Investment risk</w:t>
            </w:r>
          </w:p>
        </w:tc>
        <w:tc>
          <w:tcPr>
            <w:tcW w:w="7051" w:type="dxa"/>
            <w:shd w:val="clear" w:color="auto" w:fill="auto"/>
          </w:tcPr>
          <w:p w14:paraId="3D489DAC" w14:textId="77777777" w:rsidR="00746E5A" w:rsidRPr="00056198" w:rsidRDefault="00746E5A" w:rsidP="00746E5A">
            <w:pPr>
              <w:spacing w:before="100" w:after="100"/>
              <w:cnfStyle w:val="000000100000" w:firstRow="0" w:lastRow="0" w:firstColumn="0" w:lastColumn="0" w:oddVBand="0" w:evenVBand="0" w:oddHBand="1" w:evenHBand="0" w:firstRowFirstColumn="0" w:firstRowLastColumn="0" w:lastRowFirstColumn="0" w:lastRowLastColumn="0"/>
            </w:pPr>
            <w:r>
              <w:t>T</w:t>
            </w:r>
            <w:r w:rsidRPr="001E1ECC">
              <w:t xml:space="preserve">he risk </w:t>
            </w:r>
            <w:r>
              <w:t>that the return on an investment is lower than expected.</w:t>
            </w:r>
          </w:p>
        </w:tc>
      </w:tr>
      <w:tr w:rsidR="00515BB0" w14:paraId="31850CAD"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068F6ABE" w14:textId="1D23E2FF" w:rsidR="00515BB0" w:rsidRPr="00AB524A" w:rsidRDefault="00515BB0" w:rsidP="00746E5A">
            <w:pPr>
              <w:spacing w:before="100" w:after="100"/>
            </w:pPr>
            <w:r>
              <w:t>Legacy product</w:t>
            </w:r>
          </w:p>
        </w:tc>
        <w:tc>
          <w:tcPr>
            <w:tcW w:w="7051" w:type="dxa"/>
            <w:shd w:val="clear" w:color="auto" w:fill="auto"/>
          </w:tcPr>
          <w:p w14:paraId="46FEA176" w14:textId="31D5EBED" w:rsidR="00515BB0" w:rsidRDefault="00515BB0" w:rsidP="00746E5A">
            <w:pPr>
              <w:spacing w:before="100" w:after="100"/>
              <w:cnfStyle w:val="000000000000" w:firstRow="0" w:lastRow="0" w:firstColumn="0" w:lastColumn="0" w:oddVBand="0" w:evenVBand="0" w:oddHBand="0" w:evenHBand="0" w:firstRowFirstColumn="0" w:firstRowLastColumn="0" w:lastRowFirstColumn="0" w:lastRowLastColumn="0"/>
              <w:rPr>
                <w:lang w:val="en"/>
              </w:rPr>
            </w:pPr>
            <w:r>
              <w:rPr>
                <w:lang w:val="en"/>
              </w:rPr>
              <w:t xml:space="preserve">A product that is no longer open to new accounts but in which people retain accounts. </w:t>
            </w:r>
          </w:p>
        </w:tc>
      </w:tr>
      <w:tr w:rsidR="00773F80" w14:paraId="2E925CA9"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64A07C0E" w14:textId="75E14DE8" w:rsidR="00773F80" w:rsidRDefault="00773F80" w:rsidP="00746E5A">
            <w:pPr>
              <w:spacing w:before="100" w:after="100"/>
            </w:pPr>
            <w:r w:rsidRPr="00AB524A">
              <w:t>Longevity risk</w:t>
            </w:r>
          </w:p>
        </w:tc>
        <w:tc>
          <w:tcPr>
            <w:tcW w:w="7051" w:type="dxa"/>
            <w:shd w:val="clear" w:color="auto" w:fill="auto"/>
          </w:tcPr>
          <w:p w14:paraId="7BC4237D" w14:textId="6EFE4CCF" w:rsidR="00773F80" w:rsidRDefault="00773F80" w:rsidP="00746E5A">
            <w:pPr>
              <w:spacing w:before="100" w:after="100"/>
              <w:cnfStyle w:val="000000100000" w:firstRow="0" w:lastRow="0" w:firstColumn="0" w:lastColumn="0" w:oddVBand="0" w:evenVBand="0" w:oddHBand="1" w:evenHBand="0" w:firstRowFirstColumn="0" w:firstRowLastColumn="0" w:lastRowFirstColumn="0" w:lastRowLastColumn="0"/>
              <w:rPr>
                <w:lang w:val="en"/>
              </w:rPr>
            </w:pPr>
            <w:r>
              <w:rPr>
                <w:lang w:val="en"/>
              </w:rPr>
              <w:t>T</w:t>
            </w:r>
            <w:r w:rsidRPr="00507321">
              <w:rPr>
                <w:lang w:val="en"/>
              </w:rPr>
              <w:t>he uncertainty about how long a</w:t>
            </w:r>
            <w:r>
              <w:rPr>
                <w:lang w:val="en"/>
              </w:rPr>
              <w:t>n individual will</w:t>
            </w:r>
            <w:r w:rsidRPr="00507321">
              <w:rPr>
                <w:lang w:val="en"/>
              </w:rPr>
              <w:t xml:space="preserve"> live. For an individual, it is the risk of outliving their savings.</w:t>
            </w:r>
          </w:p>
        </w:tc>
      </w:tr>
      <w:tr w:rsidR="00746E5A" w14:paraId="23E7F870"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03154304" w14:textId="77777777" w:rsidR="00746E5A" w:rsidRPr="00AB524A" w:rsidRDefault="00746E5A" w:rsidP="00746E5A">
            <w:pPr>
              <w:spacing w:before="100" w:after="100"/>
            </w:pPr>
            <w:r w:rsidRPr="00AB524A">
              <w:t>Personal financial advice</w:t>
            </w:r>
          </w:p>
        </w:tc>
        <w:tc>
          <w:tcPr>
            <w:tcW w:w="7051" w:type="dxa"/>
            <w:shd w:val="clear" w:color="auto" w:fill="auto"/>
          </w:tcPr>
          <w:p w14:paraId="496C9123" w14:textId="2D227E1E" w:rsidR="00B425AA" w:rsidRDefault="001975AF" w:rsidP="00746E5A">
            <w:pPr>
              <w:spacing w:before="100" w:after="100"/>
              <w:cnfStyle w:val="000000000000" w:firstRow="0" w:lastRow="0" w:firstColumn="0" w:lastColumn="0" w:oddVBand="0" w:evenVBand="0" w:oddHBand="0" w:evenHBand="0" w:firstRowFirstColumn="0" w:firstRowLastColumn="0" w:lastRowFirstColumn="0" w:lastRowLastColumn="0"/>
            </w:pPr>
            <w:r>
              <w:t xml:space="preserve">A recommendation or statement of opinion </w:t>
            </w:r>
            <w:r w:rsidR="00B425AA">
              <w:t>directed to a person where the advis</w:t>
            </w:r>
            <w:r w:rsidR="00375296">
              <w:t>e</w:t>
            </w:r>
            <w:r w:rsidR="00B425AA">
              <w:t xml:space="preserve">r has considered </w:t>
            </w:r>
            <w:r w:rsidR="00167CCB">
              <w:t>one or more of the client’s objectives, financial situation or needs.</w:t>
            </w:r>
          </w:p>
          <w:p w14:paraId="2C2A4A84" w14:textId="13649A97" w:rsidR="001975AF" w:rsidRDefault="00167CCB" w:rsidP="00746E5A">
            <w:pPr>
              <w:spacing w:before="100" w:after="100"/>
              <w:cnfStyle w:val="000000000000" w:firstRow="0" w:lastRow="0" w:firstColumn="0" w:lastColumn="0" w:oddVBand="0" w:evenVBand="0" w:oddHBand="0" w:evenHBand="0" w:firstRowFirstColumn="0" w:firstRowLastColumn="0" w:lastRowFirstColumn="0" w:lastRowLastColumn="0"/>
            </w:pPr>
            <w:r>
              <w:t>The advice</w:t>
            </w:r>
            <w:r w:rsidR="001975AF">
              <w:t xml:space="preserve"> is intended to (or could be reasonably regarded as intended to) </w:t>
            </w:r>
            <w:r w:rsidR="00B425AA">
              <w:t xml:space="preserve">influence </w:t>
            </w:r>
            <w:r w:rsidR="00630A66">
              <w:t>the person’s</w:t>
            </w:r>
            <w:r w:rsidR="001975AF">
              <w:t xml:space="preserve"> decision about financial products or their interest in financial products. </w:t>
            </w:r>
          </w:p>
          <w:p w14:paraId="61B8AE6B" w14:textId="72671939" w:rsidR="00746E5A" w:rsidRPr="001975AF" w:rsidRDefault="00746E5A" w:rsidP="00746E5A">
            <w:pPr>
              <w:spacing w:before="100" w:after="100"/>
              <w:cnfStyle w:val="000000000000" w:firstRow="0" w:lastRow="0" w:firstColumn="0" w:lastColumn="0" w:oddVBand="0" w:evenVBand="0" w:oddHBand="0" w:evenHBand="0" w:firstRowFirstColumn="0" w:firstRowLastColumn="0" w:lastRowFirstColumn="0" w:lastRowLastColumn="0"/>
            </w:pPr>
            <w:r w:rsidRPr="00630A66">
              <w:rPr>
                <w:i/>
              </w:rPr>
              <w:t>Scaled</w:t>
            </w:r>
            <w:r w:rsidR="001975AF">
              <w:t xml:space="preserve"> </w:t>
            </w:r>
            <w:r w:rsidR="00B425AA">
              <w:t xml:space="preserve">personal </w:t>
            </w:r>
            <w:r w:rsidR="001975AF">
              <w:t xml:space="preserve">advice is personal financial advice that </w:t>
            </w:r>
            <w:r w:rsidR="00B425AA">
              <w:t>is limited in scope.</w:t>
            </w:r>
            <w:r w:rsidR="001975AF">
              <w:t xml:space="preserve"> </w:t>
            </w:r>
          </w:p>
          <w:p w14:paraId="05082109" w14:textId="5E324421" w:rsidR="00746E5A" w:rsidRDefault="00746E5A" w:rsidP="00B425AA">
            <w:pPr>
              <w:spacing w:before="100" w:after="100"/>
              <w:cnfStyle w:val="000000000000" w:firstRow="0" w:lastRow="0" w:firstColumn="0" w:lastColumn="0" w:oddVBand="0" w:evenVBand="0" w:oddHBand="0" w:evenHBand="0" w:firstRowFirstColumn="0" w:firstRowLastColumn="0" w:lastRowFirstColumn="0" w:lastRowLastColumn="0"/>
            </w:pPr>
            <w:r w:rsidRPr="00630A66">
              <w:rPr>
                <w:i/>
              </w:rPr>
              <w:t>Intra</w:t>
            </w:r>
            <w:r w:rsidR="00B425AA" w:rsidRPr="00630A66">
              <w:rPr>
                <w:i/>
              </w:rPr>
              <w:t>-</w:t>
            </w:r>
            <w:r w:rsidRPr="00630A66">
              <w:rPr>
                <w:i/>
              </w:rPr>
              <w:t>fund</w:t>
            </w:r>
            <w:r w:rsidR="00B425AA">
              <w:t xml:space="preserve"> advice is personal financial advice that is limited in scope to the person’s interest in the fund.</w:t>
            </w:r>
          </w:p>
        </w:tc>
      </w:tr>
      <w:tr w:rsidR="00495C22" w14:paraId="462E2F9D" w14:textId="77777777" w:rsidTr="00305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7A1685D1" w14:textId="77777777" w:rsidR="00495C22" w:rsidRPr="00AB524A" w:rsidRDefault="00495C22" w:rsidP="00417E43">
            <w:pPr>
              <w:spacing w:before="100" w:after="100"/>
            </w:pPr>
            <w:r>
              <w:t>Pooled lifetime income product</w:t>
            </w:r>
          </w:p>
        </w:tc>
        <w:tc>
          <w:tcPr>
            <w:tcW w:w="7051" w:type="dxa"/>
            <w:shd w:val="clear" w:color="auto" w:fill="auto"/>
          </w:tcPr>
          <w:p w14:paraId="4D18A992" w14:textId="77777777" w:rsidR="00495C22" w:rsidRDefault="00495C22" w:rsidP="00417E43">
            <w:pPr>
              <w:spacing w:before="100" w:after="100"/>
              <w:cnfStyle w:val="000000100000" w:firstRow="0" w:lastRow="0" w:firstColumn="0" w:lastColumn="0" w:oddVBand="0" w:evenVBand="0" w:oddHBand="1" w:evenHBand="0" w:firstRowFirstColumn="0" w:firstRowLastColumn="0" w:lastRowFirstColumn="0" w:lastRowLastColumn="0"/>
            </w:pPr>
            <w:r>
              <w:t>A product in which participants contribute funds to a pool that is invested in financial assets and distributed according to an individual’s share in the pool. Annuities, group self-annuitisation products and collective defined contribution schemes are all examples of pooled lifetime income products.</w:t>
            </w:r>
          </w:p>
        </w:tc>
      </w:tr>
      <w:tr w:rsidR="00746E5A" w14:paraId="2255E1D7" w14:textId="77777777" w:rsidTr="0030581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4CE0DF71" w14:textId="77777777" w:rsidR="00746E5A" w:rsidRPr="00AB524A" w:rsidRDefault="00746E5A" w:rsidP="00746E5A">
            <w:pPr>
              <w:spacing w:before="100" w:after="100"/>
            </w:pPr>
            <w:r w:rsidRPr="00AB524A">
              <w:t xml:space="preserve">Safe harbour </w:t>
            </w:r>
          </w:p>
        </w:tc>
        <w:tc>
          <w:tcPr>
            <w:tcW w:w="7051" w:type="dxa"/>
            <w:shd w:val="clear" w:color="auto" w:fill="auto"/>
          </w:tcPr>
          <w:p w14:paraId="69E8C837" w14:textId="77777777" w:rsidR="00746E5A" w:rsidRPr="00056198" w:rsidRDefault="00746E5A" w:rsidP="00746E5A">
            <w:pPr>
              <w:spacing w:before="100" w:after="100"/>
              <w:cnfStyle w:val="000000000000" w:firstRow="0" w:lastRow="0" w:firstColumn="0" w:lastColumn="0" w:oddVBand="0" w:evenVBand="0" w:oddHBand="0" w:evenHBand="0" w:firstRowFirstColumn="0" w:firstRowLastColumn="0" w:lastRowFirstColumn="0" w:lastRowLastColumn="0"/>
            </w:pPr>
            <w:r>
              <w:t>Protection from legal liability, in the form of a defence or deemed compliance with the law.</w:t>
            </w:r>
          </w:p>
        </w:tc>
      </w:tr>
    </w:tbl>
    <w:p w14:paraId="4E95ACC2" w14:textId="3450B00C" w:rsidR="00255B0D" w:rsidRDefault="00255B0D" w:rsidP="00255B0D">
      <w:pPr>
        <w:rPr>
          <w:rFonts w:cs="Arial"/>
          <w:color w:val="004A7F"/>
          <w:kern w:val="32"/>
          <w:sz w:val="48"/>
          <w:szCs w:val="36"/>
        </w:rPr>
      </w:pPr>
      <w:bookmarkStart w:id="26" w:name="_Toc513718256"/>
      <w:r>
        <w:br w:type="page"/>
      </w:r>
    </w:p>
    <w:p w14:paraId="505827E8" w14:textId="2E96144D" w:rsidR="00AE1431" w:rsidRDefault="00AE1431" w:rsidP="00AE1431">
      <w:pPr>
        <w:pStyle w:val="Heading1"/>
      </w:pPr>
      <w:r>
        <w:lastRenderedPageBreak/>
        <w:t>Appendix A</w:t>
      </w:r>
      <w:bookmarkEnd w:id="26"/>
    </w:p>
    <w:p w14:paraId="7F9C8334" w14:textId="157D620C" w:rsidR="00AE1431" w:rsidRDefault="00AE1431" w:rsidP="00AE1431">
      <w:pPr>
        <w:pStyle w:val="Heading2"/>
      </w:pPr>
      <w:bookmarkStart w:id="27" w:name="_Toc513718257"/>
      <w:r>
        <w:t>Retirement income products</w:t>
      </w:r>
      <w:bookmarkEnd w:id="27"/>
    </w:p>
    <w:p w14:paraId="5298C681" w14:textId="5B36D7AD" w:rsidR="00255B0D" w:rsidRDefault="00D90EFA" w:rsidP="00AE1431">
      <w:r>
        <w:t xml:space="preserve">The following charts illustrate </w:t>
      </w:r>
      <w:r w:rsidRPr="00255B0D">
        <w:rPr>
          <w:b/>
        </w:rPr>
        <w:t>total retirement income</w:t>
      </w:r>
      <w:r>
        <w:t xml:space="preserve"> outcomes from a range of differ</w:t>
      </w:r>
      <w:r w:rsidR="00AE3E8D">
        <w:t xml:space="preserve">ent retirement income products following changes to the Age Pension means test treatment announced in the 2018-19 Budget. </w:t>
      </w:r>
      <w:r>
        <w:t xml:space="preserve">Total income includes income both from the Age Pension and from the retirement income product. </w:t>
      </w:r>
    </w:p>
    <w:p w14:paraId="3D2379EF" w14:textId="1ACDE55C" w:rsidR="00D90EFA" w:rsidRDefault="00D90EFA" w:rsidP="00AE1431">
      <w:r>
        <w:t xml:space="preserve">The products have not been </w:t>
      </w:r>
      <w:r w:rsidR="00AE3E8D">
        <w:t>customised</w:t>
      </w:r>
      <w:r>
        <w:t xml:space="preserve"> for individual circumstances, but instead demonstrate potential expected outcom</w:t>
      </w:r>
      <w:r w:rsidR="00AE3E8D">
        <w:t>es for</w:t>
      </w:r>
      <w:r>
        <w:t xml:space="preserve"> individuals in different circumstances </w:t>
      </w:r>
      <w:r w:rsidR="00AE3E8D">
        <w:t>from a</w:t>
      </w:r>
      <w:r>
        <w:t xml:space="preserve"> ‘Flagship CIPR’ offered by their trustee</w:t>
      </w:r>
      <w:r w:rsidR="00AE3E8D">
        <w:t>, without further engagement by the individual</w:t>
      </w:r>
      <w:r>
        <w:t>.</w:t>
      </w:r>
      <w:r w:rsidR="00AE3E8D">
        <w:t xml:space="preserve"> </w:t>
      </w:r>
      <w:r w:rsidR="0018663F">
        <w:t xml:space="preserve">The scenarios model the outcomes for an individual who retires at age 65 and </w:t>
      </w:r>
      <w:r>
        <w:t>include:</w:t>
      </w:r>
    </w:p>
    <w:p w14:paraId="343DC2AF" w14:textId="7C3CD177" w:rsidR="00D90EFA" w:rsidRDefault="0018663F" w:rsidP="00D90EFA">
      <w:pPr>
        <w:pStyle w:val="Bullet"/>
      </w:pPr>
      <w:r>
        <w:rPr>
          <w:b/>
        </w:rPr>
        <w:t>CIPR</w:t>
      </w:r>
      <w:r w:rsidR="00D90EFA" w:rsidRPr="00D90EFA">
        <w:rPr>
          <w:b/>
        </w:rPr>
        <w:t xml:space="preserve"> (</w:t>
      </w:r>
      <w:r w:rsidR="00AE3E8D">
        <w:rPr>
          <w:b/>
        </w:rPr>
        <w:t>standard</w:t>
      </w:r>
      <w:r w:rsidR="006A6608">
        <w:rPr>
          <w:b/>
        </w:rPr>
        <w:t xml:space="preserve"> DLA</w:t>
      </w:r>
      <w:r w:rsidR="00D90EFA" w:rsidRPr="00D90EFA">
        <w:rPr>
          <w:b/>
        </w:rPr>
        <w:t>)</w:t>
      </w:r>
      <w:r w:rsidR="00D90EFA">
        <w:t>: 20</w:t>
      </w:r>
      <w:r w:rsidR="006406D7">
        <w:t xml:space="preserve"> per cent</w:t>
      </w:r>
      <w:r w:rsidR="00D90EFA">
        <w:t xml:space="preserve"> of the individual’s balance at retirement is allocated to a DLA, 80</w:t>
      </w:r>
      <w:r w:rsidR="006406D7">
        <w:t> per cent</w:t>
      </w:r>
      <w:r w:rsidR="00D90EFA">
        <w:t xml:space="preserve"> is placed in an ABP with an efficient drawdown profile</w:t>
      </w:r>
      <w:r>
        <w:t>.</w:t>
      </w:r>
    </w:p>
    <w:p w14:paraId="5C90BB95" w14:textId="1F1E593F" w:rsidR="00D90EFA" w:rsidRDefault="0018663F" w:rsidP="00D90EFA">
      <w:pPr>
        <w:pStyle w:val="Bullet"/>
      </w:pPr>
      <w:r>
        <w:rPr>
          <w:b/>
        </w:rPr>
        <w:t>CIPR</w:t>
      </w:r>
      <w:r w:rsidR="00D90EFA" w:rsidRPr="00D90EFA">
        <w:rPr>
          <w:b/>
        </w:rPr>
        <w:t xml:space="preserve"> (high</w:t>
      </w:r>
      <w:r w:rsidR="00AE3E8D">
        <w:rPr>
          <w:b/>
        </w:rPr>
        <w:t>er</w:t>
      </w:r>
      <w:r w:rsidR="00D90EFA" w:rsidRPr="00D90EFA">
        <w:rPr>
          <w:b/>
        </w:rPr>
        <w:t xml:space="preserve"> flexibility)</w:t>
      </w:r>
      <w:r w:rsidR="00D90EFA">
        <w:t xml:space="preserve">: $50,000 </w:t>
      </w:r>
      <w:r>
        <w:t>(12</w:t>
      </w:r>
      <w:r w:rsidR="006406D7">
        <w:t xml:space="preserve"> per cent</w:t>
      </w:r>
      <w:r>
        <w:t xml:space="preserve">) </w:t>
      </w:r>
      <w:r w:rsidR="00D90EFA">
        <w:t xml:space="preserve">of the individual’s balance is </w:t>
      </w:r>
      <w:r>
        <w:t>placed in a cash account to provide higher access to capital, 18</w:t>
      </w:r>
      <w:r w:rsidR="006406D7">
        <w:t xml:space="preserve"> per cent</w:t>
      </w:r>
      <w:r>
        <w:t xml:space="preserve"> of the balance is allocated to a DLA and 70</w:t>
      </w:r>
      <w:r w:rsidR="006406D7">
        <w:t> per cent</w:t>
      </w:r>
      <w:r>
        <w:t xml:space="preserve"> placed in an ABP with an efficient drawdown profile.</w:t>
      </w:r>
    </w:p>
    <w:p w14:paraId="477F1CDD" w14:textId="443CCCA0" w:rsidR="0018663F" w:rsidRDefault="0018663F" w:rsidP="00D90EFA">
      <w:pPr>
        <w:pStyle w:val="Bullet"/>
      </w:pPr>
      <w:r w:rsidRPr="0018663F">
        <w:rPr>
          <w:b/>
        </w:rPr>
        <w:t>ABP (minimum drawdown)</w:t>
      </w:r>
      <w:r>
        <w:t>: 100</w:t>
      </w:r>
      <w:r w:rsidR="006406D7">
        <w:t xml:space="preserve"> per cent</w:t>
      </w:r>
      <w:r>
        <w:t xml:space="preserve"> of the individual’s balance is placed in an ABP and drawn down at minimum rates.</w:t>
      </w:r>
    </w:p>
    <w:p w14:paraId="0F2D719B" w14:textId="56D38CFF" w:rsidR="00AE3E8D" w:rsidRDefault="0018663F" w:rsidP="006A6608">
      <w:pPr>
        <w:pStyle w:val="Bullet"/>
      </w:pPr>
      <w:r w:rsidRPr="0018663F">
        <w:rPr>
          <w:b/>
        </w:rPr>
        <w:t>ABP (6</w:t>
      </w:r>
      <w:r w:rsidR="006406D7">
        <w:rPr>
          <w:b/>
        </w:rPr>
        <w:t xml:space="preserve"> per cent</w:t>
      </w:r>
      <w:r w:rsidRPr="0018663F">
        <w:rPr>
          <w:b/>
        </w:rPr>
        <w:t xml:space="preserve"> drawdown)</w:t>
      </w:r>
      <w:r>
        <w:t>: 100</w:t>
      </w:r>
      <w:r w:rsidR="006406D7">
        <w:t xml:space="preserve"> per cent</w:t>
      </w:r>
      <w:r>
        <w:t xml:space="preserve"> of the individual’s balance is placed in an ABP and drawn down at an initial rate of 6</w:t>
      </w:r>
      <w:r w:rsidR="006406D7">
        <w:t xml:space="preserve"> per cent</w:t>
      </w:r>
      <w:r>
        <w:t>, reverting to the minimu</w:t>
      </w:r>
      <w:r w:rsidR="006406D7">
        <w:t>m drawdown rate after 10 </w:t>
      </w:r>
      <w:r w:rsidR="00AE3E8D">
        <w:t>years.</w:t>
      </w:r>
    </w:p>
    <w:p w14:paraId="14526DBE" w14:textId="77777777" w:rsidR="00AE3E8D" w:rsidRDefault="00AE3E8D" w:rsidP="00AE3E8D">
      <w:pPr>
        <w:rPr>
          <w:rFonts w:cs="Arial"/>
          <w:color w:val="336E98"/>
          <w:kern w:val="32"/>
          <w:sz w:val="26"/>
          <w:szCs w:val="26"/>
        </w:rPr>
      </w:pPr>
      <w:r>
        <w:br w:type="page"/>
      </w:r>
    </w:p>
    <w:p w14:paraId="7252E325" w14:textId="5D6C06EC" w:rsidR="006A6608" w:rsidRDefault="00AE3E8D" w:rsidP="006A6608">
      <w:pPr>
        <w:pStyle w:val="Heading4"/>
      </w:pPr>
      <w:r>
        <w:lastRenderedPageBreak/>
        <w:t>Scenario 1</w:t>
      </w:r>
      <w:r w:rsidR="006A6608">
        <w:t xml:space="preserve">: </w:t>
      </w:r>
      <w:r w:rsidR="00255B0D">
        <w:t xml:space="preserve">Income from </w:t>
      </w:r>
      <w:r w:rsidR="006A6608">
        <w:t>$100,000 superannuation balance</w:t>
      </w:r>
    </w:p>
    <w:p w14:paraId="2BE10F67" w14:textId="680F01D8" w:rsidR="00000226" w:rsidRDefault="001A3203" w:rsidP="001A3203">
      <w:pPr>
        <w:jc w:val="center"/>
      </w:pPr>
      <w:r w:rsidRPr="001A3203">
        <w:rPr>
          <w:noProof/>
        </w:rPr>
        <w:drawing>
          <wp:inline distT="0" distB="0" distL="0" distR="0" wp14:anchorId="22C6B8D3" wp14:editId="1958F0F8">
            <wp:extent cx="5486400" cy="25431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5360C3" w14:textId="3AF007CE" w:rsidR="00000226" w:rsidRDefault="00000226" w:rsidP="00000226">
      <w:pPr>
        <w:pStyle w:val="Heading4"/>
      </w:pPr>
      <w:r>
        <w:t xml:space="preserve">Scenario 2: </w:t>
      </w:r>
      <w:r w:rsidR="00255B0D">
        <w:t xml:space="preserve">Income from </w:t>
      </w:r>
      <w:r>
        <w:t>$400,000 superannuation balance, non-homeowner</w:t>
      </w:r>
    </w:p>
    <w:p w14:paraId="798E674D" w14:textId="58EBE85C" w:rsidR="00255B0D" w:rsidRDefault="00000226" w:rsidP="001A3203">
      <w:pPr>
        <w:jc w:val="center"/>
      </w:pPr>
      <w:r w:rsidRPr="00000226">
        <w:rPr>
          <w:noProof/>
        </w:rPr>
        <w:drawing>
          <wp:inline distT="0" distB="0" distL="0" distR="0" wp14:anchorId="25E961DC" wp14:editId="190C2722">
            <wp:extent cx="5486400" cy="250507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349BD8" w14:textId="120BE8FD" w:rsidR="00000226" w:rsidRDefault="00000226" w:rsidP="00000226">
      <w:pPr>
        <w:pStyle w:val="Heading4"/>
      </w:pPr>
      <w:r>
        <w:t xml:space="preserve">Scenario 3: </w:t>
      </w:r>
      <w:r w:rsidR="00255B0D">
        <w:t xml:space="preserve">Income from </w:t>
      </w:r>
      <w:r>
        <w:t>$400,000 superannuation balance, homeowner</w:t>
      </w:r>
    </w:p>
    <w:p w14:paraId="1D165426" w14:textId="740A048C" w:rsidR="00000226" w:rsidRPr="006A6608" w:rsidRDefault="00000226" w:rsidP="00000226">
      <w:pPr>
        <w:jc w:val="center"/>
      </w:pPr>
      <w:r w:rsidRPr="00000226">
        <w:rPr>
          <w:noProof/>
        </w:rPr>
        <w:drawing>
          <wp:inline distT="0" distB="0" distL="0" distR="0" wp14:anchorId="3F5D7701" wp14:editId="526585D0">
            <wp:extent cx="5486400" cy="25527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000226" w:rsidRPr="006A6608" w:rsidSect="00AB524A">
      <w:headerReference w:type="even" r:id="rId32"/>
      <w:headerReference w:type="default" r:id="rId33"/>
      <w:footerReference w:type="even" r:id="rId34"/>
      <w:footerReference w:type="default" r:id="rId35"/>
      <w:headerReference w:type="first" r:id="rId36"/>
      <w:footerReference w:type="first" r:id="rId37"/>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8CF84" w14:textId="77777777" w:rsidR="00BB0678" w:rsidRDefault="00BB0678">
      <w:pPr>
        <w:spacing w:before="0" w:after="0"/>
      </w:pPr>
      <w:r>
        <w:separator/>
      </w:r>
    </w:p>
  </w:endnote>
  <w:endnote w:type="continuationSeparator" w:id="0">
    <w:p w14:paraId="44B5419B" w14:textId="77777777" w:rsidR="00BB0678" w:rsidRDefault="00BB0678">
      <w:pPr>
        <w:spacing w:before="0" w:after="0"/>
      </w:pPr>
      <w:r>
        <w:continuationSeparator/>
      </w:r>
    </w:p>
  </w:endnote>
  <w:endnote w:type="continuationNotice" w:id="1">
    <w:p w14:paraId="150B29A0" w14:textId="77777777" w:rsidR="00BB0678" w:rsidRDefault="00BB06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ercu">
    <w:altName w:val="Aperc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854E8" w14:textId="77777777" w:rsidR="00BB0678" w:rsidRPr="00E1136B" w:rsidRDefault="00BB0678" w:rsidP="00E1136B">
    <w:pPr>
      <w:pStyle w:val="Footer"/>
    </w:pPr>
    <w:r>
      <w:rPr>
        <w:noProof/>
      </w:rPr>
      <w:drawing>
        <wp:anchor distT="0" distB="0" distL="114300" distR="114300" simplePos="0" relativeHeight="251658241" behindDoc="1" locked="0" layoutInCell="1" allowOverlap="1" wp14:anchorId="0482E51C" wp14:editId="2C9C11DB">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AE7BC8">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A9BA0" w14:textId="77777777" w:rsidR="00BB0678" w:rsidRPr="00E77C89" w:rsidRDefault="00BB0678"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F334" w14:textId="77777777" w:rsidR="00BB0678" w:rsidRPr="00E77C89" w:rsidRDefault="00BB0678" w:rsidP="0017089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72B3C" w14:textId="77777777" w:rsidR="00BB0678" w:rsidRPr="00E1136B" w:rsidRDefault="00BB0678" w:rsidP="00E1136B">
    <w:pPr>
      <w:pStyle w:val="Footer"/>
    </w:pPr>
    <w:r>
      <w:fldChar w:fldCharType="begin"/>
    </w:r>
    <w:r>
      <w:instrText xml:space="preserve"> PAGE   \* MERGEFORMAT </w:instrText>
    </w:r>
    <w:r>
      <w:fldChar w:fldCharType="separate"/>
    </w:r>
    <w:r w:rsidR="00AE7BC8">
      <w:rPr>
        <w:noProof/>
      </w:rPr>
      <w:t>15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08BFC" w14:textId="77777777" w:rsidR="00BB0678" w:rsidRDefault="00BB0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E9910" w14:textId="77777777" w:rsidR="00BB0678" w:rsidRDefault="00BB0678">
      <w:pPr>
        <w:spacing w:before="0" w:after="0"/>
      </w:pPr>
      <w:r>
        <w:separator/>
      </w:r>
    </w:p>
  </w:footnote>
  <w:footnote w:type="continuationSeparator" w:id="0">
    <w:p w14:paraId="3EB621B7" w14:textId="77777777" w:rsidR="00BB0678" w:rsidRDefault="00BB0678">
      <w:pPr>
        <w:spacing w:before="0" w:after="0"/>
      </w:pPr>
      <w:r>
        <w:continuationSeparator/>
      </w:r>
    </w:p>
  </w:footnote>
  <w:footnote w:type="continuationNotice" w:id="1">
    <w:p w14:paraId="45AC5043" w14:textId="77777777" w:rsidR="00BB0678" w:rsidRDefault="00BB0678">
      <w:pPr>
        <w:spacing w:before="0" w:after="0"/>
      </w:pPr>
    </w:p>
  </w:footnote>
  <w:footnote w:id="2">
    <w:p w14:paraId="15C51166" w14:textId="6BD1BC57" w:rsidR="00BB0678" w:rsidRDefault="00BB0678">
      <w:pPr>
        <w:pStyle w:val="FootnoteText"/>
      </w:pPr>
      <w:r>
        <w:rPr>
          <w:rStyle w:val="FootnoteReference"/>
        </w:rPr>
        <w:footnoteRef/>
      </w:r>
      <w:r>
        <w:t xml:space="preserve"> </w:t>
      </w:r>
      <w:proofErr w:type="gramStart"/>
      <w:r>
        <w:t xml:space="preserve">Treasury, </w:t>
      </w:r>
      <w:r w:rsidRPr="0006204B">
        <w:rPr>
          <w:i/>
        </w:rPr>
        <w:t>Development of the framework for Comprehensive Income Products for Retirement</w:t>
      </w:r>
      <w:r>
        <w:t>, Canberra, 2016.</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EFF69" w14:textId="77777777" w:rsidR="00BB0678" w:rsidRDefault="00BB0678">
    <w:pPr>
      <w:pStyle w:val="Header"/>
    </w:pPr>
    <w:r>
      <w:rPr>
        <w:noProof/>
      </w:rPr>
      <w:drawing>
        <wp:anchor distT="0" distB="0" distL="114300" distR="114300" simplePos="0" relativeHeight="251658240" behindDoc="1" locked="0" layoutInCell="1" allowOverlap="1" wp14:anchorId="481F60EA" wp14:editId="76D5D615">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1EA5" w14:textId="77777777" w:rsidR="00BB0678" w:rsidRPr="001F3912" w:rsidRDefault="00BB0678"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FE8B7" w14:textId="77777777" w:rsidR="00BB0678" w:rsidRPr="001F3912" w:rsidRDefault="00BB0678" w:rsidP="001708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2F11A" w14:textId="77777777" w:rsidR="00BB0678" w:rsidRPr="001F3912" w:rsidRDefault="00BB0678" w:rsidP="001708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BB6C" w14:textId="77777777" w:rsidR="00BB0678" w:rsidRPr="001F3912" w:rsidRDefault="00AE7BC8" w:rsidP="001606CF">
    <w:pPr>
      <w:pStyle w:val="Header"/>
    </w:pPr>
    <w:r>
      <w:fldChar w:fldCharType="begin"/>
    </w:r>
    <w:r>
      <w:instrText xml:space="preserve"> STYLEREF  Title  \* MERGEFORMAT </w:instrText>
    </w:r>
    <w:r>
      <w:fldChar w:fldCharType="separate"/>
    </w:r>
    <w:r>
      <w:rPr>
        <w:noProof/>
      </w:rPr>
      <w:t>Retirement Income Covenant Position Paper</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CBFD" w14:textId="77777777" w:rsidR="00BB0678" w:rsidRDefault="00BB0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9B7686"/>
    <w:multiLevelType w:val="hybridMultilevel"/>
    <w:tmpl w:val="8F22B2AC"/>
    <w:lvl w:ilvl="0" w:tplc="F1BA0646">
      <w:start w:val="1"/>
      <w:numFmt w:val="bullet"/>
      <w:lvlText w:val="•"/>
      <w:lvlJc w:val="left"/>
      <w:pPr>
        <w:tabs>
          <w:tab w:val="num" w:pos="720"/>
        </w:tabs>
        <w:ind w:left="720" w:hanging="360"/>
      </w:pPr>
      <w:rPr>
        <w:rFonts w:ascii="Arial" w:hAnsi="Arial" w:hint="default"/>
      </w:rPr>
    </w:lvl>
    <w:lvl w:ilvl="1" w:tplc="249A8F26" w:tentative="1">
      <w:start w:val="1"/>
      <w:numFmt w:val="bullet"/>
      <w:lvlText w:val="•"/>
      <w:lvlJc w:val="left"/>
      <w:pPr>
        <w:tabs>
          <w:tab w:val="num" w:pos="1440"/>
        </w:tabs>
        <w:ind w:left="1440" w:hanging="360"/>
      </w:pPr>
      <w:rPr>
        <w:rFonts w:ascii="Arial" w:hAnsi="Arial" w:hint="default"/>
      </w:rPr>
    </w:lvl>
    <w:lvl w:ilvl="2" w:tplc="080E451C" w:tentative="1">
      <w:start w:val="1"/>
      <w:numFmt w:val="bullet"/>
      <w:lvlText w:val="•"/>
      <w:lvlJc w:val="left"/>
      <w:pPr>
        <w:tabs>
          <w:tab w:val="num" w:pos="2160"/>
        </w:tabs>
        <w:ind w:left="2160" w:hanging="360"/>
      </w:pPr>
      <w:rPr>
        <w:rFonts w:ascii="Arial" w:hAnsi="Arial" w:hint="default"/>
      </w:rPr>
    </w:lvl>
    <w:lvl w:ilvl="3" w:tplc="BE22CE70" w:tentative="1">
      <w:start w:val="1"/>
      <w:numFmt w:val="bullet"/>
      <w:lvlText w:val="•"/>
      <w:lvlJc w:val="left"/>
      <w:pPr>
        <w:tabs>
          <w:tab w:val="num" w:pos="2880"/>
        </w:tabs>
        <w:ind w:left="2880" w:hanging="360"/>
      </w:pPr>
      <w:rPr>
        <w:rFonts w:ascii="Arial" w:hAnsi="Arial" w:hint="default"/>
      </w:rPr>
    </w:lvl>
    <w:lvl w:ilvl="4" w:tplc="13C6EFC6" w:tentative="1">
      <w:start w:val="1"/>
      <w:numFmt w:val="bullet"/>
      <w:lvlText w:val="•"/>
      <w:lvlJc w:val="left"/>
      <w:pPr>
        <w:tabs>
          <w:tab w:val="num" w:pos="3600"/>
        </w:tabs>
        <w:ind w:left="3600" w:hanging="360"/>
      </w:pPr>
      <w:rPr>
        <w:rFonts w:ascii="Arial" w:hAnsi="Arial" w:hint="default"/>
      </w:rPr>
    </w:lvl>
    <w:lvl w:ilvl="5" w:tplc="1FD22AE8" w:tentative="1">
      <w:start w:val="1"/>
      <w:numFmt w:val="bullet"/>
      <w:lvlText w:val="•"/>
      <w:lvlJc w:val="left"/>
      <w:pPr>
        <w:tabs>
          <w:tab w:val="num" w:pos="4320"/>
        </w:tabs>
        <w:ind w:left="4320" w:hanging="360"/>
      </w:pPr>
      <w:rPr>
        <w:rFonts w:ascii="Arial" w:hAnsi="Arial" w:hint="default"/>
      </w:rPr>
    </w:lvl>
    <w:lvl w:ilvl="6" w:tplc="8E003F1E" w:tentative="1">
      <w:start w:val="1"/>
      <w:numFmt w:val="bullet"/>
      <w:lvlText w:val="•"/>
      <w:lvlJc w:val="left"/>
      <w:pPr>
        <w:tabs>
          <w:tab w:val="num" w:pos="5040"/>
        </w:tabs>
        <w:ind w:left="5040" w:hanging="360"/>
      </w:pPr>
      <w:rPr>
        <w:rFonts w:ascii="Arial" w:hAnsi="Arial" w:hint="default"/>
      </w:rPr>
    </w:lvl>
    <w:lvl w:ilvl="7" w:tplc="CBF64C82" w:tentative="1">
      <w:start w:val="1"/>
      <w:numFmt w:val="bullet"/>
      <w:lvlText w:val="•"/>
      <w:lvlJc w:val="left"/>
      <w:pPr>
        <w:tabs>
          <w:tab w:val="num" w:pos="5760"/>
        </w:tabs>
        <w:ind w:left="5760" w:hanging="360"/>
      </w:pPr>
      <w:rPr>
        <w:rFonts w:ascii="Arial" w:hAnsi="Arial" w:hint="default"/>
      </w:rPr>
    </w:lvl>
    <w:lvl w:ilvl="8" w:tplc="A55E7F30" w:tentative="1">
      <w:start w:val="1"/>
      <w:numFmt w:val="bullet"/>
      <w:lvlText w:val="•"/>
      <w:lvlJc w:val="left"/>
      <w:pPr>
        <w:tabs>
          <w:tab w:val="num" w:pos="6480"/>
        </w:tabs>
        <w:ind w:left="6480" w:hanging="360"/>
      </w:pPr>
      <w:rPr>
        <w:rFonts w:ascii="Arial" w:hAnsi="Arial"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E030EB9"/>
    <w:multiLevelType w:val="hybridMultilevel"/>
    <w:tmpl w:val="032AA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967299"/>
    <w:multiLevelType w:val="multilevel"/>
    <w:tmpl w:val="E00CB3F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440C8B"/>
    <w:multiLevelType w:val="multilevel"/>
    <w:tmpl w:val="42C02662"/>
    <w:lvl w:ilvl="0">
      <w:start w:val="1"/>
      <w:numFmt w:val="bullet"/>
      <w:lvlText w:val="•"/>
      <w:lvlJc w:val="left"/>
      <w:pPr>
        <w:tabs>
          <w:tab w:val="num" w:pos="520"/>
        </w:tabs>
        <w:ind w:left="520" w:hanging="520"/>
      </w:pPr>
      <w:rPr>
        <w:rFonts w:ascii="Times New Roman" w:hAnsi="Times New Roman" w:cs="Times New Roman" w:hint="default"/>
        <w:b w:val="0"/>
        <w:i w:val="0"/>
      </w:rPr>
    </w:lvl>
    <w:lvl w:ilvl="1">
      <w:start w:val="1"/>
      <w:numFmt w:val="bullet"/>
      <w:lvlText w:val="–"/>
      <w:lvlJc w:val="left"/>
      <w:pPr>
        <w:tabs>
          <w:tab w:val="num" w:pos="1040"/>
        </w:tabs>
        <w:ind w:left="1040" w:hanging="520"/>
      </w:pPr>
      <w:rPr>
        <w:rFonts w:ascii="Times New Roman" w:hAnsi="Times New Roman" w:cs="Times New Roman" w:hint="default"/>
        <w:b w:val="0"/>
        <w:i w:val="0"/>
      </w:rPr>
    </w:lvl>
    <w:lvl w:ilvl="2">
      <w:start w:val="1"/>
      <w:numFmt w:val="bullet"/>
      <w:lvlText w:val=":"/>
      <w:lvlJc w:val="left"/>
      <w:pPr>
        <w:tabs>
          <w:tab w:val="num" w:pos="1560"/>
        </w:tabs>
        <w:ind w:left="1560" w:hanging="520"/>
      </w:pPr>
      <w:rPr>
        <w:rFonts w:ascii="Times New Roman" w:hAnsi="Times New Roman" w:cs="Times New Roman" w:hint="default"/>
        <w:b w:val="0"/>
        <w:i w:val="0"/>
      </w:rPr>
    </w:lvl>
    <w:lvl w:ilvl="3">
      <w:start w:val="1"/>
      <w:numFmt w:val="decimal"/>
      <w:lvlText w:val="(%4)"/>
      <w:lvlJc w:val="left"/>
      <w:pPr>
        <w:tabs>
          <w:tab w:val="num" w:pos="5058"/>
        </w:tabs>
        <w:ind w:left="5058" w:hanging="360"/>
      </w:pPr>
      <w:rPr>
        <w:rFonts w:hint="default"/>
        <w:b w:val="0"/>
        <w:i w:val="0"/>
      </w:rPr>
    </w:lvl>
    <w:lvl w:ilvl="4">
      <w:start w:val="1"/>
      <w:numFmt w:val="lowerLetter"/>
      <w:lvlText w:val="(%5)"/>
      <w:lvlJc w:val="left"/>
      <w:pPr>
        <w:tabs>
          <w:tab w:val="num" w:pos="5418"/>
        </w:tabs>
        <w:ind w:left="5418" w:hanging="360"/>
      </w:pPr>
      <w:rPr>
        <w:rFonts w:hint="default"/>
        <w:b w:val="0"/>
        <w:i w:val="0"/>
      </w:rPr>
    </w:lvl>
    <w:lvl w:ilvl="5">
      <w:start w:val="1"/>
      <w:numFmt w:val="lowerRoman"/>
      <w:lvlText w:val="(%6)"/>
      <w:lvlJc w:val="left"/>
      <w:pPr>
        <w:tabs>
          <w:tab w:val="num" w:pos="5778"/>
        </w:tabs>
        <w:ind w:left="5778" w:hanging="360"/>
      </w:pPr>
      <w:rPr>
        <w:rFonts w:hint="default"/>
        <w:b w:val="0"/>
        <w:i w:val="0"/>
      </w:rPr>
    </w:lvl>
    <w:lvl w:ilvl="6">
      <w:start w:val="1"/>
      <w:numFmt w:val="decimal"/>
      <w:lvlText w:val="%7."/>
      <w:lvlJc w:val="left"/>
      <w:pPr>
        <w:tabs>
          <w:tab w:val="num" w:pos="6138"/>
        </w:tabs>
        <w:ind w:left="6138" w:hanging="360"/>
      </w:pPr>
      <w:rPr>
        <w:rFonts w:hint="default"/>
        <w:b w:val="0"/>
        <w:i w:val="0"/>
      </w:rPr>
    </w:lvl>
    <w:lvl w:ilvl="7">
      <w:start w:val="1"/>
      <w:numFmt w:val="lowerLetter"/>
      <w:lvlText w:val="%8."/>
      <w:lvlJc w:val="left"/>
      <w:pPr>
        <w:tabs>
          <w:tab w:val="num" w:pos="6498"/>
        </w:tabs>
        <w:ind w:left="6498" w:hanging="360"/>
      </w:pPr>
      <w:rPr>
        <w:rFonts w:hint="default"/>
        <w:b w:val="0"/>
        <w:i w:val="0"/>
      </w:rPr>
    </w:lvl>
    <w:lvl w:ilvl="8">
      <w:start w:val="1"/>
      <w:numFmt w:val="lowerRoman"/>
      <w:lvlText w:val="%9."/>
      <w:lvlJc w:val="left"/>
      <w:pPr>
        <w:tabs>
          <w:tab w:val="num" w:pos="6858"/>
        </w:tabs>
        <w:ind w:left="6858" w:hanging="360"/>
      </w:pPr>
      <w:rPr>
        <w:rFonts w:hint="default"/>
        <w:b w:val="0"/>
        <w:i w:val="0"/>
      </w:rPr>
    </w:lvl>
  </w:abstractNum>
  <w:abstractNum w:abstractNumId="9">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AD74259"/>
    <w:multiLevelType w:val="hybridMultilevel"/>
    <w:tmpl w:val="1C7AB460"/>
    <w:lvl w:ilvl="0" w:tplc="766450C2">
      <w:start w:val="1"/>
      <w:numFmt w:val="bullet"/>
      <w:lvlText w:val="•"/>
      <w:lvlJc w:val="left"/>
      <w:pPr>
        <w:tabs>
          <w:tab w:val="num" w:pos="720"/>
        </w:tabs>
        <w:ind w:left="720" w:hanging="360"/>
      </w:pPr>
      <w:rPr>
        <w:rFonts w:ascii="Arial" w:hAnsi="Arial" w:hint="default"/>
      </w:rPr>
    </w:lvl>
    <w:lvl w:ilvl="1" w:tplc="7CD43360" w:tentative="1">
      <w:start w:val="1"/>
      <w:numFmt w:val="bullet"/>
      <w:lvlText w:val="•"/>
      <w:lvlJc w:val="left"/>
      <w:pPr>
        <w:tabs>
          <w:tab w:val="num" w:pos="1440"/>
        </w:tabs>
        <w:ind w:left="1440" w:hanging="360"/>
      </w:pPr>
      <w:rPr>
        <w:rFonts w:ascii="Arial" w:hAnsi="Arial" w:hint="default"/>
      </w:rPr>
    </w:lvl>
    <w:lvl w:ilvl="2" w:tplc="596E4E8E" w:tentative="1">
      <w:start w:val="1"/>
      <w:numFmt w:val="bullet"/>
      <w:lvlText w:val="•"/>
      <w:lvlJc w:val="left"/>
      <w:pPr>
        <w:tabs>
          <w:tab w:val="num" w:pos="2160"/>
        </w:tabs>
        <w:ind w:left="2160" w:hanging="360"/>
      </w:pPr>
      <w:rPr>
        <w:rFonts w:ascii="Arial" w:hAnsi="Arial" w:hint="default"/>
      </w:rPr>
    </w:lvl>
    <w:lvl w:ilvl="3" w:tplc="FCBA0026" w:tentative="1">
      <w:start w:val="1"/>
      <w:numFmt w:val="bullet"/>
      <w:lvlText w:val="•"/>
      <w:lvlJc w:val="left"/>
      <w:pPr>
        <w:tabs>
          <w:tab w:val="num" w:pos="2880"/>
        </w:tabs>
        <w:ind w:left="2880" w:hanging="360"/>
      </w:pPr>
      <w:rPr>
        <w:rFonts w:ascii="Arial" w:hAnsi="Arial" w:hint="default"/>
      </w:rPr>
    </w:lvl>
    <w:lvl w:ilvl="4" w:tplc="EE5AB920" w:tentative="1">
      <w:start w:val="1"/>
      <w:numFmt w:val="bullet"/>
      <w:lvlText w:val="•"/>
      <w:lvlJc w:val="left"/>
      <w:pPr>
        <w:tabs>
          <w:tab w:val="num" w:pos="3600"/>
        </w:tabs>
        <w:ind w:left="3600" w:hanging="360"/>
      </w:pPr>
      <w:rPr>
        <w:rFonts w:ascii="Arial" w:hAnsi="Arial" w:hint="default"/>
      </w:rPr>
    </w:lvl>
    <w:lvl w:ilvl="5" w:tplc="A3A8D7BE" w:tentative="1">
      <w:start w:val="1"/>
      <w:numFmt w:val="bullet"/>
      <w:lvlText w:val="•"/>
      <w:lvlJc w:val="left"/>
      <w:pPr>
        <w:tabs>
          <w:tab w:val="num" w:pos="4320"/>
        </w:tabs>
        <w:ind w:left="4320" w:hanging="360"/>
      </w:pPr>
      <w:rPr>
        <w:rFonts w:ascii="Arial" w:hAnsi="Arial" w:hint="default"/>
      </w:rPr>
    </w:lvl>
    <w:lvl w:ilvl="6" w:tplc="4A8EB7E2" w:tentative="1">
      <w:start w:val="1"/>
      <w:numFmt w:val="bullet"/>
      <w:lvlText w:val="•"/>
      <w:lvlJc w:val="left"/>
      <w:pPr>
        <w:tabs>
          <w:tab w:val="num" w:pos="5040"/>
        </w:tabs>
        <w:ind w:left="5040" w:hanging="360"/>
      </w:pPr>
      <w:rPr>
        <w:rFonts w:ascii="Arial" w:hAnsi="Arial" w:hint="default"/>
      </w:rPr>
    </w:lvl>
    <w:lvl w:ilvl="7" w:tplc="C8223570" w:tentative="1">
      <w:start w:val="1"/>
      <w:numFmt w:val="bullet"/>
      <w:lvlText w:val="•"/>
      <w:lvlJc w:val="left"/>
      <w:pPr>
        <w:tabs>
          <w:tab w:val="num" w:pos="5760"/>
        </w:tabs>
        <w:ind w:left="5760" w:hanging="360"/>
      </w:pPr>
      <w:rPr>
        <w:rFonts w:ascii="Arial" w:hAnsi="Arial" w:hint="default"/>
      </w:rPr>
    </w:lvl>
    <w:lvl w:ilvl="8" w:tplc="78CA7B88" w:tentative="1">
      <w:start w:val="1"/>
      <w:numFmt w:val="bullet"/>
      <w:lvlText w:val="•"/>
      <w:lvlJc w:val="left"/>
      <w:pPr>
        <w:tabs>
          <w:tab w:val="num" w:pos="6480"/>
        </w:tabs>
        <w:ind w:left="6480" w:hanging="360"/>
      </w:pPr>
      <w:rPr>
        <w:rFonts w:ascii="Arial" w:hAnsi="Arial" w:hint="default"/>
      </w:rPr>
    </w:lvl>
  </w:abstractNum>
  <w:abstractNum w:abstractNumId="11">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EA3229"/>
    <w:multiLevelType w:val="hybridMultilevel"/>
    <w:tmpl w:val="25B62482"/>
    <w:lvl w:ilvl="0" w:tplc="F6D02996">
      <w:start w:val="1"/>
      <w:numFmt w:val="bullet"/>
      <w:lvlText w:val="•"/>
      <w:lvlJc w:val="left"/>
      <w:pPr>
        <w:tabs>
          <w:tab w:val="num" w:pos="720"/>
        </w:tabs>
        <w:ind w:left="720" w:hanging="360"/>
      </w:pPr>
      <w:rPr>
        <w:rFonts w:ascii="Arial" w:hAnsi="Arial" w:hint="default"/>
      </w:rPr>
    </w:lvl>
    <w:lvl w:ilvl="1" w:tplc="EDDEE6D0" w:tentative="1">
      <w:start w:val="1"/>
      <w:numFmt w:val="bullet"/>
      <w:lvlText w:val="•"/>
      <w:lvlJc w:val="left"/>
      <w:pPr>
        <w:tabs>
          <w:tab w:val="num" w:pos="1440"/>
        </w:tabs>
        <w:ind w:left="1440" w:hanging="360"/>
      </w:pPr>
      <w:rPr>
        <w:rFonts w:ascii="Arial" w:hAnsi="Arial" w:hint="default"/>
      </w:rPr>
    </w:lvl>
    <w:lvl w:ilvl="2" w:tplc="73DC19FC" w:tentative="1">
      <w:start w:val="1"/>
      <w:numFmt w:val="bullet"/>
      <w:lvlText w:val="•"/>
      <w:lvlJc w:val="left"/>
      <w:pPr>
        <w:tabs>
          <w:tab w:val="num" w:pos="2160"/>
        </w:tabs>
        <w:ind w:left="2160" w:hanging="360"/>
      </w:pPr>
      <w:rPr>
        <w:rFonts w:ascii="Arial" w:hAnsi="Arial" w:hint="default"/>
      </w:rPr>
    </w:lvl>
    <w:lvl w:ilvl="3" w:tplc="58AC1C00" w:tentative="1">
      <w:start w:val="1"/>
      <w:numFmt w:val="bullet"/>
      <w:lvlText w:val="•"/>
      <w:lvlJc w:val="left"/>
      <w:pPr>
        <w:tabs>
          <w:tab w:val="num" w:pos="2880"/>
        </w:tabs>
        <w:ind w:left="2880" w:hanging="360"/>
      </w:pPr>
      <w:rPr>
        <w:rFonts w:ascii="Arial" w:hAnsi="Arial" w:hint="default"/>
      </w:rPr>
    </w:lvl>
    <w:lvl w:ilvl="4" w:tplc="9F203EFC" w:tentative="1">
      <w:start w:val="1"/>
      <w:numFmt w:val="bullet"/>
      <w:lvlText w:val="•"/>
      <w:lvlJc w:val="left"/>
      <w:pPr>
        <w:tabs>
          <w:tab w:val="num" w:pos="3600"/>
        </w:tabs>
        <w:ind w:left="3600" w:hanging="360"/>
      </w:pPr>
      <w:rPr>
        <w:rFonts w:ascii="Arial" w:hAnsi="Arial" w:hint="default"/>
      </w:rPr>
    </w:lvl>
    <w:lvl w:ilvl="5" w:tplc="B846D758" w:tentative="1">
      <w:start w:val="1"/>
      <w:numFmt w:val="bullet"/>
      <w:lvlText w:val="•"/>
      <w:lvlJc w:val="left"/>
      <w:pPr>
        <w:tabs>
          <w:tab w:val="num" w:pos="4320"/>
        </w:tabs>
        <w:ind w:left="4320" w:hanging="360"/>
      </w:pPr>
      <w:rPr>
        <w:rFonts w:ascii="Arial" w:hAnsi="Arial" w:hint="default"/>
      </w:rPr>
    </w:lvl>
    <w:lvl w:ilvl="6" w:tplc="E25CA8A6" w:tentative="1">
      <w:start w:val="1"/>
      <w:numFmt w:val="bullet"/>
      <w:lvlText w:val="•"/>
      <w:lvlJc w:val="left"/>
      <w:pPr>
        <w:tabs>
          <w:tab w:val="num" w:pos="5040"/>
        </w:tabs>
        <w:ind w:left="5040" w:hanging="360"/>
      </w:pPr>
      <w:rPr>
        <w:rFonts w:ascii="Arial" w:hAnsi="Arial" w:hint="default"/>
      </w:rPr>
    </w:lvl>
    <w:lvl w:ilvl="7" w:tplc="53FE8DDC" w:tentative="1">
      <w:start w:val="1"/>
      <w:numFmt w:val="bullet"/>
      <w:lvlText w:val="•"/>
      <w:lvlJc w:val="left"/>
      <w:pPr>
        <w:tabs>
          <w:tab w:val="num" w:pos="5760"/>
        </w:tabs>
        <w:ind w:left="5760" w:hanging="360"/>
      </w:pPr>
      <w:rPr>
        <w:rFonts w:ascii="Arial" w:hAnsi="Arial" w:hint="default"/>
      </w:rPr>
    </w:lvl>
    <w:lvl w:ilvl="8" w:tplc="B60C9530" w:tentative="1">
      <w:start w:val="1"/>
      <w:numFmt w:val="bullet"/>
      <w:lvlText w:val="•"/>
      <w:lvlJc w:val="left"/>
      <w:pPr>
        <w:tabs>
          <w:tab w:val="num" w:pos="6480"/>
        </w:tabs>
        <w:ind w:left="6480" w:hanging="360"/>
      </w:pPr>
      <w:rPr>
        <w:rFonts w:ascii="Arial" w:hAnsi="Arial" w:hint="default"/>
      </w:rPr>
    </w:lvl>
  </w:abstractNum>
  <w:abstractNum w:abstractNumId="15">
    <w:nsid w:val="4F083297"/>
    <w:multiLevelType w:val="multilevel"/>
    <w:tmpl w:val="2236C4C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0D2021"/>
    <w:multiLevelType w:val="multilevel"/>
    <w:tmpl w:val="72F8140E"/>
    <w:numStyleLink w:val="OutlineList"/>
  </w:abstractNum>
  <w:abstractNum w:abstractNumId="17">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1"/>
  </w:num>
  <w:num w:numId="2">
    <w:abstractNumId w:val="0"/>
  </w:num>
  <w:num w:numId="3">
    <w:abstractNumId w:val="13"/>
  </w:num>
  <w:num w:numId="4">
    <w:abstractNumId w:val="2"/>
  </w:num>
  <w:num w:numId="5">
    <w:abstractNumId w:val="4"/>
  </w:num>
  <w:num w:numId="6">
    <w:abstractNumId w:val="16"/>
  </w:num>
  <w:num w:numId="7">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1"/>
  </w:num>
  <w:num w:numId="10">
    <w:abstractNumId w:val="9"/>
  </w:num>
  <w:num w:numId="11">
    <w:abstractNumId w:val="17"/>
  </w:num>
  <w:num w:numId="12">
    <w:abstractNumId w:val="16"/>
  </w:num>
  <w:num w:numId="13">
    <w:abstractNumId w:val="9"/>
  </w:num>
  <w:num w:numId="14">
    <w:abstractNumId w:val="12"/>
  </w:num>
  <w:num w:numId="15">
    <w:abstractNumId w:val="7"/>
  </w:num>
  <w:num w:numId="16">
    <w:abstractNumId w:val="6"/>
  </w:num>
  <w:num w:numId="17">
    <w:abstractNumId w:val="15"/>
  </w:num>
  <w:num w:numId="18">
    <w:abstractNumId w:val="8"/>
  </w:num>
  <w:num w:numId="19">
    <w:abstractNumId w:val="11"/>
  </w:num>
  <w:num w:numId="20">
    <w:abstractNumId w:val="11"/>
  </w:num>
  <w:num w:numId="21">
    <w:abstractNumId w:val="3"/>
  </w:num>
  <w:num w:numId="22">
    <w:abstractNumId w:val="14"/>
  </w:num>
  <w:num w:numId="23">
    <w:abstractNumId w:val="10"/>
  </w:num>
  <w:num w:numId="24">
    <w:abstractNumId w:val="11"/>
  </w:num>
  <w:num w:numId="25">
    <w:abstractNumId w:val="11"/>
  </w:num>
  <w:num w:numId="26">
    <w:abstractNumId w:val="1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29"/>
    <w:rsid w:val="00000226"/>
    <w:rsid w:val="00000984"/>
    <w:rsid w:val="00004804"/>
    <w:rsid w:val="00004E97"/>
    <w:rsid w:val="00005C85"/>
    <w:rsid w:val="00011725"/>
    <w:rsid w:val="00012C62"/>
    <w:rsid w:val="000144A0"/>
    <w:rsid w:val="00016A7C"/>
    <w:rsid w:val="00020610"/>
    <w:rsid w:val="000207C9"/>
    <w:rsid w:val="0002196A"/>
    <w:rsid w:val="0002544D"/>
    <w:rsid w:val="00025D58"/>
    <w:rsid w:val="0002702C"/>
    <w:rsid w:val="000403B3"/>
    <w:rsid w:val="000419B3"/>
    <w:rsid w:val="00041A8B"/>
    <w:rsid w:val="0004274D"/>
    <w:rsid w:val="00043A32"/>
    <w:rsid w:val="00044C0A"/>
    <w:rsid w:val="00050532"/>
    <w:rsid w:val="00050626"/>
    <w:rsid w:val="00050647"/>
    <w:rsid w:val="00050B06"/>
    <w:rsid w:val="00052678"/>
    <w:rsid w:val="00056880"/>
    <w:rsid w:val="0006204B"/>
    <w:rsid w:val="0006287D"/>
    <w:rsid w:val="00062997"/>
    <w:rsid w:val="000655C1"/>
    <w:rsid w:val="00066904"/>
    <w:rsid w:val="000675D1"/>
    <w:rsid w:val="0007102C"/>
    <w:rsid w:val="0007283A"/>
    <w:rsid w:val="00073521"/>
    <w:rsid w:val="000775DE"/>
    <w:rsid w:val="0008468D"/>
    <w:rsid w:val="000858F2"/>
    <w:rsid w:val="00086DCA"/>
    <w:rsid w:val="00087FAF"/>
    <w:rsid w:val="000A433E"/>
    <w:rsid w:val="000A7303"/>
    <w:rsid w:val="000B0D98"/>
    <w:rsid w:val="000B68F2"/>
    <w:rsid w:val="000C5F40"/>
    <w:rsid w:val="000C654B"/>
    <w:rsid w:val="000D0166"/>
    <w:rsid w:val="000D1FFC"/>
    <w:rsid w:val="000D513E"/>
    <w:rsid w:val="000D5B6F"/>
    <w:rsid w:val="000D6AC4"/>
    <w:rsid w:val="000D7413"/>
    <w:rsid w:val="000E0B74"/>
    <w:rsid w:val="000E60E4"/>
    <w:rsid w:val="000F05C1"/>
    <w:rsid w:val="000F0BF8"/>
    <w:rsid w:val="000F5C1D"/>
    <w:rsid w:val="000F7517"/>
    <w:rsid w:val="00104DE4"/>
    <w:rsid w:val="0010704C"/>
    <w:rsid w:val="001218A2"/>
    <w:rsid w:val="00122246"/>
    <w:rsid w:val="00122904"/>
    <w:rsid w:val="0012511F"/>
    <w:rsid w:val="00125B2B"/>
    <w:rsid w:val="001267F9"/>
    <w:rsid w:val="00131EE0"/>
    <w:rsid w:val="0013205E"/>
    <w:rsid w:val="0013208C"/>
    <w:rsid w:val="00136163"/>
    <w:rsid w:val="00136622"/>
    <w:rsid w:val="00137C97"/>
    <w:rsid w:val="0014091C"/>
    <w:rsid w:val="001437B0"/>
    <w:rsid w:val="0015129D"/>
    <w:rsid w:val="001606CF"/>
    <w:rsid w:val="0016128D"/>
    <w:rsid w:val="001654D9"/>
    <w:rsid w:val="00167CCB"/>
    <w:rsid w:val="0017089D"/>
    <w:rsid w:val="00171667"/>
    <w:rsid w:val="00174CD5"/>
    <w:rsid w:val="00175C4E"/>
    <w:rsid w:val="0018020E"/>
    <w:rsid w:val="0018663F"/>
    <w:rsid w:val="0019101A"/>
    <w:rsid w:val="00191F44"/>
    <w:rsid w:val="0019312E"/>
    <w:rsid w:val="0019386C"/>
    <w:rsid w:val="001975AF"/>
    <w:rsid w:val="001A3203"/>
    <w:rsid w:val="001A54A6"/>
    <w:rsid w:val="001A6E4B"/>
    <w:rsid w:val="001A72B3"/>
    <w:rsid w:val="001B337F"/>
    <w:rsid w:val="001B413E"/>
    <w:rsid w:val="001C291D"/>
    <w:rsid w:val="001C358D"/>
    <w:rsid w:val="001C4D25"/>
    <w:rsid w:val="001C4ED3"/>
    <w:rsid w:val="001C6B18"/>
    <w:rsid w:val="001E1E59"/>
    <w:rsid w:val="001E42EF"/>
    <w:rsid w:val="001E6708"/>
    <w:rsid w:val="001E7134"/>
    <w:rsid w:val="001F0C10"/>
    <w:rsid w:val="001F3887"/>
    <w:rsid w:val="001F3C88"/>
    <w:rsid w:val="00205023"/>
    <w:rsid w:val="002062C6"/>
    <w:rsid w:val="00206A14"/>
    <w:rsid w:val="0021100E"/>
    <w:rsid w:val="0021755B"/>
    <w:rsid w:val="0022190E"/>
    <w:rsid w:val="00224246"/>
    <w:rsid w:val="002259CE"/>
    <w:rsid w:val="00231049"/>
    <w:rsid w:val="002314D2"/>
    <w:rsid w:val="002317B7"/>
    <w:rsid w:val="0023562A"/>
    <w:rsid w:val="002372A6"/>
    <w:rsid w:val="00241772"/>
    <w:rsid w:val="00242F7A"/>
    <w:rsid w:val="00245068"/>
    <w:rsid w:val="002504AF"/>
    <w:rsid w:val="002515E4"/>
    <w:rsid w:val="00252491"/>
    <w:rsid w:val="002541AF"/>
    <w:rsid w:val="00255B0D"/>
    <w:rsid w:val="00257AEE"/>
    <w:rsid w:val="002605E5"/>
    <w:rsid w:val="00261C20"/>
    <w:rsid w:val="00263B6C"/>
    <w:rsid w:val="00270B3F"/>
    <w:rsid w:val="00272CB9"/>
    <w:rsid w:val="0027330D"/>
    <w:rsid w:val="002743A4"/>
    <w:rsid w:val="0027590B"/>
    <w:rsid w:val="00276233"/>
    <w:rsid w:val="00283250"/>
    <w:rsid w:val="00285969"/>
    <w:rsid w:val="002940EC"/>
    <w:rsid w:val="0029418A"/>
    <w:rsid w:val="002A206D"/>
    <w:rsid w:val="002A54CF"/>
    <w:rsid w:val="002B17FA"/>
    <w:rsid w:val="002B35C7"/>
    <w:rsid w:val="002B3829"/>
    <w:rsid w:val="002B5C39"/>
    <w:rsid w:val="002C0900"/>
    <w:rsid w:val="002C108A"/>
    <w:rsid w:val="002C23CA"/>
    <w:rsid w:val="002C2EE1"/>
    <w:rsid w:val="002D4318"/>
    <w:rsid w:val="002D488F"/>
    <w:rsid w:val="002D79EA"/>
    <w:rsid w:val="002E1CE6"/>
    <w:rsid w:val="002E3D86"/>
    <w:rsid w:val="002E47A0"/>
    <w:rsid w:val="002E4BA6"/>
    <w:rsid w:val="002E5D26"/>
    <w:rsid w:val="002E6994"/>
    <w:rsid w:val="002F060F"/>
    <w:rsid w:val="002F1ADC"/>
    <w:rsid w:val="002F3CDF"/>
    <w:rsid w:val="002F617F"/>
    <w:rsid w:val="003026DB"/>
    <w:rsid w:val="0030364F"/>
    <w:rsid w:val="003056FB"/>
    <w:rsid w:val="0030581B"/>
    <w:rsid w:val="00306D77"/>
    <w:rsid w:val="00311723"/>
    <w:rsid w:val="003122F4"/>
    <w:rsid w:val="00312DF3"/>
    <w:rsid w:val="0031480F"/>
    <w:rsid w:val="003160D1"/>
    <w:rsid w:val="00316C17"/>
    <w:rsid w:val="00322BBA"/>
    <w:rsid w:val="00324369"/>
    <w:rsid w:val="003268D5"/>
    <w:rsid w:val="00330774"/>
    <w:rsid w:val="00330805"/>
    <w:rsid w:val="0033264A"/>
    <w:rsid w:val="00332C78"/>
    <w:rsid w:val="00340E73"/>
    <w:rsid w:val="00344779"/>
    <w:rsid w:val="00350955"/>
    <w:rsid w:val="00350D59"/>
    <w:rsid w:val="00354D27"/>
    <w:rsid w:val="00365074"/>
    <w:rsid w:val="0036591D"/>
    <w:rsid w:val="00371F4A"/>
    <w:rsid w:val="003729D4"/>
    <w:rsid w:val="00374097"/>
    <w:rsid w:val="0037495E"/>
    <w:rsid w:val="00375296"/>
    <w:rsid w:val="003831AD"/>
    <w:rsid w:val="003839F0"/>
    <w:rsid w:val="00384F45"/>
    <w:rsid w:val="003858A6"/>
    <w:rsid w:val="00392AAD"/>
    <w:rsid w:val="00392DCC"/>
    <w:rsid w:val="00394187"/>
    <w:rsid w:val="00395BCD"/>
    <w:rsid w:val="003A06D8"/>
    <w:rsid w:val="003A11CE"/>
    <w:rsid w:val="003A6843"/>
    <w:rsid w:val="003A6C43"/>
    <w:rsid w:val="003A7018"/>
    <w:rsid w:val="003B4514"/>
    <w:rsid w:val="003C45D1"/>
    <w:rsid w:val="003C7C3E"/>
    <w:rsid w:val="003D247B"/>
    <w:rsid w:val="003D28AD"/>
    <w:rsid w:val="003E47D5"/>
    <w:rsid w:val="003E4D87"/>
    <w:rsid w:val="003F1DDC"/>
    <w:rsid w:val="003F3A50"/>
    <w:rsid w:val="003F71F2"/>
    <w:rsid w:val="00404802"/>
    <w:rsid w:val="004073CD"/>
    <w:rsid w:val="00407FB0"/>
    <w:rsid w:val="00416686"/>
    <w:rsid w:val="00416762"/>
    <w:rsid w:val="00417E43"/>
    <w:rsid w:val="00426440"/>
    <w:rsid w:val="004265DD"/>
    <w:rsid w:val="00427563"/>
    <w:rsid w:val="0043322B"/>
    <w:rsid w:val="0044012A"/>
    <w:rsid w:val="0044133B"/>
    <w:rsid w:val="0044149C"/>
    <w:rsid w:val="00441BA3"/>
    <w:rsid w:val="00445265"/>
    <w:rsid w:val="004559CE"/>
    <w:rsid w:val="004577AE"/>
    <w:rsid w:val="004600ED"/>
    <w:rsid w:val="0046140F"/>
    <w:rsid w:val="00464DFA"/>
    <w:rsid w:val="00464FCD"/>
    <w:rsid w:val="0046714A"/>
    <w:rsid w:val="00467635"/>
    <w:rsid w:val="004741A8"/>
    <w:rsid w:val="004754FB"/>
    <w:rsid w:val="00475B7B"/>
    <w:rsid w:val="00475F4D"/>
    <w:rsid w:val="00480DC7"/>
    <w:rsid w:val="00481ABD"/>
    <w:rsid w:val="00482AD1"/>
    <w:rsid w:val="00483049"/>
    <w:rsid w:val="0048448A"/>
    <w:rsid w:val="00485CFC"/>
    <w:rsid w:val="004865E7"/>
    <w:rsid w:val="00491419"/>
    <w:rsid w:val="00492FCB"/>
    <w:rsid w:val="004938D1"/>
    <w:rsid w:val="00495187"/>
    <w:rsid w:val="004951A8"/>
    <w:rsid w:val="004956B6"/>
    <w:rsid w:val="00495C22"/>
    <w:rsid w:val="004A0E77"/>
    <w:rsid w:val="004A6836"/>
    <w:rsid w:val="004B005A"/>
    <w:rsid w:val="004C225A"/>
    <w:rsid w:val="004C376A"/>
    <w:rsid w:val="004C4F00"/>
    <w:rsid w:val="004E1EB5"/>
    <w:rsid w:val="004E20A0"/>
    <w:rsid w:val="004F1164"/>
    <w:rsid w:val="004F544C"/>
    <w:rsid w:val="00503677"/>
    <w:rsid w:val="0050707D"/>
    <w:rsid w:val="00507887"/>
    <w:rsid w:val="00510F10"/>
    <w:rsid w:val="00513CCF"/>
    <w:rsid w:val="0051530F"/>
    <w:rsid w:val="00515BB0"/>
    <w:rsid w:val="00516785"/>
    <w:rsid w:val="005169BF"/>
    <w:rsid w:val="005177C7"/>
    <w:rsid w:val="0052419D"/>
    <w:rsid w:val="005301F8"/>
    <w:rsid w:val="005312FC"/>
    <w:rsid w:val="0053603D"/>
    <w:rsid w:val="005377F9"/>
    <w:rsid w:val="00544FBD"/>
    <w:rsid w:val="00551184"/>
    <w:rsid w:val="00557E68"/>
    <w:rsid w:val="00562797"/>
    <w:rsid w:val="00563BA4"/>
    <w:rsid w:val="0056439E"/>
    <w:rsid w:val="0056570D"/>
    <w:rsid w:val="005723F8"/>
    <w:rsid w:val="00575461"/>
    <w:rsid w:val="0057592A"/>
    <w:rsid w:val="00582064"/>
    <w:rsid w:val="00583357"/>
    <w:rsid w:val="0058346D"/>
    <w:rsid w:val="00583D3F"/>
    <w:rsid w:val="00583D5D"/>
    <w:rsid w:val="005868DE"/>
    <w:rsid w:val="00595C46"/>
    <w:rsid w:val="005A1A00"/>
    <w:rsid w:val="005A5641"/>
    <w:rsid w:val="005B152B"/>
    <w:rsid w:val="005B20CE"/>
    <w:rsid w:val="005B3EC6"/>
    <w:rsid w:val="005B4D59"/>
    <w:rsid w:val="005B5121"/>
    <w:rsid w:val="005B5675"/>
    <w:rsid w:val="005B6376"/>
    <w:rsid w:val="005C11DE"/>
    <w:rsid w:val="005C52E7"/>
    <w:rsid w:val="005C55D5"/>
    <w:rsid w:val="005C59B1"/>
    <w:rsid w:val="005D1C26"/>
    <w:rsid w:val="005D2F45"/>
    <w:rsid w:val="005D4607"/>
    <w:rsid w:val="005E0461"/>
    <w:rsid w:val="005E14B0"/>
    <w:rsid w:val="005E2130"/>
    <w:rsid w:val="005F040C"/>
    <w:rsid w:val="005F1CDA"/>
    <w:rsid w:val="005F50FE"/>
    <w:rsid w:val="00601CCE"/>
    <w:rsid w:val="006035D5"/>
    <w:rsid w:val="006052E3"/>
    <w:rsid w:val="0060595B"/>
    <w:rsid w:val="00605AFD"/>
    <w:rsid w:val="0060635A"/>
    <w:rsid w:val="00607C7C"/>
    <w:rsid w:val="006123D4"/>
    <w:rsid w:val="006144A5"/>
    <w:rsid w:val="006200AB"/>
    <w:rsid w:val="00621D03"/>
    <w:rsid w:val="00623740"/>
    <w:rsid w:val="00625BD6"/>
    <w:rsid w:val="00630A66"/>
    <w:rsid w:val="00633132"/>
    <w:rsid w:val="00633CC5"/>
    <w:rsid w:val="00634429"/>
    <w:rsid w:val="0063614B"/>
    <w:rsid w:val="006378FC"/>
    <w:rsid w:val="00637C14"/>
    <w:rsid w:val="006406D7"/>
    <w:rsid w:val="00641A98"/>
    <w:rsid w:val="006431B6"/>
    <w:rsid w:val="00644A6B"/>
    <w:rsid w:val="00651FE6"/>
    <w:rsid w:val="00652E4D"/>
    <w:rsid w:val="00656356"/>
    <w:rsid w:val="006621D1"/>
    <w:rsid w:val="006646C3"/>
    <w:rsid w:val="0067496B"/>
    <w:rsid w:val="006755BF"/>
    <w:rsid w:val="006779F8"/>
    <w:rsid w:val="006809BB"/>
    <w:rsid w:val="00686165"/>
    <w:rsid w:val="00691CB5"/>
    <w:rsid w:val="00693673"/>
    <w:rsid w:val="006A232A"/>
    <w:rsid w:val="006A4448"/>
    <w:rsid w:val="006A6608"/>
    <w:rsid w:val="006A6EE1"/>
    <w:rsid w:val="006A755D"/>
    <w:rsid w:val="006B19A8"/>
    <w:rsid w:val="006B4D88"/>
    <w:rsid w:val="006B4EDB"/>
    <w:rsid w:val="006B5E7C"/>
    <w:rsid w:val="006C0EEF"/>
    <w:rsid w:val="006C3497"/>
    <w:rsid w:val="006C5192"/>
    <w:rsid w:val="006C645D"/>
    <w:rsid w:val="006D31EB"/>
    <w:rsid w:val="006D4077"/>
    <w:rsid w:val="006D42C7"/>
    <w:rsid w:val="006E3CC3"/>
    <w:rsid w:val="006E3EDA"/>
    <w:rsid w:val="006F2F06"/>
    <w:rsid w:val="006F656C"/>
    <w:rsid w:val="006F771D"/>
    <w:rsid w:val="007026CE"/>
    <w:rsid w:val="0070446F"/>
    <w:rsid w:val="00705761"/>
    <w:rsid w:val="00705A33"/>
    <w:rsid w:val="00707014"/>
    <w:rsid w:val="007072DB"/>
    <w:rsid w:val="00711697"/>
    <w:rsid w:val="00713C91"/>
    <w:rsid w:val="007154D1"/>
    <w:rsid w:val="007164ED"/>
    <w:rsid w:val="007222C4"/>
    <w:rsid w:val="00726A27"/>
    <w:rsid w:val="007356D1"/>
    <w:rsid w:val="00740B2F"/>
    <w:rsid w:val="00740D82"/>
    <w:rsid w:val="00745A87"/>
    <w:rsid w:val="00746DEC"/>
    <w:rsid w:val="00746E5A"/>
    <w:rsid w:val="00756445"/>
    <w:rsid w:val="0076049C"/>
    <w:rsid w:val="00761D83"/>
    <w:rsid w:val="00762445"/>
    <w:rsid w:val="007641BD"/>
    <w:rsid w:val="0077140F"/>
    <w:rsid w:val="007721FC"/>
    <w:rsid w:val="00772E9F"/>
    <w:rsid w:val="00773F80"/>
    <w:rsid w:val="00781F04"/>
    <w:rsid w:val="00781F52"/>
    <w:rsid w:val="0078509F"/>
    <w:rsid w:val="00785854"/>
    <w:rsid w:val="00790E62"/>
    <w:rsid w:val="00791164"/>
    <w:rsid w:val="007921C7"/>
    <w:rsid w:val="00794499"/>
    <w:rsid w:val="00797BF8"/>
    <w:rsid w:val="007A4597"/>
    <w:rsid w:val="007A5E88"/>
    <w:rsid w:val="007A6233"/>
    <w:rsid w:val="007A6C8C"/>
    <w:rsid w:val="007B1140"/>
    <w:rsid w:val="007B36CA"/>
    <w:rsid w:val="007C2E50"/>
    <w:rsid w:val="007C38FE"/>
    <w:rsid w:val="007D3936"/>
    <w:rsid w:val="007D51A2"/>
    <w:rsid w:val="007D5AA6"/>
    <w:rsid w:val="007E2848"/>
    <w:rsid w:val="007E2AB9"/>
    <w:rsid w:val="007E51A4"/>
    <w:rsid w:val="007E6456"/>
    <w:rsid w:val="007F2123"/>
    <w:rsid w:val="007F2E3C"/>
    <w:rsid w:val="007F4054"/>
    <w:rsid w:val="007F777D"/>
    <w:rsid w:val="0080270F"/>
    <w:rsid w:val="008028C7"/>
    <w:rsid w:val="00803495"/>
    <w:rsid w:val="00804006"/>
    <w:rsid w:val="00813A59"/>
    <w:rsid w:val="0081565D"/>
    <w:rsid w:val="00816044"/>
    <w:rsid w:val="008169FE"/>
    <w:rsid w:val="008204F8"/>
    <w:rsid w:val="00823768"/>
    <w:rsid w:val="00823F54"/>
    <w:rsid w:val="008257FE"/>
    <w:rsid w:val="0083210A"/>
    <w:rsid w:val="008324E5"/>
    <w:rsid w:val="0083377F"/>
    <w:rsid w:val="00834243"/>
    <w:rsid w:val="00840DF2"/>
    <w:rsid w:val="00844282"/>
    <w:rsid w:val="008447FF"/>
    <w:rsid w:val="00847391"/>
    <w:rsid w:val="00851873"/>
    <w:rsid w:val="008545E6"/>
    <w:rsid w:val="00854971"/>
    <w:rsid w:val="00855618"/>
    <w:rsid w:val="00857969"/>
    <w:rsid w:val="00857E8D"/>
    <w:rsid w:val="0086001D"/>
    <w:rsid w:val="008627D3"/>
    <w:rsid w:val="00862864"/>
    <w:rsid w:val="008634CF"/>
    <w:rsid w:val="00867AF0"/>
    <w:rsid w:val="00875099"/>
    <w:rsid w:val="0088138D"/>
    <w:rsid w:val="00897DCD"/>
    <w:rsid w:val="008A1187"/>
    <w:rsid w:val="008A1295"/>
    <w:rsid w:val="008A2120"/>
    <w:rsid w:val="008A2EC9"/>
    <w:rsid w:val="008A4841"/>
    <w:rsid w:val="008A54D9"/>
    <w:rsid w:val="008B0C75"/>
    <w:rsid w:val="008B1499"/>
    <w:rsid w:val="008B428C"/>
    <w:rsid w:val="008C6AF2"/>
    <w:rsid w:val="008D030C"/>
    <w:rsid w:val="008D08B1"/>
    <w:rsid w:val="008D1C0E"/>
    <w:rsid w:val="008D28D2"/>
    <w:rsid w:val="008D339F"/>
    <w:rsid w:val="008D3ABB"/>
    <w:rsid w:val="008D789B"/>
    <w:rsid w:val="008D7F38"/>
    <w:rsid w:val="008E08FB"/>
    <w:rsid w:val="008E207D"/>
    <w:rsid w:val="008E61C9"/>
    <w:rsid w:val="008E6292"/>
    <w:rsid w:val="008F4245"/>
    <w:rsid w:val="008F5F84"/>
    <w:rsid w:val="009009EA"/>
    <w:rsid w:val="00900DEA"/>
    <w:rsid w:val="009020C8"/>
    <w:rsid w:val="0090380F"/>
    <w:rsid w:val="00907D63"/>
    <w:rsid w:val="00914170"/>
    <w:rsid w:val="00922766"/>
    <w:rsid w:val="009252E3"/>
    <w:rsid w:val="00925AA5"/>
    <w:rsid w:val="00925C2C"/>
    <w:rsid w:val="0094019D"/>
    <w:rsid w:val="009420BA"/>
    <w:rsid w:val="00942C11"/>
    <w:rsid w:val="0096446E"/>
    <w:rsid w:val="00966122"/>
    <w:rsid w:val="00970994"/>
    <w:rsid w:val="009732EC"/>
    <w:rsid w:val="00974E62"/>
    <w:rsid w:val="009821CE"/>
    <w:rsid w:val="009849F8"/>
    <w:rsid w:val="009852CF"/>
    <w:rsid w:val="00986646"/>
    <w:rsid w:val="009872A1"/>
    <w:rsid w:val="00996EE7"/>
    <w:rsid w:val="00997B6A"/>
    <w:rsid w:val="009A658F"/>
    <w:rsid w:val="009A668A"/>
    <w:rsid w:val="009C2FAD"/>
    <w:rsid w:val="009C330E"/>
    <w:rsid w:val="009C5940"/>
    <w:rsid w:val="009E03DA"/>
    <w:rsid w:val="009E5FFB"/>
    <w:rsid w:val="009E6058"/>
    <w:rsid w:val="009F01F2"/>
    <w:rsid w:val="009F7EC1"/>
    <w:rsid w:val="00A04FCA"/>
    <w:rsid w:val="00A16E03"/>
    <w:rsid w:val="00A212EA"/>
    <w:rsid w:val="00A22232"/>
    <w:rsid w:val="00A24327"/>
    <w:rsid w:val="00A25775"/>
    <w:rsid w:val="00A25827"/>
    <w:rsid w:val="00A260CD"/>
    <w:rsid w:val="00A34EB4"/>
    <w:rsid w:val="00A3749B"/>
    <w:rsid w:val="00A40331"/>
    <w:rsid w:val="00A423FA"/>
    <w:rsid w:val="00A42BA7"/>
    <w:rsid w:val="00A456DC"/>
    <w:rsid w:val="00A62E42"/>
    <w:rsid w:val="00A64A71"/>
    <w:rsid w:val="00A65962"/>
    <w:rsid w:val="00A65F34"/>
    <w:rsid w:val="00A66B2D"/>
    <w:rsid w:val="00A66FEE"/>
    <w:rsid w:val="00A7002C"/>
    <w:rsid w:val="00A70BC2"/>
    <w:rsid w:val="00A72DA4"/>
    <w:rsid w:val="00A74DCA"/>
    <w:rsid w:val="00A76131"/>
    <w:rsid w:val="00A80603"/>
    <w:rsid w:val="00A80D13"/>
    <w:rsid w:val="00A84078"/>
    <w:rsid w:val="00A92CF3"/>
    <w:rsid w:val="00A92E2D"/>
    <w:rsid w:val="00A93858"/>
    <w:rsid w:val="00AA1385"/>
    <w:rsid w:val="00AB16F9"/>
    <w:rsid w:val="00AB1B53"/>
    <w:rsid w:val="00AB2D12"/>
    <w:rsid w:val="00AB4304"/>
    <w:rsid w:val="00AB524A"/>
    <w:rsid w:val="00AB77DF"/>
    <w:rsid w:val="00AC356F"/>
    <w:rsid w:val="00AC4F65"/>
    <w:rsid w:val="00AC6359"/>
    <w:rsid w:val="00AC736C"/>
    <w:rsid w:val="00AC7EE4"/>
    <w:rsid w:val="00AD2A32"/>
    <w:rsid w:val="00AD3302"/>
    <w:rsid w:val="00AD72CD"/>
    <w:rsid w:val="00AE1431"/>
    <w:rsid w:val="00AE1528"/>
    <w:rsid w:val="00AE2F90"/>
    <w:rsid w:val="00AE3E8D"/>
    <w:rsid w:val="00AE4318"/>
    <w:rsid w:val="00AE522C"/>
    <w:rsid w:val="00AE7BC8"/>
    <w:rsid w:val="00AF27D5"/>
    <w:rsid w:val="00AF3D4A"/>
    <w:rsid w:val="00B01D7A"/>
    <w:rsid w:val="00B02B69"/>
    <w:rsid w:val="00B0491F"/>
    <w:rsid w:val="00B0589E"/>
    <w:rsid w:val="00B05AAC"/>
    <w:rsid w:val="00B1177A"/>
    <w:rsid w:val="00B13E76"/>
    <w:rsid w:val="00B204A2"/>
    <w:rsid w:val="00B234E2"/>
    <w:rsid w:val="00B3032F"/>
    <w:rsid w:val="00B3149D"/>
    <w:rsid w:val="00B425AA"/>
    <w:rsid w:val="00B437CF"/>
    <w:rsid w:val="00B454EA"/>
    <w:rsid w:val="00B468E8"/>
    <w:rsid w:val="00B548FC"/>
    <w:rsid w:val="00B56216"/>
    <w:rsid w:val="00B61503"/>
    <w:rsid w:val="00B61B4A"/>
    <w:rsid w:val="00B67077"/>
    <w:rsid w:val="00B71722"/>
    <w:rsid w:val="00B72260"/>
    <w:rsid w:val="00B75BBC"/>
    <w:rsid w:val="00B770FF"/>
    <w:rsid w:val="00B77439"/>
    <w:rsid w:val="00B82EF9"/>
    <w:rsid w:val="00B830A0"/>
    <w:rsid w:val="00B846C4"/>
    <w:rsid w:val="00B85F47"/>
    <w:rsid w:val="00B85F6A"/>
    <w:rsid w:val="00B8740A"/>
    <w:rsid w:val="00B87927"/>
    <w:rsid w:val="00B92619"/>
    <w:rsid w:val="00B9286B"/>
    <w:rsid w:val="00BA5AA5"/>
    <w:rsid w:val="00BA5D23"/>
    <w:rsid w:val="00BA6301"/>
    <w:rsid w:val="00BB0678"/>
    <w:rsid w:val="00BB645C"/>
    <w:rsid w:val="00BD49A9"/>
    <w:rsid w:val="00BD4B42"/>
    <w:rsid w:val="00BD50B6"/>
    <w:rsid w:val="00BD5650"/>
    <w:rsid w:val="00BE0393"/>
    <w:rsid w:val="00BE08FB"/>
    <w:rsid w:val="00BE1C77"/>
    <w:rsid w:val="00BE3F71"/>
    <w:rsid w:val="00BE41AC"/>
    <w:rsid w:val="00BF392B"/>
    <w:rsid w:val="00BF4543"/>
    <w:rsid w:val="00C0391E"/>
    <w:rsid w:val="00C04251"/>
    <w:rsid w:val="00C05345"/>
    <w:rsid w:val="00C07D4C"/>
    <w:rsid w:val="00C11999"/>
    <w:rsid w:val="00C15411"/>
    <w:rsid w:val="00C30297"/>
    <w:rsid w:val="00C32EF7"/>
    <w:rsid w:val="00C34B5B"/>
    <w:rsid w:val="00C3572A"/>
    <w:rsid w:val="00C35A33"/>
    <w:rsid w:val="00C369CA"/>
    <w:rsid w:val="00C50E78"/>
    <w:rsid w:val="00C54E4E"/>
    <w:rsid w:val="00C559C7"/>
    <w:rsid w:val="00C55B34"/>
    <w:rsid w:val="00C568F6"/>
    <w:rsid w:val="00C56D13"/>
    <w:rsid w:val="00C5736F"/>
    <w:rsid w:val="00C61706"/>
    <w:rsid w:val="00C64C02"/>
    <w:rsid w:val="00C663AB"/>
    <w:rsid w:val="00C66AC3"/>
    <w:rsid w:val="00C675EF"/>
    <w:rsid w:val="00C738BE"/>
    <w:rsid w:val="00C739D6"/>
    <w:rsid w:val="00C73D17"/>
    <w:rsid w:val="00C76F78"/>
    <w:rsid w:val="00C77665"/>
    <w:rsid w:val="00C81E97"/>
    <w:rsid w:val="00C84674"/>
    <w:rsid w:val="00C85314"/>
    <w:rsid w:val="00C85FBD"/>
    <w:rsid w:val="00C86CE6"/>
    <w:rsid w:val="00C94EA3"/>
    <w:rsid w:val="00CA2E15"/>
    <w:rsid w:val="00CA46D6"/>
    <w:rsid w:val="00CA4BC0"/>
    <w:rsid w:val="00CA5183"/>
    <w:rsid w:val="00CA5E0C"/>
    <w:rsid w:val="00CB3F22"/>
    <w:rsid w:val="00CB7E18"/>
    <w:rsid w:val="00CC0DE1"/>
    <w:rsid w:val="00CC10E1"/>
    <w:rsid w:val="00CC24C5"/>
    <w:rsid w:val="00CC2E55"/>
    <w:rsid w:val="00CC430A"/>
    <w:rsid w:val="00CC559D"/>
    <w:rsid w:val="00CD085C"/>
    <w:rsid w:val="00CD08C9"/>
    <w:rsid w:val="00CD1856"/>
    <w:rsid w:val="00CD3552"/>
    <w:rsid w:val="00CD654B"/>
    <w:rsid w:val="00CD6BD4"/>
    <w:rsid w:val="00CE223E"/>
    <w:rsid w:val="00CF3E6B"/>
    <w:rsid w:val="00CF534F"/>
    <w:rsid w:val="00D031D8"/>
    <w:rsid w:val="00D0607C"/>
    <w:rsid w:val="00D13266"/>
    <w:rsid w:val="00D145F5"/>
    <w:rsid w:val="00D174B2"/>
    <w:rsid w:val="00D231CA"/>
    <w:rsid w:val="00D2573B"/>
    <w:rsid w:val="00D2705A"/>
    <w:rsid w:val="00D308F4"/>
    <w:rsid w:val="00D31523"/>
    <w:rsid w:val="00D31E41"/>
    <w:rsid w:val="00D347B2"/>
    <w:rsid w:val="00D355F0"/>
    <w:rsid w:val="00D45AF8"/>
    <w:rsid w:val="00D51C05"/>
    <w:rsid w:val="00D54ACA"/>
    <w:rsid w:val="00D613EC"/>
    <w:rsid w:val="00D628E1"/>
    <w:rsid w:val="00D746A3"/>
    <w:rsid w:val="00D7760B"/>
    <w:rsid w:val="00D777E2"/>
    <w:rsid w:val="00D81012"/>
    <w:rsid w:val="00D81A0E"/>
    <w:rsid w:val="00D82CD4"/>
    <w:rsid w:val="00D8314D"/>
    <w:rsid w:val="00D83BD9"/>
    <w:rsid w:val="00D83CBA"/>
    <w:rsid w:val="00D90EFA"/>
    <w:rsid w:val="00D932B5"/>
    <w:rsid w:val="00D94AB3"/>
    <w:rsid w:val="00D95FB9"/>
    <w:rsid w:val="00D96FA2"/>
    <w:rsid w:val="00D9771B"/>
    <w:rsid w:val="00DA37C8"/>
    <w:rsid w:val="00DA3E4F"/>
    <w:rsid w:val="00DA686B"/>
    <w:rsid w:val="00DB3683"/>
    <w:rsid w:val="00DB4565"/>
    <w:rsid w:val="00DB606D"/>
    <w:rsid w:val="00DB7F09"/>
    <w:rsid w:val="00DC00E8"/>
    <w:rsid w:val="00DC0A07"/>
    <w:rsid w:val="00DC0C9D"/>
    <w:rsid w:val="00DC5C0B"/>
    <w:rsid w:val="00DC6AE3"/>
    <w:rsid w:val="00DD79C8"/>
    <w:rsid w:val="00DE1319"/>
    <w:rsid w:val="00DF597F"/>
    <w:rsid w:val="00DF66BC"/>
    <w:rsid w:val="00DF7557"/>
    <w:rsid w:val="00E00485"/>
    <w:rsid w:val="00E013A3"/>
    <w:rsid w:val="00E01486"/>
    <w:rsid w:val="00E05FDC"/>
    <w:rsid w:val="00E1029F"/>
    <w:rsid w:val="00E108D4"/>
    <w:rsid w:val="00E10D39"/>
    <w:rsid w:val="00E1136B"/>
    <w:rsid w:val="00E11AE2"/>
    <w:rsid w:val="00E13072"/>
    <w:rsid w:val="00E134CD"/>
    <w:rsid w:val="00E1515A"/>
    <w:rsid w:val="00E171E3"/>
    <w:rsid w:val="00E17434"/>
    <w:rsid w:val="00E22D51"/>
    <w:rsid w:val="00E23574"/>
    <w:rsid w:val="00E30B12"/>
    <w:rsid w:val="00E3257B"/>
    <w:rsid w:val="00E35FA1"/>
    <w:rsid w:val="00E3618C"/>
    <w:rsid w:val="00E4148C"/>
    <w:rsid w:val="00E43E95"/>
    <w:rsid w:val="00E46127"/>
    <w:rsid w:val="00E46544"/>
    <w:rsid w:val="00E50E7C"/>
    <w:rsid w:val="00E51545"/>
    <w:rsid w:val="00E55326"/>
    <w:rsid w:val="00E56495"/>
    <w:rsid w:val="00E60033"/>
    <w:rsid w:val="00E60F2F"/>
    <w:rsid w:val="00E61172"/>
    <w:rsid w:val="00E64CB7"/>
    <w:rsid w:val="00E65104"/>
    <w:rsid w:val="00E654A6"/>
    <w:rsid w:val="00E66E25"/>
    <w:rsid w:val="00E711D7"/>
    <w:rsid w:val="00E71B46"/>
    <w:rsid w:val="00E72B0D"/>
    <w:rsid w:val="00E739FE"/>
    <w:rsid w:val="00E74FB3"/>
    <w:rsid w:val="00E80ABB"/>
    <w:rsid w:val="00E80C0E"/>
    <w:rsid w:val="00E902B0"/>
    <w:rsid w:val="00E902E8"/>
    <w:rsid w:val="00E9667A"/>
    <w:rsid w:val="00E96B26"/>
    <w:rsid w:val="00EA600E"/>
    <w:rsid w:val="00EB030F"/>
    <w:rsid w:val="00EB091E"/>
    <w:rsid w:val="00EB116F"/>
    <w:rsid w:val="00EB1423"/>
    <w:rsid w:val="00EB68E5"/>
    <w:rsid w:val="00EB7E2B"/>
    <w:rsid w:val="00EC02B7"/>
    <w:rsid w:val="00EC2541"/>
    <w:rsid w:val="00EC2E43"/>
    <w:rsid w:val="00EC5619"/>
    <w:rsid w:val="00EC6B16"/>
    <w:rsid w:val="00ED069F"/>
    <w:rsid w:val="00ED2C87"/>
    <w:rsid w:val="00EE049E"/>
    <w:rsid w:val="00EE09CA"/>
    <w:rsid w:val="00EE295C"/>
    <w:rsid w:val="00EE4CBE"/>
    <w:rsid w:val="00EE5EA7"/>
    <w:rsid w:val="00EE677F"/>
    <w:rsid w:val="00EF36DB"/>
    <w:rsid w:val="00F0082D"/>
    <w:rsid w:val="00F030B3"/>
    <w:rsid w:val="00F074BF"/>
    <w:rsid w:val="00F07C90"/>
    <w:rsid w:val="00F07FBE"/>
    <w:rsid w:val="00F11DF4"/>
    <w:rsid w:val="00F20469"/>
    <w:rsid w:val="00F2198A"/>
    <w:rsid w:val="00F21DDE"/>
    <w:rsid w:val="00F2262B"/>
    <w:rsid w:val="00F23A1A"/>
    <w:rsid w:val="00F25340"/>
    <w:rsid w:val="00F30D45"/>
    <w:rsid w:val="00F34F7D"/>
    <w:rsid w:val="00F35B4A"/>
    <w:rsid w:val="00F36E95"/>
    <w:rsid w:val="00F36EA5"/>
    <w:rsid w:val="00F37B0E"/>
    <w:rsid w:val="00F4382E"/>
    <w:rsid w:val="00F4399A"/>
    <w:rsid w:val="00F60429"/>
    <w:rsid w:val="00F66B9F"/>
    <w:rsid w:val="00F707CF"/>
    <w:rsid w:val="00F70B0C"/>
    <w:rsid w:val="00F71A0E"/>
    <w:rsid w:val="00F87C7B"/>
    <w:rsid w:val="00F91B20"/>
    <w:rsid w:val="00F92279"/>
    <w:rsid w:val="00F92A69"/>
    <w:rsid w:val="00FB4D22"/>
    <w:rsid w:val="00FB64AA"/>
    <w:rsid w:val="00FB6F90"/>
    <w:rsid w:val="00FB73B6"/>
    <w:rsid w:val="00FC28AD"/>
    <w:rsid w:val="00FC4F6C"/>
    <w:rsid w:val="00FC6ADA"/>
    <w:rsid w:val="00FD03C4"/>
    <w:rsid w:val="00FD0992"/>
    <w:rsid w:val="00FD380D"/>
    <w:rsid w:val="00FE51B7"/>
    <w:rsid w:val="00FE7BB7"/>
    <w:rsid w:val="00FF218A"/>
    <w:rsid w:val="00FF34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5A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8468D"/>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08468D"/>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
    <w:basedOn w:val="DefaultParagraphFont"/>
    <w:link w:val="Bullet"/>
    <w:rsid w:val="00705A33"/>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705A33"/>
    <w:rPr>
      <w:sz w:val="16"/>
      <w:szCs w:val="16"/>
    </w:rPr>
  </w:style>
  <w:style w:type="paragraph" w:styleId="CommentText">
    <w:name w:val="annotation text"/>
    <w:basedOn w:val="Normal"/>
    <w:link w:val="CommentTextChar"/>
    <w:uiPriority w:val="99"/>
    <w:semiHidden/>
    <w:unhideWhenUsed/>
    <w:rsid w:val="00705A33"/>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705A33"/>
    <w:rPr>
      <w:sz w:val="20"/>
      <w:szCs w:val="20"/>
    </w:rPr>
  </w:style>
  <w:style w:type="paragraph" w:customStyle="1" w:styleId="CABNETParagraph">
    <w:name w:val="CABNET Paragraph."/>
    <w:basedOn w:val="Normal"/>
    <w:link w:val="CABNETParagraphChar"/>
    <w:uiPriority w:val="98"/>
    <w:qFormat/>
    <w:rsid w:val="00020610"/>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020610"/>
    <w:rPr>
      <w:rFonts w:ascii="Arial" w:hAnsi="Arial" w:cstheme="minorHAnsi"/>
    </w:rPr>
  </w:style>
  <w:style w:type="character" w:styleId="Emphasis">
    <w:name w:val="Emphasis"/>
    <w:basedOn w:val="DefaultParagraphFont"/>
    <w:uiPriority w:val="20"/>
    <w:qFormat/>
    <w:rsid w:val="00651FE6"/>
    <w:rPr>
      <w:i/>
      <w:iCs/>
    </w:rPr>
  </w:style>
  <w:style w:type="paragraph" w:styleId="CommentSubject">
    <w:name w:val="annotation subject"/>
    <w:basedOn w:val="CommentText"/>
    <w:next w:val="CommentText"/>
    <w:link w:val="CommentSubjectChar"/>
    <w:uiPriority w:val="99"/>
    <w:semiHidden/>
    <w:unhideWhenUsed/>
    <w:rsid w:val="00A212EA"/>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A212E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9872A1"/>
    <w:pPr>
      <w:spacing w:before="0"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872A1"/>
    <w:pPr>
      <w:autoSpaceDE w:val="0"/>
      <w:autoSpaceDN w:val="0"/>
      <w:adjustRightInd w:val="0"/>
      <w:spacing w:after="0" w:line="240" w:lineRule="auto"/>
    </w:pPr>
    <w:rPr>
      <w:rFonts w:ascii="Apercu" w:hAnsi="Apercu" w:cs="Apercu"/>
      <w:color w:val="000000"/>
      <w:sz w:val="24"/>
      <w:szCs w:val="24"/>
    </w:rPr>
  </w:style>
  <w:style w:type="character" w:styleId="IntenseEmphasis">
    <w:name w:val="Intense Emphasis"/>
    <w:basedOn w:val="DefaultParagraphFont"/>
    <w:uiPriority w:val="21"/>
    <w:qFormat/>
    <w:rsid w:val="009872A1"/>
    <w:rPr>
      <w:b/>
      <w:bCs/>
      <w:i/>
      <w:iCs/>
      <w:color w:val="5B9BD5" w:themeColor="accent1"/>
    </w:rPr>
  </w:style>
  <w:style w:type="paragraph" w:styleId="NormalWeb">
    <w:name w:val="Normal (Web)"/>
    <w:basedOn w:val="Normal"/>
    <w:uiPriority w:val="99"/>
    <w:semiHidden/>
    <w:unhideWhenUsed/>
    <w:rsid w:val="00E134CD"/>
    <w:pPr>
      <w:spacing w:before="100" w:beforeAutospacing="1" w:after="100" w:afterAutospacing="1"/>
    </w:pPr>
    <w:rPr>
      <w:rFonts w:ascii="Times New Roman" w:hAnsi="Times New Roman"/>
      <w:sz w:val="24"/>
      <w:szCs w:val="24"/>
    </w:rPr>
  </w:style>
  <w:style w:type="table" w:styleId="LightShading-Accent5">
    <w:name w:val="Light Shading Accent 5"/>
    <w:basedOn w:val="TableNormal"/>
    <w:uiPriority w:val="60"/>
    <w:rsid w:val="005B152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1">
    <w:name w:val="Light Shading Accent 1"/>
    <w:basedOn w:val="TableNormal"/>
    <w:uiPriority w:val="60"/>
    <w:rsid w:val="005B152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5B152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AB52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NoTOC">
    <w:name w:val="Heading 2 - No TOC"/>
    <w:basedOn w:val="Heading2"/>
    <w:rsid w:val="00B9286B"/>
    <w:pPr>
      <w:spacing w:before="300" w:after="180"/>
      <w:outlineLvl w:val="9"/>
    </w:pPr>
    <w:rPr>
      <w:rFonts w:ascii="Century Gothic" w:hAnsi="Century Gothic"/>
      <w:b/>
      <w:bCs/>
      <w:smallCaps/>
      <w:color w:val="44546A" w:themeColor="text2"/>
      <w:kern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8468D"/>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08468D"/>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uiPriority w:val="5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
    <w:basedOn w:val="DefaultParagraphFont"/>
    <w:link w:val="Bullet"/>
    <w:rsid w:val="00705A33"/>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705A33"/>
    <w:rPr>
      <w:sz w:val="16"/>
      <w:szCs w:val="16"/>
    </w:rPr>
  </w:style>
  <w:style w:type="paragraph" w:styleId="CommentText">
    <w:name w:val="annotation text"/>
    <w:basedOn w:val="Normal"/>
    <w:link w:val="CommentTextChar"/>
    <w:uiPriority w:val="99"/>
    <w:semiHidden/>
    <w:unhideWhenUsed/>
    <w:rsid w:val="00705A33"/>
    <w:pPr>
      <w:spacing w:before="0" w:after="20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705A33"/>
    <w:rPr>
      <w:sz w:val="20"/>
      <w:szCs w:val="20"/>
    </w:rPr>
  </w:style>
  <w:style w:type="paragraph" w:customStyle="1" w:styleId="CABNETParagraph">
    <w:name w:val="CABNET Paragraph."/>
    <w:basedOn w:val="Normal"/>
    <w:link w:val="CABNETParagraphChar"/>
    <w:uiPriority w:val="98"/>
    <w:qFormat/>
    <w:rsid w:val="00020610"/>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020610"/>
    <w:rPr>
      <w:rFonts w:ascii="Arial" w:hAnsi="Arial" w:cstheme="minorHAnsi"/>
    </w:rPr>
  </w:style>
  <w:style w:type="character" w:styleId="Emphasis">
    <w:name w:val="Emphasis"/>
    <w:basedOn w:val="DefaultParagraphFont"/>
    <w:uiPriority w:val="20"/>
    <w:qFormat/>
    <w:rsid w:val="00651FE6"/>
    <w:rPr>
      <w:i/>
      <w:iCs/>
    </w:rPr>
  </w:style>
  <w:style w:type="paragraph" w:styleId="CommentSubject">
    <w:name w:val="annotation subject"/>
    <w:basedOn w:val="CommentText"/>
    <w:next w:val="CommentText"/>
    <w:link w:val="CommentSubjectChar"/>
    <w:uiPriority w:val="99"/>
    <w:semiHidden/>
    <w:unhideWhenUsed/>
    <w:rsid w:val="00A212EA"/>
    <w:pPr>
      <w:spacing w:before="120" w:after="120"/>
    </w:pPr>
    <w:rPr>
      <w:rFonts w:ascii="Calibri" w:eastAsia="Times New Roman" w:hAnsi="Calibri" w:cs="Times New Roman"/>
      <w:b/>
      <w:bCs/>
      <w:lang w:eastAsia="en-AU"/>
    </w:rPr>
  </w:style>
  <w:style w:type="character" w:customStyle="1" w:styleId="CommentSubjectChar">
    <w:name w:val="Comment Subject Char"/>
    <w:basedOn w:val="CommentTextChar"/>
    <w:link w:val="CommentSubject"/>
    <w:uiPriority w:val="99"/>
    <w:semiHidden/>
    <w:rsid w:val="00A212EA"/>
    <w:rPr>
      <w:rFonts w:ascii="Calibri" w:eastAsia="Times New Roman" w:hAnsi="Calibri" w:cs="Times New Roman"/>
      <w:b/>
      <w:bCs/>
      <w:sz w:val="20"/>
      <w:szCs w:val="20"/>
      <w:lang w:eastAsia="en-AU"/>
    </w:rPr>
  </w:style>
  <w:style w:type="paragraph" w:styleId="ListParagraph">
    <w:name w:val="List Paragraph"/>
    <w:basedOn w:val="Normal"/>
    <w:uiPriority w:val="34"/>
    <w:qFormat/>
    <w:rsid w:val="009872A1"/>
    <w:pPr>
      <w:spacing w:before="0"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872A1"/>
    <w:pPr>
      <w:autoSpaceDE w:val="0"/>
      <w:autoSpaceDN w:val="0"/>
      <w:adjustRightInd w:val="0"/>
      <w:spacing w:after="0" w:line="240" w:lineRule="auto"/>
    </w:pPr>
    <w:rPr>
      <w:rFonts w:ascii="Apercu" w:hAnsi="Apercu" w:cs="Apercu"/>
      <w:color w:val="000000"/>
      <w:sz w:val="24"/>
      <w:szCs w:val="24"/>
    </w:rPr>
  </w:style>
  <w:style w:type="character" w:styleId="IntenseEmphasis">
    <w:name w:val="Intense Emphasis"/>
    <w:basedOn w:val="DefaultParagraphFont"/>
    <w:uiPriority w:val="21"/>
    <w:qFormat/>
    <w:rsid w:val="009872A1"/>
    <w:rPr>
      <w:b/>
      <w:bCs/>
      <w:i/>
      <w:iCs/>
      <w:color w:val="5B9BD5" w:themeColor="accent1"/>
    </w:rPr>
  </w:style>
  <w:style w:type="paragraph" w:styleId="NormalWeb">
    <w:name w:val="Normal (Web)"/>
    <w:basedOn w:val="Normal"/>
    <w:uiPriority w:val="99"/>
    <w:semiHidden/>
    <w:unhideWhenUsed/>
    <w:rsid w:val="00E134CD"/>
    <w:pPr>
      <w:spacing w:before="100" w:beforeAutospacing="1" w:after="100" w:afterAutospacing="1"/>
    </w:pPr>
    <w:rPr>
      <w:rFonts w:ascii="Times New Roman" w:hAnsi="Times New Roman"/>
      <w:sz w:val="24"/>
      <w:szCs w:val="24"/>
    </w:rPr>
  </w:style>
  <w:style w:type="table" w:styleId="LightShading-Accent5">
    <w:name w:val="Light Shading Accent 5"/>
    <w:basedOn w:val="TableNormal"/>
    <w:uiPriority w:val="60"/>
    <w:rsid w:val="005B152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1">
    <w:name w:val="Light Shading Accent 1"/>
    <w:basedOn w:val="TableNormal"/>
    <w:uiPriority w:val="60"/>
    <w:rsid w:val="005B152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3">
    <w:name w:val="Light Shading Accent 3"/>
    <w:basedOn w:val="TableNormal"/>
    <w:uiPriority w:val="60"/>
    <w:rsid w:val="005B152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AB52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NoTOC">
    <w:name w:val="Heading 2 - No TOC"/>
    <w:basedOn w:val="Heading2"/>
    <w:rsid w:val="00B9286B"/>
    <w:pPr>
      <w:spacing w:before="300" w:after="180"/>
      <w:outlineLvl w:val="9"/>
    </w:pPr>
    <w:rPr>
      <w:rFonts w:ascii="Century Gothic" w:hAnsi="Century Gothic"/>
      <w:b/>
      <w:bCs/>
      <w:smallCaps/>
      <w:color w:val="44546A" w:themeColor="text2"/>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11108">
      <w:bodyDiv w:val="1"/>
      <w:marLeft w:val="0"/>
      <w:marRight w:val="0"/>
      <w:marTop w:val="0"/>
      <w:marBottom w:val="0"/>
      <w:divBdr>
        <w:top w:val="none" w:sz="0" w:space="0" w:color="auto"/>
        <w:left w:val="none" w:sz="0" w:space="0" w:color="auto"/>
        <w:bottom w:val="none" w:sz="0" w:space="0" w:color="auto"/>
        <w:right w:val="none" w:sz="0" w:space="0" w:color="auto"/>
      </w:divBdr>
    </w:div>
    <w:div w:id="595820458">
      <w:bodyDiv w:val="1"/>
      <w:marLeft w:val="0"/>
      <w:marRight w:val="0"/>
      <w:marTop w:val="0"/>
      <w:marBottom w:val="0"/>
      <w:divBdr>
        <w:top w:val="none" w:sz="0" w:space="0" w:color="auto"/>
        <w:left w:val="none" w:sz="0" w:space="0" w:color="auto"/>
        <w:bottom w:val="none" w:sz="0" w:space="0" w:color="auto"/>
        <w:right w:val="none" w:sz="0" w:space="0" w:color="auto"/>
      </w:divBdr>
      <w:divsChild>
        <w:div w:id="1492480858">
          <w:marLeft w:val="274"/>
          <w:marRight w:val="0"/>
          <w:marTop w:val="0"/>
          <w:marBottom w:val="0"/>
          <w:divBdr>
            <w:top w:val="none" w:sz="0" w:space="0" w:color="auto"/>
            <w:left w:val="none" w:sz="0" w:space="0" w:color="auto"/>
            <w:bottom w:val="none" w:sz="0" w:space="0" w:color="auto"/>
            <w:right w:val="none" w:sz="0" w:space="0" w:color="auto"/>
          </w:divBdr>
        </w:div>
        <w:div w:id="1662544838">
          <w:marLeft w:val="274"/>
          <w:marRight w:val="0"/>
          <w:marTop w:val="0"/>
          <w:marBottom w:val="0"/>
          <w:divBdr>
            <w:top w:val="none" w:sz="0" w:space="0" w:color="auto"/>
            <w:left w:val="none" w:sz="0" w:space="0" w:color="auto"/>
            <w:bottom w:val="none" w:sz="0" w:space="0" w:color="auto"/>
            <w:right w:val="none" w:sz="0" w:space="0" w:color="auto"/>
          </w:divBdr>
        </w:div>
        <w:div w:id="1817382342">
          <w:marLeft w:val="274"/>
          <w:marRight w:val="0"/>
          <w:marTop w:val="0"/>
          <w:marBottom w:val="0"/>
          <w:divBdr>
            <w:top w:val="none" w:sz="0" w:space="0" w:color="auto"/>
            <w:left w:val="none" w:sz="0" w:space="0" w:color="auto"/>
            <w:bottom w:val="none" w:sz="0" w:space="0" w:color="auto"/>
            <w:right w:val="none" w:sz="0" w:space="0" w:color="auto"/>
          </w:divBdr>
        </w:div>
        <w:div w:id="1717191884">
          <w:marLeft w:val="274"/>
          <w:marRight w:val="0"/>
          <w:marTop w:val="0"/>
          <w:marBottom w:val="0"/>
          <w:divBdr>
            <w:top w:val="none" w:sz="0" w:space="0" w:color="auto"/>
            <w:left w:val="none" w:sz="0" w:space="0" w:color="auto"/>
            <w:bottom w:val="none" w:sz="0" w:space="0" w:color="auto"/>
            <w:right w:val="none" w:sz="0" w:space="0" w:color="auto"/>
          </w:divBdr>
        </w:div>
        <w:div w:id="1933200437">
          <w:marLeft w:val="274"/>
          <w:marRight w:val="0"/>
          <w:marTop w:val="0"/>
          <w:marBottom w:val="0"/>
          <w:divBdr>
            <w:top w:val="none" w:sz="0" w:space="0" w:color="auto"/>
            <w:left w:val="none" w:sz="0" w:space="0" w:color="auto"/>
            <w:bottom w:val="none" w:sz="0" w:space="0" w:color="auto"/>
            <w:right w:val="none" w:sz="0" w:space="0" w:color="auto"/>
          </w:divBdr>
        </w:div>
        <w:div w:id="1257784498">
          <w:marLeft w:val="274"/>
          <w:marRight w:val="0"/>
          <w:marTop w:val="0"/>
          <w:marBottom w:val="0"/>
          <w:divBdr>
            <w:top w:val="none" w:sz="0" w:space="0" w:color="auto"/>
            <w:left w:val="none" w:sz="0" w:space="0" w:color="auto"/>
            <w:bottom w:val="none" w:sz="0" w:space="0" w:color="auto"/>
            <w:right w:val="none" w:sz="0" w:space="0" w:color="auto"/>
          </w:divBdr>
        </w:div>
        <w:div w:id="226720687">
          <w:marLeft w:val="274"/>
          <w:marRight w:val="0"/>
          <w:marTop w:val="0"/>
          <w:marBottom w:val="0"/>
          <w:divBdr>
            <w:top w:val="none" w:sz="0" w:space="0" w:color="auto"/>
            <w:left w:val="none" w:sz="0" w:space="0" w:color="auto"/>
            <w:bottom w:val="none" w:sz="0" w:space="0" w:color="auto"/>
            <w:right w:val="none" w:sz="0" w:space="0" w:color="auto"/>
          </w:divBdr>
        </w:div>
      </w:divsChild>
    </w:div>
    <w:div w:id="1140682991">
      <w:bodyDiv w:val="1"/>
      <w:marLeft w:val="0"/>
      <w:marRight w:val="0"/>
      <w:marTop w:val="0"/>
      <w:marBottom w:val="0"/>
      <w:divBdr>
        <w:top w:val="none" w:sz="0" w:space="0" w:color="auto"/>
        <w:left w:val="none" w:sz="0" w:space="0" w:color="auto"/>
        <w:bottom w:val="none" w:sz="0" w:space="0" w:color="auto"/>
        <w:right w:val="none" w:sz="0" w:space="0" w:color="auto"/>
      </w:divBdr>
      <w:divsChild>
        <w:div w:id="28579346">
          <w:marLeft w:val="0"/>
          <w:marRight w:val="0"/>
          <w:marTop w:val="0"/>
          <w:marBottom w:val="0"/>
          <w:divBdr>
            <w:top w:val="single" w:sz="48" w:space="23" w:color="004A7F"/>
            <w:left w:val="none" w:sz="0" w:space="0" w:color="auto"/>
            <w:bottom w:val="single" w:sz="48" w:space="0" w:color="004A7F"/>
            <w:right w:val="none" w:sz="0" w:space="0" w:color="auto"/>
          </w:divBdr>
          <w:divsChild>
            <w:div w:id="809177880">
              <w:marLeft w:val="-225"/>
              <w:marRight w:val="-225"/>
              <w:marTop w:val="0"/>
              <w:marBottom w:val="0"/>
              <w:divBdr>
                <w:top w:val="none" w:sz="0" w:space="0" w:color="auto"/>
                <w:left w:val="none" w:sz="0" w:space="0" w:color="auto"/>
                <w:bottom w:val="none" w:sz="0" w:space="0" w:color="auto"/>
                <w:right w:val="none" w:sz="0" w:space="0" w:color="auto"/>
              </w:divBdr>
              <w:divsChild>
                <w:div w:id="181480285">
                  <w:marLeft w:val="0"/>
                  <w:marRight w:val="0"/>
                  <w:marTop w:val="0"/>
                  <w:marBottom w:val="0"/>
                  <w:divBdr>
                    <w:top w:val="none" w:sz="0" w:space="0" w:color="auto"/>
                    <w:left w:val="none" w:sz="0" w:space="0" w:color="auto"/>
                    <w:bottom w:val="none" w:sz="0" w:space="0" w:color="auto"/>
                    <w:right w:val="none" w:sz="0" w:space="0" w:color="auto"/>
                  </w:divBdr>
                  <w:divsChild>
                    <w:div w:id="15604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13564">
      <w:bodyDiv w:val="1"/>
      <w:marLeft w:val="0"/>
      <w:marRight w:val="0"/>
      <w:marTop w:val="0"/>
      <w:marBottom w:val="0"/>
      <w:divBdr>
        <w:top w:val="none" w:sz="0" w:space="0" w:color="auto"/>
        <w:left w:val="none" w:sz="0" w:space="0" w:color="auto"/>
        <w:bottom w:val="none" w:sz="0" w:space="0" w:color="auto"/>
        <w:right w:val="none" w:sz="0" w:space="0" w:color="auto"/>
      </w:divBdr>
    </w:div>
    <w:div w:id="1500540524">
      <w:bodyDiv w:val="1"/>
      <w:marLeft w:val="0"/>
      <w:marRight w:val="0"/>
      <w:marTop w:val="0"/>
      <w:marBottom w:val="0"/>
      <w:divBdr>
        <w:top w:val="none" w:sz="0" w:space="0" w:color="auto"/>
        <w:left w:val="none" w:sz="0" w:space="0" w:color="auto"/>
        <w:bottom w:val="none" w:sz="0" w:space="0" w:color="auto"/>
        <w:right w:val="none" w:sz="0" w:space="0" w:color="auto"/>
      </w:divBdr>
      <w:divsChild>
        <w:div w:id="1563711273">
          <w:marLeft w:val="994"/>
          <w:marRight w:val="0"/>
          <w:marTop w:val="0"/>
          <w:marBottom w:val="0"/>
          <w:divBdr>
            <w:top w:val="none" w:sz="0" w:space="0" w:color="auto"/>
            <w:left w:val="none" w:sz="0" w:space="0" w:color="auto"/>
            <w:bottom w:val="none" w:sz="0" w:space="0" w:color="auto"/>
            <w:right w:val="none" w:sz="0" w:space="0" w:color="auto"/>
          </w:divBdr>
        </w:div>
        <w:div w:id="1896964132">
          <w:marLeft w:val="994"/>
          <w:marRight w:val="0"/>
          <w:marTop w:val="0"/>
          <w:marBottom w:val="0"/>
          <w:divBdr>
            <w:top w:val="none" w:sz="0" w:space="0" w:color="auto"/>
            <w:left w:val="none" w:sz="0" w:space="0" w:color="auto"/>
            <w:bottom w:val="none" w:sz="0" w:space="0" w:color="auto"/>
            <w:right w:val="none" w:sz="0" w:space="0" w:color="auto"/>
          </w:divBdr>
        </w:div>
      </w:divsChild>
    </w:div>
    <w:div w:id="1531534096">
      <w:bodyDiv w:val="1"/>
      <w:marLeft w:val="0"/>
      <w:marRight w:val="0"/>
      <w:marTop w:val="0"/>
      <w:marBottom w:val="0"/>
      <w:divBdr>
        <w:top w:val="none" w:sz="0" w:space="0" w:color="auto"/>
        <w:left w:val="none" w:sz="0" w:space="0" w:color="auto"/>
        <w:bottom w:val="none" w:sz="0" w:space="0" w:color="auto"/>
        <w:right w:val="none" w:sz="0" w:space="0" w:color="auto"/>
      </w:divBdr>
      <w:divsChild>
        <w:div w:id="1343628714">
          <w:marLeft w:val="274"/>
          <w:marRight w:val="0"/>
          <w:marTop w:val="0"/>
          <w:marBottom w:val="0"/>
          <w:divBdr>
            <w:top w:val="none" w:sz="0" w:space="0" w:color="auto"/>
            <w:left w:val="none" w:sz="0" w:space="0" w:color="auto"/>
            <w:bottom w:val="none" w:sz="0" w:space="0" w:color="auto"/>
            <w:right w:val="none" w:sz="0" w:space="0" w:color="auto"/>
          </w:divBdr>
        </w:div>
        <w:div w:id="1869490172">
          <w:marLeft w:val="274"/>
          <w:marRight w:val="0"/>
          <w:marTop w:val="0"/>
          <w:marBottom w:val="0"/>
          <w:divBdr>
            <w:top w:val="none" w:sz="0" w:space="0" w:color="auto"/>
            <w:left w:val="none" w:sz="0" w:space="0" w:color="auto"/>
            <w:bottom w:val="none" w:sz="0" w:space="0" w:color="auto"/>
            <w:right w:val="none" w:sz="0" w:space="0" w:color="auto"/>
          </w:divBdr>
        </w:div>
        <w:div w:id="713961853">
          <w:marLeft w:val="274"/>
          <w:marRight w:val="0"/>
          <w:marTop w:val="0"/>
          <w:marBottom w:val="0"/>
          <w:divBdr>
            <w:top w:val="none" w:sz="0" w:space="0" w:color="auto"/>
            <w:left w:val="none" w:sz="0" w:space="0" w:color="auto"/>
            <w:bottom w:val="none" w:sz="0" w:space="0" w:color="auto"/>
            <w:right w:val="none" w:sz="0" w:space="0" w:color="auto"/>
          </w:divBdr>
        </w:div>
        <w:div w:id="392505181">
          <w:marLeft w:val="274"/>
          <w:marRight w:val="0"/>
          <w:marTop w:val="0"/>
          <w:marBottom w:val="0"/>
          <w:divBdr>
            <w:top w:val="none" w:sz="0" w:space="0" w:color="auto"/>
            <w:left w:val="none" w:sz="0" w:space="0" w:color="auto"/>
            <w:bottom w:val="none" w:sz="0" w:space="0" w:color="auto"/>
            <w:right w:val="none" w:sz="0" w:space="0" w:color="auto"/>
          </w:divBdr>
        </w:div>
        <w:div w:id="857889380">
          <w:marLeft w:val="274"/>
          <w:marRight w:val="0"/>
          <w:marTop w:val="0"/>
          <w:marBottom w:val="0"/>
          <w:divBdr>
            <w:top w:val="none" w:sz="0" w:space="0" w:color="auto"/>
            <w:left w:val="none" w:sz="0" w:space="0" w:color="auto"/>
            <w:bottom w:val="none" w:sz="0" w:space="0" w:color="auto"/>
            <w:right w:val="none" w:sz="0" w:space="0" w:color="auto"/>
          </w:divBdr>
        </w:div>
        <w:div w:id="1028870082">
          <w:marLeft w:val="274"/>
          <w:marRight w:val="0"/>
          <w:marTop w:val="0"/>
          <w:marBottom w:val="0"/>
          <w:divBdr>
            <w:top w:val="none" w:sz="0" w:space="0" w:color="auto"/>
            <w:left w:val="none" w:sz="0" w:space="0" w:color="auto"/>
            <w:bottom w:val="none" w:sz="0" w:space="0" w:color="auto"/>
            <w:right w:val="none" w:sz="0" w:space="0" w:color="auto"/>
          </w:divBdr>
        </w:div>
        <w:div w:id="193694218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4.e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medialiaison@treasury.gov.a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legalcode" TargetMode="External"/><Relationship Id="rId25" Type="http://schemas.openxmlformats.org/officeDocument/2006/relationships/hyperlink" Target="mailto:superannuation@treasury.gov.a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itsanhonour.gov.au"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eader" Target="header4.xm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5.png"/><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chart" Target="charts/chart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oleObject" Target="embeddings/oleObject1.bin"/><Relationship Id="rId30" Type="http://schemas.openxmlformats.org/officeDocument/2006/relationships/chart" Target="charts/chart2.xm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tweb/sites/fg/ripd/ciprs/policy/Actuary/Flagship%20cameos/180503%20Base%20Scenarios_Valu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tweb/sites/fg/ripd/ciprs/policy/Actuary/Flagship%20cameos/180503%20Base%20Scenarios_Value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tweb/sites/fg/ripd/ciprs/policy/Actuary/Flagship%20cameos/180503%20Base%20Scenarios_Values.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 100k'!$J$4</c:f>
              <c:strCache>
                <c:ptCount val="1"/>
                <c:pt idx="0">
                  <c:v>CIPR (basic DLA)</c:v>
                </c:pt>
              </c:strCache>
            </c:strRef>
          </c:tx>
          <c:spPr>
            <a:ln>
              <a:solidFill>
                <a:schemeClr val="accent1"/>
              </a:solidFill>
              <a:prstDash val="solid"/>
            </a:ln>
          </c:spPr>
          <c:marker>
            <c:symbol val="none"/>
          </c:marker>
          <c:val>
            <c:numRef>
              <c:f>'SH 100k'!$J$6:$J$41</c:f>
              <c:numCache>
                <c:formatCode>#,##0</c:formatCode>
                <c:ptCount val="36"/>
                <c:pt idx="0">
                  <c:v>28238.078527431429</c:v>
                </c:pt>
                <c:pt idx="1">
                  <c:v>28351.514624992407</c:v>
                </c:pt>
                <c:pt idx="2">
                  <c:v>28465.504069370752</c:v>
                </c:pt>
                <c:pt idx="3">
                  <c:v>28580.049559819239</c:v>
                </c:pt>
                <c:pt idx="4">
                  <c:v>28695.153808757721</c:v>
                </c:pt>
                <c:pt idx="5">
                  <c:v>28810.819541837365</c:v>
                </c:pt>
                <c:pt idx="6">
                  <c:v>28927.049498005203</c:v>
                </c:pt>
                <c:pt idx="7">
                  <c:v>29043.846429568977</c:v>
                </c:pt>
                <c:pt idx="8">
                  <c:v>29161.213102262333</c:v>
                </c:pt>
                <c:pt idx="9">
                  <c:v>29279.152295310294</c:v>
                </c:pt>
                <c:pt idx="10">
                  <c:v>29397.666801495066</c:v>
                </c:pt>
                <c:pt idx="11">
                  <c:v>29516.759427222209</c:v>
                </c:pt>
                <c:pt idx="12">
                  <c:v>29636.432992587041</c:v>
                </c:pt>
                <c:pt idx="13">
                  <c:v>29756.690331441459</c:v>
                </c:pt>
                <c:pt idx="14">
                  <c:v>29877.534291461026</c:v>
                </c:pt>
                <c:pt idx="15">
                  <c:v>29998.96773421238</c:v>
                </c:pt>
                <c:pt idx="16">
                  <c:v>30120.993535221074</c:v>
                </c:pt>
                <c:pt idx="17">
                  <c:v>30243.614584039562</c:v>
                </c:pt>
                <c:pt idx="18">
                  <c:v>30366.833784315699</c:v>
                </c:pt>
                <c:pt idx="19">
                  <c:v>30490.654053861475</c:v>
                </c:pt>
                <c:pt idx="20">
                  <c:v>30615.078324722119</c:v>
                </c:pt>
                <c:pt idx="21">
                  <c:v>30740.109543245489</c:v>
                </c:pt>
                <c:pt idx="22">
                  <c:v>30865.750670151901</c:v>
                </c:pt>
                <c:pt idx="23">
                  <c:v>30992.004680604197</c:v>
                </c:pt>
                <c:pt idx="24">
                  <c:v>31118.874564278216</c:v>
                </c:pt>
                <c:pt idx="25">
                  <c:v>31246.363325433573</c:v>
                </c:pt>
                <c:pt idx="26">
                  <c:v>31374.473982984804</c:v>
                </c:pt>
                <c:pt idx="27">
                  <c:v>31503.209570572872</c:v>
                </c:pt>
                <c:pt idx="28">
                  <c:v>31632.573136636976</c:v>
                </c:pt>
                <c:pt idx="29">
                  <c:v>31762.567744486758</c:v>
                </c:pt>
                <c:pt idx="30">
                  <c:v>31893.196472374842</c:v>
                </c:pt>
                <c:pt idx="31">
                  <c:v>32024.462413569679</c:v>
                </c:pt>
                <c:pt idx="32">
                  <c:v>32156.368676428898</c:v>
                </c:pt>
                <c:pt idx="33">
                  <c:v>32288.918384472789</c:v>
                </c:pt>
                <c:pt idx="34">
                  <c:v>32422.114676458357</c:v>
                </c:pt>
                <c:pt idx="35">
                  <c:v>32555.960706453614</c:v>
                </c:pt>
              </c:numCache>
            </c:numRef>
          </c:val>
          <c:smooth val="0"/>
        </c:ser>
        <c:ser>
          <c:idx val="1"/>
          <c:order val="1"/>
          <c:tx>
            <c:strRef>
              <c:f>'SnH 100k'!$I$4</c:f>
              <c:strCache>
                <c:ptCount val="1"/>
                <c:pt idx="0">
                  <c:v>ABP (minimum drawdown)</c:v>
                </c:pt>
              </c:strCache>
            </c:strRef>
          </c:tx>
          <c:spPr>
            <a:ln>
              <a:solidFill>
                <a:schemeClr val="accent4"/>
              </a:solidFill>
              <a:prstDash val="solid"/>
            </a:ln>
          </c:spPr>
          <c:marker>
            <c:symbol val="none"/>
          </c:marker>
          <c:cat>
            <c:numRef>
              <c:f>'SnH 100k'!$A$6:$A$41</c:f>
              <c:numCache>
                <c:formatCode>General</c:formatCode>
                <c:ptCount val="36"/>
                <c:pt idx="0">
                  <c:v>65</c:v>
                </c:pt>
                <c:pt idx="1">
                  <c:v>66</c:v>
                </c:pt>
                <c:pt idx="2">
                  <c:v>67</c:v>
                </c:pt>
                <c:pt idx="3">
                  <c:v>68</c:v>
                </c:pt>
                <c:pt idx="4">
                  <c:v>69</c:v>
                </c:pt>
                <c:pt idx="5">
                  <c:v>70</c:v>
                </c:pt>
                <c:pt idx="6">
                  <c:v>71</c:v>
                </c:pt>
                <c:pt idx="7">
                  <c:v>72</c:v>
                </c:pt>
                <c:pt idx="8">
                  <c:v>73</c:v>
                </c:pt>
                <c:pt idx="9">
                  <c:v>74</c:v>
                </c:pt>
                <c:pt idx="10">
                  <c:v>75</c:v>
                </c:pt>
                <c:pt idx="11">
                  <c:v>76</c:v>
                </c:pt>
                <c:pt idx="12">
                  <c:v>77</c:v>
                </c:pt>
                <c:pt idx="13">
                  <c:v>78</c:v>
                </c:pt>
                <c:pt idx="14">
                  <c:v>79</c:v>
                </c:pt>
                <c:pt idx="15">
                  <c:v>80</c:v>
                </c:pt>
                <c:pt idx="16">
                  <c:v>81</c:v>
                </c:pt>
                <c:pt idx="17">
                  <c:v>82</c:v>
                </c:pt>
                <c:pt idx="18">
                  <c:v>83</c:v>
                </c:pt>
                <c:pt idx="19">
                  <c:v>84</c:v>
                </c:pt>
                <c:pt idx="20">
                  <c:v>85</c:v>
                </c:pt>
                <c:pt idx="21">
                  <c:v>86</c:v>
                </c:pt>
                <c:pt idx="22">
                  <c:v>87</c:v>
                </c:pt>
                <c:pt idx="23">
                  <c:v>88</c:v>
                </c:pt>
                <c:pt idx="24">
                  <c:v>89</c:v>
                </c:pt>
                <c:pt idx="25">
                  <c:v>90</c:v>
                </c:pt>
                <c:pt idx="26">
                  <c:v>91</c:v>
                </c:pt>
                <c:pt idx="27">
                  <c:v>92</c:v>
                </c:pt>
                <c:pt idx="28">
                  <c:v>93</c:v>
                </c:pt>
                <c:pt idx="29">
                  <c:v>94</c:v>
                </c:pt>
                <c:pt idx="30">
                  <c:v>95</c:v>
                </c:pt>
                <c:pt idx="31">
                  <c:v>96</c:v>
                </c:pt>
                <c:pt idx="32">
                  <c:v>97</c:v>
                </c:pt>
                <c:pt idx="33">
                  <c:v>98</c:v>
                </c:pt>
                <c:pt idx="34">
                  <c:v>99</c:v>
                </c:pt>
                <c:pt idx="35">
                  <c:v>100</c:v>
                </c:pt>
              </c:numCache>
            </c:numRef>
          </c:cat>
          <c:val>
            <c:numRef>
              <c:f>'SnH 100k'!$I$6:$I$41</c:f>
              <c:numCache>
                <c:formatCode>#,##0</c:formatCode>
                <c:ptCount val="36"/>
                <c:pt idx="0">
                  <c:v>28254.399999999998</c:v>
                </c:pt>
                <c:pt idx="1">
                  <c:v>28228.244634146344</c:v>
                </c:pt>
                <c:pt idx="2">
                  <c:v>28206.539770441701</c:v>
                </c:pt>
                <c:pt idx="3">
                  <c:v>28189.179306215668</c:v>
                </c:pt>
                <c:pt idx="4">
                  <c:v>28176.060189528856</c:v>
                </c:pt>
                <c:pt idx="5">
                  <c:v>28167.082334433522</c:v>
                </c:pt>
                <c:pt idx="6">
                  <c:v>28162.148538602101</c:v>
                </c:pt>
                <c:pt idx="7">
                  <c:v>28161.164403257495</c:v>
                </c:pt>
                <c:pt idx="8">
                  <c:v>28164.038255340925</c:v>
                </c:pt>
                <c:pt idx="9">
                  <c:v>28170.681071854844</c:v>
                </c:pt>
                <c:pt idx="10">
                  <c:v>28934.41003277151</c:v>
                </c:pt>
                <c:pt idx="11">
                  <c:v>28881.045260778268</c:v>
                </c:pt>
                <c:pt idx="12">
                  <c:v>28834.84080433409</c:v>
                </c:pt>
                <c:pt idx="13">
                  <c:v>28795.548489285677</c:v>
                </c:pt>
                <c:pt idx="14">
                  <c:v>28762.929731442451</c:v>
                </c:pt>
                <c:pt idx="15">
                  <c:v>29356.999498728328</c:v>
                </c:pt>
                <c:pt idx="16">
                  <c:v>29268.959589414124</c:v>
                </c:pt>
                <c:pt idx="17">
                  <c:v>29191.678573037141</c:v>
                </c:pt>
                <c:pt idx="18">
                  <c:v>29124.66760386778</c:v>
                </c:pt>
                <c:pt idx="19">
                  <c:v>29067.461642734663</c:v>
                </c:pt>
                <c:pt idx="20">
                  <c:v>29987.680736985567</c:v>
                </c:pt>
                <c:pt idx="21">
                  <c:v>29812.790512871317</c:v>
                </c:pt>
                <c:pt idx="22">
                  <c:v>29659.159203253133</c:v>
                </c:pt>
                <c:pt idx="23">
                  <c:v>29525.368139513728</c:v>
                </c:pt>
                <c:pt idx="24">
                  <c:v>29410.09654494912</c:v>
                </c:pt>
                <c:pt idx="25">
                  <c:v>29989.765906875684</c:v>
                </c:pt>
                <c:pt idx="26">
                  <c:v>29785.000042063344</c:v>
                </c:pt>
                <c:pt idx="27">
                  <c:v>29610.589283772879</c:v>
                </c:pt>
                <c:pt idx="28">
                  <c:v>29463.881391366464</c:v>
                </c:pt>
                <c:pt idx="29">
                  <c:v>29342.46129071575</c:v>
                </c:pt>
                <c:pt idx="30">
                  <c:v>29880.842243192183</c:v>
                </c:pt>
                <c:pt idx="31">
                  <c:v>29655.51883064094</c:v>
                </c:pt>
                <c:pt idx="32">
                  <c:v>29473.630115070158</c:v>
                </c:pt>
                <c:pt idx="33">
                  <c:v>29330.043456580795</c:v>
                </c:pt>
                <c:pt idx="34">
                  <c:v>29220.242574731099</c:v>
                </c:pt>
                <c:pt idx="35">
                  <c:v>29140.253580990666</c:v>
                </c:pt>
              </c:numCache>
            </c:numRef>
          </c:val>
          <c:smooth val="0"/>
        </c:ser>
        <c:ser>
          <c:idx val="4"/>
          <c:order val="2"/>
          <c:tx>
            <c:strRef>
              <c:f>'SH 100k'!$H$4</c:f>
              <c:strCache>
                <c:ptCount val="1"/>
                <c:pt idx="0">
                  <c:v>ABP (6% drawdown)</c:v>
                </c:pt>
              </c:strCache>
            </c:strRef>
          </c:tx>
          <c:spPr>
            <a:ln>
              <a:solidFill>
                <a:schemeClr val="accent3"/>
              </a:solidFill>
            </a:ln>
          </c:spPr>
          <c:marker>
            <c:symbol val="none"/>
          </c:marker>
          <c:val>
            <c:numRef>
              <c:f>'SH 100k'!$H$6:$H$41</c:f>
              <c:numCache>
                <c:formatCode>#,##0</c:formatCode>
                <c:ptCount val="36"/>
                <c:pt idx="0">
                  <c:v>29254.399999999998</c:v>
                </c:pt>
                <c:pt idx="1">
                  <c:v>29138.931707317071</c:v>
                </c:pt>
                <c:pt idx="2">
                  <c:v>29032.749631430339</c:v>
                </c:pt>
                <c:pt idx="3">
                  <c:v>28935.52330621297</c:v>
                </c:pt>
                <c:pt idx="4">
                  <c:v>28846.934989208235</c:v>
                </c:pt>
                <c:pt idx="5">
                  <c:v>28766.67917677874</c:v>
                </c:pt>
                <c:pt idx="6">
                  <c:v>28694.462137755836</c:v>
                </c:pt>
                <c:pt idx="7">
                  <c:v>28630.001464883444</c:v>
                </c:pt>
                <c:pt idx="8">
                  <c:v>28573.02564337739</c:v>
                </c:pt>
                <c:pt idx="9">
                  <c:v>28523.273635947324</c:v>
                </c:pt>
                <c:pt idx="10">
                  <c:v>28480.494483653187</c:v>
                </c:pt>
                <c:pt idx="11">
                  <c:v>28444.446921992138</c:v>
                </c:pt>
                <c:pt idx="12">
                  <c:v>28414.89901163485</c:v>
                </c:pt>
                <c:pt idx="13">
                  <c:v>28391.627783252392</c:v>
                </c:pt>
                <c:pt idx="14">
                  <c:v>28374.418895896073</c:v>
                </c:pt>
                <c:pt idx="15">
                  <c:v>28921.029158685258</c:v>
                </c:pt>
                <c:pt idx="16">
                  <c:v>28854.082876767316</c:v>
                </c:pt>
                <c:pt idx="17">
                  <c:v>28796.874911210933</c:v>
                </c:pt>
                <c:pt idx="18">
                  <c:v>28748.965795017211</c:v>
                </c:pt>
                <c:pt idx="19">
                  <c:v>28709.937478645923</c:v>
                </c:pt>
                <c:pt idx="20">
                  <c:v>29550.24729373524</c:v>
                </c:pt>
                <c:pt idx="21">
                  <c:v>29405.473508660103</c:v>
                </c:pt>
                <c:pt idx="22">
                  <c:v>29279.885180016976</c:v>
                </c:pt>
                <c:pt idx="23">
                  <c:v>29172.206392730506</c:v>
                </c:pt>
                <c:pt idx="24">
                  <c:v>29081.249295335831</c:v>
                </c:pt>
                <c:pt idx="25">
                  <c:v>29615.513202493858</c:v>
                </c:pt>
                <c:pt idx="26">
                  <c:v>29444.172942083627</c:v>
                </c:pt>
                <c:pt idx="27">
                  <c:v>29300.202449635082</c:v>
                </c:pt>
                <c:pt idx="28">
                  <c:v>29181.216113834784</c:v>
                </c:pt>
                <c:pt idx="29">
                  <c:v>29085.04167643343</c:v>
                </c:pt>
                <c:pt idx="30">
                  <c:v>29582.47842396445</c:v>
                </c:pt>
                <c:pt idx="31">
                  <c:v>29392.96172613039</c:v>
                </c:pt>
                <c:pt idx="32">
                  <c:v>29242.582552710239</c:v>
                </c:pt>
                <c:pt idx="33">
                  <c:v>29126.723968532755</c:v>
                </c:pt>
                <c:pt idx="34">
                  <c:v>29041.323508033824</c:v>
                </c:pt>
                <c:pt idx="35">
                  <c:v>28982.806635126526</c:v>
                </c:pt>
              </c:numCache>
            </c:numRef>
          </c:val>
          <c:smooth val="0"/>
        </c:ser>
        <c:dLbls>
          <c:showLegendKey val="0"/>
          <c:showVal val="0"/>
          <c:showCatName val="0"/>
          <c:showSerName val="0"/>
          <c:showPercent val="0"/>
          <c:showBubbleSize val="0"/>
        </c:dLbls>
        <c:marker val="1"/>
        <c:smooth val="0"/>
        <c:axId val="123331712"/>
        <c:axId val="123333248"/>
      </c:lineChart>
      <c:catAx>
        <c:axId val="123331712"/>
        <c:scaling>
          <c:orientation val="minMax"/>
        </c:scaling>
        <c:delete val="0"/>
        <c:axPos val="b"/>
        <c:numFmt formatCode="General" sourceLinked="1"/>
        <c:majorTickMark val="none"/>
        <c:minorTickMark val="none"/>
        <c:tickLblPos val="nextTo"/>
        <c:crossAx val="123333248"/>
        <c:crosses val="autoZero"/>
        <c:auto val="1"/>
        <c:lblAlgn val="ctr"/>
        <c:lblOffset val="100"/>
        <c:tickLblSkip val="5"/>
        <c:noMultiLvlLbl val="0"/>
      </c:catAx>
      <c:valAx>
        <c:axId val="123333248"/>
        <c:scaling>
          <c:orientation val="minMax"/>
          <c:max val="33000"/>
          <c:min val="27000"/>
        </c:scaling>
        <c:delete val="0"/>
        <c:axPos val="l"/>
        <c:majorGridlines/>
        <c:numFmt formatCode="&quot;$&quot;#,##0" sourceLinked="0"/>
        <c:majorTickMark val="none"/>
        <c:minorTickMark val="none"/>
        <c:tickLblPos val="nextTo"/>
        <c:spPr>
          <a:ln w="9525">
            <a:noFill/>
          </a:ln>
        </c:spPr>
        <c:crossAx val="123331712"/>
        <c:crosses val="autoZero"/>
        <c:crossBetween val="midCat"/>
        <c:majorUnit val="1000"/>
      </c:valAx>
    </c:plotArea>
    <c:legend>
      <c:legendPos val="b"/>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3"/>
          <c:order val="0"/>
          <c:tx>
            <c:strRef>
              <c:f>'SnH 400k'!$J$4</c:f>
              <c:strCache>
                <c:ptCount val="1"/>
                <c:pt idx="0">
                  <c:v>CIPR (basic DLA)</c:v>
                </c:pt>
              </c:strCache>
            </c:strRef>
          </c:tx>
          <c:spPr>
            <a:ln>
              <a:solidFill>
                <a:schemeClr val="accent1"/>
              </a:solidFill>
            </a:ln>
          </c:spPr>
          <c:marker>
            <c:symbol val="none"/>
          </c:marker>
          <c:cat>
            <c:numRef>
              <c:f>'SnH 100k'!$A$6:$A$41</c:f>
              <c:numCache>
                <c:formatCode>General</c:formatCode>
                <c:ptCount val="36"/>
                <c:pt idx="0">
                  <c:v>65</c:v>
                </c:pt>
                <c:pt idx="1">
                  <c:v>66</c:v>
                </c:pt>
                <c:pt idx="2">
                  <c:v>67</c:v>
                </c:pt>
                <c:pt idx="3">
                  <c:v>68</c:v>
                </c:pt>
                <c:pt idx="4">
                  <c:v>69</c:v>
                </c:pt>
                <c:pt idx="5">
                  <c:v>70</c:v>
                </c:pt>
                <c:pt idx="6">
                  <c:v>71</c:v>
                </c:pt>
                <c:pt idx="7">
                  <c:v>72</c:v>
                </c:pt>
                <c:pt idx="8">
                  <c:v>73</c:v>
                </c:pt>
                <c:pt idx="9">
                  <c:v>74</c:v>
                </c:pt>
                <c:pt idx="10">
                  <c:v>75</c:v>
                </c:pt>
                <c:pt idx="11">
                  <c:v>76</c:v>
                </c:pt>
                <c:pt idx="12">
                  <c:v>77</c:v>
                </c:pt>
                <c:pt idx="13">
                  <c:v>78</c:v>
                </c:pt>
                <c:pt idx="14">
                  <c:v>79</c:v>
                </c:pt>
                <c:pt idx="15">
                  <c:v>80</c:v>
                </c:pt>
                <c:pt idx="16">
                  <c:v>81</c:v>
                </c:pt>
                <c:pt idx="17">
                  <c:v>82</c:v>
                </c:pt>
                <c:pt idx="18">
                  <c:v>83</c:v>
                </c:pt>
                <c:pt idx="19">
                  <c:v>84</c:v>
                </c:pt>
                <c:pt idx="20">
                  <c:v>85</c:v>
                </c:pt>
                <c:pt idx="21">
                  <c:v>86</c:v>
                </c:pt>
                <c:pt idx="22">
                  <c:v>87</c:v>
                </c:pt>
                <c:pt idx="23">
                  <c:v>88</c:v>
                </c:pt>
                <c:pt idx="24">
                  <c:v>89</c:v>
                </c:pt>
                <c:pt idx="25">
                  <c:v>90</c:v>
                </c:pt>
                <c:pt idx="26">
                  <c:v>91</c:v>
                </c:pt>
                <c:pt idx="27">
                  <c:v>92</c:v>
                </c:pt>
                <c:pt idx="28">
                  <c:v>93</c:v>
                </c:pt>
                <c:pt idx="29">
                  <c:v>94</c:v>
                </c:pt>
                <c:pt idx="30">
                  <c:v>95</c:v>
                </c:pt>
                <c:pt idx="31">
                  <c:v>96</c:v>
                </c:pt>
                <c:pt idx="32">
                  <c:v>97</c:v>
                </c:pt>
                <c:pt idx="33">
                  <c:v>98</c:v>
                </c:pt>
                <c:pt idx="34">
                  <c:v>99</c:v>
                </c:pt>
                <c:pt idx="35">
                  <c:v>100</c:v>
                </c:pt>
              </c:numCache>
            </c:numRef>
          </c:cat>
          <c:val>
            <c:numRef>
              <c:f>'SnH 400k'!$J$6:$J$41</c:f>
              <c:numCache>
                <c:formatCode>#,##0</c:formatCode>
                <c:ptCount val="36"/>
                <c:pt idx="0">
                  <c:v>40495.533741583582</c:v>
                </c:pt>
                <c:pt idx="1">
                  <c:v>40818.313220879863</c:v>
                </c:pt>
                <c:pt idx="2">
                  <c:v>41146.512004134813</c:v>
                </c:pt>
                <c:pt idx="3">
                  <c:v>41480.245894434272</c:v>
                </c:pt>
                <c:pt idx="4">
                  <c:v>41819.633337005638</c:v>
                </c:pt>
                <c:pt idx="5">
                  <c:v>42164.795480389679</c:v>
                </c:pt>
                <c:pt idx="6">
                  <c:v>42515.856239033135</c:v>
                </c:pt>
                <c:pt idx="7">
                  <c:v>42872.942357334949</c:v>
                </c:pt>
                <c:pt idx="8">
                  <c:v>43236.183475180034</c:v>
                </c:pt>
                <c:pt idx="9">
                  <c:v>43605.712194995082</c:v>
                </c:pt>
                <c:pt idx="10">
                  <c:v>43981.664150361801</c:v>
                </c:pt>
                <c:pt idx="11">
                  <c:v>44364.17807622382</c:v>
                </c:pt>
                <c:pt idx="12">
                  <c:v>44587.468574881335</c:v>
                </c:pt>
                <c:pt idx="13">
                  <c:v>44707.725913735747</c:v>
                </c:pt>
                <c:pt idx="14">
                  <c:v>44828.569873755318</c:v>
                </c:pt>
                <c:pt idx="15">
                  <c:v>44950.003316506671</c:v>
                </c:pt>
                <c:pt idx="16">
                  <c:v>45072.029117515362</c:v>
                </c:pt>
                <c:pt idx="17">
                  <c:v>45194.650166333857</c:v>
                </c:pt>
                <c:pt idx="18">
                  <c:v>45317.869366609986</c:v>
                </c:pt>
                <c:pt idx="19">
                  <c:v>45441.689636155759</c:v>
                </c:pt>
                <c:pt idx="20">
                  <c:v>41769.699674098694</c:v>
                </c:pt>
                <c:pt idx="21">
                  <c:v>41894.730892622072</c:v>
                </c:pt>
                <c:pt idx="22">
                  <c:v>42020.372019528484</c:v>
                </c:pt>
                <c:pt idx="23">
                  <c:v>42146.626029980776</c:v>
                </c:pt>
                <c:pt idx="24">
                  <c:v>42273.495913654791</c:v>
                </c:pt>
                <c:pt idx="25">
                  <c:v>42400.984674810155</c:v>
                </c:pt>
                <c:pt idx="26">
                  <c:v>42529.095332361379</c:v>
                </c:pt>
                <c:pt idx="27">
                  <c:v>42657.830919949447</c:v>
                </c:pt>
                <c:pt idx="28">
                  <c:v>42787.194486013555</c:v>
                </c:pt>
                <c:pt idx="29">
                  <c:v>42917.189093863337</c:v>
                </c:pt>
                <c:pt idx="30">
                  <c:v>43047.817821751421</c:v>
                </c:pt>
                <c:pt idx="31">
                  <c:v>43179.083762946262</c:v>
                </c:pt>
                <c:pt idx="32">
                  <c:v>43310.990025805477</c:v>
                </c:pt>
                <c:pt idx="33">
                  <c:v>43443.539733849364</c:v>
                </c:pt>
                <c:pt idx="34">
                  <c:v>43576.736025834936</c:v>
                </c:pt>
                <c:pt idx="35">
                  <c:v>43710.582055830193</c:v>
                </c:pt>
              </c:numCache>
            </c:numRef>
          </c:val>
          <c:smooth val="0"/>
        </c:ser>
        <c:ser>
          <c:idx val="0"/>
          <c:order val="1"/>
          <c:tx>
            <c:strRef>
              <c:f>'SnH 350k o50k'!$J$4</c:f>
              <c:strCache>
                <c:ptCount val="1"/>
                <c:pt idx="0">
                  <c:v>CIPR (high flexibility)</c:v>
                </c:pt>
              </c:strCache>
            </c:strRef>
          </c:tx>
          <c:spPr>
            <a:ln>
              <a:solidFill>
                <a:schemeClr val="accent2"/>
              </a:solidFill>
            </a:ln>
          </c:spPr>
          <c:marker>
            <c:symbol val="none"/>
          </c:marker>
          <c:val>
            <c:numRef>
              <c:f>'SnH 350k o50k'!$J$6:$J$41</c:f>
              <c:numCache>
                <c:formatCode>#,##0</c:formatCode>
                <c:ptCount val="36"/>
                <c:pt idx="0">
                  <c:v>39472.954523885637</c:v>
                </c:pt>
                <c:pt idx="1">
                  <c:v>39749.749007294267</c:v>
                </c:pt>
                <c:pt idx="2">
                  <c:v>40031.837893266973</c:v>
                </c:pt>
                <c:pt idx="3">
                  <c:v>40319.311058050764</c:v>
                </c:pt>
                <c:pt idx="4">
                  <c:v>40612.260978945516</c:v>
                </c:pt>
                <c:pt idx="5">
                  <c:v>40910.78278082444</c:v>
                </c:pt>
                <c:pt idx="6">
                  <c:v>41214.974284068623</c:v>
                </c:pt>
                <c:pt idx="7">
                  <c:v>41524.936053940546</c:v>
                </c:pt>
                <c:pt idx="8">
                  <c:v>41840.771451422028</c:v>
                </c:pt>
                <c:pt idx="9">
                  <c:v>42162.586685542759</c:v>
                </c:pt>
                <c:pt idx="10">
                  <c:v>42490.490867226676</c:v>
                </c:pt>
                <c:pt idx="11">
                  <c:v>42824.596064683981</c:v>
                </c:pt>
                <c:pt idx="12">
                  <c:v>43165.017360377467</c:v>
                </c:pt>
                <c:pt idx="13">
                  <c:v>43394.694760457714</c:v>
                </c:pt>
                <c:pt idx="14">
                  <c:v>43486.78730314954</c:v>
                </c:pt>
                <c:pt idx="15">
                  <c:v>43580.170582654304</c:v>
                </c:pt>
                <c:pt idx="16">
                  <c:v>43674.83037073951</c:v>
                </c:pt>
                <c:pt idx="17">
                  <c:v>43770.75287036434</c:v>
                </c:pt>
                <c:pt idx="18">
                  <c:v>43867.924705573489</c:v>
                </c:pt>
                <c:pt idx="19">
                  <c:v>43966.332911639285</c:v>
                </c:pt>
                <c:pt idx="20">
                  <c:v>40750.108934142554</c:v>
                </c:pt>
                <c:pt idx="21">
                  <c:v>40857.46462230874</c:v>
                </c:pt>
                <c:pt idx="22">
                  <c:v>40965.861329354469</c:v>
                </c:pt>
                <c:pt idx="23">
                  <c:v>41075.291515552453</c:v>
                </c:pt>
                <c:pt idx="24">
                  <c:v>41185.747912149091</c:v>
                </c:pt>
                <c:pt idx="25">
                  <c:v>41297.223515180165</c:v>
                </c:pt>
                <c:pt idx="26">
                  <c:v>41409.711579439419</c:v>
                </c:pt>
                <c:pt idx="27">
                  <c:v>41523.205612596299</c:v>
                </c:pt>
                <c:pt idx="28">
                  <c:v>41637.699369459238</c:v>
                </c:pt>
                <c:pt idx="29">
                  <c:v>41753.186846381046</c:v>
                </c:pt>
                <c:pt idx="30">
                  <c:v>41869.662275802824</c:v>
                </c:pt>
                <c:pt idx="31">
                  <c:v>41987.120120932959</c:v>
                </c:pt>
                <c:pt idx="32">
                  <c:v>42105.55507055833</c:v>
                </c:pt>
                <c:pt idx="33">
                  <c:v>42224.962033983844</c:v>
                </c:pt>
                <c:pt idx="34">
                  <c:v>42345.336136097816</c:v>
                </c:pt>
                <c:pt idx="35">
                  <c:v>42466.672712559804</c:v>
                </c:pt>
              </c:numCache>
            </c:numRef>
          </c:val>
          <c:smooth val="0"/>
        </c:ser>
        <c:ser>
          <c:idx val="1"/>
          <c:order val="2"/>
          <c:tx>
            <c:strRef>
              <c:f>'SnH 400k'!$I$4</c:f>
              <c:strCache>
                <c:ptCount val="1"/>
                <c:pt idx="0">
                  <c:v>ABP (minimum drawdown)</c:v>
                </c:pt>
              </c:strCache>
            </c:strRef>
          </c:tx>
          <c:spPr>
            <a:ln>
              <a:solidFill>
                <a:schemeClr val="accent4">
                  <a:lumMod val="75000"/>
                </a:schemeClr>
              </a:solidFill>
              <a:prstDash val="solid"/>
            </a:ln>
          </c:spPr>
          <c:marker>
            <c:symbol val="none"/>
          </c:marker>
          <c:cat>
            <c:numRef>
              <c:f>'SnH 100k'!$A$6:$A$41</c:f>
              <c:numCache>
                <c:formatCode>General</c:formatCode>
                <c:ptCount val="36"/>
                <c:pt idx="0">
                  <c:v>65</c:v>
                </c:pt>
                <c:pt idx="1">
                  <c:v>66</c:v>
                </c:pt>
                <c:pt idx="2">
                  <c:v>67</c:v>
                </c:pt>
                <c:pt idx="3">
                  <c:v>68</c:v>
                </c:pt>
                <c:pt idx="4">
                  <c:v>69</c:v>
                </c:pt>
                <c:pt idx="5">
                  <c:v>70</c:v>
                </c:pt>
                <c:pt idx="6">
                  <c:v>71</c:v>
                </c:pt>
                <c:pt idx="7">
                  <c:v>72</c:v>
                </c:pt>
                <c:pt idx="8">
                  <c:v>73</c:v>
                </c:pt>
                <c:pt idx="9">
                  <c:v>74</c:v>
                </c:pt>
                <c:pt idx="10">
                  <c:v>75</c:v>
                </c:pt>
                <c:pt idx="11">
                  <c:v>76</c:v>
                </c:pt>
                <c:pt idx="12">
                  <c:v>77</c:v>
                </c:pt>
                <c:pt idx="13">
                  <c:v>78</c:v>
                </c:pt>
                <c:pt idx="14">
                  <c:v>79</c:v>
                </c:pt>
                <c:pt idx="15">
                  <c:v>80</c:v>
                </c:pt>
                <c:pt idx="16">
                  <c:v>81</c:v>
                </c:pt>
                <c:pt idx="17">
                  <c:v>82</c:v>
                </c:pt>
                <c:pt idx="18">
                  <c:v>83</c:v>
                </c:pt>
                <c:pt idx="19">
                  <c:v>84</c:v>
                </c:pt>
                <c:pt idx="20">
                  <c:v>85</c:v>
                </c:pt>
                <c:pt idx="21">
                  <c:v>86</c:v>
                </c:pt>
                <c:pt idx="22">
                  <c:v>87</c:v>
                </c:pt>
                <c:pt idx="23">
                  <c:v>88</c:v>
                </c:pt>
                <c:pt idx="24">
                  <c:v>89</c:v>
                </c:pt>
                <c:pt idx="25">
                  <c:v>90</c:v>
                </c:pt>
                <c:pt idx="26">
                  <c:v>91</c:v>
                </c:pt>
                <c:pt idx="27">
                  <c:v>92</c:v>
                </c:pt>
                <c:pt idx="28">
                  <c:v>93</c:v>
                </c:pt>
                <c:pt idx="29">
                  <c:v>94</c:v>
                </c:pt>
                <c:pt idx="30">
                  <c:v>95</c:v>
                </c:pt>
                <c:pt idx="31">
                  <c:v>96</c:v>
                </c:pt>
                <c:pt idx="32">
                  <c:v>97</c:v>
                </c:pt>
                <c:pt idx="33">
                  <c:v>98</c:v>
                </c:pt>
                <c:pt idx="34">
                  <c:v>99</c:v>
                </c:pt>
                <c:pt idx="35">
                  <c:v>100</c:v>
                </c:pt>
              </c:numCache>
            </c:numRef>
          </c:cat>
          <c:val>
            <c:numRef>
              <c:f>'SnH 400k'!$I$6:$I$41</c:f>
              <c:numCache>
                <c:formatCode>#,##0</c:formatCode>
                <c:ptCount val="36"/>
                <c:pt idx="0">
                  <c:v>39314.899999999994</c:v>
                </c:pt>
                <c:pt idx="1">
                  <c:v>39051.439146341465</c:v>
                </c:pt>
                <c:pt idx="2">
                  <c:v>38799.053958895747</c:v>
                </c:pt>
                <c:pt idx="3">
                  <c:v>38557.453371723037</c:v>
                </c:pt>
                <c:pt idx="4">
                  <c:v>38326.354533473219</c:v>
                </c:pt>
                <c:pt idx="5">
                  <c:v>38105.48257848042</c:v>
                </c:pt>
                <c:pt idx="6">
                  <c:v>37894.570404250262</c:v>
                </c:pt>
                <c:pt idx="7">
                  <c:v>37693.358455161404</c:v>
                </c:pt>
                <c:pt idx="8">
                  <c:v>37501.594512207965</c:v>
                </c:pt>
                <c:pt idx="9">
                  <c:v>37319.033488614012</c:v>
                </c:pt>
                <c:pt idx="10">
                  <c:v>40159.051736961599</c:v>
                </c:pt>
                <c:pt idx="11">
                  <c:v>39775.143619337628</c:v>
                </c:pt>
                <c:pt idx="12">
                  <c:v>39411.006287759519</c:v>
                </c:pt>
                <c:pt idx="13">
                  <c:v>39065.910469397335</c:v>
                </c:pt>
                <c:pt idx="14">
                  <c:v>38739.154835650421</c:v>
                </c:pt>
                <c:pt idx="15">
                  <c:v>40911.042246333614</c:v>
                </c:pt>
                <c:pt idx="16">
                  <c:v>40387.866222779106</c:v>
                </c:pt>
                <c:pt idx="17">
                  <c:v>39896.502357068654</c:v>
                </c:pt>
                <c:pt idx="18">
                  <c:v>39435.443179762187</c:v>
                </c:pt>
                <c:pt idx="19">
                  <c:v>39003.254312222787</c:v>
                </c:pt>
                <c:pt idx="20">
                  <c:v>42470.820655179465</c:v>
                </c:pt>
                <c:pt idx="21">
                  <c:v>41612.776033946182</c:v>
                </c:pt>
                <c:pt idx="22">
                  <c:v>40823.024174466424</c:v>
                </c:pt>
                <c:pt idx="23">
                  <c:v>40076.494098536612</c:v>
                </c:pt>
                <c:pt idx="24">
                  <c:v>39234.798069256132</c:v>
                </c:pt>
                <c:pt idx="25">
                  <c:v>41171.009233496312</c:v>
                </c:pt>
                <c:pt idx="26">
                  <c:v>39967.613801593259</c:v>
                </c:pt>
                <c:pt idx="27">
                  <c:v>38883.764005667203</c:v>
                </c:pt>
                <c:pt idx="28">
                  <c:v>37908.841737849216</c:v>
                </c:pt>
                <c:pt idx="29">
                  <c:v>37033.177511697017</c:v>
                </c:pt>
                <c:pt idx="30">
                  <c:v>38794.815137938494</c:v>
                </c:pt>
                <c:pt idx="31">
                  <c:v>37499.723664149016</c:v>
                </c:pt>
                <c:pt idx="32">
                  <c:v>36376.450013288239</c:v>
                </c:pt>
                <c:pt idx="33">
                  <c:v>35404.454255199118</c:v>
                </c:pt>
                <c:pt idx="34">
                  <c:v>34565.661851843623</c:v>
                </c:pt>
                <c:pt idx="35">
                  <c:v>33844.16778689612</c:v>
                </c:pt>
              </c:numCache>
            </c:numRef>
          </c:val>
          <c:smooth val="0"/>
        </c:ser>
        <c:dLbls>
          <c:showLegendKey val="0"/>
          <c:showVal val="0"/>
          <c:showCatName val="0"/>
          <c:showSerName val="0"/>
          <c:showPercent val="0"/>
          <c:showBubbleSize val="0"/>
        </c:dLbls>
        <c:marker val="1"/>
        <c:smooth val="0"/>
        <c:axId val="34566528"/>
        <c:axId val="34568064"/>
      </c:lineChart>
      <c:catAx>
        <c:axId val="34566528"/>
        <c:scaling>
          <c:orientation val="minMax"/>
        </c:scaling>
        <c:delete val="0"/>
        <c:axPos val="b"/>
        <c:numFmt formatCode="General" sourceLinked="1"/>
        <c:majorTickMark val="none"/>
        <c:minorTickMark val="none"/>
        <c:tickLblPos val="nextTo"/>
        <c:crossAx val="34568064"/>
        <c:crosses val="autoZero"/>
        <c:auto val="1"/>
        <c:lblAlgn val="ctr"/>
        <c:lblOffset val="100"/>
        <c:tickLblSkip val="5"/>
        <c:noMultiLvlLbl val="0"/>
      </c:catAx>
      <c:valAx>
        <c:axId val="34568064"/>
        <c:scaling>
          <c:orientation val="minMax"/>
          <c:max val="50000"/>
          <c:min val="25000"/>
        </c:scaling>
        <c:delete val="0"/>
        <c:axPos val="l"/>
        <c:majorGridlines/>
        <c:numFmt formatCode="&quot;$&quot;#,##0_);\(&quot;$&quot;#,##0\)" sourceLinked="0"/>
        <c:majorTickMark val="none"/>
        <c:minorTickMark val="none"/>
        <c:tickLblPos val="nextTo"/>
        <c:spPr>
          <a:ln w="9525">
            <a:noFill/>
          </a:ln>
        </c:spPr>
        <c:crossAx val="34566528"/>
        <c:crosses val="autoZero"/>
        <c:crossBetween val="midCat"/>
        <c:majorUnit val="5000"/>
      </c:valAx>
    </c:plotArea>
    <c:legend>
      <c:legendPos val="b"/>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71033829104696"/>
          <c:y val="6.521303779758808E-2"/>
          <c:w val="0.84422262321376496"/>
          <c:h val="0.67668116112351628"/>
        </c:manualLayout>
      </c:layout>
      <c:lineChart>
        <c:grouping val="standard"/>
        <c:varyColors val="0"/>
        <c:ser>
          <c:idx val="3"/>
          <c:order val="0"/>
          <c:tx>
            <c:strRef>
              <c:f>'SH 400k'!$J$4</c:f>
              <c:strCache>
                <c:ptCount val="1"/>
                <c:pt idx="0">
                  <c:v>CIPR (basic DLA)</c:v>
                </c:pt>
              </c:strCache>
            </c:strRef>
          </c:tx>
          <c:spPr>
            <a:ln>
              <a:solidFill>
                <a:schemeClr val="accent1"/>
              </a:solidFill>
            </a:ln>
          </c:spPr>
          <c:marker>
            <c:symbol val="none"/>
          </c:marker>
          <c:cat>
            <c:numRef>
              <c:f>'SnH 100k'!$A$6:$A$41</c:f>
              <c:numCache>
                <c:formatCode>General</c:formatCode>
                <c:ptCount val="36"/>
                <c:pt idx="0">
                  <c:v>65</c:v>
                </c:pt>
                <c:pt idx="1">
                  <c:v>66</c:v>
                </c:pt>
                <c:pt idx="2">
                  <c:v>67</c:v>
                </c:pt>
                <c:pt idx="3">
                  <c:v>68</c:v>
                </c:pt>
                <c:pt idx="4">
                  <c:v>69</c:v>
                </c:pt>
                <c:pt idx="5">
                  <c:v>70</c:v>
                </c:pt>
                <c:pt idx="6">
                  <c:v>71</c:v>
                </c:pt>
                <c:pt idx="7">
                  <c:v>72</c:v>
                </c:pt>
                <c:pt idx="8">
                  <c:v>73</c:v>
                </c:pt>
                <c:pt idx="9">
                  <c:v>74</c:v>
                </c:pt>
                <c:pt idx="10">
                  <c:v>75</c:v>
                </c:pt>
                <c:pt idx="11">
                  <c:v>76</c:v>
                </c:pt>
                <c:pt idx="12">
                  <c:v>77</c:v>
                </c:pt>
                <c:pt idx="13">
                  <c:v>78</c:v>
                </c:pt>
                <c:pt idx="14">
                  <c:v>79</c:v>
                </c:pt>
                <c:pt idx="15">
                  <c:v>80</c:v>
                </c:pt>
                <c:pt idx="16">
                  <c:v>81</c:v>
                </c:pt>
                <c:pt idx="17">
                  <c:v>82</c:v>
                </c:pt>
                <c:pt idx="18">
                  <c:v>83</c:v>
                </c:pt>
                <c:pt idx="19">
                  <c:v>84</c:v>
                </c:pt>
                <c:pt idx="20">
                  <c:v>85</c:v>
                </c:pt>
                <c:pt idx="21">
                  <c:v>86</c:v>
                </c:pt>
                <c:pt idx="22">
                  <c:v>87</c:v>
                </c:pt>
                <c:pt idx="23">
                  <c:v>88</c:v>
                </c:pt>
                <c:pt idx="24">
                  <c:v>89</c:v>
                </c:pt>
                <c:pt idx="25">
                  <c:v>90</c:v>
                </c:pt>
                <c:pt idx="26">
                  <c:v>91</c:v>
                </c:pt>
                <c:pt idx="27">
                  <c:v>92</c:v>
                </c:pt>
                <c:pt idx="28">
                  <c:v>93</c:v>
                </c:pt>
                <c:pt idx="29">
                  <c:v>94</c:v>
                </c:pt>
                <c:pt idx="30">
                  <c:v>95</c:v>
                </c:pt>
                <c:pt idx="31">
                  <c:v>96</c:v>
                </c:pt>
                <c:pt idx="32">
                  <c:v>97</c:v>
                </c:pt>
                <c:pt idx="33">
                  <c:v>98</c:v>
                </c:pt>
                <c:pt idx="34">
                  <c:v>99</c:v>
                </c:pt>
                <c:pt idx="35">
                  <c:v>100</c:v>
                </c:pt>
              </c:numCache>
            </c:numRef>
          </c:cat>
          <c:val>
            <c:numRef>
              <c:f>'SH 400k'!$J$6:$J$41</c:f>
              <c:numCache>
                <c:formatCode>#,##0</c:formatCode>
                <c:ptCount val="36"/>
                <c:pt idx="0">
                  <c:v>34173.779802892815</c:v>
                </c:pt>
                <c:pt idx="1">
                  <c:v>35379.5823898503</c:v>
                </c:pt>
                <c:pt idx="2">
                  <c:v>36607.160326267651</c:v>
                </c:pt>
                <c:pt idx="3">
                  <c:v>37857.111273006987</c:v>
                </c:pt>
                <c:pt idx="4">
                  <c:v>39130.044253340537</c:v>
                </c:pt>
                <c:pt idx="5">
                  <c:v>40426.579977302958</c:v>
                </c:pt>
                <c:pt idx="6">
                  <c:v>41747.351172106632</c:v>
                </c:pt>
                <c:pt idx="7">
                  <c:v>42872.942357334949</c:v>
                </c:pt>
                <c:pt idx="8">
                  <c:v>43236.183475180034</c:v>
                </c:pt>
                <c:pt idx="9">
                  <c:v>43605.712194995082</c:v>
                </c:pt>
                <c:pt idx="10">
                  <c:v>43981.664150361801</c:v>
                </c:pt>
                <c:pt idx="11">
                  <c:v>44364.17807622382</c:v>
                </c:pt>
                <c:pt idx="12">
                  <c:v>44587.468574881335</c:v>
                </c:pt>
                <c:pt idx="13">
                  <c:v>44707.725913735747</c:v>
                </c:pt>
                <c:pt idx="14">
                  <c:v>44828.569873755318</c:v>
                </c:pt>
                <c:pt idx="15">
                  <c:v>44950.003316506671</c:v>
                </c:pt>
                <c:pt idx="16">
                  <c:v>45072.029117515362</c:v>
                </c:pt>
                <c:pt idx="17">
                  <c:v>45194.650166333857</c:v>
                </c:pt>
                <c:pt idx="18">
                  <c:v>45317.869366609986</c:v>
                </c:pt>
                <c:pt idx="19">
                  <c:v>45441.689636155759</c:v>
                </c:pt>
                <c:pt idx="20">
                  <c:v>41769.699674098694</c:v>
                </c:pt>
                <c:pt idx="21">
                  <c:v>41894.730892622072</c:v>
                </c:pt>
                <c:pt idx="22">
                  <c:v>42020.372019528484</c:v>
                </c:pt>
                <c:pt idx="23">
                  <c:v>42146.626029980776</c:v>
                </c:pt>
                <c:pt idx="24">
                  <c:v>42273.495913654791</c:v>
                </c:pt>
                <c:pt idx="25">
                  <c:v>42400.984674810155</c:v>
                </c:pt>
                <c:pt idx="26">
                  <c:v>42529.095332361379</c:v>
                </c:pt>
                <c:pt idx="27">
                  <c:v>42657.830919949447</c:v>
                </c:pt>
                <c:pt idx="28">
                  <c:v>42787.194486013555</c:v>
                </c:pt>
                <c:pt idx="29">
                  <c:v>42917.189093863337</c:v>
                </c:pt>
                <c:pt idx="30">
                  <c:v>43047.817821751421</c:v>
                </c:pt>
                <c:pt idx="31">
                  <c:v>43179.083762946262</c:v>
                </c:pt>
                <c:pt idx="32">
                  <c:v>43310.990025805477</c:v>
                </c:pt>
                <c:pt idx="33">
                  <c:v>43443.539733849364</c:v>
                </c:pt>
                <c:pt idx="34">
                  <c:v>43576.736025834936</c:v>
                </c:pt>
                <c:pt idx="35">
                  <c:v>43710.582055830193</c:v>
                </c:pt>
              </c:numCache>
            </c:numRef>
          </c:val>
          <c:smooth val="0"/>
        </c:ser>
        <c:ser>
          <c:idx val="0"/>
          <c:order val="1"/>
          <c:tx>
            <c:strRef>
              <c:f>'SH 350k o50k'!$J$4</c:f>
              <c:strCache>
                <c:ptCount val="1"/>
                <c:pt idx="0">
                  <c:v>CIPR (high flexibility)</c:v>
                </c:pt>
              </c:strCache>
            </c:strRef>
          </c:tx>
          <c:spPr>
            <a:ln>
              <a:solidFill>
                <a:schemeClr val="accent2"/>
              </a:solidFill>
            </a:ln>
          </c:spPr>
          <c:marker>
            <c:symbol val="none"/>
          </c:marker>
          <c:val>
            <c:numRef>
              <c:f>'SH 350k o50k'!$J$6:$J$41</c:f>
              <c:numCache>
                <c:formatCode>#,##0</c:formatCode>
                <c:ptCount val="36"/>
                <c:pt idx="0">
                  <c:v>33007.919827531216</c:v>
                </c:pt>
                <c:pt idx="1">
                  <c:v>34132.664408192177</c:v>
                </c:pt>
                <c:pt idx="2">
                  <c:v>35275.178226888114</c:v>
                </c:pt>
                <c:pt idx="3">
                  <c:v>36436.017583087159</c:v>
                </c:pt>
                <c:pt idx="4">
                  <c:v>37615.747914919295</c:v>
                </c:pt>
                <c:pt idx="5">
                  <c:v>38814.944102629175</c:v>
                </c:pt>
                <c:pt idx="6">
                  <c:v>40034.19077685487</c:v>
                </c:pt>
                <c:pt idx="7">
                  <c:v>41274.082631899146</c:v>
                </c:pt>
                <c:pt idx="8">
                  <c:v>41840.771451422028</c:v>
                </c:pt>
                <c:pt idx="9">
                  <c:v>42162.586685542759</c:v>
                </c:pt>
                <c:pt idx="10">
                  <c:v>42490.490867226676</c:v>
                </c:pt>
                <c:pt idx="11">
                  <c:v>42824.596064683981</c:v>
                </c:pt>
                <c:pt idx="12">
                  <c:v>43165.017360377467</c:v>
                </c:pt>
                <c:pt idx="13">
                  <c:v>43394.694760457714</c:v>
                </c:pt>
                <c:pt idx="14">
                  <c:v>43486.78730314954</c:v>
                </c:pt>
                <c:pt idx="15">
                  <c:v>43580.170582654304</c:v>
                </c:pt>
                <c:pt idx="16">
                  <c:v>43674.83037073951</c:v>
                </c:pt>
                <c:pt idx="17">
                  <c:v>43770.75287036434</c:v>
                </c:pt>
                <c:pt idx="18">
                  <c:v>43867.924705573489</c:v>
                </c:pt>
                <c:pt idx="19">
                  <c:v>43966.332911639285</c:v>
                </c:pt>
                <c:pt idx="20">
                  <c:v>40750.108934142554</c:v>
                </c:pt>
                <c:pt idx="21">
                  <c:v>40857.46462230874</c:v>
                </c:pt>
                <c:pt idx="22">
                  <c:v>40965.861329354469</c:v>
                </c:pt>
                <c:pt idx="23">
                  <c:v>41075.291515552453</c:v>
                </c:pt>
                <c:pt idx="24">
                  <c:v>41185.747912149091</c:v>
                </c:pt>
                <c:pt idx="25">
                  <c:v>41297.223515180165</c:v>
                </c:pt>
                <c:pt idx="26">
                  <c:v>41409.711579439419</c:v>
                </c:pt>
                <c:pt idx="27">
                  <c:v>41523.205612596299</c:v>
                </c:pt>
                <c:pt idx="28">
                  <c:v>41637.699369459238</c:v>
                </c:pt>
                <c:pt idx="29">
                  <c:v>41753.186846381046</c:v>
                </c:pt>
                <c:pt idx="30">
                  <c:v>41869.662275802824</c:v>
                </c:pt>
                <c:pt idx="31">
                  <c:v>41987.120120932959</c:v>
                </c:pt>
                <c:pt idx="32">
                  <c:v>42105.55507055833</c:v>
                </c:pt>
                <c:pt idx="33">
                  <c:v>42224.962033983844</c:v>
                </c:pt>
                <c:pt idx="34">
                  <c:v>42345.336136097816</c:v>
                </c:pt>
                <c:pt idx="35">
                  <c:v>42466.672712559804</c:v>
                </c:pt>
              </c:numCache>
            </c:numRef>
          </c:val>
          <c:smooth val="0"/>
        </c:ser>
        <c:ser>
          <c:idx val="1"/>
          <c:order val="2"/>
          <c:tx>
            <c:strRef>
              <c:f>'SH 400k'!$I$4</c:f>
              <c:strCache>
                <c:ptCount val="1"/>
                <c:pt idx="0">
                  <c:v>ABP (minimum drawdown)</c:v>
                </c:pt>
              </c:strCache>
            </c:strRef>
          </c:tx>
          <c:spPr>
            <a:ln>
              <a:solidFill>
                <a:schemeClr val="accent4"/>
              </a:solidFill>
              <a:prstDash val="solid"/>
            </a:ln>
          </c:spPr>
          <c:marker>
            <c:symbol val="none"/>
          </c:marker>
          <c:cat>
            <c:numRef>
              <c:f>'SnH 100k'!$A$6:$A$41</c:f>
              <c:numCache>
                <c:formatCode>General</c:formatCode>
                <c:ptCount val="36"/>
                <c:pt idx="0">
                  <c:v>65</c:v>
                </c:pt>
                <c:pt idx="1">
                  <c:v>66</c:v>
                </c:pt>
                <c:pt idx="2">
                  <c:v>67</c:v>
                </c:pt>
                <c:pt idx="3">
                  <c:v>68</c:v>
                </c:pt>
                <c:pt idx="4">
                  <c:v>69</c:v>
                </c:pt>
                <c:pt idx="5">
                  <c:v>70</c:v>
                </c:pt>
                <c:pt idx="6">
                  <c:v>71</c:v>
                </c:pt>
                <c:pt idx="7">
                  <c:v>72</c:v>
                </c:pt>
                <c:pt idx="8">
                  <c:v>73</c:v>
                </c:pt>
                <c:pt idx="9">
                  <c:v>74</c:v>
                </c:pt>
                <c:pt idx="10">
                  <c:v>75</c:v>
                </c:pt>
                <c:pt idx="11">
                  <c:v>76</c:v>
                </c:pt>
                <c:pt idx="12">
                  <c:v>77</c:v>
                </c:pt>
                <c:pt idx="13">
                  <c:v>78</c:v>
                </c:pt>
                <c:pt idx="14">
                  <c:v>79</c:v>
                </c:pt>
                <c:pt idx="15">
                  <c:v>80</c:v>
                </c:pt>
                <c:pt idx="16">
                  <c:v>81</c:v>
                </c:pt>
                <c:pt idx="17">
                  <c:v>82</c:v>
                </c:pt>
                <c:pt idx="18">
                  <c:v>83</c:v>
                </c:pt>
                <c:pt idx="19">
                  <c:v>84</c:v>
                </c:pt>
                <c:pt idx="20">
                  <c:v>85</c:v>
                </c:pt>
                <c:pt idx="21">
                  <c:v>86</c:v>
                </c:pt>
                <c:pt idx="22">
                  <c:v>87</c:v>
                </c:pt>
                <c:pt idx="23">
                  <c:v>88</c:v>
                </c:pt>
                <c:pt idx="24">
                  <c:v>89</c:v>
                </c:pt>
                <c:pt idx="25">
                  <c:v>90</c:v>
                </c:pt>
                <c:pt idx="26">
                  <c:v>91</c:v>
                </c:pt>
                <c:pt idx="27">
                  <c:v>92</c:v>
                </c:pt>
                <c:pt idx="28">
                  <c:v>93</c:v>
                </c:pt>
                <c:pt idx="29">
                  <c:v>94</c:v>
                </c:pt>
                <c:pt idx="30">
                  <c:v>95</c:v>
                </c:pt>
                <c:pt idx="31">
                  <c:v>96</c:v>
                </c:pt>
                <c:pt idx="32">
                  <c:v>97</c:v>
                </c:pt>
                <c:pt idx="33">
                  <c:v>98</c:v>
                </c:pt>
                <c:pt idx="34">
                  <c:v>99</c:v>
                </c:pt>
                <c:pt idx="35">
                  <c:v>100</c:v>
                </c:pt>
              </c:numCache>
            </c:numRef>
          </c:cat>
          <c:val>
            <c:numRef>
              <c:f>'SH 400k'!$I$6:$I$41</c:f>
              <c:numCache>
                <c:formatCode>#,##0</c:formatCode>
                <c:ptCount val="36"/>
                <c:pt idx="0">
                  <c:v>31846.899999999998</c:v>
                </c:pt>
                <c:pt idx="1">
                  <c:v>32273.020975609761</c:v>
                </c:pt>
                <c:pt idx="2">
                  <c:v>32690.965670093989</c:v>
                </c:pt>
                <c:pt idx="3">
                  <c:v>33100.9804990134</c:v>
                </c:pt>
                <c:pt idx="4">
                  <c:v>33503.305086952547</c:v>
                </c:pt>
                <c:pt idx="5">
                  <c:v>33898.172457544133</c:v>
                </c:pt>
                <c:pt idx="6">
                  <c:v>34285.809218190305</c:v>
                </c:pt>
                <c:pt idx="7">
                  <c:v>34666.435739628854</c:v>
                </c:pt>
                <c:pt idx="8">
                  <c:v>35040.266330488448</c:v>
                </c:pt>
                <c:pt idx="9">
                  <c:v>35407.509406972662</c:v>
                </c:pt>
                <c:pt idx="10">
                  <c:v>38781.982163614186</c:v>
                </c:pt>
                <c:pt idx="11">
                  <c:v>39108.023666605775</c:v>
                </c:pt>
                <c:pt idx="12">
                  <c:v>39411.006287759519</c:v>
                </c:pt>
                <c:pt idx="13">
                  <c:v>39065.910469397335</c:v>
                </c:pt>
                <c:pt idx="14">
                  <c:v>38739.154835650421</c:v>
                </c:pt>
                <c:pt idx="15">
                  <c:v>40911.042246333614</c:v>
                </c:pt>
                <c:pt idx="16">
                  <c:v>40387.866222779106</c:v>
                </c:pt>
                <c:pt idx="17">
                  <c:v>39896.502357068654</c:v>
                </c:pt>
                <c:pt idx="18">
                  <c:v>39435.443179762187</c:v>
                </c:pt>
                <c:pt idx="19">
                  <c:v>39003.254312222787</c:v>
                </c:pt>
                <c:pt idx="20">
                  <c:v>42470.820655179465</c:v>
                </c:pt>
                <c:pt idx="21">
                  <c:v>41612.776033946182</c:v>
                </c:pt>
                <c:pt idx="22">
                  <c:v>40823.024174466424</c:v>
                </c:pt>
                <c:pt idx="23">
                  <c:v>40076.494098536612</c:v>
                </c:pt>
                <c:pt idx="24">
                  <c:v>39234.798069256132</c:v>
                </c:pt>
                <c:pt idx="25">
                  <c:v>41171.009233496312</c:v>
                </c:pt>
                <c:pt idx="26">
                  <c:v>39967.613801593259</c:v>
                </c:pt>
                <c:pt idx="27">
                  <c:v>38883.764005667203</c:v>
                </c:pt>
                <c:pt idx="28">
                  <c:v>37908.841737849216</c:v>
                </c:pt>
                <c:pt idx="29">
                  <c:v>37033.177511697017</c:v>
                </c:pt>
                <c:pt idx="30">
                  <c:v>38794.815137938494</c:v>
                </c:pt>
                <c:pt idx="31">
                  <c:v>37499.723664149016</c:v>
                </c:pt>
                <c:pt idx="32">
                  <c:v>36376.450013288239</c:v>
                </c:pt>
                <c:pt idx="33">
                  <c:v>35404.454255199118</c:v>
                </c:pt>
                <c:pt idx="34">
                  <c:v>34565.661851843623</c:v>
                </c:pt>
                <c:pt idx="35">
                  <c:v>33844.16778689612</c:v>
                </c:pt>
              </c:numCache>
            </c:numRef>
          </c:val>
          <c:smooth val="0"/>
        </c:ser>
        <c:dLbls>
          <c:showLegendKey val="0"/>
          <c:showVal val="0"/>
          <c:showCatName val="0"/>
          <c:showSerName val="0"/>
          <c:showPercent val="0"/>
          <c:showBubbleSize val="0"/>
        </c:dLbls>
        <c:marker val="1"/>
        <c:smooth val="0"/>
        <c:axId val="121969664"/>
        <c:axId val="121971456"/>
      </c:lineChart>
      <c:catAx>
        <c:axId val="121969664"/>
        <c:scaling>
          <c:orientation val="minMax"/>
        </c:scaling>
        <c:delete val="0"/>
        <c:axPos val="b"/>
        <c:numFmt formatCode="General" sourceLinked="1"/>
        <c:majorTickMark val="none"/>
        <c:minorTickMark val="none"/>
        <c:tickLblPos val="nextTo"/>
        <c:crossAx val="121971456"/>
        <c:crosses val="autoZero"/>
        <c:auto val="1"/>
        <c:lblAlgn val="ctr"/>
        <c:lblOffset val="100"/>
        <c:tickLblSkip val="5"/>
        <c:noMultiLvlLbl val="0"/>
      </c:catAx>
      <c:valAx>
        <c:axId val="121971456"/>
        <c:scaling>
          <c:orientation val="minMax"/>
          <c:max val="50000"/>
          <c:min val="25000"/>
        </c:scaling>
        <c:delete val="0"/>
        <c:axPos val="l"/>
        <c:majorGridlines/>
        <c:numFmt formatCode="&quot;$&quot;#,##0" sourceLinked="0"/>
        <c:majorTickMark val="none"/>
        <c:minorTickMark val="none"/>
        <c:tickLblPos val="nextTo"/>
        <c:spPr>
          <a:ln w="9525">
            <a:noFill/>
          </a:ln>
        </c:spPr>
        <c:crossAx val="121969664"/>
        <c:crosses val="autoZero"/>
        <c:crossBetween val="midCat"/>
        <c:majorUnit val="5000"/>
      </c:valAx>
    </c:plotArea>
    <c:legend>
      <c:legendPos val="b"/>
      <c:overlay val="0"/>
    </c:legend>
    <c:plotVisOnly val="1"/>
    <c:dispBlanksAs val="gap"/>
    <c:showDLblsOverMax val="0"/>
  </c:chart>
  <c:spPr>
    <a:ln>
      <a:noFill/>
    </a:ln>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87E150FAA94154B696962CF21A0136"/>
        <w:category>
          <w:name w:val="General"/>
          <w:gallery w:val="placeholder"/>
        </w:category>
        <w:types>
          <w:type w:val="bbPlcHdr"/>
        </w:types>
        <w:behaviors>
          <w:behavior w:val="content"/>
        </w:behaviors>
        <w:guid w:val="{676E7454-A65E-4ECC-9480-53049BC34607}"/>
      </w:docPartPr>
      <w:docPartBody>
        <w:p w14:paraId="2F3051CA" w14:textId="77777777" w:rsidR="00CB5CB0" w:rsidRDefault="00B705CC">
          <w:pPr>
            <w:pStyle w:val="A287E150FAA94154B696962CF21A013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ercu">
    <w:altName w:val="Aperc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CC"/>
    <w:rsid w:val="0000435F"/>
    <w:rsid w:val="000D44A1"/>
    <w:rsid w:val="00134A20"/>
    <w:rsid w:val="00157EC0"/>
    <w:rsid w:val="0058743B"/>
    <w:rsid w:val="005E13E4"/>
    <w:rsid w:val="00873CB3"/>
    <w:rsid w:val="008D4120"/>
    <w:rsid w:val="00934FCB"/>
    <w:rsid w:val="009C7D66"/>
    <w:rsid w:val="00AC06EB"/>
    <w:rsid w:val="00B705CC"/>
    <w:rsid w:val="00B74C2B"/>
    <w:rsid w:val="00C9774E"/>
    <w:rsid w:val="00CB5CB0"/>
    <w:rsid w:val="00D367A1"/>
    <w:rsid w:val="00E85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3051C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36AA8769E49C3AB9CFC72E464B786">
    <w:name w:val="97136AA8769E49C3AB9CFC72E464B786"/>
  </w:style>
  <w:style w:type="character" w:styleId="PlaceholderText">
    <w:name w:val="Placeholder Text"/>
    <w:basedOn w:val="DefaultParagraphFont"/>
    <w:uiPriority w:val="99"/>
    <w:semiHidden/>
    <w:rPr>
      <w:color w:val="808080"/>
    </w:rPr>
  </w:style>
  <w:style w:type="paragraph" w:customStyle="1" w:styleId="A287E150FAA94154B696962CF21A0136">
    <w:name w:val="A287E150FAA94154B696962CF21A01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36AA8769E49C3AB9CFC72E464B786">
    <w:name w:val="97136AA8769E49C3AB9CFC72E464B786"/>
  </w:style>
  <w:style w:type="character" w:styleId="PlaceholderText">
    <w:name w:val="Placeholder Text"/>
    <w:basedOn w:val="DefaultParagraphFont"/>
    <w:uiPriority w:val="99"/>
    <w:semiHidden/>
    <w:rPr>
      <w:color w:val="808080"/>
    </w:rPr>
  </w:style>
  <w:style w:type="paragraph" w:customStyle="1" w:styleId="A287E150FAA94154B696962CF21A0136">
    <w:name w:val="A287E150FAA94154B696962CF21A0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Treasury">
    <a:majorFont>
      <a:latin typeface="Calibri"/>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Treasury">
    <a:majorFont>
      <a:latin typeface="Calibri"/>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orporate">
    <a:dk1>
      <a:sysClr val="windowText" lastClr="000000"/>
    </a:dk1>
    <a:lt1>
      <a:sysClr val="window" lastClr="FFFFFF"/>
    </a:lt1>
    <a:dk2>
      <a:srgbClr val="16325C"/>
    </a:dk2>
    <a:lt2>
      <a:srgbClr val="004A80"/>
    </a:lt2>
    <a:accent1>
      <a:srgbClr val="0074BD"/>
    </a:accent1>
    <a:accent2>
      <a:srgbClr val="00ABBD"/>
    </a:accent2>
    <a:accent3>
      <a:srgbClr val="128E6D"/>
    </a:accent3>
    <a:accent4>
      <a:srgbClr val="C8DD6B"/>
    </a:accent4>
    <a:accent5>
      <a:srgbClr val="404A8F"/>
    </a:accent5>
    <a:accent6>
      <a:srgbClr val="F06252"/>
    </a:accent6>
    <a:hlink>
      <a:srgbClr val="0000FF"/>
    </a:hlink>
    <a:folHlink>
      <a:srgbClr val="800080"/>
    </a:folHlink>
  </a:clrScheme>
  <a:fontScheme name="Treasury">
    <a:majorFont>
      <a:latin typeface="Calibri"/>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2018FG-583247893-66</_dlc_DocId>
    <_dlc_DocIdUrl xmlns="e544e5cc-ab70-42e1-849e-1a0f8bb1f4ef">
      <Url>http://tweb/sites/fg/ripd/ciprs/_layouts/15/DocIdRedir.aspx?ID=2018FG-583247893-66</Url>
      <Description>2018FG-583247893-66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1243" ma:contentTypeDescription="" ma:contentTypeScope="" ma:versionID="b676293d5ba8860269a7fead2fb15c88">
  <xsd:schema xmlns:xsd="http://www.w3.org/2001/XMLSchema" xmlns:xs="http://www.w3.org/2001/XMLSchema" xmlns:p="http://schemas.microsoft.com/office/2006/metadata/properties" xmlns:ns1="http://schemas.microsoft.com/sharepoint/v3" xmlns:ns2="e544e5cc-ab70-42e1-849e-1a0f8bb1f4ef" targetNamespace="http://schemas.microsoft.com/office/2006/metadata/properties" ma:root="true" ma:fieldsID="be1bf1eca8e7bc11f884a74591165b80" ns1:_="" ns2:_="">
    <xsd:import namespace="http://schemas.microsoft.com/sharepoint/v3"/>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A83A-B8C6-4B09-81A1-CDF0B1AA484D}">
  <ds:schemaRefs>
    <ds:schemaRef ds:uri="http://www.w3.org/XML/1998/namespace"/>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e544e5cc-ab70-42e1-849e-1a0f8bb1f4ef"/>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2BF7284-5F66-4DDA-B417-4EC61B6D16EB}">
  <ds:schemaRefs>
    <ds:schemaRef ds:uri="http://schemas.microsoft.com/sharepoint/events"/>
  </ds:schemaRefs>
</ds:datastoreItem>
</file>

<file path=customXml/itemProps3.xml><?xml version="1.0" encoding="utf-8"?>
<ds:datastoreItem xmlns:ds="http://schemas.openxmlformats.org/officeDocument/2006/customXml" ds:itemID="{DD4251E4-7DA8-454A-A8F3-9CD210DC0361}">
  <ds:schemaRefs>
    <ds:schemaRef ds:uri="office.server.policy"/>
  </ds:schemaRefs>
</ds:datastoreItem>
</file>

<file path=customXml/itemProps4.xml><?xml version="1.0" encoding="utf-8"?>
<ds:datastoreItem xmlns:ds="http://schemas.openxmlformats.org/officeDocument/2006/customXml" ds:itemID="{168D93FD-AD9F-4EEE-8292-4BC4C8935B2E}">
  <ds:schemaRefs>
    <ds:schemaRef ds:uri="http://schemas.microsoft.com/sharepoint/v3/contenttype/forms"/>
  </ds:schemaRefs>
</ds:datastoreItem>
</file>

<file path=customXml/itemProps5.xml><?xml version="1.0" encoding="utf-8"?>
<ds:datastoreItem xmlns:ds="http://schemas.openxmlformats.org/officeDocument/2006/customXml" ds:itemID="{71788E74-1D9D-4788-8671-ECECC7FA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DCC864-6BDD-41C7-BD6A-EF5E5D77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19</TotalTime>
  <Pages>18</Pages>
  <Words>5878</Words>
  <Characters>33509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McCormack, Penny</dc:creator>
  <cp:lastModifiedBy>McCallum, Rebecca</cp:lastModifiedBy>
  <cp:revision>4</cp:revision>
  <cp:lastPrinted>2018-05-15T06:56:00Z</cp:lastPrinted>
  <dcterms:created xsi:type="dcterms:W3CDTF">2018-05-15T02:41:00Z</dcterms:created>
  <dcterms:modified xsi:type="dcterms:W3CDTF">2018-05-15T06:56:00Z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0x010100348D01E61E107C4DA4B97E380EA20D470038C6F54242556948B6F04600E4F98FD4</vt:lpwstr>
  </property>
  <property fmtid="{D5CDD505-2E9C-101B-9397-08002B2CF9AE}" pid="3" name="RecordPoint_ActiveItemUniqueId">
    <vt:lpwstr>{9698c184-7516-44a4-a016-36534008a681}</vt:lpwstr>
  </property>
  <property fmtid="{D5CDD505-2E9C-101B-9397-08002B2CF9AE}" pid="4" name="TSYRecordClass">
    <vt:lpwstr>19;#TSY RA-9241 - Retain as national archives|f92f0150-6021-43b5-a30c-415e02490674</vt:lpwstr>
  </property>
  <property fmtid="{D5CDD505-2E9C-101B-9397-08002B2CF9AE}" pid="5" name="RecordPoint_WorkflowType">
    <vt:lpwstr>ActiveSubmitStub</vt:lpwstr>
  </property>
  <property fmtid="{D5CDD505-2E9C-101B-9397-08002B2CF9AE}" pid="6" name="_dlc_DocIdItemGuid">
    <vt:lpwstr>9698c184-7516-44a4-a016-36534008a681</vt:lpwstr>
  </property>
  <property fmtid="{D5CDD505-2E9C-101B-9397-08002B2CF9AE}" pid="7" name="RecordPoint_ActiveItemSiteId">
    <vt:lpwstr>{a3a280d1-e8f1-4ce7-94f0-aaa2322da0dd}</vt:lpwstr>
  </property>
  <property fmtid="{D5CDD505-2E9C-101B-9397-08002B2CF9AE}" pid="8" name="RecordPoint_ActiveItemListId">
    <vt:lpwstr>{543ec58f-cf1c-4c47-b9a9-4790f566cc05}</vt:lpwstr>
  </property>
  <property fmtid="{D5CDD505-2E9C-101B-9397-08002B2CF9AE}" pid="9" name="RecordPoint_ActiveItemWebId">
    <vt:lpwstr>{a0c3d890-6f79-4a7e-8da7-95dd64dcbd27}</vt:lpwstr>
  </property>
  <property fmtid="{D5CDD505-2E9C-101B-9397-08002B2CF9AE}" pid="10" name="RecordPoint_RecordNumberSubmitted">
    <vt:lpwstr>R0001692978</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_AdHocReviewCycleID">
    <vt:i4>1678149178</vt:i4>
  </property>
  <property fmtid="{D5CDD505-2E9C-101B-9397-08002B2CF9AE}" pid="15" name="_NewReviewCycle">
    <vt:lpwstr/>
  </property>
  <property fmtid="{D5CDD505-2E9C-101B-9397-08002B2CF9AE}" pid="16" name="_EmailSubject">
    <vt:lpwstr>Update - Consultation &amp; Discussions Papers Request #S69648 [SEC=UNCLASSIFIED]</vt:lpwstr>
  </property>
  <property fmtid="{D5CDD505-2E9C-101B-9397-08002B2CF9AE}" pid="17" name="_AuthorEmail">
    <vt:lpwstr>Rebecca.McCallum@treasury.gov.au</vt:lpwstr>
  </property>
  <property fmtid="{D5CDD505-2E9C-101B-9397-08002B2CF9AE}" pid="18" name="_AuthorEmailDisplayName">
    <vt:lpwstr>McCallum, Rebecca</vt:lpwstr>
  </property>
  <property fmtid="{D5CDD505-2E9C-101B-9397-08002B2CF9AE}" pid="20" name="RecordPoint_SubmissionCompleted">
    <vt:lpwstr>2018-05-15T13:22:05.5078275+10:00</vt:lpwstr>
  </property>
  <property fmtid="{D5CDD505-2E9C-101B-9397-08002B2CF9AE}" pid="21" name="_MarkAsFinal">
    <vt:bool>true</vt:bool>
  </property>
  <property fmtid="{D5CDD505-2E9C-101B-9397-08002B2CF9AE}" pid="22" name="_PreviousAdHocReviewCycleID">
    <vt:i4>1821613475</vt:i4>
  </property>
</Properties>
</file>