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D4" w:rsidRPr="00B43350" w:rsidRDefault="00190F9A"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DRAFT </w:t>
      </w:r>
      <w:r w:rsidR="00F109D4" w:rsidRPr="00B43350">
        <w:rPr>
          <w:rFonts w:ascii="Times New Roman" w:hAnsi="Times New Roman"/>
          <w:u w:val="none"/>
        </w:rPr>
        <w:t>EXPLANATORY STATEMENT</w:t>
      </w:r>
    </w:p>
    <w:p w:rsidR="007662C7" w:rsidRDefault="00F109D4" w:rsidP="003E1CE3">
      <w:pPr>
        <w:pStyle w:val="Heading2"/>
        <w:jc w:val="center"/>
        <w:rPr>
          <w:sz w:val="24"/>
        </w:rPr>
      </w:pPr>
      <w:r w:rsidRPr="00B43350">
        <w:rPr>
          <w:sz w:val="24"/>
        </w:rPr>
        <w:t xml:space="preserve">Issued by authority of the </w:t>
      </w:r>
      <w:r w:rsidR="005D41FF">
        <w:rPr>
          <w:sz w:val="24"/>
        </w:rPr>
        <w:t>Treasurer</w:t>
      </w:r>
    </w:p>
    <w:p w:rsidR="00243F91" w:rsidRPr="00B43350" w:rsidRDefault="004015F2" w:rsidP="002B3E83">
      <w:pPr>
        <w:tabs>
          <w:tab w:val="left" w:pos="1418"/>
        </w:tabs>
        <w:spacing w:before="0" w:after="240"/>
        <w:jc w:val="center"/>
        <w:rPr>
          <w:i/>
        </w:rPr>
      </w:pPr>
      <w:r w:rsidRPr="00B43350">
        <w:rPr>
          <w:i/>
        </w:rPr>
        <w:br/>
      </w:r>
      <w:r w:rsidR="005D41FF">
        <w:rPr>
          <w:i/>
        </w:rPr>
        <w:t>Corporations Regulations 2001</w:t>
      </w:r>
    </w:p>
    <w:p w:rsidR="002B3E83" w:rsidRPr="00503E44" w:rsidRDefault="005D41FF" w:rsidP="002B3E83">
      <w:pPr>
        <w:tabs>
          <w:tab w:val="left" w:pos="1418"/>
        </w:tabs>
        <w:spacing w:before="0" w:after="0"/>
        <w:jc w:val="center"/>
        <w:rPr>
          <w:i/>
        </w:rPr>
      </w:pPr>
      <w:r>
        <w:rPr>
          <w:i/>
        </w:rPr>
        <w:t>Corporations Amendment (Proprietary Company Thresholds) Regulations 2018</w:t>
      </w:r>
    </w:p>
    <w:p w:rsidR="00F35210" w:rsidRPr="007F75DD" w:rsidRDefault="00F35210" w:rsidP="00F35210">
      <w:pPr>
        <w:spacing w:before="240"/>
      </w:pPr>
      <w:r>
        <w:t xml:space="preserve">The </w:t>
      </w:r>
      <w:r>
        <w:rPr>
          <w:i/>
        </w:rPr>
        <w:t>Corporations</w:t>
      </w:r>
      <w:r w:rsidRPr="00580D9A">
        <w:rPr>
          <w:i/>
        </w:rPr>
        <w:t xml:space="preserve"> Act </w:t>
      </w:r>
      <w:r>
        <w:rPr>
          <w:i/>
        </w:rPr>
        <w:t>2001</w:t>
      </w:r>
      <w:r>
        <w:t xml:space="preserve"> (the Act) </w:t>
      </w:r>
      <w:r w:rsidRPr="00F35210">
        <w:t>provides for the regulation of corporations and financial services.</w:t>
      </w:r>
    </w:p>
    <w:p w:rsidR="00F35210" w:rsidRPr="00F35210" w:rsidRDefault="00F35210" w:rsidP="00F35210">
      <w:pPr>
        <w:spacing w:before="240"/>
      </w:pPr>
      <w:r w:rsidRPr="00F35210">
        <w:t xml:space="preserve">Section 1364 of the </w:t>
      </w:r>
      <w:r w:rsidRPr="00F35210">
        <w:rPr>
          <w:i/>
        </w:rPr>
        <w:t>Corporations Act 2001</w:t>
      </w:r>
      <w:r w:rsidRPr="00F35210">
        <w:t xml:space="preserve"> (the Act) provides that the Governor</w:t>
      </w:r>
      <w:r w:rsidRPr="00F35210">
        <w:noBreakHyphen/>
        <w:t>General may make regulations prescribing matters required or permitted by the Act to be prescribed, or necessary or convenient to be prescribed for carrying out or giving effect to the Act.</w:t>
      </w:r>
    </w:p>
    <w:p w:rsidR="00F35210" w:rsidRDefault="00F35210" w:rsidP="005D41FF">
      <w:pPr>
        <w:spacing w:before="240"/>
      </w:pPr>
      <w:r>
        <w:t xml:space="preserve">Under the Act, large proprietary companies are required to lodge an annual financial report, a director’s report and an auditor’s report with the Australian Securities and Investments Commission (ASIC), while small proprietary companies are generally required to keep sufficient financial records. Small proprietary companies are only required to </w:t>
      </w:r>
      <w:r w:rsidR="00495B28">
        <w:t xml:space="preserve">lodge </w:t>
      </w:r>
      <w:r>
        <w:t>or audit financial reports if directed by AISC, or 5</w:t>
      </w:r>
      <w:r w:rsidR="00F04409">
        <w:t xml:space="preserve"> per cent</w:t>
      </w:r>
      <w:r>
        <w:t xml:space="preserve"> or more of their shareholders.</w:t>
      </w:r>
    </w:p>
    <w:p w:rsidR="00F35210" w:rsidRDefault="00F35210" w:rsidP="005D41FF">
      <w:pPr>
        <w:spacing w:before="240"/>
      </w:pPr>
      <w:r>
        <w:t xml:space="preserve">The Act currently provides that </w:t>
      </w:r>
      <w:r w:rsidR="004C6FE7">
        <w:t xml:space="preserve">a proprietary company is </w:t>
      </w:r>
      <w:r w:rsidR="00495B28">
        <w:t>‘</w:t>
      </w:r>
      <w:r w:rsidR="00F04409">
        <w:t>large</w:t>
      </w:r>
      <w:r w:rsidR="00495B28">
        <w:t>’</w:t>
      </w:r>
      <w:r w:rsidR="004C6FE7">
        <w:t xml:space="preserve"> for a given financial year if it </w:t>
      </w:r>
      <w:r w:rsidR="007D77D1">
        <w:t xml:space="preserve">satisfies </w:t>
      </w:r>
      <w:r w:rsidR="004C6FE7">
        <w:t xml:space="preserve">at least two of the following: </w:t>
      </w:r>
    </w:p>
    <w:p w:rsidR="004C6FE7" w:rsidRDefault="004C6FE7" w:rsidP="004C6FE7">
      <w:pPr>
        <w:pStyle w:val="Bullet"/>
      </w:pPr>
      <w:r>
        <w:t>the consolidated revenue for the financial year of the company and any entities it controls is</w:t>
      </w:r>
      <w:r w:rsidR="00F04409">
        <w:t xml:space="preserve"> </w:t>
      </w:r>
      <w:r>
        <w:t>$25 million</w:t>
      </w:r>
      <w:r w:rsidR="00F04409">
        <w:t xml:space="preserve"> or more</w:t>
      </w:r>
      <w:r>
        <w:t xml:space="preserve">; </w:t>
      </w:r>
    </w:p>
    <w:p w:rsidR="004C6FE7" w:rsidRDefault="004C6FE7" w:rsidP="004C6FE7">
      <w:pPr>
        <w:pStyle w:val="Bullet"/>
      </w:pPr>
      <w:r>
        <w:t>the value of the consolidated gross assets at the end of the financ</w:t>
      </w:r>
      <w:r w:rsidR="00F04409">
        <w:t>ial year of the company and the entities it controls is $12.5 million or more; and</w:t>
      </w:r>
    </w:p>
    <w:p w:rsidR="00F04409" w:rsidRDefault="00F04409" w:rsidP="004C6FE7">
      <w:pPr>
        <w:pStyle w:val="Bullet"/>
      </w:pPr>
      <w:proofErr w:type="gramStart"/>
      <w:r>
        <w:t>the</w:t>
      </w:r>
      <w:proofErr w:type="gramEnd"/>
      <w:r>
        <w:t xml:space="preserve"> company and any entities it controls have 50 or more employees at the end of the financial year. </w:t>
      </w:r>
    </w:p>
    <w:p w:rsidR="007D77D1" w:rsidRDefault="007D77D1" w:rsidP="005D41FF">
      <w:pPr>
        <w:spacing w:before="240"/>
      </w:pPr>
      <w:r>
        <w:t>The</w:t>
      </w:r>
      <w:r w:rsidRPr="005C1120">
        <w:t xml:space="preserve"> </w:t>
      </w:r>
      <w:r w:rsidR="005C1120" w:rsidRPr="00462A85">
        <w:t>Act</w:t>
      </w:r>
      <w:r w:rsidR="005C1120">
        <w:t xml:space="preserve"> provides that the </w:t>
      </w:r>
      <w:r w:rsidR="005C1120">
        <w:rPr>
          <w:i/>
        </w:rPr>
        <w:t>Corporations Regulations 2001</w:t>
      </w:r>
      <w:r w:rsidR="005C1120">
        <w:t xml:space="preserve"> may prescribe other amounts or numbers for the three thresholds for determining a large proprietary company. This is to allow the thresholds to be adjusted </w:t>
      </w:r>
      <w:r w:rsidR="00F91EFC">
        <w:t xml:space="preserve">over time </w:t>
      </w:r>
      <w:r w:rsidR="005C1120">
        <w:t>to keep pace with economic growth.</w:t>
      </w:r>
    </w:p>
    <w:p w:rsidR="004C6FE7" w:rsidRDefault="00F04409" w:rsidP="005D41FF">
      <w:pPr>
        <w:spacing w:before="240"/>
      </w:pPr>
      <w:r>
        <w:t xml:space="preserve">The </w:t>
      </w:r>
      <w:r w:rsidRPr="00F04409">
        <w:rPr>
          <w:i/>
        </w:rPr>
        <w:t>Corporations Amendment (Proprietary Company Thresholds) Regulations 2018</w:t>
      </w:r>
      <w:r>
        <w:t xml:space="preserve"> (the Regulations) modernise these thresholds by doubling them as follows:</w:t>
      </w:r>
    </w:p>
    <w:p w:rsidR="00F04409" w:rsidRDefault="00F04409" w:rsidP="00F04409">
      <w:pPr>
        <w:pStyle w:val="Bullet"/>
      </w:pPr>
      <w:r>
        <w:t xml:space="preserve">increasing the annual consolidated revenue threshold to $50 million or more; </w:t>
      </w:r>
    </w:p>
    <w:p w:rsidR="00F04409" w:rsidRDefault="00F04409" w:rsidP="00F04409">
      <w:pPr>
        <w:pStyle w:val="Bullet"/>
      </w:pPr>
      <w:r>
        <w:t>increasing the value of gross assets to $25 million or more; and</w:t>
      </w:r>
    </w:p>
    <w:p w:rsidR="00F04409" w:rsidRDefault="00F04409" w:rsidP="00F04409">
      <w:pPr>
        <w:pStyle w:val="Bullet"/>
      </w:pPr>
      <w:proofErr w:type="gramStart"/>
      <w:r>
        <w:t>increasing</w:t>
      </w:r>
      <w:proofErr w:type="gramEnd"/>
      <w:r>
        <w:t xml:space="preserve"> the maximum employee size to 100 employees or more. </w:t>
      </w:r>
    </w:p>
    <w:p w:rsidR="00F04409" w:rsidRDefault="00F04409" w:rsidP="00F04409">
      <w:pPr>
        <w:pStyle w:val="Bullet"/>
        <w:numPr>
          <w:ilvl w:val="0"/>
          <w:numId w:val="0"/>
        </w:numPr>
      </w:pPr>
      <w:r>
        <w:lastRenderedPageBreak/>
        <w:t xml:space="preserve">The increased thresholds provided in the Regulations will ensure financial reporting obligations are targeted at economically </w:t>
      </w:r>
      <w:r w:rsidR="005B3B06">
        <w:t xml:space="preserve">significant </w:t>
      </w:r>
      <w:r>
        <w:t xml:space="preserve">companies, while reducing costs for </w:t>
      </w:r>
      <w:r w:rsidR="005B3B06">
        <w:t>smaller</w:t>
      </w:r>
      <w:r>
        <w:t xml:space="preserve"> sized companies that would no longer be required to </w:t>
      </w:r>
      <w:r w:rsidR="005B3B06">
        <w:t xml:space="preserve">lodged audited </w:t>
      </w:r>
      <w:r>
        <w:t xml:space="preserve">financial reports </w:t>
      </w:r>
      <w:r w:rsidR="005B3B06">
        <w:t xml:space="preserve">with </w:t>
      </w:r>
      <w:r>
        <w:t xml:space="preserve">ASIC. </w:t>
      </w:r>
    </w:p>
    <w:p w:rsidR="00F04409" w:rsidRPr="007F5B67" w:rsidRDefault="00F04409" w:rsidP="00F04409">
      <w:pPr>
        <w:spacing w:before="240"/>
      </w:pPr>
      <w:r w:rsidRPr="004109D3">
        <w:rPr>
          <w:szCs w:val="24"/>
        </w:rPr>
        <w:t>Details of the Regulation</w:t>
      </w:r>
      <w:r>
        <w:rPr>
          <w:szCs w:val="24"/>
        </w:rPr>
        <w:t>s</w:t>
      </w:r>
      <w:r w:rsidRPr="004109D3">
        <w:rPr>
          <w:szCs w:val="24"/>
        </w:rPr>
        <w:t xml:space="preserve"> are included in</w:t>
      </w:r>
      <w:r>
        <w:rPr>
          <w:szCs w:val="24"/>
        </w:rPr>
        <w:t xml:space="preserve"> the </w:t>
      </w:r>
      <w:r>
        <w:rPr>
          <w:szCs w:val="24"/>
          <w:u w:val="single"/>
        </w:rPr>
        <w:t>Attachment.</w:t>
      </w:r>
    </w:p>
    <w:p w:rsidR="00F04409" w:rsidRDefault="00F04409" w:rsidP="00F04409">
      <w:pPr>
        <w:pStyle w:val="base-text-paragraph"/>
        <w:spacing w:before="240"/>
        <w:ind w:left="0"/>
      </w:pPr>
      <w:r w:rsidRPr="00692BC2">
        <w:t>The</w:t>
      </w:r>
      <w:r w:rsidRPr="007F75DD">
        <w:t xml:space="preserve"> Act</w:t>
      </w:r>
      <w:r>
        <w:rPr>
          <w:i/>
        </w:rPr>
        <w:t xml:space="preserve"> </w:t>
      </w:r>
      <w:r w:rsidRPr="00692BC2">
        <w:t>does not specify any conditions that need to be satisfied before the power to make the Regulation</w:t>
      </w:r>
      <w:r>
        <w:t>s</w:t>
      </w:r>
      <w:r w:rsidRPr="00692BC2">
        <w:t xml:space="preserve"> </w:t>
      </w:r>
      <w:r>
        <w:t>is exercised</w:t>
      </w:r>
      <w:r w:rsidRPr="00692BC2">
        <w:t>.</w:t>
      </w:r>
    </w:p>
    <w:p w:rsidR="00F04409" w:rsidRDefault="00F04409" w:rsidP="00F04409">
      <w:pPr>
        <w:spacing w:before="240"/>
      </w:pPr>
      <w:r>
        <w:t>The Regulations commence on 1 July 2019 and applies in relation to the financial year</w:t>
      </w:r>
      <w:r w:rsidR="005B3B06">
        <w:t xml:space="preserve">s </w:t>
      </w:r>
      <w:r w:rsidR="00462A85">
        <w:t>beginning</w:t>
      </w:r>
      <w:r w:rsidR="005B3B06">
        <w:t xml:space="preserve"> on or after 1 July 2019</w:t>
      </w:r>
      <w:r>
        <w:t xml:space="preserve">. </w:t>
      </w:r>
    </w:p>
    <w:p w:rsidR="00F04409" w:rsidRPr="00E72DD5" w:rsidRDefault="00F04409">
      <w:pPr>
        <w:spacing w:before="0" w:after="0"/>
        <w:rPr>
          <w:sz w:val="28"/>
        </w:rPr>
      </w:pPr>
      <w:r w:rsidRPr="00E72DD5">
        <w:rPr>
          <w:sz w:val="28"/>
        </w:rPr>
        <w:br w:type="page"/>
      </w:r>
    </w:p>
    <w:p w:rsidR="00312311" w:rsidRPr="00B43350" w:rsidRDefault="00312311" w:rsidP="00312311">
      <w:pPr>
        <w:spacing w:before="240"/>
        <w:jc w:val="right"/>
        <w:rPr>
          <w:b/>
          <w:sz w:val="28"/>
          <w:u w:val="single"/>
        </w:rPr>
      </w:pPr>
      <w:r w:rsidRPr="00B43350">
        <w:rPr>
          <w:b/>
          <w:sz w:val="28"/>
          <w:u w:val="single"/>
        </w:rPr>
        <w:lastRenderedPageBreak/>
        <w:t>Attachment</w:t>
      </w:r>
    </w:p>
    <w:p w:rsidR="00312311" w:rsidRPr="00717407" w:rsidRDefault="00312311" w:rsidP="00312311">
      <w:pPr>
        <w:tabs>
          <w:tab w:val="left" w:pos="1418"/>
        </w:tabs>
        <w:spacing w:before="0" w:after="0"/>
        <w:rPr>
          <w:b/>
          <w:i/>
          <w:u w:val="single"/>
        </w:rPr>
      </w:pPr>
      <w:r w:rsidRPr="00717407">
        <w:rPr>
          <w:b/>
          <w:szCs w:val="24"/>
          <w:u w:val="single"/>
        </w:rPr>
        <w:t>Details of the</w:t>
      </w:r>
      <w:r w:rsidRPr="00717407">
        <w:rPr>
          <w:b/>
          <w:i/>
          <w:u w:val="single"/>
        </w:rPr>
        <w:t xml:space="preserve"> </w:t>
      </w:r>
      <w:r w:rsidR="00F04409" w:rsidRPr="00F04409">
        <w:rPr>
          <w:b/>
          <w:i/>
          <w:u w:val="single"/>
        </w:rPr>
        <w:t>Corporations Amendment (Proprietary Company Thresholds) Regulations 2018</w:t>
      </w:r>
    </w:p>
    <w:p w:rsidR="00312311" w:rsidRPr="00717407" w:rsidRDefault="00312311" w:rsidP="00312311">
      <w:pPr>
        <w:autoSpaceDE w:val="0"/>
        <w:autoSpaceDN w:val="0"/>
        <w:adjustRightInd w:val="0"/>
        <w:spacing w:after="240"/>
        <w:rPr>
          <w:szCs w:val="24"/>
          <w:u w:val="single"/>
        </w:rPr>
      </w:pPr>
      <w:r w:rsidRPr="00717407">
        <w:rPr>
          <w:szCs w:val="24"/>
          <w:u w:val="single"/>
        </w:rPr>
        <w:t>Section 1 — Name of Regulation</w:t>
      </w:r>
      <w:r>
        <w:rPr>
          <w:szCs w:val="24"/>
          <w:u w:val="single"/>
        </w:rPr>
        <w:t>s</w:t>
      </w:r>
    </w:p>
    <w:p w:rsidR="00312311" w:rsidRPr="00717407" w:rsidRDefault="00312311" w:rsidP="00312311">
      <w:pPr>
        <w:autoSpaceDE w:val="0"/>
        <w:autoSpaceDN w:val="0"/>
        <w:adjustRightInd w:val="0"/>
        <w:rPr>
          <w:iCs/>
          <w:szCs w:val="24"/>
        </w:rPr>
      </w:pPr>
      <w:r w:rsidRPr="00717407">
        <w:rPr>
          <w:szCs w:val="24"/>
        </w:rPr>
        <w:t>This section specifies that the name of the Regulation</w:t>
      </w:r>
      <w:r>
        <w:rPr>
          <w:szCs w:val="24"/>
        </w:rPr>
        <w:t>s</w:t>
      </w:r>
      <w:r w:rsidRPr="00717407">
        <w:rPr>
          <w:szCs w:val="24"/>
        </w:rPr>
        <w:t xml:space="preserve"> is the </w:t>
      </w:r>
      <w:r w:rsidR="00F04409" w:rsidRPr="00F04409">
        <w:rPr>
          <w:i/>
          <w:szCs w:val="24"/>
        </w:rPr>
        <w:t>Corporations Amendment (Proprietary Company Thresholds) Regulations 2018</w:t>
      </w:r>
      <w:r w:rsidR="00F04409">
        <w:rPr>
          <w:i/>
          <w:szCs w:val="24"/>
        </w:rPr>
        <w:t xml:space="preserve"> </w:t>
      </w:r>
      <w:r w:rsidRPr="00717407">
        <w:rPr>
          <w:iCs/>
          <w:szCs w:val="24"/>
        </w:rPr>
        <w:t>(the Regulation</w:t>
      </w:r>
      <w:r>
        <w:rPr>
          <w:iCs/>
          <w:szCs w:val="24"/>
        </w:rPr>
        <w:t>s</w:t>
      </w:r>
      <w:r w:rsidRPr="00717407">
        <w:rPr>
          <w:iCs/>
          <w:szCs w:val="24"/>
        </w:rPr>
        <w:t>).</w:t>
      </w:r>
    </w:p>
    <w:p w:rsidR="00312311" w:rsidRPr="00717407" w:rsidRDefault="00312311" w:rsidP="00312311">
      <w:pPr>
        <w:autoSpaceDE w:val="0"/>
        <w:autoSpaceDN w:val="0"/>
        <w:adjustRightInd w:val="0"/>
        <w:spacing w:before="240" w:after="240"/>
        <w:rPr>
          <w:szCs w:val="24"/>
          <w:u w:val="single"/>
        </w:rPr>
      </w:pPr>
      <w:r w:rsidRPr="00717407">
        <w:rPr>
          <w:szCs w:val="24"/>
          <w:u w:val="single"/>
        </w:rPr>
        <w:t>Section 2 — Commencement</w:t>
      </w:r>
    </w:p>
    <w:p w:rsidR="00312311" w:rsidRPr="00717407" w:rsidRDefault="00312311" w:rsidP="00312311">
      <w:pPr>
        <w:keepNext/>
        <w:tabs>
          <w:tab w:val="left" w:pos="1987"/>
        </w:tabs>
        <w:outlineLvl w:val="2"/>
        <w:rPr>
          <w:szCs w:val="24"/>
        </w:rPr>
      </w:pPr>
      <w:r w:rsidRPr="00717407">
        <w:rPr>
          <w:szCs w:val="24"/>
        </w:rPr>
        <w:t>This section provides for the Regulation</w:t>
      </w:r>
      <w:r>
        <w:rPr>
          <w:szCs w:val="24"/>
        </w:rPr>
        <w:t>s</w:t>
      </w:r>
      <w:r w:rsidRPr="00717407">
        <w:rPr>
          <w:szCs w:val="24"/>
        </w:rPr>
        <w:t xml:space="preserve"> to commence </w:t>
      </w:r>
      <w:r w:rsidR="00E72DD5">
        <w:rPr>
          <w:szCs w:val="24"/>
        </w:rPr>
        <w:t>on 1 July 2019</w:t>
      </w:r>
      <w:r w:rsidRPr="00717407">
        <w:rPr>
          <w:szCs w:val="24"/>
        </w:rPr>
        <w:t>.</w:t>
      </w:r>
    </w:p>
    <w:p w:rsidR="00312311" w:rsidRPr="00717407" w:rsidRDefault="00312311" w:rsidP="00312311">
      <w:pPr>
        <w:tabs>
          <w:tab w:val="left" w:pos="1987"/>
        </w:tabs>
        <w:spacing w:before="240" w:after="240"/>
        <w:rPr>
          <w:u w:val="single"/>
        </w:rPr>
      </w:pPr>
      <w:r w:rsidRPr="00717407">
        <w:rPr>
          <w:u w:val="single"/>
        </w:rPr>
        <w:t>Section 3 — Authority</w:t>
      </w:r>
    </w:p>
    <w:p w:rsidR="00312311" w:rsidRPr="00717407" w:rsidRDefault="00312311" w:rsidP="00312311">
      <w:pPr>
        <w:tabs>
          <w:tab w:val="left" w:pos="1987"/>
        </w:tabs>
        <w:rPr>
          <w:i/>
        </w:rPr>
      </w:pPr>
      <w:r w:rsidRPr="00717407">
        <w:t>This section states that the Regulation</w:t>
      </w:r>
      <w:r>
        <w:t>s are</w:t>
      </w:r>
      <w:r w:rsidRPr="00717407">
        <w:t xml:space="preserve"> made under the </w:t>
      </w:r>
      <w:r w:rsidR="00E72DD5">
        <w:rPr>
          <w:i/>
        </w:rPr>
        <w:t>Corporations Act 2001</w:t>
      </w:r>
      <w:r w:rsidRPr="00717407">
        <w:rPr>
          <w:i/>
        </w:rPr>
        <w:t xml:space="preserve">. </w:t>
      </w:r>
    </w:p>
    <w:p w:rsidR="00312311" w:rsidRPr="00717407" w:rsidRDefault="00312311" w:rsidP="00312311">
      <w:pPr>
        <w:keepNext/>
        <w:spacing w:before="240"/>
        <w:rPr>
          <w:u w:val="single"/>
        </w:rPr>
      </w:pPr>
      <w:r w:rsidRPr="00717407">
        <w:rPr>
          <w:u w:val="single"/>
        </w:rPr>
        <w:t>Section 4 – Schedules</w:t>
      </w:r>
    </w:p>
    <w:p w:rsidR="00312311" w:rsidRPr="00717407" w:rsidRDefault="00312311" w:rsidP="00312311">
      <w:pPr>
        <w:spacing w:before="240"/>
      </w:pPr>
      <w:r w:rsidRPr="00717407">
        <w:t>This section provides that each instrument that is specified in a Schedule to the Regulation</w:t>
      </w:r>
      <w:r>
        <w:t>s</w:t>
      </w:r>
      <w:r w:rsidRPr="00717407">
        <w:t xml:space="preserve"> </w:t>
      </w:r>
      <w:r>
        <w:t>are</w:t>
      </w:r>
      <w:r w:rsidRPr="00717407">
        <w:t xml:space="preserve"> amended or repealed as set out in the applicable items in the Schedule concerned, and any other item in a Schedule to this instrument has effect according to its terms.</w:t>
      </w:r>
    </w:p>
    <w:p w:rsidR="00312311" w:rsidRDefault="00312311" w:rsidP="00312311">
      <w:pPr>
        <w:tabs>
          <w:tab w:val="left" w:pos="1987"/>
        </w:tabs>
        <w:spacing w:before="240" w:after="240"/>
        <w:rPr>
          <w:u w:val="single"/>
        </w:rPr>
      </w:pPr>
      <w:r w:rsidRPr="00717407">
        <w:rPr>
          <w:u w:val="single"/>
        </w:rPr>
        <w:t xml:space="preserve">Schedule 1 </w:t>
      </w:r>
      <w:r w:rsidR="00E72DD5">
        <w:rPr>
          <w:u w:val="single"/>
        </w:rPr>
        <w:t xml:space="preserve">– Amendments </w:t>
      </w:r>
    </w:p>
    <w:p w:rsidR="00E72DD5" w:rsidRPr="00717407" w:rsidRDefault="00E72DD5" w:rsidP="00312311">
      <w:pPr>
        <w:tabs>
          <w:tab w:val="left" w:pos="1987"/>
        </w:tabs>
        <w:spacing w:before="240" w:after="240"/>
        <w:rPr>
          <w:u w:val="single"/>
        </w:rPr>
      </w:pPr>
      <w:r>
        <w:rPr>
          <w:u w:val="single"/>
        </w:rPr>
        <w:t>Item 1</w:t>
      </w:r>
    </w:p>
    <w:p w:rsidR="00822102" w:rsidRDefault="00E72DD5" w:rsidP="00312311">
      <w:pPr>
        <w:tabs>
          <w:tab w:val="left" w:pos="1987"/>
        </w:tabs>
        <w:spacing w:after="240"/>
      </w:pPr>
      <w:r>
        <w:t xml:space="preserve">Item 1 of Schedule 1 provides for a new regulation to </w:t>
      </w:r>
      <w:r w:rsidR="00822102">
        <w:t xml:space="preserve">double the existing thresholds for determining whether a company is a large or small proprietary company for a financial year. </w:t>
      </w:r>
    </w:p>
    <w:p w:rsidR="00822102" w:rsidRDefault="00822102" w:rsidP="00822102">
      <w:pPr>
        <w:spacing w:before="240"/>
      </w:pPr>
      <w:r>
        <w:t xml:space="preserve">Under the new threshold, a company will be a large proprietary company for a financial year if it satisfies at least two of the following: </w:t>
      </w:r>
    </w:p>
    <w:p w:rsidR="00822102" w:rsidRDefault="00822102" w:rsidP="00822102">
      <w:pPr>
        <w:pStyle w:val="Bullet"/>
      </w:pPr>
      <w:r>
        <w:t xml:space="preserve">the consolidated revenue for the financial year of the company and any entities it controls is $50 million or more; </w:t>
      </w:r>
    </w:p>
    <w:p w:rsidR="00822102" w:rsidRDefault="00822102" w:rsidP="00822102">
      <w:pPr>
        <w:pStyle w:val="Bullet"/>
      </w:pPr>
      <w:r>
        <w:t>the value of the consolidated gross assets at the end of the financial year of the company and the entities it controls is $25 million or more; and</w:t>
      </w:r>
    </w:p>
    <w:p w:rsidR="00822102" w:rsidRDefault="00822102" w:rsidP="00822102">
      <w:pPr>
        <w:pStyle w:val="Bullet"/>
      </w:pPr>
      <w:proofErr w:type="gramStart"/>
      <w:r>
        <w:t>the</w:t>
      </w:r>
      <w:proofErr w:type="gramEnd"/>
      <w:r>
        <w:t xml:space="preserve"> company and any entities it controls have 100 or more employees at the end of the financial year. </w:t>
      </w:r>
    </w:p>
    <w:p w:rsidR="00822102" w:rsidRDefault="00992BB7" w:rsidP="00312311">
      <w:pPr>
        <w:tabs>
          <w:tab w:val="left" w:pos="1987"/>
        </w:tabs>
        <w:spacing w:after="240"/>
      </w:pPr>
      <w:r>
        <w:t xml:space="preserve">Similarly, a company will be a small proprietary company for a financial year if it satisfies at least two of the following: </w:t>
      </w:r>
    </w:p>
    <w:p w:rsidR="00992BB7" w:rsidRDefault="00992BB7" w:rsidP="00992BB7">
      <w:pPr>
        <w:pStyle w:val="Bullet"/>
      </w:pPr>
      <w:r>
        <w:t xml:space="preserve">the consolidated revenue for the financial year of the company and any entities it controls is less than $50 million; </w:t>
      </w:r>
    </w:p>
    <w:p w:rsidR="00992BB7" w:rsidRDefault="00992BB7" w:rsidP="00992BB7">
      <w:pPr>
        <w:pStyle w:val="Bullet"/>
      </w:pPr>
      <w:r>
        <w:t>the value of the consolidated gross assets at the end of the financial year of the company and the entities it controls is less than $25 million; and</w:t>
      </w:r>
    </w:p>
    <w:p w:rsidR="00992BB7" w:rsidRDefault="00992BB7" w:rsidP="00992BB7">
      <w:pPr>
        <w:pStyle w:val="Bullet"/>
      </w:pPr>
      <w:proofErr w:type="gramStart"/>
      <w:r>
        <w:lastRenderedPageBreak/>
        <w:t>the</w:t>
      </w:r>
      <w:proofErr w:type="gramEnd"/>
      <w:r>
        <w:t xml:space="preserve"> company and any entities it controls have less than 100 employees at the end of the financial year. </w:t>
      </w:r>
    </w:p>
    <w:p w:rsidR="00E72DD5" w:rsidRPr="00717407" w:rsidRDefault="00E72DD5" w:rsidP="00E72DD5">
      <w:pPr>
        <w:tabs>
          <w:tab w:val="left" w:pos="1987"/>
        </w:tabs>
        <w:spacing w:before="240" w:after="240"/>
        <w:rPr>
          <w:u w:val="single"/>
        </w:rPr>
      </w:pPr>
      <w:r>
        <w:rPr>
          <w:u w:val="single"/>
        </w:rPr>
        <w:t>Item 2</w:t>
      </w:r>
    </w:p>
    <w:p w:rsidR="00E72DD5" w:rsidRDefault="00992BB7" w:rsidP="00312311">
      <w:pPr>
        <w:tabs>
          <w:tab w:val="left" w:pos="1987"/>
        </w:tabs>
        <w:spacing w:after="240"/>
      </w:pPr>
      <w:r>
        <w:t xml:space="preserve">Item 2 of Schedule 1 inserts a new transitional provision into </w:t>
      </w:r>
      <w:r w:rsidRPr="00992BB7">
        <w:rPr>
          <w:i/>
        </w:rPr>
        <w:t>the Corporations Regulations 2001</w:t>
      </w:r>
      <w:r>
        <w:t xml:space="preserve"> to provide that the increases to the proprietary company thresholds apply in relation to </w:t>
      </w:r>
      <w:r w:rsidR="00462A85" w:rsidRPr="00462A85">
        <w:t>financial years beginning on or after 1 July</w:t>
      </w:r>
      <w:r w:rsidR="00462A85">
        <w:t xml:space="preserve"> 2019</w:t>
      </w:r>
      <w:r>
        <w:t xml:space="preserve">. This transitional provision ensures that companies can benefit from the modernised thresholds from the 2019-20 financial year onwards, including if they have substituted accounting periods. </w:t>
      </w:r>
    </w:p>
    <w:p w:rsidR="00312311" w:rsidRPr="00717407" w:rsidRDefault="00312311" w:rsidP="00312311">
      <w:pPr>
        <w:keepNext/>
        <w:tabs>
          <w:tab w:val="left" w:pos="1987"/>
        </w:tabs>
        <w:spacing w:before="240"/>
        <w:jc w:val="center"/>
        <w:outlineLvl w:val="2"/>
        <w:rPr>
          <w:rFonts w:ascii="Helvetica" w:hAnsi="Helvetica"/>
          <w:b/>
          <w:kern w:val="28"/>
        </w:rPr>
      </w:pPr>
      <w:r w:rsidRPr="00717407">
        <w:rPr>
          <w:rFonts w:ascii="Helvetica" w:hAnsi="Helvetica"/>
          <w:b/>
          <w:kern w:val="28"/>
        </w:rPr>
        <w:t>Statement of Compatibility with Human Rights</w:t>
      </w:r>
    </w:p>
    <w:p w:rsidR="00312311" w:rsidRPr="00717407" w:rsidRDefault="00312311" w:rsidP="00312311">
      <w:pPr>
        <w:jc w:val="center"/>
        <w:rPr>
          <w:i/>
        </w:rPr>
      </w:pPr>
      <w:r w:rsidRPr="00717407">
        <w:rPr>
          <w:i/>
        </w:rPr>
        <w:t>Prepared in accordance with Part 3 of the Human Rights (Parliamentary Scrutiny) Act 2011</w:t>
      </w:r>
    </w:p>
    <w:p w:rsidR="00312311" w:rsidRPr="00717407" w:rsidRDefault="00312311" w:rsidP="00312311">
      <w:r w:rsidRPr="00717407">
        <w:t xml:space="preserve">This Legislative Instrument is compatible with the human rights and freedoms recognised or declared in the international instruments listed in section 3 of the </w:t>
      </w:r>
      <w:r w:rsidRPr="00717407">
        <w:rPr>
          <w:i/>
        </w:rPr>
        <w:t>Human Rights (Parliamentary Scrutiny) Act 2011</w:t>
      </w:r>
      <w:r w:rsidRPr="00717407">
        <w:t>.</w:t>
      </w:r>
    </w:p>
    <w:p w:rsidR="00312311" w:rsidRPr="00717407" w:rsidRDefault="00312311" w:rsidP="00312311">
      <w:pPr>
        <w:keepNext/>
        <w:tabs>
          <w:tab w:val="left" w:pos="1987"/>
        </w:tabs>
        <w:outlineLvl w:val="3"/>
        <w:rPr>
          <w:b/>
          <w:kern w:val="28"/>
        </w:rPr>
      </w:pPr>
      <w:r w:rsidRPr="00717407">
        <w:rPr>
          <w:b/>
          <w:kern w:val="28"/>
        </w:rPr>
        <w:t>Overview of the Legislative Instrument</w:t>
      </w:r>
    </w:p>
    <w:p w:rsidR="00312311" w:rsidRPr="00717407" w:rsidRDefault="00312311" w:rsidP="00312311">
      <w:r w:rsidRPr="00717407">
        <w:t xml:space="preserve">The Legislative Instrument </w:t>
      </w:r>
      <w:r w:rsidR="00992BB7">
        <w:t xml:space="preserve">doubles the thresholds for determining whether a company is a large or small proprietary company. </w:t>
      </w:r>
    </w:p>
    <w:p w:rsidR="00312311" w:rsidRPr="00717407" w:rsidRDefault="00312311" w:rsidP="00312311">
      <w:pPr>
        <w:keepNext/>
        <w:tabs>
          <w:tab w:val="left" w:pos="1987"/>
        </w:tabs>
        <w:outlineLvl w:val="3"/>
        <w:rPr>
          <w:b/>
          <w:kern w:val="28"/>
        </w:rPr>
      </w:pPr>
      <w:r w:rsidRPr="00717407">
        <w:rPr>
          <w:b/>
          <w:kern w:val="28"/>
        </w:rPr>
        <w:t>Human rights implications</w:t>
      </w:r>
    </w:p>
    <w:p w:rsidR="00312311" w:rsidRPr="00717407" w:rsidRDefault="00312311" w:rsidP="00312311">
      <w:r w:rsidRPr="00717407">
        <w:t>This Legislative Instrument does not engage any of the applicable rights or freedoms.</w:t>
      </w:r>
    </w:p>
    <w:p w:rsidR="00312311" w:rsidRPr="00717407" w:rsidRDefault="00312311" w:rsidP="00312311">
      <w:pPr>
        <w:keepNext/>
        <w:tabs>
          <w:tab w:val="left" w:pos="1987"/>
        </w:tabs>
        <w:outlineLvl w:val="3"/>
        <w:rPr>
          <w:b/>
          <w:kern w:val="28"/>
        </w:rPr>
      </w:pPr>
      <w:r w:rsidRPr="00717407">
        <w:rPr>
          <w:b/>
          <w:kern w:val="28"/>
        </w:rPr>
        <w:t>Conclusion</w:t>
      </w:r>
    </w:p>
    <w:p w:rsidR="00312311" w:rsidRPr="00717407" w:rsidRDefault="00312311" w:rsidP="00312311">
      <w:r w:rsidRPr="00717407">
        <w:t>This Legislative Instrument is compatible with human rights as it does not raise any human rights issues.</w:t>
      </w:r>
    </w:p>
    <w:p w:rsidR="00493EDD" w:rsidRPr="00B43350" w:rsidRDefault="00493EDD" w:rsidP="00312311">
      <w:pPr>
        <w:spacing w:before="240"/>
      </w:pPr>
    </w:p>
    <w:sectPr w:rsidR="00493EDD" w:rsidRPr="00B43350"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36" w:rsidRDefault="00D23A36" w:rsidP="00954679">
      <w:pPr>
        <w:spacing w:before="0" w:after="0"/>
      </w:pPr>
      <w:r>
        <w:separator/>
      </w:r>
    </w:p>
  </w:endnote>
  <w:endnote w:type="continuationSeparator" w:id="0">
    <w:p w:rsidR="00D23A36" w:rsidRDefault="00D23A36" w:rsidP="00954679">
      <w:pPr>
        <w:spacing w:before="0" w:after="0"/>
      </w:pPr>
      <w:r>
        <w:continuationSeparator/>
      </w:r>
    </w:p>
  </w:endnote>
  <w:endnote w:type="continuationNotice" w:id="1">
    <w:p w:rsidR="00D23A36" w:rsidRDefault="00D23A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EE2EE0" w:rsidRDefault="00EE2EE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6107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61075">
              <w:rPr>
                <w:bCs/>
                <w:noProof/>
              </w:rPr>
              <w:t>4</w:t>
            </w:r>
            <w:r w:rsidRPr="00954679">
              <w:rPr>
                <w:bCs/>
                <w:szCs w:val="24"/>
              </w:rPr>
              <w:fldChar w:fldCharType="end"/>
            </w:r>
          </w:p>
        </w:sdtContent>
      </w:sdt>
    </w:sdtContent>
  </w:sdt>
  <w:p w:rsidR="00EE2EE0" w:rsidRDefault="00EE2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36" w:rsidRDefault="00D23A36" w:rsidP="00954679">
      <w:pPr>
        <w:spacing w:before="0" w:after="0"/>
      </w:pPr>
      <w:r>
        <w:separator/>
      </w:r>
    </w:p>
  </w:footnote>
  <w:footnote w:type="continuationSeparator" w:id="0">
    <w:p w:rsidR="00D23A36" w:rsidRDefault="00D23A36" w:rsidP="00954679">
      <w:pPr>
        <w:spacing w:before="0" w:after="0"/>
      </w:pPr>
      <w:r>
        <w:continuationSeparator/>
      </w:r>
    </w:p>
  </w:footnote>
  <w:footnote w:type="continuationNotice" w:id="1">
    <w:p w:rsidR="00D23A36" w:rsidRDefault="00D23A36">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786"/>
        </w:tabs>
        <w:ind w:left="786" w:hanging="360"/>
      </w:pPr>
      <w:rPr>
        <w:rFonts w:ascii="Symbol" w:hAnsi="Symbol" w:hint="default"/>
        <w:sz w:val="24"/>
      </w:rPr>
    </w:lvl>
  </w:abstractNum>
  <w:abstractNum w:abstractNumId="3">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A43C0B"/>
    <w:multiLevelType w:val="multilevel"/>
    <w:tmpl w:val="CA08321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0A"/>
    <w:rsid w:val="00002935"/>
    <w:rsid w:val="00003C06"/>
    <w:rsid w:val="0001598F"/>
    <w:rsid w:val="00016EA2"/>
    <w:rsid w:val="00020B8A"/>
    <w:rsid w:val="00020C89"/>
    <w:rsid w:val="000304C8"/>
    <w:rsid w:val="00031740"/>
    <w:rsid w:val="000351B2"/>
    <w:rsid w:val="00044A1E"/>
    <w:rsid w:val="00046BBB"/>
    <w:rsid w:val="0005579A"/>
    <w:rsid w:val="00055E44"/>
    <w:rsid w:val="000572BA"/>
    <w:rsid w:val="000605F0"/>
    <w:rsid w:val="00061271"/>
    <w:rsid w:val="00062E90"/>
    <w:rsid w:val="00064C43"/>
    <w:rsid w:val="00067F5E"/>
    <w:rsid w:val="0007087D"/>
    <w:rsid w:val="0007110E"/>
    <w:rsid w:val="00071B12"/>
    <w:rsid w:val="000769D8"/>
    <w:rsid w:val="00084965"/>
    <w:rsid w:val="000904AA"/>
    <w:rsid w:val="0009139D"/>
    <w:rsid w:val="00091648"/>
    <w:rsid w:val="0009295C"/>
    <w:rsid w:val="00095211"/>
    <w:rsid w:val="000A404D"/>
    <w:rsid w:val="000A562C"/>
    <w:rsid w:val="000B0290"/>
    <w:rsid w:val="000B0E43"/>
    <w:rsid w:val="000B1C23"/>
    <w:rsid w:val="000B2C88"/>
    <w:rsid w:val="000B749A"/>
    <w:rsid w:val="000C0098"/>
    <w:rsid w:val="000C10DF"/>
    <w:rsid w:val="000C172D"/>
    <w:rsid w:val="000C313E"/>
    <w:rsid w:val="000C33B4"/>
    <w:rsid w:val="000C3ED0"/>
    <w:rsid w:val="000C4D36"/>
    <w:rsid w:val="000D5ED2"/>
    <w:rsid w:val="000D760F"/>
    <w:rsid w:val="000D76AF"/>
    <w:rsid w:val="000D781B"/>
    <w:rsid w:val="000E4DD1"/>
    <w:rsid w:val="000E779A"/>
    <w:rsid w:val="000F65A2"/>
    <w:rsid w:val="000F72D5"/>
    <w:rsid w:val="000F7CE4"/>
    <w:rsid w:val="001004DE"/>
    <w:rsid w:val="00104A9F"/>
    <w:rsid w:val="0010626B"/>
    <w:rsid w:val="00113B45"/>
    <w:rsid w:val="00114280"/>
    <w:rsid w:val="001225EB"/>
    <w:rsid w:val="00123E2B"/>
    <w:rsid w:val="00134BDC"/>
    <w:rsid w:val="001352D8"/>
    <w:rsid w:val="00135B08"/>
    <w:rsid w:val="00135B26"/>
    <w:rsid w:val="00140147"/>
    <w:rsid w:val="00145AFC"/>
    <w:rsid w:val="00146EB5"/>
    <w:rsid w:val="00147DF8"/>
    <w:rsid w:val="0015125F"/>
    <w:rsid w:val="00152E04"/>
    <w:rsid w:val="001559E4"/>
    <w:rsid w:val="001616CD"/>
    <w:rsid w:val="00162ED3"/>
    <w:rsid w:val="00165140"/>
    <w:rsid w:val="0016572E"/>
    <w:rsid w:val="00175B58"/>
    <w:rsid w:val="00176990"/>
    <w:rsid w:val="001779B4"/>
    <w:rsid w:val="001824AE"/>
    <w:rsid w:val="00184B90"/>
    <w:rsid w:val="00190F9A"/>
    <w:rsid w:val="00191F93"/>
    <w:rsid w:val="00192A85"/>
    <w:rsid w:val="001A1AA4"/>
    <w:rsid w:val="001A2E00"/>
    <w:rsid w:val="001A32F2"/>
    <w:rsid w:val="001A436A"/>
    <w:rsid w:val="001B4DAF"/>
    <w:rsid w:val="001B5713"/>
    <w:rsid w:val="001B7B2D"/>
    <w:rsid w:val="001C1F39"/>
    <w:rsid w:val="001C2246"/>
    <w:rsid w:val="001C3AE0"/>
    <w:rsid w:val="001C42C9"/>
    <w:rsid w:val="001C44F6"/>
    <w:rsid w:val="001C7313"/>
    <w:rsid w:val="001C7332"/>
    <w:rsid w:val="001D0447"/>
    <w:rsid w:val="001D0801"/>
    <w:rsid w:val="001D7248"/>
    <w:rsid w:val="001E54BE"/>
    <w:rsid w:val="001E5A06"/>
    <w:rsid w:val="001E5E31"/>
    <w:rsid w:val="001E6A74"/>
    <w:rsid w:val="001F41D0"/>
    <w:rsid w:val="001F5071"/>
    <w:rsid w:val="0020062E"/>
    <w:rsid w:val="002038F3"/>
    <w:rsid w:val="00204CF4"/>
    <w:rsid w:val="00210796"/>
    <w:rsid w:val="00213178"/>
    <w:rsid w:val="00220F16"/>
    <w:rsid w:val="002213D1"/>
    <w:rsid w:val="002338ED"/>
    <w:rsid w:val="002356F3"/>
    <w:rsid w:val="0023787F"/>
    <w:rsid w:val="00242F03"/>
    <w:rsid w:val="00243F91"/>
    <w:rsid w:val="00247C65"/>
    <w:rsid w:val="00254C5B"/>
    <w:rsid w:val="0025564D"/>
    <w:rsid w:val="002556E6"/>
    <w:rsid w:val="002558D8"/>
    <w:rsid w:val="00255930"/>
    <w:rsid w:val="00257008"/>
    <w:rsid w:val="002646FA"/>
    <w:rsid w:val="00264B18"/>
    <w:rsid w:val="00265523"/>
    <w:rsid w:val="0026670D"/>
    <w:rsid w:val="00273617"/>
    <w:rsid w:val="00277F82"/>
    <w:rsid w:val="00283BCC"/>
    <w:rsid w:val="002878CF"/>
    <w:rsid w:val="00290B5A"/>
    <w:rsid w:val="0029537C"/>
    <w:rsid w:val="002A161E"/>
    <w:rsid w:val="002A3273"/>
    <w:rsid w:val="002A79BE"/>
    <w:rsid w:val="002B3E83"/>
    <w:rsid w:val="002D49E3"/>
    <w:rsid w:val="002E57D5"/>
    <w:rsid w:val="002E5A7D"/>
    <w:rsid w:val="002E63F1"/>
    <w:rsid w:val="002F1FAB"/>
    <w:rsid w:val="002F32D9"/>
    <w:rsid w:val="002F42E5"/>
    <w:rsid w:val="002F6C76"/>
    <w:rsid w:val="00303AB2"/>
    <w:rsid w:val="00306911"/>
    <w:rsid w:val="00312311"/>
    <w:rsid w:val="003148E1"/>
    <w:rsid w:val="00316781"/>
    <w:rsid w:val="00322E1D"/>
    <w:rsid w:val="00325951"/>
    <w:rsid w:val="00325977"/>
    <w:rsid w:val="003342CD"/>
    <w:rsid w:val="00335042"/>
    <w:rsid w:val="003353A0"/>
    <w:rsid w:val="003364A2"/>
    <w:rsid w:val="00336F6E"/>
    <w:rsid w:val="003558BC"/>
    <w:rsid w:val="00360B6C"/>
    <w:rsid w:val="00362520"/>
    <w:rsid w:val="00362B70"/>
    <w:rsid w:val="00366532"/>
    <w:rsid w:val="00367647"/>
    <w:rsid w:val="00375BFD"/>
    <w:rsid w:val="00376348"/>
    <w:rsid w:val="00384095"/>
    <w:rsid w:val="003847E8"/>
    <w:rsid w:val="0039166A"/>
    <w:rsid w:val="00392A41"/>
    <w:rsid w:val="00392BBA"/>
    <w:rsid w:val="003954FD"/>
    <w:rsid w:val="0039610F"/>
    <w:rsid w:val="003A0CA9"/>
    <w:rsid w:val="003A1058"/>
    <w:rsid w:val="003A1159"/>
    <w:rsid w:val="003A7C80"/>
    <w:rsid w:val="003B212F"/>
    <w:rsid w:val="003C2B0D"/>
    <w:rsid w:val="003C657D"/>
    <w:rsid w:val="003C7A1F"/>
    <w:rsid w:val="003E1CE3"/>
    <w:rsid w:val="003E3786"/>
    <w:rsid w:val="003E42A2"/>
    <w:rsid w:val="003F2E37"/>
    <w:rsid w:val="003F3822"/>
    <w:rsid w:val="003F7CC5"/>
    <w:rsid w:val="004015F2"/>
    <w:rsid w:val="00402085"/>
    <w:rsid w:val="004122D3"/>
    <w:rsid w:val="00417E92"/>
    <w:rsid w:val="00422C32"/>
    <w:rsid w:val="004241AB"/>
    <w:rsid w:val="00430E5B"/>
    <w:rsid w:val="0043467E"/>
    <w:rsid w:val="004420BB"/>
    <w:rsid w:val="00443431"/>
    <w:rsid w:val="00446932"/>
    <w:rsid w:val="00446F91"/>
    <w:rsid w:val="00447C17"/>
    <w:rsid w:val="00456C0E"/>
    <w:rsid w:val="00462095"/>
    <w:rsid w:val="00462A85"/>
    <w:rsid w:val="00463834"/>
    <w:rsid w:val="00464933"/>
    <w:rsid w:val="00472ED1"/>
    <w:rsid w:val="004748BF"/>
    <w:rsid w:val="00477920"/>
    <w:rsid w:val="00480D1C"/>
    <w:rsid w:val="00481965"/>
    <w:rsid w:val="00482DFC"/>
    <w:rsid w:val="00483337"/>
    <w:rsid w:val="00483A10"/>
    <w:rsid w:val="0048566E"/>
    <w:rsid w:val="00485E5E"/>
    <w:rsid w:val="004863AC"/>
    <w:rsid w:val="00493EDD"/>
    <w:rsid w:val="00495B28"/>
    <w:rsid w:val="00497310"/>
    <w:rsid w:val="004A1782"/>
    <w:rsid w:val="004A399F"/>
    <w:rsid w:val="004A3D9C"/>
    <w:rsid w:val="004A5470"/>
    <w:rsid w:val="004A65CB"/>
    <w:rsid w:val="004B2908"/>
    <w:rsid w:val="004B3C0F"/>
    <w:rsid w:val="004C05E4"/>
    <w:rsid w:val="004C4D60"/>
    <w:rsid w:val="004C4DC3"/>
    <w:rsid w:val="004C6FE7"/>
    <w:rsid w:val="004C70B2"/>
    <w:rsid w:val="004D133E"/>
    <w:rsid w:val="004D5951"/>
    <w:rsid w:val="004D67CD"/>
    <w:rsid w:val="004D685B"/>
    <w:rsid w:val="004E0F55"/>
    <w:rsid w:val="004E24FB"/>
    <w:rsid w:val="004E2ECC"/>
    <w:rsid w:val="004E39E1"/>
    <w:rsid w:val="004E4407"/>
    <w:rsid w:val="004E529B"/>
    <w:rsid w:val="004E608E"/>
    <w:rsid w:val="004F598B"/>
    <w:rsid w:val="0050066E"/>
    <w:rsid w:val="00503E44"/>
    <w:rsid w:val="00504CA4"/>
    <w:rsid w:val="0050698C"/>
    <w:rsid w:val="00514C2F"/>
    <w:rsid w:val="00515283"/>
    <w:rsid w:val="00517356"/>
    <w:rsid w:val="00517DBF"/>
    <w:rsid w:val="005204A0"/>
    <w:rsid w:val="00522551"/>
    <w:rsid w:val="005232C7"/>
    <w:rsid w:val="0052341D"/>
    <w:rsid w:val="00525693"/>
    <w:rsid w:val="00533926"/>
    <w:rsid w:val="00535CA5"/>
    <w:rsid w:val="00543A22"/>
    <w:rsid w:val="00544B72"/>
    <w:rsid w:val="00545A2D"/>
    <w:rsid w:val="0055491C"/>
    <w:rsid w:val="00554AD9"/>
    <w:rsid w:val="0055675D"/>
    <w:rsid w:val="00561BB8"/>
    <w:rsid w:val="00564D9B"/>
    <w:rsid w:val="005662AA"/>
    <w:rsid w:val="00566E8F"/>
    <w:rsid w:val="005679A2"/>
    <w:rsid w:val="00577CA6"/>
    <w:rsid w:val="00577E75"/>
    <w:rsid w:val="005833BE"/>
    <w:rsid w:val="00585A87"/>
    <w:rsid w:val="00586197"/>
    <w:rsid w:val="0058729B"/>
    <w:rsid w:val="00591C23"/>
    <w:rsid w:val="00592B28"/>
    <w:rsid w:val="00593B39"/>
    <w:rsid w:val="0059636A"/>
    <w:rsid w:val="00596E7A"/>
    <w:rsid w:val="005A227C"/>
    <w:rsid w:val="005A33B4"/>
    <w:rsid w:val="005A740F"/>
    <w:rsid w:val="005B04CC"/>
    <w:rsid w:val="005B32EE"/>
    <w:rsid w:val="005B3B06"/>
    <w:rsid w:val="005B3FA5"/>
    <w:rsid w:val="005B666D"/>
    <w:rsid w:val="005C0973"/>
    <w:rsid w:val="005C1120"/>
    <w:rsid w:val="005C2664"/>
    <w:rsid w:val="005C4949"/>
    <w:rsid w:val="005C4C05"/>
    <w:rsid w:val="005C7A2B"/>
    <w:rsid w:val="005D259B"/>
    <w:rsid w:val="005D41FF"/>
    <w:rsid w:val="005D7D5A"/>
    <w:rsid w:val="005E3854"/>
    <w:rsid w:val="005E4BAC"/>
    <w:rsid w:val="005E55C1"/>
    <w:rsid w:val="005E6188"/>
    <w:rsid w:val="005F4720"/>
    <w:rsid w:val="005F4B0F"/>
    <w:rsid w:val="005F6707"/>
    <w:rsid w:val="0060130D"/>
    <w:rsid w:val="006037F0"/>
    <w:rsid w:val="00612303"/>
    <w:rsid w:val="006127DF"/>
    <w:rsid w:val="006224F0"/>
    <w:rsid w:val="00624004"/>
    <w:rsid w:val="006260DD"/>
    <w:rsid w:val="006276E6"/>
    <w:rsid w:val="0064129F"/>
    <w:rsid w:val="006453D3"/>
    <w:rsid w:val="006470B8"/>
    <w:rsid w:val="00647BB7"/>
    <w:rsid w:val="00661690"/>
    <w:rsid w:val="00663C29"/>
    <w:rsid w:val="0066411B"/>
    <w:rsid w:val="00667AA7"/>
    <w:rsid w:val="006725EF"/>
    <w:rsid w:val="006752ED"/>
    <w:rsid w:val="00685CA6"/>
    <w:rsid w:val="00693FDC"/>
    <w:rsid w:val="00697821"/>
    <w:rsid w:val="006A0786"/>
    <w:rsid w:val="006A0960"/>
    <w:rsid w:val="006B26C8"/>
    <w:rsid w:val="006B435F"/>
    <w:rsid w:val="006B7C3B"/>
    <w:rsid w:val="006C35BB"/>
    <w:rsid w:val="006C4B3F"/>
    <w:rsid w:val="006D5054"/>
    <w:rsid w:val="006D66F8"/>
    <w:rsid w:val="006D7E6C"/>
    <w:rsid w:val="006E5FD6"/>
    <w:rsid w:val="006F04C0"/>
    <w:rsid w:val="006F2C5F"/>
    <w:rsid w:val="006F3458"/>
    <w:rsid w:val="006F4486"/>
    <w:rsid w:val="0070255F"/>
    <w:rsid w:val="00707856"/>
    <w:rsid w:val="0071304A"/>
    <w:rsid w:val="00715E06"/>
    <w:rsid w:val="00715E16"/>
    <w:rsid w:val="00716A78"/>
    <w:rsid w:val="00717407"/>
    <w:rsid w:val="00722ED9"/>
    <w:rsid w:val="00723AD4"/>
    <w:rsid w:val="00727CB2"/>
    <w:rsid w:val="0073324D"/>
    <w:rsid w:val="007362D4"/>
    <w:rsid w:val="00736F61"/>
    <w:rsid w:val="0073780F"/>
    <w:rsid w:val="00744EB2"/>
    <w:rsid w:val="00745359"/>
    <w:rsid w:val="00745B3F"/>
    <w:rsid w:val="00747A51"/>
    <w:rsid w:val="00750930"/>
    <w:rsid w:val="007520ED"/>
    <w:rsid w:val="00757D2A"/>
    <w:rsid w:val="00762C89"/>
    <w:rsid w:val="0076338D"/>
    <w:rsid w:val="00764B76"/>
    <w:rsid w:val="007662C7"/>
    <w:rsid w:val="00770FC5"/>
    <w:rsid w:val="00773EDA"/>
    <w:rsid w:val="00774048"/>
    <w:rsid w:val="007755B2"/>
    <w:rsid w:val="00776306"/>
    <w:rsid w:val="00780BDD"/>
    <w:rsid w:val="007841B5"/>
    <w:rsid w:val="00784DF4"/>
    <w:rsid w:val="00787931"/>
    <w:rsid w:val="00787E1D"/>
    <w:rsid w:val="00790597"/>
    <w:rsid w:val="0079332D"/>
    <w:rsid w:val="00795248"/>
    <w:rsid w:val="007A27C9"/>
    <w:rsid w:val="007A3764"/>
    <w:rsid w:val="007A580D"/>
    <w:rsid w:val="007B1F10"/>
    <w:rsid w:val="007B3D15"/>
    <w:rsid w:val="007B5A70"/>
    <w:rsid w:val="007C25F3"/>
    <w:rsid w:val="007C366C"/>
    <w:rsid w:val="007C4BFD"/>
    <w:rsid w:val="007D2E10"/>
    <w:rsid w:val="007D4C03"/>
    <w:rsid w:val="007D77D1"/>
    <w:rsid w:val="007E018D"/>
    <w:rsid w:val="007E15B3"/>
    <w:rsid w:val="007E2A25"/>
    <w:rsid w:val="007E7DF0"/>
    <w:rsid w:val="007F1A60"/>
    <w:rsid w:val="007F1B71"/>
    <w:rsid w:val="007F379C"/>
    <w:rsid w:val="007F418A"/>
    <w:rsid w:val="007F5B67"/>
    <w:rsid w:val="007F76B6"/>
    <w:rsid w:val="007F7CD7"/>
    <w:rsid w:val="00807089"/>
    <w:rsid w:val="00807E7D"/>
    <w:rsid w:val="00810ADD"/>
    <w:rsid w:val="0081373B"/>
    <w:rsid w:val="0081426F"/>
    <w:rsid w:val="00816F95"/>
    <w:rsid w:val="00821332"/>
    <w:rsid w:val="00822102"/>
    <w:rsid w:val="00827921"/>
    <w:rsid w:val="00831675"/>
    <w:rsid w:val="00832DCE"/>
    <w:rsid w:val="0083357B"/>
    <w:rsid w:val="00833707"/>
    <w:rsid w:val="00840532"/>
    <w:rsid w:val="00841E58"/>
    <w:rsid w:val="00843E11"/>
    <w:rsid w:val="00843E7B"/>
    <w:rsid w:val="00845F90"/>
    <w:rsid w:val="00854612"/>
    <w:rsid w:val="00854AB4"/>
    <w:rsid w:val="008625CF"/>
    <w:rsid w:val="00863AF6"/>
    <w:rsid w:val="00864C25"/>
    <w:rsid w:val="0086580C"/>
    <w:rsid w:val="00866534"/>
    <w:rsid w:val="0087524B"/>
    <w:rsid w:val="0088467C"/>
    <w:rsid w:val="00884C46"/>
    <w:rsid w:val="00884D07"/>
    <w:rsid w:val="00885F9C"/>
    <w:rsid w:val="008921E6"/>
    <w:rsid w:val="00894579"/>
    <w:rsid w:val="008A04DC"/>
    <w:rsid w:val="008A10E7"/>
    <w:rsid w:val="008A1475"/>
    <w:rsid w:val="008A5B67"/>
    <w:rsid w:val="008A6956"/>
    <w:rsid w:val="008B210F"/>
    <w:rsid w:val="008C2B8B"/>
    <w:rsid w:val="008C54C2"/>
    <w:rsid w:val="008C557C"/>
    <w:rsid w:val="008C56B6"/>
    <w:rsid w:val="008C5A58"/>
    <w:rsid w:val="008C6205"/>
    <w:rsid w:val="008C6C34"/>
    <w:rsid w:val="008C7FA1"/>
    <w:rsid w:val="008D16F7"/>
    <w:rsid w:val="008D1AA7"/>
    <w:rsid w:val="008D7F66"/>
    <w:rsid w:val="008E4B19"/>
    <w:rsid w:val="008E5908"/>
    <w:rsid w:val="00901B3A"/>
    <w:rsid w:val="00901F04"/>
    <w:rsid w:val="009024DA"/>
    <w:rsid w:val="009025F3"/>
    <w:rsid w:val="00911D47"/>
    <w:rsid w:val="00911DD2"/>
    <w:rsid w:val="009143A0"/>
    <w:rsid w:val="009168AC"/>
    <w:rsid w:val="00916DF3"/>
    <w:rsid w:val="00924E2B"/>
    <w:rsid w:val="00931D14"/>
    <w:rsid w:val="00936470"/>
    <w:rsid w:val="00941515"/>
    <w:rsid w:val="00946E05"/>
    <w:rsid w:val="00946EDD"/>
    <w:rsid w:val="00947BA9"/>
    <w:rsid w:val="00954679"/>
    <w:rsid w:val="009610D1"/>
    <w:rsid w:val="009621CA"/>
    <w:rsid w:val="00972894"/>
    <w:rsid w:val="00974A1C"/>
    <w:rsid w:val="00975C1C"/>
    <w:rsid w:val="00984491"/>
    <w:rsid w:val="009919F1"/>
    <w:rsid w:val="00992BB7"/>
    <w:rsid w:val="00994FE8"/>
    <w:rsid w:val="00996497"/>
    <w:rsid w:val="009A0719"/>
    <w:rsid w:val="009A247F"/>
    <w:rsid w:val="009A7E58"/>
    <w:rsid w:val="009B145A"/>
    <w:rsid w:val="009B1471"/>
    <w:rsid w:val="009B3C74"/>
    <w:rsid w:val="009C05EA"/>
    <w:rsid w:val="009C19A2"/>
    <w:rsid w:val="009C5597"/>
    <w:rsid w:val="009D3BB5"/>
    <w:rsid w:val="009D4530"/>
    <w:rsid w:val="009E1CC2"/>
    <w:rsid w:val="009E2F86"/>
    <w:rsid w:val="009E6598"/>
    <w:rsid w:val="009E7CDB"/>
    <w:rsid w:val="009F095C"/>
    <w:rsid w:val="009F7879"/>
    <w:rsid w:val="00A02CF6"/>
    <w:rsid w:val="00A0359E"/>
    <w:rsid w:val="00A06731"/>
    <w:rsid w:val="00A06BF9"/>
    <w:rsid w:val="00A12209"/>
    <w:rsid w:val="00A13D93"/>
    <w:rsid w:val="00A15186"/>
    <w:rsid w:val="00A16074"/>
    <w:rsid w:val="00A27303"/>
    <w:rsid w:val="00A274BE"/>
    <w:rsid w:val="00A27BB3"/>
    <w:rsid w:val="00A3165B"/>
    <w:rsid w:val="00A330B8"/>
    <w:rsid w:val="00A36DF3"/>
    <w:rsid w:val="00A40820"/>
    <w:rsid w:val="00A45987"/>
    <w:rsid w:val="00A52399"/>
    <w:rsid w:val="00A532DD"/>
    <w:rsid w:val="00A54CC5"/>
    <w:rsid w:val="00A600C1"/>
    <w:rsid w:val="00A644FE"/>
    <w:rsid w:val="00A644FF"/>
    <w:rsid w:val="00A73923"/>
    <w:rsid w:val="00A75B2D"/>
    <w:rsid w:val="00A770D1"/>
    <w:rsid w:val="00A80BCF"/>
    <w:rsid w:val="00A8309C"/>
    <w:rsid w:val="00A8369C"/>
    <w:rsid w:val="00A83857"/>
    <w:rsid w:val="00A854EE"/>
    <w:rsid w:val="00A97EC0"/>
    <w:rsid w:val="00AA077A"/>
    <w:rsid w:val="00AA1689"/>
    <w:rsid w:val="00AA1806"/>
    <w:rsid w:val="00AA20FB"/>
    <w:rsid w:val="00AA68B9"/>
    <w:rsid w:val="00AB045B"/>
    <w:rsid w:val="00AB393B"/>
    <w:rsid w:val="00AC1C1D"/>
    <w:rsid w:val="00AC1D15"/>
    <w:rsid w:val="00AC1F77"/>
    <w:rsid w:val="00AC6AD5"/>
    <w:rsid w:val="00AC731F"/>
    <w:rsid w:val="00AE34F4"/>
    <w:rsid w:val="00AE3743"/>
    <w:rsid w:val="00AE3B00"/>
    <w:rsid w:val="00AE523A"/>
    <w:rsid w:val="00AE53C8"/>
    <w:rsid w:val="00AF1161"/>
    <w:rsid w:val="00AF4A37"/>
    <w:rsid w:val="00AF5545"/>
    <w:rsid w:val="00B034F9"/>
    <w:rsid w:val="00B07B0C"/>
    <w:rsid w:val="00B16836"/>
    <w:rsid w:val="00B227AC"/>
    <w:rsid w:val="00B25563"/>
    <w:rsid w:val="00B26D48"/>
    <w:rsid w:val="00B30073"/>
    <w:rsid w:val="00B30124"/>
    <w:rsid w:val="00B30876"/>
    <w:rsid w:val="00B308EF"/>
    <w:rsid w:val="00B322A9"/>
    <w:rsid w:val="00B37B32"/>
    <w:rsid w:val="00B42EE1"/>
    <w:rsid w:val="00B43350"/>
    <w:rsid w:val="00B44EAA"/>
    <w:rsid w:val="00B522E4"/>
    <w:rsid w:val="00B52C12"/>
    <w:rsid w:val="00B7392B"/>
    <w:rsid w:val="00B74865"/>
    <w:rsid w:val="00B761A0"/>
    <w:rsid w:val="00B7643D"/>
    <w:rsid w:val="00B92478"/>
    <w:rsid w:val="00B93C0A"/>
    <w:rsid w:val="00B95DCC"/>
    <w:rsid w:val="00B96FB7"/>
    <w:rsid w:val="00BA5911"/>
    <w:rsid w:val="00BA5E99"/>
    <w:rsid w:val="00BA7BF4"/>
    <w:rsid w:val="00BB04D7"/>
    <w:rsid w:val="00BB3E71"/>
    <w:rsid w:val="00BB5E35"/>
    <w:rsid w:val="00BB752D"/>
    <w:rsid w:val="00BC13EA"/>
    <w:rsid w:val="00BC36B4"/>
    <w:rsid w:val="00BD2DD4"/>
    <w:rsid w:val="00BD61A2"/>
    <w:rsid w:val="00BD69E5"/>
    <w:rsid w:val="00BE1186"/>
    <w:rsid w:val="00BE1C93"/>
    <w:rsid w:val="00BE2A32"/>
    <w:rsid w:val="00BE2E50"/>
    <w:rsid w:val="00BE484D"/>
    <w:rsid w:val="00BE7B00"/>
    <w:rsid w:val="00BF7668"/>
    <w:rsid w:val="00C07200"/>
    <w:rsid w:val="00C14C65"/>
    <w:rsid w:val="00C16CE7"/>
    <w:rsid w:val="00C22C25"/>
    <w:rsid w:val="00C330FD"/>
    <w:rsid w:val="00C3419A"/>
    <w:rsid w:val="00C35801"/>
    <w:rsid w:val="00C36DF5"/>
    <w:rsid w:val="00C37E05"/>
    <w:rsid w:val="00C4109B"/>
    <w:rsid w:val="00C42704"/>
    <w:rsid w:val="00C4447B"/>
    <w:rsid w:val="00C4710A"/>
    <w:rsid w:val="00C53156"/>
    <w:rsid w:val="00C55533"/>
    <w:rsid w:val="00C55D29"/>
    <w:rsid w:val="00C57B3A"/>
    <w:rsid w:val="00C60DFA"/>
    <w:rsid w:val="00C61075"/>
    <w:rsid w:val="00C610A1"/>
    <w:rsid w:val="00C71B04"/>
    <w:rsid w:val="00C720EB"/>
    <w:rsid w:val="00C72332"/>
    <w:rsid w:val="00C75678"/>
    <w:rsid w:val="00C85918"/>
    <w:rsid w:val="00C9232B"/>
    <w:rsid w:val="00C94230"/>
    <w:rsid w:val="00C97138"/>
    <w:rsid w:val="00CA0BE9"/>
    <w:rsid w:val="00CA138D"/>
    <w:rsid w:val="00CA563B"/>
    <w:rsid w:val="00CA59A4"/>
    <w:rsid w:val="00CA65CD"/>
    <w:rsid w:val="00CA7093"/>
    <w:rsid w:val="00CB0E1A"/>
    <w:rsid w:val="00CB1249"/>
    <w:rsid w:val="00CB3A23"/>
    <w:rsid w:val="00CB5036"/>
    <w:rsid w:val="00CB7EA2"/>
    <w:rsid w:val="00CC0490"/>
    <w:rsid w:val="00CC1F85"/>
    <w:rsid w:val="00CC7641"/>
    <w:rsid w:val="00CD18BC"/>
    <w:rsid w:val="00CD7951"/>
    <w:rsid w:val="00CE339A"/>
    <w:rsid w:val="00D00CF9"/>
    <w:rsid w:val="00D00E4D"/>
    <w:rsid w:val="00D13794"/>
    <w:rsid w:val="00D20ACB"/>
    <w:rsid w:val="00D20ECD"/>
    <w:rsid w:val="00D216C9"/>
    <w:rsid w:val="00D23A36"/>
    <w:rsid w:val="00D24052"/>
    <w:rsid w:val="00D3004A"/>
    <w:rsid w:val="00D309AB"/>
    <w:rsid w:val="00D31575"/>
    <w:rsid w:val="00D3333C"/>
    <w:rsid w:val="00D34626"/>
    <w:rsid w:val="00D3647E"/>
    <w:rsid w:val="00D41B13"/>
    <w:rsid w:val="00D41E3B"/>
    <w:rsid w:val="00D4257A"/>
    <w:rsid w:val="00D442D3"/>
    <w:rsid w:val="00D47819"/>
    <w:rsid w:val="00D47873"/>
    <w:rsid w:val="00D479B2"/>
    <w:rsid w:val="00D54023"/>
    <w:rsid w:val="00D55871"/>
    <w:rsid w:val="00D55BD2"/>
    <w:rsid w:val="00D56884"/>
    <w:rsid w:val="00D57DBE"/>
    <w:rsid w:val="00D61820"/>
    <w:rsid w:val="00D622D8"/>
    <w:rsid w:val="00D62665"/>
    <w:rsid w:val="00D80F05"/>
    <w:rsid w:val="00D81094"/>
    <w:rsid w:val="00D827CC"/>
    <w:rsid w:val="00D8440E"/>
    <w:rsid w:val="00D87FDE"/>
    <w:rsid w:val="00D95916"/>
    <w:rsid w:val="00D9769B"/>
    <w:rsid w:val="00DA51A5"/>
    <w:rsid w:val="00DA5437"/>
    <w:rsid w:val="00DB02AB"/>
    <w:rsid w:val="00DB24E8"/>
    <w:rsid w:val="00DB2D6F"/>
    <w:rsid w:val="00DB3486"/>
    <w:rsid w:val="00DB3D02"/>
    <w:rsid w:val="00DB5574"/>
    <w:rsid w:val="00DB7764"/>
    <w:rsid w:val="00DC0CDE"/>
    <w:rsid w:val="00DC4D72"/>
    <w:rsid w:val="00DC5F7F"/>
    <w:rsid w:val="00DD238C"/>
    <w:rsid w:val="00DD6B64"/>
    <w:rsid w:val="00DE3BF0"/>
    <w:rsid w:val="00DE7DFD"/>
    <w:rsid w:val="00DF1EE7"/>
    <w:rsid w:val="00DF4357"/>
    <w:rsid w:val="00E0031D"/>
    <w:rsid w:val="00E02E22"/>
    <w:rsid w:val="00E0624D"/>
    <w:rsid w:val="00E1545A"/>
    <w:rsid w:val="00E15ABE"/>
    <w:rsid w:val="00E235C6"/>
    <w:rsid w:val="00E27A3F"/>
    <w:rsid w:val="00E30656"/>
    <w:rsid w:val="00E34597"/>
    <w:rsid w:val="00E37790"/>
    <w:rsid w:val="00E40444"/>
    <w:rsid w:val="00E43DFC"/>
    <w:rsid w:val="00E4438C"/>
    <w:rsid w:val="00E457F3"/>
    <w:rsid w:val="00E53EDC"/>
    <w:rsid w:val="00E614E1"/>
    <w:rsid w:val="00E66349"/>
    <w:rsid w:val="00E67A54"/>
    <w:rsid w:val="00E72DD5"/>
    <w:rsid w:val="00E81049"/>
    <w:rsid w:val="00E83EC4"/>
    <w:rsid w:val="00E85402"/>
    <w:rsid w:val="00E87232"/>
    <w:rsid w:val="00E9301C"/>
    <w:rsid w:val="00EA290C"/>
    <w:rsid w:val="00EA33D7"/>
    <w:rsid w:val="00EA3A83"/>
    <w:rsid w:val="00EB7412"/>
    <w:rsid w:val="00EB7E71"/>
    <w:rsid w:val="00EC023F"/>
    <w:rsid w:val="00EC07DF"/>
    <w:rsid w:val="00EC1984"/>
    <w:rsid w:val="00EC3498"/>
    <w:rsid w:val="00EC38CA"/>
    <w:rsid w:val="00ED21B0"/>
    <w:rsid w:val="00ED34B9"/>
    <w:rsid w:val="00ED3C64"/>
    <w:rsid w:val="00ED4C42"/>
    <w:rsid w:val="00ED7432"/>
    <w:rsid w:val="00EE0A53"/>
    <w:rsid w:val="00EE1D98"/>
    <w:rsid w:val="00EE26F0"/>
    <w:rsid w:val="00EE293C"/>
    <w:rsid w:val="00EE2EE0"/>
    <w:rsid w:val="00EE3CFB"/>
    <w:rsid w:val="00EF01B1"/>
    <w:rsid w:val="00EF776A"/>
    <w:rsid w:val="00F04409"/>
    <w:rsid w:val="00F109D4"/>
    <w:rsid w:val="00F153CE"/>
    <w:rsid w:val="00F1743D"/>
    <w:rsid w:val="00F230FC"/>
    <w:rsid w:val="00F240B6"/>
    <w:rsid w:val="00F24275"/>
    <w:rsid w:val="00F276BC"/>
    <w:rsid w:val="00F33841"/>
    <w:rsid w:val="00F35210"/>
    <w:rsid w:val="00F376CF"/>
    <w:rsid w:val="00F47585"/>
    <w:rsid w:val="00F478A4"/>
    <w:rsid w:val="00F60F3F"/>
    <w:rsid w:val="00F65B43"/>
    <w:rsid w:val="00F86A0D"/>
    <w:rsid w:val="00F90355"/>
    <w:rsid w:val="00F91EFC"/>
    <w:rsid w:val="00F9224A"/>
    <w:rsid w:val="00F939B8"/>
    <w:rsid w:val="00F94C6C"/>
    <w:rsid w:val="00F95A58"/>
    <w:rsid w:val="00F97BE5"/>
    <w:rsid w:val="00FA4063"/>
    <w:rsid w:val="00FA5EAD"/>
    <w:rsid w:val="00FA645E"/>
    <w:rsid w:val="00FB08FF"/>
    <w:rsid w:val="00FB3570"/>
    <w:rsid w:val="00FC4C41"/>
    <w:rsid w:val="00FC7483"/>
    <w:rsid w:val="00FD0542"/>
    <w:rsid w:val="00FD10DB"/>
    <w:rsid w:val="00FD1AB9"/>
    <w:rsid w:val="00FE04E4"/>
    <w:rsid w:val="00FE4C59"/>
    <w:rsid w:val="00FE73F9"/>
    <w:rsid w:val="00FF1057"/>
    <w:rsid w:val="00FF3E25"/>
    <w:rsid w:val="00FF4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78946">
      <w:bodyDiv w:val="1"/>
      <w:marLeft w:val="0"/>
      <w:marRight w:val="0"/>
      <w:marTop w:val="0"/>
      <w:marBottom w:val="0"/>
      <w:divBdr>
        <w:top w:val="none" w:sz="0" w:space="0" w:color="auto"/>
        <w:left w:val="none" w:sz="0" w:space="0" w:color="auto"/>
        <w:bottom w:val="none" w:sz="0" w:space="0" w:color="auto"/>
        <w:right w:val="none" w:sz="0" w:space="0" w:color="auto"/>
      </w:divBdr>
      <w:divsChild>
        <w:div w:id="151415520">
          <w:marLeft w:val="0"/>
          <w:marRight w:val="0"/>
          <w:marTop w:val="0"/>
          <w:marBottom w:val="0"/>
          <w:divBdr>
            <w:top w:val="none" w:sz="0" w:space="0" w:color="auto"/>
            <w:left w:val="none" w:sz="0" w:space="0" w:color="auto"/>
            <w:bottom w:val="none" w:sz="0" w:space="0" w:color="auto"/>
            <w:right w:val="none" w:sz="0" w:space="0" w:color="auto"/>
          </w:divBdr>
          <w:divsChild>
            <w:div w:id="1863081143">
              <w:marLeft w:val="0"/>
              <w:marRight w:val="0"/>
              <w:marTop w:val="0"/>
              <w:marBottom w:val="0"/>
              <w:divBdr>
                <w:top w:val="none" w:sz="0" w:space="0" w:color="auto"/>
                <w:left w:val="none" w:sz="0" w:space="0" w:color="auto"/>
                <w:bottom w:val="none" w:sz="0" w:space="0" w:color="auto"/>
                <w:right w:val="none" w:sz="0" w:space="0" w:color="auto"/>
              </w:divBdr>
              <w:divsChild>
                <w:div w:id="313996101">
                  <w:marLeft w:val="0"/>
                  <w:marRight w:val="0"/>
                  <w:marTop w:val="0"/>
                  <w:marBottom w:val="0"/>
                  <w:divBdr>
                    <w:top w:val="none" w:sz="0" w:space="0" w:color="auto"/>
                    <w:left w:val="none" w:sz="0" w:space="0" w:color="auto"/>
                    <w:bottom w:val="none" w:sz="0" w:space="0" w:color="auto"/>
                    <w:right w:val="none" w:sz="0" w:space="0" w:color="auto"/>
                  </w:divBdr>
                  <w:divsChild>
                    <w:div w:id="1356881553">
                      <w:marLeft w:val="0"/>
                      <w:marRight w:val="0"/>
                      <w:marTop w:val="0"/>
                      <w:marBottom w:val="0"/>
                      <w:divBdr>
                        <w:top w:val="none" w:sz="0" w:space="0" w:color="auto"/>
                        <w:left w:val="none" w:sz="0" w:space="0" w:color="auto"/>
                        <w:bottom w:val="none" w:sz="0" w:space="0" w:color="auto"/>
                        <w:right w:val="none" w:sz="0" w:space="0" w:color="auto"/>
                      </w:divBdr>
                      <w:divsChild>
                        <w:div w:id="417991543">
                          <w:marLeft w:val="0"/>
                          <w:marRight w:val="0"/>
                          <w:marTop w:val="0"/>
                          <w:marBottom w:val="0"/>
                          <w:divBdr>
                            <w:top w:val="none" w:sz="0" w:space="0" w:color="auto"/>
                            <w:left w:val="none" w:sz="0" w:space="0" w:color="auto"/>
                            <w:bottom w:val="none" w:sz="0" w:space="0" w:color="auto"/>
                            <w:right w:val="none" w:sz="0" w:space="0" w:color="auto"/>
                          </w:divBdr>
                          <w:divsChild>
                            <w:div w:id="1355883950">
                              <w:marLeft w:val="0"/>
                              <w:marRight w:val="0"/>
                              <w:marTop w:val="0"/>
                              <w:marBottom w:val="0"/>
                              <w:divBdr>
                                <w:top w:val="none" w:sz="0" w:space="0" w:color="auto"/>
                                <w:left w:val="none" w:sz="0" w:space="0" w:color="auto"/>
                                <w:bottom w:val="none" w:sz="0" w:space="0" w:color="auto"/>
                                <w:right w:val="none" w:sz="0" w:space="0" w:color="auto"/>
                              </w:divBdr>
                              <w:divsChild>
                                <w:div w:id="371617528">
                                  <w:marLeft w:val="0"/>
                                  <w:marRight w:val="0"/>
                                  <w:marTop w:val="0"/>
                                  <w:marBottom w:val="0"/>
                                  <w:divBdr>
                                    <w:top w:val="none" w:sz="0" w:space="0" w:color="auto"/>
                                    <w:left w:val="none" w:sz="0" w:space="0" w:color="auto"/>
                                    <w:bottom w:val="none" w:sz="0" w:space="0" w:color="auto"/>
                                    <w:right w:val="none" w:sz="0" w:space="0" w:color="auto"/>
                                  </w:divBdr>
                                  <w:divsChild>
                                    <w:div w:id="1405295175">
                                      <w:marLeft w:val="0"/>
                                      <w:marRight w:val="0"/>
                                      <w:marTop w:val="0"/>
                                      <w:marBottom w:val="0"/>
                                      <w:divBdr>
                                        <w:top w:val="none" w:sz="0" w:space="0" w:color="auto"/>
                                        <w:left w:val="none" w:sz="0" w:space="0" w:color="auto"/>
                                        <w:bottom w:val="none" w:sz="0" w:space="0" w:color="auto"/>
                                        <w:right w:val="none" w:sz="0" w:space="0" w:color="auto"/>
                                      </w:divBdr>
                                      <w:divsChild>
                                        <w:div w:id="925267328">
                                          <w:marLeft w:val="0"/>
                                          <w:marRight w:val="0"/>
                                          <w:marTop w:val="0"/>
                                          <w:marBottom w:val="0"/>
                                          <w:divBdr>
                                            <w:top w:val="none" w:sz="0" w:space="0" w:color="auto"/>
                                            <w:left w:val="none" w:sz="0" w:space="0" w:color="auto"/>
                                            <w:bottom w:val="none" w:sz="0" w:space="0" w:color="auto"/>
                                            <w:right w:val="none" w:sz="0" w:space="0" w:color="auto"/>
                                          </w:divBdr>
                                          <w:divsChild>
                                            <w:div w:id="2003001789">
                                              <w:marLeft w:val="0"/>
                                              <w:marRight w:val="0"/>
                                              <w:marTop w:val="0"/>
                                              <w:marBottom w:val="0"/>
                                              <w:divBdr>
                                                <w:top w:val="none" w:sz="0" w:space="0" w:color="auto"/>
                                                <w:left w:val="none" w:sz="0" w:space="0" w:color="auto"/>
                                                <w:bottom w:val="none" w:sz="0" w:space="0" w:color="auto"/>
                                                <w:right w:val="none" w:sz="0" w:space="0" w:color="auto"/>
                                              </w:divBdr>
                                              <w:divsChild>
                                                <w:div w:id="1663048529">
                                                  <w:marLeft w:val="0"/>
                                                  <w:marRight w:val="0"/>
                                                  <w:marTop w:val="0"/>
                                                  <w:marBottom w:val="0"/>
                                                  <w:divBdr>
                                                    <w:top w:val="none" w:sz="0" w:space="0" w:color="auto"/>
                                                    <w:left w:val="none" w:sz="0" w:space="0" w:color="auto"/>
                                                    <w:bottom w:val="none" w:sz="0" w:space="0" w:color="auto"/>
                                                    <w:right w:val="none" w:sz="0" w:space="0" w:color="auto"/>
                                                  </w:divBdr>
                                                  <w:divsChild>
                                                    <w:div w:id="226185408">
                                                      <w:marLeft w:val="0"/>
                                                      <w:marRight w:val="0"/>
                                                      <w:marTop w:val="0"/>
                                                      <w:marBottom w:val="0"/>
                                                      <w:divBdr>
                                                        <w:top w:val="none" w:sz="0" w:space="0" w:color="auto"/>
                                                        <w:left w:val="none" w:sz="0" w:space="0" w:color="auto"/>
                                                        <w:bottom w:val="none" w:sz="0" w:space="0" w:color="auto"/>
                                                        <w:right w:val="none" w:sz="0" w:space="0" w:color="auto"/>
                                                      </w:divBdr>
                                                      <w:divsChild>
                                                        <w:div w:id="1142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5588" ma:contentTypeDescription=" " ma:contentTypeScope="" ma:versionID="007b480eab4918a1eb5a388b20beb4c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843d60eec696d0f6fa0d86daaf2d7ae"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_dlc_DocId xmlns="0f563589-9cf9-4143-b1eb-fb0534803d38">2018MG-90-22113</_dlc_DocId>
    <_dlc_DocIdUrl xmlns="0f563589-9cf9-4143-b1eb-fb0534803d38">
      <Url>http://tweb/sites/mg/fsd/_layouts/15/DocIdRedir.aspx?ID=2018MG-90-22113</Url>
      <Description>2018MG-90-22113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5C90-6676-404D-ACAF-6CCEB286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18C44-DCA1-45A1-A3D1-F9EC3016A8C0}">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sharepoint/v3"/>
    <ds:schemaRef ds:uri="d4dd4adf-ddb3-46a3-8d7c-fab3fb2a6bc7"/>
    <ds:schemaRef ds:uri="http://www.w3.org/XML/1998/namespace"/>
    <ds:schemaRef ds:uri="http://schemas.microsoft.com/sharepoint/v4"/>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f563589-9cf9-4143-b1eb-fb0534803d38"/>
    <ds:schemaRef ds:uri="http://purl.org/dc/dcmitype/"/>
    <ds:schemaRef ds:uri="http://purl.org/dc/terms/"/>
  </ds:schemaRefs>
</ds:datastoreItem>
</file>

<file path=customXml/itemProps5.xml><?xml version="1.0" encoding="utf-8"?>
<ds:datastoreItem xmlns:ds="http://schemas.openxmlformats.org/officeDocument/2006/customXml" ds:itemID="{E09D6607-8525-4C17-B2A2-0013FD095F09}">
  <ds:schemaRefs>
    <ds:schemaRef ds:uri="http://schemas.microsoft.com/sharepoint/events"/>
  </ds:schemaRefs>
</ds:datastoreItem>
</file>

<file path=customXml/itemProps6.xml><?xml version="1.0" encoding="utf-8"?>
<ds:datastoreItem xmlns:ds="http://schemas.openxmlformats.org/officeDocument/2006/customXml" ds:itemID="{F9119515-0400-460A-88CD-058BF45EBDF0}">
  <ds:schemaRefs>
    <ds:schemaRef ds:uri="http://schemas.microsoft.com/sharepoint/events"/>
  </ds:schemaRefs>
</ds:datastoreItem>
</file>

<file path=customXml/itemProps7.xml><?xml version="1.0" encoding="utf-8"?>
<ds:datastoreItem xmlns:ds="http://schemas.openxmlformats.org/officeDocument/2006/customXml" ds:itemID="{1C2570A3-BC80-4FC2-BC3D-AC1589D1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922</Words>
  <Characters>4953</Characters>
  <Application>Microsoft Office Word</Application>
  <DocSecurity>4</DocSecurity>
  <Lines>183</Lines>
  <Paragraphs>124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Consultation paper</dc:subject>
  <dc:creator>The Treasury</dc:creator>
  <cp:lastModifiedBy>Thomas, Deborah</cp:lastModifiedBy>
  <cp:revision>2</cp:revision>
  <cp:lastPrinted>2018-06-18T04:09:00Z</cp:lastPrinted>
  <dcterms:created xsi:type="dcterms:W3CDTF">2018-11-15T22:20:00Z</dcterms:created>
  <dcterms:modified xsi:type="dcterms:W3CDTF">2018-11-15T22:20:00Z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2102185818</vt:i4>
  </property>
  <property fmtid="{D5CDD505-2E9C-101B-9397-08002B2CF9AE}" pid="3" name="_NewReviewCycle">
    <vt:lpwstr/>
  </property>
  <property fmtid="{D5CDD505-2E9C-101B-9397-08002B2CF9AE}" pid="4" name="_EmailSubject">
    <vt:lpwstr>Website to go live t342318 - FW: RE: Announcement and public consultation on measure to increase financial reporting thresholds [SEC=UNCLASSIFIED]</vt:lpwstr>
  </property>
  <property fmtid="{D5CDD505-2E9C-101B-9397-08002B2CF9AE}" pid="5" name="_AuthorEmail">
    <vt:lpwstr>Wendy.Hau@TREASURY.GOV.AU</vt:lpwstr>
  </property>
  <property fmtid="{D5CDD505-2E9C-101B-9397-08002B2CF9AE}" pid="6" name="_AuthorEmailDisplayName">
    <vt:lpwstr>Hau, Wendy</vt:lpwstr>
  </property>
  <property fmtid="{D5CDD505-2E9C-101B-9397-08002B2CF9AE}" pid="7" name="ContentTypeId">
    <vt:lpwstr>0x010100E95D40E5DFEA714B90E88DB5CE07A6B500935D0CF8835BE447895972B43AB8EC93</vt:lpwstr>
  </property>
  <property fmtid="{D5CDD505-2E9C-101B-9397-08002B2CF9AE}" pid="8" name="_PreviousAdHocReviewCycleID">
    <vt:i4>-739075312</vt:i4>
  </property>
  <property fmtid="{D5CDD505-2E9C-101B-9397-08002B2CF9AE}" pid="9" name="_dlc_DocIdItemGuid">
    <vt:lpwstr>d32449ba-b4c4-47b3-83a9-a6036bfd6815</vt:lpwstr>
  </property>
  <property fmtid="{D5CDD505-2E9C-101B-9397-08002B2CF9AE}" pid="10" name="TSYRecordClass">
    <vt:lpwstr>2</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WorkflowType">
    <vt:lpwstr>ActiveSubmitStub</vt:lpwstr>
  </property>
  <property fmtid="{D5CDD505-2E9C-101B-9397-08002B2CF9AE}" pid="15" name="RecordPoint_ActiveItemWebId">
    <vt:lpwstr>{09392e0d-4618-463d-b4d2-50a90b9447cf}</vt:lpwstr>
  </property>
  <property fmtid="{D5CDD505-2E9C-101B-9397-08002B2CF9AE}" pid="16" name="RecordPoint_ActiveItemSiteId">
    <vt:lpwstr>{5b52b9a5-e5b2-4521-8814-a1e24ca2869d}</vt:lpwstr>
  </property>
  <property fmtid="{D5CDD505-2E9C-101B-9397-08002B2CF9AE}" pid="17" name="RecordPoint_ActiveItemListId">
    <vt:lpwstr>{507a8a59-704d-43cf-b103-02b0cd527a9d}</vt:lpwstr>
  </property>
  <property fmtid="{D5CDD505-2E9C-101B-9397-08002B2CF9AE}" pid="18" name="RecordPoint_ActiveItemUniqueId">
    <vt:lpwstr>{aae3c564-617d-490b-82f7-473aa3505ca2}</vt:lpwstr>
  </property>
  <property fmtid="{D5CDD505-2E9C-101B-9397-08002B2CF9AE}" pid="19" name="RecordPoint_RecordNumberSubmitted">
    <vt:lpwstr>R0001907172</vt:lpwstr>
  </property>
  <property fmtid="{D5CDD505-2E9C-101B-9397-08002B2CF9AE}" pid="20" name="RecordPoint_SubmissionCompleted">
    <vt:lpwstr>2018-10-26T00:02:33.1915684+11:00</vt:lpwstr>
  </property>
  <property fmtid="{D5CDD505-2E9C-101B-9397-08002B2CF9AE}" pid="21" name="_ReviewingToolsShownOnce">
    <vt:lpwstr/>
  </property>
</Properties>
</file>